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B2E" w:rsidRPr="00461A37" w:rsidRDefault="001E0BFB" w:rsidP="00462FBD">
      <w:pPr>
        <w:spacing w:line="276" w:lineRule="auto"/>
        <w:ind w:left="567" w:hanging="567"/>
        <w:jc w:val="center"/>
        <w:rPr>
          <w:rFonts w:cs="Arial"/>
          <w:b/>
          <w:sz w:val="26"/>
          <w:szCs w:val="26"/>
        </w:rPr>
      </w:pPr>
      <w:r w:rsidRPr="00461A37">
        <w:rPr>
          <w:rFonts w:cs="Arial"/>
          <w:b/>
          <w:sz w:val="26"/>
          <w:szCs w:val="26"/>
        </w:rPr>
        <w:t>U</w:t>
      </w:r>
      <w:r w:rsidR="00346B2E" w:rsidRPr="00461A37">
        <w:rPr>
          <w:rFonts w:cs="Arial"/>
          <w:b/>
          <w:sz w:val="26"/>
          <w:szCs w:val="26"/>
        </w:rPr>
        <w:t>misťování a povolování montovaných tribun</w:t>
      </w:r>
    </w:p>
    <w:p w:rsidR="00D63B6A" w:rsidRPr="002C4E46" w:rsidRDefault="00D63B6A" w:rsidP="003C30AD">
      <w:pPr>
        <w:spacing w:line="276" w:lineRule="auto"/>
        <w:jc w:val="center"/>
        <w:rPr>
          <w:rFonts w:cs="Arial"/>
          <w:sz w:val="16"/>
          <w:szCs w:val="16"/>
          <w:lang w:val="en-US"/>
        </w:rPr>
      </w:pPr>
      <w:bookmarkStart w:id="0" w:name="text"/>
      <w:bookmarkEnd w:id="0"/>
    </w:p>
    <w:p w:rsidR="003C30AD" w:rsidRPr="003C30AD" w:rsidRDefault="002C4E46" w:rsidP="003C30AD">
      <w:pPr>
        <w:spacing w:line="276" w:lineRule="auto"/>
        <w:jc w:val="center"/>
        <w:rPr>
          <w:rFonts w:cs="Arial"/>
          <w:sz w:val="22"/>
          <w:lang w:val="en-US"/>
        </w:rPr>
      </w:pPr>
      <w:r>
        <w:rPr>
          <w:rFonts w:cs="Arial"/>
          <w:sz w:val="22"/>
          <w:lang w:val="en-US"/>
        </w:rPr>
        <w:t>M</w:t>
      </w:r>
      <w:r w:rsidR="003C30AD" w:rsidRPr="003C30AD">
        <w:rPr>
          <w:rFonts w:cs="Arial"/>
          <w:sz w:val="22"/>
          <w:lang w:val="en-US"/>
        </w:rPr>
        <w:t>etodická pomůcka odboru stavebního řádu</w:t>
      </w:r>
    </w:p>
    <w:p w:rsidR="003C30AD" w:rsidRDefault="003C30AD" w:rsidP="00462FBD">
      <w:pPr>
        <w:pBdr>
          <w:bottom w:val="single" w:sz="6" w:space="1" w:color="auto"/>
        </w:pBdr>
        <w:spacing w:line="276" w:lineRule="auto"/>
        <w:jc w:val="center"/>
        <w:rPr>
          <w:rFonts w:cs="Arial"/>
          <w:szCs w:val="20"/>
        </w:rPr>
      </w:pPr>
    </w:p>
    <w:p w:rsidR="003C30AD" w:rsidRDefault="003C30AD" w:rsidP="00F94653">
      <w:pPr>
        <w:spacing w:line="276" w:lineRule="auto"/>
        <w:rPr>
          <w:rFonts w:cs="Arial"/>
          <w:szCs w:val="20"/>
        </w:rPr>
      </w:pPr>
    </w:p>
    <w:p w:rsidR="00C45360" w:rsidRPr="00AE279B" w:rsidRDefault="00C45360" w:rsidP="00F94653">
      <w:pPr>
        <w:spacing w:line="276" w:lineRule="auto"/>
        <w:rPr>
          <w:rFonts w:cs="Arial"/>
          <w:szCs w:val="20"/>
        </w:rPr>
      </w:pPr>
    </w:p>
    <w:p w:rsidR="001E0BFB" w:rsidRPr="00AE279B" w:rsidRDefault="001E0BFB" w:rsidP="001E0BFB">
      <w:pPr>
        <w:spacing w:after="240" w:line="240" w:lineRule="auto"/>
        <w:rPr>
          <w:rFonts w:cs="Arial"/>
          <w:szCs w:val="20"/>
        </w:rPr>
      </w:pPr>
      <w:r w:rsidRPr="00AE279B">
        <w:rPr>
          <w:rFonts w:cs="Arial"/>
          <w:szCs w:val="20"/>
        </w:rPr>
        <w:t>Vymezení pojmu montovaná tribuna</w:t>
      </w:r>
    </w:p>
    <w:p w:rsidR="00AE279B" w:rsidRPr="00AE279B" w:rsidRDefault="00AE279B" w:rsidP="00AE279B">
      <w:pPr>
        <w:spacing w:line="270" w:lineRule="atLeast"/>
        <w:rPr>
          <w:rFonts w:eastAsia="Times New Roman" w:cs="Arial"/>
          <w:color w:val="000000"/>
          <w:szCs w:val="20"/>
          <w:lang w:eastAsia="cs-CZ"/>
        </w:rPr>
      </w:pPr>
      <w:r w:rsidRPr="00AE279B">
        <w:rPr>
          <w:rFonts w:eastAsia="Times New Roman" w:cs="Arial"/>
          <w:b/>
          <w:color w:val="000000"/>
          <w:szCs w:val="20"/>
          <w:lang w:eastAsia="cs-CZ"/>
        </w:rPr>
        <w:t>Tribuna</w:t>
      </w:r>
      <w:r w:rsidR="00EC7B9D" w:rsidRPr="00EC7B9D">
        <w:rPr>
          <w:rFonts w:eastAsia="Times New Roman" w:cs="Arial"/>
          <w:b/>
          <w:color w:val="000000"/>
          <w:szCs w:val="20"/>
          <w:vertAlign w:val="superscript"/>
          <w:lang w:eastAsia="cs-CZ"/>
        </w:rPr>
        <w:t>1</w:t>
      </w:r>
      <w:r w:rsidRPr="00AE279B">
        <w:rPr>
          <w:rFonts w:eastAsia="Times New Roman" w:cs="Arial"/>
          <w:color w:val="000000"/>
          <w:szCs w:val="20"/>
          <w:lang w:eastAsia="cs-CZ"/>
        </w:rPr>
        <w:t xml:space="preserve">, </w:t>
      </w:r>
      <w:r w:rsidRPr="00C726D4">
        <w:rPr>
          <w:rFonts w:eastAsia="Times New Roman" w:cs="Arial"/>
          <w:i/>
          <w:color w:val="000000"/>
          <w:szCs w:val="20"/>
          <w:lang w:eastAsia="cs-CZ"/>
        </w:rPr>
        <w:t>tribunal (lat. = vyvýšené místo pro soudce), stejného významu jako apsida; původně v antických římských bazilikách vyvýšené místo, prostor ve stěně ukončující hlavní prostor upravený zpravidla půlkruhovitě (tribunál – apsida), určený podle všeho, pro sezení úředníků. Později v křesťanských bazilikách a chrámech vyvýšená krátká galerie podporovaná sloupy, klenbou, konzolami apod. Dnes všeobecné označení pro vyvýšené řečniště, ale též pro vyvýšené hlediště sportovišť apod., kde se rozeznává tribuna hlavní, která je zpravidla umístěna na západní straně, a tribuny vedlejší na stranách ostatních</w:t>
      </w:r>
      <w:r w:rsidRPr="00AE279B">
        <w:rPr>
          <w:rFonts w:eastAsia="Times New Roman" w:cs="Arial"/>
          <w:color w:val="000000"/>
          <w:szCs w:val="20"/>
          <w:lang w:eastAsia="cs-CZ"/>
        </w:rPr>
        <w:t xml:space="preserve">.   </w:t>
      </w:r>
    </w:p>
    <w:p w:rsidR="00AE279B" w:rsidRPr="00AE279B" w:rsidRDefault="00AE279B" w:rsidP="00AE279B">
      <w:pPr>
        <w:spacing w:line="270" w:lineRule="atLeast"/>
        <w:rPr>
          <w:rFonts w:eastAsia="Times New Roman" w:cs="Arial"/>
          <w:color w:val="000000"/>
          <w:szCs w:val="20"/>
          <w:lang w:eastAsia="cs-CZ"/>
        </w:rPr>
      </w:pPr>
    </w:p>
    <w:p w:rsidR="00AE279B" w:rsidRPr="00AE279B" w:rsidRDefault="00AE279B" w:rsidP="00AE279B">
      <w:pPr>
        <w:spacing w:line="270" w:lineRule="atLeast"/>
        <w:rPr>
          <w:rFonts w:eastAsia="Times New Roman" w:cs="Arial"/>
          <w:color w:val="000000"/>
          <w:szCs w:val="20"/>
          <w:lang w:eastAsia="cs-CZ"/>
        </w:rPr>
      </w:pPr>
      <w:r w:rsidRPr="00AE279B">
        <w:rPr>
          <w:rFonts w:eastAsia="Times New Roman" w:cs="Arial"/>
          <w:color w:val="000000"/>
          <w:szCs w:val="20"/>
          <w:lang w:eastAsia="cs-CZ"/>
        </w:rPr>
        <w:t>Označen</w:t>
      </w:r>
      <w:r>
        <w:rPr>
          <w:rFonts w:eastAsia="Times New Roman" w:cs="Arial"/>
          <w:color w:val="000000"/>
          <w:szCs w:val="20"/>
          <w:lang w:eastAsia="cs-CZ"/>
        </w:rPr>
        <w:t>í</w:t>
      </w:r>
      <w:r w:rsidRPr="00AE279B">
        <w:rPr>
          <w:rFonts w:eastAsia="Times New Roman" w:cs="Arial"/>
          <w:color w:val="000000"/>
          <w:szCs w:val="20"/>
          <w:lang w:eastAsia="cs-CZ"/>
        </w:rPr>
        <w:t xml:space="preserve"> </w:t>
      </w:r>
      <w:r w:rsidRPr="00AE279B">
        <w:rPr>
          <w:rFonts w:eastAsia="Times New Roman" w:cs="Arial"/>
          <w:b/>
          <w:color w:val="000000"/>
          <w:szCs w:val="20"/>
          <w:lang w:eastAsia="cs-CZ"/>
        </w:rPr>
        <w:t xml:space="preserve">montovaná tribuna </w:t>
      </w:r>
      <w:r w:rsidRPr="00AE279B">
        <w:rPr>
          <w:rFonts w:eastAsia="Times New Roman" w:cs="Arial"/>
          <w:color w:val="000000"/>
          <w:szCs w:val="20"/>
          <w:lang w:eastAsia="cs-CZ"/>
        </w:rPr>
        <w:t xml:space="preserve">pak odkazuje na způsob </w:t>
      </w:r>
      <w:r>
        <w:rPr>
          <w:rFonts w:eastAsia="Times New Roman" w:cs="Arial"/>
          <w:color w:val="000000"/>
          <w:szCs w:val="20"/>
          <w:lang w:eastAsia="cs-CZ"/>
        </w:rPr>
        <w:t>stavby (provedení)</w:t>
      </w:r>
      <w:r w:rsidRPr="00AE279B">
        <w:rPr>
          <w:rFonts w:eastAsia="Times New Roman" w:cs="Arial"/>
          <w:color w:val="000000"/>
          <w:szCs w:val="20"/>
          <w:lang w:eastAsia="cs-CZ"/>
        </w:rPr>
        <w:t xml:space="preserve"> tribuny montážní technologií. Nikoli každá tribuna je tribunou montovanou</w:t>
      </w:r>
      <w:r w:rsidR="00461D38">
        <w:rPr>
          <w:rFonts w:eastAsia="Times New Roman" w:cs="Arial"/>
          <w:color w:val="000000"/>
          <w:szCs w:val="20"/>
          <w:lang w:eastAsia="cs-CZ"/>
        </w:rPr>
        <w:t>.</w:t>
      </w:r>
      <w:r w:rsidRPr="00AE279B">
        <w:rPr>
          <w:rFonts w:eastAsia="Times New Roman" w:cs="Arial"/>
          <w:color w:val="000000"/>
          <w:szCs w:val="20"/>
          <w:lang w:eastAsia="cs-CZ"/>
        </w:rPr>
        <w:t xml:space="preserve"> </w:t>
      </w:r>
    </w:p>
    <w:p w:rsidR="00AE279B" w:rsidRPr="00AE279B" w:rsidRDefault="00AE279B" w:rsidP="00AE279B">
      <w:pPr>
        <w:spacing w:line="270" w:lineRule="atLeast"/>
        <w:rPr>
          <w:rFonts w:eastAsia="Times New Roman" w:cs="Arial"/>
          <w:color w:val="000000"/>
          <w:szCs w:val="20"/>
          <w:lang w:eastAsia="cs-CZ"/>
        </w:rPr>
      </w:pPr>
    </w:p>
    <w:p w:rsidR="00EC7B9D" w:rsidRDefault="00AE279B" w:rsidP="00AE279B">
      <w:pPr>
        <w:spacing w:after="240" w:line="240" w:lineRule="auto"/>
        <w:rPr>
          <w:rFonts w:cs="Arial"/>
          <w:szCs w:val="20"/>
        </w:rPr>
      </w:pPr>
      <w:r w:rsidRPr="00AE279B">
        <w:rPr>
          <w:rFonts w:cs="Arial"/>
          <w:szCs w:val="20"/>
        </w:rPr>
        <w:t>Montované tribuny jsou stavbou vzniklou montážní technologií, jako takové podléhají pravidlům stavebního zákona pro umisťování a povolování staveb.</w:t>
      </w:r>
    </w:p>
    <w:p w:rsidR="00AE279B" w:rsidRPr="00AE279B" w:rsidRDefault="00AE279B" w:rsidP="00AE279B">
      <w:pPr>
        <w:spacing w:after="240" w:line="240" w:lineRule="auto"/>
        <w:rPr>
          <w:rFonts w:cs="Arial"/>
          <w:szCs w:val="20"/>
        </w:rPr>
      </w:pPr>
      <w:r w:rsidRPr="00AE279B">
        <w:rPr>
          <w:rFonts w:cs="Arial"/>
          <w:szCs w:val="20"/>
        </w:rPr>
        <w:t xml:space="preserve"> </w:t>
      </w:r>
    </w:p>
    <w:p w:rsidR="00AE279B" w:rsidRDefault="00EC7B9D" w:rsidP="00AE279B">
      <w:pPr>
        <w:spacing w:line="270" w:lineRule="atLeast"/>
        <w:rPr>
          <w:rFonts w:eastAsia="Times New Roman" w:cs="Arial"/>
          <w:color w:val="000000"/>
          <w:szCs w:val="20"/>
          <w:lang w:eastAsia="cs-CZ"/>
        </w:rPr>
      </w:pPr>
      <w:r>
        <w:rPr>
          <w:rFonts w:eastAsia="Times New Roman" w:cs="Arial"/>
          <w:color w:val="000000"/>
          <w:szCs w:val="20"/>
          <w:lang w:eastAsia="cs-CZ"/>
        </w:rPr>
        <w:t>----------------------------------------------</w:t>
      </w:r>
    </w:p>
    <w:p w:rsidR="00EC7B9D" w:rsidRPr="00525164" w:rsidRDefault="00EC7B9D" w:rsidP="00EC7B9D">
      <w:pPr>
        <w:spacing w:line="270" w:lineRule="atLeast"/>
        <w:rPr>
          <w:rFonts w:eastAsia="Times New Roman" w:cs="Arial"/>
          <w:color w:val="000000"/>
          <w:sz w:val="16"/>
          <w:szCs w:val="16"/>
          <w:lang w:eastAsia="cs-CZ"/>
        </w:rPr>
      </w:pPr>
      <w:r w:rsidRPr="00525164">
        <w:rPr>
          <w:rStyle w:val="Znakapoznpodarou"/>
          <w:sz w:val="16"/>
          <w:szCs w:val="16"/>
        </w:rPr>
        <w:footnoteRef/>
      </w:r>
      <w:r w:rsidRPr="00525164">
        <w:rPr>
          <w:sz w:val="16"/>
          <w:szCs w:val="16"/>
        </w:rPr>
        <w:t xml:space="preserve"> SYROVÝ, Bohuslav. </w:t>
      </w:r>
      <w:r w:rsidRPr="00525164">
        <w:rPr>
          <w:i/>
          <w:iCs/>
          <w:sz w:val="16"/>
          <w:szCs w:val="16"/>
        </w:rPr>
        <w:t>Architektura: naučný slovník</w:t>
      </w:r>
      <w:r w:rsidRPr="00525164">
        <w:rPr>
          <w:sz w:val="16"/>
          <w:szCs w:val="16"/>
        </w:rPr>
        <w:t>. Vyd. 1. Praha: Státní nakladatelství technické literatury, 1961. 238 s</w:t>
      </w:r>
    </w:p>
    <w:p w:rsidR="00EC7B9D" w:rsidRDefault="00EC7B9D" w:rsidP="00AE279B">
      <w:pPr>
        <w:spacing w:line="270" w:lineRule="atLeast"/>
        <w:rPr>
          <w:rFonts w:eastAsia="Times New Roman" w:cs="Arial"/>
          <w:color w:val="000000"/>
          <w:szCs w:val="20"/>
          <w:lang w:eastAsia="cs-CZ"/>
        </w:rPr>
      </w:pPr>
    </w:p>
    <w:p w:rsidR="00EC7B9D" w:rsidRDefault="00EC7B9D" w:rsidP="00AE279B">
      <w:pPr>
        <w:spacing w:line="270" w:lineRule="atLeast"/>
        <w:rPr>
          <w:rFonts w:eastAsia="Times New Roman" w:cs="Arial"/>
          <w:color w:val="000000"/>
          <w:szCs w:val="20"/>
          <w:lang w:eastAsia="cs-CZ"/>
        </w:rPr>
      </w:pPr>
    </w:p>
    <w:p w:rsidR="00EC7B9D" w:rsidRDefault="00EC7B9D" w:rsidP="00AE279B">
      <w:pPr>
        <w:spacing w:line="270" w:lineRule="atLeast"/>
        <w:rPr>
          <w:rFonts w:eastAsia="Times New Roman" w:cs="Arial"/>
          <w:color w:val="000000"/>
          <w:szCs w:val="20"/>
          <w:lang w:eastAsia="cs-CZ"/>
        </w:rPr>
      </w:pPr>
    </w:p>
    <w:p w:rsidR="00EC7B9D" w:rsidRPr="00AE279B" w:rsidRDefault="00EC7B9D" w:rsidP="00AE279B">
      <w:pPr>
        <w:spacing w:line="270" w:lineRule="atLeast"/>
        <w:rPr>
          <w:rFonts w:eastAsia="Times New Roman" w:cs="Arial"/>
          <w:color w:val="000000"/>
          <w:szCs w:val="20"/>
          <w:lang w:eastAsia="cs-CZ"/>
        </w:rPr>
      </w:pPr>
    </w:p>
    <w:p w:rsidR="00AE279B" w:rsidRPr="00AE279B" w:rsidRDefault="00AE279B" w:rsidP="00AE279B">
      <w:pPr>
        <w:spacing w:line="270" w:lineRule="atLeast"/>
        <w:rPr>
          <w:rFonts w:eastAsia="Times New Roman" w:cs="Arial"/>
          <w:color w:val="000000"/>
          <w:szCs w:val="20"/>
          <w:lang w:eastAsia="cs-CZ"/>
        </w:rPr>
      </w:pPr>
      <w:r w:rsidRPr="00AE279B">
        <w:rPr>
          <w:rFonts w:eastAsia="Times New Roman" w:cs="Arial"/>
          <w:color w:val="000000"/>
          <w:szCs w:val="20"/>
          <w:lang w:eastAsia="cs-CZ"/>
        </w:rPr>
        <w:t xml:space="preserve">Ilustrační obrázky montovaných tribun: </w:t>
      </w:r>
    </w:p>
    <w:p w:rsidR="00AE279B" w:rsidRPr="00AE279B" w:rsidRDefault="00AE279B" w:rsidP="00AE279B">
      <w:pPr>
        <w:spacing w:line="270" w:lineRule="atLeast"/>
        <w:rPr>
          <w:rFonts w:eastAsia="Times New Roman" w:cs="Arial"/>
          <w:color w:val="000000"/>
          <w:szCs w:val="20"/>
          <w:lang w:eastAsia="cs-CZ"/>
        </w:rPr>
      </w:pPr>
    </w:p>
    <w:p w:rsidR="00AE279B" w:rsidRDefault="00AE279B" w:rsidP="00AE279B">
      <w:pPr>
        <w:spacing w:line="270" w:lineRule="atLeast"/>
        <w:rPr>
          <w:rFonts w:ascii="Verdana" w:eastAsia="Times New Roman" w:hAnsi="Verdana" w:cs="Arial"/>
          <w:color w:val="000000"/>
          <w:szCs w:val="20"/>
          <w:lang w:eastAsia="cs-CZ"/>
        </w:rPr>
      </w:pPr>
      <w:r>
        <w:rPr>
          <w:rFonts w:ascii="Verdana" w:eastAsia="Times New Roman" w:hAnsi="Verdana" w:cs="Arial"/>
          <w:noProof/>
          <w:color w:val="000000"/>
          <w:szCs w:val="20"/>
          <w:lang w:eastAsia="cs-CZ"/>
        </w:rPr>
        <w:drawing>
          <wp:inline distT="0" distB="0" distL="0" distR="0">
            <wp:extent cx="5400675" cy="2905424"/>
            <wp:effectExtent l="0" t="0" r="0" b="9525"/>
            <wp:docPr id="10" name="Obrázek 10" descr="C:\Users\framar2\Pictures\tribuna1-20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ramar2\Pictures\tribuna1-2009-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905424"/>
                    </a:xfrm>
                    <a:prstGeom prst="rect">
                      <a:avLst/>
                    </a:prstGeom>
                    <a:noFill/>
                    <a:ln>
                      <a:noFill/>
                    </a:ln>
                  </pic:spPr>
                </pic:pic>
              </a:graphicData>
            </a:graphic>
          </wp:inline>
        </w:drawing>
      </w:r>
    </w:p>
    <w:p w:rsidR="00AE279B" w:rsidRDefault="00AE279B" w:rsidP="00AE279B">
      <w:pPr>
        <w:spacing w:line="270" w:lineRule="atLeast"/>
        <w:rPr>
          <w:rFonts w:ascii="Verdana" w:eastAsia="Times New Roman" w:hAnsi="Verdana" w:cs="Arial"/>
          <w:color w:val="000000"/>
          <w:szCs w:val="20"/>
          <w:lang w:eastAsia="cs-CZ"/>
        </w:rPr>
      </w:pPr>
    </w:p>
    <w:p w:rsidR="00AE279B" w:rsidRDefault="00D63B6A" w:rsidP="00AE279B">
      <w:pPr>
        <w:spacing w:line="270" w:lineRule="atLeast"/>
        <w:rPr>
          <w:rFonts w:ascii="Verdana" w:eastAsia="Times New Roman" w:hAnsi="Verdana" w:cs="Arial"/>
          <w:color w:val="000000"/>
          <w:szCs w:val="20"/>
          <w:lang w:eastAsia="cs-CZ"/>
        </w:rPr>
      </w:pPr>
      <w:r>
        <w:rPr>
          <w:rFonts w:ascii="Verdana" w:eastAsia="Times New Roman" w:hAnsi="Verdana" w:cs="Arial"/>
          <w:noProof/>
          <w:color w:val="000000"/>
          <w:szCs w:val="20"/>
          <w:lang w:eastAsia="cs-CZ"/>
        </w:rPr>
        <w:lastRenderedPageBreak/>
        <w:drawing>
          <wp:inline distT="0" distB="0" distL="0" distR="0" wp14:anchorId="637F9A31" wp14:editId="314B3F24">
            <wp:extent cx="5210354" cy="3905884"/>
            <wp:effectExtent l="0" t="0" r="0" b="0"/>
            <wp:docPr id="6" name="Obrázek 6" descr="http://www.rsspraha.cz/images/phocagallery/galerie/thumbs/phoca_thumb_l_athen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descr="http://www.rsspraha.cz/images/phocagallery/galerie/thumbs/phoca_thumb_l_atheny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587" cy="3906059"/>
                    </a:xfrm>
                    <a:prstGeom prst="rect">
                      <a:avLst/>
                    </a:prstGeom>
                    <a:noFill/>
                    <a:ln>
                      <a:noFill/>
                    </a:ln>
                  </pic:spPr>
                </pic:pic>
              </a:graphicData>
            </a:graphic>
          </wp:inline>
        </w:drawing>
      </w:r>
    </w:p>
    <w:p w:rsidR="00AE279B" w:rsidRDefault="00AE279B" w:rsidP="00AE279B">
      <w:pPr>
        <w:spacing w:line="270" w:lineRule="atLeast"/>
        <w:jc w:val="center"/>
        <w:rPr>
          <w:rFonts w:ascii="Verdana" w:eastAsia="Times New Roman" w:hAnsi="Verdana" w:cs="Arial"/>
          <w:color w:val="000000"/>
          <w:szCs w:val="20"/>
          <w:lang w:eastAsia="cs-CZ"/>
        </w:rPr>
      </w:pPr>
    </w:p>
    <w:p w:rsidR="00AE279B" w:rsidRDefault="00D63B6A" w:rsidP="00D63B6A">
      <w:pPr>
        <w:spacing w:line="270" w:lineRule="atLeast"/>
        <w:ind w:left="-867" w:firstLine="867"/>
        <w:rPr>
          <w:rFonts w:ascii="Verdana" w:eastAsia="Times New Roman" w:hAnsi="Verdana" w:cs="Arial"/>
          <w:vanish/>
          <w:color w:val="000000"/>
          <w:szCs w:val="20"/>
          <w:lang w:eastAsia="cs-CZ"/>
        </w:rPr>
      </w:pPr>
      <w:r>
        <w:rPr>
          <w:rFonts w:ascii="Verdana" w:eastAsia="Times New Roman" w:hAnsi="Verdana" w:cs="Arial"/>
          <w:noProof/>
          <w:color w:val="000000"/>
          <w:szCs w:val="20"/>
          <w:lang w:eastAsia="cs-CZ"/>
        </w:rPr>
        <w:drawing>
          <wp:inline distT="0" distB="0" distL="0" distR="0" wp14:anchorId="5F0A5286" wp14:editId="2A0CD658">
            <wp:extent cx="5236210" cy="3924935"/>
            <wp:effectExtent l="0" t="0" r="2540" b="0"/>
            <wp:docPr id="4" name="Obrázek 4" descr="http://www.rsspraha.cz/images/phocagallery/galerie/thumbs/phoca_thumb_l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descr="http://www.rsspraha.cz/images/phocagallery/galerie/thumbs/phoca_thumb_l_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210" cy="3924935"/>
                    </a:xfrm>
                    <a:prstGeom prst="rect">
                      <a:avLst/>
                    </a:prstGeom>
                    <a:noFill/>
                    <a:ln>
                      <a:noFill/>
                    </a:ln>
                  </pic:spPr>
                </pic:pic>
              </a:graphicData>
            </a:graphic>
          </wp:inline>
        </w:drawing>
      </w:r>
      <w:hyperlink r:id="rId11" w:tooltip="Pause slideshow (spacebar)" w:history="1">
        <w:r w:rsidR="00AE279B">
          <w:rPr>
            <w:rStyle w:val="Hypertextovodkaz"/>
            <w:rFonts w:ascii="Verdana" w:eastAsia="Times New Roman" w:hAnsi="Verdana" w:cs="Arial"/>
            <w:vanish/>
            <w:color w:val="005A80"/>
            <w:szCs w:val="20"/>
            <w:bdr w:val="none" w:sz="0" w:space="0" w:color="auto" w:frame="1"/>
            <w:lang w:eastAsia="cs-CZ"/>
          </w:rPr>
          <w:t>Pause</w:t>
        </w:r>
      </w:hyperlink>
    </w:p>
    <w:p w:rsidR="00AE279B" w:rsidRDefault="00AE279B" w:rsidP="00AE279B">
      <w:pPr>
        <w:spacing w:line="270" w:lineRule="atLeast"/>
        <w:jc w:val="center"/>
        <w:rPr>
          <w:rFonts w:ascii="Verdana" w:eastAsia="Times New Roman" w:hAnsi="Verdana" w:cs="Arial"/>
          <w:color w:val="000000"/>
          <w:szCs w:val="20"/>
          <w:lang w:eastAsia="cs-CZ"/>
        </w:rPr>
      </w:pPr>
    </w:p>
    <w:p w:rsidR="00AE279B" w:rsidRDefault="00AE279B" w:rsidP="00AE279B">
      <w:pPr>
        <w:spacing w:line="270" w:lineRule="atLeast"/>
        <w:jc w:val="center"/>
        <w:rPr>
          <w:rFonts w:ascii="Verdana" w:eastAsia="Times New Roman" w:hAnsi="Verdana" w:cs="Arial"/>
          <w:color w:val="000000"/>
          <w:szCs w:val="20"/>
          <w:lang w:eastAsia="cs-CZ"/>
        </w:rPr>
      </w:pPr>
    </w:p>
    <w:p w:rsidR="00AE279B" w:rsidRDefault="006913D4" w:rsidP="00AE279B">
      <w:pPr>
        <w:spacing w:line="270" w:lineRule="atLeast"/>
        <w:ind w:left="-1575"/>
        <w:rPr>
          <w:rFonts w:ascii="Verdana" w:eastAsia="Times New Roman" w:hAnsi="Verdana" w:cs="Arial"/>
          <w:color w:val="000000"/>
          <w:szCs w:val="20"/>
          <w:lang w:eastAsia="cs-CZ"/>
        </w:rPr>
      </w:pPr>
      <w:hyperlink r:id="rId12" w:tooltip="Previous (arrow left)" w:history="1">
        <w:r w:rsidR="00AE279B">
          <w:rPr>
            <w:rStyle w:val="Hypertextovodkaz"/>
            <w:rFonts w:ascii="Verdana" w:eastAsia="Times New Roman" w:hAnsi="Verdana" w:cs="Arial"/>
            <w:vanish/>
            <w:color w:val="005A80"/>
            <w:szCs w:val="20"/>
            <w:bdr w:val="none" w:sz="0" w:space="0" w:color="auto" w:frame="1"/>
            <w:lang w:eastAsia="cs-CZ"/>
          </w:rPr>
          <w:t>Previous</w:t>
        </w:r>
      </w:hyperlink>
    </w:p>
    <w:p w:rsidR="00AE279B" w:rsidRDefault="006913D4" w:rsidP="00AE279B">
      <w:pPr>
        <w:numPr>
          <w:ilvl w:val="0"/>
          <w:numId w:val="17"/>
        </w:numPr>
        <w:spacing w:line="270" w:lineRule="atLeast"/>
        <w:ind w:left="-1575"/>
        <w:jc w:val="center"/>
        <w:rPr>
          <w:rFonts w:ascii="Verdana" w:eastAsia="Times New Roman" w:hAnsi="Verdana" w:cs="Arial"/>
          <w:vanish/>
          <w:color w:val="000000"/>
          <w:szCs w:val="20"/>
          <w:lang w:eastAsia="cs-CZ"/>
        </w:rPr>
      </w:pPr>
      <w:hyperlink r:id="rId13" w:tooltip="Pause slideshow (spacebar)" w:history="1">
        <w:r w:rsidR="00AE279B">
          <w:rPr>
            <w:rStyle w:val="Hypertextovodkaz"/>
            <w:rFonts w:ascii="Verdana" w:eastAsia="Times New Roman" w:hAnsi="Verdana" w:cs="Arial"/>
            <w:vanish/>
            <w:color w:val="005A80"/>
            <w:szCs w:val="20"/>
            <w:bdr w:val="none" w:sz="0" w:space="0" w:color="auto" w:frame="1"/>
            <w:lang w:eastAsia="cs-CZ"/>
          </w:rPr>
          <w:t>Pause</w:t>
        </w:r>
      </w:hyperlink>
    </w:p>
    <w:p w:rsidR="00AE279B" w:rsidRDefault="00AE279B" w:rsidP="00AE279B">
      <w:pPr>
        <w:spacing w:line="270" w:lineRule="atLeast"/>
        <w:jc w:val="center"/>
        <w:rPr>
          <w:rFonts w:ascii="Verdana" w:eastAsia="Times New Roman" w:hAnsi="Verdana" w:cs="Arial"/>
          <w:color w:val="000000"/>
          <w:szCs w:val="20"/>
          <w:lang w:eastAsia="cs-CZ"/>
        </w:rPr>
      </w:pPr>
    </w:p>
    <w:tbl>
      <w:tblPr>
        <w:tblW w:w="5000" w:type="pct"/>
        <w:jc w:val="center"/>
        <w:tblCellMar>
          <w:left w:w="0" w:type="dxa"/>
          <w:right w:w="0" w:type="dxa"/>
        </w:tblCellMar>
        <w:tblLook w:val="04A0" w:firstRow="1" w:lastRow="0" w:firstColumn="1" w:lastColumn="0" w:noHBand="0" w:noVBand="1"/>
      </w:tblPr>
      <w:tblGrid>
        <w:gridCol w:w="8499"/>
        <w:gridCol w:w="6"/>
      </w:tblGrid>
      <w:tr w:rsidR="00AE279B" w:rsidTr="00525164">
        <w:trPr>
          <w:trHeight w:val="300"/>
          <w:jc w:val="center"/>
        </w:trPr>
        <w:tc>
          <w:tcPr>
            <w:tcW w:w="8499" w:type="dxa"/>
          </w:tcPr>
          <w:p w:rsidR="00AE279B" w:rsidRDefault="00AE279B">
            <w:pPr>
              <w:spacing w:after="200" w:line="276" w:lineRule="auto"/>
              <w:rPr>
                <w:sz w:val="22"/>
              </w:rPr>
            </w:pPr>
            <w:r>
              <w:rPr>
                <w:rFonts w:ascii="Verdana" w:eastAsia="Times New Roman" w:hAnsi="Verdana" w:cs="Arial"/>
                <w:noProof/>
                <w:color w:val="000000"/>
                <w:szCs w:val="20"/>
                <w:lang w:eastAsia="cs-CZ"/>
              </w:rPr>
              <w:lastRenderedPageBreak/>
              <w:drawing>
                <wp:inline distT="0" distB="0" distL="0" distR="0" wp14:anchorId="230730D7" wp14:editId="65E96F23">
                  <wp:extent cx="5270740" cy="3427819"/>
                  <wp:effectExtent l="0" t="0" r="6350" b="1270"/>
                  <wp:docPr id="2" name="Obrázek 2" descr="http://www.rsspraha.cz/images/phocagallery/galerie/thumbs/phoca_thumb_l_f12%20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http://www.rsspraha.cz/images/phocagallery/galerie/thumbs/phoca_thumb_l_f12%202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043" cy="3429967"/>
                          </a:xfrm>
                          <a:prstGeom prst="rect">
                            <a:avLst/>
                          </a:prstGeom>
                          <a:noFill/>
                          <a:ln>
                            <a:noFill/>
                          </a:ln>
                        </pic:spPr>
                      </pic:pic>
                    </a:graphicData>
                  </a:graphic>
                </wp:inline>
              </w:drawing>
            </w:r>
          </w:p>
        </w:tc>
        <w:tc>
          <w:tcPr>
            <w:tcW w:w="6" w:type="dxa"/>
          </w:tcPr>
          <w:p w:rsidR="00AE279B" w:rsidRDefault="00AE279B">
            <w:pPr>
              <w:spacing w:after="200" w:line="276" w:lineRule="auto"/>
              <w:rPr>
                <w:sz w:val="22"/>
              </w:rPr>
            </w:pPr>
          </w:p>
        </w:tc>
      </w:tr>
    </w:tbl>
    <w:p w:rsidR="00AE279B" w:rsidRDefault="00525164" w:rsidP="00461A37">
      <w:pPr>
        <w:spacing w:line="270" w:lineRule="atLeast"/>
        <w:rPr>
          <w:rFonts w:ascii="Verdana" w:eastAsia="Times New Roman" w:hAnsi="Verdana" w:cs="Arial"/>
          <w:color w:val="000000"/>
          <w:szCs w:val="20"/>
          <w:lang w:eastAsia="cs-CZ"/>
        </w:rPr>
      </w:pPr>
      <w:r>
        <w:rPr>
          <w:rFonts w:ascii="Verdana" w:eastAsia="Times New Roman" w:hAnsi="Verdana" w:cs="Arial"/>
          <w:noProof/>
          <w:color w:val="000000"/>
          <w:szCs w:val="20"/>
          <w:lang w:eastAsia="cs-CZ"/>
        </w:rPr>
        <w:drawing>
          <wp:inline distT="0" distB="0" distL="0" distR="0" wp14:anchorId="7A36C0F5" wp14:editId="2195605C">
            <wp:extent cx="5270740" cy="3641005"/>
            <wp:effectExtent l="0" t="0" r="6350" b="0"/>
            <wp:docPr id="1" name="Obrázek 1" descr="http://www.rsspraha.cz/images/phocagallery/galerie/thumbs/phoca_thumb_l_athe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www.rsspraha.cz/images/phocagallery/galerie/thumbs/phoca_thumb_l_atheny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861" cy="3641088"/>
                    </a:xfrm>
                    <a:prstGeom prst="rect">
                      <a:avLst/>
                    </a:prstGeom>
                    <a:noFill/>
                    <a:ln>
                      <a:noFill/>
                    </a:ln>
                  </pic:spPr>
                </pic:pic>
              </a:graphicData>
            </a:graphic>
          </wp:inline>
        </w:drawing>
      </w:r>
    </w:p>
    <w:p w:rsidR="00461A37" w:rsidRDefault="00461A37" w:rsidP="00461A37">
      <w:pPr>
        <w:spacing w:line="270" w:lineRule="atLeast"/>
        <w:rPr>
          <w:rFonts w:ascii="Verdana" w:eastAsia="Times New Roman" w:hAnsi="Verdana" w:cs="Arial"/>
          <w:color w:val="000000"/>
          <w:szCs w:val="20"/>
          <w:lang w:eastAsia="cs-CZ"/>
        </w:rPr>
      </w:pPr>
    </w:p>
    <w:p w:rsidR="00AE279B" w:rsidRDefault="006913D4" w:rsidP="00AE279B">
      <w:pPr>
        <w:numPr>
          <w:ilvl w:val="0"/>
          <w:numId w:val="18"/>
        </w:numPr>
        <w:spacing w:line="270" w:lineRule="atLeast"/>
        <w:ind w:left="-1575"/>
        <w:jc w:val="center"/>
        <w:rPr>
          <w:rFonts w:ascii="Verdana" w:eastAsia="Times New Roman" w:hAnsi="Verdana" w:cs="Arial"/>
          <w:vanish/>
          <w:color w:val="000000"/>
          <w:szCs w:val="20"/>
          <w:lang w:eastAsia="cs-CZ"/>
        </w:rPr>
      </w:pPr>
      <w:hyperlink r:id="rId16" w:tooltip="Pause slideshow (spacebar)" w:history="1">
        <w:r w:rsidR="00AE279B">
          <w:rPr>
            <w:rStyle w:val="Hypertextovodkaz"/>
            <w:rFonts w:ascii="Verdana" w:eastAsia="Times New Roman" w:hAnsi="Verdana" w:cs="Arial"/>
            <w:vanish/>
            <w:color w:val="005A80"/>
            <w:szCs w:val="20"/>
            <w:bdr w:val="none" w:sz="0" w:space="0" w:color="auto" w:frame="1"/>
            <w:lang w:eastAsia="cs-CZ"/>
          </w:rPr>
          <w:t>Pause</w:t>
        </w:r>
      </w:hyperlink>
    </w:p>
    <w:p w:rsidR="00AE279B" w:rsidRDefault="006913D4" w:rsidP="00AE279B">
      <w:pPr>
        <w:numPr>
          <w:ilvl w:val="0"/>
          <w:numId w:val="19"/>
        </w:numPr>
        <w:spacing w:line="270" w:lineRule="atLeast"/>
        <w:ind w:left="-1575"/>
        <w:jc w:val="center"/>
        <w:rPr>
          <w:rFonts w:ascii="Verdana" w:eastAsia="Times New Roman" w:hAnsi="Verdana" w:cs="Arial"/>
          <w:vanish/>
          <w:color w:val="000000"/>
          <w:szCs w:val="20"/>
          <w:lang w:eastAsia="cs-CZ"/>
        </w:rPr>
      </w:pPr>
      <w:hyperlink r:id="rId17" w:tooltip="Pause slideshow (spacebar)" w:history="1">
        <w:r w:rsidR="00AE279B">
          <w:rPr>
            <w:rStyle w:val="Hypertextovodkaz"/>
            <w:rFonts w:ascii="Verdana" w:eastAsia="Times New Roman" w:hAnsi="Verdana" w:cs="Arial"/>
            <w:vanish/>
            <w:color w:val="005A80"/>
            <w:szCs w:val="20"/>
            <w:bdr w:val="none" w:sz="0" w:space="0" w:color="auto" w:frame="1"/>
            <w:lang w:eastAsia="cs-CZ"/>
          </w:rPr>
          <w:t>Pause</w:t>
        </w:r>
      </w:hyperlink>
    </w:p>
    <w:tbl>
      <w:tblPr>
        <w:tblW w:w="5000" w:type="pct"/>
        <w:jc w:val="center"/>
        <w:tblCellMar>
          <w:left w:w="0" w:type="dxa"/>
          <w:right w:w="0" w:type="dxa"/>
        </w:tblCellMar>
        <w:tblLook w:val="04A0" w:firstRow="1" w:lastRow="0" w:firstColumn="1" w:lastColumn="0" w:noHBand="0" w:noVBand="1"/>
      </w:tblPr>
      <w:tblGrid>
        <w:gridCol w:w="4252"/>
        <w:gridCol w:w="4253"/>
      </w:tblGrid>
      <w:tr w:rsidR="00AE279B" w:rsidTr="00AE279B">
        <w:trPr>
          <w:trHeight w:val="300"/>
          <w:jc w:val="center"/>
        </w:trPr>
        <w:tc>
          <w:tcPr>
            <w:tcW w:w="4252" w:type="dxa"/>
            <w:hideMark/>
          </w:tcPr>
          <w:p w:rsidR="00AE279B" w:rsidRDefault="00AE279B">
            <w:pPr>
              <w:spacing w:after="200" w:line="276" w:lineRule="auto"/>
              <w:rPr>
                <w:sz w:val="22"/>
              </w:rPr>
            </w:pPr>
          </w:p>
        </w:tc>
        <w:tc>
          <w:tcPr>
            <w:tcW w:w="4253" w:type="dxa"/>
            <w:hideMark/>
          </w:tcPr>
          <w:p w:rsidR="00AE279B" w:rsidRDefault="00AE279B">
            <w:pPr>
              <w:spacing w:after="200" w:line="276" w:lineRule="auto"/>
              <w:rPr>
                <w:sz w:val="22"/>
              </w:rPr>
            </w:pPr>
          </w:p>
        </w:tc>
      </w:tr>
    </w:tbl>
    <w:p w:rsidR="00AE279B" w:rsidRDefault="00AE279B" w:rsidP="00AE279B">
      <w:pPr>
        <w:spacing w:line="270" w:lineRule="atLeast"/>
        <w:jc w:val="center"/>
        <w:rPr>
          <w:rFonts w:ascii="Verdana" w:eastAsia="Times New Roman" w:hAnsi="Verdana" w:cs="Arial"/>
          <w:color w:val="000000"/>
          <w:szCs w:val="20"/>
          <w:lang w:eastAsia="cs-CZ"/>
        </w:rPr>
      </w:pPr>
    </w:p>
    <w:tbl>
      <w:tblPr>
        <w:tblW w:w="5000" w:type="pct"/>
        <w:jc w:val="center"/>
        <w:tblCellMar>
          <w:left w:w="0" w:type="dxa"/>
          <w:right w:w="0" w:type="dxa"/>
        </w:tblCellMar>
        <w:tblLook w:val="04A0" w:firstRow="1" w:lastRow="0" w:firstColumn="1" w:lastColumn="0" w:noHBand="0" w:noVBand="1"/>
      </w:tblPr>
      <w:tblGrid>
        <w:gridCol w:w="6"/>
        <w:gridCol w:w="8493"/>
        <w:gridCol w:w="6"/>
      </w:tblGrid>
      <w:tr w:rsidR="00AE279B" w:rsidTr="00AE279B">
        <w:trPr>
          <w:trHeight w:val="300"/>
          <w:jc w:val="center"/>
        </w:trPr>
        <w:tc>
          <w:tcPr>
            <w:tcW w:w="5" w:type="dxa"/>
            <w:hideMark/>
          </w:tcPr>
          <w:p w:rsidR="00AE279B" w:rsidRDefault="00AE279B">
            <w:pPr>
              <w:spacing w:after="200" w:line="276" w:lineRule="auto"/>
              <w:rPr>
                <w:sz w:val="22"/>
              </w:rPr>
            </w:pPr>
          </w:p>
        </w:tc>
        <w:tc>
          <w:tcPr>
            <w:tcW w:w="8494" w:type="dxa"/>
          </w:tcPr>
          <w:p w:rsidR="00AE279B" w:rsidRDefault="00AE279B">
            <w:pPr>
              <w:spacing w:line="0" w:lineRule="auto"/>
              <w:rPr>
                <w:rFonts w:eastAsia="Times New Roman" w:cs="Arial"/>
                <w:color w:val="000000"/>
                <w:sz w:val="2"/>
                <w:szCs w:val="2"/>
                <w:lang w:eastAsia="cs-CZ"/>
              </w:rPr>
            </w:pPr>
          </w:p>
        </w:tc>
        <w:tc>
          <w:tcPr>
            <w:tcW w:w="6" w:type="dxa"/>
            <w:hideMark/>
          </w:tcPr>
          <w:p w:rsidR="00AE279B" w:rsidRDefault="00AE279B">
            <w:pPr>
              <w:spacing w:line="276" w:lineRule="auto"/>
              <w:rPr>
                <w:sz w:val="22"/>
              </w:rPr>
            </w:pPr>
          </w:p>
        </w:tc>
      </w:tr>
      <w:tr w:rsidR="00AE279B" w:rsidTr="00AE279B">
        <w:trPr>
          <w:trHeight w:val="300"/>
          <w:jc w:val="center"/>
        </w:trPr>
        <w:tc>
          <w:tcPr>
            <w:tcW w:w="5" w:type="dxa"/>
            <w:hideMark/>
          </w:tcPr>
          <w:p w:rsidR="00AE279B" w:rsidRDefault="00AE279B">
            <w:pPr>
              <w:spacing w:line="276" w:lineRule="auto"/>
              <w:rPr>
                <w:sz w:val="22"/>
              </w:rPr>
            </w:pPr>
          </w:p>
        </w:tc>
        <w:tc>
          <w:tcPr>
            <w:tcW w:w="0" w:type="auto"/>
          </w:tcPr>
          <w:p w:rsidR="00AE279B" w:rsidRDefault="00AE279B">
            <w:pPr>
              <w:spacing w:line="270" w:lineRule="atLeast"/>
              <w:rPr>
                <w:rFonts w:eastAsia="Times New Roman" w:cs="Arial"/>
                <w:color w:val="000000"/>
                <w:sz w:val="18"/>
                <w:szCs w:val="18"/>
                <w:lang w:eastAsia="cs-CZ"/>
              </w:rPr>
            </w:pPr>
          </w:p>
        </w:tc>
        <w:tc>
          <w:tcPr>
            <w:tcW w:w="6" w:type="dxa"/>
            <w:hideMark/>
          </w:tcPr>
          <w:p w:rsidR="00AE279B" w:rsidRDefault="00AE279B">
            <w:pPr>
              <w:spacing w:line="276" w:lineRule="auto"/>
              <w:rPr>
                <w:sz w:val="22"/>
              </w:rPr>
            </w:pPr>
          </w:p>
        </w:tc>
      </w:tr>
      <w:tr w:rsidR="00AE279B" w:rsidTr="00AE279B">
        <w:trPr>
          <w:trHeight w:val="300"/>
          <w:jc w:val="center"/>
        </w:trPr>
        <w:tc>
          <w:tcPr>
            <w:tcW w:w="5" w:type="dxa"/>
            <w:hideMark/>
          </w:tcPr>
          <w:p w:rsidR="00AE279B" w:rsidRDefault="00AE279B">
            <w:pPr>
              <w:spacing w:line="276" w:lineRule="auto"/>
              <w:rPr>
                <w:sz w:val="22"/>
              </w:rPr>
            </w:pPr>
          </w:p>
        </w:tc>
        <w:tc>
          <w:tcPr>
            <w:tcW w:w="8494" w:type="dxa"/>
          </w:tcPr>
          <w:p w:rsidR="00AE279B" w:rsidRDefault="00AE279B">
            <w:pPr>
              <w:spacing w:line="0" w:lineRule="auto"/>
              <w:rPr>
                <w:rFonts w:eastAsia="Times New Roman" w:cs="Arial"/>
                <w:color w:val="000000"/>
                <w:sz w:val="2"/>
                <w:szCs w:val="2"/>
                <w:lang w:eastAsia="cs-CZ"/>
              </w:rPr>
            </w:pPr>
          </w:p>
        </w:tc>
        <w:tc>
          <w:tcPr>
            <w:tcW w:w="6" w:type="dxa"/>
            <w:hideMark/>
          </w:tcPr>
          <w:p w:rsidR="00AE279B" w:rsidRDefault="00AE279B">
            <w:pPr>
              <w:spacing w:line="276" w:lineRule="auto"/>
              <w:rPr>
                <w:sz w:val="22"/>
              </w:rPr>
            </w:pPr>
          </w:p>
        </w:tc>
      </w:tr>
    </w:tbl>
    <w:p w:rsidR="00AE279B" w:rsidRDefault="00AE279B" w:rsidP="00AE279B">
      <w:pPr>
        <w:spacing w:line="270" w:lineRule="atLeast"/>
        <w:rPr>
          <w:rFonts w:eastAsia="Times New Roman" w:cs="Arial"/>
          <w:vanish/>
          <w:color w:val="000000"/>
          <w:sz w:val="18"/>
          <w:szCs w:val="18"/>
          <w:lang w:eastAsia="cs-CZ"/>
        </w:rPr>
      </w:pPr>
      <w:r w:rsidRPr="00AE279B">
        <w:rPr>
          <w:rFonts w:cs="Arial"/>
          <w:szCs w:val="20"/>
        </w:rPr>
        <w:lastRenderedPageBreak/>
        <w:t>Montované tribuny jsou stavbou</w:t>
      </w:r>
      <w:r>
        <w:rPr>
          <w:rFonts w:cs="Arial"/>
          <w:szCs w:val="20"/>
        </w:rPr>
        <w:t xml:space="preserve"> a</w:t>
      </w:r>
      <w:r w:rsidRPr="00AE279B">
        <w:rPr>
          <w:rFonts w:cs="Arial"/>
          <w:szCs w:val="20"/>
        </w:rPr>
        <w:t xml:space="preserve"> jako takové podléhají pravidlům stavebního zákona pro </w:t>
      </w:r>
      <w:r>
        <w:rPr>
          <w:rFonts w:cs="Arial"/>
          <w:szCs w:val="20"/>
        </w:rPr>
        <w:t>u</w:t>
      </w:r>
      <w:r w:rsidRPr="00AE279B">
        <w:rPr>
          <w:rFonts w:cs="Arial"/>
          <w:szCs w:val="20"/>
        </w:rPr>
        <w:t>misťování a povolování staveb</w:t>
      </w:r>
      <w:r>
        <w:rPr>
          <w:rFonts w:cs="Arial"/>
          <w:szCs w:val="20"/>
        </w:rPr>
        <w:t xml:space="preserve">. </w:t>
      </w:r>
    </w:p>
    <w:p w:rsidR="00AE279B" w:rsidRDefault="00BA0DC0" w:rsidP="001E0BFB">
      <w:pPr>
        <w:spacing w:after="240" w:line="240" w:lineRule="auto"/>
      </w:pPr>
      <w:r>
        <w:t>V</w:t>
      </w:r>
      <w:r w:rsidR="00AE279B">
        <w:t xml:space="preserve"> konkrétním </w:t>
      </w:r>
      <w:r>
        <w:t>případě</w:t>
      </w:r>
      <w:r w:rsidR="00AE279B">
        <w:t xml:space="preserve"> </w:t>
      </w:r>
      <w:r>
        <w:t xml:space="preserve">je vždy nezbytné </w:t>
      </w:r>
      <w:r w:rsidR="00AE279B">
        <w:t xml:space="preserve">při umisťování a povolování montované tribuny </w:t>
      </w:r>
      <w:r>
        <w:t xml:space="preserve">případ posoudit s ohledem na konkrétní </w:t>
      </w:r>
      <w:r w:rsidR="004669E7">
        <w:t>okolnosti, zejména na tribunou zastavěnou plochu, výšku a kapacitu tribun.</w:t>
      </w:r>
    </w:p>
    <w:p w:rsidR="005C7B04" w:rsidRDefault="004669E7" w:rsidP="005C7B04">
      <w:pPr>
        <w:spacing w:after="240" w:line="240" w:lineRule="auto"/>
      </w:pPr>
      <w:r>
        <w:t>Základním pravidlem je umisťování a povolování staveb na základě územního a stavebního řízení</w:t>
      </w:r>
      <w:r w:rsidR="000E148E">
        <w:t>, resp. společného řízení</w:t>
      </w:r>
      <w:r>
        <w:t xml:space="preserve">. </w:t>
      </w:r>
      <w:r w:rsidR="00EC5585">
        <w:t xml:space="preserve">Stavební zákon připouští </w:t>
      </w:r>
      <w:r>
        <w:t xml:space="preserve">umisťování a povolování staveb na základě dalších institutů a postupů upravených stavebním zákonem (ohlášení, územní souhlas, </w:t>
      </w:r>
      <w:r w:rsidR="000E148E">
        <w:t xml:space="preserve">společný souhlas, </w:t>
      </w:r>
      <w:r>
        <w:t>veřejnoprávní smlouva</w:t>
      </w:r>
      <w:r w:rsidR="00B742F1">
        <w:t>, oznámení stavby s certifikátem autorizovaného inspektora, zjednodušené územní řízení)</w:t>
      </w:r>
      <w:r w:rsidR="00A14355">
        <w:t xml:space="preserve"> a dále umísťování stavebních záměrů bez územního rozhodnutí a územního souhlasu a povolování stavebních záměrů bez stavebního povolení a ohlášení. </w:t>
      </w:r>
      <w:r>
        <w:t xml:space="preserve">Ustanovení umožňující umístění resp. povolení stavby na základě </w:t>
      </w:r>
      <w:r w:rsidR="007A1A49">
        <w:t xml:space="preserve">odchylných </w:t>
      </w:r>
      <w:r w:rsidR="00B742F1">
        <w:t xml:space="preserve">zjednodušujících </w:t>
      </w:r>
      <w:r>
        <w:t xml:space="preserve">postupů </w:t>
      </w:r>
      <w:r w:rsidR="007A1A49">
        <w:t>nelze vykládat extenzívně a</w:t>
      </w:r>
      <w:r w:rsidR="0014450A">
        <w:t> </w:t>
      </w:r>
      <w:r w:rsidR="007A1A49">
        <w:t xml:space="preserve">je třeba vždy přihlédnout k jejich základnímu účelu. </w:t>
      </w:r>
      <w:r w:rsidR="00B742F1">
        <w:t>Pozornost zasluhují, zejména stavby a</w:t>
      </w:r>
      <w:r w:rsidR="0014450A">
        <w:t>  </w:t>
      </w:r>
      <w:r w:rsidR="00B742F1">
        <w:t>záměry, které lze umisťovat resp. stavět na základě územního souhlasu</w:t>
      </w:r>
      <w:r w:rsidR="005766F7">
        <w:t xml:space="preserve"> resp. ohlášení nebo</w:t>
      </w:r>
      <w:r w:rsidR="0014450A">
        <w:t> </w:t>
      </w:r>
      <w:r w:rsidR="005766F7">
        <w:t xml:space="preserve">nepodléhající žádné regulaci stavebního zákona. </w:t>
      </w:r>
    </w:p>
    <w:p w:rsidR="005766F7" w:rsidRDefault="005766F7" w:rsidP="005C7B04">
      <w:pPr>
        <w:spacing w:after="240" w:line="240" w:lineRule="auto"/>
      </w:pPr>
      <w:r>
        <w:t>Obecně je třeba při podřazení stavby/záměru pod některé z ustanovení umožňující „zjednodušující“ postup respektovat následující interpretační zásady:</w:t>
      </w:r>
    </w:p>
    <w:p w:rsidR="00C82EEF" w:rsidRDefault="005766F7" w:rsidP="00FD0194">
      <w:pPr>
        <w:pStyle w:val="Odstavecseseznamem"/>
        <w:numPr>
          <w:ilvl w:val="0"/>
          <w:numId w:val="5"/>
        </w:numPr>
        <w:spacing w:after="120" w:line="240" w:lineRule="auto"/>
        <w:ind w:left="714" w:hanging="357"/>
      </w:pPr>
      <w:r>
        <w:t xml:space="preserve">Zjednodušující postupy podle stavebního zákona </w:t>
      </w:r>
      <w:r w:rsidR="00CB479E" w:rsidRPr="00B742F1">
        <w:t>jsou výjimkami ze základního pravidla</w:t>
      </w:r>
      <w:r>
        <w:t xml:space="preserve">, proto nelze ustanovení stavebního zákona, která vymezují záměry podléhající zjednodušujícím postupům </w:t>
      </w:r>
      <w:r w:rsidR="00335D00" w:rsidRPr="00B742F1">
        <w:t>vykládat extenzivně</w:t>
      </w:r>
      <w:r w:rsidR="00335D00">
        <w:t xml:space="preserve">. Totéž platí v případě </w:t>
      </w:r>
      <w:r>
        <w:t>záměr</w:t>
      </w:r>
      <w:r w:rsidR="00EC5585">
        <w:t>ů</w:t>
      </w:r>
      <w:r w:rsidR="00335D00">
        <w:t xml:space="preserve"> nebo</w:t>
      </w:r>
      <w:r w:rsidR="0014450A">
        <w:t> </w:t>
      </w:r>
      <w:r w:rsidR="00335D00">
        <w:t>staveb</w:t>
      </w:r>
      <w:r>
        <w:t xml:space="preserve">, které nevyžadují </w:t>
      </w:r>
      <w:r w:rsidR="00A14355">
        <w:t xml:space="preserve">ani </w:t>
      </w:r>
      <w:r>
        <w:t>územní souhlas</w:t>
      </w:r>
      <w:r w:rsidR="00EC5585">
        <w:t>,</w:t>
      </w:r>
      <w:r>
        <w:t xml:space="preserve"> resp. ohlášení.</w:t>
      </w:r>
    </w:p>
    <w:p w:rsidR="005766F7" w:rsidRDefault="00335D00" w:rsidP="00FD0194">
      <w:pPr>
        <w:numPr>
          <w:ilvl w:val="0"/>
          <w:numId w:val="5"/>
        </w:numPr>
        <w:spacing w:after="120" w:line="240" w:lineRule="auto"/>
        <w:ind w:left="714" w:hanging="357"/>
      </w:pPr>
      <w:r>
        <w:t xml:space="preserve">Pří výkladu je </w:t>
      </w:r>
      <w:r w:rsidR="005766F7">
        <w:t>vždy n</w:t>
      </w:r>
      <w:r w:rsidR="0083313B">
        <w:t>utné</w:t>
      </w:r>
      <w:r w:rsidR="005766F7">
        <w:t xml:space="preserve"> </w:t>
      </w:r>
      <w:r w:rsidR="00CB479E" w:rsidRPr="00B742F1">
        <w:t>vycházet ze smyslu a účelu ustanovení</w:t>
      </w:r>
      <w:r>
        <w:t xml:space="preserve"> </w:t>
      </w:r>
      <w:r w:rsidR="0083313B">
        <w:t>umožňujícího pro</w:t>
      </w:r>
      <w:r w:rsidR="0014450A">
        <w:t> </w:t>
      </w:r>
      <w:r w:rsidR="0083313B">
        <w:t>určitý záměr „zjednodušující“ způsob umístění</w:t>
      </w:r>
      <w:r w:rsidR="00EC5585">
        <w:t>,</w:t>
      </w:r>
      <w:r w:rsidR="0083313B">
        <w:t xml:space="preserve"> resp. povolení. </w:t>
      </w:r>
      <w:r w:rsidR="00CB479E" w:rsidRPr="00B742F1">
        <w:t xml:space="preserve"> </w:t>
      </w:r>
    </w:p>
    <w:p w:rsidR="00C82EEF" w:rsidRPr="00B742F1" w:rsidRDefault="005766F7" w:rsidP="00FD0194">
      <w:pPr>
        <w:numPr>
          <w:ilvl w:val="0"/>
          <w:numId w:val="5"/>
        </w:numPr>
        <w:spacing w:after="240" w:line="240" w:lineRule="auto"/>
      </w:pPr>
      <w:r>
        <w:t xml:space="preserve">Vždy je třeba respektovat </w:t>
      </w:r>
      <w:r w:rsidR="00CB479E" w:rsidRPr="00B742F1">
        <w:t>kritérium veřejného zájmu, který má stavební zákon chránit</w:t>
      </w:r>
      <w:r>
        <w:t>, tedy zejména ochran</w:t>
      </w:r>
      <w:r w:rsidR="0083313B">
        <w:t>u</w:t>
      </w:r>
      <w:r>
        <w:t xml:space="preserve"> zdraví, života, majetku, životního prostředí a bezpečnosti při umisťování a povolování staveb.</w:t>
      </w:r>
    </w:p>
    <w:p w:rsidR="00FD0194" w:rsidRDefault="00FD0194" w:rsidP="00FA6C4C">
      <w:pPr>
        <w:spacing w:line="276" w:lineRule="auto"/>
        <w:ind w:firstLine="708"/>
      </w:pPr>
    </w:p>
    <w:p w:rsidR="00C726D4" w:rsidRDefault="005C7B04" w:rsidP="00FD0194">
      <w:pPr>
        <w:spacing w:after="120" w:line="240" w:lineRule="auto"/>
        <w:rPr>
          <w:b/>
          <w:u w:val="single"/>
        </w:rPr>
      </w:pPr>
      <w:r>
        <w:rPr>
          <w:b/>
          <w:u w:val="single"/>
        </w:rPr>
        <w:t>U</w:t>
      </w:r>
      <w:r w:rsidR="00335D00" w:rsidRPr="00FD0194">
        <w:rPr>
          <w:b/>
          <w:u w:val="single"/>
        </w:rPr>
        <w:t>misťování montovaných tribun</w:t>
      </w:r>
      <w:r w:rsidR="0004326D" w:rsidRPr="00FD0194">
        <w:rPr>
          <w:b/>
          <w:u w:val="single"/>
        </w:rPr>
        <w:t xml:space="preserve"> </w:t>
      </w:r>
    </w:p>
    <w:p w:rsidR="00335D00" w:rsidRPr="00C45360" w:rsidRDefault="00FD0194" w:rsidP="00FD0194">
      <w:pPr>
        <w:spacing w:after="120" w:line="240" w:lineRule="auto"/>
        <w:rPr>
          <w:u w:val="single"/>
        </w:rPr>
      </w:pPr>
      <w:r>
        <w:rPr>
          <w:u w:val="single"/>
        </w:rPr>
        <w:t xml:space="preserve">A. </w:t>
      </w:r>
      <w:r w:rsidR="006B1E6D" w:rsidRPr="00C45360">
        <w:rPr>
          <w:u w:val="single"/>
        </w:rPr>
        <w:t>Možnost umístěn</w:t>
      </w:r>
      <w:r w:rsidR="0004326D" w:rsidRPr="00C45360">
        <w:rPr>
          <w:u w:val="single"/>
        </w:rPr>
        <w:t>í</w:t>
      </w:r>
      <w:r w:rsidR="006B1E6D" w:rsidRPr="00C45360">
        <w:rPr>
          <w:u w:val="single"/>
        </w:rPr>
        <w:t xml:space="preserve"> montovaných tribun bez ohlášení a bez územního rozhodnutí</w:t>
      </w:r>
    </w:p>
    <w:p w:rsidR="00050070" w:rsidRDefault="008D075F" w:rsidP="00FD0194">
      <w:pPr>
        <w:pStyle w:val="Odstavecseseznamem"/>
        <w:numPr>
          <w:ilvl w:val="0"/>
          <w:numId w:val="8"/>
        </w:numPr>
        <w:spacing w:after="120" w:line="240" w:lineRule="auto"/>
        <w:ind w:left="709" w:hanging="283"/>
      </w:pPr>
      <w:r>
        <w:t xml:space="preserve">Montované tribuny nepatří mezi záměry taxativně vyjmenované v ustanovení § 79 odst. 2. </w:t>
      </w:r>
      <w:r w:rsidR="0083313B">
        <w:t xml:space="preserve">Z hlediska záměrů vyjmenovaných v § 79 odst. 2 je třeba věnovat pozornost ustanovení § 79 odst. 2 písm. h). </w:t>
      </w:r>
      <w:r w:rsidR="00ED475B">
        <w:t>Montovaná tribuna nenaplň</w:t>
      </w:r>
      <w:r>
        <w:t>uje</w:t>
      </w:r>
      <w:r w:rsidR="00ED475B">
        <w:t xml:space="preserve"> znaky cirkusového stanu, scénické stavby pro film, televizi nebo divadlo, neboť její účel je zcela odlišný. </w:t>
      </w:r>
    </w:p>
    <w:p w:rsidR="00ED475B" w:rsidRDefault="00050070" w:rsidP="00FD0194">
      <w:pPr>
        <w:pStyle w:val="Odstavecseseznamem"/>
        <w:numPr>
          <w:ilvl w:val="0"/>
          <w:numId w:val="8"/>
        </w:numPr>
        <w:spacing w:line="240" w:lineRule="auto"/>
        <w:ind w:left="709" w:hanging="283"/>
      </w:pPr>
      <w:r>
        <w:t>Při úvaze o aplikaci ustanovení § 79 odst. 2 písm. h) na montované tribuny je třeba předně vycházet z účelu dané montované tribuny. S</w:t>
      </w:r>
      <w:r w:rsidR="00ED475B">
        <w:t>tavbou</w:t>
      </w:r>
      <w:r>
        <w:t xml:space="preserve"> podle § 79 odst. 2 písm. h) </w:t>
      </w:r>
      <w:r w:rsidR="00ED475B">
        <w:t xml:space="preserve">by </w:t>
      </w:r>
      <w:r>
        <w:t xml:space="preserve">montovaná tribuna </w:t>
      </w:r>
      <w:r w:rsidR="00ED475B">
        <w:t>mohla být pouze v případě, že by se zároveň jednalo o scénickou stavbu pro film, televizi nebo divadlo</w:t>
      </w:r>
      <w:r w:rsidR="0014450A" w:rsidRPr="0014450A">
        <w:t xml:space="preserve">. </w:t>
      </w:r>
      <w:r w:rsidR="00ED475B" w:rsidRPr="0014450A">
        <w:t xml:space="preserve"> </w:t>
      </w:r>
      <w:r w:rsidR="00FF646A" w:rsidRPr="0014450A">
        <w:t>Byť součástí c</w:t>
      </w:r>
      <w:r w:rsidR="00ED475B" w:rsidRPr="0014450A">
        <w:t>irkusov</w:t>
      </w:r>
      <w:r w:rsidR="00FF646A" w:rsidRPr="0014450A">
        <w:t>ého</w:t>
      </w:r>
      <w:r w:rsidR="00ED475B" w:rsidRPr="0014450A">
        <w:t xml:space="preserve"> stan</w:t>
      </w:r>
      <w:r w:rsidR="00FF646A" w:rsidRPr="0014450A">
        <w:t>u</w:t>
      </w:r>
      <w:r w:rsidR="00ED475B" w:rsidRPr="0014450A">
        <w:t xml:space="preserve"> </w:t>
      </w:r>
      <w:r w:rsidR="00FF646A" w:rsidRPr="0014450A">
        <w:t>je</w:t>
      </w:r>
      <w:r w:rsidR="00607364" w:rsidRPr="0014450A">
        <w:t xml:space="preserve"> též obvykle tribuna,</w:t>
      </w:r>
      <w:r w:rsidRPr="0014450A">
        <w:t xml:space="preserve"> a </w:t>
      </w:r>
      <w:r w:rsidR="00542F14" w:rsidRPr="0014450A">
        <w:t xml:space="preserve">tato </w:t>
      </w:r>
      <w:r w:rsidRPr="0014450A">
        <w:t>tribuna jako součást stanu</w:t>
      </w:r>
      <w:r>
        <w:t xml:space="preserve"> nevyžaduje ani územní souhlas ani územní rozhodnutí, </w:t>
      </w:r>
      <w:r w:rsidR="00607364">
        <w:t xml:space="preserve">nelze při respektování výše uvedených zásad </w:t>
      </w:r>
      <w:r>
        <w:t xml:space="preserve">opačně </w:t>
      </w:r>
      <w:r w:rsidR="00542F14">
        <w:t>dovozovat, že</w:t>
      </w:r>
      <w:r w:rsidR="0014450A">
        <w:t> </w:t>
      </w:r>
      <w:r w:rsidR="00542F14">
        <w:t xml:space="preserve">jakákoli montovaná tribuna </w:t>
      </w:r>
      <w:r w:rsidR="00607364">
        <w:t>je cirkusovým stanem</w:t>
      </w:r>
      <w:r w:rsidR="0050604C">
        <w:t>,</w:t>
      </w:r>
      <w:r w:rsidR="00607364">
        <w:t xml:space="preserve"> a proto nepodléh</w:t>
      </w:r>
      <w:r w:rsidR="0050604C">
        <w:t>á</w:t>
      </w:r>
      <w:r w:rsidR="00607364">
        <w:t xml:space="preserve"> územnímu souhlasu ani ohlášení. </w:t>
      </w:r>
    </w:p>
    <w:p w:rsidR="00050070" w:rsidRDefault="00050070" w:rsidP="00FD0194">
      <w:pPr>
        <w:pStyle w:val="Odstavecseseznamem"/>
        <w:spacing w:line="240" w:lineRule="auto"/>
        <w:ind w:left="1428"/>
      </w:pPr>
    </w:p>
    <w:p w:rsidR="006B1E6D" w:rsidRDefault="00FD0194" w:rsidP="00FD0194">
      <w:pPr>
        <w:spacing w:after="120" w:line="240" w:lineRule="auto"/>
        <w:rPr>
          <w:u w:val="single"/>
        </w:rPr>
      </w:pPr>
      <w:r>
        <w:rPr>
          <w:u w:val="single"/>
        </w:rPr>
        <w:t xml:space="preserve">B. </w:t>
      </w:r>
      <w:r w:rsidR="00050070" w:rsidRPr="0004326D">
        <w:rPr>
          <w:u w:val="single"/>
        </w:rPr>
        <w:t>Možnost umístění montovaných tribun na základě územního souhlasu</w:t>
      </w:r>
    </w:p>
    <w:p w:rsidR="00461D38" w:rsidRPr="00461D38" w:rsidRDefault="0004326D" w:rsidP="00FD0194">
      <w:pPr>
        <w:pStyle w:val="Odstavecseseznamem"/>
        <w:numPr>
          <w:ilvl w:val="0"/>
          <w:numId w:val="13"/>
        </w:numPr>
        <w:spacing w:after="120" w:line="240" w:lineRule="auto"/>
        <w:rPr>
          <w:u w:val="single"/>
        </w:rPr>
      </w:pPr>
      <w:r w:rsidRPr="004016DC">
        <w:t>Záměry uvedené v § 103.</w:t>
      </w:r>
      <w:r w:rsidR="004016DC">
        <w:t xml:space="preserve"> </w:t>
      </w:r>
      <w:r>
        <w:t>Montované tribuny neodpovídají žádnému ze záměrů vymezenému v § 103 odst. 1 b) – e) stavebního zákona. Pouze v případě malých montovaných tribun lze zvažovat podřazení tribuny pod § 103 odst. 1 písm. e)</w:t>
      </w:r>
      <w:r w:rsidR="00461D38">
        <w:t>, bod 1</w:t>
      </w:r>
      <w:r>
        <w:t>, podmínkou však je dodržení všech základních parametrů</w:t>
      </w:r>
      <w:r w:rsidR="00461D38">
        <w:t>, tedy plocha zastavěná tribunou do 25 m</w:t>
      </w:r>
      <w:r w:rsidR="00461D38" w:rsidRPr="00461D38">
        <w:rPr>
          <w:vertAlign w:val="superscript"/>
        </w:rPr>
        <w:t>2</w:t>
      </w:r>
      <w:r w:rsidR="00461D38">
        <w:t>, výška do 5</w:t>
      </w:r>
      <w:r w:rsidR="00245483">
        <w:t xml:space="preserve"> </w:t>
      </w:r>
      <w:r w:rsidR="00461D38">
        <w:t xml:space="preserve">m. Z podstaty montované tribuny by ostatní negativně formulované podmínky měly být splněny vždy (nepodsklepená stavba, </w:t>
      </w:r>
      <w:r w:rsidR="00245483">
        <w:t>stavb</w:t>
      </w:r>
      <w:r w:rsidR="0040293A">
        <w:t>a</w:t>
      </w:r>
      <w:r w:rsidR="00245483">
        <w:t xml:space="preserve"> </w:t>
      </w:r>
      <w:r w:rsidR="00461D38">
        <w:t>neobsahuje hygienické zařízení, obytné ani pobytové místnosti apod.).</w:t>
      </w:r>
    </w:p>
    <w:p w:rsidR="0004326D" w:rsidRPr="000B4525" w:rsidRDefault="004016DC" w:rsidP="00FD0194">
      <w:pPr>
        <w:pStyle w:val="Odstavecseseznamem"/>
        <w:numPr>
          <w:ilvl w:val="0"/>
          <w:numId w:val="13"/>
        </w:numPr>
        <w:spacing w:after="120" w:line="240" w:lineRule="auto"/>
        <w:rPr>
          <w:u w:val="single"/>
        </w:rPr>
      </w:pPr>
      <w:r>
        <w:lastRenderedPageBreak/>
        <w:t>K záměrům uvedeným v</w:t>
      </w:r>
      <w:r w:rsidR="005C3D84">
        <w:t> </w:t>
      </w:r>
      <w:r>
        <w:t>§</w:t>
      </w:r>
      <w:r w:rsidR="005C3D84">
        <w:t> </w:t>
      </w:r>
      <w:r>
        <w:t>103 odst. 1 písm. a)</w:t>
      </w:r>
      <w:r w:rsidR="0014450A">
        <w:t>, tedy záměrům vymezeným v § 79 odst. 2,</w:t>
      </w:r>
      <w:r>
        <w:t xml:space="preserve"> viz výše.</w:t>
      </w:r>
    </w:p>
    <w:p w:rsidR="004016DC" w:rsidRDefault="004016DC" w:rsidP="00FD0194">
      <w:pPr>
        <w:pStyle w:val="Odstavecseseznamem"/>
        <w:numPr>
          <w:ilvl w:val="0"/>
          <w:numId w:val="13"/>
        </w:numPr>
        <w:spacing w:after="240" w:line="240" w:lineRule="auto"/>
      </w:pPr>
      <w:r>
        <w:t xml:space="preserve">Ohlašované stavební záměry </w:t>
      </w:r>
      <w:r w:rsidR="00FD0194">
        <w:rPr>
          <w:rFonts w:cs="Arial"/>
        </w:rPr>
        <w:t>[</w:t>
      </w:r>
      <w:r>
        <w:t>§ 96 odst. 2 písm. b) ve spojení s § 104</w:t>
      </w:r>
      <w:r w:rsidR="00FD0194">
        <w:rPr>
          <w:rFonts w:cs="Arial"/>
        </w:rPr>
        <w:t>]</w:t>
      </w:r>
      <w:r>
        <w:t xml:space="preserve">, v konkrétním případě mohou montované tribuny splňovat parametry některého z těchto záměrů. V úvahu připadá zejména aplikace § 104 odst. 1 písm. c) a d). </w:t>
      </w:r>
    </w:p>
    <w:p w:rsidR="00023DC3" w:rsidRDefault="00023DC3" w:rsidP="00FD0194">
      <w:pPr>
        <w:pStyle w:val="Odstavecseseznamem"/>
        <w:spacing w:line="240" w:lineRule="auto"/>
        <w:ind w:left="1428"/>
      </w:pPr>
    </w:p>
    <w:p w:rsidR="007A7364" w:rsidRPr="00FD0194" w:rsidRDefault="005C7B04" w:rsidP="00FD0194">
      <w:pPr>
        <w:spacing w:after="120" w:line="240" w:lineRule="auto"/>
        <w:rPr>
          <w:b/>
          <w:u w:val="single"/>
        </w:rPr>
      </w:pPr>
      <w:r>
        <w:rPr>
          <w:b/>
          <w:u w:val="single"/>
        </w:rPr>
        <w:t>P</w:t>
      </w:r>
      <w:r w:rsidR="00023DC3" w:rsidRPr="00FD0194">
        <w:rPr>
          <w:b/>
          <w:u w:val="single"/>
        </w:rPr>
        <w:t xml:space="preserve">ovolování </w:t>
      </w:r>
      <w:r w:rsidR="00EC5585" w:rsidRPr="00FD0194">
        <w:rPr>
          <w:b/>
          <w:u w:val="single"/>
        </w:rPr>
        <w:t xml:space="preserve">provádění </w:t>
      </w:r>
      <w:r w:rsidR="00023DC3" w:rsidRPr="00FD0194">
        <w:rPr>
          <w:b/>
          <w:u w:val="single"/>
        </w:rPr>
        <w:t>montovaných tribun</w:t>
      </w:r>
    </w:p>
    <w:p w:rsidR="00ED6165" w:rsidRDefault="00FD0194" w:rsidP="00FD0194">
      <w:pPr>
        <w:spacing w:after="120" w:line="240" w:lineRule="auto"/>
      </w:pPr>
      <w:r>
        <w:rPr>
          <w:u w:val="single"/>
        </w:rPr>
        <w:t xml:space="preserve">A. </w:t>
      </w:r>
      <w:r w:rsidR="00023DC3" w:rsidRPr="00ED6165">
        <w:rPr>
          <w:u w:val="single"/>
        </w:rPr>
        <w:t xml:space="preserve">Montovaná tribuna jako stavba bez ohlášení a </w:t>
      </w:r>
      <w:r w:rsidR="00ED6165" w:rsidRPr="00ED6165">
        <w:rPr>
          <w:u w:val="single"/>
        </w:rPr>
        <w:t xml:space="preserve">bez </w:t>
      </w:r>
      <w:r w:rsidR="00023DC3" w:rsidRPr="00ED6165">
        <w:rPr>
          <w:u w:val="single"/>
        </w:rPr>
        <w:t>stavebního povolení.</w:t>
      </w:r>
      <w:r w:rsidR="00023DC3">
        <w:t xml:space="preserve"> </w:t>
      </w:r>
    </w:p>
    <w:p w:rsidR="00D7295A" w:rsidRDefault="00ED6165" w:rsidP="00FD0194">
      <w:pPr>
        <w:pStyle w:val="Odstavecseseznamem"/>
        <w:numPr>
          <w:ilvl w:val="0"/>
          <w:numId w:val="14"/>
        </w:numPr>
        <w:spacing w:after="240" w:line="240" w:lineRule="auto"/>
      </w:pPr>
      <w:r>
        <w:t xml:space="preserve">Eventuální možnost </w:t>
      </w:r>
      <w:r w:rsidR="00D7295A">
        <w:t xml:space="preserve">aplikace </w:t>
      </w:r>
      <w:r w:rsidR="005C3D84">
        <w:t xml:space="preserve">ustanovení </w:t>
      </w:r>
      <w:r w:rsidR="00D7295A">
        <w:t>§ 103 odst. 1 písm. </w:t>
      </w:r>
      <w:r w:rsidR="003954AF">
        <w:t>a</w:t>
      </w:r>
      <w:r w:rsidR="00D7295A">
        <w:t xml:space="preserve">) – e), která vymezují záměry nevyžadující </w:t>
      </w:r>
      <w:r w:rsidR="00FF646A">
        <w:t>ohlášení</w:t>
      </w:r>
      <w:r w:rsidR="00D7295A">
        <w:t xml:space="preserve"> </w:t>
      </w:r>
      <w:r>
        <w:t>(</w:t>
      </w:r>
      <w:r w:rsidR="00D7295A">
        <w:t>tedy záměry</w:t>
      </w:r>
      <w:r w:rsidR="003954AF">
        <w:t>,</w:t>
      </w:r>
      <w:r w:rsidR="00D7295A">
        <w:t xml:space="preserve"> pro které pos</w:t>
      </w:r>
      <w:r w:rsidR="003954AF">
        <w:t>ta</w:t>
      </w:r>
      <w:r w:rsidR="00D7295A">
        <w:t>čuje namísto územního rozhodnutí územní souhlas</w:t>
      </w:r>
      <w:r w:rsidR="003954AF">
        <w:t>,</w:t>
      </w:r>
      <w:r w:rsidR="00D7295A">
        <w:t xml:space="preserve"> </w:t>
      </w:r>
      <w:r w:rsidR="003954AF">
        <w:t>popř. územní souhlas vůbec nevyžadují</w:t>
      </w:r>
      <w:r>
        <w:t xml:space="preserve">) je uvedena výše. </w:t>
      </w:r>
      <w:r w:rsidR="000B4525">
        <w:t xml:space="preserve">  </w:t>
      </w:r>
      <w:r w:rsidR="007A7364">
        <w:t>Montované tribuny neodpovídají žádnému ze záměrů vymezenému v</w:t>
      </w:r>
      <w:r w:rsidR="00D7295A">
        <w:t> </w:t>
      </w:r>
      <w:r w:rsidR="007A7364">
        <w:t>§</w:t>
      </w:r>
      <w:r w:rsidR="00D7295A">
        <w:t> </w:t>
      </w:r>
      <w:r w:rsidR="007A7364">
        <w:t>103</w:t>
      </w:r>
      <w:r w:rsidR="00D7295A">
        <w:t> </w:t>
      </w:r>
      <w:r w:rsidR="007A7364">
        <w:t xml:space="preserve">odst. 1 </w:t>
      </w:r>
      <w:r w:rsidR="00245483">
        <w:t xml:space="preserve">písm. </w:t>
      </w:r>
      <w:r w:rsidR="005C1CFA">
        <w:t>b) – e)</w:t>
      </w:r>
      <w:r w:rsidR="00D7295A">
        <w:t xml:space="preserve"> stavebního zákona</w:t>
      </w:r>
      <w:r w:rsidR="005C1CFA">
        <w:t>. Pouze v případě malých montovaných tribu</w:t>
      </w:r>
      <w:r w:rsidR="00D7295A">
        <w:t>n</w:t>
      </w:r>
      <w:r w:rsidR="005C1CFA">
        <w:t xml:space="preserve"> lze zvažovat</w:t>
      </w:r>
      <w:r w:rsidR="00D7295A">
        <w:t xml:space="preserve"> podřazení </w:t>
      </w:r>
      <w:r w:rsidR="005C1CFA">
        <w:t>tribun</w:t>
      </w:r>
      <w:r w:rsidR="00D7295A">
        <w:t>y</w:t>
      </w:r>
      <w:r w:rsidR="005C1CFA">
        <w:t xml:space="preserve"> pod § 103 odst. 1 písm</w:t>
      </w:r>
      <w:r w:rsidR="00D7295A">
        <w:t>.</w:t>
      </w:r>
      <w:r w:rsidR="005C1CFA">
        <w:t xml:space="preserve"> e), podmínkou však je dodržení </w:t>
      </w:r>
      <w:r w:rsidR="00D7295A">
        <w:t xml:space="preserve">všech </w:t>
      </w:r>
      <w:r w:rsidR="005C1CFA">
        <w:t>základních parametrů</w:t>
      </w:r>
      <w:r w:rsidR="00D7295A">
        <w:t xml:space="preserve"> (především </w:t>
      </w:r>
      <w:r w:rsidR="005C1CFA">
        <w:t>tedy zastavěná plocha do 25 m</w:t>
      </w:r>
      <w:r w:rsidR="005C1CFA" w:rsidRPr="006A4478">
        <w:rPr>
          <w:vertAlign w:val="superscript"/>
        </w:rPr>
        <w:t>2</w:t>
      </w:r>
      <w:r w:rsidR="00FA6C4C">
        <w:t>, výška tribuny do</w:t>
      </w:r>
      <w:r w:rsidR="001B00B6">
        <w:t> </w:t>
      </w:r>
      <w:r w:rsidR="00FA6C4C">
        <w:t>5</w:t>
      </w:r>
      <w:r w:rsidR="001B00B6">
        <w:t> </w:t>
      </w:r>
      <w:r w:rsidR="00FA6C4C">
        <w:t>m</w:t>
      </w:r>
      <w:r w:rsidR="00D7295A">
        <w:t>)</w:t>
      </w:r>
      <w:r w:rsidR="00FA6C4C">
        <w:t xml:space="preserve">. </w:t>
      </w:r>
    </w:p>
    <w:p w:rsidR="000B4525" w:rsidRDefault="00FD0194" w:rsidP="00FD0194">
      <w:pPr>
        <w:spacing w:after="120" w:line="240" w:lineRule="auto"/>
      </w:pPr>
      <w:r>
        <w:rPr>
          <w:u w:val="single"/>
        </w:rPr>
        <w:t xml:space="preserve">B. </w:t>
      </w:r>
      <w:r w:rsidR="000B4525" w:rsidRPr="000B4525">
        <w:rPr>
          <w:u w:val="single"/>
        </w:rPr>
        <w:t>Možnost o</w:t>
      </w:r>
      <w:r w:rsidR="00023DC3" w:rsidRPr="000B4525">
        <w:rPr>
          <w:u w:val="single"/>
        </w:rPr>
        <w:t>hlášení montované tribuny</w:t>
      </w:r>
      <w:r w:rsidR="00023DC3">
        <w:t xml:space="preserve"> </w:t>
      </w:r>
    </w:p>
    <w:p w:rsidR="00960DC1" w:rsidRDefault="003954AF" w:rsidP="00FD0194">
      <w:pPr>
        <w:pStyle w:val="Odstavecseseznamem"/>
        <w:numPr>
          <w:ilvl w:val="0"/>
          <w:numId w:val="9"/>
        </w:numPr>
        <w:spacing w:line="240" w:lineRule="auto"/>
        <w:ind w:left="709" w:hanging="283"/>
      </w:pPr>
      <w:r>
        <w:t>Pokud montovaná tribuna splňuje parametry stavby uvedené v § 104 stavebního zákona</w:t>
      </w:r>
      <w:r w:rsidR="00960DC1">
        <w:t xml:space="preserve">, postačuje namísto stavebního povolení ohlášení stavby. V úvahu připadá zejména aplikace § 104 odst. 1 písm. c) a d). </w:t>
      </w:r>
    </w:p>
    <w:p w:rsidR="00FD0194" w:rsidRDefault="00FD0194" w:rsidP="00FD0194">
      <w:pPr>
        <w:pStyle w:val="Odstavecseseznamem"/>
        <w:spacing w:line="240" w:lineRule="auto"/>
        <w:ind w:left="709"/>
      </w:pPr>
    </w:p>
    <w:p w:rsidR="00ED6165" w:rsidRDefault="00ED6165" w:rsidP="00FD0194">
      <w:pPr>
        <w:spacing w:line="240" w:lineRule="auto"/>
        <w:ind w:firstLine="708"/>
      </w:pPr>
    </w:p>
    <w:p w:rsidR="00C726D4" w:rsidRPr="00C726D4" w:rsidRDefault="00C726D4" w:rsidP="00C726D4">
      <w:pPr>
        <w:spacing w:after="120" w:line="240" w:lineRule="auto"/>
        <w:rPr>
          <w:b/>
          <w:u w:val="single"/>
        </w:rPr>
      </w:pPr>
      <w:r w:rsidRPr="00C726D4">
        <w:rPr>
          <w:b/>
          <w:u w:val="single"/>
        </w:rPr>
        <w:t>Montovaná tribuna jako součást záměru podléhající posuzování vlivu na životní prostředí</w:t>
      </w:r>
    </w:p>
    <w:p w:rsidR="007A1A49" w:rsidRDefault="0050604C" w:rsidP="00C726D4">
      <w:pPr>
        <w:spacing w:after="120" w:line="240" w:lineRule="auto"/>
      </w:pPr>
      <w:r>
        <w:t>Při umisťování a povolování montovaných tribun je nezbytné též zohledn</w:t>
      </w:r>
      <w:r w:rsidR="00D7295A">
        <w:t>i</w:t>
      </w:r>
      <w:r>
        <w:t xml:space="preserve">t skutečnost, zda se nejedná v konkrétním případě o záměr podléhající posuzování vlivů na životní prostředí. </w:t>
      </w:r>
      <w:r w:rsidR="00022009">
        <w:t>Byť montované tribuny zpravidla nebudou spadat mezi záměry</w:t>
      </w:r>
      <w:r w:rsidR="006758F9">
        <w:t xml:space="preserve"> posuzované podle zákona č.</w:t>
      </w:r>
      <w:r>
        <w:t> </w:t>
      </w:r>
      <w:r w:rsidR="006758F9">
        <w:t xml:space="preserve">100/2001 Sb., o posuzování vlivů na životní prostředí, v platném znění, nelze tuto situaci vyloučit. V takovém případě pak nelze při umisťování a povolování tribuny aplikovat </w:t>
      </w:r>
      <w:r w:rsidR="00D83487">
        <w:t>zjed</w:t>
      </w:r>
      <w:r w:rsidR="006758F9">
        <w:t xml:space="preserve">nodušující postupy (veřejnoprávní smlouva, územní souhlas, ohlášení, </w:t>
      </w:r>
      <w:r w:rsidR="007D371B">
        <w:t xml:space="preserve">společný souhlas, </w:t>
      </w:r>
      <w:r w:rsidR="006758F9">
        <w:t>oznámení stavby s certifikátem stavebního inspektora, zjednodušené územní řízení)</w:t>
      </w:r>
      <w:r>
        <w:t xml:space="preserve">. </w:t>
      </w:r>
      <w:r w:rsidR="006758F9">
        <w:t>Montovan</w:t>
      </w:r>
      <w:r w:rsidR="00D83487">
        <w:t>á</w:t>
      </w:r>
      <w:r w:rsidR="006758F9">
        <w:t xml:space="preserve"> tribun</w:t>
      </w:r>
      <w:r w:rsidR="00D83487">
        <w:t>a</w:t>
      </w:r>
      <w:r w:rsidR="006758F9">
        <w:t xml:space="preserve"> by mohla vyžadovat posouzení vlivu na životní prostředí podle z</w:t>
      </w:r>
      <w:r w:rsidR="00AD3632">
        <w:t>ákon</w:t>
      </w:r>
      <w:r w:rsidR="006758F9">
        <w:t>a</w:t>
      </w:r>
      <w:r w:rsidR="00AD3632">
        <w:t xml:space="preserve"> č.</w:t>
      </w:r>
      <w:r w:rsidR="007D371B">
        <w:t> </w:t>
      </w:r>
      <w:r w:rsidR="00AD3632">
        <w:t>100/2001 Sb., o</w:t>
      </w:r>
      <w:r w:rsidR="006A4478">
        <w:t> </w:t>
      </w:r>
      <w:r w:rsidR="00AD3632">
        <w:t xml:space="preserve">posuzování vlivů na životní prostředí </w:t>
      </w:r>
      <w:r w:rsidR="006758F9">
        <w:t>v zá</w:t>
      </w:r>
      <w:r w:rsidR="00AD3632">
        <w:t xml:space="preserve">vislosti na své velikosti a umístění v některých </w:t>
      </w:r>
      <w:r w:rsidR="006758F9">
        <w:t>případech, neb</w:t>
      </w:r>
      <w:r w:rsidR="00B742F1">
        <w:t>oť</w:t>
      </w:r>
      <w:r w:rsidR="006758F9">
        <w:t xml:space="preserve"> by mohla </w:t>
      </w:r>
      <w:r w:rsidR="001B7F5A">
        <w:t xml:space="preserve">spadat do </w:t>
      </w:r>
      <w:r w:rsidR="00CD7437">
        <w:t xml:space="preserve">některých z  </w:t>
      </w:r>
      <w:r w:rsidR="001B7F5A">
        <w:t xml:space="preserve">kategorií </w:t>
      </w:r>
      <w:r w:rsidR="006758F9">
        <w:t xml:space="preserve">záměrů přílohy č. 1, kategorie II zákona o posuzování vlivů na životní prostředí </w:t>
      </w:r>
      <w:r w:rsidR="00CD7437">
        <w:t xml:space="preserve">(pochopitelně v případě, pokud součástí </w:t>
      </w:r>
      <w:r w:rsidR="00F139A0">
        <w:t xml:space="preserve">daného </w:t>
      </w:r>
      <w:r w:rsidR="00CD7437">
        <w:t>záměru</w:t>
      </w:r>
      <w:r w:rsidR="00B742F1">
        <w:t xml:space="preserve"> je</w:t>
      </w:r>
      <w:r w:rsidR="00CD7437">
        <w:t xml:space="preserve"> montovaná tribuna)</w:t>
      </w:r>
      <w:r w:rsidR="00F139A0">
        <w:t>. V úvahu mohou připadat tyto záměry</w:t>
      </w:r>
      <w:r w:rsidR="006758F9">
        <w:t>:</w:t>
      </w:r>
    </w:p>
    <w:p w:rsidR="001B7F5A" w:rsidRDefault="00D83487">
      <w:pPr>
        <w:pStyle w:val="Odstavecseseznamem"/>
        <w:numPr>
          <w:ilvl w:val="0"/>
          <w:numId w:val="15"/>
        </w:numPr>
        <w:spacing w:line="240" w:lineRule="auto"/>
        <w:ind w:left="714" w:hanging="357"/>
      </w:pPr>
      <w:r>
        <w:t>r</w:t>
      </w:r>
      <w:r w:rsidR="001B7F5A">
        <w:t>ekreační a sportovní areály</w:t>
      </w:r>
      <w:r w:rsidR="00F139A0">
        <w:t xml:space="preserve"> vně sídelních oblastí na ploše od stanoveného limitu (1 ha) </w:t>
      </w:r>
    </w:p>
    <w:p w:rsidR="00AD3632" w:rsidRDefault="00D83487" w:rsidP="00D83487">
      <w:pPr>
        <w:pStyle w:val="Odstavecseseznamem"/>
        <w:numPr>
          <w:ilvl w:val="0"/>
          <w:numId w:val="15"/>
        </w:numPr>
        <w:spacing w:line="240" w:lineRule="auto"/>
        <w:ind w:left="714" w:hanging="357"/>
      </w:pPr>
      <w:r>
        <w:t>t</w:t>
      </w:r>
      <w:r w:rsidR="0012388A">
        <w:t>e</w:t>
      </w:r>
      <w:r w:rsidR="001B7F5A">
        <w:t xml:space="preserve">matické areály na ploše </w:t>
      </w:r>
      <w:r w:rsidR="00F139A0">
        <w:t>od stanoveného limitu (</w:t>
      </w:r>
      <w:r w:rsidR="001B7F5A">
        <w:t>2 ha</w:t>
      </w:r>
      <w:r w:rsidR="00F139A0">
        <w:t>)</w:t>
      </w:r>
      <w:r w:rsidR="001B7F5A">
        <w:t xml:space="preserve">.                                      </w:t>
      </w:r>
    </w:p>
    <w:p w:rsidR="00346B2E" w:rsidRDefault="00346B2E" w:rsidP="00FD0194">
      <w:pPr>
        <w:spacing w:line="240" w:lineRule="auto"/>
        <w:ind w:firstLine="709"/>
      </w:pPr>
    </w:p>
    <w:p w:rsidR="00C726D4" w:rsidRDefault="00C726D4" w:rsidP="00FD0194">
      <w:pPr>
        <w:spacing w:line="240" w:lineRule="auto"/>
        <w:ind w:firstLine="708"/>
      </w:pPr>
    </w:p>
    <w:p w:rsidR="00525164" w:rsidRPr="002C4E46" w:rsidRDefault="0083313B" w:rsidP="00525164">
      <w:pPr>
        <w:spacing w:after="120" w:line="240" w:lineRule="auto"/>
        <w:rPr>
          <w:b/>
          <w:u w:val="single"/>
        </w:rPr>
      </w:pPr>
      <w:r w:rsidRPr="002C4E46">
        <w:rPr>
          <w:b/>
          <w:u w:val="single"/>
        </w:rPr>
        <w:t>Závěr</w:t>
      </w:r>
      <w:r w:rsidR="00C726D4" w:rsidRPr="002C4E46">
        <w:rPr>
          <w:b/>
          <w:u w:val="single"/>
        </w:rPr>
        <w:t xml:space="preserve"> </w:t>
      </w:r>
    </w:p>
    <w:p w:rsidR="00346B2E" w:rsidRDefault="00C726D4" w:rsidP="002C4E46">
      <w:pPr>
        <w:spacing w:after="120" w:line="240" w:lineRule="auto"/>
      </w:pPr>
      <w:r w:rsidRPr="00525164">
        <w:t>M</w:t>
      </w:r>
      <w:r w:rsidR="0083313B" w:rsidRPr="00525164">
        <w:t>ontované tribuny budou zpravidla vyžadovat územní rozhodnutí a stavební povolení,</w:t>
      </w:r>
      <w:r w:rsidR="007D371B">
        <w:t xml:space="preserve"> případně společné povolení, </w:t>
      </w:r>
      <w:r w:rsidR="0083313B" w:rsidRPr="00525164">
        <w:t>která lze případně</w:t>
      </w:r>
      <w:r w:rsidR="0083313B">
        <w:t xml:space="preserve"> nahradit veřejnoprávní smlouvou popř. oznámením stavby s certifikátem autorizovaného inspektora. </w:t>
      </w:r>
    </w:p>
    <w:p w:rsidR="00346B2E" w:rsidRDefault="007D371B" w:rsidP="00FD0194">
      <w:pPr>
        <w:spacing w:line="240" w:lineRule="auto"/>
        <w:ind w:firstLine="709"/>
      </w:pPr>
      <w:r>
        <w:t>Pouze v případě malých montovaných tribuny splňující parametry § 103 odst. 1 písm. e), (především tedy zastavěná plocha do 25 m</w:t>
      </w:r>
      <w:r w:rsidRPr="007D371B">
        <w:rPr>
          <w:vertAlign w:val="superscript"/>
        </w:rPr>
        <w:t>2</w:t>
      </w:r>
      <w:r>
        <w:t>, výška tribuny do 5 m)</w:t>
      </w:r>
      <w:bookmarkStart w:id="1" w:name="_GoBack"/>
      <w:bookmarkEnd w:id="1"/>
      <w:r>
        <w:t xml:space="preserve"> se jedná o záměry, u kterých postačuje územní souhlas a nevyžadují stavební povolení ani ohlášení (srov. § 103 odst. 1 písm. e) ve spojení s § 96 odst. 2 stavebního zákona). </w:t>
      </w:r>
    </w:p>
    <w:p w:rsidR="00D83487" w:rsidRDefault="00D83487" w:rsidP="00FD0194">
      <w:pPr>
        <w:spacing w:line="240" w:lineRule="auto"/>
        <w:ind w:firstLine="709"/>
      </w:pPr>
    </w:p>
    <w:sectPr w:rsidR="00D83487" w:rsidSect="00525164">
      <w:headerReference w:type="default" r:id="rId18"/>
      <w:footerReference w:type="default" r:id="rId19"/>
      <w:headerReference w:type="first" r:id="rId20"/>
      <w:footerReference w:type="first" r:id="rId21"/>
      <w:pgSz w:w="11907" w:h="16839"/>
      <w:pgMar w:top="2154" w:right="1361" w:bottom="993"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6A" w:rsidRDefault="00A6706A" w:rsidP="00FB693D">
      <w:r>
        <w:separator/>
      </w:r>
    </w:p>
  </w:endnote>
  <w:endnote w:type="continuationSeparator" w:id="0">
    <w:p w:rsidR="00A6706A" w:rsidRDefault="00A6706A" w:rsidP="00FB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4" w:rsidRPr="008601D0" w:rsidRDefault="00097A7C">
    <w:pPr>
      <w:pStyle w:val="Zpat"/>
      <w:jc w:val="right"/>
      <w:rPr>
        <w:sz w:val="18"/>
        <w:szCs w:val="18"/>
      </w:rPr>
    </w:pPr>
    <w:r>
      <w:rPr>
        <w:noProof/>
        <w:lang w:eastAsia="cs-CZ"/>
      </w:rPr>
      <mc:AlternateContent>
        <mc:Choice Requires="wps">
          <w:drawing>
            <wp:anchor distT="0" distB="0" distL="114300" distR="114300" simplePos="0" relativeHeight="251664384" behindDoc="0" locked="0" layoutInCell="1" allowOverlap="1" wp14:anchorId="5ED671B6" wp14:editId="63D53340">
              <wp:simplePos x="0" y="0"/>
              <wp:positionH relativeFrom="column">
                <wp:posOffset>-314961</wp:posOffset>
              </wp:positionH>
              <wp:positionV relativeFrom="paragraph">
                <wp:posOffset>-19050</wp:posOffset>
              </wp:positionV>
              <wp:extent cx="2257425" cy="1403985"/>
              <wp:effectExtent l="0" t="0" r="9525" b="762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03985"/>
                      </a:xfrm>
                      <a:prstGeom prst="rect">
                        <a:avLst/>
                      </a:prstGeom>
                      <a:solidFill>
                        <a:srgbClr val="FFFFFF"/>
                      </a:solidFill>
                      <a:ln w="9525">
                        <a:noFill/>
                        <a:miter lim="800000"/>
                        <a:headEnd/>
                        <a:tailEnd/>
                      </a:ln>
                    </wps:spPr>
                    <wps:txbx>
                      <w:txbxContent>
                        <w:p w:rsidR="00097A7C" w:rsidRPr="008601D0" w:rsidRDefault="00097A7C">
                          <w:pPr>
                            <w:rPr>
                              <w:sz w:val="18"/>
                              <w:szCs w:val="18"/>
                            </w:rPr>
                          </w:pPr>
                          <w:r w:rsidRPr="008601D0">
                            <w:rPr>
                              <w:sz w:val="18"/>
                              <w:szCs w:val="18"/>
                            </w:rPr>
                            <w:t>říjen 2016</w:t>
                          </w:r>
                          <w:r w:rsidR="006913D4">
                            <w:rPr>
                              <w:sz w:val="18"/>
                              <w:szCs w:val="18"/>
                            </w:rPr>
                            <w:t>, aktualizováno červenec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671B6" id="_x0000_t202" coordsize="21600,21600" o:spt="202" path="m,l,21600r21600,l21600,xe">
              <v:stroke joinstyle="miter"/>
              <v:path gradientshapeok="t" o:connecttype="rect"/>
            </v:shapetype>
            <v:shape id="Textové pole 2" o:spid="_x0000_s1026" type="#_x0000_t202" style="position:absolute;left:0;text-align:left;margin-left:-24.8pt;margin-top:-1.5pt;width:17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" stroked="f">
              <v:textbox style="mso-fit-shape-to-text:t">
                <w:txbxContent>
                  <w:p w:rsidR="00097A7C" w:rsidRPr="008601D0" w:rsidRDefault="00097A7C">
                    <w:pPr>
                      <w:rPr>
                        <w:sz w:val="18"/>
                        <w:szCs w:val="18"/>
                      </w:rPr>
                    </w:pPr>
                    <w:r w:rsidRPr="008601D0">
                      <w:rPr>
                        <w:sz w:val="18"/>
                        <w:szCs w:val="18"/>
                      </w:rPr>
                      <w:t>říjen 2016</w:t>
                    </w:r>
                    <w:r w:rsidR="006913D4">
                      <w:rPr>
                        <w:sz w:val="18"/>
                        <w:szCs w:val="18"/>
                      </w:rPr>
                      <w:t>, aktualizováno červenec 2018</w:t>
                    </w:r>
                  </w:p>
                </w:txbxContent>
              </v:textbox>
            </v:shape>
          </w:pict>
        </mc:Fallback>
      </mc:AlternateContent>
    </w:r>
    <w:sdt>
      <w:sdtPr>
        <w:id w:val="-1955867016"/>
        <w:docPartObj>
          <w:docPartGallery w:val="Page Numbers (Bottom of Page)"/>
          <w:docPartUnique/>
        </w:docPartObj>
      </w:sdtPr>
      <w:sdtEndPr>
        <w:rPr>
          <w:sz w:val="18"/>
          <w:szCs w:val="18"/>
        </w:rPr>
      </w:sdtEndPr>
      <w:sdtContent>
        <w:r w:rsidR="00525164" w:rsidRPr="008601D0">
          <w:rPr>
            <w:sz w:val="18"/>
            <w:szCs w:val="18"/>
          </w:rPr>
          <w:fldChar w:fldCharType="begin"/>
        </w:r>
        <w:r w:rsidR="00525164" w:rsidRPr="008601D0">
          <w:rPr>
            <w:sz w:val="18"/>
            <w:szCs w:val="18"/>
          </w:rPr>
          <w:instrText>PAGE   \* MERGEFORMAT</w:instrText>
        </w:r>
        <w:r w:rsidR="00525164" w:rsidRPr="008601D0">
          <w:rPr>
            <w:sz w:val="18"/>
            <w:szCs w:val="18"/>
          </w:rPr>
          <w:fldChar w:fldCharType="separate"/>
        </w:r>
        <w:r w:rsidR="006913D4">
          <w:rPr>
            <w:noProof/>
            <w:sz w:val="18"/>
            <w:szCs w:val="18"/>
          </w:rPr>
          <w:t>5</w:t>
        </w:r>
        <w:r w:rsidR="00525164" w:rsidRPr="008601D0">
          <w:rPr>
            <w:sz w:val="18"/>
            <w:szCs w:val="18"/>
          </w:rPr>
          <w:fldChar w:fldCharType="end"/>
        </w:r>
        <w:r w:rsidR="002C4E46" w:rsidRPr="008601D0">
          <w:rPr>
            <w:sz w:val="18"/>
            <w:szCs w:val="18"/>
          </w:rPr>
          <w:t>/5</w:t>
        </w:r>
      </w:sdtContent>
    </w:sdt>
  </w:p>
  <w:p w:rsidR="00F82C72" w:rsidRDefault="00F82C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654977"/>
      <w:docPartObj>
        <w:docPartGallery w:val="Page Numbers (Bottom of Page)"/>
        <w:docPartUnique/>
      </w:docPartObj>
    </w:sdtPr>
    <w:sdtEndPr/>
    <w:sdtContent>
      <w:p w:rsidR="0040293A" w:rsidRDefault="0040293A">
        <w:pPr>
          <w:pStyle w:val="Zpat"/>
          <w:jc w:val="right"/>
        </w:pPr>
        <w:r>
          <w:fldChar w:fldCharType="begin"/>
        </w:r>
        <w:r>
          <w:instrText>PAGE   \* MERGEFORMAT</w:instrText>
        </w:r>
        <w:r>
          <w:fldChar w:fldCharType="separate"/>
        </w:r>
        <w:r w:rsidR="00525164">
          <w:rPr>
            <w:noProof/>
          </w:rPr>
          <w:t>1</w:t>
        </w:r>
        <w:r>
          <w:fldChar w:fldCharType="end"/>
        </w:r>
      </w:p>
    </w:sdtContent>
  </w:sdt>
  <w:p w:rsidR="005C7511" w:rsidRDefault="005C7511" w:rsidP="00955567">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6A" w:rsidRDefault="00A6706A" w:rsidP="00FB693D">
      <w:r>
        <w:separator/>
      </w:r>
    </w:p>
  </w:footnote>
  <w:footnote w:type="continuationSeparator" w:id="0">
    <w:p w:rsidR="00A6706A" w:rsidRDefault="00A6706A" w:rsidP="00FB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11" w:rsidRDefault="005C7511">
    <w:pPr>
      <w:pStyle w:val="Zhlav"/>
    </w:pPr>
    <w:r>
      <w:rPr>
        <w:noProof/>
        <w:lang w:eastAsia="cs-CZ"/>
      </w:rPr>
      <w:drawing>
        <wp:anchor distT="0" distB="0" distL="114300" distR="114300" simplePos="0" relativeHeight="251662336" behindDoc="0" locked="0" layoutInCell="1" allowOverlap="0" wp14:anchorId="20952D7B" wp14:editId="15FE8EF1">
          <wp:simplePos x="0" y="0"/>
          <wp:positionH relativeFrom="column">
            <wp:posOffset>-899795</wp:posOffset>
          </wp:positionH>
          <wp:positionV relativeFrom="paragraph">
            <wp:posOffset>36195</wp:posOffset>
          </wp:positionV>
          <wp:extent cx="2159635" cy="467995"/>
          <wp:effectExtent l="19050" t="0" r="0" b="0"/>
          <wp:wrapNone/>
          <wp:docPr id="5"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8" w:rsidRPr="001E0BFB" w:rsidRDefault="00C06408" w:rsidP="001E0BFB">
    <w:pPr>
      <w:pStyle w:val="Zhlav"/>
    </w:pPr>
    <w:bookmarkStart w:id="2" w:name="radek9"/>
    <w:bookmarkStart w:id="3" w:name="radek10"/>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967"/>
    <w:multiLevelType w:val="hybridMultilevel"/>
    <w:tmpl w:val="61DA67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62A2A24"/>
    <w:multiLevelType w:val="hybridMultilevel"/>
    <w:tmpl w:val="A3DA7D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FE38F7"/>
    <w:multiLevelType w:val="hybridMultilevel"/>
    <w:tmpl w:val="8B46A3F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80F59E6"/>
    <w:multiLevelType w:val="hybridMultilevel"/>
    <w:tmpl w:val="4FA60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72541"/>
    <w:multiLevelType w:val="hybridMultilevel"/>
    <w:tmpl w:val="BD90C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F2B9E"/>
    <w:multiLevelType w:val="hybridMultilevel"/>
    <w:tmpl w:val="F0CC8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58072B"/>
    <w:multiLevelType w:val="multilevel"/>
    <w:tmpl w:val="4D2AD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61BD4"/>
    <w:multiLevelType w:val="multilevel"/>
    <w:tmpl w:val="9800B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00E6D"/>
    <w:multiLevelType w:val="hybridMultilevel"/>
    <w:tmpl w:val="36A48D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EA1E8A"/>
    <w:multiLevelType w:val="multilevel"/>
    <w:tmpl w:val="9222C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51B6F"/>
    <w:multiLevelType w:val="hybridMultilevel"/>
    <w:tmpl w:val="5B2E51C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419E7ACE"/>
    <w:multiLevelType w:val="hybridMultilevel"/>
    <w:tmpl w:val="37FAB8F2"/>
    <w:lvl w:ilvl="0" w:tplc="399C6F9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CC494C"/>
    <w:multiLevelType w:val="hybridMultilevel"/>
    <w:tmpl w:val="6A863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F177B"/>
    <w:multiLevelType w:val="hybridMultilevel"/>
    <w:tmpl w:val="A6404F84"/>
    <w:lvl w:ilvl="0" w:tplc="04050005">
      <w:start w:val="1"/>
      <w:numFmt w:val="bullet"/>
      <w:lvlText w:val=""/>
      <w:lvlJc w:val="left"/>
      <w:pPr>
        <w:tabs>
          <w:tab w:val="num" w:pos="720"/>
        </w:tabs>
        <w:ind w:left="720" w:hanging="360"/>
      </w:pPr>
      <w:rPr>
        <w:rFonts w:ascii="Wingdings" w:hAnsi="Wingdings" w:hint="default"/>
      </w:rPr>
    </w:lvl>
    <w:lvl w:ilvl="1" w:tplc="C7BAE840" w:tentative="1">
      <w:start w:val="1"/>
      <w:numFmt w:val="bullet"/>
      <w:lvlText w:val="•"/>
      <w:lvlJc w:val="left"/>
      <w:pPr>
        <w:tabs>
          <w:tab w:val="num" w:pos="1440"/>
        </w:tabs>
        <w:ind w:left="1440" w:hanging="360"/>
      </w:pPr>
      <w:rPr>
        <w:rFonts w:ascii="Arial" w:hAnsi="Arial" w:hint="default"/>
      </w:rPr>
    </w:lvl>
    <w:lvl w:ilvl="2" w:tplc="7D0E0D22" w:tentative="1">
      <w:start w:val="1"/>
      <w:numFmt w:val="bullet"/>
      <w:lvlText w:val="•"/>
      <w:lvlJc w:val="left"/>
      <w:pPr>
        <w:tabs>
          <w:tab w:val="num" w:pos="2160"/>
        </w:tabs>
        <w:ind w:left="2160" w:hanging="360"/>
      </w:pPr>
      <w:rPr>
        <w:rFonts w:ascii="Arial" w:hAnsi="Arial" w:hint="default"/>
      </w:rPr>
    </w:lvl>
    <w:lvl w:ilvl="3" w:tplc="17F46E0A" w:tentative="1">
      <w:start w:val="1"/>
      <w:numFmt w:val="bullet"/>
      <w:lvlText w:val="•"/>
      <w:lvlJc w:val="left"/>
      <w:pPr>
        <w:tabs>
          <w:tab w:val="num" w:pos="2880"/>
        </w:tabs>
        <w:ind w:left="2880" w:hanging="360"/>
      </w:pPr>
      <w:rPr>
        <w:rFonts w:ascii="Arial" w:hAnsi="Arial" w:hint="default"/>
      </w:rPr>
    </w:lvl>
    <w:lvl w:ilvl="4" w:tplc="E2EAD81C" w:tentative="1">
      <w:start w:val="1"/>
      <w:numFmt w:val="bullet"/>
      <w:lvlText w:val="•"/>
      <w:lvlJc w:val="left"/>
      <w:pPr>
        <w:tabs>
          <w:tab w:val="num" w:pos="3600"/>
        </w:tabs>
        <w:ind w:left="3600" w:hanging="360"/>
      </w:pPr>
      <w:rPr>
        <w:rFonts w:ascii="Arial" w:hAnsi="Arial" w:hint="default"/>
      </w:rPr>
    </w:lvl>
    <w:lvl w:ilvl="5" w:tplc="351E1062" w:tentative="1">
      <w:start w:val="1"/>
      <w:numFmt w:val="bullet"/>
      <w:lvlText w:val="•"/>
      <w:lvlJc w:val="left"/>
      <w:pPr>
        <w:tabs>
          <w:tab w:val="num" w:pos="4320"/>
        </w:tabs>
        <w:ind w:left="4320" w:hanging="360"/>
      </w:pPr>
      <w:rPr>
        <w:rFonts w:ascii="Arial" w:hAnsi="Arial" w:hint="default"/>
      </w:rPr>
    </w:lvl>
    <w:lvl w:ilvl="6" w:tplc="C5D89D84" w:tentative="1">
      <w:start w:val="1"/>
      <w:numFmt w:val="bullet"/>
      <w:lvlText w:val="•"/>
      <w:lvlJc w:val="left"/>
      <w:pPr>
        <w:tabs>
          <w:tab w:val="num" w:pos="5040"/>
        </w:tabs>
        <w:ind w:left="5040" w:hanging="360"/>
      </w:pPr>
      <w:rPr>
        <w:rFonts w:ascii="Arial" w:hAnsi="Arial" w:hint="default"/>
      </w:rPr>
    </w:lvl>
    <w:lvl w:ilvl="7" w:tplc="37A2C992" w:tentative="1">
      <w:start w:val="1"/>
      <w:numFmt w:val="bullet"/>
      <w:lvlText w:val="•"/>
      <w:lvlJc w:val="left"/>
      <w:pPr>
        <w:tabs>
          <w:tab w:val="num" w:pos="5760"/>
        </w:tabs>
        <w:ind w:left="5760" w:hanging="360"/>
      </w:pPr>
      <w:rPr>
        <w:rFonts w:ascii="Arial" w:hAnsi="Arial" w:hint="default"/>
      </w:rPr>
    </w:lvl>
    <w:lvl w:ilvl="8" w:tplc="622CB9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C148C0"/>
    <w:multiLevelType w:val="hybridMultilevel"/>
    <w:tmpl w:val="7AEE6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54240D"/>
    <w:multiLevelType w:val="hybridMultilevel"/>
    <w:tmpl w:val="924863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032042"/>
    <w:multiLevelType w:val="hybridMultilevel"/>
    <w:tmpl w:val="9F3E82E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E5D5DED"/>
    <w:multiLevelType w:val="multilevel"/>
    <w:tmpl w:val="1FE04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312EA7"/>
    <w:multiLevelType w:val="multilevel"/>
    <w:tmpl w:val="171E3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E7722"/>
    <w:multiLevelType w:val="hybridMultilevel"/>
    <w:tmpl w:val="75EC4670"/>
    <w:lvl w:ilvl="0" w:tplc="C0A038D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9"/>
  </w:num>
  <w:num w:numId="2">
    <w:abstractNumId w:val="15"/>
  </w:num>
  <w:num w:numId="3">
    <w:abstractNumId w:val="11"/>
  </w:num>
  <w:num w:numId="4">
    <w:abstractNumId w:val="14"/>
  </w:num>
  <w:num w:numId="5">
    <w:abstractNumId w:val="13"/>
  </w:num>
  <w:num w:numId="6">
    <w:abstractNumId w:val="10"/>
  </w:num>
  <w:num w:numId="7">
    <w:abstractNumId w:val="3"/>
  </w:num>
  <w:num w:numId="8">
    <w:abstractNumId w:val="2"/>
  </w:num>
  <w:num w:numId="9">
    <w:abstractNumId w:val="16"/>
  </w:num>
  <w:num w:numId="10">
    <w:abstractNumId w:val="0"/>
  </w:num>
  <w:num w:numId="11">
    <w:abstractNumId w:val="5"/>
  </w:num>
  <w:num w:numId="12">
    <w:abstractNumId w:val="4"/>
  </w:num>
  <w:num w:numId="13">
    <w:abstractNumId w:val="12"/>
  </w:num>
  <w:num w:numId="14">
    <w:abstractNumId w:val="8"/>
  </w:num>
  <w:num w:numId="15">
    <w:abstractNumId w:val="1"/>
  </w:num>
  <w:num w:numId="16">
    <w:abstractNumId w:val="7"/>
  </w:num>
  <w:num w:numId="17">
    <w:abstractNumId w:val="9"/>
  </w:num>
  <w:num w:numId="18">
    <w:abstractNumId w:val="17"/>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BE"/>
    <w:rsid w:val="000013C8"/>
    <w:rsid w:val="000032D9"/>
    <w:rsid w:val="00004D1A"/>
    <w:rsid w:val="000075C2"/>
    <w:rsid w:val="00022009"/>
    <w:rsid w:val="00023DC3"/>
    <w:rsid w:val="00035000"/>
    <w:rsid w:val="0004326D"/>
    <w:rsid w:val="00050070"/>
    <w:rsid w:val="00052076"/>
    <w:rsid w:val="000624A5"/>
    <w:rsid w:val="00075AE5"/>
    <w:rsid w:val="00097A7C"/>
    <w:rsid w:val="000A5817"/>
    <w:rsid w:val="000B0FE9"/>
    <w:rsid w:val="000B4525"/>
    <w:rsid w:val="000C4651"/>
    <w:rsid w:val="000E1040"/>
    <w:rsid w:val="000E148E"/>
    <w:rsid w:val="000F5991"/>
    <w:rsid w:val="00100F1D"/>
    <w:rsid w:val="00103865"/>
    <w:rsid w:val="00105C59"/>
    <w:rsid w:val="001164E0"/>
    <w:rsid w:val="0012388A"/>
    <w:rsid w:val="00126B07"/>
    <w:rsid w:val="001408A8"/>
    <w:rsid w:val="0014450A"/>
    <w:rsid w:val="00144E27"/>
    <w:rsid w:val="00145614"/>
    <w:rsid w:val="0014593C"/>
    <w:rsid w:val="00160F31"/>
    <w:rsid w:val="00164F99"/>
    <w:rsid w:val="001756B9"/>
    <w:rsid w:val="001963F0"/>
    <w:rsid w:val="0019705D"/>
    <w:rsid w:val="001B00B6"/>
    <w:rsid w:val="001B314C"/>
    <w:rsid w:val="001B672B"/>
    <w:rsid w:val="001B7F5A"/>
    <w:rsid w:val="001C1B3D"/>
    <w:rsid w:val="001D43D2"/>
    <w:rsid w:val="001D6EF4"/>
    <w:rsid w:val="001E0BFB"/>
    <w:rsid w:val="001F19BA"/>
    <w:rsid w:val="00202DA5"/>
    <w:rsid w:val="00207957"/>
    <w:rsid w:val="002114DE"/>
    <w:rsid w:val="002177C5"/>
    <w:rsid w:val="00224A69"/>
    <w:rsid w:val="00241E23"/>
    <w:rsid w:val="00245483"/>
    <w:rsid w:val="0027414D"/>
    <w:rsid w:val="00287582"/>
    <w:rsid w:val="002A4D22"/>
    <w:rsid w:val="002A61FE"/>
    <w:rsid w:val="002A6F5B"/>
    <w:rsid w:val="002B7106"/>
    <w:rsid w:val="002B7AC2"/>
    <w:rsid w:val="002C18CE"/>
    <w:rsid w:val="002C4E46"/>
    <w:rsid w:val="002D3FAB"/>
    <w:rsid w:val="002D6F6E"/>
    <w:rsid w:val="002F5F2F"/>
    <w:rsid w:val="00302D3B"/>
    <w:rsid w:val="00314B6A"/>
    <w:rsid w:val="00335D00"/>
    <w:rsid w:val="00346B2E"/>
    <w:rsid w:val="00356393"/>
    <w:rsid w:val="00371FB7"/>
    <w:rsid w:val="00375FB9"/>
    <w:rsid w:val="00382043"/>
    <w:rsid w:val="003873F2"/>
    <w:rsid w:val="00393D23"/>
    <w:rsid w:val="003954AF"/>
    <w:rsid w:val="003A3C6F"/>
    <w:rsid w:val="003C30AD"/>
    <w:rsid w:val="003F4950"/>
    <w:rsid w:val="003F7C15"/>
    <w:rsid w:val="004016DC"/>
    <w:rsid w:val="0040293A"/>
    <w:rsid w:val="004104C9"/>
    <w:rsid w:val="00422832"/>
    <w:rsid w:val="0043215A"/>
    <w:rsid w:val="00434A4B"/>
    <w:rsid w:val="00434B63"/>
    <w:rsid w:val="0044393C"/>
    <w:rsid w:val="00461A37"/>
    <w:rsid w:val="00461D38"/>
    <w:rsid w:val="00462FBD"/>
    <w:rsid w:val="004669E7"/>
    <w:rsid w:val="00477B08"/>
    <w:rsid w:val="00487791"/>
    <w:rsid w:val="0049050E"/>
    <w:rsid w:val="00494C1E"/>
    <w:rsid w:val="004A7477"/>
    <w:rsid w:val="004B343E"/>
    <w:rsid w:val="004F5B5E"/>
    <w:rsid w:val="00501226"/>
    <w:rsid w:val="0050604C"/>
    <w:rsid w:val="00512716"/>
    <w:rsid w:val="00516EEE"/>
    <w:rsid w:val="00517404"/>
    <w:rsid w:val="00525164"/>
    <w:rsid w:val="00542F14"/>
    <w:rsid w:val="00562BE9"/>
    <w:rsid w:val="00571472"/>
    <w:rsid w:val="005766F7"/>
    <w:rsid w:val="005A0DE3"/>
    <w:rsid w:val="005C1B1A"/>
    <w:rsid w:val="005C1CFA"/>
    <w:rsid w:val="005C3D84"/>
    <w:rsid w:val="005C4DFD"/>
    <w:rsid w:val="005C7511"/>
    <w:rsid w:val="005C7B04"/>
    <w:rsid w:val="005D543C"/>
    <w:rsid w:val="005D7068"/>
    <w:rsid w:val="00607364"/>
    <w:rsid w:val="00607E43"/>
    <w:rsid w:val="00612EEB"/>
    <w:rsid w:val="00630CB6"/>
    <w:rsid w:val="0063153B"/>
    <w:rsid w:val="0067182B"/>
    <w:rsid w:val="006758F9"/>
    <w:rsid w:val="006806E0"/>
    <w:rsid w:val="00682E81"/>
    <w:rsid w:val="00685660"/>
    <w:rsid w:val="006913D4"/>
    <w:rsid w:val="00696C75"/>
    <w:rsid w:val="006A3645"/>
    <w:rsid w:val="006A4478"/>
    <w:rsid w:val="006B1E6D"/>
    <w:rsid w:val="006B6587"/>
    <w:rsid w:val="006C1A8D"/>
    <w:rsid w:val="006C2B57"/>
    <w:rsid w:val="00704157"/>
    <w:rsid w:val="00711630"/>
    <w:rsid w:val="00720E34"/>
    <w:rsid w:val="00736FE6"/>
    <w:rsid w:val="00762B6A"/>
    <w:rsid w:val="007636B6"/>
    <w:rsid w:val="00763DCB"/>
    <w:rsid w:val="007A1A49"/>
    <w:rsid w:val="007A7364"/>
    <w:rsid w:val="007D371B"/>
    <w:rsid w:val="007F21CB"/>
    <w:rsid w:val="0080596F"/>
    <w:rsid w:val="00826065"/>
    <w:rsid w:val="00827281"/>
    <w:rsid w:val="0083313B"/>
    <w:rsid w:val="00835CD6"/>
    <w:rsid w:val="008601D0"/>
    <w:rsid w:val="00875579"/>
    <w:rsid w:val="00883966"/>
    <w:rsid w:val="00894B10"/>
    <w:rsid w:val="00896DFC"/>
    <w:rsid w:val="008A397E"/>
    <w:rsid w:val="008A47A8"/>
    <w:rsid w:val="008A6EAC"/>
    <w:rsid w:val="008A7A52"/>
    <w:rsid w:val="008B0DF8"/>
    <w:rsid w:val="008B6CC1"/>
    <w:rsid w:val="008C2E6B"/>
    <w:rsid w:val="008C529C"/>
    <w:rsid w:val="008D075F"/>
    <w:rsid w:val="0092220C"/>
    <w:rsid w:val="00926569"/>
    <w:rsid w:val="009315BB"/>
    <w:rsid w:val="009315C5"/>
    <w:rsid w:val="009534F7"/>
    <w:rsid w:val="00954AB2"/>
    <w:rsid w:val="00955567"/>
    <w:rsid w:val="00957F5C"/>
    <w:rsid w:val="00960DC1"/>
    <w:rsid w:val="009707BE"/>
    <w:rsid w:val="0097302D"/>
    <w:rsid w:val="00976E9F"/>
    <w:rsid w:val="009809A9"/>
    <w:rsid w:val="009A5D07"/>
    <w:rsid w:val="009B22DE"/>
    <w:rsid w:val="009D03D1"/>
    <w:rsid w:val="009F3E5E"/>
    <w:rsid w:val="00A03D5D"/>
    <w:rsid w:val="00A04AF7"/>
    <w:rsid w:val="00A14355"/>
    <w:rsid w:val="00A2708D"/>
    <w:rsid w:val="00A63EF2"/>
    <w:rsid w:val="00A6706A"/>
    <w:rsid w:val="00A70EA4"/>
    <w:rsid w:val="00A71C5F"/>
    <w:rsid w:val="00A75FFF"/>
    <w:rsid w:val="00AB5767"/>
    <w:rsid w:val="00AD01FE"/>
    <w:rsid w:val="00AD3632"/>
    <w:rsid w:val="00AE279B"/>
    <w:rsid w:val="00AF16EE"/>
    <w:rsid w:val="00AF4764"/>
    <w:rsid w:val="00AF5C02"/>
    <w:rsid w:val="00B11CBB"/>
    <w:rsid w:val="00B174F7"/>
    <w:rsid w:val="00B2704E"/>
    <w:rsid w:val="00B5360A"/>
    <w:rsid w:val="00B632BE"/>
    <w:rsid w:val="00B7074A"/>
    <w:rsid w:val="00B7151E"/>
    <w:rsid w:val="00B73089"/>
    <w:rsid w:val="00B742F1"/>
    <w:rsid w:val="00B74D74"/>
    <w:rsid w:val="00BA0DC0"/>
    <w:rsid w:val="00BC2126"/>
    <w:rsid w:val="00BE4649"/>
    <w:rsid w:val="00BE5540"/>
    <w:rsid w:val="00C06408"/>
    <w:rsid w:val="00C37802"/>
    <w:rsid w:val="00C45360"/>
    <w:rsid w:val="00C726D4"/>
    <w:rsid w:val="00C77893"/>
    <w:rsid w:val="00C82EEF"/>
    <w:rsid w:val="00C964C2"/>
    <w:rsid w:val="00CB479E"/>
    <w:rsid w:val="00CD392C"/>
    <w:rsid w:val="00CD7437"/>
    <w:rsid w:val="00D01689"/>
    <w:rsid w:val="00D1783D"/>
    <w:rsid w:val="00D44A5B"/>
    <w:rsid w:val="00D4552B"/>
    <w:rsid w:val="00D534AB"/>
    <w:rsid w:val="00D63B6A"/>
    <w:rsid w:val="00D7295A"/>
    <w:rsid w:val="00D73389"/>
    <w:rsid w:val="00D83487"/>
    <w:rsid w:val="00D91540"/>
    <w:rsid w:val="00DA0F23"/>
    <w:rsid w:val="00DB5717"/>
    <w:rsid w:val="00DC0BDB"/>
    <w:rsid w:val="00DD6E7A"/>
    <w:rsid w:val="00E05B43"/>
    <w:rsid w:val="00E11573"/>
    <w:rsid w:val="00E151B4"/>
    <w:rsid w:val="00E1555D"/>
    <w:rsid w:val="00E2345F"/>
    <w:rsid w:val="00E342C8"/>
    <w:rsid w:val="00E41734"/>
    <w:rsid w:val="00E4524C"/>
    <w:rsid w:val="00E842BB"/>
    <w:rsid w:val="00E85174"/>
    <w:rsid w:val="00E974CC"/>
    <w:rsid w:val="00EC5585"/>
    <w:rsid w:val="00EC574A"/>
    <w:rsid w:val="00EC7B9D"/>
    <w:rsid w:val="00ED0C87"/>
    <w:rsid w:val="00ED475B"/>
    <w:rsid w:val="00ED6165"/>
    <w:rsid w:val="00ED71E5"/>
    <w:rsid w:val="00F059AA"/>
    <w:rsid w:val="00F139A0"/>
    <w:rsid w:val="00F16D96"/>
    <w:rsid w:val="00F53279"/>
    <w:rsid w:val="00F778C3"/>
    <w:rsid w:val="00F82C72"/>
    <w:rsid w:val="00F94653"/>
    <w:rsid w:val="00FA6C4C"/>
    <w:rsid w:val="00FB052A"/>
    <w:rsid w:val="00FB0845"/>
    <w:rsid w:val="00FB657B"/>
    <w:rsid w:val="00FB693D"/>
    <w:rsid w:val="00FD0194"/>
    <w:rsid w:val="00FE2CF5"/>
    <w:rsid w:val="00FE7129"/>
    <w:rsid w:val="00FF54DA"/>
    <w:rsid w:val="00FF6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4DB4F"/>
  <w15:docId w15:val="{784E7F8E-E225-40FD-B162-EAC76F9D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1E23"/>
    <w:pPr>
      <w:spacing w:line="280" w:lineRule="exact"/>
      <w:jc w:val="both"/>
    </w:pPr>
    <w:rPr>
      <w:szCs w:val="22"/>
      <w:lang w:eastAsia="en-US"/>
    </w:rPr>
  </w:style>
  <w:style w:type="paragraph" w:styleId="Nadpis1">
    <w:name w:val="heading 1"/>
    <w:basedOn w:val="Normln"/>
    <w:next w:val="Normln"/>
    <w:link w:val="Nadpis1Char"/>
    <w:uiPriority w:val="9"/>
    <w:qFormat/>
    <w:rsid w:val="00FB693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rsid w:val="00FB693D"/>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rsid w:val="00FB693D"/>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
    <w:name w:val="Věc"/>
    <w:basedOn w:val="Normln"/>
    <w:next w:val="Normln"/>
    <w:rsid w:val="003F4950"/>
    <w:rPr>
      <w:b/>
    </w:rPr>
  </w:style>
  <w:style w:type="paragraph" w:styleId="Zhlav">
    <w:name w:val="header"/>
    <w:basedOn w:val="Normln"/>
    <w:link w:val="ZhlavChar"/>
    <w:uiPriority w:val="99"/>
    <w:unhideWhenUsed/>
    <w:rsid w:val="00164F99"/>
    <w:pPr>
      <w:tabs>
        <w:tab w:val="center" w:pos="4536"/>
        <w:tab w:val="right" w:pos="9072"/>
      </w:tabs>
    </w:pPr>
  </w:style>
  <w:style w:type="character" w:customStyle="1" w:styleId="ZhlavChar">
    <w:name w:val="Záhlaví Char"/>
    <w:link w:val="Zhlav"/>
    <w:uiPriority w:val="99"/>
    <w:rsid w:val="00164F99"/>
    <w:rPr>
      <w:szCs w:val="22"/>
      <w:lang w:val="en-US" w:eastAsia="en-US"/>
    </w:rPr>
  </w:style>
  <w:style w:type="paragraph" w:styleId="Zpat">
    <w:name w:val="footer"/>
    <w:basedOn w:val="Normln"/>
    <w:link w:val="ZpatChar"/>
    <w:uiPriority w:val="99"/>
    <w:unhideWhenUsed/>
    <w:rsid w:val="00164F99"/>
    <w:pPr>
      <w:tabs>
        <w:tab w:val="center" w:pos="4536"/>
        <w:tab w:val="right" w:pos="9072"/>
      </w:tabs>
    </w:pPr>
  </w:style>
  <w:style w:type="character" w:customStyle="1" w:styleId="ZpatChar">
    <w:name w:val="Zápatí Char"/>
    <w:link w:val="Zpat"/>
    <w:uiPriority w:val="99"/>
    <w:rsid w:val="00164F99"/>
    <w:rPr>
      <w:szCs w:val="22"/>
      <w:lang w:val="en-US" w:eastAsia="en-US"/>
    </w:rPr>
  </w:style>
  <w:style w:type="paragraph" w:customStyle="1" w:styleId="NzevDokumentu">
    <w:name w:val="NázevDokumentu"/>
    <w:basedOn w:val="Normln"/>
    <w:next w:val="Hlavika"/>
    <w:rsid w:val="00720E34"/>
    <w:pPr>
      <w:spacing w:before="680" w:line="240" w:lineRule="auto"/>
    </w:pPr>
    <w:rPr>
      <w:b/>
      <w:sz w:val="22"/>
    </w:rPr>
  </w:style>
  <w:style w:type="paragraph" w:customStyle="1" w:styleId="Hlavika">
    <w:name w:val="Hlavička"/>
    <w:basedOn w:val="Normln"/>
    <w:rsid w:val="00883966"/>
    <w:pPr>
      <w:spacing w:after="100" w:line="200" w:lineRule="exact"/>
    </w:pPr>
    <w:rPr>
      <w:sz w:val="16"/>
    </w:rPr>
  </w:style>
  <w:style w:type="paragraph" w:customStyle="1" w:styleId="Patika">
    <w:name w:val="Patička"/>
    <w:basedOn w:val="Normln"/>
    <w:rsid w:val="00B632BE"/>
    <w:pPr>
      <w:spacing w:after="100" w:line="200" w:lineRule="exact"/>
    </w:pPr>
    <w:rPr>
      <w:sz w:val="16"/>
    </w:rPr>
  </w:style>
  <w:style w:type="paragraph" w:customStyle="1" w:styleId="HeaderOdKoho">
    <w:name w:val="HeaderOdKoho"/>
    <w:basedOn w:val="Normln"/>
    <w:rsid w:val="002B7106"/>
    <w:pPr>
      <w:spacing w:line="240" w:lineRule="auto"/>
      <w:jc w:val="center"/>
    </w:pPr>
    <w:rPr>
      <w:b/>
      <w:sz w:val="22"/>
    </w:rPr>
  </w:style>
  <w:style w:type="paragraph" w:customStyle="1" w:styleId="HeaderFunkce">
    <w:name w:val="HeaderFunkce"/>
    <w:basedOn w:val="HeaderOdKoho"/>
    <w:next w:val="Hlavika"/>
    <w:rsid w:val="00896DFC"/>
    <w:pPr>
      <w:spacing w:after="120"/>
    </w:pPr>
    <w:rPr>
      <w:b w:val="0"/>
    </w:rPr>
  </w:style>
  <w:style w:type="character" w:customStyle="1" w:styleId="Nadpis2Char">
    <w:name w:val="Nadpis 2 Char"/>
    <w:link w:val="Nadpis2"/>
    <w:uiPriority w:val="9"/>
    <w:rsid w:val="00FB693D"/>
    <w:rPr>
      <w:rFonts w:ascii="Cambria" w:eastAsia="Times New Roman" w:hAnsi="Cambria" w:cs="Times New Roman"/>
      <w:b/>
      <w:bCs/>
      <w:i/>
      <w:iCs/>
      <w:sz w:val="28"/>
      <w:szCs w:val="28"/>
      <w:lang w:val="en-US" w:eastAsia="en-US"/>
    </w:rPr>
  </w:style>
  <w:style w:type="character" w:customStyle="1" w:styleId="Nadpis1Char">
    <w:name w:val="Nadpis 1 Char"/>
    <w:link w:val="Nadpis1"/>
    <w:uiPriority w:val="9"/>
    <w:rsid w:val="00FB693D"/>
    <w:rPr>
      <w:rFonts w:ascii="Cambria" w:eastAsia="Times New Roman" w:hAnsi="Cambria" w:cs="Times New Roman"/>
      <w:b/>
      <w:bCs/>
      <w:kern w:val="32"/>
      <w:sz w:val="32"/>
      <w:szCs w:val="32"/>
      <w:lang w:val="en-US" w:eastAsia="en-US"/>
    </w:rPr>
  </w:style>
  <w:style w:type="character" w:customStyle="1" w:styleId="Nadpis3Char">
    <w:name w:val="Nadpis 3 Char"/>
    <w:link w:val="Nadpis3"/>
    <w:uiPriority w:val="9"/>
    <w:rsid w:val="00FB693D"/>
    <w:rPr>
      <w:rFonts w:ascii="Cambria" w:eastAsia="Times New Roman" w:hAnsi="Cambria" w:cs="Times New Roman"/>
      <w:b/>
      <w:bCs/>
      <w:sz w:val="26"/>
      <w:szCs w:val="26"/>
      <w:lang w:val="en-US" w:eastAsia="en-US"/>
    </w:rPr>
  </w:style>
  <w:style w:type="paragraph" w:styleId="Nzev">
    <w:name w:val="Title"/>
    <w:basedOn w:val="Normln"/>
    <w:next w:val="Normln"/>
    <w:link w:val="NzevChar"/>
    <w:uiPriority w:val="10"/>
    <w:rsid w:val="00FB693D"/>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B693D"/>
    <w:rPr>
      <w:rFonts w:ascii="Cambria" w:eastAsia="Times New Roman" w:hAnsi="Cambria" w:cs="Times New Roman"/>
      <w:b/>
      <w:bCs/>
      <w:kern w:val="28"/>
      <w:sz w:val="32"/>
      <w:szCs w:val="32"/>
      <w:lang w:val="en-US" w:eastAsia="en-US"/>
    </w:rPr>
  </w:style>
  <w:style w:type="paragraph" w:styleId="Podnadpis">
    <w:name w:val="Subtitle"/>
    <w:basedOn w:val="Normln"/>
    <w:next w:val="Normln"/>
    <w:link w:val="PodnadpisChar"/>
    <w:uiPriority w:val="11"/>
    <w:rsid w:val="00FB693D"/>
    <w:pPr>
      <w:spacing w:after="60"/>
      <w:jc w:val="center"/>
      <w:outlineLvl w:val="1"/>
    </w:pPr>
    <w:rPr>
      <w:rFonts w:ascii="Cambria" w:eastAsia="Times New Roman" w:hAnsi="Cambria"/>
      <w:sz w:val="24"/>
      <w:szCs w:val="24"/>
    </w:rPr>
  </w:style>
  <w:style w:type="character" w:customStyle="1" w:styleId="PodnadpisChar">
    <w:name w:val="Podnadpis Char"/>
    <w:link w:val="Podnadpis"/>
    <w:uiPriority w:val="11"/>
    <w:rsid w:val="00FB693D"/>
    <w:rPr>
      <w:rFonts w:ascii="Cambria" w:eastAsia="Times New Roman" w:hAnsi="Cambria" w:cs="Times New Roman"/>
      <w:sz w:val="24"/>
      <w:szCs w:val="24"/>
      <w:lang w:val="en-US" w:eastAsia="en-US"/>
    </w:rPr>
  </w:style>
  <w:style w:type="character" w:styleId="Zdraznnjemn">
    <w:name w:val="Subtle Emphasis"/>
    <w:uiPriority w:val="19"/>
    <w:rsid w:val="00FB693D"/>
    <w:rPr>
      <w:i/>
      <w:iCs/>
      <w:color w:val="808080"/>
    </w:rPr>
  </w:style>
  <w:style w:type="paragraph" w:styleId="Odstavecseseznamem">
    <w:name w:val="List Paragraph"/>
    <w:basedOn w:val="Normln"/>
    <w:uiPriority w:val="34"/>
    <w:qFormat/>
    <w:rsid w:val="00FB693D"/>
    <w:pPr>
      <w:ind w:left="708"/>
    </w:pPr>
  </w:style>
  <w:style w:type="character" w:styleId="Hypertextovodkaz">
    <w:name w:val="Hyperlink"/>
    <w:basedOn w:val="Standardnpsmoodstavce"/>
    <w:uiPriority w:val="99"/>
    <w:unhideWhenUsed/>
    <w:rsid w:val="00FF54DA"/>
    <w:rPr>
      <w:color w:val="0000FF" w:themeColor="hyperlink"/>
      <w:u w:val="single"/>
    </w:rPr>
  </w:style>
  <w:style w:type="paragraph" w:styleId="Textbubliny">
    <w:name w:val="Balloon Text"/>
    <w:basedOn w:val="Normln"/>
    <w:link w:val="TextbublinyChar"/>
    <w:uiPriority w:val="99"/>
    <w:semiHidden/>
    <w:unhideWhenUsed/>
    <w:rsid w:val="00960DC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0DC1"/>
    <w:rPr>
      <w:rFonts w:ascii="Tahoma" w:hAnsi="Tahoma" w:cs="Tahoma"/>
      <w:sz w:val="16"/>
      <w:szCs w:val="16"/>
      <w:lang w:eastAsia="en-US"/>
    </w:rPr>
  </w:style>
  <w:style w:type="paragraph" w:styleId="Textpoznpodarou">
    <w:name w:val="footnote text"/>
    <w:basedOn w:val="Normln"/>
    <w:link w:val="TextpoznpodarouChar"/>
    <w:uiPriority w:val="99"/>
    <w:semiHidden/>
    <w:unhideWhenUsed/>
    <w:rsid w:val="00C726D4"/>
    <w:pPr>
      <w:spacing w:line="240" w:lineRule="auto"/>
    </w:pPr>
    <w:rPr>
      <w:szCs w:val="20"/>
    </w:rPr>
  </w:style>
  <w:style w:type="character" w:customStyle="1" w:styleId="TextpoznpodarouChar">
    <w:name w:val="Text pozn. pod čarou Char"/>
    <w:basedOn w:val="Standardnpsmoodstavce"/>
    <w:link w:val="Textpoznpodarou"/>
    <w:uiPriority w:val="99"/>
    <w:semiHidden/>
    <w:rsid w:val="00C726D4"/>
    <w:rPr>
      <w:lang w:eastAsia="en-US"/>
    </w:rPr>
  </w:style>
  <w:style w:type="character" w:styleId="Znakapoznpodarou">
    <w:name w:val="footnote reference"/>
    <w:basedOn w:val="Standardnpsmoodstavce"/>
    <w:uiPriority w:val="99"/>
    <w:semiHidden/>
    <w:unhideWhenUsed/>
    <w:rsid w:val="00C72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3668">
      <w:bodyDiv w:val="1"/>
      <w:marLeft w:val="0"/>
      <w:marRight w:val="0"/>
      <w:marTop w:val="0"/>
      <w:marBottom w:val="0"/>
      <w:divBdr>
        <w:top w:val="none" w:sz="0" w:space="0" w:color="auto"/>
        <w:left w:val="none" w:sz="0" w:space="0" w:color="auto"/>
        <w:bottom w:val="none" w:sz="0" w:space="0" w:color="auto"/>
        <w:right w:val="none" w:sz="0" w:space="0" w:color="auto"/>
      </w:divBdr>
    </w:div>
    <w:div w:id="922298574">
      <w:bodyDiv w:val="1"/>
      <w:marLeft w:val="0"/>
      <w:marRight w:val="0"/>
      <w:marTop w:val="0"/>
      <w:marBottom w:val="0"/>
      <w:divBdr>
        <w:top w:val="none" w:sz="0" w:space="0" w:color="auto"/>
        <w:left w:val="none" w:sz="0" w:space="0" w:color="auto"/>
        <w:bottom w:val="none" w:sz="0" w:space="0" w:color="auto"/>
        <w:right w:val="none" w:sz="0" w:space="0" w:color="auto"/>
      </w:divBdr>
      <w:divsChild>
        <w:div w:id="238947960">
          <w:marLeft w:val="547"/>
          <w:marRight w:val="0"/>
          <w:marTop w:val="200"/>
          <w:marBottom w:val="200"/>
          <w:divBdr>
            <w:top w:val="none" w:sz="0" w:space="0" w:color="auto"/>
            <w:left w:val="none" w:sz="0" w:space="0" w:color="auto"/>
            <w:bottom w:val="none" w:sz="0" w:space="0" w:color="auto"/>
            <w:right w:val="none" w:sz="0" w:space="0" w:color="auto"/>
          </w:divBdr>
        </w:div>
        <w:div w:id="1240754803">
          <w:marLeft w:val="547"/>
          <w:marRight w:val="0"/>
          <w:marTop w:val="200"/>
          <w:marBottom w:val="200"/>
          <w:divBdr>
            <w:top w:val="none" w:sz="0" w:space="0" w:color="auto"/>
            <w:left w:val="none" w:sz="0" w:space="0" w:color="auto"/>
            <w:bottom w:val="none" w:sz="0" w:space="0" w:color="auto"/>
            <w:right w:val="none" w:sz="0" w:space="0" w:color="auto"/>
          </w:divBdr>
        </w:div>
        <w:div w:id="973028505">
          <w:marLeft w:val="547"/>
          <w:marRight w:val="0"/>
          <w:marTop w:val="200"/>
          <w:marBottom w:val="200"/>
          <w:divBdr>
            <w:top w:val="none" w:sz="0" w:space="0" w:color="auto"/>
            <w:left w:val="none" w:sz="0" w:space="0" w:color="auto"/>
            <w:bottom w:val="none" w:sz="0" w:space="0" w:color="auto"/>
            <w:right w:val="none" w:sz="0" w:space="0" w:color="auto"/>
          </w:divBdr>
        </w:div>
        <w:div w:id="650449522">
          <w:marLeft w:val="547"/>
          <w:marRight w:val="0"/>
          <w:marTop w:val="200"/>
          <w:marBottom w:val="200"/>
          <w:divBdr>
            <w:top w:val="none" w:sz="0" w:space="0" w:color="auto"/>
            <w:left w:val="none" w:sz="0" w:space="0" w:color="auto"/>
            <w:bottom w:val="none" w:sz="0" w:space="0" w:color="auto"/>
            <w:right w:val="none" w:sz="0" w:space="0" w:color="auto"/>
          </w:divBdr>
        </w:div>
      </w:divsChild>
    </w:div>
    <w:div w:id="18359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sspraha.cz/category/28-prefabrikovane-tribun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sspraha.cz/category/28-prefabrikovane-tribuny" TargetMode="External"/><Relationship Id="rId17" Type="http://schemas.openxmlformats.org/officeDocument/2006/relationships/hyperlink" Target="http://www.rsspraha.cz/category/28-prefabrikovane-tribuny" TargetMode="External"/><Relationship Id="rId2" Type="http://schemas.openxmlformats.org/officeDocument/2006/relationships/numbering" Target="numbering.xml"/><Relationship Id="rId16" Type="http://schemas.openxmlformats.org/officeDocument/2006/relationships/hyperlink" Target="http://www.rsspraha.cz/category/28-prefabrikovane-tribun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spraha.cz/category/28-prefabrikovane-tribuny"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273C-F7FC-4F28-838E-F3CC43F9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1255</Words>
  <Characters>7411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Šablona dokumentu</vt:lpstr>
    </vt:vector>
  </TitlesOfParts>
  <Company>Ansuz, s. r. o.</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dokumentu</dc:title>
  <dc:creator>Jana Machačková</dc:creator>
  <cp:lastModifiedBy>Franková Martina</cp:lastModifiedBy>
  <cp:revision>3</cp:revision>
  <cp:lastPrinted>2016-10-31T09:43:00Z</cp:lastPrinted>
  <dcterms:created xsi:type="dcterms:W3CDTF">2018-07-13T08:52:00Z</dcterms:created>
  <dcterms:modified xsi:type="dcterms:W3CDTF">2018-07-18T09:29:00Z</dcterms:modified>
</cp:coreProperties>
</file>