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D6F7D" w14:textId="72E7B0E1" w:rsidR="00DE6819" w:rsidRPr="00FE243A" w:rsidRDefault="00DE6819" w:rsidP="0047513D">
      <w:pPr>
        <w:pStyle w:val="Zhlav"/>
        <w:tabs>
          <w:tab w:val="clear" w:pos="4536"/>
          <w:tab w:val="left" w:pos="3119"/>
          <w:tab w:val="center" w:pos="4253"/>
        </w:tabs>
        <w:ind w:left="5529"/>
        <w:rPr>
          <w:rFonts w:ascii="Arial" w:hAnsi="Arial" w:cs="Arial"/>
          <w:b/>
          <w:sz w:val="28"/>
          <w:szCs w:val="28"/>
        </w:rPr>
      </w:pPr>
    </w:p>
    <w:p w14:paraId="23BAEC26" w14:textId="3D798D7E" w:rsidR="00453282" w:rsidRPr="00FE243A" w:rsidRDefault="00174F18" w:rsidP="0047513D">
      <w:pPr>
        <w:pStyle w:val="Odstavecseseznamem"/>
        <w:numPr>
          <w:ilvl w:val="0"/>
          <w:numId w:val="1"/>
        </w:numPr>
        <w:spacing w:after="240" w:line="240" w:lineRule="exact"/>
        <w:ind w:left="567" w:hanging="567"/>
        <w:rPr>
          <w:rFonts w:ascii="Arial" w:hAnsi="Arial" w:cs="Arial"/>
          <w:b/>
        </w:rPr>
      </w:pPr>
      <w:r w:rsidRPr="00FE243A">
        <w:rPr>
          <w:rFonts w:ascii="Arial" w:hAnsi="Arial" w:cs="Arial"/>
          <w:b/>
        </w:rPr>
        <w:t>Cíl</w:t>
      </w:r>
    </w:p>
    <w:p w14:paraId="55022A32" w14:textId="5E13126F" w:rsidR="007C3611" w:rsidRPr="00FE243A" w:rsidRDefault="00845C31" w:rsidP="005C25AF">
      <w:pPr>
        <w:spacing w:after="240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 xml:space="preserve">Cílem </w:t>
      </w:r>
      <w:r w:rsidR="006038FF">
        <w:rPr>
          <w:rFonts w:ascii="Arial" w:hAnsi="Arial" w:cs="Arial"/>
          <w:sz w:val="20"/>
          <w:szCs w:val="20"/>
        </w:rPr>
        <w:t>pod</w:t>
      </w:r>
      <w:r w:rsidRPr="00FE243A">
        <w:rPr>
          <w:rFonts w:ascii="Arial" w:hAnsi="Arial" w:cs="Arial"/>
          <w:sz w:val="20"/>
          <w:szCs w:val="20"/>
        </w:rPr>
        <w:t>programu j</w:t>
      </w:r>
      <w:r w:rsidR="00024914" w:rsidRPr="00FE243A">
        <w:rPr>
          <w:rFonts w:ascii="Arial" w:hAnsi="Arial" w:cs="Arial"/>
          <w:sz w:val="20"/>
          <w:szCs w:val="20"/>
        </w:rPr>
        <w:t>e podpořit nabídku</w:t>
      </w:r>
      <w:r w:rsidR="00473F47" w:rsidRPr="00FE243A">
        <w:rPr>
          <w:rFonts w:ascii="Arial" w:hAnsi="Arial" w:cs="Arial"/>
          <w:sz w:val="20"/>
          <w:szCs w:val="20"/>
        </w:rPr>
        <w:t xml:space="preserve"> </w:t>
      </w:r>
      <w:r w:rsidRPr="00FE243A">
        <w:rPr>
          <w:rFonts w:ascii="Arial" w:hAnsi="Arial" w:cs="Arial"/>
          <w:sz w:val="20"/>
          <w:szCs w:val="20"/>
        </w:rPr>
        <w:t xml:space="preserve">zainvestovaných </w:t>
      </w:r>
      <w:r w:rsidR="00473F47" w:rsidRPr="00FE243A">
        <w:rPr>
          <w:rFonts w:ascii="Arial" w:hAnsi="Arial" w:cs="Arial"/>
          <w:sz w:val="20"/>
          <w:szCs w:val="20"/>
        </w:rPr>
        <w:t>pozemků pro</w:t>
      </w:r>
      <w:r w:rsidR="00713D3E" w:rsidRPr="00FE243A">
        <w:rPr>
          <w:rFonts w:ascii="Arial" w:hAnsi="Arial" w:cs="Arial"/>
          <w:sz w:val="20"/>
          <w:szCs w:val="20"/>
        </w:rPr>
        <w:t xml:space="preserve"> následnou</w:t>
      </w:r>
      <w:r w:rsidR="00473F47" w:rsidRPr="00FE243A">
        <w:rPr>
          <w:rFonts w:ascii="Arial" w:hAnsi="Arial" w:cs="Arial"/>
          <w:sz w:val="20"/>
          <w:szCs w:val="20"/>
        </w:rPr>
        <w:t xml:space="preserve"> bytovou výstavbu </w:t>
      </w:r>
      <w:r w:rsidRPr="00FE243A">
        <w:rPr>
          <w:rFonts w:ascii="Arial" w:hAnsi="Arial" w:cs="Arial"/>
          <w:sz w:val="20"/>
          <w:szCs w:val="20"/>
        </w:rPr>
        <w:t>v území dotčeném působením velkého investora</w:t>
      </w:r>
      <w:r w:rsidR="00FB6E60" w:rsidRPr="00FE243A">
        <w:rPr>
          <w:rFonts w:ascii="Arial" w:hAnsi="Arial" w:cs="Arial"/>
          <w:sz w:val="20"/>
          <w:szCs w:val="20"/>
        </w:rPr>
        <w:t xml:space="preserve">. Jedná se o území, kde dochází k disproporci mezi </w:t>
      </w:r>
      <w:r w:rsidRPr="00FE243A">
        <w:rPr>
          <w:rFonts w:ascii="Arial" w:hAnsi="Arial" w:cs="Arial"/>
          <w:sz w:val="20"/>
          <w:szCs w:val="20"/>
        </w:rPr>
        <w:t>rychle rostoucí nabídkou pracovních příležitostí</w:t>
      </w:r>
      <w:r w:rsidR="00FB6E60" w:rsidRPr="00FE243A">
        <w:rPr>
          <w:rFonts w:ascii="Arial" w:hAnsi="Arial" w:cs="Arial"/>
          <w:sz w:val="20"/>
          <w:szCs w:val="20"/>
        </w:rPr>
        <w:t xml:space="preserve"> a nízkou nabídkou trvalého bydlení</w:t>
      </w:r>
      <w:r w:rsidRPr="00FE243A">
        <w:rPr>
          <w:rFonts w:ascii="Arial" w:hAnsi="Arial" w:cs="Arial"/>
          <w:sz w:val="20"/>
          <w:szCs w:val="20"/>
        </w:rPr>
        <w:t xml:space="preserve">. Zvýšení počtu bytů </w:t>
      </w:r>
      <w:r w:rsidR="00D10EDD" w:rsidRPr="00FE243A">
        <w:rPr>
          <w:rFonts w:ascii="Arial" w:hAnsi="Arial" w:cs="Arial"/>
          <w:sz w:val="20"/>
          <w:szCs w:val="20"/>
        </w:rPr>
        <w:t xml:space="preserve">v bytových </w:t>
      </w:r>
      <w:r w:rsidR="00FB6E60" w:rsidRPr="00FE243A">
        <w:rPr>
          <w:rFonts w:ascii="Arial" w:hAnsi="Arial" w:cs="Arial"/>
          <w:sz w:val="20"/>
          <w:szCs w:val="20"/>
        </w:rPr>
        <w:t>či rodinných dom</w:t>
      </w:r>
      <w:r w:rsidR="00D10EDD" w:rsidRPr="00FE243A">
        <w:rPr>
          <w:rFonts w:ascii="Arial" w:hAnsi="Arial" w:cs="Arial"/>
          <w:sz w:val="20"/>
          <w:szCs w:val="20"/>
        </w:rPr>
        <w:t xml:space="preserve">ech </w:t>
      </w:r>
      <w:r w:rsidR="00353FCF" w:rsidRPr="00FE243A">
        <w:rPr>
          <w:rFonts w:ascii="Arial" w:hAnsi="Arial" w:cs="Arial"/>
          <w:sz w:val="20"/>
          <w:szCs w:val="20"/>
        </w:rPr>
        <w:t>při</w:t>
      </w:r>
      <w:r w:rsidR="00B81204" w:rsidRPr="00FE243A">
        <w:rPr>
          <w:rFonts w:ascii="Arial" w:hAnsi="Arial" w:cs="Arial"/>
          <w:sz w:val="20"/>
          <w:szCs w:val="20"/>
        </w:rPr>
        <w:t xml:space="preserve">spěje </w:t>
      </w:r>
      <w:r w:rsidRPr="00FE243A">
        <w:rPr>
          <w:rFonts w:ascii="Arial" w:hAnsi="Arial" w:cs="Arial"/>
          <w:sz w:val="20"/>
          <w:szCs w:val="20"/>
        </w:rPr>
        <w:t xml:space="preserve">ke </w:t>
      </w:r>
      <w:r w:rsidR="00B81204" w:rsidRPr="00FE243A">
        <w:rPr>
          <w:rFonts w:ascii="Arial" w:hAnsi="Arial" w:cs="Arial"/>
          <w:sz w:val="20"/>
          <w:szCs w:val="20"/>
        </w:rPr>
        <w:t>zvýšení počtu trval</w:t>
      </w:r>
      <w:r w:rsidR="00364D98" w:rsidRPr="00FE243A">
        <w:rPr>
          <w:rFonts w:ascii="Arial" w:hAnsi="Arial" w:cs="Arial"/>
          <w:sz w:val="20"/>
          <w:szCs w:val="20"/>
        </w:rPr>
        <w:t>e</w:t>
      </w:r>
      <w:r w:rsidR="00B81204" w:rsidRPr="00FE243A">
        <w:rPr>
          <w:rFonts w:ascii="Arial" w:hAnsi="Arial" w:cs="Arial"/>
          <w:sz w:val="20"/>
          <w:szCs w:val="20"/>
        </w:rPr>
        <w:t xml:space="preserve"> hlášených obyvatel, snížení dojížďky za prací a omezení přechodného ubytování. </w:t>
      </w:r>
      <w:r w:rsidR="00353FCF" w:rsidRPr="00FE243A">
        <w:rPr>
          <w:rFonts w:ascii="Arial" w:hAnsi="Arial" w:cs="Arial"/>
          <w:sz w:val="20"/>
          <w:szCs w:val="20"/>
        </w:rPr>
        <w:t xml:space="preserve">Dojde tak ke </w:t>
      </w:r>
      <w:r w:rsidRPr="00FE243A">
        <w:rPr>
          <w:rFonts w:ascii="Arial" w:hAnsi="Arial" w:cs="Arial"/>
          <w:sz w:val="20"/>
          <w:szCs w:val="20"/>
        </w:rPr>
        <w:t>zlepšení životních podmínek v obcích, které se bez potřebné infrastruktury potýkají s nadměrným přílivem pracovní síly. </w:t>
      </w:r>
      <w:r w:rsidR="0038366C" w:rsidRPr="00FE243A">
        <w:rPr>
          <w:rFonts w:ascii="Arial" w:hAnsi="Arial" w:cs="Arial"/>
          <w:sz w:val="20"/>
          <w:szCs w:val="20"/>
        </w:rPr>
        <w:t xml:space="preserve">Zvýšení nabídky zainvestovaných pozemků přispěje k </w:t>
      </w:r>
      <w:r w:rsidRPr="00FE243A">
        <w:rPr>
          <w:rFonts w:ascii="Arial" w:hAnsi="Arial" w:cs="Arial"/>
          <w:sz w:val="20"/>
          <w:szCs w:val="20"/>
        </w:rPr>
        <w:t>nárůst</w:t>
      </w:r>
      <w:r w:rsidR="0038366C" w:rsidRPr="00FE243A">
        <w:rPr>
          <w:rFonts w:ascii="Arial" w:hAnsi="Arial" w:cs="Arial"/>
          <w:sz w:val="20"/>
          <w:szCs w:val="20"/>
        </w:rPr>
        <w:t>u</w:t>
      </w:r>
      <w:r w:rsidRPr="00FE243A">
        <w:rPr>
          <w:rFonts w:ascii="Arial" w:hAnsi="Arial" w:cs="Arial"/>
          <w:sz w:val="20"/>
          <w:szCs w:val="20"/>
        </w:rPr>
        <w:t xml:space="preserve"> trvale </w:t>
      </w:r>
      <w:r w:rsidR="0062173E">
        <w:rPr>
          <w:rFonts w:ascii="Arial" w:hAnsi="Arial" w:cs="Arial"/>
          <w:sz w:val="20"/>
          <w:szCs w:val="20"/>
        </w:rPr>
        <w:t>hlášených</w:t>
      </w:r>
      <w:r w:rsidR="0062173E" w:rsidRPr="00FE243A">
        <w:rPr>
          <w:rFonts w:ascii="Arial" w:hAnsi="Arial" w:cs="Arial"/>
          <w:sz w:val="20"/>
          <w:szCs w:val="20"/>
        </w:rPr>
        <w:t xml:space="preserve"> </w:t>
      </w:r>
      <w:r w:rsidRPr="00FE243A">
        <w:rPr>
          <w:rFonts w:ascii="Arial" w:hAnsi="Arial" w:cs="Arial"/>
          <w:sz w:val="20"/>
          <w:szCs w:val="20"/>
        </w:rPr>
        <w:t>obyvatel s dopadem na rozpočty místních samospráv, kterým se tak rozšíří možnosti ke zvyšování bezpečnosti, ke zlepšování životního prostředí a k dalšímu rozšiřování potřebných služeb pro své občany</w:t>
      </w:r>
      <w:r w:rsidR="00FB176B">
        <w:rPr>
          <w:rFonts w:ascii="Arial" w:hAnsi="Arial" w:cs="Arial"/>
          <w:sz w:val="20"/>
          <w:szCs w:val="20"/>
        </w:rPr>
        <w:t>.</w:t>
      </w:r>
    </w:p>
    <w:p w14:paraId="4F19A970" w14:textId="1CB707AA" w:rsidR="00DA3D85" w:rsidRPr="00FE243A" w:rsidRDefault="00DA3D85" w:rsidP="0047513D">
      <w:pPr>
        <w:pStyle w:val="Odstavecseseznamem"/>
        <w:numPr>
          <w:ilvl w:val="0"/>
          <w:numId w:val="1"/>
        </w:numPr>
        <w:spacing w:after="240" w:line="240" w:lineRule="exact"/>
        <w:ind w:left="567" w:hanging="567"/>
        <w:rPr>
          <w:rFonts w:ascii="Arial" w:hAnsi="Arial" w:cs="Arial"/>
          <w:b/>
        </w:rPr>
      </w:pPr>
      <w:r w:rsidRPr="00FE243A">
        <w:rPr>
          <w:rFonts w:ascii="Arial" w:hAnsi="Arial" w:cs="Arial"/>
          <w:b/>
        </w:rPr>
        <w:t>Parametr</w:t>
      </w:r>
      <w:r w:rsidR="00FB176B">
        <w:rPr>
          <w:rFonts w:ascii="Arial" w:hAnsi="Arial" w:cs="Arial"/>
          <w:b/>
        </w:rPr>
        <w:t xml:space="preserve"> a indikátor</w:t>
      </w:r>
      <w:r w:rsidRPr="00FE243A">
        <w:rPr>
          <w:rFonts w:ascii="Arial" w:hAnsi="Arial" w:cs="Arial"/>
          <w:b/>
        </w:rPr>
        <w:t xml:space="preserve"> </w:t>
      </w:r>
      <w:r w:rsidR="006038FF">
        <w:rPr>
          <w:rFonts w:ascii="Arial" w:hAnsi="Arial" w:cs="Arial"/>
          <w:b/>
        </w:rPr>
        <w:t>pod</w:t>
      </w:r>
      <w:r w:rsidR="00F76A88" w:rsidRPr="00FE243A">
        <w:rPr>
          <w:rFonts w:ascii="Arial" w:hAnsi="Arial" w:cs="Arial"/>
          <w:b/>
        </w:rPr>
        <w:t>p</w:t>
      </w:r>
      <w:r w:rsidRPr="00FE243A">
        <w:rPr>
          <w:rFonts w:ascii="Arial" w:hAnsi="Arial" w:cs="Arial"/>
          <w:b/>
        </w:rPr>
        <w:t>rogramu</w:t>
      </w:r>
    </w:p>
    <w:p w14:paraId="26860F65" w14:textId="61BB2B4E" w:rsidR="007C3611" w:rsidRDefault="00FB176B" w:rsidP="0047513D">
      <w:pPr>
        <w:spacing w:after="12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Parametrem </w:t>
      </w:r>
      <w:r w:rsidR="006038FF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programu je</w:t>
      </w:r>
      <w:r w:rsidR="006657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C952A6" w:rsidRPr="00FE243A">
        <w:rPr>
          <w:rFonts w:ascii="Arial" w:hAnsi="Arial" w:cs="Arial"/>
          <w:sz w:val="20"/>
          <w:szCs w:val="20"/>
        </w:rPr>
        <w:t>oč</w:t>
      </w:r>
      <w:r w:rsidR="005D2D7A" w:rsidRPr="00FE243A">
        <w:rPr>
          <w:rFonts w:ascii="Arial" w:hAnsi="Arial" w:cs="Arial"/>
          <w:sz w:val="20"/>
          <w:szCs w:val="20"/>
        </w:rPr>
        <w:t>e</w:t>
      </w:r>
      <w:r w:rsidR="00C952A6" w:rsidRPr="00FE243A">
        <w:rPr>
          <w:rFonts w:ascii="Arial" w:hAnsi="Arial" w:cs="Arial"/>
          <w:sz w:val="20"/>
          <w:szCs w:val="20"/>
        </w:rPr>
        <w:t xml:space="preserve">t </w:t>
      </w:r>
      <w:r w:rsidR="0062173E">
        <w:rPr>
          <w:rFonts w:ascii="Arial" w:hAnsi="Arial" w:cs="Arial"/>
          <w:sz w:val="20"/>
          <w:szCs w:val="20"/>
        </w:rPr>
        <w:t xml:space="preserve">zainvestovaných </w:t>
      </w:r>
      <w:r w:rsidR="00EA7985" w:rsidRPr="00FE243A">
        <w:rPr>
          <w:rFonts w:ascii="Arial" w:hAnsi="Arial" w:cs="Arial"/>
          <w:sz w:val="20"/>
          <w:szCs w:val="20"/>
        </w:rPr>
        <w:t xml:space="preserve">stavebních </w:t>
      </w:r>
      <w:r w:rsidR="00DB22DC" w:rsidRPr="00FE243A">
        <w:rPr>
          <w:rFonts w:ascii="Arial" w:hAnsi="Arial" w:cs="Arial"/>
          <w:sz w:val="20"/>
          <w:szCs w:val="20"/>
        </w:rPr>
        <w:t>pozemků</w:t>
      </w:r>
      <w:r w:rsidR="00C952A6" w:rsidRPr="00FE243A">
        <w:rPr>
          <w:rFonts w:ascii="Arial" w:hAnsi="Arial" w:cs="Arial"/>
          <w:sz w:val="20"/>
          <w:szCs w:val="20"/>
        </w:rPr>
        <w:t>.</w:t>
      </w:r>
    </w:p>
    <w:p w14:paraId="00096A24" w14:textId="1D81A430" w:rsidR="00ED4E2D" w:rsidRPr="00FE243A" w:rsidRDefault="00BD3A73" w:rsidP="0047513D">
      <w:pPr>
        <w:spacing w:after="12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Indikátor</w:t>
      </w:r>
      <w:r w:rsidR="00A72825">
        <w:rPr>
          <w:rFonts w:ascii="Arial" w:hAnsi="Arial" w:cs="Arial"/>
          <w:sz w:val="20"/>
          <w:szCs w:val="20"/>
        </w:rPr>
        <w:t>em</w:t>
      </w:r>
      <w:r w:rsidR="00ED4E2D" w:rsidRPr="00ED4E2D">
        <w:rPr>
          <w:rFonts w:ascii="Arial" w:hAnsi="Arial" w:cs="Arial"/>
          <w:sz w:val="20"/>
          <w:szCs w:val="20"/>
        </w:rPr>
        <w:t xml:space="preserve"> </w:t>
      </w:r>
      <w:r w:rsidR="006038FF">
        <w:rPr>
          <w:rFonts w:ascii="Arial" w:hAnsi="Arial" w:cs="Arial"/>
          <w:sz w:val="20"/>
          <w:szCs w:val="20"/>
        </w:rPr>
        <w:t>pod</w:t>
      </w:r>
      <w:r w:rsidR="00ED4E2D" w:rsidRPr="00ED4E2D">
        <w:rPr>
          <w:rFonts w:ascii="Arial" w:hAnsi="Arial" w:cs="Arial"/>
          <w:sz w:val="20"/>
          <w:szCs w:val="20"/>
        </w:rPr>
        <w:t>programu</w:t>
      </w:r>
      <w:r w:rsidR="00A72825">
        <w:rPr>
          <w:rFonts w:ascii="Arial" w:hAnsi="Arial" w:cs="Arial"/>
          <w:sz w:val="20"/>
          <w:szCs w:val="20"/>
        </w:rPr>
        <w:t xml:space="preserve"> je</w:t>
      </w:r>
      <w:r w:rsidR="00ED4E2D" w:rsidRPr="00ED4E2D">
        <w:rPr>
          <w:rFonts w:ascii="Arial" w:hAnsi="Arial" w:cs="Arial"/>
          <w:sz w:val="20"/>
          <w:szCs w:val="20"/>
        </w:rPr>
        <w:t xml:space="preserve"> přírůstek trvale </w:t>
      </w:r>
      <w:r w:rsidR="0062173E">
        <w:rPr>
          <w:rFonts w:ascii="Arial" w:hAnsi="Arial" w:cs="Arial"/>
          <w:sz w:val="20"/>
          <w:szCs w:val="20"/>
        </w:rPr>
        <w:t>hlášených</w:t>
      </w:r>
      <w:r w:rsidR="0062173E" w:rsidRPr="00ED4E2D">
        <w:rPr>
          <w:rFonts w:ascii="Arial" w:hAnsi="Arial" w:cs="Arial"/>
          <w:sz w:val="20"/>
          <w:szCs w:val="20"/>
        </w:rPr>
        <w:t xml:space="preserve"> </w:t>
      </w:r>
      <w:r w:rsidR="00ED4E2D" w:rsidRPr="00ED4E2D">
        <w:rPr>
          <w:rFonts w:ascii="Arial" w:hAnsi="Arial" w:cs="Arial"/>
          <w:sz w:val="20"/>
          <w:szCs w:val="20"/>
        </w:rPr>
        <w:t>obyvatel</w:t>
      </w:r>
      <w:r w:rsidR="0062173E">
        <w:rPr>
          <w:rFonts w:ascii="Arial" w:hAnsi="Arial" w:cs="Arial"/>
          <w:sz w:val="20"/>
          <w:szCs w:val="20"/>
        </w:rPr>
        <w:t xml:space="preserve"> v obci</w:t>
      </w:r>
      <w:r w:rsidR="00ED4E2D" w:rsidRPr="00ED4E2D">
        <w:rPr>
          <w:rFonts w:ascii="Arial" w:hAnsi="Arial" w:cs="Arial"/>
          <w:sz w:val="20"/>
          <w:szCs w:val="20"/>
        </w:rPr>
        <w:t>.</w:t>
      </w:r>
    </w:p>
    <w:p w14:paraId="04398F65" w14:textId="77777777" w:rsidR="005D2D7A" w:rsidRPr="00FE243A" w:rsidRDefault="005D2D7A" w:rsidP="0047513D">
      <w:pPr>
        <w:spacing w:after="120" w:line="240" w:lineRule="exact"/>
        <w:rPr>
          <w:rFonts w:ascii="Arial" w:hAnsi="Arial" w:cs="Arial"/>
          <w:sz w:val="20"/>
          <w:szCs w:val="20"/>
        </w:rPr>
      </w:pPr>
    </w:p>
    <w:p w14:paraId="2F3EBE88" w14:textId="77777777" w:rsidR="00804F19" w:rsidRPr="00FE243A" w:rsidRDefault="00DA3D85" w:rsidP="0047513D">
      <w:pPr>
        <w:pStyle w:val="Odstavecseseznamem"/>
        <w:numPr>
          <w:ilvl w:val="0"/>
          <w:numId w:val="1"/>
        </w:numPr>
        <w:spacing w:after="240" w:line="240" w:lineRule="exact"/>
        <w:ind w:left="567" w:hanging="567"/>
        <w:rPr>
          <w:rFonts w:ascii="Arial" w:hAnsi="Arial" w:cs="Arial"/>
          <w:b/>
        </w:rPr>
      </w:pPr>
      <w:r w:rsidRPr="00FE243A">
        <w:rPr>
          <w:rFonts w:ascii="Arial" w:hAnsi="Arial" w:cs="Arial"/>
          <w:b/>
        </w:rPr>
        <w:t>Územní vymezení</w:t>
      </w:r>
      <w:r w:rsidR="00453282" w:rsidRPr="00FE243A">
        <w:rPr>
          <w:rFonts w:ascii="Arial" w:hAnsi="Arial" w:cs="Arial"/>
          <w:b/>
        </w:rPr>
        <w:t xml:space="preserve">  </w:t>
      </w:r>
    </w:p>
    <w:p w14:paraId="15202851" w14:textId="77777777" w:rsidR="00AB6367" w:rsidRPr="00FE243A" w:rsidRDefault="00453282" w:rsidP="0047513D">
      <w:pPr>
        <w:spacing w:after="240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 xml:space="preserve">Podpora </w:t>
      </w:r>
      <w:r w:rsidR="00AA4482" w:rsidRPr="00FE243A">
        <w:rPr>
          <w:rFonts w:ascii="Arial" w:hAnsi="Arial" w:cs="Arial"/>
          <w:sz w:val="20"/>
          <w:szCs w:val="20"/>
        </w:rPr>
        <w:t xml:space="preserve">bude </w:t>
      </w:r>
      <w:r w:rsidR="006C0478" w:rsidRPr="00FE243A">
        <w:rPr>
          <w:rFonts w:ascii="Arial" w:hAnsi="Arial" w:cs="Arial"/>
          <w:sz w:val="20"/>
          <w:szCs w:val="20"/>
        </w:rPr>
        <w:t xml:space="preserve">poskytována </w:t>
      </w:r>
      <w:r w:rsidR="00AA4482" w:rsidRPr="00FE243A">
        <w:rPr>
          <w:rFonts w:ascii="Arial" w:hAnsi="Arial" w:cs="Arial"/>
          <w:sz w:val="20"/>
          <w:szCs w:val="20"/>
        </w:rPr>
        <w:t xml:space="preserve">na území obcí do 40 tisíc obyvatel v oblastech se strategickou průmyslovou zónou </w:t>
      </w:r>
    </w:p>
    <w:p w14:paraId="0DB76294" w14:textId="77777777" w:rsidR="00DA3D85" w:rsidRPr="00FE243A" w:rsidRDefault="00DA3D85" w:rsidP="0047513D">
      <w:pPr>
        <w:pStyle w:val="Odstavecseseznamem"/>
        <w:numPr>
          <w:ilvl w:val="0"/>
          <w:numId w:val="1"/>
        </w:numPr>
        <w:spacing w:after="240" w:line="240" w:lineRule="exact"/>
        <w:ind w:left="709" w:hanging="709"/>
        <w:rPr>
          <w:rFonts w:ascii="Arial" w:hAnsi="Arial" w:cs="Arial"/>
          <w:b/>
        </w:rPr>
      </w:pPr>
      <w:r w:rsidRPr="00FE243A">
        <w:rPr>
          <w:rFonts w:ascii="Arial" w:hAnsi="Arial" w:cs="Arial"/>
          <w:b/>
        </w:rPr>
        <w:t>Vymezení pojmů</w:t>
      </w:r>
    </w:p>
    <w:p w14:paraId="4F4D6F41" w14:textId="77777777" w:rsidR="00EE17A4" w:rsidRPr="00FE243A" w:rsidRDefault="00DA3D85" w:rsidP="0047513D">
      <w:pPr>
        <w:spacing w:after="240" w:line="240" w:lineRule="exact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 xml:space="preserve">Pro účely tohoto </w:t>
      </w:r>
      <w:proofErr w:type="spellStart"/>
      <w:r w:rsidR="00087580" w:rsidRPr="00FE243A">
        <w:rPr>
          <w:rFonts w:ascii="Arial" w:hAnsi="Arial" w:cs="Arial"/>
          <w:sz w:val="20"/>
          <w:szCs w:val="20"/>
        </w:rPr>
        <w:t>subtitulu</w:t>
      </w:r>
      <w:proofErr w:type="spellEnd"/>
      <w:r w:rsidR="00087580" w:rsidRPr="00FE243A">
        <w:rPr>
          <w:rFonts w:ascii="Arial" w:hAnsi="Arial" w:cs="Arial"/>
          <w:sz w:val="20"/>
          <w:szCs w:val="20"/>
        </w:rPr>
        <w:t xml:space="preserve"> (</w:t>
      </w:r>
      <w:r w:rsidRPr="00FE243A">
        <w:rPr>
          <w:rFonts w:ascii="Arial" w:hAnsi="Arial" w:cs="Arial"/>
          <w:sz w:val="20"/>
          <w:szCs w:val="20"/>
        </w:rPr>
        <w:t>podprogramu</w:t>
      </w:r>
      <w:r w:rsidR="00087580" w:rsidRPr="00FE243A">
        <w:rPr>
          <w:rFonts w:ascii="Arial" w:hAnsi="Arial" w:cs="Arial"/>
          <w:sz w:val="20"/>
          <w:szCs w:val="20"/>
        </w:rPr>
        <w:t>)</w:t>
      </w:r>
      <w:r w:rsidRPr="00FE243A">
        <w:rPr>
          <w:rFonts w:ascii="Arial" w:hAnsi="Arial" w:cs="Arial"/>
          <w:sz w:val="20"/>
          <w:szCs w:val="20"/>
        </w:rPr>
        <w:t xml:space="preserve"> se rozumí:</w:t>
      </w:r>
    </w:p>
    <w:p w14:paraId="68B1DFE3" w14:textId="77777777" w:rsidR="005E4640" w:rsidRPr="00FE243A" w:rsidRDefault="005E4640" w:rsidP="005E4640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E243A">
        <w:rPr>
          <w:rFonts w:ascii="Arial" w:hAnsi="Arial" w:cs="Arial"/>
          <w:sz w:val="20"/>
          <w:szCs w:val="20"/>
        </w:rPr>
        <w:t>trategickou průmyslovou zónou (dále jen „SPZ“) území, ve kterém se nachází průmyslová zóna, podpořená státem podle usnesení vlády č. 1100 ze dne 31. 8. 2005 k zabezpečení investiční přípravy území pro umístění strategických průmyslových zón a k  pokrytí nezajištěných prostředků státního rozpočtu na výstavbu průmyslových zón pro období od roku 2005 na území České republiky, usnesení vlády č. 41 ze dne 11. 1. 2010 k Informaci o  průběhu výstavby nejvýznamnějších průmyslových zón a o změně a doplnění usnesení vlády ze dne 31. srpna 2005 č. 1100,</w:t>
      </w:r>
      <w:r w:rsidR="00195E0D">
        <w:rPr>
          <w:rFonts w:ascii="Arial" w:hAnsi="Arial" w:cs="Arial"/>
          <w:sz w:val="20"/>
          <w:szCs w:val="20"/>
        </w:rPr>
        <w:t xml:space="preserve"> </w:t>
      </w:r>
      <w:r w:rsidRPr="00FE243A">
        <w:rPr>
          <w:rFonts w:ascii="Arial" w:hAnsi="Arial" w:cs="Arial"/>
          <w:sz w:val="20"/>
          <w:szCs w:val="20"/>
        </w:rPr>
        <w:t xml:space="preserve">ze dne 10. května 2006 č. 550 a ze dne 28. května 2008 č. 641 a usnesení vlády </w:t>
      </w:r>
      <w:r w:rsidRPr="0077572D">
        <w:rPr>
          <w:rFonts w:ascii="Arial" w:hAnsi="Arial" w:cs="Arial"/>
          <w:sz w:val="20"/>
          <w:szCs w:val="20"/>
        </w:rPr>
        <w:t xml:space="preserve">č. 97 ze dne 9. 2. 2015 </w:t>
      </w:r>
      <w:r>
        <w:rPr>
          <w:rFonts w:ascii="Arial" w:hAnsi="Arial" w:cs="Arial"/>
          <w:sz w:val="20"/>
          <w:szCs w:val="20"/>
        </w:rPr>
        <w:t xml:space="preserve">a </w:t>
      </w:r>
      <w:r w:rsidRPr="00FE243A">
        <w:rPr>
          <w:rFonts w:ascii="Arial" w:hAnsi="Arial" w:cs="Arial"/>
          <w:sz w:val="20"/>
          <w:szCs w:val="20"/>
        </w:rPr>
        <w:t>č. 469 ze dne 21. 6. 2017 k zabezpečení investiční přípravy akce Rozšíření strategické průmyslové zóny Solnice - Kvasiny a zlepšení veřejné infrastruktury v  Královéhradeckém regionu</w:t>
      </w:r>
      <w:r>
        <w:rPr>
          <w:rFonts w:ascii="Arial" w:hAnsi="Arial" w:cs="Arial"/>
          <w:sz w:val="20"/>
          <w:szCs w:val="20"/>
        </w:rPr>
        <w:t>;</w:t>
      </w:r>
    </w:p>
    <w:p w14:paraId="0AE6E80D" w14:textId="11848FC5" w:rsidR="005E4640" w:rsidRPr="00FE243A" w:rsidRDefault="005E4640" w:rsidP="005E4640">
      <w:pPr>
        <w:pStyle w:val="Odstavecseseznamem"/>
        <w:rPr>
          <w:rFonts w:ascii="Arial" w:hAnsi="Arial" w:cs="Arial"/>
          <w:sz w:val="20"/>
          <w:szCs w:val="20"/>
        </w:rPr>
      </w:pPr>
    </w:p>
    <w:p w14:paraId="5760F35E" w14:textId="77777777" w:rsidR="005E4640" w:rsidRPr="00FE243A" w:rsidRDefault="005E4640" w:rsidP="005E4640">
      <w:pPr>
        <w:pStyle w:val="Odstavecseseznamem"/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FE243A">
        <w:rPr>
          <w:rFonts w:ascii="Arial" w:hAnsi="Arial" w:cs="Arial"/>
          <w:sz w:val="20"/>
          <w:szCs w:val="20"/>
        </w:rPr>
        <w:t>blastí se SPZ oblast, ve které se nachází SPZ a která je vymezena dojezdovou vzdáleností maximálně 30 km do nejbližšího provozu umístěného ve SPZ</w:t>
      </w:r>
      <w:r>
        <w:rPr>
          <w:rFonts w:ascii="Arial" w:hAnsi="Arial" w:cs="Arial"/>
          <w:sz w:val="20"/>
          <w:szCs w:val="20"/>
        </w:rPr>
        <w:t>;</w:t>
      </w:r>
    </w:p>
    <w:p w14:paraId="3D654347" w14:textId="77777777" w:rsidR="005E4640" w:rsidRPr="00FE243A" w:rsidRDefault="005E4640" w:rsidP="005E4640">
      <w:pPr>
        <w:pStyle w:val="Odstavecseseznamem"/>
        <w:rPr>
          <w:rFonts w:ascii="Arial" w:hAnsi="Arial" w:cs="Arial"/>
          <w:sz w:val="20"/>
          <w:szCs w:val="20"/>
        </w:rPr>
      </w:pPr>
    </w:p>
    <w:p w14:paraId="70D2C45F" w14:textId="77777777" w:rsidR="005E4640" w:rsidRPr="00FE243A" w:rsidRDefault="005E4640" w:rsidP="005E4640">
      <w:pPr>
        <w:pStyle w:val="Odstavecseseznamem"/>
        <w:numPr>
          <w:ilvl w:val="0"/>
          <w:numId w:val="2"/>
        </w:numPr>
        <w:spacing w:after="120" w:line="240" w:lineRule="auto"/>
        <w:ind w:hanging="72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>echnickou infrastrukturou (dále jen TI) dopravní a technická infrastruktura, kterou jsou:</w:t>
      </w:r>
    </w:p>
    <w:p w14:paraId="60C45896" w14:textId="77777777" w:rsidR="005E4640" w:rsidRPr="00FE243A" w:rsidRDefault="005E4640" w:rsidP="005E4640">
      <w:pPr>
        <w:numPr>
          <w:ilvl w:val="1"/>
          <w:numId w:val="3"/>
        </w:numPr>
        <w:tabs>
          <w:tab w:val="left" w:pos="99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lastRenderedPageBreak/>
        <w:t>místní komunikace</w:t>
      </w:r>
      <w:r w:rsidRPr="00FE243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 tj. </w:t>
      </w:r>
    </w:p>
    <w:p w14:paraId="678757DE" w14:textId="77777777" w:rsidR="005E4640" w:rsidRPr="00FE243A" w:rsidRDefault="005E4640" w:rsidP="005E4640">
      <w:pPr>
        <w:numPr>
          <w:ilvl w:val="1"/>
          <w:numId w:val="4"/>
        </w:numPr>
        <w:tabs>
          <w:tab w:val="clear" w:pos="1440"/>
          <w:tab w:val="num" w:pos="1843"/>
        </w:tabs>
        <w:spacing w:after="0" w:line="240" w:lineRule="auto"/>
        <w:ind w:hanging="22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>místní komunikace III.</w:t>
      </w:r>
      <w:r w:rsidRPr="00FE243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 xml:space="preserve"> 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>třídy</w:t>
      </w:r>
      <w:r w:rsidRPr="00FE243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ootnoteReference w:id="2"/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 včetně jejich součástí,</w:t>
      </w:r>
    </w:p>
    <w:p w14:paraId="4E42D6A2" w14:textId="77777777" w:rsidR="005E4640" w:rsidRPr="00FE243A" w:rsidRDefault="005E4640" w:rsidP="005E4640">
      <w:pPr>
        <w:numPr>
          <w:ilvl w:val="1"/>
          <w:numId w:val="4"/>
        </w:numPr>
        <w:tabs>
          <w:tab w:val="clear" w:pos="1440"/>
          <w:tab w:val="num" w:pos="1843"/>
        </w:tabs>
        <w:spacing w:after="0" w:line="240" w:lineRule="auto"/>
        <w:ind w:hanging="22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>místní komunikace IV. třídy</w:t>
      </w:r>
      <w:r w:rsidRPr="00FE243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ootnoteReference w:id="3"/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 včetně jejich součástí,</w:t>
      </w:r>
    </w:p>
    <w:p w14:paraId="7530EFC5" w14:textId="77777777" w:rsidR="005E4640" w:rsidRPr="00FE243A" w:rsidRDefault="005E4640" w:rsidP="005E4640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6B607C" w14:textId="77777777" w:rsidR="005E4640" w:rsidRPr="00FE243A" w:rsidRDefault="005E4640" w:rsidP="005E4640">
      <w:pPr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>vodovod, tj.</w:t>
      </w:r>
    </w:p>
    <w:p w14:paraId="3F616211" w14:textId="77777777" w:rsidR="005E4640" w:rsidRPr="00FE243A" w:rsidRDefault="005E4640" w:rsidP="005E4640">
      <w:pPr>
        <w:pStyle w:val="Odstavecseseznamem"/>
        <w:numPr>
          <w:ilvl w:val="0"/>
          <w:numId w:val="5"/>
        </w:numPr>
        <w:tabs>
          <w:tab w:val="left" w:pos="1843"/>
        </w:tabs>
        <w:spacing w:after="120" w:line="240" w:lineRule="auto"/>
        <w:ind w:firstLine="698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>místní vedení 2. kategorie rozvodné vodovodní sítě,</w:t>
      </w:r>
      <w:bookmarkStart w:id="0" w:name="_Ref157326466"/>
      <w:r w:rsidRPr="0096000C">
        <w:rPr>
          <w:rFonts w:ascii="Arial" w:hAnsi="Arial" w:cs="Arial"/>
          <w:vertAlign w:val="superscript"/>
          <w:lang w:eastAsia="cs-CZ"/>
        </w:rPr>
        <w:footnoteReference w:id="4"/>
      </w:r>
      <w:bookmarkEnd w:id="0"/>
    </w:p>
    <w:p w14:paraId="15FC0B1B" w14:textId="41DA3CDD" w:rsidR="005E4640" w:rsidRPr="00FE243A" w:rsidRDefault="005E4640" w:rsidP="005E4640">
      <w:pPr>
        <w:pStyle w:val="Odstavecseseznamem"/>
        <w:numPr>
          <w:ilvl w:val="0"/>
          <w:numId w:val="5"/>
        </w:numPr>
        <w:tabs>
          <w:tab w:val="left" w:pos="1843"/>
        </w:tabs>
        <w:spacing w:after="120" w:line="240" w:lineRule="auto"/>
        <w:ind w:firstLine="698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>místní vedení 3. kategorie rozvodné vodovodní sítě;</w:t>
      </w:r>
      <w:r w:rsidRPr="0096000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ldChar w:fldCharType="begin"/>
      </w:r>
      <w:r w:rsidRPr="00FE243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instrText xml:space="preserve"> NOTEREF _Ref157326466 \h  \* MERGEFORMAT </w:instrText>
      </w:r>
      <w:r w:rsidRPr="0096000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</w:r>
      <w:r w:rsidRPr="0096000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ldChar w:fldCharType="separate"/>
      </w:r>
      <w:r w:rsidR="00BC62D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4</w:t>
      </w:r>
      <w:r w:rsidRPr="0096000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ldChar w:fldCharType="end"/>
      </w:r>
    </w:p>
    <w:p w14:paraId="0142D7FD" w14:textId="77777777" w:rsidR="005E4640" w:rsidRPr="00FE243A" w:rsidRDefault="005E4640" w:rsidP="005E4640">
      <w:pPr>
        <w:pStyle w:val="Odstavecseseznamem"/>
        <w:spacing w:after="120" w:line="240" w:lineRule="auto"/>
        <w:ind w:left="144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64BBD4" w14:textId="77777777" w:rsidR="005E4640" w:rsidRPr="00FE243A" w:rsidRDefault="005E4640" w:rsidP="005E4640">
      <w:pPr>
        <w:pStyle w:val="Odstavecseseznamem"/>
        <w:numPr>
          <w:ilvl w:val="1"/>
          <w:numId w:val="3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>kanalizace, tj.</w:t>
      </w:r>
    </w:p>
    <w:p w14:paraId="3F86B9B0" w14:textId="77777777" w:rsidR="005E4640" w:rsidRPr="00FE243A" w:rsidRDefault="005E4640" w:rsidP="005E4640">
      <w:pPr>
        <w:pStyle w:val="Odstavecseseznamem"/>
        <w:numPr>
          <w:ilvl w:val="0"/>
          <w:numId w:val="6"/>
        </w:numPr>
        <w:tabs>
          <w:tab w:val="left" w:pos="1843"/>
        </w:tabs>
        <w:spacing w:after="120" w:line="240" w:lineRule="auto"/>
        <w:ind w:firstLine="698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>místní vedení 2. kategorie rozvodné stokové sítě,</w:t>
      </w:r>
      <w:bookmarkStart w:id="1" w:name="_Ref157326521"/>
      <w:r w:rsidRPr="0096000C">
        <w:rPr>
          <w:rFonts w:ascii="Arial" w:hAnsi="Arial" w:cs="Arial"/>
          <w:vertAlign w:val="superscript"/>
          <w:lang w:eastAsia="cs-CZ"/>
        </w:rPr>
        <w:footnoteReference w:id="5"/>
      </w:r>
      <w:bookmarkEnd w:id="1"/>
    </w:p>
    <w:p w14:paraId="2E8E7C1D" w14:textId="64C98AD4" w:rsidR="005E4640" w:rsidRPr="007254D9" w:rsidRDefault="005E4640" w:rsidP="005E4640">
      <w:pPr>
        <w:pStyle w:val="Odstavecseseznamem"/>
        <w:numPr>
          <w:ilvl w:val="0"/>
          <w:numId w:val="6"/>
        </w:numPr>
        <w:tabs>
          <w:tab w:val="left" w:pos="1843"/>
        </w:tabs>
        <w:spacing w:after="120" w:line="240" w:lineRule="auto"/>
        <w:ind w:firstLine="698"/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místní vedení 3. kategorie rozvodné stokové </w:t>
      </w:r>
      <w:proofErr w:type="gramStart"/>
      <w:r w:rsidRPr="00FE243A">
        <w:rPr>
          <w:rFonts w:ascii="Arial" w:eastAsia="Times New Roman" w:hAnsi="Arial" w:cs="Arial"/>
          <w:sz w:val="20"/>
          <w:szCs w:val="20"/>
          <w:lang w:eastAsia="cs-CZ"/>
        </w:rPr>
        <w:t>sítě,</w:t>
      </w:r>
      <w:r w:rsidRPr="0096000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ldChar w:fldCharType="begin"/>
      </w:r>
      <w:r w:rsidRPr="00FE243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instrText xml:space="preserve"> NOTEREF _Ref157326521 \h  \* MERGEFORMAT </w:instrText>
      </w:r>
      <w:r w:rsidRPr="0096000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</w:r>
      <w:r w:rsidRPr="0096000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ldChar w:fldCharType="separate"/>
      </w:r>
      <w:r w:rsidR="00BC62D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5</w:t>
      </w:r>
      <w:proofErr w:type="gramEnd"/>
      <w:r w:rsidRPr="0096000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ldChar w:fldCharType="end"/>
      </w:r>
      <w:r w:rsidRPr="00FE243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 xml:space="preserve"> </w:t>
      </w:r>
    </w:p>
    <w:p w14:paraId="2B3C42F2" w14:textId="258C333D" w:rsidR="005E4640" w:rsidRPr="0066571E" w:rsidRDefault="005E4640" w:rsidP="0066571E">
      <w:pPr>
        <w:tabs>
          <w:tab w:val="left" w:pos="1843"/>
        </w:tabs>
        <w:spacing w:after="120" w:line="240" w:lineRule="auto"/>
        <w:ind w:left="720"/>
        <w:rPr>
          <w:rFonts w:ascii="Arial" w:eastAsia="Times New Roman" w:hAnsi="Arial" w:cs="Arial"/>
          <w:lang w:eastAsia="cs-CZ"/>
        </w:rPr>
      </w:pPr>
      <w:r w:rsidRPr="0066571E">
        <w:rPr>
          <w:rFonts w:ascii="Arial" w:eastAsia="Times New Roman" w:hAnsi="Arial" w:cs="Arial"/>
          <w:sz w:val="20"/>
          <w:szCs w:val="20"/>
          <w:lang w:eastAsia="cs-CZ"/>
        </w:rPr>
        <w:t>a to i jednotlivě;</w:t>
      </w:r>
    </w:p>
    <w:p w14:paraId="41E112A8" w14:textId="77777777" w:rsidR="005E4640" w:rsidRPr="00FE243A" w:rsidRDefault="005E4640" w:rsidP="005E4640">
      <w:pPr>
        <w:pStyle w:val="Odstavecseseznamem"/>
        <w:rPr>
          <w:rFonts w:ascii="Arial" w:hAnsi="Arial" w:cs="Arial"/>
          <w:sz w:val="20"/>
          <w:szCs w:val="20"/>
        </w:rPr>
      </w:pPr>
    </w:p>
    <w:p w14:paraId="7295A194" w14:textId="77777777" w:rsidR="005E4640" w:rsidRPr="00FE243A" w:rsidRDefault="005E4640" w:rsidP="005E4640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>doplňkov</w:t>
      </w:r>
      <w:r>
        <w:rPr>
          <w:rFonts w:ascii="Arial" w:hAnsi="Arial" w:cs="Arial"/>
          <w:sz w:val="20"/>
          <w:szCs w:val="20"/>
        </w:rPr>
        <w:t>ou</w:t>
      </w:r>
      <w:r w:rsidRPr="00FE243A">
        <w:rPr>
          <w:rFonts w:ascii="Arial" w:hAnsi="Arial" w:cs="Arial"/>
          <w:sz w:val="20"/>
          <w:szCs w:val="20"/>
        </w:rPr>
        <w:t xml:space="preserve"> aktivit</w:t>
      </w:r>
      <w:r>
        <w:rPr>
          <w:rFonts w:ascii="Arial" w:hAnsi="Arial" w:cs="Arial"/>
          <w:sz w:val="20"/>
          <w:szCs w:val="20"/>
        </w:rPr>
        <w:t>ou</w:t>
      </w:r>
      <w:r w:rsidRPr="00FE243A">
        <w:rPr>
          <w:rFonts w:ascii="Arial" w:hAnsi="Arial" w:cs="Arial"/>
          <w:sz w:val="20"/>
          <w:szCs w:val="20"/>
        </w:rPr>
        <w:t xml:space="preserve"> projektu výstavba veřejného osvětlení. T</w:t>
      </w:r>
      <w:r>
        <w:rPr>
          <w:rFonts w:ascii="Arial" w:hAnsi="Arial" w:cs="Arial"/>
          <w:sz w:val="20"/>
          <w:szCs w:val="20"/>
        </w:rPr>
        <w:t>a</w:t>
      </w:r>
      <w:r w:rsidRPr="00FE243A">
        <w:rPr>
          <w:rFonts w:ascii="Arial" w:hAnsi="Arial" w:cs="Arial"/>
          <w:sz w:val="20"/>
          <w:szCs w:val="20"/>
        </w:rPr>
        <w:t>to aktivit</w:t>
      </w:r>
      <w:r>
        <w:rPr>
          <w:rFonts w:ascii="Arial" w:hAnsi="Arial" w:cs="Arial"/>
          <w:sz w:val="20"/>
          <w:szCs w:val="20"/>
        </w:rPr>
        <w:t>a</w:t>
      </w:r>
      <w:r w:rsidRPr="00FE24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může </w:t>
      </w:r>
      <w:r w:rsidRPr="00FE243A">
        <w:rPr>
          <w:rFonts w:ascii="Arial" w:hAnsi="Arial" w:cs="Arial"/>
          <w:sz w:val="20"/>
          <w:szCs w:val="20"/>
        </w:rPr>
        <w:t>být hrazen</w:t>
      </w:r>
      <w:r>
        <w:rPr>
          <w:rFonts w:ascii="Arial" w:hAnsi="Arial" w:cs="Arial"/>
          <w:sz w:val="20"/>
          <w:szCs w:val="20"/>
        </w:rPr>
        <w:t>a</w:t>
      </w:r>
      <w:r w:rsidRPr="00FE243A">
        <w:rPr>
          <w:rFonts w:ascii="Arial" w:hAnsi="Arial" w:cs="Arial"/>
          <w:sz w:val="20"/>
          <w:szCs w:val="20"/>
        </w:rPr>
        <w:t xml:space="preserve"> z dotace do 10 % z celkových </w:t>
      </w:r>
      <w:r>
        <w:rPr>
          <w:rFonts w:ascii="Arial" w:hAnsi="Arial" w:cs="Arial"/>
          <w:sz w:val="20"/>
          <w:szCs w:val="20"/>
        </w:rPr>
        <w:t>uznatelných</w:t>
      </w:r>
      <w:r w:rsidRPr="00FE243A">
        <w:rPr>
          <w:rFonts w:ascii="Arial" w:hAnsi="Arial" w:cs="Arial"/>
          <w:sz w:val="20"/>
          <w:szCs w:val="20"/>
        </w:rPr>
        <w:t xml:space="preserve"> výdajů</w:t>
      </w:r>
      <w:r>
        <w:rPr>
          <w:rFonts w:ascii="Arial" w:hAnsi="Arial" w:cs="Arial"/>
          <w:sz w:val="20"/>
          <w:szCs w:val="20"/>
        </w:rPr>
        <w:t>;</w:t>
      </w:r>
    </w:p>
    <w:p w14:paraId="71648FD7" w14:textId="0E966742" w:rsidR="005E4640" w:rsidRPr="00FE243A" w:rsidRDefault="005E4640" w:rsidP="005E4640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 xml:space="preserve">uznatelnými výdaji výdaje, které byly vynaloženy na </w:t>
      </w:r>
      <w:r w:rsidR="00B338CE">
        <w:rPr>
          <w:rFonts w:ascii="Arial" w:hAnsi="Arial" w:cs="Arial"/>
          <w:sz w:val="20"/>
          <w:szCs w:val="20"/>
        </w:rPr>
        <w:t xml:space="preserve">výstavbu předmětné technické infrastruktury </w:t>
      </w:r>
      <w:r w:rsidRPr="00FE243A">
        <w:rPr>
          <w:rFonts w:ascii="Arial" w:hAnsi="Arial" w:cs="Arial"/>
          <w:sz w:val="20"/>
          <w:szCs w:val="20"/>
        </w:rPr>
        <w:t>a které je možné hradit z</w:t>
      </w:r>
      <w:r>
        <w:rPr>
          <w:rFonts w:ascii="Arial" w:hAnsi="Arial" w:cs="Arial"/>
          <w:sz w:val="20"/>
          <w:szCs w:val="20"/>
        </w:rPr>
        <w:t> </w:t>
      </w:r>
      <w:r w:rsidRPr="00FE243A">
        <w:rPr>
          <w:rFonts w:ascii="Arial" w:hAnsi="Arial" w:cs="Arial"/>
          <w:sz w:val="20"/>
          <w:szCs w:val="20"/>
        </w:rPr>
        <w:t>dotace</w:t>
      </w:r>
      <w:r>
        <w:rPr>
          <w:rFonts w:ascii="Arial" w:hAnsi="Arial" w:cs="Arial"/>
          <w:sz w:val="20"/>
          <w:szCs w:val="20"/>
        </w:rPr>
        <w:t>;</w:t>
      </w:r>
    </w:p>
    <w:p w14:paraId="39EF2CA8" w14:textId="77777777" w:rsidR="005E4640" w:rsidRPr="00FE243A" w:rsidRDefault="005E4640" w:rsidP="005E4640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color w:val="000000"/>
          <w:sz w:val="20"/>
          <w:szCs w:val="20"/>
        </w:rPr>
        <w:t>metodickým pokynem závazný dokument specifikující další podmínky a postupy pro podání žádosti, realizaci a ukončení akce;</w:t>
      </w:r>
    </w:p>
    <w:p w14:paraId="2791051F" w14:textId="77777777" w:rsidR="005E4640" w:rsidRPr="00FE243A" w:rsidRDefault="005E4640" w:rsidP="005E4640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color w:val="000000"/>
          <w:sz w:val="20"/>
          <w:szCs w:val="20"/>
        </w:rPr>
        <w:t>bytovou výstavbou</w:t>
      </w:r>
      <w:r w:rsidR="006038FF">
        <w:rPr>
          <w:rFonts w:ascii="Arial" w:hAnsi="Arial" w:cs="Arial"/>
          <w:color w:val="000000"/>
          <w:sz w:val="20"/>
          <w:szCs w:val="20"/>
        </w:rPr>
        <w:t xml:space="preserve"> výstavba</w:t>
      </w:r>
      <w:r w:rsidRPr="00FE243A">
        <w:rPr>
          <w:rFonts w:ascii="Arial" w:hAnsi="Arial" w:cs="Arial"/>
          <w:color w:val="000000"/>
          <w:sz w:val="20"/>
          <w:szCs w:val="20"/>
        </w:rPr>
        <w:t xml:space="preserve"> rodinných nebo bytových domů.</w:t>
      </w:r>
    </w:p>
    <w:p w14:paraId="017E32CF" w14:textId="77777777" w:rsidR="00024914" w:rsidRPr="00FE243A" w:rsidRDefault="00024914" w:rsidP="0047513D">
      <w:pPr>
        <w:pStyle w:val="Odstavecseseznamem"/>
        <w:ind w:left="567"/>
        <w:rPr>
          <w:rFonts w:ascii="Arial" w:hAnsi="Arial" w:cs="Arial"/>
        </w:rPr>
      </w:pPr>
    </w:p>
    <w:p w14:paraId="616FD9AF" w14:textId="2E6D9C06" w:rsidR="00087580" w:rsidRPr="00FE243A" w:rsidRDefault="0066571E" w:rsidP="0047513D">
      <w:pPr>
        <w:pStyle w:val="Odstavecseseznamem"/>
        <w:numPr>
          <w:ilvl w:val="0"/>
          <w:numId w:val="1"/>
        </w:numPr>
        <w:spacing w:after="240"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Příjemce dotace</w:t>
      </w:r>
    </w:p>
    <w:p w14:paraId="1AFEE80B" w14:textId="395D4AF2" w:rsidR="00AA4482" w:rsidRPr="00FE243A" w:rsidRDefault="00212900" w:rsidP="0047513D">
      <w:pPr>
        <w:spacing w:after="240" w:line="240" w:lineRule="exact"/>
        <w:rPr>
          <w:rFonts w:ascii="Arial" w:hAnsi="Arial" w:cs="Arial"/>
          <w:b/>
        </w:rPr>
      </w:pPr>
      <w:r w:rsidRPr="00FE243A">
        <w:rPr>
          <w:rFonts w:ascii="Arial" w:hAnsi="Arial" w:cs="Arial"/>
          <w:sz w:val="20"/>
          <w:szCs w:val="20"/>
        </w:rPr>
        <w:t xml:space="preserve">Příjemcem dotace je </w:t>
      </w:r>
      <w:r w:rsidR="0066571E">
        <w:rPr>
          <w:rFonts w:ascii="Arial" w:hAnsi="Arial" w:cs="Arial"/>
          <w:sz w:val="20"/>
          <w:szCs w:val="20"/>
        </w:rPr>
        <w:t>obec ve vymezeném území.</w:t>
      </w:r>
    </w:p>
    <w:p w14:paraId="4018A84A" w14:textId="77777777" w:rsidR="006C75EF" w:rsidRPr="00FE243A" w:rsidRDefault="006C75EF" w:rsidP="0047513D">
      <w:pPr>
        <w:pStyle w:val="Odstavecseseznamem"/>
        <w:numPr>
          <w:ilvl w:val="0"/>
          <w:numId w:val="1"/>
        </w:numPr>
        <w:spacing w:after="240" w:line="240" w:lineRule="exact"/>
        <w:rPr>
          <w:rFonts w:ascii="Arial" w:hAnsi="Arial" w:cs="Arial"/>
          <w:b/>
        </w:rPr>
      </w:pPr>
      <w:r w:rsidRPr="00FE243A">
        <w:rPr>
          <w:rFonts w:ascii="Arial" w:hAnsi="Arial" w:cs="Arial"/>
          <w:b/>
        </w:rPr>
        <w:t>Charakter a výše dotace</w:t>
      </w:r>
    </w:p>
    <w:p w14:paraId="0CFD04DD" w14:textId="3B03F604" w:rsidR="00AB6367" w:rsidRPr="00FE243A" w:rsidRDefault="00AB6367" w:rsidP="0047513D">
      <w:pPr>
        <w:pStyle w:val="Bezmezer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 xml:space="preserve">Podpora </w:t>
      </w:r>
      <w:r w:rsidR="006038FF">
        <w:rPr>
          <w:rFonts w:ascii="Arial" w:hAnsi="Arial" w:cs="Arial"/>
          <w:sz w:val="20"/>
          <w:szCs w:val="20"/>
        </w:rPr>
        <w:t xml:space="preserve">je poskytována </w:t>
      </w:r>
      <w:r w:rsidRPr="00FE243A">
        <w:rPr>
          <w:rFonts w:ascii="Arial" w:hAnsi="Arial" w:cs="Arial"/>
          <w:sz w:val="20"/>
          <w:szCs w:val="20"/>
        </w:rPr>
        <w:t>ve formě účelové investiční dotace na konkrétní akci.</w:t>
      </w:r>
    </w:p>
    <w:p w14:paraId="61B04DED" w14:textId="77777777" w:rsidR="00AB6367" w:rsidRPr="00FE243A" w:rsidRDefault="00AB6367" w:rsidP="0047513D">
      <w:pPr>
        <w:pStyle w:val="Bezmezer"/>
        <w:rPr>
          <w:rFonts w:ascii="Arial" w:hAnsi="Arial" w:cs="Arial"/>
          <w:sz w:val="20"/>
          <w:szCs w:val="20"/>
        </w:rPr>
      </w:pPr>
    </w:p>
    <w:p w14:paraId="43AA6D6A" w14:textId="2201C348" w:rsidR="002B7130" w:rsidRPr="00FE243A" w:rsidRDefault="002B7130" w:rsidP="002B7130">
      <w:pPr>
        <w:pStyle w:val="Bezmezer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 xml:space="preserve">Maximální výše dotace </w:t>
      </w:r>
      <w:r w:rsidR="00F00562">
        <w:rPr>
          <w:rFonts w:ascii="Arial" w:hAnsi="Arial" w:cs="Arial"/>
          <w:sz w:val="20"/>
          <w:szCs w:val="20"/>
        </w:rPr>
        <w:t xml:space="preserve">je </w:t>
      </w:r>
      <w:r w:rsidRPr="00FE243A">
        <w:rPr>
          <w:rFonts w:ascii="Arial" w:hAnsi="Arial" w:cs="Arial"/>
          <w:sz w:val="20"/>
          <w:szCs w:val="20"/>
        </w:rPr>
        <w:t>85</w:t>
      </w:r>
      <w:r w:rsidR="008F49E8" w:rsidRPr="00FE243A">
        <w:rPr>
          <w:rFonts w:ascii="Arial" w:hAnsi="Arial" w:cs="Arial"/>
          <w:sz w:val="20"/>
          <w:szCs w:val="20"/>
        </w:rPr>
        <w:t xml:space="preserve"> </w:t>
      </w:r>
      <w:r w:rsidRPr="00FE243A">
        <w:rPr>
          <w:rFonts w:ascii="Arial" w:hAnsi="Arial" w:cs="Arial"/>
          <w:sz w:val="20"/>
          <w:szCs w:val="20"/>
        </w:rPr>
        <w:t>% z uznatelných výdajů. Uznatelné výdaje jsou specifikovány v metodickém pokynu pro tento podprogram.</w:t>
      </w:r>
    </w:p>
    <w:p w14:paraId="7C34600F" w14:textId="77777777" w:rsidR="00BE7943" w:rsidRDefault="00BE7943" w:rsidP="0047513D">
      <w:pPr>
        <w:pStyle w:val="Bezmezer"/>
        <w:rPr>
          <w:rFonts w:ascii="Arial" w:hAnsi="Arial" w:cs="Arial"/>
          <w:sz w:val="20"/>
          <w:szCs w:val="20"/>
        </w:rPr>
      </w:pPr>
    </w:p>
    <w:p w14:paraId="00561684" w14:textId="26BC4AC2" w:rsidR="002B7130" w:rsidRPr="00FE243A" w:rsidRDefault="002B7130" w:rsidP="0047513D">
      <w:pPr>
        <w:pStyle w:val="Bezmezer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 xml:space="preserve">Příjemce dotace si vybere mezi </w:t>
      </w:r>
      <w:r w:rsidR="00BF4D10" w:rsidRPr="00FE243A">
        <w:rPr>
          <w:rFonts w:ascii="Arial" w:hAnsi="Arial" w:cs="Arial"/>
          <w:sz w:val="20"/>
          <w:szCs w:val="20"/>
        </w:rPr>
        <w:t>režimem</w:t>
      </w:r>
      <w:r w:rsidRPr="00FE243A">
        <w:rPr>
          <w:rFonts w:ascii="Arial" w:hAnsi="Arial" w:cs="Arial"/>
          <w:sz w:val="20"/>
          <w:szCs w:val="20"/>
        </w:rPr>
        <w:t>, kter</w:t>
      </w:r>
      <w:r w:rsidR="00BF4D10" w:rsidRPr="00FE243A">
        <w:rPr>
          <w:rFonts w:ascii="Arial" w:hAnsi="Arial" w:cs="Arial"/>
          <w:sz w:val="20"/>
          <w:szCs w:val="20"/>
        </w:rPr>
        <w:t>ý</w:t>
      </w:r>
      <w:r w:rsidRPr="00FE243A">
        <w:rPr>
          <w:rFonts w:ascii="Arial" w:hAnsi="Arial" w:cs="Arial"/>
          <w:sz w:val="20"/>
          <w:szCs w:val="20"/>
        </w:rPr>
        <w:t xml:space="preserve"> </w:t>
      </w:r>
      <w:r w:rsidR="00BF4D10" w:rsidRPr="00FE243A">
        <w:rPr>
          <w:rFonts w:ascii="Arial" w:hAnsi="Arial" w:cs="Arial"/>
          <w:sz w:val="20"/>
          <w:szCs w:val="20"/>
        </w:rPr>
        <w:t>nezakládá</w:t>
      </w:r>
      <w:r w:rsidRPr="00FE243A">
        <w:rPr>
          <w:rFonts w:ascii="Arial" w:hAnsi="Arial" w:cs="Arial"/>
          <w:sz w:val="20"/>
          <w:szCs w:val="20"/>
        </w:rPr>
        <w:t xml:space="preserve"> veřejn</w:t>
      </w:r>
      <w:r w:rsidR="00BF4D10" w:rsidRPr="00FE243A">
        <w:rPr>
          <w:rFonts w:ascii="Arial" w:hAnsi="Arial" w:cs="Arial"/>
          <w:sz w:val="20"/>
          <w:szCs w:val="20"/>
        </w:rPr>
        <w:t>ou</w:t>
      </w:r>
      <w:r w:rsidRPr="00FE243A">
        <w:rPr>
          <w:rFonts w:ascii="Arial" w:hAnsi="Arial" w:cs="Arial"/>
          <w:sz w:val="20"/>
          <w:szCs w:val="20"/>
        </w:rPr>
        <w:t xml:space="preserve"> podpor</w:t>
      </w:r>
      <w:r w:rsidR="00BF4D10" w:rsidRPr="00FE243A">
        <w:rPr>
          <w:rFonts w:ascii="Arial" w:hAnsi="Arial" w:cs="Arial"/>
          <w:sz w:val="20"/>
          <w:szCs w:val="20"/>
        </w:rPr>
        <w:t>u</w:t>
      </w:r>
      <w:r w:rsidR="006142B4">
        <w:rPr>
          <w:rFonts w:ascii="Arial" w:hAnsi="Arial" w:cs="Arial"/>
          <w:sz w:val="20"/>
          <w:szCs w:val="20"/>
        </w:rPr>
        <w:t>, a</w:t>
      </w:r>
      <w:r w:rsidRPr="00FE243A">
        <w:rPr>
          <w:rFonts w:ascii="Arial" w:hAnsi="Arial" w:cs="Arial"/>
          <w:sz w:val="20"/>
          <w:szCs w:val="20"/>
        </w:rPr>
        <w:t xml:space="preserve"> režim</w:t>
      </w:r>
      <w:r w:rsidR="00BF4D10" w:rsidRPr="00FE243A">
        <w:rPr>
          <w:rFonts w:ascii="Arial" w:hAnsi="Arial" w:cs="Arial"/>
          <w:sz w:val="20"/>
          <w:szCs w:val="20"/>
        </w:rPr>
        <w:t>em</w:t>
      </w:r>
      <w:r w:rsidRPr="00FE243A">
        <w:rPr>
          <w:rFonts w:ascii="Arial" w:hAnsi="Arial" w:cs="Arial"/>
          <w:sz w:val="20"/>
          <w:szCs w:val="20"/>
        </w:rPr>
        <w:t xml:space="preserve"> </w:t>
      </w:r>
      <w:r w:rsidR="00BA6545" w:rsidRPr="00FE243A">
        <w:rPr>
          <w:rFonts w:ascii="Arial" w:hAnsi="Arial" w:cs="Arial"/>
          <w:sz w:val="20"/>
          <w:szCs w:val="20"/>
        </w:rPr>
        <w:t>„</w:t>
      </w:r>
      <w:r w:rsidR="004552DF" w:rsidRPr="00FE243A">
        <w:rPr>
          <w:rFonts w:ascii="Arial" w:hAnsi="Arial" w:cs="Arial"/>
          <w:sz w:val="20"/>
          <w:szCs w:val="20"/>
        </w:rPr>
        <w:t>de </w:t>
      </w:r>
      <w:proofErr w:type="spellStart"/>
      <w:r w:rsidRPr="00FE243A">
        <w:rPr>
          <w:rFonts w:ascii="Arial" w:hAnsi="Arial" w:cs="Arial"/>
          <w:sz w:val="20"/>
          <w:szCs w:val="20"/>
        </w:rPr>
        <w:t>minimis</w:t>
      </w:r>
      <w:proofErr w:type="spellEnd"/>
      <w:r w:rsidR="00BA6545" w:rsidRPr="00FE243A">
        <w:rPr>
          <w:rFonts w:ascii="Arial" w:hAnsi="Arial" w:cs="Arial"/>
          <w:sz w:val="20"/>
          <w:szCs w:val="20"/>
        </w:rPr>
        <w:t>“</w:t>
      </w:r>
      <w:r w:rsidR="0066571E">
        <w:rPr>
          <w:rFonts w:ascii="Arial" w:hAnsi="Arial" w:cs="Arial"/>
          <w:sz w:val="20"/>
          <w:szCs w:val="20"/>
        </w:rPr>
        <w:t>.</w:t>
      </w:r>
    </w:p>
    <w:p w14:paraId="01AA6B32" w14:textId="77777777" w:rsidR="00BA6545" w:rsidRPr="00FE243A" w:rsidRDefault="00BA6545" w:rsidP="00BA6545">
      <w:pPr>
        <w:pStyle w:val="Bezmezer"/>
        <w:spacing w:after="120" w:line="240" w:lineRule="exact"/>
        <w:rPr>
          <w:rFonts w:ascii="Arial" w:hAnsi="Arial" w:cs="Arial"/>
          <w:sz w:val="20"/>
          <w:szCs w:val="20"/>
        </w:rPr>
      </w:pPr>
    </w:p>
    <w:p w14:paraId="01DF1B36" w14:textId="77777777" w:rsidR="00B76339" w:rsidRPr="00FE243A" w:rsidRDefault="00BA6545" w:rsidP="00BA6545">
      <w:pPr>
        <w:pStyle w:val="Bezmezer"/>
        <w:spacing w:after="120" w:line="240" w:lineRule="exact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 xml:space="preserve">V režimu „de </w:t>
      </w:r>
      <w:proofErr w:type="spellStart"/>
      <w:r w:rsidRPr="00FE243A">
        <w:rPr>
          <w:rFonts w:ascii="Arial" w:hAnsi="Arial" w:cs="Arial"/>
          <w:sz w:val="20"/>
          <w:szCs w:val="20"/>
        </w:rPr>
        <w:t>minimis</w:t>
      </w:r>
      <w:proofErr w:type="spellEnd"/>
      <w:r w:rsidRPr="00FE243A">
        <w:rPr>
          <w:rFonts w:ascii="Arial" w:hAnsi="Arial" w:cs="Arial"/>
          <w:sz w:val="20"/>
          <w:szCs w:val="20"/>
        </w:rPr>
        <w:t>“ je dotace poskytována v souladu s předpisem Evropských společenství</w:t>
      </w:r>
      <w:r w:rsidRPr="00FE243A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FE243A">
        <w:rPr>
          <w:rFonts w:ascii="Arial" w:hAnsi="Arial" w:cs="Arial"/>
          <w:sz w:val="20"/>
          <w:szCs w:val="20"/>
        </w:rPr>
        <w:t xml:space="preserve"> podle pravidla „de </w:t>
      </w:r>
      <w:proofErr w:type="spellStart"/>
      <w:r w:rsidRPr="00FE243A">
        <w:rPr>
          <w:rFonts w:ascii="Arial" w:hAnsi="Arial" w:cs="Arial"/>
          <w:sz w:val="20"/>
          <w:szCs w:val="20"/>
        </w:rPr>
        <w:t>minimis</w:t>
      </w:r>
      <w:proofErr w:type="spellEnd"/>
      <w:r w:rsidRPr="00FE243A">
        <w:rPr>
          <w:rFonts w:ascii="Arial" w:hAnsi="Arial" w:cs="Arial"/>
          <w:sz w:val="20"/>
          <w:szCs w:val="20"/>
        </w:rPr>
        <w:t xml:space="preserve">“. Součet všech veřejných podpor poskytnutých žadateli podle pravidla „de </w:t>
      </w:r>
      <w:proofErr w:type="spellStart"/>
      <w:r w:rsidRPr="00FE243A">
        <w:rPr>
          <w:rFonts w:ascii="Arial" w:hAnsi="Arial" w:cs="Arial"/>
          <w:sz w:val="20"/>
          <w:szCs w:val="20"/>
        </w:rPr>
        <w:t>minimis</w:t>
      </w:r>
      <w:proofErr w:type="spellEnd"/>
      <w:r w:rsidRPr="00FE243A">
        <w:rPr>
          <w:rFonts w:ascii="Arial" w:hAnsi="Arial" w:cs="Arial"/>
          <w:sz w:val="20"/>
          <w:szCs w:val="20"/>
        </w:rPr>
        <w:t>“ nesmí v kterémkoliv tříletém období přesáhnout částku v Kč odpovídající 200 000 EUR v přepočtu kursem devizového trhu vyhlášeným Evropskou centrální bankou platným ke dni schválení dotace Rozhodnutím o poskytnutí dotace.</w:t>
      </w:r>
    </w:p>
    <w:p w14:paraId="67239163" w14:textId="77777777" w:rsidR="00086B83" w:rsidRDefault="00086B83" w:rsidP="0047513D">
      <w:pPr>
        <w:pStyle w:val="Bezmezer"/>
        <w:spacing w:after="120" w:line="240" w:lineRule="exact"/>
        <w:rPr>
          <w:rFonts w:ascii="Arial" w:hAnsi="Arial" w:cs="Arial"/>
        </w:rPr>
      </w:pPr>
    </w:p>
    <w:p w14:paraId="5A8D786A" w14:textId="77777777" w:rsidR="005E4640" w:rsidRDefault="005E4640" w:rsidP="0047513D">
      <w:pPr>
        <w:pStyle w:val="Bezmezer"/>
        <w:spacing w:after="120" w:line="240" w:lineRule="exact"/>
        <w:rPr>
          <w:rFonts w:ascii="Arial" w:hAnsi="Arial" w:cs="Arial"/>
        </w:rPr>
      </w:pPr>
    </w:p>
    <w:p w14:paraId="79713965" w14:textId="77777777" w:rsidR="00DE20F1" w:rsidRPr="00FE243A" w:rsidRDefault="00DE20F1" w:rsidP="0047513D">
      <w:pPr>
        <w:pStyle w:val="Bezmezer"/>
        <w:numPr>
          <w:ilvl w:val="0"/>
          <w:numId w:val="1"/>
        </w:numPr>
        <w:spacing w:after="240" w:line="240" w:lineRule="exact"/>
        <w:rPr>
          <w:rFonts w:ascii="Arial" w:hAnsi="Arial" w:cs="Arial"/>
          <w:b/>
        </w:rPr>
      </w:pPr>
      <w:r w:rsidRPr="00FE243A">
        <w:rPr>
          <w:rFonts w:ascii="Arial" w:hAnsi="Arial" w:cs="Arial"/>
          <w:b/>
        </w:rPr>
        <w:lastRenderedPageBreak/>
        <w:t>Podmínky pro poskytnutí dotace</w:t>
      </w:r>
    </w:p>
    <w:p w14:paraId="07B3DEA4" w14:textId="77777777" w:rsidR="005E4640" w:rsidRPr="00FE243A" w:rsidRDefault="005E4640" w:rsidP="005E4640">
      <w:pPr>
        <w:numPr>
          <w:ilvl w:val="12"/>
          <w:numId w:val="0"/>
        </w:numPr>
        <w:spacing w:after="120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>Dotaci lze poskytnout obci, jsou-li splněny následující podmínky:</w:t>
      </w:r>
    </w:p>
    <w:p w14:paraId="1A70F24D" w14:textId="07CB5427" w:rsidR="005E4640" w:rsidRPr="00FE243A" w:rsidRDefault="005E4640" w:rsidP="005E4640">
      <w:pPr>
        <w:numPr>
          <w:ilvl w:val="0"/>
          <w:numId w:val="7"/>
        </w:numPr>
        <w:tabs>
          <w:tab w:val="clear" w:pos="720"/>
          <w:tab w:val="left" w:pos="284"/>
        </w:tabs>
        <w:spacing w:after="12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>žádost o dotaci je </w:t>
      </w:r>
      <w:r w:rsidR="00270617">
        <w:rPr>
          <w:rFonts w:ascii="Arial" w:hAnsi="Arial" w:cs="Arial"/>
          <w:sz w:val="20"/>
          <w:szCs w:val="20"/>
        </w:rPr>
        <w:t>doručena</w:t>
      </w:r>
      <w:r w:rsidR="00270617" w:rsidRPr="00FE243A">
        <w:rPr>
          <w:rFonts w:ascii="Arial" w:hAnsi="Arial" w:cs="Arial"/>
          <w:sz w:val="20"/>
          <w:szCs w:val="20"/>
        </w:rPr>
        <w:t xml:space="preserve"> </w:t>
      </w:r>
      <w:r w:rsidRPr="00FE243A">
        <w:rPr>
          <w:rFonts w:ascii="Arial" w:hAnsi="Arial" w:cs="Arial"/>
          <w:sz w:val="20"/>
          <w:szCs w:val="20"/>
        </w:rPr>
        <w:t>na Ministerstvo pro místní rozvoj (dále jen ministerstvo) v termínu stanoveném správcem programu;</w:t>
      </w:r>
    </w:p>
    <w:p w14:paraId="7A0C3AB4" w14:textId="1E680801" w:rsidR="005E4640" w:rsidRPr="00270617" w:rsidRDefault="005E4640" w:rsidP="00270617">
      <w:pPr>
        <w:numPr>
          <w:ilvl w:val="0"/>
          <w:numId w:val="7"/>
        </w:numPr>
        <w:tabs>
          <w:tab w:val="clear" w:pos="720"/>
        </w:tabs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 xml:space="preserve">žádost o dotaci </w:t>
      </w:r>
      <w:r w:rsidR="00270617">
        <w:rPr>
          <w:rFonts w:ascii="Arial" w:hAnsi="Arial" w:cs="Arial"/>
          <w:sz w:val="20"/>
          <w:szCs w:val="20"/>
        </w:rPr>
        <w:t>obsahuje</w:t>
      </w:r>
      <w:r w:rsidR="00270617" w:rsidRPr="00FE243A">
        <w:rPr>
          <w:rFonts w:ascii="Arial" w:hAnsi="Arial" w:cs="Arial"/>
          <w:sz w:val="20"/>
          <w:szCs w:val="20"/>
        </w:rPr>
        <w:t xml:space="preserve"> </w:t>
      </w:r>
      <w:r w:rsidRPr="00FE243A">
        <w:rPr>
          <w:rFonts w:ascii="Arial" w:hAnsi="Arial" w:cs="Arial"/>
          <w:sz w:val="20"/>
          <w:szCs w:val="20"/>
        </w:rPr>
        <w:t xml:space="preserve">všechny základní povinné náležitosti žádosti stanovené metodickým </w:t>
      </w:r>
      <w:r w:rsidRPr="00270617">
        <w:rPr>
          <w:rFonts w:ascii="Arial" w:hAnsi="Arial" w:cs="Arial"/>
          <w:sz w:val="20"/>
          <w:szCs w:val="20"/>
        </w:rPr>
        <w:t>pokynem;</w:t>
      </w:r>
    </w:p>
    <w:p w14:paraId="4DE0441B" w14:textId="5C4B97B2" w:rsidR="00B65EA9" w:rsidRDefault="006142B4" w:rsidP="00BC62DC">
      <w:pPr>
        <w:pStyle w:val="Odstavecseseznamem"/>
        <w:numPr>
          <w:ilvl w:val="0"/>
          <w:numId w:val="7"/>
        </w:numPr>
        <w:spacing w:after="120"/>
        <w:ind w:hanging="436"/>
        <w:contextualSpacing w:val="0"/>
        <w:rPr>
          <w:rFonts w:ascii="Arial" w:hAnsi="Arial" w:cs="Arial"/>
          <w:sz w:val="20"/>
          <w:szCs w:val="20"/>
        </w:rPr>
      </w:pPr>
      <w:r w:rsidRPr="0066571E">
        <w:rPr>
          <w:rFonts w:ascii="Arial" w:hAnsi="Arial" w:cs="Arial"/>
          <w:sz w:val="20"/>
          <w:szCs w:val="20"/>
        </w:rPr>
        <w:t xml:space="preserve">obec nemá ke dni podání žádosti o dotaci </w:t>
      </w:r>
      <w:r w:rsidR="004205D6">
        <w:rPr>
          <w:rFonts w:ascii="Arial" w:hAnsi="Arial" w:cs="Arial"/>
          <w:sz w:val="20"/>
          <w:szCs w:val="20"/>
        </w:rPr>
        <w:t>závazky po době splatnosti</w:t>
      </w:r>
      <w:r w:rsidRPr="0066571E">
        <w:rPr>
          <w:rFonts w:ascii="Arial" w:hAnsi="Arial" w:cs="Arial"/>
          <w:sz w:val="20"/>
          <w:szCs w:val="20"/>
        </w:rPr>
        <w:t xml:space="preserve"> ve </w:t>
      </w:r>
      <w:r w:rsidR="0066571E">
        <w:rPr>
          <w:rFonts w:ascii="Arial" w:hAnsi="Arial" w:cs="Arial"/>
          <w:sz w:val="20"/>
          <w:szCs w:val="20"/>
        </w:rPr>
        <w:t>vztahu ke státnímu rozpočtu</w:t>
      </w:r>
      <w:r w:rsidR="00222C14">
        <w:rPr>
          <w:rFonts w:ascii="Arial" w:hAnsi="Arial" w:cs="Arial"/>
          <w:sz w:val="20"/>
          <w:szCs w:val="20"/>
        </w:rPr>
        <w:t xml:space="preserve"> nebo státním fondům;</w:t>
      </w:r>
    </w:p>
    <w:p w14:paraId="4F594942" w14:textId="7429550E" w:rsidR="004205D6" w:rsidRDefault="004205D6" w:rsidP="00BC62DC">
      <w:pPr>
        <w:pStyle w:val="Odstavecseseznamem"/>
        <w:numPr>
          <w:ilvl w:val="0"/>
          <w:numId w:val="7"/>
        </w:numPr>
        <w:spacing w:after="120"/>
        <w:ind w:hanging="43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má zdůvodněnou potřebnost výstavby technické infrastruktury;</w:t>
      </w:r>
    </w:p>
    <w:p w14:paraId="58D71D66" w14:textId="276DB9C1" w:rsidR="00222C14" w:rsidRDefault="00222C14" w:rsidP="00BC62DC">
      <w:pPr>
        <w:pStyle w:val="Odstavecseseznamem"/>
        <w:numPr>
          <w:ilvl w:val="0"/>
          <w:numId w:val="7"/>
        </w:numPr>
        <w:spacing w:after="120"/>
        <w:ind w:hanging="43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má zajištěny zdroje na dofinancování výstavby předmětné technické infrastruktury;</w:t>
      </w:r>
    </w:p>
    <w:p w14:paraId="545B3920" w14:textId="0C2DA359" w:rsidR="006142B4" w:rsidRPr="00B65EA9" w:rsidRDefault="00B65EA9" w:rsidP="00BC62DC">
      <w:pPr>
        <w:pStyle w:val="Odstavecseseznamem"/>
        <w:numPr>
          <w:ilvl w:val="0"/>
          <w:numId w:val="7"/>
        </w:numPr>
        <w:spacing w:after="120"/>
        <w:ind w:hanging="436"/>
        <w:contextualSpacing w:val="0"/>
        <w:rPr>
          <w:rFonts w:ascii="Arial" w:hAnsi="Arial" w:cs="Arial"/>
          <w:sz w:val="20"/>
          <w:szCs w:val="20"/>
        </w:rPr>
      </w:pPr>
      <w:r w:rsidRPr="00B65EA9">
        <w:rPr>
          <w:rFonts w:ascii="Arial" w:hAnsi="Arial" w:cs="Arial"/>
          <w:sz w:val="20"/>
          <w:szCs w:val="20"/>
        </w:rPr>
        <w:t>obec nesmí na dofinancování akce čerpat dotaci z ESIF ani z jiných prostředků krytých z rozpočtu EU nebo českého dotačního programu/titulu, ani z finančních mechanismů Evropského hospodářského prostoru, Norska a Programu švýcarsko-české spolupráce</w:t>
      </w:r>
    </w:p>
    <w:p w14:paraId="374AD183" w14:textId="1F781AE8" w:rsidR="006142B4" w:rsidRDefault="00BC62DC" w:rsidP="00B65EA9">
      <w:pPr>
        <w:pStyle w:val="Odstavecseseznamem"/>
        <w:numPr>
          <w:ilvl w:val="0"/>
          <w:numId w:val="7"/>
        </w:numPr>
        <w:spacing w:after="120"/>
        <w:ind w:hanging="43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výstavba předmětné technické infrastruktury je v souladu s platným územním plánem</w:t>
      </w:r>
    </w:p>
    <w:p w14:paraId="2FDA01BB" w14:textId="32AF6B7C" w:rsidR="00BC62DC" w:rsidRPr="00BC62DC" w:rsidRDefault="00BC62DC" w:rsidP="00BC62DC">
      <w:pPr>
        <w:pStyle w:val="Odstavecseseznamem"/>
        <w:numPr>
          <w:ilvl w:val="0"/>
          <w:numId w:val="7"/>
        </w:numPr>
        <w:spacing w:after="120"/>
        <w:ind w:hanging="436"/>
        <w:contextualSpacing w:val="0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>zainvestovan</w:t>
      </w:r>
      <w:r>
        <w:rPr>
          <w:rFonts w:ascii="Arial" w:hAnsi="Arial" w:cs="Arial"/>
          <w:sz w:val="20"/>
          <w:szCs w:val="20"/>
        </w:rPr>
        <w:t>é</w:t>
      </w:r>
      <w:r w:rsidRPr="00FE243A">
        <w:rPr>
          <w:rFonts w:ascii="Arial" w:hAnsi="Arial" w:cs="Arial"/>
          <w:sz w:val="20"/>
          <w:szCs w:val="20"/>
        </w:rPr>
        <w:t xml:space="preserve"> stavební pozemk</w:t>
      </w:r>
      <w:r>
        <w:rPr>
          <w:rFonts w:ascii="Arial" w:hAnsi="Arial" w:cs="Arial"/>
          <w:sz w:val="20"/>
          <w:szCs w:val="20"/>
        </w:rPr>
        <w:t>y</w:t>
      </w:r>
      <w:r w:rsidRPr="00FE243A">
        <w:rPr>
          <w:rFonts w:ascii="Arial" w:hAnsi="Arial" w:cs="Arial"/>
          <w:sz w:val="20"/>
          <w:szCs w:val="20"/>
        </w:rPr>
        <w:t xml:space="preserve"> pro výstavbu </w:t>
      </w:r>
      <w:r>
        <w:rPr>
          <w:rFonts w:ascii="Arial" w:hAnsi="Arial" w:cs="Arial"/>
          <w:sz w:val="20"/>
          <w:szCs w:val="20"/>
        </w:rPr>
        <w:t xml:space="preserve">domů </w:t>
      </w:r>
      <w:r w:rsidRPr="00FE243A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jsou</w:t>
      </w:r>
      <w:r w:rsidRPr="00FE243A">
        <w:rPr>
          <w:rFonts w:ascii="Arial" w:hAnsi="Arial" w:cs="Arial"/>
          <w:sz w:val="20"/>
          <w:szCs w:val="20"/>
        </w:rPr>
        <w:t xml:space="preserve"> v záplavovém území, nebo vodoprávní úřad pro </w:t>
      </w:r>
      <w:r>
        <w:rPr>
          <w:rFonts w:ascii="Arial" w:hAnsi="Arial" w:cs="Arial"/>
          <w:sz w:val="20"/>
          <w:szCs w:val="20"/>
        </w:rPr>
        <w:t xml:space="preserve">výstavbu domů na nich </w:t>
      </w:r>
      <w:r w:rsidRPr="00FE243A">
        <w:rPr>
          <w:rFonts w:ascii="Arial" w:hAnsi="Arial" w:cs="Arial"/>
          <w:sz w:val="20"/>
          <w:szCs w:val="20"/>
        </w:rPr>
        <w:t>vyd</w:t>
      </w:r>
      <w:r>
        <w:rPr>
          <w:rFonts w:ascii="Arial" w:hAnsi="Arial" w:cs="Arial"/>
          <w:sz w:val="20"/>
          <w:szCs w:val="20"/>
        </w:rPr>
        <w:t>á</w:t>
      </w:r>
      <w:r w:rsidRPr="00FE243A">
        <w:rPr>
          <w:rFonts w:ascii="Arial" w:hAnsi="Arial" w:cs="Arial"/>
          <w:sz w:val="20"/>
          <w:szCs w:val="20"/>
        </w:rPr>
        <w:t xml:space="preserve"> souhlasné stanovisko s případn</w:t>
      </w:r>
      <w:r>
        <w:rPr>
          <w:rFonts w:ascii="Arial" w:hAnsi="Arial" w:cs="Arial"/>
          <w:sz w:val="20"/>
          <w:szCs w:val="20"/>
        </w:rPr>
        <w:t>ými</w:t>
      </w:r>
      <w:r w:rsidRPr="00FE243A">
        <w:rPr>
          <w:rFonts w:ascii="Arial" w:hAnsi="Arial" w:cs="Arial"/>
          <w:sz w:val="20"/>
          <w:szCs w:val="20"/>
        </w:rPr>
        <w:t xml:space="preserve"> omezujícími podmínkami;</w:t>
      </w:r>
    </w:p>
    <w:p w14:paraId="14FD5A6D" w14:textId="77777777" w:rsidR="006142B4" w:rsidRPr="00FE243A" w:rsidRDefault="006142B4" w:rsidP="00B65EA9">
      <w:pPr>
        <w:pStyle w:val="Zpat"/>
        <w:numPr>
          <w:ilvl w:val="0"/>
          <w:numId w:val="7"/>
        </w:numPr>
        <w:tabs>
          <w:tab w:val="clear" w:pos="4536"/>
          <w:tab w:val="clear" w:pos="9072"/>
        </w:tabs>
        <w:spacing w:after="120" w:line="276" w:lineRule="auto"/>
        <w:ind w:hanging="436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>obec má na výstavbu technické infrastruktury vydaný platný doklad o povolení stavby</w:t>
      </w:r>
      <w:r>
        <w:rPr>
          <w:rStyle w:val="Znakapoznpodarou"/>
          <w:rFonts w:ascii="Arial" w:hAnsi="Arial" w:cs="Arial"/>
          <w:sz w:val="20"/>
          <w:szCs w:val="20"/>
        </w:rPr>
        <w:footnoteReference w:id="7"/>
      </w:r>
      <w:r>
        <w:rPr>
          <w:rFonts w:ascii="Arial" w:hAnsi="Arial" w:cs="Arial"/>
          <w:sz w:val="20"/>
          <w:szCs w:val="20"/>
        </w:rPr>
        <w:t>.</w:t>
      </w:r>
    </w:p>
    <w:p w14:paraId="6EA43CD3" w14:textId="77777777" w:rsidR="00CE239A" w:rsidRPr="0066571E" w:rsidRDefault="00CE239A" w:rsidP="00B65EA9">
      <w:pPr>
        <w:pStyle w:val="Odstavecseseznamem"/>
        <w:numPr>
          <w:ilvl w:val="0"/>
          <w:numId w:val="7"/>
        </w:numPr>
        <w:spacing w:after="120" w:line="240" w:lineRule="auto"/>
        <w:ind w:hanging="436"/>
        <w:rPr>
          <w:rFonts w:ascii="Arial" w:hAnsi="Arial" w:cs="Arial"/>
          <w:sz w:val="20"/>
          <w:szCs w:val="20"/>
        </w:rPr>
      </w:pPr>
      <w:r w:rsidRPr="0066571E">
        <w:rPr>
          <w:rFonts w:ascii="Arial" w:hAnsi="Arial" w:cs="Arial"/>
          <w:sz w:val="20"/>
          <w:szCs w:val="20"/>
        </w:rPr>
        <w:t>vlastnictví pozemků</w:t>
      </w:r>
    </w:p>
    <w:p w14:paraId="2DBE684F" w14:textId="41EC6860" w:rsidR="00CE239A" w:rsidRPr="0066571E" w:rsidRDefault="00CE239A" w:rsidP="00CE239A">
      <w:pPr>
        <w:pStyle w:val="Zpat"/>
        <w:numPr>
          <w:ilvl w:val="1"/>
          <w:numId w:val="7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20"/>
          <w:szCs w:val="20"/>
        </w:rPr>
      </w:pPr>
      <w:r w:rsidRPr="0066571E">
        <w:rPr>
          <w:rFonts w:ascii="Arial" w:hAnsi="Arial" w:cs="Arial"/>
          <w:sz w:val="20"/>
          <w:szCs w:val="20"/>
        </w:rPr>
        <w:t xml:space="preserve">v režimu „de </w:t>
      </w:r>
      <w:proofErr w:type="spellStart"/>
      <w:r w:rsidRPr="0066571E">
        <w:rPr>
          <w:rFonts w:ascii="Arial" w:hAnsi="Arial" w:cs="Arial"/>
          <w:sz w:val="20"/>
          <w:szCs w:val="20"/>
        </w:rPr>
        <w:t>minimis</w:t>
      </w:r>
      <w:proofErr w:type="spellEnd"/>
      <w:r w:rsidRPr="0066571E">
        <w:rPr>
          <w:rFonts w:ascii="Arial" w:hAnsi="Arial" w:cs="Arial"/>
          <w:sz w:val="20"/>
          <w:szCs w:val="20"/>
        </w:rPr>
        <w:t>“ - obec doloží vlastnictví pozemků pro výstavbu technické infrastruktury</w:t>
      </w:r>
      <w:r w:rsidR="006142B4">
        <w:rPr>
          <w:rFonts w:ascii="Arial" w:hAnsi="Arial" w:cs="Arial"/>
          <w:sz w:val="20"/>
          <w:szCs w:val="20"/>
        </w:rPr>
        <w:t xml:space="preserve"> (na pozemcích nevázne zástavní právo nebo exekuce ve prospěch třetí osoby)</w:t>
      </w:r>
      <w:r w:rsidR="0066571E">
        <w:rPr>
          <w:rFonts w:ascii="Arial" w:hAnsi="Arial" w:cs="Arial"/>
          <w:sz w:val="20"/>
          <w:szCs w:val="20"/>
        </w:rPr>
        <w:t>;</w:t>
      </w:r>
    </w:p>
    <w:p w14:paraId="7CB469B3" w14:textId="197429A8" w:rsidR="00CE239A" w:rsidRDefault="00CE239A" w:rsidP="00CE239A">
      <w:pPr>
        <w:pStyle w:val="Zpat"/>
        <w:numPr>
          <w:ilvl w:val="1"/>
          <w:numId w:val="7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20"/>
          <w:szCs w:val="20"/>
        </w:rPr>
      </w:pPr>
      <w:r w:rsidRPr="0066571E">
        <w:rPr>
          <w:rFonts w:ascii="Arial" w:hAnsi="Arial" w:cs="Arial"/>
          <w:sz w:val="20"/>
          <w:szCs w:val="20"/>
        </w:rPr>
        <w:t xml:space="preserve">mimo režim „de </w:t>
      </w:r>
      <w:proofErr w:type="spellStart"/>
      <w:r w:rsidRPr="0066571E">
        <w:rPr>
          <w:rFonts w:ascii="Arial" w:hAnsi="Arial" w:cs="Arial"/>
          <w:sz w:val="20"/>
          <w:szCs w:val="20"/>
        </w:rPr>
        <w:t>minimis</w:t>
      </w:r>
      <w:proofErr w:type="spellEnd"/>
      <w:r w:rsidRPr="0066571E">
        <w:rPr>
          <w:rFonts w:ascii="Arial" w:hAnsi="Arial" w:cs="Arial"/>
          <w:sz w:val="20"/>
          <w:szCs w:val="20"/>
        </w:rPr>
        <w:t>“ - obec doloží vlastnictví pozemků pro výstavbu technické infrastruktury</w:t>
      </w:r>
      <w:r w:rsidR="006142B4">
        <w:rPr>
          <w:rFonts w:ascii="Arial" w:hAnsi="Arial" w:cs="Arial"/>
          <w:sz w:val="20"/>
          <w:szCs w:val="20"/>
        </w:rPr>
        <w:t xml:space="preserve"> (na pozemcích nevázne zástavní právo nebo exekuce ve prospěch třetí osoby)</w:t>
      </w:r>
      <w:r w:rsidRPr="0066571E">
        <w:rPr>
          <w:rFonts w:ascii="Arial" w:hAnsi="Arial" w:cs="Arial"/>
          <w:sz w:val="20"/>
          <w:szCs w:val="20"/>
        </w:rPr>
        <w:t xml:space="preserve"> i vlastnictví pozemků pro výstavbu domů (pozemky </w:t>
      </w:r>
      <w:r w:rsidR="0062173E">
        <w:rPr>
          <w:rFonts w:ascii="Arial" w:hAnsi="Arial" w:cs="Arial"/>
          <w:sz w:val="20"/>
          <w:szCs w:val="20"/>
        </w:rPr>
        <w:t xml:space="preserve">pro výstavbu domů </w:t>
      </w:r>
      <w:r w:rsidR="0066571E">
        <w:rPr>
          <w:rFonts w:ascii="Arial" w:hAnsi="Arial" w:cs="Arial"/>
          <w:sz w:val="20"/>
          <w:szCs w:val="20"/>
        </w:rPr>
        <w:t>jsou ve </w:t>
      </w:r>
      <w:r w:rsidRPr="0066571E">
        <w:rPr>
          <w:rFonts w:ascii="Arial" w:hAnsi="Arial" w:cs="Arial"/>
          <w:sz w:val="20"/>
          <w:szCs w:val="20"/>
        </w:rPr>
        <w:t>výlučném vlastnictví obce);</w:t>
      </w:r>
    </w:p>
    <w:p w14:paraId="4D3CF9ED" w14:textId="77777777" w:rsidR="00087580" w:rsidRDefault="00A72825" w:rsidP="0047513D">
      <w:pPr>
        <w:spacing w:line="24" w:lineRule="atLeast"/>
        <w:rPr>
          <w:rFonts w:ascii="Arial" w:hAnsi="Arial" w:cs="Arial"/>
          <w:sz w:val="20"/>
          <w:szCs w:val="20"/>
        </w:rPr>
      </w:pPr>
      <w:r w:rsidRPr="0066571E">
        <w:rPr>
          <w:rFonts w:ascii="Arial" w:hAnsi="Arial" w:cs="Arial"/>
          <w:sz w:val="20"/>
          <w:szCs w:val="20"/>
        </w:rPr>
        <w:t>Dotaci nelze poskytnout na akci ukončenou před datem vydání Rozhodnutí o poskytnutí dotace.</w:t>
      </w:r>
    </w:p>
    <w:p w14:paraId="374CE239" w14:textId="3FD870DA" w:rsidR="00F00562" w:rsidRPr="0066571E" w:rsidRDefault="00F00562" w:rsidP="00F00562">
      <w:pPr>
        <w:spacing w:after="120"/>
        <w:rPr>
          <w:rFonts w:ascii="Arial" w:hAnsi="Arial" w:cs="Arial"/>
          <w:sz w:val="20"/>
          <w:szCs w:val="20"/>
        </w:rPr>
      </w:pPr>
      <w:r w:rsidRPr="0066571E">
        <w:rPr>
          <w:rFonts w:ascii="Arial" w:hAnsi="Arial" w:cs="Arial"/>
          <w:sz w:val="20"/>
          <w:szCs w:val="20"/>
        </w:rPr>
        <w:t>Dotace není poskytována na výstavbu přípojek</w:t>
      </w:r>
      <w:bookmarkStart w:id="2" w:name="_GoBack"/>
      <w:bookmarkEnd w:id="2"/>
      <w:r w:rsidRPr="0066571E">
        <w:rPr>
          <w:rFonts w:ascii="Arial" w:hAnsi="Arial" w:cs="Arial"/>
          <w:sz w:val="20"/>
          <w:szCs w:val="20"/>
        </w:rPr>
        <w:t>, na přeložky ani na stavební úpravy.</w:t>
      </w:r>
    </w:p>
    <w:p w14:paraId="1B8F787B" w14:textId="77777777" w:rsidR="00F00562" w:rsidRPr="0066571E" w:rsidRDefault="00F00562" w:rsidP="0047513D">
      <w:pPr>
        <w:spacing w:line="24" w:lineRule="atLeast"/>
        <w:rPr>
          <w:rFonts w:ascii="Arial" w:hAnsi="Arial" w:cs="Arial"/>
          <w:sz w:val="20"/>
          <w:szCs w:val="20"/>
        </w:rPr>
      </w:pPr>
    </w:p>
    <w:p w14:paraId="6A0DBD01" w14:textId="77777777" w:rsidR="00174F18" w:rsidRPr="00FE243A" w:rsidRDefault="0025716C" w:rsidP="0047513D">
      <w:pPr>
        <w:pStyle w:val="Bezmezer"/>
        <w:numPr>
          <w:ilvl w:val="0"/>
          <w:numId w:val="1"/>
        </w:numPr>
        <w:spacing w:line="24" w:lineRule="atLeast"/>
        <w:rPr>
          <w:rFonts w:ascii="Arial" w:hAnsi="Arial" w:cs="Arial"/>
          <w:b/>
        </w:rPr>
      </w:pPr>
      <w:r w:rsidRPr="00FE243A">
        <w:rPr>
          <w:rFonts w:ascii="Arial" w:hAnsi="Arial" w:cs="Arial"/>
          <w:b/>
        </w:rPr>
        <w:t>P</w:t>
      </w:r>
      <w:r w:rsidR="00F33F17" w:rsidRPr="00FE243A">
        <w:rPr>
          <w:rFonts w:ascii="Arial" w:hAnsi="Arial" w:cs="Arial"/>
          <w:b/>
        </w:rPr>
        <w:t>odmínky pro použití dotace</w:t>
      </w:r>
    </w:p>
    <w:p w14:paraId="2C18C3A7" w14:textId="77777777" w:rsidR="00F33F17" w:rsidRPr="00FE243A" w:rsidRDefault="00F33F17" w:rsidP="0047513D">
      <w:pPr>
        <w:pStyle w:val="Bezmezer"/>
        <w:spacing w:line="24" w:lineRule="atLeast"/>
        <w:rPr>
          <w:rFonts w:ascii="Arial" w:hAnsi="Arial" w:cs="Arial"/>
        </w:rPr>
      </w:pPr>
      <w:r w:rsidRPr="00FE243A">
        <w:rPr>
          <w:rFonts w:ascii="Arial" w:hAnsi="Arial" w:cs="Arial"/>
        </w:rPr>
        <w:t xml:space="preserve"> </w:t>
      </w:r>
    </w:p>
    <w:p w14:paraId="4D16B3E9" w14:textId="77777777" w:rsidR="005E4640" w:rsidRPr="00FE243A" w:rsidRDefault="005E4640" w:rsidP="005E4640">
      <w:pPr>
        <w:numPr>
          <w:ilvl w:val="1"/>
          <w:numId w:val="8"/>
        </w:numPr>
        <w:tabs>
          <w:tab w:val="clear" w:pos="397"/>
        </w:tabs>
        <w:spacing w:after="120"/>
        <w:ind w:left="28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Příjemce dotace je povinen dodržovat veškeré podmínky vyplývající ze znění textu </w:t>
      </w:r>
      <w:r w:rsidRPr="00FE24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podprogramu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 “Výstavba technické infrastruktury v oblasti se strategickou průmyslovou zónou</w:t>
      </w:r>
      <w:r w:rsidR="00A72825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B00CE1A" w14:textId="77777777" w:rsidR="005E4640" w:rsidRPr="00FE243A" w:rsidRDefault="005E4640" w:rsidP="005E4640">
      <w:pPr>
        <w:numPr>
          <w:ilvl w:val="1"/>
          <w:numId w:val="8"/>
        </w:numPr>
        <w:spacing w:after="120"/>
        <w:ind w:left="28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příjemce dotace je povinen akci realizovat v souladu s doklady předloženými se žádostí o poskytnutí dotace, případně v souladu se změnami schválenými správcem </w:t>
      </w:r>
      <w:r w:rsidRPr="00FE24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programu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>, a v souladu s posledním vydaným Rozhodnutím o poskytnutí dotace a zároveň v souladu s obecně závaznými předpisy;</w:t>
      </w:r>
    </w:p>
    <w:p w14:paraId="68EFC131" w14:textId="06E5289E" w:rsidR="005E4640" w:rsidRPr="00FE243A" w:rsidRDefault="005E4640" w:rsidP="005E4640">
      <w:pPr>
        <w:numPr>
          <w:ilvl w:val="1"/>
          <w:numId w:val="8"/>
        </w:numPr>
        <w:spacing w:after="120"/>
        <w:ind w:left="28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stavební práce budou zahájeny do konce příslušného roku, </w:t>
      </w:r>
      <w:r w:rsidR="00A72825">
        <w:rPr>
          <w:rFonts w:ascii="Arial" w:eastAsia="Times New Roman" w:hAnsi="Arial" w:cs="Arial"/>
          <w:sz w:val="20"/>
          <w:szCs w:val="20"/>
          <w:lang w:eastAsia="cs-CZ"/>
        </w:rPr>
        <w:t>na který byla výzva, v níž žádost o dotaci uspěla, vypsána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0D3577B" w14:textId="2053FC35" w:rsidR="00E372FD" w:rsidRPr="0066571E" w:rsidRDefault="005E4640" w:rsidP="00E372FD">
      <w:pPr>
        <w:numPr>
          <w:ilvl w:val="1"/>
          <w:numId w:val="8"/>
        </w:numPr>
        <w:spacing w:after="120"/>
        <w:ind w:left="284" w:hanging="283"/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termín ukončení realizace akce nesmí překročit lhůtu 2 let od data </w:t>
      </w:r>
      <w:r w:rsidR="00EC5834">
        <w:rPr>
          <w:rFonts w:ascii="Arial" w:eastAsia="Times New Roman" w:hAnsi="Arial" w:cs="Arial"/>
          <w:sz w:val="20"/>
          <w:szCs w:val="20"/>
          <w:lang w:eastAsia="cs-CZ"/>
        </w:rPr>
        <w:t>podpisu</w:t>
      </w:r>
      <w:r w:rsidR="00EC5834"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>Rozhodnutí o poskytnutí dotace;</w:t>
      </w:r>
    </w:p>
    <w:p w14:paraId="0616DCBC" w14:textId="56327295" w:rsidR="001461CE" w:rsidRPr="006D5281" w:rsidRDefault="00E372FD" w:rsidP="006D5281">
      <w:pPr>
        <w:numPr>
          <w:ilvl w:val="1"/>
          <w:numId w:val="8"/>
        </w:numPr>
        <w:spacing w:after="120" w:line="240" w:lineRule="auto"/>
        <w:ind w:left="284" w:hanging="283"/>
        <w:rPr>
          <w:rFonts w:ascii="Arial" w:hAnsi="Arial" w:cs="Arial"/>
          <w:sz w:val="20"/>
          <w:szCs w:val="20"/>
        </w:rPr>
      </w:pPr>
      <w:r w:rsidDel="00E372FD">
        <w:rPr>
          <w:rStyle w:val="Odkaznakoment"/>
        </w:rPr>
        <w:t xml:space="preserve"> </w:t>
      </w:r>
      <w:r w:rsidR="00EC5834">
        <w:rPr>
          <w:rFonts w:ascii="Arial" w:hAnsi="Arial" w:cs="Arial"/>
          <w:sz w:val="20"/>
          <w:szCs w:val="20"/>
        </w:rPr>
        <w:t xml:space="preserve">na stavebních pozemcích zainvestovaných s pomocí dotace podle tohoto podprogramu bude postaven stejný počet rodinných nebo bytových domů, jako je počet zainvestovaných pozemků, </w:t>
      </w:r>
      <w:r w:rsidR="0066571E">
        <w:rPr>
          <w:rFonts w:ascii="Arial" w:hAnsi="Arial" w:cs="Arial"/>
          <w:sz w:val="20"/>
          <w:szCs w:val="20"/>
        </w:rPr>
        <w:lastRenderedPageBreak/>
        <w:t>na </w:t>
      </w:r>
      <w:r w:rsidR="00EC5834">
        <w:rPr>
          <w:rFonts w:ascii="Arial" w:hAnsi="Arial" w:cs="Arial"/>
          <w:sz w:val="20"/>
          <w:szCs w:val="20"/>
        </w:rPr>
        <w:t>které byla dotace poskytnuta (nebo větší počet); výstavba domů a technické infrastruktury může probíhat současně</w:t>
      </w:r>
      <w:r w:rsidR="006D5281">
        <w:rPr>
          <w:rFonts w:ascii="Arial" w:hAnsi="Arial" w:cs="Arial"/>
          <w:sz w:val="20"/>
          <w:szCs w:val="20"/>
        </w:rPr>
        <w:t xml:space="preserve">; </w:t>
      </w:r>
      <w:r w:rsidR="005E4640" w:rsidRPr="006D5281">
        <w:rPr>
          <w:rFonts w:ascii="Arial" w:eastAsia="Times New Roman" w:hAnsi="Arial" w:cs="Arial"/>
          <w:sz w:val="20"/>
          <w:szCs w:val="20"/>
          <w:lang w:eastAsia="cs-CZ"/>
        </w:rPr>
        <w:t>následná bytová výstavba odpovídající</w:t>
      </w:r>
      <w:r w:rsidRPr="006D5281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5E4640" w:rsidRPr="006D5281">
        <w:rPr>
          <w:rFonts w:ascii="Arial" w:eastAsia="Times New Roman" w:hAnsi="Arial" w:cs="Arial"/>
          <w:sz w:val="20"/>
          <w:szCs w:val="20"/>
          <w:lang w:eastAsia="cs-CZ"/>
        </w:rPr>
        <w:t xml:space="preserve"> počtu </w:t>
      </w:r>
      <w:r w:rsidRPr="006D5281">
        <w:rPr>
          <w:rFonts w:ascii="Arial" w:eastAsia="Times New Roman" w:hAnsi="Arial" w:cs="Arial"/>
          <w:sz w:val="20"/>
          <w:szCs w:val="20"/>
          <w:lang w:eastAsia="cs-CZ"/>
        </w:rPr>
        <w:t xml:space="preserve">domů </w:t>
      </w:r>
      <w:r w:rsidR="005E4640" w:rsidRPr="006D5281">
        <w:rPr>
          <w:rFonts w:ascii="Arial" w:eastAsia="Times New Roman" w:hAnsi="Arial" w:cs="Arial"/>
          <w:sz w:val="20"/>
          <w:szCs w:val="20"/>
          <w:lang w:eastAsia="cs-CZ"/>
        </w:rPr>
        <w:t xml:space="preserve">musí být ukončena </w:t>
      </w:r>
      <w:r w:rsidR="0066571E" w:rsidRPr="006D5281">
        <w:rPr>
          <w:rFonts w:ascii="Arial" w:eastAsia="Times New Roman" w:hAnsi="Arial" w:cs="Arial"/>
          <w:sz w:val="20"/>
          <w:szCs w:val="20"/>
          <w:lang w:eastAsia="cs-CZ"/>
        </w:rPr>
        <w:t>nejpozději do 5 let od </w:t>
      </w:r>
      <w:r w:rsidR="005E4640" w:rsidRPr="006D5281">
        <w:rPr>
          <w:rFonts w:ascii="Arial" w:eastAsia="Times New Roman" w:hAnsi="Arial" w:cs="Arial"/>
          <w:sz w:val="20"/>
          <w:szCs w:val="20"/>
          <w:lang w:eastAsia="cs-CZ"/>
        </w:rPr>
        <w:t>ukončení výstavby technické infrastruktury</w:t>
      </w:r>
      <w:r w:rsidR="00BE56A6" w:rsidRPr="006D5281">
        <w:rPr>
          <w:rFonts w:ascii="Arial" w:eastAsia="Times New Roman" w:hAnsi="Arial" w:cs="Arial"/>
          <w:sz w:val="20"/>
          <w:szCs w:val="20"/>
          <w:lang w:eastAsia="cs-CZ"/>
        </w:rPr>
        <w:t>;</w:t>
      </w:r>
      <w:r w:rsidR="001461CE" w:rsidRPr="006D5281">
        <w:rPr>
          <w:rFonts w:ascii="Arial" w:eastAsia="Times New Roman" w:hAnsi="Arial" w:cs="Arial"/>
          <w:sz w:val="20"/>
          <w:szCs w:val="20"/>
          <w:lang w:eastAsia="cs-CZ"/>
        </w:rPr>
        <w:t xml:space="preserve"> u</w:t>
      </w:r>
      <w:r w:rsidR="004205D6">
        <w:rPr>
          <w:rFonts w:ascii="Arial" w:hAnsi="Arial" w:cs="Arial"/>
          <w:sz w:val="20"/>
          <w:szCs w:val="20"/>
        </w:rPr>
        <w:t>končení výstavby v souladu se </w:t>
      </w:r>
      <w:r w:rsidR="001461CE" w:rsidRPr="006D5281">
        <w:rPr>
          <w:rFonts w:ascii="Arial" w:hAnsi="Arial" w:cs="Arial"/>
          <w:sz w:val="20"/>
          <w:szCs w:val="20"/>
        </w:rPr>
        <w:t>zákonem č. 183/2006 Sb. o územním plánování a stavebním řá</w:t>
      </w:r>
      <w:r w:rsidR="004205D6">
        <w:rPr>
          <w:rFonts w:ascii="Arial" w:hAnsi="Arial" w:cs="Arial"/>
          <w:sz w:val="20"/>
          <w:szCs w:val="20"/>
        </w:rPr>
        <w:t>du ve znění pozdějších předpisů </w:t>
      </w:r>
      <w:r w:rsidR="001461CE" w:rsidRPr="006D5281">
        <w:rPr>
          <w:rFonts w:ascii="Arial" w:hAnsi="Arial" w:cs="Arial"/>
          <w:sz w:val="20"/>
          <w:szCs w:val="20"/>
        </w:rPr>
        <w:t>znamená, že stavba je schopna samostatného užívání:</w:t>
      </w:r>
    </w:p>
    <w:p w14:paraId="361EC422" w14:textId="24BFE2FE" w:rsidR="001461CE" w:rsidRPr="0066571E" w:rsidRDefault="001461CE" w:rsidP="0066571E">
      <w:pPr>
        <w:pStyle w:val="Odstavecseseznamem"/>
        <w:numPr>
          <w:ilvl w:val="0"/>
          <w:numId w:val="13"/>
        </w:numPr>
        <w:spacing w:after="120" w:line="240" w:lineRule="auto"/>
        <w:ind w:left="426" w:hanging="142"/>
        <w:rPr>
          <w:rFonts w:ascii="Arial" w:hAnsi="Arial" w:cs="Arial"/>
          <w:sz w:val="20"/>
          <w:szCs w:val="20"/>
        </w:rPr>
      </w:pPr>
      <w:r w:rsidRPr="0066571E">
        <w:rPr>
          <w:rFonts w:ascii="Arial" w:hAnsi="Arial" w:cs="Arial"/>
          <w:sz w:val="20"/>
          <w:szCs w:val="20"/>
        </w:rPr>
        <w:t xml:space="preserve">na základě kolaudačního </w:t>
      </w:r>
      <w:r w:rsidR="00EC5834">
        <w:rPr>
          <w:rFonts w:ascii="Arial" w:hAnsi="Arial" w:cs="Arial"/>
          <w:sz w:val="20"/>
          <w:szCs w:val="20"/>
        </w:rPr>
        <w:t>rozhodnutí/</w:t>
      </w:r>
      <w:r w:rsidRPr="0066571E">
        <w:rPr>
          <w:rFonts w:ascii="Arial" w:hAnsi="Arial" w:cs="Arial"/>
          <w:sz w:val="20"/>
          <w:szCs w:val="20"/>
        </w:rPr>
        <w:t>souhlasu u staveb, na které bylo vydáno stavební povolení;</w:t>
      </w:r>
    </w:p>
    <w:p w14:paraId="5557154A" w14:textId="57AB252E" w:rsidR="001461CE" w:rsidRDefault="001461CE" w:rsidP="0066571E">
      <w:pPr>
        <w:pStyle w:val="Odstavecseseznamem"/>
        <w:numPr>
          <w:ilvl w:val="0"/>
          <w:numId w:val="13"/>
        </w:numPr>
        <w:spacing w:after="120" w:line="240" w:lineRule="auto"/>
        <w:ind w:left="426" w:hanging="142"/>
        <w:rPr>
          <w:rFonts w:ascii="Arial" w:hAnsi="Arial" w:cs="Arial"/>
          <w:sz w:val="20"/>
          <w:szCs w:val="20"/>
        </w:rPr>
      </w:pPr>
      <w:r w:rsidRPr="0066571E">
        <w:rPr>
          <w:rFonts w:ascii="Arial" w:hAnsi="Arial" w:cs="Arial"/>
          <w:sz w:val="20"/>
          <w:szCs w:val="20"/>
        </w:rPr>
        <w:t xml:space="preserve">na základě </w:t>
      </w:r>
      <w:r w:rsidR="00F00562">
        <w:rPr>
          <w:rFonts w:ascii="Arial" w:hAnsi="Arial" w:cs="Arial"/>
          <w:sz w:val="20"/>
          <w:szCs w:val="20"/>
        </w:rPr>
        <w:t>jiného dokladu</w:t>
      </w:r>
      <w:r w:rsidR="00EC5834">
        <w:rPr>
          <w:rFonts w:ascii="Arial" w:hAnsi="Arial" w:cs="Arial"/>
          <w:sz w:val="20"/>
          <w:szCs w:val="20"/>
        </w:rPr>
        <w:t xml:space="preserve"> (</w:t>
      </w:r>
      <w:r w:rsidRPr="0066571E">
        <w:rPr>
          <w:rFonts w:ascii="Arial" w:hAnsi="Arial" w:cs="Arial"/>
          <w:sz w:val="20"/>
          <w:szCs w:val="20"/>
        </w:rPr>
        <w:t>výstavb</w:t>
      </w:r>
      <w:r w:rsidR="00EC5834">
        <w:rPr>
          <w:rFonts w:ascii="Arial" w:hAnsi="Arial" w:cs="Arial"/>
          <w:sz w:val="20"/>
          <w:szCs w:val="20"/>
        </w:rPr>
        <w:t>a</w:t>
      </w:r>
      <w:r w:rsidRPr="0066571E">
        <w:rPr>
          <w:rFonts w:ascii="Arial" w:hAnsi="Arial" w:cs="Arial"/>
          <w:sz w:val="20"/>
          <w:szCs w:val="20"/>
        </w:rPr>
        <w:t xml:space="preserve"> domů</w:t>
      </w:r>
      <w:r w:rsidR="00EC5834">
        <w:rPr>
          <w:rFonts w:ascii="Arial" w:hAnsi="Arial" w:cs="Arial"/>
          <w:sz w:val="20"/>
          <w:szCs w:val="20"/>
        </w:rPr>
        <w:t>)</w:t>
      </w:r>
      <w:r w:rsidR="00F00562">
        <w:rPr>
          <w:rFonts w:ascii="Arial" w:hAnsi="Arial" w:cs="Arial"/>
          <w:sz w:val="20"/>
          <w:szCs w:val="20"/>
        </w:rPr>
        <w:t>;</w:t>
      </w:r>
    </w:p>
    <w:p w14:paraId="5BBE2DD3" w14:textId="73EB7436" w:rsidR="006D5281" w:rsidRPr="006D5281" w:rsidRDefault="006D5281" w:rsidP="006D5281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nesplnění této podmínky bude v souladu s § 14 odst. 5 zák. č. 218/20000 Sb. o rozpočtových pravidlech a o změně některých souvisejících zákonů (rozpočtová pravidla), ve znění pozdějších předpisů, sankcionováno ve výši poměru počtu nesplněných parametrů k celkové výši dotace;</w:t>
      </w:r>
    </w:p>
    <w:p w14:paraId="6FA2D8E9" w14:textId="7BAD1C28" w:rsidR="005E4640" w:rsidRDefault="005E4640" w:rsidP="005E4640">
      <w:pPr>
        <w:numPr>
          <w:ilvl w:val="1"/>
          <w:numId w:val="8"/>
        </w:numPr>
        <w:spacing w:after="120"/>
        <w:ind w:left="28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plnění podmínek v bodě </w:t>
      </w:r>
      <w:r w:rsidR="00E372FD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) této části musí být ministerstvu doloženo ověřenými kopiemi kolaudačních souhlasů nebo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kolaudačních rozhodnutí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 xml:space="preserve">nebo </w:t>
      </w:r>
      <w:r w:rsidR="00CE239A">
        <w:rPr>
          <w:rFonts w:ascii="Arial" w:eastAsia="Times New Roman" w:hAnsi="Arial" w:cs="Arial"/>
          <w:sz w:val="20"/>
          <w:szCs w:val="20"/>
          <w:lang w:eastAsia="cs-CZ"/>
        </w:rPr>
        <w:t xml:space="preserve"> jiným</w:t>
      </w:r>
      <w:proofErr w:type="gramEnd"/>
      <w:r w:rsidR="00CE239A">
        <w:rPr>
          <w:rFonts w:ascii="Arial" w:eastAsia="Times New Roman" w:hAnsi="Arial" w:cs="Arial"/>
          <w:sz w:val="20"/>
          <w:szCs w:val="20"/>
          <w:lang w:eastAsia="cs-CZ"/>
        </w:rPr>
        <w:t xml:space="preserve"> dokladem </w:t>
      </w:r>
      <w:r w:rsidR="001461CE">
        <w:rPr>
          <w:rFonts w:ascii="Arial" w:eastAsia="Times New Roman" w:hAnsi="Arial" w:cs="Arial"/>
          <w:sz w:val="20"/>
          <w:szCs w:val="20"/>
          <w:lang w:eastAsia="cs-CZ"/>
        </w:rPr>
        <w:t>o ukončení výstavby domů</w:t>
      </w:r>
      <w:r w:rsidR="0066571E">
        <w:rPr>
          <w:rFonts w:ascii="Arial" w:eastAsia="Times New Roman" w:hAnsi="Arial" w:cs="Arial"/>
          <w:sz w:val="20"/>
          <w:szCs w:val="20"/>
          <w:lang w:eastAsia="cs-CZ"/>
        </w:rPr>
        <w:t>, a </w:t>
      </w:r>
      <w:r>
        <w:rPr>
          <w:rFonts w:ascii="Arial" w:eastAsia="Times New Roman" w:hAnsi="Arial" w:cs="Arial"/>
          <w:sz w:val="20"/>
          <w:szCs w:val="20"/>
          <w:lang w:eastAsia="cs-CZ"/>
        </w:rPr>
        <w:t>to</w:t>
      </w:r>
      <w:r w:rsidR="0066571E">
        <w:rPr>
          <w:rFonts w:ascii="Arial" w:eastAsia="Times New Roman" w:hAnsi="Arial" w:cs="Arial"/>
          <w:sz w:val="20"/>
          <w:szCs w:val="20"/>
          <w:lang w:eastAsia="cs-CZ"/>
        </w:rPr>
        <w:t> do 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>dvou měsíců po uplynutí stanovené lhůty;</w:t>
      </w:r>
    </w:p>
    <w:p w14:paraId="556849AC" w14:textId="31DCCBB9" w:rsidR="00CE239A" w:rsidRDefault="00CE239A" w:rsidP="00CE239A">
      <w:pPr>
        <w:numPr>
          <w:ilvl w:val="1"/>
          <w:numId w:val="8"/>
        </w:numPr>
        <w:spacing w:after="120"/>
        <w:ind w:left="284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byla dotace poskytnuta mimo režim „de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minimis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“,</w:t>
      </w:r>
      <w:r w:rsidR="00EC5834">
        <w:rPr>
          <w:rFonts w:ascii="Arial" w:eastAsia="Times New Roman" w:hAnsi="Arial" w:cs="Arial"/>
          <w:sz w:val="20"/>
          <w:szCs w:val="20"/>
          <w:lang w:eastAsia="cs-CZ"/>
        </w:rPr>
        <w:t xml:space="preserve"> budou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pozemky pro výstavbu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domů 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>prodány v otevřeném, transparentním a nediskriminačním řízení;</w:t>
      </w:r>
    </w:p>
    <w:p w14:paraId="1CDF1C09" w14:textId="3DD9E441" w:rsidR="00CE239A" w:rsidRPr="0066571E" w:rsidRDefault="00EC5834" w:rsidP="0066571E">
      <w:pPr>
        <w:pStyle w:val="Odstavecseseznamem"/>
        <w:numPr>
          <w:ilvl w:val="1"/>
          <w:numId w:val="8"/>
        </w:numPr>
        <w:tabs>
          <w:tab w:val="clear" w:pos="397"/>
        </w:tabs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4706B6">
        <w:rPr>
          <w:rFonts w:ascii="Arial" w:hAnsi="Arial" w:cs="Arial"/>
          <w:sz w:val="20"/>
          <w:szCs w:val="20"/>
        </w:rPr>
        <w:t xml:space="preserve">v případě, že byla dotace poskytnuta mimo režim „de </w:t>
      </w:r>
      <w:proofErr w:type="spellStart"/>
      <w:r w:rsidRPr="004706B6">
        <w:rPr>
          <w:rFonts w:ascii="Arial" w:hAnsi="Arial" w:cs="Arial"/>
          <w:sz w:val="20"/>
          <w:szCs w:val="20"/>
        </w:rPr>
        <w:t>minimis</w:t>
      </w:r>
      <w:proofErr w:type="spellEnd"/>
      <w:r w:rsidRPr="004706B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, bude 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>případný zisk z prodeje pozemků zainvestovaných pro budoucí výstavbu reinvestován do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obecné infrastruktury, která </w:t>
      </w:r>
      <w:r>
        <w:rPr>
          <w:rFonts w:ascii="Arial" w:eastAsia="Times New Roman" w:hAnsi="Arial" w:cs="Arial"/>
          <w:sz w:val="20"/>
          <w:szCs w:val="20"/>
          <w:lang w:eastAsia="cs-CZ"/>
        </w:rPr>
        <w:t>bude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 xml:space="preserve"> zpřístupněna bezplatnému veřejnému užívání (např. dopravní 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243A">
        <w:rPr>
          <w:rFonts w:ascii="Arial" w:eastAsia="Times New Roman" w:hAnsi="Arial" w:cs="Arial"/>
          <w:sz w:val="20"/>
          <w:szCs w:val="20"/>
          <w:lang w:eastAsia="cs-CZ"/>
        </w:rPr>
        <w:t>pěší komunikace, veřejné osvětlení, veřejná zeleň, veřejná prostranství atd.) nebo bude vrácen poskytovateli dotace</w:t>
      </w:r>
      <w:r w:rsidR="0066571E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364342DD" w14:textId="77777777" w:rsidR="001461CE" w:rsidRPr="0066571E" w:rsidRDefault="001461CE" w:rsidP="001461CE">
      <w:pPr>
        <w:numPr>
          <w:ilvl w:val="1"/>
          <w:numId w:val="8"/>
        </w:numPr>
        <w:tabs>
          <w:tab w:val="clear" w:pos="397"/>
        </w:tabs>
        <w:spacing w:after="120" w:line="240" w:lineRule="auto"/>
        <w:ind w:left="284" w:hanging="283"/>
        <w:rPr>
          <w:rFonts w:ascii="Arial" w:hAnsi="Arial" w:cs="Arial"/>
          <w:sz w:val="20"/>
          <w:szCs w:val="20"/>
        </w:rPr>
      </w:pPr>
      <w:r w:rsidRPr="0066571E">
        <w:rPr>
          <w:rFonts w:ascii="Arial" w:hAnsi="Arial" w:cs="Arial"/>
          <w:sz w:val="20"/>
          <w:szCs w:val="20"/>
        </w:rPr>
        <w:t xml:space="preserve">v případě, že byla dotace poskytnuta mimo režim „de </w:t>
      </w:r>
      <w:proofErr w:type="spellStart"/>
      <w:r w:rsidRPr="0066571E">
        <w:rPr>
          <w:rFonts w:ascii="Arial" w:hAnsi="Arial" w:cs="Arial"/>
          <w:sz w:val="20"/>
          <w:szCs w:val="20"/>
        </w:rPr>
        <w:t>minimis</w:t>
      </w:r>
      <w:proofErr w:type="spellEnd"/>
      <w:r w:rsidRPr="0066571E">
        <w:rPr>
          <w:rFonts w:ascii="Arial" w:hAnsi="Arial" w:cs="Arial"/>
          <w:sz w:val="20"/>
          <w:szCs w:val="20"/>
        </w:rPr>
        <w:t xml:space="preserve">“, musí být na zainvestovaných pozemcích postaveny bytové nebo rodinné domy sloužící </w:t>
      </w:r>
      <w:r w:rsidR="00113C51">
        <w:rPr>
          <w:rFonts w:ascii="Arial" w:hAnsi="Arial" w:cs="Arial"/>
          <w:sz w:val="20"/>
          <w:szCs w:val="20"/>
        </w:rPr>
        <w:t xml:space="preserve">po dobu udržitelnosti (5 let od ukončení výstavby </w:t>
      </w:r>
      <w:r w:rsidR="00E372FD">
        <w:rPr>
          <w:rFonts w:ascii="Arial" w:hAnsi="Arial" w:cs="Arial"/>
          <w:sz w:val="20"/>
          <w:szCs w:val="20"/>
        </w:rPr>
        <w:t>předmětné technické infrastruktury</w:t>
      </w:r>
      <w:r w:rsidR="00113C51">
        <w:rPr>
          <w:rFonts w:ascii="Arial" w:hAnsi="Arial" w:cs="Arial"/>
          <w:sz w:val="20"/>
          <w:szCs w:val="20"/>
        </w:rPr>
        <w:t xml:space="preserve">) </w:t>
      </w:r>
      <w:r w:rsidRPr="0066571E">
        <w:rPr>
          <w:rFonts w:ascii="Arial" w:hAnsi="Arial" w:cs="Arial"/>
          <w:sz w:val="20"/>
          <w:szCs w:val="20"/>
        </w:rPr>
        <w:t>pouze pro bydlení fyzických osob</w:t>
      </w:r>
      <w:r w:rsidR="00F00562">
        <w:rPr>
          <w:rFonts w:ascii="Arial" w:hAnsi="Arial" w:cs="Arial"/>
          <w:sz w:val="20"/>
          <w:szCs w:val="20"/>
        </w:rPr>
        <w:t>;</w:t>
      </w:r>
    </w:p>
    <w:p w14:paraId="4D68D799" w14:textId="52DEDB59" w:rsidR="001461CE" w:rsidRPr="0066571E" w:rsidRDefault="001461CE" w:rsidP="001461CE">
      <w:pPr>
        <w:numPr>
          <w:ilvl w:val="1"/>
          <w:numId w:val="8"/>
        </w:numPr>
        <w:tabs>
          <w:tab w:val="clear" w:pos="397"/>
        </w:tabs>
        <w:spacing w:after="120" w:line="240" w:lineRule="auto"/>
        <w:ind w:left="284" w:hanging="283"/>
        <w:rPr>
          <w:rFonts w:ascii="Arial" w:hAnsi="Arial" w:cs="Arial"/>
          <w:sz w:val="20"/>
          <w:szCs w:val="20"/>
        </w:rPr>
      </w:pPr>
      <w:r w:rsidRPr="0066571E">
        <w:rPr>
          <w:rFonts w:ascii="Arial" w:hAnsi="Arial" w:cs="Arial"/>
          <w:sz w:val="20"/>
          <w:szCs w:val="20"/>
        </w:rPr>
        <w:t xml:space="preserve">v případě, že byla dotace poskytnuta mimo režim „de </w:t>
      </w:r>
      <w:proofErr w:type="spellStart"/>
      <w:r w:rsidRPr="0066571E">
        <w:rPr>
          <w:rFonts w:ascii="Arial" w:hAnsi="Arial" w:cs="Arial"/>
          <w:sz w:val="20"/>
          <w:szCs w:val="20"/>
        </w:rPr>
        <w:t>minimis</w:t>
      </w:r>
      <w:proofErr w:type="spellEnd"/>
      <w:r w:rsidRPr="0066571E">
        <w:rPr>
          <w:rFonts w:ascii="Arial" w:hAnsi="Arial" w:cs="Arial"/>
          <w:sz w:val="20"/>
          <w:szCs w:val="20"/>
        </w:rPr>
        <w:t>“, nesmí být</w:t>
      </w:r>
      <w:r w:rsidR="00CE239A">
        <w:rPr>
          <w:rFonts w:ascii="Arial" w:hAnsi="Arial" w:cs="Arial"/>
          <w:sz w:val="20"/>
          <w:szCs w:val="20"/>
        </w:rPr>
        <w:t xml:space="preserve"> po dobu udržitelnosti </w:t>
      </w:r>
      <w:r w:rsidRPr="0066571E">
        <w:rPr>
          <w:rFonts w:ascii="Arial" w:hAnsi="Arial" w:cs="Arial"/>
          <w:sz w:val="20"/>
          <w:szCs w:val="20"/>
        </w:rPr>
        <w:t>k infrastruktuře vybudované podle tohoto podprogramu připojena infrastruktura, která bude sloužit k jiným účelům, než k obsluze objektů bydlení fyzických osob (např. výrobní podniky, objekty poskytování slu</w:t>
      </w:r>
      <w:r w:rsidR="0066571E">
        <w:rPr>
          <w:rFonts w:ascii="Arial" w:hAnsi="Arial" w:cs="Arial"/>
          <w:sz w:val="20"/>
          <w:szCs w:val="20"/>
        </w:rPr>
        <w:t>žeb nebo developerské projekty).</w:t>
      </w:r>
    </w:p>
    <w:p w14:paraId="36030A33" w14:textId="77777777" w:rsidR="003F4292" w:rsidRPr="00FE243A" w:rsidRDefault="003F4292" w:rsidP="0047513D">
      <w:pPr>
        <w:spacing w:after="240" w:line="240" w:lineRule="exact"/>
        <w:rPr>
          <w:rFonts w:ascii="Arial" w:hAnsi="Arial" w:cs="Arial"/>
          <w:sz w:val="20"/>
          <w:szCs w:val="20"/>
        </w:rPr>
      </w:pPr>
    </w:p>
    <w:p w14:paraId="2DAB17C0" w14:textId="77777777" w:rsidR="00135015" w:rsidRPr="00FE243A" w:rsidRDefault="00A02435" w:rsidP="0047513D">
      <w:pPr>
        <w:pStyle w:val="Odstavecseseznamem"/>
        <w:numPr>
          <w:ilvl w:val="0"/>
          <w:numId w:val="1"/>
        </w:numPr>
        <w:spacing w:after="240" w:line="240" w:lineRule="exact"/>
        <w:rPr>
          <w:rFonts w:ascii="Arial" w:hAnsi="Arial" w:cs="Arial"/>
          <w:b/>
          <w:sz w:val="20"/>
          <w:szCs w:val="20"/>
        </w:rPr>
      </w:pPr>
      <w:r w:rsidRPr="00FE243A">
        <w:rPr>
          <w:rFonts w:ascii="Arial" w:hAnsi="Arial" w:cs="Arial"/>
          <w:b/>
          <w:sz w:val="20"/>
          <w:szCs w:val="20"/>
        </w:rPr>
        <w:t>Kontrola</w:t>
      </w:r>
    </w:p>
    <w:p w14:paraId="17BAF6B2" w14:textId="77777777" w:rsidR="00135015" w:rsidRPr="00FE243A" w:rsidRDefault="00A02435" w:rsidP="007D56FC">
      <w:pPr>
        <w:spacing w:after="240"/>
        <w:rPr>
          <w:rFonts w:ascii="Arial" w:hAnsi="Arial" w:cs="Arial"/>
          <w:sz w:val="20"/>
          <w:szCs w:val="20"/>
        </w:rPr>
      </w:pPr>
      <w:r w:rsidRPr="00FE243A">
        <w:rPr>
          <w:rFonts w:ascii="Arial" w:hAnsi="Arial" w:cs="Arial"/>
          <w:sz w:val="20"/>
          <w:szCs w:val="20"/>
        </w:rPr>
        <w:t>Ministerstvo zajišťuje kontrolu podle zákona č. 320/2001 Sb., o finanční</w:t>
      </w:r>
      <w:r w:rsidR="007D56FC" w:rsidRPr="00FE243A">
        <w:rPr>
          <w:rFonts w:ascii="Arial" w:hAnsi="Arial" w:cs="Arial"/>
          <w:sz w:val="20"/>
          <w:szCs w:val="20"/>
        </w:rPr>
        <w:t xml:space="preserve"> kontrole ve veřejné správě a o </w:t>
      </w:r>
      <w:r w:rsidRPr="00FE243A">
        <w:rPr>
          <w:rFonts w:ascii="Arial" w:hAnsi="Arial" w:cs="Arial"/>
          <w:sz w:val="20"/>
          <w:szCs w:val="20"/>
        </w:rPr>
        <w:t>změně některých zákonů (zákon o finanční kontrole), ve znění pozdějších předpisů. Kontrola může být prováděna ode dne podání žádosti, a</w:t>
      </w:r>
      <w:r w:rsidR="00B130B1" w:rsidRPr="00FE243A">
        <w:rPr>
          <w:rFonts w:ascii="Arial" w:hAnsi="Arial" w:cs="Arial"/>
          <w:sz w:val="20"/>
          <w:szCs w:val="20"/>
        </w:rPr>
        <w:t> </w:t>
      </w:r>
      <w:r w:rsidRPr="00FE243A">
        <w:rPr>
          <w:rFonts w:ascii="Arial" w:hAnsi="Arial" w:cs="Arial"/>
          <w:sz w:val="20"/>
          <w:szCs w:val="20"/>
        </w:rPr>
        <w:t>to</w:t>
      </w:r>
      <w:r w:rsidR="00B130B1" w:rsidRPr="00FE243A">
        <w:rPr>
          <w:rFonts w:ascii="Arial" w:hAnsi="Arial" w:cs="Arial"/>
          <w:sz w:val="20"/>
          <w:szCs w:val="20"/>
        </w:rPr>
        <w:t> </w:t>
      </w:r>
      <w:r w:rsidRPr="00FE243A">
        <w:rPr>
          <w:rFonts w:ascii="Arial" w:hAnsi="Arial" w:cs="Arial"/>
          <w:sz w:val="20"/>
          <w:szCs w:val="20"/>
        </w:rPr>
        <w:t>administrativní i fyzická na místě. Při kontrole dodržování podmínek poskytnutí a</w:t>
      </w:r>
      <w:r w:rsidR="00B130B1" w:rsidRPr="00FE243A">
        <w:rPr>
          <w:rFonts w:ascii="Arial" w:hAnsi="Arial" w:cs="Arial"/>
          <w:sz w:val="20"/>
          <w:szCs w:val="20"/>
        </w:rPr>
        <w:t> </w:t>
      </w:r>
      <w:r w:rsidRPr="00FE243A">
        <w:rPr>
          <w:rFonts w:ascii="Arial" w:hAnsi="Arial" w:cs="Arial"/>
          <w:sz w:val="20"/>
          <w:szCs w:val="20"/>
        </w:rPr>
        <w:t xml:space="preserve">použití dotace podle tohoto podprogramu a uplatnění sankcí při neoprávněném použití nebo zadržení dotace se postupuje podle </w:t>
      </w:r>
      <w:r w:rsidR="00FE243A">
        <w:rPr>
          <w:rFonts w:ascii="Arial" w:hAnsi="Arial" w:cs="Arial"/>
          <w:sz w:val="20"/>
          <w:szCs w:val="20"/>
        </w:rPr>
        <w:t>rozpočtových pravidel</w:t>
      </w:r>
      <w:r w:rsidRPr="00FE243A">
        <w:rPr>
          <w:rFonts w:ascii="Arial" w:hAnsi="Arial" w:cs="Arial"/>
          <w:sz w:val="20"/>
          <w:szCs w:val="20"/>
        </w:rPr>
        <w:t>.</w:t>
      </w:r>
    </w:p>
    <w:sectPr w:rsidR="00135015" w:rsidRPr="00FE243A" w:rsidSect="00DE6819">
      <w:headerReference w:type="default" r:id="rId8"/>
      <w:footerReference w:type="default" r:id="rId9"/>
      <w:headerReference w:type="first" r:id="rId10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C8EB8" w14:textId="77777777" w:rsidR="00DC1BA4" w:rsidRDefault="00DC1BA4" w:rsidP="007D0F4F">
      <w:pPr>
        <w:spacing w:after="0" w:line="240" w:lineRule="auto"/>
      </w:pPr>
      <w:r>
        <w:separator/>
      </w:r>
    </w:p>
  </w:endnote>
  <w:endnote w:type="continuationSeparator" w:id="0">
    <w:p w14:paraId="27085635" w14:textId="77777777" w:rsidR="00DC1BA4" w:rsidRDefault="00DC1BA4" w:rsidP="007D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566922"/>
      <w:docPartObj>
        <w:docPartGallery w:val="Page Numbers (Bottom of Page)"/>
        <w:docPartUnique/>
      </w:docPartObj>
    </w:sdtPr>
    <w:sdtEndPr/>
    <w:sdtContent>
      <w:p w14:paraId="24FE547E" w14:textId="6C670C39" w:rsidR="00635116" w:rsidRDefault="006351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51F">
          <w:rPr>
            <w:noProof/>
          </w:rPr>
          <w:t>4</w:t>
        </w:r>
        <w:r>
          <w:fldChar w:fldCharType="end"/>
        </w:r>
      </w:p>
    </w:sdtContent>
  </w:sdt>
  <w:p w14:paraId="4BFC20BE" w14:textId="77777777" w:rsidR="00635116" w:rsidRDefault="006351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57A87" w14:textId="77777777" w:rsidR="00DC1BA4" w:rsidRDefault="00DC1BA4" w:rsidP="007D0F4F">
      <w:pPr>
        <w:spacing w:after="0" w:line="240" w:lineRule="auto"/>
      </w:pPr>
      <w:r>
        <w:separator/>
      </w:r>
    </w:p>
  </w:footnote>
  <w:footnote w:type="continuationSeparator" w:id="0">
    <w:p w14:paraId="1B72BA8F" w14:textId="77777777" w:rsidR="00DC1BA4" w:rsidRDefault="00DC1BA4" w:rsidP="007D0F4F">
      <w:pPr>
        <w:spacing w:after="0" w:line="240" w:lineRule="auto"/>
      </w:pPr>
      <w:r>
        <w:continuationSeparator/>
      </w:r>
    </w:p>
  </w:footnote>
  <w:footnote w:id="1">
    <w:p w14:paraId="1F98EDAB" w14:textId="77777777" w:rsidR="005E4640" w:rsidRPr="005E4640" w:rsidRDefault="005E4640" w:rsidP="005E4640">
      <w:pPr>
        <w:pStyle w:val="Textpoznpodarou"/>
        <w:spacing w:after="60"/>
        <w:ind w:left="142" w:hanging="142"/>
        <w:rPr>
          <w:rFonts w:ascii="Arial" w:hAnsi="Arial" w:cs="Arial"/>
          <w:sz w:val="18"/>
          <w:szCs w:val="18"/>
        </w:rPr>
      </w:pPr>
      <w:r w:rsidRPr="005E4640">
        <w:rPr>
          <w:rStyle w:val="Znakapoznpodarou"/>
          <w:rFonts w:ascii="Arial" w:hAnsi="Arial" w:cs="Arial"/>
          <w:sz w:val="18"/>
          <w:szCs w:val="18"/>
        </w:rPr>
        <w:footnoteRef/>
      </w:r>
      <w:r w:rsidRPr="005E4640">
        <w:rPr>
          <w:rFonts w:ascii="Arial" w:hAnsi="Arial" w:cs="Arial"/>
          <w:sz w:val="18"/>
          <w:szCs w:val="18"/>
        </w:rPr>
        <w:tab/>
        <w:t>§ 6 zákona č. 13/1997 Sb., o pozemních komunikacích, ve znění pozdějších předpisů</w:t>
      </w:r>
    </w:p>
  </w:footnote>
  <w:footnote w:id="2">
    <w:p w14:paraId="48E26C72" w14:textId="77777777" w:rsidR="005E4640" w:rsidRPr="005E4640" w:rsidRDefault="005E4640" w:rsidP="005E4640">
      <w:pPr>
        <w:pStyle w:val="Textpoznpodarou"/>
        <w:spacing w:after="60"/>
        <w:ind w:left="142" w:hanging="142"/>
        <w:rPr>
          <w:rFonts w:ascii="Arial" w:hAnsi="Arial" w:cs="Arial"/>
          <w:sz w:val="18"/>
          <w:szCs w:val="18"/>
        </w:rPr>
      </w:pPr>
      <w:r w:rsidRPr="005E4640">
        <w:rPr>
          <w:rStyle w:val="Znakapoznpodarou"/>
          <w:rFonts w:ascii="Arial" w:hAnsi="Arial" w:cs="Arial"/>
          <w:sz w:val="18"/>
          <w:szCs w:val="18"/>
        </w:rPr>
        <w:footnoteRef/>
      </w:r>
      <w:r w:rsidRPr="005E4640">
        <w:rPr>
          <w:rFonts w:ascii="Arial" w:hAnsi="Arial" w:cs="Arial"/>
          <w:sz w:val="18"/>
          <w:szCs w:val="18"/>
        </w:rPr>
        <w:tab/>
        <w:t xml:space="preserve">§ 6 odst. 2 písm. c) zákona č. 13/1997 </w:t>
      </w:r>
      <w:proofErr w:type="gramStart"/>
      <w:r w:rsidRPr="005E4640">
        <w:rPr>
          <w:rFonts w:ascii="Arial" w:hAnsi="Arial" w:cs="Arial"/>
          <w:sz w:val="18"/>
          <w:szCs w:val="18"/>
        </w:rPr>
        <w:t>Sb.,.</w:t>
      </w:r>
      <w:proofErr w:type="gramEnd"/>
    </w:p>
  </w:footnote>
  <w:footnote w:id="3">
    <w:p w14:paraId="31673B84" w14:textId="77777777" w:rsidR="005E4640" w:rsidRPr="005E4640" w:rsidRDefault="005E4640" w:rsidP="005E4640">
      <w:pPr>
        <w:pStyle w:val="Textpoznpodarou"/>
        <w:spacing w:after="60"/>
        <w:ind w:left="142" w:hanging="142"/>
        <w:rPr>
          <w:rFonts w:ascii="Arial" w:hAnsi="Arial" w:cs="Arial"/>
          <w:sz w:val="18"/>
          <w:szCs w:val="18"/>
        </w:rPr>
      </w:pPr>
      <w:r w:rsidRPr="005E4640">
        <w:rPr>
          <w:rStyle w:val="Znakapoznpodarou"/>
          <w:rFonts w:ascii="Arial" w:hAnsi="Arial" w:cs="Arial"/>
          <w:sz w:val="18"/>
          <w:szCs w:val="18"/>
        </w:rPr>
        <w:footnoteRef/>
      </w:r>
      <w:r w:rsidRPr="005E4640">
        <w:rPr>
          <w:rFonts w:ascii="Arial" w:hAnsi="Arial" w:cs="Arial"/>
          <w:sz w:val="18"/>
          <w:szCs w:val="18"/>
        </w:rPr>
        <w:tab/>
        <w:t>§ 6 odst. 2 písm. d) zákona č. 13/1997 Sb.</w:t>
      </w:r>
    </w:p>
  </w:footnote>
  <w:footnote w:id="4">
    <w:p w14:paraId="6062F238" w14:textId="77777777" w:rsidR="005E4640" w:rsidRPr="005E4640" w:rsidRDefault="005E4640" w:rsidP="005E4640">
      <w:pPr>
        <w:pStyle w:val="Textpoznpodarou"/>
        <w:spacing w:after="60"/>
        <w:ind w:left="142" w:hanging="142"/>
        <w:rPr>
          <w:rFonts w:ascii="Arial" w:hAnsi="Arial" w:cs="Arial"/>
          <w:sz w:val="18"/>
          <w:szCs w:val="18"/>
        </w:rPr>
      </w:pPr>
      <w:r w:rsidRPr="005E4640">
        <w:rPr>
          <w:rStyle w:val="Znakapoznpodarou"/>
          <w:rFonts w:ascii="Arial" w:hAnsi="Arial" w:cs="Arial"/>
          <w:sz w:val="18"/>
          <w:szCs w:val="18"/>
        </w:rPr>
        <w:footnoteRef/>
      </w:r>
      <w:r w:rsidRPr="005E4640">
        <w:rPr>
          <w:rFonts w:ascii="Arial" w:hAnsi="Arial" w:cs="Arial"/>
          <w:sz w:val="18"/>
          <w:szCs w:val="18"/>
        </w:rPr>
        <w:tab/>
        <w:t>§ 1a písm. c) vyhlášky č. 428/2001 Sb., kterou se provádí zákon č. 274/2001 Sb., o vodovodech a kanalizacích pro veřejnou potřebu a o změně některých zákonů (zákon o vodovodech a kanalizacích), ve znění pozdějších předpisů, ČSN 73 6005.</w:t>
      </w:r>
    </w:p>
  </w:footnote>
  <w:footnote w:id="5">
    <w:p w14:paraId="4EF3422F" w14:textId="77777777" w:rsidR="005E4640" w:rsidRPr="005E4640" w:rsidRDefault="005E4640" w:rsidP="005E4640">
      <w:pPr>
        <w:pStyle w:val="Textpoznpodarou"/>
        <w:spacing w:after="60"/>
        <w:ind w:left="142" w:hanging="142"/>
        <w:rPr>
          <w:rFonts w:ascii="Arial" w:hAnsi="Arial" w:cs="Arial"/>
          <w:sz w:val="18"/>
          <w:szCs w:val="18"/>
        </w:rPr>
      </w:pPr>
      <w:r w:rsidRPr="005E4640">
        <w:rPr>
          <w:rStyle w:val="Znakapoznpodarou"/>
          <w:rFonts w:ascii="Arial" w:hAnsi="Arial" w:cs="Arial"/>
          <w:sz w:val="18"/>
          <w:szCs w:val="18"/>
        </w:rPr>
        <w:footnoteRef/>
      </w:r>
      <w:r w:rsidRPr="005E4640">
        <w:rPr>
          <w:rFonts w:ascii="Arial" w:hAnsi="Arial" w:cs="Arial"/>
          <w:sz w:val="18"/>
          <w:szCs w:val="18"/>
        </w:rPr>
        <w:tab/>
        <w:t>§ 1a písm. g) vyhlášky č. 428/2001 Sb., ČSN 73 6005.</w:t>
      </w:r>
    </w:p>
  </w:footnote>
  <w:footnote w:id="6">
    <w:p w14:paraId="653ED7DE" w14:textId="77777777" w:rsidR="00BA6545" w:rsidRPr="0096000C" w:rsidRDefault="00BA6545">
      <w:pPr>
        <w:pStyle w:val="Textpoznpodarou"/>
        <w:rPr>
          <w:rFonts w:ascii="Times New Roman" w:hAnsi="Times New Roman" w:cs="Times New Roman"/>
        </w:rPr>
      </w:pPr>
      <w:r w:rsidRPr="005E4640">
        <w:rPr>
          <w:rStyle w:val="Znakapoznpodarou"/>
          <w:rFonts w:ascii="Arial" w:hAnsi="Arial" w:cs="Arial"/>
          <w:sz w:val="18"/>
          <w:szCs w:val="18"/>
        </w:rPr>
        <w:footnoteRef/>
      </w:r>
      <w:r w:rsidRPr="005E4640">
        <w:rPr>
          <w:rFonts w:ascii="Arial" w:hAnsi="Arial" w:cs="Arial"/>
          <w:sz w:val="18"/>
          <w:szCs w:val="18"/>
        </w:rPr>
        <w:t xml:space="preserve"> Nařízení Komise (EU) č. 1407/2013 ze dne 18. prosince 2013 o použití čl. 107 a 108 Smlouvy o fungování EU na podporu de </w:t>
      </w:r>
      <w:proofErr w:type="spellStart"/>
      <w:r w:rsidRPr="005E4640">
        <w:rPr>
          <w:rFonts w:ascii="Arial" w:hAnsi="Arial" w:cs="Arial"/>
          <w:sz w:val="18"/>
          <w:szCs w:val="18"/>
        </w:rPr>
        <w:t>minimis</w:t>
      </w:r>
      <w:proofErr w:type="spellEnd"/>
    </w:p>
  </w:footnote>
  <w:footnote w:id="7">
    <w:p w14:paraId="5682C0D8" w14:textId="77777777" w:rsidR="006142B4" w:rsidRDefault="006142B4" w:rsidP="006142B4">
      <w:pPr>
        <w:pStyle w:val="Textpoznpodarou"/>
      </w:pPr>
      <w:r w:rsidRPr="007254D9">
        <w:rPr>
          <w:rStyle w:val="Znakapoznpodarou"/>
          <w:rFonts w:ascii="Arial" w:hAnsi="Arial" w:cs="Arial"/>
          <w:sz w:val="18"/>
          <w:szCs w:val="18"/>
        </w:rPr>
        <w:footnoteRef/>
      </w:r>
      <w:r w:rsidRPr="007254D9">
        <w:rPr>
          <w:rFonts w:ascii="Arial" w:hAnsi="Arial" w:cs="Arial"/>
          <w:sz w:val="18"/>
          <w:szCs w:val="18"/>
        </w:rPr>
        <w:t xml:space="preserve"> zákon č. 183/2006 Sb., o územním plánování a stavebním řádu (stavební zákon),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FFDFC" w14:textId="77777777" w:rsidR="002C6882" w:rsidRPr="002C6882" w:rsidRDefault="002C6882" w:rsidP="00087580">
    <w:pPr>
      <w:pStyle w:val="Zhlav"/>
      <w:tabs>
        <w:tab w:val="clear" w:pos="4536"/>
        <w:tab w:val="left" w:pos="5245"/>
        <w:tab w:val="left" w:pos="5812"/>
      </w:tabs>
    </w:pPr>
    <w:r w:rsidRPr="002C6882">
      <w:t xml:space="preserve"> </w:t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9FD31" w14:textId="77777777" w:rsidR="003C48ED" w:rsidRDefault="003C48ED" w:rsidP="003C48ED">
    <w:pPr>
      <w:pStyle w:val="Zhlav"/>
      <w:tabs>
        <w:tab w:val="clear" w:pos="4536"/>
        <w:tab w:val="left" w:pos="3119"/>
        <w:tab w:val="center" w:pos="4253"/>
      </w:tabs>
      <w:ind w:left="4536"/>
      <w:rPr>
        <w:rFonts w:ascii="Arial" w:hAnsi="Arial" w:cs="Arial"/>
        <w:b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50F8324" wp14:editId="4F26D3D2">
          <wp:simplePos x="0" y="0"/>
          <wp:positionH relativeFrom="column">
            <wp:posOffset>-200660</wp:posOffset>
          </wp:positionH>
          <wp:positionV relativeFrom="paragraph">
            <wp:posOffset>51435</wp:posOffset>
          </wp:positionV>
          <wp:extent cx="2439035" cy="523875"/>
          <wp:effectExtent l="0" t="0" r="0" b="9525"/>
          <wp:wrapTight wrapText="bothSides">
            <wp:wrapPolygon edited="0">
              <wp:start x="0" y="0"/>
              <wp:lineTo x="0" y="21207"/>
              <wp:lineTo x="21426" y="21207"/>
              <wp:lineTo x="2142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03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630E20" w14:textId="77777777" w:rsidR="003C48ED" w:rsidRDefault="003C48ED" w:rsidP="003C48ED">
    <w:pPr>
      <w:pStyle w:val="Zhlav"/>
      <w:tabs>
        <w:tab w:val="clear" w:pos="4536"/>
        <w:tab w:val="left" w:pos="3119"/>
        <w:tab w:val="center" w:pos="4253"/>
      </w:tabs>
      <w:ind w:left="4536"/>
      <w:rPr>
        <w:rFonts w:ascii="Arial" w:hAnsi="Arial" w:cs="Arial"/>
        <w:b/>
        <w:sz w:val="32"/>
        <w:szCs w:val="32"/>
      </w:rPr>
    </w:pPr>
  </w:p>
  <w:p w14:paraId="7621CCD8" w14:textId="77777777" w:rsidR="003C48ED" w:rsidRDefault="003C48ED" w:rsidP="003C48ED">
    <w:pPr>
      <w:pStyle w:val="Zhlav"/>
      <w:tabs>
        <w:tab w:val="clear" w:pos="4536"/>
        <w:tab w:val="left" w:pos="3119"/>
        <w:tab w:val="center" w:pos="4253"/>
      </w:tabs>
      <w:ind w:left="4536"/>
      <w:rPr>
        <w:rFonts w:ascii="Arial" w:hAnsi="Arial" w:cs="Arial"/>
        <w:b/>
        <w:sz w:val="32"/>
        <w:szCs w:val="32"/>
      </w:rPr>
    </w:pPr>
  </w:p>
  <w:p w14:paraId="09BC77E7" w14:textId="77777777" w:rsidR="00EF30F9" w:rsidRDefault="00DE6819" w:rsidP="003C48ED">
    <w:pPr>
      <w:pStyle w:val="Zhlav"/>
      <w:tabs>
        <w:tab w:val="clear" w:pos="4536"/>
        <w:tab w:val="left" w:pos="3119"/>
        <w:tab w:val="center" w:pos="4253"/>
      </w:tabs>
      <w:ind w:left="368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117D162 </w:t>
    </w:r>
  </w:p>
  <w:p w14:paraId="1E508F18" w14:textId="77777777" w:rsidR="00EF30F9" w:rsidRDefault="00DE6819" w:rsidP="003C48ED">
    <w:pPr>
      <w:pStyle w:val="Zhlav"/>
      <w:tabs>
        <w:tab w:val="clear" w:pos="4536"/>
        <w:tab w:val="left" w:pos="3119"/>
        <w:tab w:val="center" w:pos="4253"/>
      </w:tabs>
      <w:ind w:left="3686"/>
      <w:jc w:val="left"/>
      <w:rPr>
        <w:rFonts w:ascii="Arial" w:hAnsi="Arial" w:cs="Arial"/>
        <w:b/>
        <w:sz w:val="32"/>
        <w:szCs w:val="32"/>
      </w:rPr>
    </w:pPr>
    <w:r w:rsidRPr="00473F47">
      <w:rPr>
        <w:rFonts w:ascii="Arial" w:hAnsi="Arial" w:cs="Arial"/>
        <w:b/>
        <w:sz w:val="32"/>
        <w:szCs w:val="32"/>
      </w:rPr>
      <w:t xml:space="preserve">Výstavba </w:t>
    </w:r>
    <w:r w:rsidR="003C48ED">
      <w:rPr>
        <w:rFonts w:ascii="Arial" w:hAnsi="Arial" w:cs="Arial"/>
        <w:b/>
        <w:sz w:val="32"/>
        <w:szCs w:val="32"/>
      </w:rPr>
      <w:t xml:space="preserve">technické </w:t>
    </w:r>
    <w:r w:rsidR="00EF30F9">
      <w:rPr>
        <w:rFonts w:ascii="Arial" w:hAnsi="Arial" w:cs="Arial"/>
        <w:b/>
        <w:sz w:val="32"/>
        <w:szCs w:val="32"/>
      </w:rPr>
      <w:t>infrastruktury</w:t>
    </w:r>
    <w:r w:rsidRPr="00473F47">
      <w:rPr>
        <w:rFonts w:ascii="Arial" w:hAnsi="Arial" w:cs="Arial"/>
        <w:b/>
        <w:sz w:val="32"/>
        <w:szCs w:val="32"/>
      </w:rPr>
      <w:t xml:space="preserve"> </w:t>
    </w:r>
  </w:p>
  <w:p w14:paraId="138E4BB6" w14:textId="57B54518" w:rsidR="00DE6819" w:rsidRPr="00EF30F9" w:rsidRDefault="00EF30F9" w:rsidP="003C48ED">
    <w:pPr>
      <w:pStyle w:val="Zhlav"/>
      <w:tabs>
        <w:tab w:val="clear" w:pos="4536"/>
        <w:tab w:val="left" w:pos="3119"/>
        <w:tab w:val="center" w:pos="4253"/>
      </w:tabs>
      <w:ind w:left="3686"/>
      <w:jc w:val="lef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v oblasti se strategickou průmyslovou zónou</w:t>
    </w:r>
    <w:r w:rsidR="008B16C0">
      <w:rPr>
        <w:rFonts w:ascii="Arial" w:hAnsi="Arial" w:cs="Arial"/>
        <w:b/>
        <w:sz w:val="32"/>
        <w:szCs w:val="32"/>
      </w:rPr>
      <w:t xml:space="preserve"> </w:t>
    </w:r>
    <w:r w:rsidR="00AA465B">
      <w:rPr>
        <w:rFonts w:ascii="Arial" w:hAnsi="Arial" w:cs="Arial"/>
        <w:b/>
        <w:sz w:val="32"/>
        <w:szCs w:val="32"/>
      </w:rPr>
      <w:t>20</w:t>
    </w:r>
    <w:r w:rsidR="00FB176B">
      <w:rPr>
        <w:rFonts w:ascii="Arial" w:hAnsi="Arial" w:cs="Arial"/>
        <w:b/>
        <w:sz w:val="32"/>
        <w:szCs w:val="32"/>
      </w:rPr>
      <w:t>20</w:t>
    </w:r>
  </w:p>
  <w:p w14:paraId="54FB3D3D" w14:textId="77777777" w:rsidR="00DE6819" w:rsidRDefault="00DE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3228"/>
    <w:multiLevelType w:val="hybridMultilevel"/>
    <w:tmpl w:val="F2E868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2BD2"/>
    <w:multiLevelType w:val="hybridMultilevel"/>
    <w:tmpl w:val="55923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2B5"/>
    <w:multiLevelType w:val="hybridMultilevel"/>
    <w:tmpl w:val="68341B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25CEE"/>
    <w:multiLevelType w:val="hybridMultilevel"/>
    <w:tmpl w:val="34C6E9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5CC4"/>
    <w:multiLevelType w:val="hybridMultilevel"/>
    <w:tmpl w:val="CA62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CC07CDE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1654"/>
    <w:multiLevelType w:val="hybridMultilevel"/>
    <w:tmpl w:val="A798F95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907F74"/>
    <w:multiLevelType w:val="hybridMultilevel"/>
    <w:tmpl w:val="A0DC90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60531"/>
    <w:multiLevelType w:val="hybridMultilevel"/>
    <w:tmpl w:val="195899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B1152"/>
    <w:multiLevelType w:val="multilevel"/>
    <w:tmpl w:val="9DC051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D12CAD"/>
    <w:multiLevelType w:val="hybridMultilevel"/>
    <w:tmpl w:val="E258C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74825"/>
    <w:multiLevelType w:val="hybridMultilevel"/>
    <w:tmpl w:val="4ACCE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828EA"/>
    <w:multiLevelType w:val="hybridMultilevel"/>
    <w:tmpl w:val="A21E04C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4"/>
        <w:szCs w:val="24"/>
      </w:rPr>
    </w:lvl>
    <w:lvl w:ilvl="1" w:tplc="12E2DD0C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FFFFFFFF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822681"/>
    <w:multiLevelType w:val="hybridMultilevel"/>
    <w:tmpl w:val="AA08918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A9"/>
    <w:rsid w:val="00012BA6"/>
    <w:rsid w:val="00014719"/>
    <w:rsid w:val="00016BDC"/>
    <w:rsid w:val="000236D3"/>
    <w:rsid w:val="00023B6A"/>
    <w:rsid w:val="00024914"/>
    <w:rsid w:val="00040977"/>
    <w:rsid w:val="00040EE8"/>
    <w:rsid w:val="000432D8"/>
    <w:rsid w:val="000548AD"/>
    <w:rsid w:val="00060C92"/>
    <w:rsid w:val="000828E9"/>
    <w:rsid w:val="000841BD"/>
    <w:rsid w:val="00086B83"/>
    <w:rsid w:val="00087580"/>
    <w:rsid w:val="000B3349"/>
    <w:rsid w:val="000B448D"/>
    <w:rsid w:val="000C59A5"/>
    <w:rsid w:val="000E13A9"/>
    <w:rsid w:val="000E617B"/>
    <w:rsid w:val="000E6A4E"/>
    <w:rsid w:val="000F0B12"/>
    <w:rsid w:val="000F152E"/>
    <w:rsid w:val="000F67BF"/>
    <w:rsid w:val="00113C51"/>
    <w:rsid w:val="0011751D"/>
    <w:rsid w:val="00126A0D"/>
    <w:rsid w:val="00135015"/>
    <w:rsid w:val="00136EF1"/>
    <w:rsid w:val="0014274A"/>
    <w:rsid w:val="001461CE"/>
    <w:rsid w:val="0015740A"/>
    <w:rsid w:val="00174F18"/>
    <w:rsid w:val="001910F2"/>
    <w:rsid w:val="001930F9"/>
    <w:rsid w:val="00194065"/>
    <w:rsid w:val="00195E0D"/>
    <w:rsid w:val="0019791B"/>
    <w:rsid w:val="001A6D0E"/>
    <w:rsid w:val="001C4216"/>
    <w:rsid w:val="001D2847"/>
    <w:rsid w:val="001E2410"/>
    <w:rsid w:val="001F606B"/>
    <w:rsid w:val="001F6361"/>
    <w:rsid w:val="00212900"/>
    <w:rsid w:val="00214BD4"/>
    <w:rsid w:val="00222C14"/>
    <w:rsid w:val="0022601B"/>
    <w:rsid w:val="00231CEE"/>
    <w:rsid w:val="00234AC8"/>
    <w:rsid w:val="0025716C"/>
    <w:rsid w:val="002630C1"/>
    <w:rsid w:val="00270617"/>
    <w:rsid w:val="00272271"/>
    <w:rsid w:val="00274473"/>
    <w:rsid w:val="00276C01"/>
    <w:rsid w:val="00280CD8"/>
    <w:rsid w:val="0028123F"/>
    <w:rsid w:val="002878BB"/>
    <w:rsid w:val="00290CCD"/>
    <w:rsid w:val="002B7130"/>
    <w:rsid w:val="002C6882"/>
    <w:rsid w:val="002D58D9"/>
    <w:rsid w:val="003029CE"/>
    <w:rsid w:val="00311737"/>
    <w:rsid w:val="0031454F"/>
    <w:rsid w:val="00332845"/>
    <w:rsid w:val="003350CC"/>
    <w:rsid w:val="0034064A"/>
    <w:rsid w:val="00347CFA"/>
    <w:rsid w:val="00353FCF"/>
    <w:rsid w:val="00362EE9"/>
    <w:rsid w:val="00363B83"/>
    <w:rsid w:val="00364D98"/>
    <w:rsid w:val="00374B0E"/>
    <w:rsid w:val="0038366C"/>
    <w:rsid w:val="00386470"/>
    <w:rsid w:val="003B5D5D"/>
    <w:rsid w:val="003C48ED"/>
    <w:rsid w:val="003F3F53"/>
    <w:rsid w:val="003F4292"/>
    <w:rsid w:val="003F7944"/>
    <w:rsid w:val="003F7A11"/>
    <w:rsid w:val="004171C7"/>
    <w:rsid w:val="004204A4"/>
    <w:rsid w:val="004205D6"/>
    <w:rsid w:val="004241B3"/>
    <w:rsid w:val="0043631A"/>
    <w:rsid w:val="004413AC"/>
    <w:rsid w:val="00453282"/>
    <w:rsid w:val="004552DF"/>
    <w:rsid w:val="00473F47"/>
    <w:rsid w:val="0047513D"/>
    <w:rsid w:val="00481EAD"/>
    <w:rsid w:val="00495AEC"/>
    <w:rsid w:val="004A36D1"/>
    <w:rsid w:val="004E1312"/>
    <w:rsid w:val="004E4E8F"/>
    <w:rsid w:val="004F7E9D"/>
    <w:rsid w:val="00501D16"/>
    <w:rsid w:val="00514775"/>
    <w:rsid w:val="00517686"/>
    <w:rsid w:val="005179A7"/>
    <w:rsid w:val="005227DA"/>
    <w:rsid w:val="00524DDD"/>
    <w:rsid w:val="00530CFD"/>
    <w:rsid w:val="0054245F"/>
    <w:rsid w:val="005720FA"/>
    <w:rsid w:val="005850EE"/>
    <w:rsid w:val="005C25AF"/>
    <w:rsid w:val="005C7A7E"/>
    <w:rsid w:val="005D2D7A"/>
    <w:rsid w:val="005E4640"/>
    <w:rsid w:val="006038FF"/>
    <w:rsid w:val="006109DC"/>
    <w:rsid w:val="00612339"/>
    <w:rsid w:val="006142B4"/>
    <w:rsid w:val="0062173E"/>
    <w:rsid w:val="00624FCC"/>
    <w:rsid w:val="00632355"/>
    <w:rsid w:val="00632DFD"/>
    <w:rsid w:val="00635116"/>
    <w:rsid w:val="00635538"/>
    <w:rsid w:val="0064065F"/>
    <w:rsid w:val="00646318"/>
    <w:rsid w:val="006465FF"/>
    <w:rsid w:val="006503BD"/>
    <w:rsid w:val="0066571E"/>
    <w:rsid w:val="0069720B"/>
    <w:rsid w:val="006B300E"/>
    <w:rsid w:val="006C0478"/>
    <w:rsid w:val="006C23FA"/>
    <w:rsid w:val="006C75EF"/>
    <w:rsid w:val="006D4316"/>
    <w:rsid w:val="006D5281"/>
    <w:rsid w:val="00713D3E"/>
    <w:rsid w:val="00717C66"/>
    <w:rsid w:val="00732F66"/>
    <w:rsid w:val="00733C28"/>
    <w:rsid w:val="00763388"/>
    <w:rsid w:val="007636BB"/>
    <w:rsid w:val="00766BC2"/>
    <w:rsid w:val="0076702B"/>
    <w:rsid w:val="0077572D"/>
    <w:rsid w:val="0078508C"/>
    <w:rsid w:val="007A59FD"/>
    <w:rsid w:val="007B6840"/>
    <w:rsid w:val="007B7EAD"/>
    <w:rsid w:val="007C13AE"/>
    <w:rsid w:val="007C3611"/>
    <w:rsid w:val="007D0F4F"/>
    <w:rsid w:val="007D56FC"/>
    <w:rsid w:val="007E33EB"/>
    <w:rsid w:val="007E6D09"/>
    <w:rsid w:val="00804F19"/>
    <w:rsid w:val="008156A6"/>
    <w:rsid w:val="00832377"/>
    <w:rsid w:val="00834333"/>
    <w:rsid w:val="008374B6"/>
    <w:rsid w:val="00841230"/>
    <w:rsid w:val="00845C31"/>
    <w:rsid w:val="008737B5"/>
    <w:rsid w:val="00892AA7"/>
    <w:rsid w:val="008A2C24"/>
    <w:rsid w:val="008A2F1E"/>
    <w:rsid w:val="008A7421"/>
    <w:rsid w:val="008B02CD"/>
    <w:rsid w:val="008B16C0"/>
    <w:rsid w:val="008B25E1"/>
    <w:rsid w:val="008C0CF2"/>
    <w:rsid w:val="008C3CB0"/>
    <w:rsid w:val="008D106F"/>
    <w:rsid w:val="008D2324"/>
    <w:rsid w:val="008D6977"/>
    <w:rsid w:val="008F262D"/>
    <w:rsid w:val="008F49E8"/>
    <w:rsid w:val="0090602F"/>
    <w:rsid w:val="00907E50"/>
    <w:rsid w:val="00912AC1"/>
    <w:rsid w:val="00943022"/>
    <w:rsid w:val="009469DC"/>
    <w:rsid w:val="0096000C"/>
    <w:rsid w:val="00971BC8"/>
    <w:rsid w:val="00981AE1"/>
    <w:rsid w:val="009B2214"/>
    <w:rsid w:val="009C3CD6"/>
    <w:rsid w:val="009C42F6"/>
    <w:rsid w:val="009E249F"/>
    <w:rsid w:val="009E4B91"/>
    <w:rsid w:val="009E65E5"/>
    <w:rsid w:val="009E7AF1"/>
    <w:rsid w:val="009F6CAF"/>
    <w:rsid w:val="00A007F4"/>
    <w:rsid w:val="00A02435"/>
    <w:rsid w:val="00A11B9B"/>
    <w:rsid w:val="00A15223"/>
    <w:rsid w:val="00A4351F"/>
    <w:rsid w:val="00A47DCF"/>
    <w:rsid w:val="00A55190"/>
    <w:rsid w:val="00A66A0D"/>
    <w:rsid w:val="00A676F1"/>
    <w:rsid w:val="00A70F5C"/>
    <w:rsid w:val="00A72825"/>
    <w:rsid w:val="00A76196"/>
    <w:rsid w:val="00A82B1A"/>
    <w:rsid w:val="00A948FA"/>
    <w:rsid w:val="00AA4482"/>
    <w:rsid w:val="00AA465B"/>
    <w:rsid w:val="00AA54FB"/>
    <w:rsid w:val="00AB505E"/>
    <w:rsid w:val="00AB6367"/>
    <w:rsid w:val="00AC571B"/>
    <w:rsid w:val="00AC7ADC"/>
    <w:rsid w:val="00AD29E7"/>
    <w:rsid w:val="00AE26BC"/>
    <w:rsid w:val="00AF1AA7"/>
    <w:rsid w:val="00AF64CC"/>
    <w:rsid w:val="00AF6CFE"/>
    <w:rsid w:val="00B00FB2"/>
    <w:rsid w:val="00B130B1"/>
    <w:rsid w:val="00B2240E"/>
    <w:rsid w:val="00B338CE"/>
    <w:rsid w:val="00B37A06"/>
    <w:rsid w:val="00B40EDD"/>
    <w:rsid w:val="00B55A82"/>
    <w:rsid w:val="00B60560"/>
    <w:rsid w:val="00B65EA9"/>
    <w:rsid w:val="00B76339"/>
    <w:rsid w:val="00B81204"/>
    <w:rsid w:val="00BA2ADC"/>
    <w:rsid w:val="00BA6545"/>
    <w:rsid w:val="00BC3A67"/>
    <w:rsid w:val="00BC62DC"/>
    <w:rsid w:val="00BD1774"/>
    <w:rsid w:val="00BD3A73"/>
    <w:rsid w:val="00BD4FD3"/>
    <w:rsid w:val="00BD7426"/>
    <w:rsid w:val="00BE56A6"/>
    <w:rsid w:val="00BE5FEC"/>
    <w:rsid w:val="00BE7943"/>
    <w:rsid w:val="00BF0DFE"/>
    <w:rsid w:val="00BF4D10"/>
    <w:rsid w:val="00C13576"/>
    <w:rsid w:val="00C24A57"/>
    <w:rsid w:val="00C265A4"/>
    <w:rsid w:val="00C36367"/>
    <w:rsid w:val="00C952A6"/>
    <w:rsid w:val="00CB4FE9"/>
    <w:rsid w:val="00CC036D"/>
    <w:rsid w:val="00CC371E"/>
    <w:rsid w:val="00CC4B24"/>
    <w:rsid w:val="00CC5306"/>
    <w:rsid w:val="00CC62A7"/>
    <w:rsid w:val="00CC68D3"/>
    <w:rsid w:val="00CE239A"/>
    <w:rsid w:val="00CE4066"/>
    <w:rsid w:val="00CE7418"/>
    <w:rsid w:val="00D00DE6"/>
    <w:rsid w:val="00D1006B"/>
    <w:rsid w:val="00D10EDD"/>
    <w:rsid w:val="00D20A64"/>
    <w:rsid w:val="00D22709"/>
    <w:rsid w:val="00D26B6A"/>
    <w:rsid w:val="00D27D56"/>
    <w:rsid w:val="00D32E87"/>
    <w:rsid w:val="00D42843"/>
    <w:rsid w:val="00D46465"/>
    <w:rsid w:val="00D522A2"/>
    <w:rsid w:val="00D543B6"/>
    <w:rsid w:val="00D65B9E"/>
    <w:rsid w:val="00D67A59"/>
    <w:rsid w:val="00D930E8"/>
    <w:rsid w:val="00DA0B37"/>
    <w:rsid w:val="00DA3D85"/>
    <w:rsid w:val="00DB1189"/>
    <w:rsid w:val="00DB22DC"/>
    <w:rsid w:val="00DC1BA4"/>
    <w:rsid w:val="00DC2089"/>
    <w:rsid w:val="00DD2833"/>
    <w:rsid w:val="00DE1D07"/>
    <w:rsid w:val="00DE20F1"/>
    <w:rsid w:val="00DE6819"/>
    <w:rsid w:val="00DF0011"/>
    <w:rsid w:val="00DF1A9C"/>
    <w:rsid w:val="00DF6C52"/>
    <w:rsid w:val="00E033B4"/>
    <w:rsid w:val="00E07FE5"/>
    <w:rsid w:val="00E11D53"/>
    <w:rsid w:val="00E13FCC"/>
    <w:rsid w:val="00E314CA"/>
    <w:rsid w:val="00E3505E"/>
    <w:rsid w:val="00E372FD"/>
    <w:rsid w:val="00E53F2B"/>
    <w:rsid w:val="00E65AE4"/>
    <w:rsid w:val="00EA68B6"/>
    <w:rsid w:val="00EA7985"/>
    <w:rsid w:val="00EC1C61"/>
    <w:rsid w:val="00EC5834"/>
    <w:rsid w:val="00EC5A3C"/>
    <w:rsid w:val="00EC68D2"/>
    <w:rsid w:val="00ED18F8"/>
    <w:rsid w:val="00ED1E73"/>
    <w:rsid w:val="00ED4E2D"/>
    <w:rsid w:val="00EE17A4"/>
    <w:rsid w:val="00EE6E37"/>
    <w:rsid w:val="00EF0046"/>
    <w:rsid w:val="00EF30F9"/>
    <w:rsid w:val="00F00562"/>
    <w:rsid w:val="00F33F17"/>
    <w:rsid w:val="00F458D5"/>
    <w:rsid w:val="00F50377"/>
    <w:rsid w:val="00F53F48"/>
    <w:rsid w:val="00F65093"/>
    <w:rsid w:val="00F76A88"/>
    <w:rsid w:val="00F77BFB"/>
    <w:rsid w:val="00F81B2D"/>
    <w:rsid w:val="00F94ED8"/>
    <w:rsid w:val="00F97927"/>
    <w:rsid w:val="00FB176B"/>
    <w:rsid w:val="00FB5494"/>
    <w:rsid w:val="00FB6E60"/>
    <w:rsid w:val="00FC0570"/>
    <w:rsid w:val="00FE243A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98004"/>
  <w15:docId w15:val="{6C84C9E7-22E5-47CA-879A-CF79161C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6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68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3A9"/>
    <w:pPr>
      <w:ind w:left="720"/>
      <w:contextualSpacing/>
    </w:pPr>
  </w:style>
  <w:style w:type="paragraph" w:customStyle="1" w:styleId="Default">
    <w:name w:val="Default"/>
    <w:rsid w:val="00632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EC68D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060C92"/>
    <w:rPr>
      <w:color w:val="7DA124"/>
      <w:u w:val="single"/>
    </w:rPr>
  </w:style>
  <w:style w:type="paragraph" w:customStyle="1" w:styleId="bodytext">
    <w:name w:val="bodytext"/>
    <w:basedOn w:val="Normln"/>
    <w:rsid w:val="00CC62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7D0F4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D0F4F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7D0F4F"/>
    <w:rPr>
      <w:vertAlign w:val="superscript"/>
    </w:rPr>
  </w:style>
  <w:style w:type="character" w:customStyle="1" w:styleId="h1a1">
    <w:name w:val="h1a1"/>
    <w:basedOn w:val="Standardnpsmoodstavce"/>
    <w:rsid w:val="00A66A0D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E1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D53"/>
  </w:style>
  <w:style w:type="paragraph" w:styleId="Zpat">
    <w:name w:val="footer"/>
    <w:basedOn w:val="Normln"/>
    <w:link w:val="ZpatChar"/>
    <w:unhideWhenUsed/>
    <w:rsid w:val="00E1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11D53"/>
  </w:style>
  <w:style w:type="paragraph" w:styleId="Textbubliny">
    <w:name w:val="Balloon Text"/>
    <w:basedOn w:val="Normln"/>
    <w:link w:val="TextbublinyChar"/>
    <w:uiPriority w:val="99"/>
    <w:semiHidden/>
    <w:unhideWhenUsed/>
    <w:rsid w:val="009E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4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66B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66B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66B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6B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6BC2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6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C6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5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3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1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5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2FA7-3F79-4104-8F60-B4237F6C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1368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2</cp:revision>
  <cp:lastPrinted>2019-09-27T07:03:00Z</cp:lastPrinted>
  <dcterms:created xsi:type="dcterms:W3CDTF">2019-11-05T12:25:00Z</dcterms:created>
  <dcterms:modified xsi:type="dcterms:W3CDTF">2019-11-05T12:25:00Z</dcterms:modified>
</cp:coreProperties>
</file>