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BE" w:rsidRPr="00B93BF5" w:rsidRDefault="00AB37C6" w:rsidP="005821F9">
      <w:pPr>
        <w:keepNext/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Kritéria</w:t>
      </w:r>
    </w:p>
    <w:p w:rsidR="00902680" w:rsidRDefault="00F951BE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  <w:r w:rsidRPr="006D2DEC">
        <w:rPr>
          <w:rFonts w:ascii="Arial" w:hAnsi="Arial" w:cs="Arial"/>
          <w:b/>
          <w:sz w:val="28"/>
          <w:szCs w:val="28"/>
        </w:rPr>
        <w:t>pro výběr žádostí poda</w:t>
      </w:r>
      <w:r w:rsidR="00AB37C6">
        <w:rPr>
          <w:rFonts w:ascii="Arial" w:hAnsi="Arial" w:cs="Arial"/>
          <w:b/>
          <w:sz w:val="28"/>
          <w:szCs w:val="28"/>
        </w:rPr>
        <w:t>ných podle podmínek</w:t>
      </w:r>
      <w:r w:rsidR="0090268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50768">
        <w:rPr>
          <w:rFonts w:ascii="Arial" w:hAnsi="Arial" w:cs="Arial"/>
          <w:b/>
          <w:sz w:val="28"/>
          <w:szCs w:val="28"/>
        </w:rPr>
        <w:t>subtitulu</w:t>
      </w:r>
      <w:proofErr w:type="spellEnd"/>
      <w:r w:rsidR="00AB37C6">
        <w:rPr>
          <w:rFonts w:ascii="Arial" w:hAnsi="Arial" w:cs="Arial"/>
          <w:b/>
          <w:sz w:val="28"/>
          <w:szCs w:val="28"/>
        </w:rPr>
        <w:t xml:space="preserve"> </w:t>
      </w:r>
      <w:r w:rsidR="006D2DEC" w:rsidRPr="006D2DEC">
        <w:rPr>
          <w:rFonts w:ascii="Arial" w:hAnsi="Arial" w:cs="Arial"/>
          <w:b/>
          <w:sz w:val="28"/>
          <w:szCs w:val="28"/>
        </w:rPr>
        <w:t>117D</w:t>
      </w:r>
      <w:r w:rsidR="00D50768">
        <w:rPr>
          <w:rFonts w:ascii="Arial" w:hAnsi="Arial" w:cs="Arial"/>
          <w:b/>
          <w:sz w:val="28"/>
          <w:szCs w:val="28"/>
        </w:rPr>
        <w:t>0640</w:t>
      </w:r>
      <w:r w:rsidR="006D2DEC" w:rsidRPr="006D2DEC">
        <w:rPr>
          <w:rFonts w:ascii="Arial" w:hAnsi="Arial" w:cs="Arial"/>
          <w:b/>
          <w:sz w:val="28"/>
          <w:szCs w:val="28"/>
        </w:rPr>
        <w:t xml:space="preserve"> </w:t>
      </w:r>
      <w:r w:rsidRPr="006D2DEC">
        <w:rPr>
          <w:rFonts w:ascii="Arial" w:hAnsi="Arial" w:cs="Arial"/>
          <w:b/>
          <w:sz w:val="28"/>
          <w:szCs w:val="28"/>
        </w:rPr>
        <w:t>Podp</w:t>
      </w:r>
      <w:r w:rsidR="008572AA" w:rsidRPr="006D2DEC">
        <w:rPr>
          <w:rFonts w:ascii="Arial" w:hAnsi="Arial" w:cs="Arial"/>
          <w:b/>
          <w:sz w:val="28"/>
          <w:szCs w:val="28"/>
        </w:rPr>
        <w:t>or</w:t>
      </w:r>
      <w:r w:rsidR="00D50768">
        <w:rPr>
          <w:rFonts w:ascii="Arial" w:hAnsi="Arial" w:cs="Arial"/>
          <w:b/>
          <w:sz w:val="28"/>
          <w:szCs w:val="28"/>
        </w:rPr>
        <w:t>ované byty</w:t>
      </w:r>
      <w:r w:rsidR="00902680">
        <w:rPr>
          <w:rFonts w:ascii="Arial" w:hAnsi="Arial" w:cs="Arial"/>
          <w:b/>
          <w:sz w:val="28"/>
          <w:szCs w:val="28"/>
        </w:rPr>
        <w:t xml:space="preserve"> </w:t>
      </w:r>
      <w:r w:rsidR="006D2DEC">
        <w:rPr>
          <w:rFonts w:ascii="Arial" w:hAnsi="Arial" w:cs="Arial"/>
          <w:b/>
          <w:sz w:val="28"/>
          <w:szCs w:val="28"/>
        </w:rPr>
        <w:t xml:space="preserve">pro rok </w:t>
      </w:r>
      <w:r w:rsidR="00B53CE5">
        <w:rPr>
          <w:rFonts w:ascii="Arial" w:hAnsi="Arial" w:cs="Arial"/>
          <w:b/>
          <w:sz w:val="28"/>
          <w:szCs w:val="28"/>
        </w:rPr>
        <w:t>20</w:t>
      </w:r>
      <w:r w:rsidR="0033422E">
        <w:rPr>
          <w:rFonts w:ascii="Arial" w:hAnsi="Arial" w:cs="Arial"/>
          <w:b/>
          <w:sz w:val="28"/>
          <w:szCs w:val="28"/>
        </w:rPr>
        <w:t>20</w:t>
      </w:r>
    </w:p>
    <w:p w:rsidR="00902680" w:rsidRPr="00A95B60" w:rsidRDefault="00902680" w:rsidP="005821F9">
      <w:pPr>
        <w:keepNext/>
        <w:jc w:val="center"/>
        <w:rPr>
          <w:rFonts w:ascii="Arial" w:hAnsi="Arial" w:cs="Arial"/>
          <w:b/>
        </w:rPr>
      </w:pPr>
    </w:p>
    <w:p w:rsidR="00255543" w:rsidRPr="006D2DEC" w:rsidRDefault="00902680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AB37C6">
        <w:rPr>
          <w:rFonts w:ascii="Arial" w:hAnsi="Arial" w:cs="Arial"/>
          <w:b/>
          <w:sz w:val="28"/>
          <w:szCs w:val="28"/>
        </w:rPr>
        <w:t xml:space="preserve">otační titul č. </w:t>
      </w:r>
      <w:r w:rsidR="0046795C">
        <w:rPr>
          <w:rFonts w:ascii="Arial" w:hAnsi="Arial" w:cs="Arial"/>
          <w:b/>
          <w:sz w:val="28"/>
          <w:szCs w:val="28"/>
        </w:rPr>
        <w:t xml:space="preserve">3 </w:t>
      </w:r>
      <w:proofErr w:type="spellStart"/>
      <w:r w:rsidR="00AB37C6">
        <w:rPr>
          <w:rFonts w:ascii="Arial" w:hAnsi="Arial" w:cs="Arial"/>
          <w:b/>
          <w:sz w:val="28"/>
          <w:szCs w:val="28"/>
        </w:rPr>
        <w:t>KoDuS</w:t>
      </w:r>
      <w:proofErr w:type="spellEnd"/>
    </w:p>
    <w:p w:rsidR="00E534B3" w:rsidRPr="00A95B60" w:rsidRDefault="00E534B3" w:rsidP="005821F9">
      <w:pPr>
        <w:keepNext/>
        <w:jc w:val="center"/>
        <w:rPr>
          <w:rFonts w:ascii="Arial" w:hAnsi="Arial" w:cs="Arial"/>
          <w:b/>
        </w:rPr>
      </w:pPr>
    </w:p>
    <w:p w:rsidR="00F951BE" w:rsidRDefault="00C86E36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  <w:r w:rsidRPr="00B93BF5">
        <w:rPr>
          <w:rFonts w:ascii="Arial" w:hAnsi="Arial" w:cs="Arial"/>
          <w:b/>
          <w:sz w:val="28"/>
          <w:szCs w:val="28"/>
        </w:rPr>
        <w:t xml:space="preserve">Maximálně </w:t>
      </w:r>
      <w:r w:rsidR="00E534B3" w:rsidRPr="00B93BF5">
        <w:rPr>
          <w:rFonts w:ascii="Arial" w:hAnsi="Arial" w:cs="Arial"/>
          <w:b/>
          <w:sz w:val="28"/>
          <w:szCs w:val="28"/>
        </w:rPr>
        <w:t>100</w:t>
      </w:r>
      <w:r w:rsidRPr="00B93BF5">
        <w:rPr>
          <w:rFonts w:ascii="Arial" w:hAnsi="Arial" w:cs="Arial"/>
          <w:b/>
          <w:sz w:val="28"/>
          <w:szCs w:val="28"/>
        </w:rPr>
        <w:t xml:space="preserve"> bodů</w:t>
      </w:r>
    </w:p>
    <w:p w:rsidR="0000043B" w:rsidRPr="00B93BF5" w:rsidRDefault="0000043B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287"/>
        <w:gridCol w:w="1984"/>
      </w:tblGrid>
      <w:tr w:rsidR="00C961A4" w:rsidRPr="00B93BF5" w:rsidTr="00AE45A9">
        <w:trPr>
          <w:cantSplit/>
        </w:trPr>
        <w:tc>
          <w:tcPr>
            <w:tcW w:w="9271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4743D4" w:rsidRPr="005D3FEE" w:rsidRDefault="00DC42BE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954D5">
              <w:rPr>
                <w:sz w:val="28"/>
                <w:szCs w:val="28"/>
              </w:rPr>
              <w:t>Kvalita projektu</w:t>
            </w:r>
          </w:p>
        </w:tc>
      </w:tr>
      <w:tr w:rsidR="005A789C" w:rsidRPr="00B93BF5" w:rsidTr="00AE45A9">
        <w:trPr>
          <w:cantSplit/>
          <w:trHeight w:val="526"/>
        </w:trPr>
        <w:tc>
          <w:tcPr>
            <w:tcW w:w="728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8A5" w:rsidRPr="00DC5CF0" w:rsidRDefault="004F3C58" w:rsidP="00AE45A9">
            <w:pPr>
              <w:pStyle w:val="Nadpis1"/>
              <w:numPr>
                <w:ilvl w:val="0"/>
                <w:numId w:val="0"/>
              </w:numPr>
              <w:tabs>
                <w:tab w:val="left" w:pos="1710"/>
              </w:tabs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Komplexní posouzení řešení projektu</w:t>
            </w:r>
            <w:r w:rsidR="00A973EE" w:rsidRPr="00DC5CF0">
              <w:rPr>
                <w:b w:val="0"/>
                <w:i/>
                <w:sz w:val="20"/>
                <w:szCs w:val="20"/>
              </w:rPr>
              <w:t>, komparace s</w:t>
            </w:r>
            <w:r w:rsidR="009938E0" w:rsidRPr="00DC5CF0">
              <w:rPr>
                <w:b w:val="0"/>
                <w:i/>
                <w:sz w:val="20"/>
                <w:szCs w:val="20"/>
              </w:rPr>
              <w:t> </w:t>
            </w:r>
            <w:r w:rsidR="00A973EE" w:rsidRPr="00DC5CF0">
              <w:rPr>
                <w:b w:val="0"/>
                <w:i/>
                <w:sz w:val="20"/>
                <w:szCs w:val="20"/>
              </w:rPr>
              <w:t>projekty v rámci výzvy</w:t>
            </w:r>
            <w:r w:rsidR="00646B8C" w:rsidRPr="00DC5CF0">
              <w:rPr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A789C" w:rsidRPr="00DC5CF0" w:rsidRDefault="00AC50E3" w:rsidP="00A95B60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ind w:left="85"/>
              <w:jc w:val="center"/>
              <w:rPr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max. počet bodů</w:t>
            </w:r>
            <w:r w:rsidR="003828E5">
              <w:rPr>
                <w:b w:val="0"/>
                <w:i/>
                <w:sz w:val="20"/>
                <w:szCs w:val="20"/>
              </w:rPr>
              <w:t xml:space="preserve"> </w:t>
            </w:r>
            <w:r w:rsidR="00C77C05" w:rsidRPr="00DC5CF0">
              <w:rPr>
                <w:b w:val="0"/>
                <w:i/>
                <w:sz w:val="20"/>
                <w:szCs w:val="20"/>
              </w:rPr>
              <w:t>celkem</w:t>
            </w:r>
            <w:r w:rsidRPr="00DC5CF0">
              <w:rPr>
                <w:i/>
                <w:sz w:val="20"/>
                <w:szCs w:val="20"/>
              </w:rPr>
              <w:t xml:space="preserve"> </w:t>
            </w:r>
            <w:r w:rsidR="00A95B60">
              <w:rPr>
                <w:i/>
                <w:sz w:val="20"/>
                <w:szCs w:val="20"/>
              </w:rPr>
              <w:t>4</w:t>
            </w:r>
            <w:r w:rsidR="008F2F68">
              <w:rPr>
                <w:i/>
                <w:sz w:val="20"/>
                <w:szCs w:val="20"/>
              </w:rPr>
              <w:t>0</w:t>
            </w:r>
          </w:p>
        </w:tc>
      </w:tr>
      <w:tr w:rsidR="00C961A4" w:rsidRPr="00C77C05" w:rsidTr="00AE45A9">
        <w:trPr>
          <w:cantSplit/>
        </w:trPr>
        <w:tc>
          <w:tcPr>
            <w:tcW w:w="728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1A4" w:rsidRPr="00DC5CF0" w:rsidRDefault="005C01C9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S</w:t>
            </w:r>
            <w:r w:rsidR="00646B8C" w:rsidRPr="00DC5CF0">
              <w:rPr>
                <w:b w:val="0"/>
                <w:i/>
                <w:sz w:val="20"/>
                <w:szCs w:val="20"/>
              </w:rPr>
              <w:t>polečenský a urbanistick</w:t>
            </w:r>
            <w:r w:rsidR="00FA003B" w:rsidRPr="00DC5CF0">
              <w:rPr>
                <w:b w:val="0"/>
                <w:i/>
                <w:sz w:val="20"/>
                <w:szCs w:val="20"/>
              </w:rPr>
              <w:t>ý kontext projektu v rámci obce (</w:t>
            </w:r>
            <w:r w:rsidR="007C2BBE" w:rsidRPr="00DC5CF0">
              <w:rPr>
                <w:b w:val="0"/>
                <w:i/>
                <w:sz w:val="20"/>
                <w:szCs w:val="20"/>
              </w:rPr>
              <w:t xml:space="preserve">prokázání přínosu projektu </w:t>
            </w:r>
            <w:r w:rsidR="005600DD" w:rsidRPr="00DC5CF0">
              <w:rPr>
                <w:b w:val="0"/>
                <w:i/>
                <w:sz w:val="20"/>
                <w:szCs w:val="20"/>
              </w:rPr>
              <w:t>pro</w:t>
            </w:r>
            <w:r w:rsidR="007C2BBE" w:rsidRPr="00DC5CF0">
              <w:rPr>
                <w:b w:val="0"/>
                <w:i/>
                <w:sz w:val="20"/>
                <w:szCs w:val="20"/>
              </w:rPr>
              <w:t xml:space="preserve"> </w:t>
            </w:r>
            <w:r w:rsidR="005600DD" w:rsidRPr="00DC5CF0">
              <w:rPr>
                <w:b w:val="0"/>
                <w:i/>
                <w:sz w:val="20"/>
                <w:szCs w:val="20"/>
              </w:rPr>
              <w:t xml:space="preserve">řešení </w:t>
            </w:r>
            <w:r w:rsidR="007C2BBE" w:rsidRPr="00DC5CF0">
              <w:rPr>
                <w:b w:val="0"/>
                <w:i/>
                <w:sz w:val="20"/>
                <w:szCs w:val="20"/>
              </w:rPr>
              <w:t>urbanistick</w:t>
            </w:r>
            <w:r w:rsidR="005600DD" w:rsidRPr="00DC5CF0">
              <w:rPr>
                <w:b w:val="0"/>
                <w:i/>
                <w:sz w:val="20"/>
                <w:szCs w:val="20"/>
              </w:rPr>
              <w:t>ého konceptu</w:t>
            </w:r>
            <w:r w:rsidR="007C2BBE" w:rsidRPr="00DC5CF0">
              <w:rPr>
                <w:b w:val="0"/>
                <w:i/>
                <w:sz w:val="20"/>
                <w:szCs w:val="20"/>
              </w:rPr>
              <w:t xml:space="preserve"> a veřejn</w:t>
            </w:r>
            <w:r w:rsidR="005600DD" w:rsidRPr="00DC5CF0">
              <w:rPr>
                <w:b w:val="0"/>
                <w:i/>
                <w:sz w:val="20"/>
                <w:szCs w:val="20"/>
              </w:rPr>
              <w:t>ého prostoru</w:t>
            </w:r>
            <w:r w:rsidR="007C2BBE" w:rsidRPr="00DC5CF0">
              <w:rPr>
                <w:b w:val="0"/>
                <w:i/>
                <w:sz w:val="20"/>
                <w:szCs w:val="20"/>
              </w:rPr>
              <w:t xml:space="preserve"> obce, </w:t>
            </w:r>
            <w:r w:rsidR="00FA003B" w:rsidRPr="00DC5CF0">
              <w:rPr>
                <w:b w:val="0"/>
                <w:i/>
                <w:sz w:val="20"/>
                <w:szCs w:val="20"/>
              </w:rPr>
              <w:t xml:space="preserve">prokázání potřeby </w:t>
            </w:r>
            <w:r w:rsidRPr="00DC5CF0">
              <w:rPr>
                <w:b w:val="0"/>
                <w:i/>
                <w:sz w:val="20"/>
                <w:szCs w:val="20"/>
              </w:rPr>
              <w:t>komunitního domu seniorů</w:t>
            </w:r>
            <w:r w:rsidR="00FA003B" w:rsidRPr="00DC5CF0">
              <w:rPr>
                <w:b w:val="0"/>
                <w:i/>
                <w:sz w:val="20"/>
                <w:szCs w:val="20"/>
              </w:rPr>
              <w:t xml:space="preserve"> v rámci obce, způsob </w:t>
            </w:r>
            <w:r w:rsidR="00DA5CF5" w:rsidRPr="00DC5CF0">
              <w:rPr>
                <w:b w:val="0"/>
                <w:i/>
                <w:sz w:val="20"/>
                <w:szCs w:val="20"/>
              </w:rPr>
              <w:t>výběr</w:t>
            </w:r>
            <w:r w:rsidR="00FA003B" w:rsidRPr="00DC5CF0">
              <w:rPr>
                <w:b w:val="0"/>
                <w:i/>
                <w:sz w:val="20"/>
                <w:szCs w:val="20"/>
              </w:rPr>
              <w:t>u</w:t>
            </w:r>
            <w:r w:rsidR="00DA5CF5" w:rsidRPr="00DC5CF0">
              <w:rPr>
                <w:b w:val="0"/>
                <w:i/>
                <w:sz w:val="20"/>
                <w:szCs w:val="20"/>
              </w:rPr>
              <w:t xml:space="preserve"> nájemníků</w:t>
            </w:r>
            <w:r w:rsidR="00FA003B" w:rsidRPr="00DC5CF0">
              <w:rPr>
                <w:b w:val="0"/>
                <w:i/>
                <w:sz w:val="20"/>
                <w:szCs w:val="20"/>
              </w:rPr>
              <w:t xml:space="preserve"> – existence komunitních aktivit před podáním žádosti, podpora komunitních aktivit po dokončení projektu</w:t>
            </w:r>
            <w:r w:rsidR="00674696" w:rsidRPr="00DC5CF0">
              <w:rPr>
                <w:b w:val="0"/>
                <w:i/>
                <w:sz w:val="20"/>
                <w:szCs w:val="20"/>
              </w:rPr>
              <w:t>);</w:t>
            </w:r>
            <w:r w:rsidR="007C2BBE" w:rsidRPr="00DC5CF0">
              <w:rPr>
                <w:b w:val="0"/>
                <w:i/>
                <w:sz w:val="20"/>
                <w:szCs w:val="20"/>
              </w:rPr>
              <w:t xml:space="preserve"> organizační a finanční </w:t>
            </w:r>
            <w:r w:rsidR="00646B8C" w:rsidRPr="00DC5CF0">
              <w:rPr>
                <w:b w:val="0"/>
                <w:i/>
                <w:sz w:val="20"/>
                <w:szCs w:val="20"/>
              </w:rPr>
              <w:t xml:space="preserve">zajištění </w:t>
            </w:r>
            <w:r w:rsidR="00674696" w:rsidRPr="00DC5CF0">
              <w:rPr>
                <w:b w:val="0"/>
                <w:i/>
                <w:sz w:val="20"/>
                <w:szCs w:val="20"/>
              </w:rPr>
              <w:t xml:space="preserve">přípravy a realizace </w:t>
            </w:r>
            <w:r w:rsidR="00CB369A" w:rsidRPr="00DC5CF0">
              <w:rPr>
                <w:b w:val="0"/>
                <w:i/>
                <w:sz w:val="20"/>
                <w:szCs w:val="20"/>
              </w:rPr>
              <w:t xml:space="preserve">projektu a </w:t>
            </w:r>
            <w:r w:rsidR="00646B8C" w:rsidRPr="00DC5CF0">
              <w:rPr>
                <w:b w:val="0"/>
                <w:i/>
                <w:sz w:val="20"/>
                <w:szCs w:val="20"/>
              </w:rPr>
              <w:t xml:space="preserve">provozu </w:t>
            </w:r>
            <w:r w:rsidR="007C2BBE" w:rsidRPr="00DC5CF0">
              <w:rPr>
                <w:b w:val="0"/>
                <w:i/>
                <w:sz w:val="20"/>
                <w:szCs w:val="20"/>
              </w:rPr>
              <w:t xml:space="preserve">po dokončení </w:t>
            </w:r>
            <w:r w:rsidR="00674696" w:rsidRPr="00DC5CF0">
              <w:rPr>
                <w:b w:val="0"/>
                <w:i/>
                <w:sz w:val="20"/>
                <w:szCs w:val="20"/>
              </w:rPr>
              <w:t>stavby</w:t>
            </w:r>
            <w:r w:rsidR="007C2BBE" w:rsidRPr="00DC5CF0">
              <w:rPr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1A4" w:rsidRPr="002436E8" w:rsidRDefault="00AC50E3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2436E8">
              <w:rPr>
                <w:i/>
                <w:sz w:val="20"/>
                <w:szCs w:val="20"/>
              </w:rPr>
              <w:t xml:space="preserve">max. </w:t>
            </w:r>
            <w:r w:rsidR="003828E5" w:rsidRPr="002436E8">
              <w:rPr>
                <w:i/>
                <w:sz w:val="20"/>
                <w:szCs w:val="20"/>
              </w:rPr>
              <w:t>1</w:t>
            </w:r>
            <w:r w:rsidR="003828E5">
              <w:rPr>
                <w:i/>
                <w:sz w:val="20"/>
                <w:szCs w:val="20"/>
              </w:rPr>
              <w:t>0</w:t>
            </w:r>
          </w:p>
        </w:tc>
      </w:tr>
      <w:tr w:rsidR="00C77C05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7C2BBE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Projekt prokazuje </w:t>
            </w:r>
            <w:r w:rsidR="00CB369A" w:rsidRPr="00DC5CF0">
              <w:rPr>
                <w:b w:val="0"/>
                <w:sz w:val="20"/>
                <w:szCs w:val="20"/>
              </w:rPr>
              <w:t xml:space="preserve">významný </w:t>
            </w:r>
            <w:r w:rsidRPr="00DC5CF0">
              <w:rPr>
                <w:b w:val="0"/>
                <w:sz w:val="20"/>
                <w:szCs w:val="20"/>
              </w:rPr>
              <w:t>přínos urbanistickému konceptu a/nebo veřejnému prostoru obce</w:t>
            </w:r>
            <w:r w:rsidR="00CB369A" w:rsidRPr="00DC5CF0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5C01C9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max.</w:t>
            </w:r>
            <w:r w:rsidRPr="00DC5CF0">
              <w:rPr>
                <w:b w:val="0"/>
                <w:sz w:val="20"/>
                <w:szCs w:val="20"/>
              </w:rPr>
              <w:t xml:space="preserve"> </w:t>
            </w:r>
            <w:r w:rsidR="003828E5">
              <w:rPr>
                <w:b w:val="0"/>
                <w:sz w:val="20"/>
                <w:szCs w:val="20"/>
              </w:rPr>
              <w:t>2</w:t>
            </w:r>
          </w:p>
        </w:tc>
      </w:tr>
      <w:tr w:rsidR="00CB369A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69A" w:rsidRPr="00DC5CF0" w:rsidRDefault="00CB369A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Projekt dokládá potřebu </w:t>
            </w:r>
            <w:r w:rsidR="005C01C9" w:rsidRPr="00DC5CF0">
              <w:rPr>
                <w:b w:val="0"/>
                <w:sz w:val="20"/>
                <w:szCs w:val="20"/>
              </w:rPr>
              <w:t>komunitního domu seniorů</w:t>
            </w:r>
            <w:r w:rsidRPr="00DC5CF0">
              <w:rPr>
                <w:b w:val="0"/>
                <w:sz w:val="20"/>
                <w:szCs w:val="20"/>
              </w:rPr>
              <w:t xml:space="preserve"> a způsob výběru nájemníků v rámci obce.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69A" w:rsidRPr="00DC5CF0" w:rsidRDefault="005C01C9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max.</w:t>
            </w:r>
            <w:r w:rsidRPr="00DC5CF0">
              <w:rPr>
                <w:b w:val="0"/>
                <w:sz w:val="20"/>
                <w:szCs w:val="20"/>
              </w:rPr>
              <w:t xml:space="preserve"> </w:t>
            </w:r>
            <w:r w:rsidR="003828E5">
              <w:rPr>
                <w:b w:val="0"/>
                <w:sz w:val="20"/>
                <w:szCs w:val="20"/>
              </w:rPr>
              <w:t>2</w:t>
            </w:r>
          </w:p>
        </w:tc>
      </w:tr>
      <w:tr w:rsidR="00C77C05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B676E5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Projekt prokazuje reáln</w:t>
            </w:r>
            <w:r w:rsidR="009D7E16" w:rsidRPr="00DC5CF0">
              <w:rPr>
                <w:b w:val="0"/>
                <w:sz w:val="20"/>
                <w:szCs w:val="20"/>
              </w:rPr>
              <w:t>ou</w:t>
            </w:r>
            <w:r w:rsidRPr="00DC5CF0">
              <w:rPr>
                <w:b w:val="0"/>
                <w:sz w:val="20"/>
                <w:szCs w:val="20"/>
              </w:rPr>
              <w:t xml:space="preserve"> existenci komunitních aktivit souvisejících s</w:t>
            </w:r>
            <w:r w:rsidR="00CB369A" w:rsidRPr="00DC5CF0">
              <w:rPr>
                <w:b w:val="0"/>
                <w:sz w:val="20"/>
                <w:szCs w:val="20"/>
              </w:rPr>
              <w:t> </w:t>
            </w:r>
            <w:r w:rsidRPr="00DC5CF0">
              <w:rPr>
                <w:b w:val="0"/>
                <w:sz w:val="20"/>
                <w:szCs w:val="20"/>
              </w:rPr>
              <w:t>projektem</w:t>
            </w:r>
            <w:r w:rsidR="00CB369A" w:rsidRPr="00DC5CF0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5C01C9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max.</w:t>
            </w:r>
            <w:r w:rsidRPr="00DC5CF0">
              <w:rPr>
                <w:b w:val="0"/>
                <w:sz w:val="20"/>
                <w:szCs w:val="20"/>
              </w:rPr>
              <w:t xml:space="preserve"> </w:t>
            </w:r>
            <w:r w:rsidR="003828E5">
              <w:rPr>
                <w:b w:val="0"/>
                <w:sz w:val="20"/>
                <w:szCs w:val="20"/>
              </w:rPr>
              <w:t>2</w:t>
            </w:r>
          </w:p>
        </w:tc>
      </w:tr>
      <w:tr w:rsidR="00C77C05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B676E5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Projekt dokládá organizační a finanční zajištění </w:t>
            </w:r>
            <w:r w:rsidR="00CB369A" w:rsidRPr="00DC5CF0">
              <w:rPr>
                <w:b w:val="0"/>
                <w:sz w:val="20"/>
                <w:szCs w:val="20"/>
              </w:rPr>
              <w:t>přípravy a realizace stavby.</w:t>
            </w:r>
          </w:p>
        </w:tc>
        <w:tc>
          <w:tcPr>
            <w:tcW w:w="1984" w:type="dxa"/>
            <w:tcBorders>
              <w:lef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5C01C9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max. </w:t>
            </w:r>
            <w:r w:rsidR="003828E5">
              <w:rPr>
                <w:b w:val="0"/>
                <w:sz w:val="20"/>
                <w:szCs w:val="20"/>
              </w:rPr>
              <w:t>2</w:t>
            </w:r>
          </w:p>
        </w:tc>
      </w:tr>
      <w:tr w:rsidR="00C77C05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CB369A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Projekt</w:t>
            </w:r>
            <w:r w:rsidR="00B676E5" w:rsidRPr="00DC5CF0">
              <w:rPr>
                <w:b w:val="0"/>
                <w:sz w:val="20"/>
                <w:szCs w:val="20"/>
              </w:rPr>
              <w:t xml:space="preserve"> dokládá </w:t>
            </w:r>
            <w:r w:rsidRPr="00DC5CF0">
              <w:rPr>
                <w:b w:val="0"/>
                <w:sz w:val="20"/>
                <w:szCs w:val="20"/>
              </w:rPr>
              <w:t xml:space="preserve">organizační </w:t>
            </w:r>
            <w:r w:rsidR="00B676E5" w:rsidRPr="00DC5CF0">
              <w:rPr>
                <w:b w:val="0"/>
                <w:sz w:val="20"/>
                <w:szCs w:val="20"/>
              </w:rPr>
              <w:t>a  finanční zajištění provozu</w:t>
            </w:r>
            <w:r w:rsidRPr="00DC5CF0">
              <w:rPr>
                <w:b w:val="0"/>
                <w:sz w:val="20"/>
                <w:szCs w:val="20"/>
              </w:rPr>
              <w:t xml:space="preserve"> po dokončení stavby</w:t>
            </w:r>
            <w:r w:rsidR="00B676E5" w:rsidRPr="00DC5CF0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5C01C9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max. </w:t>
            </w:r>
            <w:r w:rsidR="003828E5">
              <w:rPr>
                <w:b w:val="0"/>
                <w:i/>
                <w:sz w:val="20"/>
                <w:szCs w:val="20"/>
              </w:rPr>
              <w:t>2</w:t>
            </w:r>
          </w:p>
        </w:tc>
      </w:tr>
      <w:tr w:rsidR="00AC50E3" w:rsidRPr="00C77C05" w:rsidTr="00AE45A9">
        <w:trPr>
          <w:cantSplit/>
        </w:trPr>
        <w:tc>
          <w:tcPr>
            <w:tcW w:w="728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50E3" w:rsidRPr="00DC5CF0" w:rsidRDefault="00AC50E3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Funkční využití a dispoziční řešení stavby, přiměřenost </w:t>
            </w:r>
            <w:r w:rsidR="004147C0" w:rsidRPr="00DC5CF0">
              <w:rPr>
                <w:b w:val="0"/>
                <w:i/>
                <w:sz w:val="20"/>
                <w:szCs w:val="20"/>
              </w:rPr>
              <w:t xml:space="preserve">sdílených </w:t>
            </w:r>
            <w:r w:rsidRPr="00DC5CF0">
              <w:rPr>
                <w:b w:val="0"/>
                <w:i/>
                <w:sz w:val="20"/>
                <w:szCs w:val="20"/>
              </w:rPr>
              <w:t>prostor</w:t>
            </w:r>
            <w:r w:rsidR="00B068D8" w:rsidRPr="00DC5CF0">
              <w:rPr>
                <w:b w:val="0"/>
                <w:i/>
                <w:sz w:val="20"/>
                <w:szCs w:val="20"/>
              </w:rPr>
              <w:t xml:space="preserve"> (hodnocení bude vycházet zejména ze vzájemného srovnání projektů v rámci výzvy).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50E3" w:rsidRPr="002436E8" w:rsidRDefault="00AC50E3" w:rsidP="00A95B60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2436E8">
              <w:rPr>
                <w:i/>
                <w:sz w:val="20"/>
                <w:szCs w:val="20"/>
              </w:rPr>
              <w:t xml:space="preserve">max. </w:t>
            </w:r>
            <w:r w:rsidR="00A95B60">
              <w:rPr>
                <w:i/>
                <w:sz w:val="20"/>
                <w:szCs w:val="20"/>
              </w:rPr>
              <w:t>20</w:t>
            </w:r>
          </w:p>
        </w:tc>
      </w:tr>
      <w:tr w:rsidR="00C77C05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B068D8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Projekt prokazatelně přináší mimořádně kvalitní funkční (provozní) a dispoziční řešení </w:t>
            </w:r>
            <w:r w:rsidR="00CC1CA6">
              <w:rPr>
                <w:b w:val="0"/>
                <w:sz w:val="20"/>
                <w:szCs w:val="20"/>
              </w:rPr>
              <w:t xml:space="preserve">bytů a </w:t>
            </w:r>
            <w:r w:rsidRPr="00DC5CF0">
              <w:rPr>
                <w:b w:val="0"/>
                <w:sz w:val="20"/>
                <w:szCs w:val="20"/>
              </w:rPr>
              <w:t>stavby, navrhuje jasné a</w:t>
            </w:r>
            <w:r w:rsidR="00F77B94" w:rsidRPr="00DC5CF0">
              <w:rPr>
                <w:b w:val="0"/>
                <w:sz w:val="20"/>
                <w:szCs w:val="20"/>
              </w:rPr>
              <w:t> mi</w:t>
            </w:r>
            <w:r w:rsidRPr="00DC5CF0">
              <w:rPr>
                <w:b w:val="0"/>
                <w:sz w:val="20"/>
                <w:szCs w:val="20"/>
              </w:rPr>
              <w:t>mořádně hodnotné využití sdílených prostor.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5C01C9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max. </w:t>
            </w:r>
            <w:r w:rsidR="000977C5">
              <w:rPr>
                <w:b w:val="0"/>
                <w:i/>
                <w:sz w:val="20"/>
                <w:szCs w:val="20"/>
              </w:rPr>
              <w:t>1</w:t>
            </w:r>
            <w:r w:rsidR="008F2F68">
              <w:rPr>
                <w:b w:val="0"/>
                <w:i/>
                <w:sz w:val="20"/>
                <w:szCs w:val="20"/>
              </w:rPr>
              <w:t>0</w:t>
            </w:r>
          </w:p>
        </w:tc>
      </w:tr>
      <w:tr w:rsidR="00A95B60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B60" w:rsidRPr="00A95B60" w:rsidRDefault="00A95B60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sz w:val="20"/>
                <w:szCs w:val="20"/>
              </w:rPr>
              <w:t>P</w:t>
            </w:r>
            <w:r w:rsidRPr="00A95B60">
              <w:rPr>
                <w:b w:val="0"/>
                <w:sz w:val="20"/>
                <w:szCs w:val="20"/>
              </w:rPr>
              <w:t xml:space="preserve">locha hlavní místnosti sdílených prostor </w:t>
            </w:r>
            <w:r>
              <w:rPr>
                <w:b w:val="0"/>
                <w:sz w:val="20"/>
                <w:szCs w:val="20"/>
              </w:rPr>
              <w:t>má minimální velikost 40 m</w:t>
            </w:r>
            <w:r>
              <w:rPr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B60" w:rsidRPr="00DC5CF0" w:rsidRDefault="00A95B60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max. 5</w:t>
            </w:r>
          </w:p>
        </w:tc>
      </w:tr>
      <w:tr w:rsidR="00A95B60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B60" w:rsidRDefault="00A95B60" w:rsidP="00A95B60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 sdílené místnosti je </w:t>
            </w:r>
            <w:r w:rsidRPr="00A95B60">
              <w:rPr>
                <w:b w:val="0"/>
                <w:sz w:val="20"/>
                <w:szCs w:val="20"/>
              </w:rPr>
              <w:t xml:space="preserve">společná toaleta s umyvadlem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B60" w:rsidRDefault="00A95B60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max. 5</w:t>
            </w:r>
          </w:p>
        </w:tc>
      </w:tr>
      <w:tr w:rsidR="00AC50E3" w:rsidRPr="00B93BF5" w:rsidTr="00AE45A9">
        <w:trPr>
          <w:cantSplit/>
        </w:trPr>
        <w:tc>
          <w:tcPr>
            <w:tcW w:w="728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50E3" w:rsidRPr="00DC5CF0" w:rsidRDefault="00435365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Inovativní s</w:t>
            </w:r>
            <w:r w:rsidR="00AC50E3" w:rsidRPr="00DC5CF0">
              <w:rPr>
                <w:b w:val="0"/>
                <w:i/>
                <w:sz w:val="20"/>
                <w:szCs w:val="20"/>
              </w:rPr>
              <w:t xml:space="preserve">tavební </w:t>
            </w:r>
            <w:r w:rsidRPr="00DC5CF0">
              <w:rPr>
                <w:b w:val="0"/>
                <w:i/>
                <w:sz w:val="20"/>
                <w:szCs w:val="20"/>
              </w:rPr>
              <w:t>nebo</w:t>
            </w:r>
            <w:r w:rsidR="00A973EE" w:rsidRPr="00DC5CF0">
              <w:rPr>
                <w:b w:val="0"/>
                <w:i/>
                <w:sz w:val="20"/>
                <w:szCs w:val="20"/>
              </w:rPr>
              <w:t xml:space="preserve"> technologické </w:t>
            </w:r>
            <w:r w:rsidRPr="00DC5CF0">
              <w:rPr>
                <w:b w:val="0"/>
                <w:i/>
                <w:sz w:val="20"/>
                <w:szCs w:val="20"/>
              </w:rPr>
              <w:t>řešení;</w:t>
            </w:r>
            <w:r w:rsidR="00AC50E3" w:rsidRPr="00DC5CF0">
              <w:rPr>
                <w:b w:val="0"/>
                <w:i/>
                <w:sz w:val="20"/>
                <w:szCs w:val="20"/>
              </w:rPr>
              <w:t xml:space="preserve"> </w:t>
            </w:r>
            <w:r w:rsidR="00646B8C" w:rsidRPr="00DC5CF0">
              <w:rPr>
                <w:b w:val="0"/>
                <w:i/>
                <w:sz w:val="20"/>
                <w:szCs w:val="20"/>
              </w:rPr>
              <w:t>využití alternativních zdrojů energie</w:t>
            </w:r>
            <w:r w:rsidRPr="00DC5CF0">
              <w:rPr>
                <w:b w:val="0"/>
                <w:i/>
                <w:sz w:val="20"/>
                <w:szCs w:val="20"/>
              </w:rPr>
              <w:t>, řešení významně snižující energetickou náročnost budovy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50E3" w:rsidRPr="002436E8" w:rsidRDefault="00AC50E3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2436E8">
              <w:rPr>
                <w:i/>
                <w:sz w:val="20"/>
                <w:szCs w:val="20"/>
              </w:rPr>
              <w:t xml:space="preserve">max. </w:t>
            </w:r>
            <w:r w:rsidR="003828E5">
              <w:rPr>
                <w:i/>
                <w:sz w:val="20"/>
                <w:szCs w:val="20"/>
              </w:rPr>
              <w:t>10</w:t>
            </w:r>
          </w:p>
        </w:tc>
      </w:tr>
      <w:tr w:rsidR="00C77C05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435365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Projekt dokládá významný inovativní přínos ve stavebním nebo technologickém řešení, prokazuje využití alternativních zdrojů energie nebo řešení významně snižující energetickou náročnost budovy.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7C05" w:rsidRPr="00DC5CF0" w:rsidRDefault="005C01C9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max. </w:t>
            </w:r>
            <w:r w:rsidR="00C77C05" w:rsidRPr="00DC5CF0">
              <w:rPr>
                <w:b w:val="0"/>
                <w:sz w:val="20"/>
                <w:szCs w:val="20"/>
              </w:rPr>
              <w:t>5</w:t>
            </w:r>
          </w:p>
        </w:tc>
      </w:tr>
      <w:tr w:rsidR="003828E5" w:rsidRPr="00B93BF5" w:rsidTr="00AE45A9">
        <w:trPr>
          <w:cantSplit/>
        </w:trPr>
        <w:tc>
          <w:tcPr>
            <w:tcW w:w="72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7BAC" w:rsidRPr="00D245E6" w:rsidRDefault="00C87BAC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D245E6">
              <w:rPr>
                <w:sz w:val="20"/>
                <w:szCs w:val="20"/>
              </w:rPr>
              <w:t>Opatření proti suchu</w:t>
            </w:r>
            <w:r w:rsidR="008F4062">
              <w:rPr>
                <w:sz w:val="20"/>
                <w:szCs w:val="20"/>
              </w:rPr>
              <w:t xml:space="preserve"> </w:t>
            </w:r>
            <w:r w:rsidR="008F4062" w:rsidRPr="008F4062">
              <w:rPr>
                <w:sz w:val="20"/>
                <w:szCs w:val="20"/>
              </w:rPr>
              <w:t>(definice pojmu v metodickém pokynu podprogramu)</w:t>
            </w:r>
          </w:p>
          <w:p w:rsidR="003828E5" w:rsidRPr="00DC5CF0" w:rsidRDefault="003828E5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Projekt dokládá řešení systému pro využití přečištěných odpadních vod s nebo bez využití srážkových vod nebo komplexní systém pro využití srážkové vody jako vody užitkové.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28E5" w:rsidRPr="00DC5CF0" w:rsidRDefault="003828E5" w:rsidP="00AE45A9">
            <w:pPr>
              <w:pStyle w:val="Nadpis1"/>
              <w:numPr>
                <w:ilvl w:val="0"/>
                <w:numId w:val="0"/>
              </w:numPr>
              <w:tabs>
                <w:tab w:val="right" w:pos="2495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max. 5</w:t>
            </w:r>
          </w:p>
        </w:tc>
      </w:tr>
      <w:tr w:rsidR="00AC50E3" w:rsidRPr="00B93BF5" w:rsidTr="00AE45A9">
        <w:trPr>
          <w:cantSplit/>
          <w:trHeight w:val="401"/>
        </w:trPr>
        <w:tc>
          <w:tcPr>
            <w:tcW w:w="728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50E3" w:rsidRPr="00DC5CF0" w:rsidRDefault="00AC50E3" w:rsidP="00AE45A9">
            <w:pPr>
              <w:rPr>
                <w:rFonts w:ascii="Arial" w:hAnsi="Arial" w:cs="Arial"/>
                <w:bCs/>
                <w:kern w:val="32"/>
              </w:rPr>
            </w:pPr>
            <w:r w:rsidRPr="00DC5CF0">
              <w:rPr>
                <w:rFonts w:ascii="Arial" w:hAnsi="Arial" w:cs="Arial"/>
              </w:rPr>
              <w:t>Doklad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50E3" w:rsidRPr="00DC5CF0" w:rsidRDefault="0003032F" w:rsidP="00AE45A9">
            <w:pPr>
              <w:pStyle w:val="Nadpis1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příloha</w:t>
            </w:r>
            <w:r w:rsidR="00AC50E3" w:rsidRPr="00DC5CF0">
              <w:rPr>
                <w:b w:val="0"/>
                <w:sz w:val="20"/>
                <w:szCs w:val="20"/>
              </w:rPr>
              <w:t xml:space="preserve"> žádosti</w:t>
            </w:r>
            <w:r w:rsidRPr="00DC5CF0">
              <w:rPr>
                <w:b w:val="0"/>
                <w:sz w:val="20"/>
                <w:szCs w:val="20"/>
              </w:rPr>
              <w:t xml:space="preserve"> č. 3 v bodech dle struktury této tabulky</w:t>
            </w:r>
          </w:p>
        </w:tc>
      </w:tr>
    </w:tbl>
    <w:p w:rsidR="00941873" w:rsidRDefault="00941873" w:rsidP="0002668B"/>
    <w:tbl>
      <w:tblPr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2835"/>
      </w:tblGrid>
      <w:tr w:rsidR="00305E67" w:rsidRPr="00C82405" w:rsidTr="00AE45A9">
        <w:tc>
          <w:tcPr>
            <w:tcW w:w="9384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6274EA" w:rsidRPr="00745F5E" w:rsidRDefault="00DC42BE" w:rsidP="0033422E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305E67" w:rsidRPr="00B93BF5">
              <w:rPr>
                <w:sz w:val="28"/>
                <w:szCs w:val="28"/>
              </w:rPr>
              <w:t>Poskytnuté dota</w:t>
            </w:r>
            <w:r w:rsidR="00C82405" w:rsidRPr="00B93BF5">
              <w:rPr>
                <w:sz w:val="28"/>
                <w:szCs w:val="28"/>
              </w:rPr>
              <w:t>ce do okresů za období 2003-</w:t>
            </w:r>
            <w:r w:rsidR="008F4062" w:rsidRPr="00B93BF5">
              <w:rPr>
                <w:sz w:val="28"/>
                <w:szCs w:val="28"/>
              </w:rPr>
              <w:t>201</w:t>
            </w:r>
            <w:r w:rsidR="0033422E">
              <w:rPr>
                <w:sz w:val="28"/>
                <w:szCs w:val="28"/>
              </w:rPr>
              <w:t>9</w:t>
            </w:r>
          </w:p>
        </w:tc>
      </w:tr>
      <w:tr w:rsidR="00DC5CF0" w:rsidRPr="00C82405" w:rsidTr="00AE45A9">
        <w:trPr>
          <w:trHeight w:val="1352"/>
        </w:trPr>
        <w:tc>
          <w:tcPr>
            <w:tcW w:w="654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5CF0" w:rsidRPr="00DC5CF0" w:rsidRDefault="00DC5CF0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Hodnotit se bude výše poskytnutých dotací do okresu na výstavbu podporovaných bytů k počtu obyvatel daného okresu.</w:t>
            </w:r>
          </w:p>
          <w:p w:rsidR="00DC5CF0" w:rsidRPr="00DC5CF0" w:rsidRDefault="00DC5CF0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Kritérium upřednostňuje žádost žadatele, který akci realizuje v okrese s menším podílem dotací, tzn. čím menší dotace do okresu tím větší bodový zisk.</w:t>
            </w:r>
          </w:p>
          <w:p w:rsidR="00DC5CF0" w:rsidRPr="00DC5CF0" w:rsidRDefault="00DC5CF0" w:rsidP="00AE45A9">
            <w:pPr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5CF0" w:rsidRPr="00DC5CF0" w:rsidRDefault="00DC5CF0" w:rsidP="00AE45A9">
            <w:pPr>
              <w:pStyle w:val="Nadpis1"/>
              <w:numPr>
                <w:ilvl w:val="0"/>
                <w:numId w:val="0"/>
              </w:numPr>
              <w:tabs>
                <w:tab w:val="right" w:pos="2523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max. počet bodů </w:t>
            </w:r>
            <w:r w:rsidR="00AA5EBD">
              <w:rPr>
                <w:i/>
                <w:sz w:val="20"/>
                <w:szCs w:val="20"/>
              </w:rPr>
              <w:t>11</w:t>
            </w:r>
          </w:p>
        </w:tc>
      </w:tr>
      <w:tr w:rsidR="00DC5CF0" w:rsidRPr="00C82405" w:rsidTr="00AE45A9">
        <w:trPr>
          <w:trHeight w:val="1351"/>
        </w:trPr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5CF0" w:rsidRPr="00DC5CF0" w:rsidRDefault="00DC5CF0" w:rsidP="00AE45A9">
            <w:pPr>
              <w:rPr>
                <w:rFonts w:ascii="Arial" w:hAnsi="Arial" w:cs="Arial"/>
                <w:i/>
              </w:rPr>
            </w:pPr>
            <w:r w:rsidRPr="00DC5CF0">
              <w:rPr>
                <w:rFonts w:ascii="Arial" w:hAnsi="Arial" w:cs="Arial"/>
                <w:i/>
              </w:rPr>
              <w:t>Postup bodování:</w:t>
            </w:r>
          </w:p>
          <w:p w:rsidR="00DC5CF0" w:rsidRPr="00DC5CF0" w:rsidRDefault="00DC5CF0" w:rsidP="00AE45A9">
            <w:pPr>
              <w:rPr>
                <w:rFonts w:ascii="Arial" w:hAnsi="Arial" w:cs="Arial"/>
                <w:i/>
              </w:rPr>
            </w:pPr>
            <w:r w:rsidRPr="00DC5CF0">
              <w:rPr>
                <w:rFonts w:ascii="Arial" w:hAnsi="Arial" w:cs="Arial"/>
                <w:i/>
              </w:rPr>
              <w:t xml:space="preserve">Po transformaci exponenciálního statistického rozdělení objemů dotací do jednotlivých okresů na rovnoměrné rozdělení bude </w:t>
            </w:r>
            <w:r w:rsidRPr="002436E8">
              <w:rPr>
                <w:rFonts w:ascii="Arial" w:hAnsi="Arial" w:cs="Arial"/>
                <w:i/>
              </w:rPr>
              <w:t>vytvořeno 1</w:t>
            </w:r>
            <w:r w:rsidR="00AA5EBD" w:rsidRPr="002436E8">
              <w:rPr>
                <w:rFonts w:ascii="Arial" w:hAnsi="Arial" w:cs="Arial"/>
                <w:i/>
              </w:rPr>
              <w:t>1</w:t>
            </w:r>
            <w:r w:rsidRPr="002436E8">
              <w:rPr>
                <w:rFonts w:ascii="Arial" w:hAnsi="Arial" w:cs="Arial"/>
                <w:i/>
              </w:rPr>
              <w:t xml:space="preserve"> rovnoměrných intervalů,</w:t>
            </w:r>
            <w:r w:rsidRPr="00DC5CF0">
              <w:rPr>
                <w:rFonts w:ascii="Arial" w:hAnsi="Arial" w:cs="Arial"/>
                <w:i/>
              </w:rPr>
              <w:br/>
              <w:t>do kterých budou okresy rozděleny.</w:t>
            </w:r>
          </w:p>
          <w:p w:rsidR="00DC5CF0" w:rsidRPr="00DC5CF0" w:rsidRDefault="00DC5CF0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i/>
                <w:sz w:val="20"/>
                <w:szCs w:val="20"/>
              </w:rPr>
              <w:t>K vyhodnocení bude zpracována tabulka o poskytnutých dotacích do okresu celkem.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5CF0" w:rsidRPr="00DC5CF0" w:rsidRDefault="00DC5CF0" w:rsidP="00AE45A9">
            <w:pPr>
              <w:pStyle w:val="Nadpis1"/>
              <w:numPr>
                <w:ilvl w:val="0"/>
                <w:numId w:val="0"/>
              </w:numPr>
              <w:tabs>
                <w:tab w:val="right" w:pos="2523"/>
              </w:tabs>
              <w:spacing w:before="0" w:after="0"/>
              <w:rPr>
                <w:b w:val="0"/>
                <w:i/>
                <w:sz w:val="20"/>
                <w:szCs w:val="20"/>
              </w:rPr>
            </w:pPr>
          </w:p>
        </w:tc>
      </w:tr>
      <w:tr w:rsidR="0054249F" w:rsidRPr="00C82405" w:rsidTr="00AE45A9">
        <w:trPr>
          <w:trHeight w:val="437"/>
        </w:trPr>
        <w:tc>
          <w:tcPr>
            <w:tcW w:w="6549" w:type="dxa"/>
            <w:tcBorders>
              <w:top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249F" w:rsidRPr="00DC5CF0" w:rsidRDefault="0054249F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Doklad</w:t>
            </w:r>
          </w:p>
        </w:tc>
        <w:tc>
          <w:tcPr>
            <w:tcW w:w="2835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249F" w:rsidRPr="00DC5CF0" w:rsidRDefault="0054249F" w:rsidP="00AE45A9">
            <w:pPr>
              <w:rPr>
                <w:rFonts w:ascii="Arial" w:hAnsi="Arial" w:cs="Arial"/>
              </w:rPr>
            </w:pPr>
            <w:r w:rsidRPr="00DC5CF0">
              <w:rPr>
                <w:rFonts w:ascii="Arial" w:hAnsi="Arial" w:cs="Arial"/>
              </w:rPr>
              <w:t>žádost</w:t>
            </w:r>
          </w:p>
        </w:tc>
      </w:tr>
      <w:tr w:rsidR="0054249F" w:rsidRPr="00C82405" w:rsidTr="00AE45A9">
        <w:trPr>
          <w:trHeight w:val="855"/>
        </w:trPr>
        <w:tc>
          <w:tcPr>
            <w:tcW w:w="6549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249F" w:rsidRPr="00DC5CF0" w:rsidRDefault="0054249F" w:rsidP="00AE45A9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Podklad správce </w:t>
            </w:r>
          </w:p>
        </w:tc>
        <w:tc>
          <w:tcPr>
            <w:tcW w:w="2835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249F" w:rsidRPr="00DC5CF0" w:rsidRDefault="00F40B83" w:rsidP="00AE45A9">
            <w:pPr>
              <w:ind w:left="200" w:hanging="200"/>
              <w:rPr>
                <w:rFonts w:ascii="Arial" w:hAnsi="Arial" w:cs="Arial"/>
              </w:rPr>
            </w:pPr>
            <w:r w:rsidRPr="00DC5CF0">
              <w:rPr>
                <w:rFonts w:ascii="Arial" w:hAnsi="Arial" w:cs="Arial"/>
              </w:rPr>
              <w:t>-</w:t>
            </w:r>
            <w:r w:rsidRPr="00DC5CF0">
              <w:rPr>
                <w:rFonts w:ascii="Arial" w:hAnsi="Arial" w:cs="Arial"/>
              </w:rPr>
              <w:tab/>
            </w:r>
            <w:r w:rsidR="00CE21E2" w:rsidRPr="00DC5CF0">
              <w:rPr>
                <w:rFonts w:ascii="Arial" w:hAnsi="Arial" w:cs="Arial"/>
              </w:rPr>
              <w:t>seznam poskytnutých dotací</w:t>
            </w:r>
          </w:p>
          <w:p w:rsidR="0054249F" w:rsidRPr="00DC5CF0" w:rsidRDefault="00F40B83" w:rsidP="00A04BCD">
            <w:pPr>
              <w:pStyle w:val="Nadpis1"/>
              <w:numPr>
                <w:ilvl w:val="0"/>
                <w:numId w:val="0"/>
              </w:numPr>
              <w:spacing w:before="0" w:after="0"/>
              <w:ind w:left="200" w:hanging="20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-</w:t>
            </w:r>
            <w:r w:rsidRPr="00DC5CF0">
              <w:rPr>
                <w:b w:val="0"/>
                <w:sz w:val="20"/>
                <w:szCs w:val="20"/>
              </w:rPr>
              <w:tab/>
            </w:r>
            <w:r w:rsidR="0054249F" w:rsidRPr="00DC5CF0">
              <w:rPr>
                <w:b w:val="0"/>
                <w:sz w:val="20"/>
                <w:szCs w:val="20"/>
              </w:rPr>
              <w:t>počty obyvatel okresů k </w:t>
            </w:r>
            <w:r w:rsidR="00CE21E2" w:rsidRPr="00DC5CF0">
              <w:rPr>
                <w:b w:val="0"/>
                <w:sz w:val="20"/>
                <w:szCs w:val="20"/>
              </w:rPr>
              <w:t>3</w:t>
            </w:r>
            <w:r w:rsidR="0054249F" w:rsidRPr="00DC5CF0">
              <w:rPr>
                <w:b w:val="0"/>
                <w:sz w:val="20"/>
                <w:szCs w:val="20"/>
              </w:rPr>
              <w:t>1. 1</w:t>
            </w:r>
            <w:r w:rsidR="00CE21E2" w:rsidRPr="00DC5CF0">
              <w:rPr>
                <w:b w:val="0"/>
                <w:sz w:val="20"/>
                <w:szCs w:val="20"/>
              </w:rPr>
              <w:t>2</w:t>
            </w:r>
            <w:r w:rsidR="0054249F" w:rsidRPr="00DC5CF0">
              <w:rPr>
                <w:b w:val="0"/>
                <w:sz w:val="20"/>
                <w:szCs w:val="20"/>
              </w:rPr>
              <w:t>. </w:t>
            </w:r>
            <w:r w:rsidR="00155E5C" w:rsidRPr="00DC5CF0">
              <w:rPr>
                <w:b w:val="0"/>
                <w:sz w:val="20"/>
                <w:szCs w:val="20"/>
              </w:rPr>
              <w:t>20</w:t>
            </w:r>
            <w:r w:rsidR="00155E5C" w:rsidRPr="00A04BCD">
              <w:rPr>
                <w:b w:val="0"/>
                <w:sz w:val="20"/>
                <w:szCs w:val="20"/>
              </w:rPr>
              <w:t>1</w:t>
            </w:r>
            <w:r w:rsidR="00A04BCD" w:rsidRPr="00A04BCD">
              <w:rPr>
                <w:b w:val="0"/>
                <w:sz w:val="20"/>
                <w:szCs w:val="20"/>
              </w:rPr>
              <w:t>8</w:t>
            </w:r>
          </w:p>
        </w:tc>
      </w:tr>
    </w:tbl>
    <w:p w:rsidR="002436E8" w:rsidRDefault="002436E8">
      <w:pPr>
        <w:rPr>
          <w:b/>
          <w:sz w:val="24"/>
          <w:szCs w:val="24"/>
        </w:rPr>
      </w:pPr>
    </w:p>
    <w:p w:rsidR="00FD0792" w:rsidRDefault="00FD0792">
      <w:pPr>
        <w:rPr>
          <w:b/>
          <w:sz w:val="24"/>
          <w:szCs w:val="24"/>
        </w:rPr>
      </w:pPr>
    </w:p>
    <w:p w:rsidR="00FD0792" w:rsidRDefault="00FD0792">
      <w:pPr>
        <w:rPr>
          <w:b/>
          <w:sz w:val="24"/>
          <w:szCs w:val="24"/>
        </w:rPr>
      </w:pPr>
    </w:p>
    <w:p w:rsidR="00FD0792" w:rsidRDefault="00FD0792">
      <w:pPr>
        <w:rPr>
          <w:b/>
          <w:sz w:val="24"/>
          <w:szCs w:val="24"/>
        </w:rPr>
      </w:pPr>
    </w:p>
    <w:p w:rsidR="00FD0792" w:rsidRDefault="00FD0792">
      <w:pPr>
        <w:rPr>
          <w:b/>
          <w:sz w:val="24"/>
          <w:szCs w:val="24"/>
        </w:rPr>
      </w:pPr>
    </w:p>
    <w:p w:rsidR="00FD0792" w:rsidRDefault="00FD0792">
      <w:pPr>
        <w:rPr>
          <w:b/>
          <w:sz w:val="24"/>
          <w:szCs w:val="24"/>
        </w:rPr>
      </w:pPr>
    </w:p>
    <w:p w:rsidR="00FD0792" w:rsidRDefault="00FD0792">
      <w:pPr>
        <w:rPr>
          <w:b/>
          <w:sz w:val="24"/>
          <w:szCs w:val="24"/>
        </w:rPr>
      </w:pPr>
    </w:p>
    <w:tbl>
      <w:tblPr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977"/>
      </w:tblGrid>
      <w:tr w:rsidR="007D49B3" w:rsidRPr="00C82405" w:rsidTr="00AE45A9">
        <w:tc>
          <w:tcPr>
            <w:tcW w:w="9384" w:type="dxa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7D49B3" w:rsidRPr="00B93BF5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1560"/>
              </w:tabs>
              <w:spacing w:before="0" w:after="0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Místo realizace</w:t>
            </w:r>
          </w:p>
        </w:tc>
      </w:tr>
      <w:tr w:rsidR="007D49B3" w:rsidRPr="00C82405" w:rsidTr="00AE45A9">
        <w:tc>
          <w:tcPr>
            <w:tcW w:w="640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Zvýhodněny budou projekty, které se realizují v obci nacházející se ve státem podporovaném regionu dle přílohy usnesení vlády č. 344 ze dne 15. 5. 2013.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360"/>
              <w:jc w:val="center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max. počet bodů </w:t>
            </w:r>
            <w:r>
              <w:rPr>
                <w:i/>
                <w:sz w:val="20"/>
                <w:szCs w:val="20"/>
              </w:rPr>
              <w:t>5</w:t>
            </w:r>
          </w:p>
        </w:tc>
      </w:tr>
      <w:tr w:rsidR="007D49B3" w:rsidRPr="00C82405" w:rsidTr="00AE45A9">
        <w:tc>
          <w:tcPr>
            <w:tcW w:w="64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Obec se nachází v regionu dle přílohy usnesení vlády č. 344 ze dne 15. 5. 2013.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36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</w:tr>
      <w:tr w:rsidR="007D49B3" w:rsidRPr="00C82405" w:rsidTr="00AE45A9">
        <w:tc>
          <w:tcPr>
            <w:tcW w:w="64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Obec se nenachází v regionu dle přílohy usnesení vlády č. 344 ze dne 15. 5. 2013.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36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0</w:t>
            </w:r>
          </w:p>
        </w:tc>
      </w:tr>
      <w:tr w:rsidR="007D49B3" w:rsidRPr="00C82405" w:rsidTr="00AE45A9">
        <w:trPr>
          <w:trHeight w:val="563"/>
        </w:trPr>
        <w:tc>
          <w:tcPr>
            <w:tcW w:w="6407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Doklad</w:t>
            </w:r>
          </w:p>
        </w:tc>
        <w:tc>
          <w:tcPr>
            <w:tcW w:w="2977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žádost</w:t>
            </w:r>
          </w:p>
        </w:tc>
      </w:tr>
      <w:tr w:rsidR="007D49B3" w:rsidRPr="00C82405" w:rsidTr="00FD0792">
        <w:trPr>
          <w:trHeight w:val="667"/>
        </w:trPr>
        <w:tc>
          <w:tcPr>
            <w:tcW w:w="6407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49B3" w:rsidRPr="00DC5CF0" w:rsidRDefault="007D49B3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Podklad správce</w:t>
            </w:r>
          </w:p>
        </w:tc>
        <w:tc>
          <w:tcPr>
            <w:tcW w:w="2977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49B3" w:rsidRPr="00DC5CF0" w:rsidRDefault="007D49B3" w:rsidP="00AE45A9">
            <w:pPr>
              <w:jc w:val="center"/>
              <w:rPr>
                <w:rFonts w:ascii="Arial" w:hAnsi="Arial" w:cs="Arial"/>
              </w:rPr>
            </w:pPr>
            <w:r w:rsidRPr="00DC5CF0">
              <w:rPr>
                <w:rFonts w:ascii="Arial" w:hAnsi="Arial" w:cs="Arial"/>
              </w:rPr>
              <w:t>usnesení vlády č. 344</w:t>
            </w:r>
            <w:r w:rsidRPr="00DC5CF0">
              <w:rPr>
                <w:rFonts w:ascii="Arial" w:hAnsi="Arial" w:cs="Arial"/>
              </w:rPr>
              <w:br/>
              <w:t>ze dne 15. 5. 2013</w:t>
            </w:r>
          </w:p>
        </w:tc>
      </w:tr>
    </w:tbl>
    <w:p w:rsidR="00AE45A9" w:rsidRDefault="00AE45A9" w:rsidP="00762C7C">
      <w:pPr>
        <w:rPr>
          <w:vanish/>
        </w:rPr>
      </w:pPr>
    </w:p>
    <w:p w:rsidR="00AE45A9" w:rsidRDefault="00AE45A9">
      <w:pPr>
        <w:rPr>
          <w:vanish/>
        </w:rPr>
      </w:pPr>
      <w:r>
        <w:rPr>
          <w:vanish/>
        </w:rPr>
        <w:br w:type="page"/>
      </w:r>
    </w:p>
    <w:p w:rsidR="00762C7C" w:rsidRPr="00762C7C" w:rsidRDefault="00762C7C" w:rsidP="00762C7C">
      <w:pPr>
        <w:rPr>
          <w:vanish/>
        </w:rPr>
      </w:pPr>
    </w:p>
    <w:p w:rsidR="00FD0792" w:rsidRDefault="00FD0792"/>
    <w:p w:rsidR="00FD0792" w:rsidRDefault="00FD0792">
      <w:r>
        <w:br w:type="page"/>
      </w:r>
    </w:p>
    <w:p w:rsidR="00FD0792" w:rsidRDefault="00FD0792"/>
    <w:tbl>
      <w:tblPr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2551"/>
      </w:tblGrid>
      <w:tr w:rsidR="00305E67" w:rsidRPr="00C82405" w:rsidTr="00FD0792">
        <w:trPr>
          <w:trHeight w:val="539"/>
        </w:trPr>
        <w:tc>
          <w:tcPr>
            <w:tcW w:w="9384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C83ACF" w:rsidRPr="00F94D9B" w:rsidRDefault="00246AAB" w:rsidP="00AE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9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="003103B5" w:rsidRPr="00F94D9B">
              <w:rPr>
                <w:rFonts w:ascii="Arial" w:hAnsi="Arial" w:cs="Arial"/>
                <w:b/>
                <w:sz w:val="28"/>
                <w:szCs w:val="28"/>
              </w:rPr>
              <w:t xml:space="preserve">Potřeba realizace projektu </w:t>
            </w:r>
            <w:proofErr w:type="spellStart"/>
            <w:r w:rsidR="003561E5">
              <w:rPr>
                <w:rFonts w:ascii="Arial" w:hAnsi="Arial" w:cs="Arial"/>
                <w:b/>
                <w:sz w:val="28"/>
                <w:szCs w:val="28"/>
              </w:rPr>
              <w:t>KoDuS</w:t>
            </w:r>
            <w:proofErr w:type="spellEnd"/>
          </w:p>
        </w:tc>
      </w:tr>
      <w:tr w:rsidR="00973D07" w:rsidRPr="00C82405" w:rsidTr="00FD0792">
        <w:tc>
          <w:tcPr>
            <w:tcW w:w="683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3D07" w:rsidRPr="00DC5CF0" w:rsidRDefault="00973D07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5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Podíl osob starších 60 </w:t>
            </w:r>
            <w:r w:rsidR="00982724" w:rsidRPr="00DC5CF0">
              <w:rPr>
                <w:b w:val="0"/>
                <w:i/>
                <w:sz w:val="20"/>
                <w:szCs w:val="20"/>
              </w:rPr>
              <w:t xml:space="preserve">a zároveň mladších 70 </w:t>
            </w:r>
            <w:r w:rsidRPr="00DC5CF0">
              <w:rPr>
                <w:b w:val="0"/>
                <w:i/>
                <w:sz w:val="20"/>
                <w:szCs w:val="20"/>
              </w:rPr>
              <w:t xml:space="preserve">let na celkovém počtu obyvatel okresu, ve kterém vznikne </w:t>
            </w:r>
            <w:proofErr w:type="spellStart"/>
            <w:r w:rsidR="00ED1932" w:rsidRPr="00DC5CF0">
              <w:rPr>
                <w:b w:val="0"/>
                <w:i/>
                <w:sz w:val="20"/>
                <w:szCs w:val="20"/>
              </w:rPr>
              <w:t>KoDuS</w:t>
            </w:r>
            <w:proofErr w:type="spellEnd"/>
            <w:r w:rsidRPr="00DC5CF0">
              <w:rPr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73D07" w:rsidRPr="00DC5CF0" w:rsidRDefault="00973D07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585"/>
              </w:tabs>
              <w:spacing w:before="0" w:after="0"/>
              <w:ind w:left="55"/>
              <w:jc w:val="center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max. počet bodů </w:t>
            </w:r>
            <w:r w:rsidR="00AA5EBD">
              <w:rPr>
                <w:i/>
                <w:sz w:val="20"/>
                <w:szCs w:val="20"/>
              </w:rPr>
              <w:t>9</w:t>
            </w:r>
          </w:p>
        </w:tc>
      </w:tr>
      <w:tr w:rsidR="00204229" w:rsidRPr="00C82405" w:rsidTr="00FD0792">
        <w:tc>
          <w:tcPr>
            <w:tcW w:w="6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04229" w:rsidRPr="002436E8" w:rsidRDefault="00685AB4" w:rsidP="00BD4E90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436E8">
              <w:rPr>
                <w:b w:val="0"/>
                <w:sz w:val="20"/>
                <w:szCs w:val="20"/>
              </w:rPr>
              <w:t>O</w:t>
            </w:r>
            <w:r w:rsidR="009150B2" w:rsidRPr="002436E8">
              <w:rPr>
                <w:b w:val="0"/>
                <w:sz w:val="20"/>
                <w:szCs w:val="20"/>
              </w:rPr>
              <w:t>kresy s podílem osob starších 60</w:t>
            </w:r>
            <w:r w:rsidRPr="002436E8">
              <w:rPr>
                <w:b w:val="0"/>
                <w:sz w:val="20"/>
                <w:szCs w:val="20"/>
              </w:rPr>
              <w:t xml:space="preserve"> let</w:t>
            </w:r>
            <w:r w:rsidR="00982724" w:rsidRPr="002436E8">
              <w:rPr>
                <w:b w:val="0"/>
                <w:sz w:val="20"/>
                <w:szCs w:val="20"/>
              </w:rPr>
              <w:t xml:space="preserve"> a zároveň mladších 70 </w:t>
            </w:r>
            <w:r w:rsidRPr="002436E8">
              <w:rPr>
                <w:b w:val="0"/>
                <w:sz w:val="20"/>
                <w:szCs w:val="20"/>
              </w:rPr>
              <w:t xml:space="preserve">na celkovém počtu obyvatel okresu větším </w:t>
            </w:r>
            <w:r w:rsidRPr="002436E8">
              <w:rPr>
                <w:b w:val="0"/>
                <w:sz w:val="20"/>
                <w:szCs w:val="20"/>
                <w:shd w:val="clear" w:color="auto" w:fill="FFFFFF" w:themeFill="background1"/>
              </w:rPr>
              <w:t xml:space="preserve">než </w:t>
            </w:r>
            <w:r w:rsidR="007E1408">
              <w:rPr>
                <w:b w:val="0"/>
                <w:sz w:val="20"/>
                <w:szCs w:val="20"/>
                <w:shd w:val="clear" w:color="auto" w:fill="FFFFFF" w:themeFill="background1"/>
              </w:rPr>
              <w:t>14,</w:t>
            </w:r>
            <w:r w:rsidR="00BD4E90">
              <w:rPr>
                <w:b w:val="0"/>
                <w:sz w:val="20"/>
                <w:szCs w:val="20"/>
                <w:shd w:val="clear" w:color="auto" w:fill="FFFFFF" w:themeFill="background1"/>
              </w:rPr>
              <w:t>0</w:t>
            </w:r>
            <w:r w:rsidR="00982724" w:rsidRPr="002436E8">
              <w:rPr>
                <w:b w:val="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436E8">
              <w:rPr>
                <w:b w:val="0"/>
                <w:sz w:val="20"/>
                <w:szCs w:val="20"/>
                <w:shd w:val="clear" w:color="auto" w:fill="FFFFFF" w:themeFill="background1"/>
              </w:rPr>
              <w:t xml:space="preserve">% (tj. hodnoty podílu </w:t>
            </w:r>
            <w:r w:rsidR="007E1408">
              <w:rPr>
                <w:b w:val="0"/>
                <w:sz w:val="20"/>
                <w:szCs w:val="20"/>
                <w:shd w:val="clear" w:color="auto" w:fill="FFFFFF" w:themeFill="background1"/>
              </w:rPr>
              <w:t>14,</w:t>
            </w:r>
            <w:r w:rsidR="00BD4E90">
              <w:rPr>
                <w:b w:val="0"/>
                <w:sz w:val="20"/>
                <w:szCs w:val="20"/>
                <w:shd w:val="clear" w:color="auto" w:fill="FFFFFF" w:themeFill="background1"/>
              </w:rPr>
              <w:t>0</w:t>
            </w:r>
            <w:r w:rsidRPr="002436E8">
              <w:rPr>
                <w:b w:val="0"/>
                <w:sz w:val="20"/>
                <w:szCs w:val="20"/>
                <w:shd w:val="clear" w:color="auto" w:fill="FFFFFF" w:themeFill="background1"/>
              </w:rPr>
              <w:t xml:space="preserve"> % a více</w:t>
            </w:r>
            <w:r w:rsidRPr="002436E8">
              <w:rPr>
                <w:b w:val="0"/>
                <w:sz w:val="20"/>
                <w:szCs w:val="20"/>
              </w:rPr>
              <w:t>)</w:t>
            </w:r>
            <w:r w:rsidR="00322E02" w:rsidRPr="002436E8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54D5" w:rsidRPr="00DC5CF0" w:rsidRDefault="00AA5EBD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</w:tr>
      <w:tr w:rsidR="00653666" w:rsidRPr="00C82405" w:rsidTr="00FD0792">
        <w:tc>
          <w:tcPr>
            <w:tcW w:w="6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3666" w:rsidRPr="002436E8" w:rsidRDefault="00653666" w:rsidP="00BD4E90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436E8">
              <w:rPr>
                <w:b w:val="0"/>
                <w:sz w:val="20"/>
                <w:szCs w:val="20"/>
              </w:rPr>
              <w:t>O</w:t>
            </w:r>
            <w:r w:rsidR="009150B2" w:rsidRPr="002436E8">
              <w:rPr>
                <w:b w:val="0"/>
                <w:sz w:val="20"/>
                <w:szCs w:val="20"/>
              </w:rPr>
              <w:t>kresy s podílem osob starších 60</w:t>
            </w:r>
            <w:r w:rsidRPr="002436E8">
              <w:rPr>
                <w:b w:val="0"/>
                <w:sz w:val="20"/>
                <w:szCs w:val="20"/>
              </w:rPr>
              <w:t xml:space="preserve"> let </w:t>
            </w:r>
            <w:r w:rsidR="00982724" w:rsidRPr="002436E8">
              <w:rPr>
                <w:b w:val="0"/>
                <w:sz w:val="20"/>
                <w:szCs w:val="20"/>
              </w:rPr>
              <w:t xml:space="preserve">a zároveň mladších 70 </w:t>
            </w:r>
            <w:r w:rsidRPr="002436E8">
              <w:rPr>
                <w:b w:val="0"/>
                <w:sz w:val="20"/>
                <w:szCs w:val="20"/>
              </w:rPr>
              <w:t>na celkovém počtu obyvatel okresu větším než 1</w:t>
            </w:r>
            <w:r w:rsidR="00982724" w:rsidRPr="002436E8">
              <w:rPr>
                <w:b w:val="0"/>
                <w:sz w:val="20"/>
                <w:szCs w:val="20"/>
              </w:rPr>
              <w:t>3,</w:t>
            </w:r>
            <w:r w:rsidR="007E1408">
              <w:rPr>
                <w:b w:val="0"/>
                <w:sz w:val="20"/>
                <w:szCs w:val="20"/>
              </w:rPr>
              <w:t>1</w:t>
            </w:r>
            <w:r w:rsidRPr="002436E8">
              <w:rPr>
                <w:b w:val="0"/>
                <w:sz w:val="20"/>
                <w:szCs w:val="20"/>
              </w:rPr>
              <w:t xml:space="preserve"> % a současně nižším nebo rovným </w:t>
            </w:r>
            <w:r w:rsidR="007E1408">
              <w:rPr>
                <w:b w:val="0"/>
                <w:sz w:val="20"/>
                <w:szCs w:val="20"/>
              </w:rPr>
              <w:t>1</w:t>
            </w:r>
            <w:r w:rsidR="00BD4E90">
              <w:rPr>
                <w:b w:val="0"/>
                <w:sz w:val="20"/>
                <w:szCs w:val="20"/>
              </w:rPr>
              <w:t>3,9</w:t>
            </w:r>
            <w:r w:rsidRPr="002436E8">
              <w:rPr>
                <w:b w:val="0"/>
                <w:sz w:val="20"/>
                <w:szCs w:val="20"/>
              </w:rPr>
              <w:t xml:space="preserve"> % (tj. hodnoty podílu 1</w:t>
            </w:r>
            <w:r w:rsidR="00982724" w:rsidRPr="002436E8">
              <w:rPr>
                <w:b w:val="0"/>
                <w:sz w:val="20"/>
                <w:szCs w:val="20"/>
              </w:rPr>
              <w:t>3,</w:t>
            </w:r>
            <w:r w:rsidR="007E1408">
              <w:rPr>
                <w:b w:val="0"/>
                <w:sz w:val="20"/>
                <w:szCs w:val="20"/>
              </w:rPr>
              <w:t>1</w:t>
            </w:r>
            <w:r w:rsidRPr="002436E8">
              <w:rPr>
                <w:b w:val="0"/>
                <w:sz w:val="20"/>
                <w:szCs w:val="20"/>
              </w:rPr>
              <w:t>-</w:t>
            </w:r>
            <w:r w:rsidR="007E1408">
              <w:rPr>
                <w:b w:val="0"/>
                <w:sz w:val="20"/>
                <w:szCs w:val="20"/>
              </w:rPr>
              <w:t>1</w:t>
            </w:r>
            <w:r w:rsidR="00BD4E90">
              <w:rPr>
                <w:b w:val="0"/>
                <w:sz w:val="20"/>
                <w:szCs w:val="20"/>
              </w:rPr>
              <w:t>3,9</w:t>
            </w:r>
            <w:r w:rsidRPr="002436E8">
              <w:rPr>
                <w:b w:val="0"/>
                <w:sz w:val="20"/>
                <w:szCs w:val="20"/>
              </w:rPr>
              <w:t xml:space="preserve"> %)</w:t>
            </w:r>
            <w:r w:rsidR="00322E02" w:rsidRPr="002436E8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3666" w:rsidRPr="00DC5CF0" w:rsidRDefault="00AA5EBD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</w:tr>
      <w:tr w:rsidR="00653666" w:rsidRPr="00C82405" w:rsidTr="00FD0792">
        <w:tc>
          <w:tcPr>
            <w:tcW w:w="6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3666" w:rsidRPr="002436E8" w:rsidRDefault="00653666" w:rsidP="007E1408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436E8">
              <w:rPr>
                <w:b w:val="0"/>
                <w:sz w:val="20"/>
                <w:szCs w:val="20"/>
              </w:rPr>
              <w:t>O</w:t>
            </w:r>
            <w:r w:rsidR="009150B2" w:rsidRPr="002436E8">
              <w:rPr>
                <w:b w:val="0"/>
                <w:sz w:val="20"/>
                <w:szCs w:val="20"/>
              </w:rPr>
              <w:t>kresy s podílem osob starších 60</w:t>
            </w:r>
            <w:r w:rsidRPr="002436E8">
              <w:rPr>
                <w:b w:val="0"/>
                <w:sz w:val="20"/>
                <w:szCs w:val="20"/>
              </w:rPr>
              <w:t xml:space="preserve"> let </w:t>
            </w:r>
            <w:r w:rsidR="00982724" w:rsidRPr="002436E8">
              <w:rPr>
                <w:b w:val="0"/>
                <w:sz w:val="20"/>
                <w:szCs w:val="20"/>
              </w:rPr>
              <w:t xml:space="preserve">a zároveň mladších 70 </w:t>
            </w:r>
            <w:r w:rsidRPr="002436E8">
              <w:rPr>
                <w:b w:val="0"/>
                <w:sz w:val="20"/>
                <w:szCs w:val="20"/>
              </w:rPr>
              <w:t xml:space="preserve">na celkovém počtu obyvatel okresu větším než </w:t>
            </w:r>
            <w:r w:rsidR="00A870B0">
              <w:rPr>
                <w:b w:val="0"/>
                <w:sz w:val="20"/>
                <w:szCs w:val="20"/>
              </w:rPr>
              <w:t>12,</w:t>
            </w:r>
            <w:r w:rsidR="007E1408">
              <w:rPr>
                <w:b w:val="0"/>
                <w:sz w:val="20"/>
                <w:szCs w:val="20"/>
              </w:rPr>
              <w:t>1</w:t>
            </w:r>
            <w:r w:rsidRPr="002436E8">
              <w:rPr>
                <w:b w:val="0"/>
                <w:sz w:val="20"/>
                <w:szCs w:val="20"/>
              </w:rPr>
              <w:t xml:space="preserve"> % a současně nižším nebo rovným 1</w:t>
            </w:r>
            <w:r w:rsidR="00982724" w:rsidRPr="002436E8">
              <w:rPr>
                <w:b w:val="0"/>
                <w:sz w:val="20"/>
                <w:szCs w:val="20"/>
              </w:rPr>
              <w:t>3</w:t>
            </w:r>
            <w:r w:rsidRPr="002436E8">
              <w:rPr>
                <w:b w:val="0"/>
                <w:sz w:val="20"/>
                <w:szCs w:val="20"/>
              </w:rPr>
              <w:t>% (tj. hodnoty podílu 1</w:t>
            </w:r>
            <w:r w:rsidR="007E1408">
              <w:rPr>
                <w:b w:val="0"/>
                <w:sz w:val="20"/>
                <w:szCs w:val="20"/>
              </w:rPr>
              <w:t>2</w:t>
            </w:r>
            <w:r w:rsidR="0063417A" w:rsidRPr="002436E8">
              <w:rPr>
                <w:b w:val="0"/>
                <w:sz w:val="20"/>
                <w:szCs w:val="20"/>
              </w:rPr>
              <w:t>,</w:t>
            </w:r>
            <w:r w:rsidR="007E1408">
              <w:rPr>
                <w:b w:val="0"/>
                <w:sz w:val="20"/>
                <w:szCs w:val="20"/>
              </w:rPr>
              <w:t>1</w:t>
            </w:r>
            <w:r w:rsidRPr="002436E8">
              <w:rPr>
                <w:b w:val="0"/>
                <w:sz w:val="20"/>
                <w:szCs w:val="20"/>
              </w:rPr>
              <w:t>-1</w:t>
            </w:r>
            <w:r w:rsidR="00982724" w:rsidRPr="002436E8">
              <w:rPr>
                <w:b w:val="0"/>
                <w:sz w:val="20"/>
                <w:szCs w:val="20"/>
              </w:rPr>
              <w:t>3</w:t>
            </w:r>
            <w:r w:rsidRPr="002436E8">
              <w:rPr>
                <w:b w:val="0"/>
                <w:sz w:val="20"/>
                <w:szCs w:val="20"/>
              </w:rPr>
              <w:t>%)</w:t>
            </w:r>
            <w:r w:rsidR="00322E02" w:rsidRPr="002436E8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3666" w:rsidRPr="00DC5CF0" w:rsidRDefault="00AA5EBD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</w:tr>
      <w:tr w:rsidR="00653666" w:rsidRPr="00C82405" w:rsidTr="00FD0792">
        <w:tc>
          <w:tcPr>
            <w:tcW w:w="6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3666" w:rsidRPr="002436E8" w:rsidRDefault="00653666" w:rsidP="00FF7460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436E8">
              <w:rPr>
                <w:b w:val="0"/>
                <w:sz w:val="20"/>
                <w:szCs w:val="20"/>
              </w:rPr>
              <w:t>O</w:t>
            </w:r>
            <w:r w:rsidR="009150B2" w:rsidRPr="002436E8">
              <w:rPr>
                <w:b w:val="0"/>
                <w:sz w:val="20"/>
                <w:szCs w:val="20"/>
              </w:rPr>
              <w:t>kresy s podílem osob starších 60</w:t>
            </w:r>
            <w:r w:rsidRPr="002436E8">
              <w:rPr>
                <w:b w:val="0"/>
                <w:sz w:val="20"/>
                <w:szCs w:val="20"/>
              </w:rPr>
              <w:t xml:space="preserve"> </w:t>
            </w:r>
            <w:r w:rsidR="00982724" w:rsidRPr="002436E8">
              <w:rPr>
                <w:b w:val="0"/>
                <w:sz w:val="20"/>
                <w:szCs w:val="20"/>
              </w:rPr>
              <w:t xml:space="preserve">a zároveň mladších 70 </w:t>
            </w:r>
            <w:r w:rsidRPr="002436E8">
              <w:rPr>
                <w:b w:val="0"/>
                <w:sz w:val="20"/>
                <w:szCs w:val="20"/>
              </w:rPr>
              <w:t xml:space="preserve">let na celkovém počtu obyvatel okresu nižším nebo rovným </w:t>
            </w:r>
            <w:r w:rsidR="00A870B0">
              <w:rPr>
                <w:b w:val="0"/>
                <w:sz w:val="20"/>
                <w:szCs w:val="20"/>
              </w:rPr>
              <w:t>12,</w:t>
            </w:r>
            <w:r w:rsidR="00FF7460">
              <w:rPr>
                <w:b w:val="0"/>
                <w:sz w:val="20"/>
                <w:szCs w:val="20"/>
              </w:rPr>
              <w:t>0</w:t>
            </w:r>
            <w:r w:rsidRPr="002436E8">
              <w:rPr>
                <w:b w:val="0"/>
                <w:sz w:val="20"/>
                <w:szCs w:val="20"/>
              </w:rPr>
              <w:t xml:space="preserve"> % (tj. hodnoty podílu do </w:t>
            </w:r>
            <w:r w:rsidR="00A870B0">
              <w:rPr>
                <w:b w:val="0"/>
                <w:sz w:val="20"/>
                <w:szCs w:val="20"/>
              </w:rPr>
              <w:t>12,</w:t>
            </w:r>
            <w:r w:rsidR="00FF7460">
              <w:rPr>
                <w:b w:val="0"/>
                <w:sz w:val="20"/>
                <w:szCs w:val="20"/>
              </w:rPr>
              <w:t>0</w:t>
            </w:r>
            <w:bookmarkStart w:id="0" w:name="_GoBack"/>
            <w:bookmarkEnd w:id="0"/>
            <w:r w:rsidRPr="002436E8">
              <w:rPr>
                <w:b w:val="0"/>
                <w:sz w:val="20"/>
                <w:szCs w:val="20"/>
              </w:rPr>
              <w:t xml:space="preserve"> % včetně)</w:t>
            </w:r>
            <w:r w:rsidR="00322E02" w:rsidRPr="002436E8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3666" w:rsidRPr="00DC5CF0" w:rsidRDefault="00BC1256" w:rsidP="00AE45A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0</w:t>
            </w:r>
          </w:p>
        </w:tc>
      </w:tr>
      <w:tr w:rsidR="00F240DF" w:rsidRPr="00C82405" w:rsidTr="00FD0792">
        <w:trPr>
          <w:trHeight w:val="798"/>
        </w:trPr>
        <w:tc>
          <w:tcPr>
            <w:tcW w:w="6833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0DF" w:rsidRPr="002436E8" w:rsidRDefault="00E92A67" w:rsidP="00AE45A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2436E8">
              <w:rPr>
                <w:b w:val="0"/>
                <w:sz w:val="20"/>
                <w:szCs w:val="20"/>
              </w:rPr>
              <w:t xml:space="preserve">Podklad správce </w:t>
            </w:r>
          </w:p>
        </w:tc>
        <w:tc>
          <w:tcPr>
            <w:tcW w:w="2551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3EB3" w:rsidRPr="00DC5CF0" w:rsidRDefault="004D312A" w:rsidP="00A04BCD">
            <w:pPr>
              <w:rPr>
                <w:rFonts w:ascii="Arial" w:hAnsi="Arial" w:cs="Arial"/>
              </w:rPr>
            </w:pPr>
            <w:r w:rsidRPr="00DC5CF0">
              <w:rPr>
                <w:rFonts w:ascii="Arial" w:hAnsi="Arial" w:cs="Arial"/>
              </w:rPr>
              <w:t>s</w:t>
            </w:r>
            <w:r w:rsidR="00BC6CF0" w:rsidRPr="00DC5CF0">
              <w:rPr>
                <w:rFonts w:ascii="Arial" w:hAnsi="Arial" w:cs="Arial"/>
              </w:rPr>
              <w:t>tatistické údaje</w:t>
            </w:r>
            <w:r w:rsidR="006B197C" w:rsidRPr="00DC5CF0">
              <w:rPr>
                <w:rFonts w:ascii="Arial" w:hAnsi="Arial" w:cs="Arial"/>
              </w:rPr>
              <w:t xml:space="preserve"> z ČSÚ o věkovém složení obyvatel k 31. 12. </w:t>
            </w:r>
            <w:r w:rsidR="00155E5C" w:rsidRPr="00DC5CF0">
              <w:rPr>
                <w:rFonts w:ascii="Arial" w:hAnsi="Arial" w:cs="Arial"/>
              </w:rPr>
              <w:t>20</w:t>
            </w:r>
            <w:r w:rsidR="00155E5C" w:rsidRPr="00A04BCD">
              <w:rPr>
                <w:rFonts w:ascii="Arial" w:hAnsi="Arial" w:cs="Arial"/>
              </w:rPr>
              <w:t>1</w:t>
            </w:r>
            <w:r w:rsidR="00A04BCD" w:rsidRPr="00A04BCD">
              <w:rPr>
                <w:rFonts w:ascii="Arial" w:hAnsi="Arial" w:cs="Arial"/>
              </w:rPr>
              <w:t>8</w:t>
            </w:r>
          </w:p>
        </w:tc>
      </w:tr>
    </w:tbl>
    <w:p w:rsidR="00BF6735" w:rsidRDefault="00BF6735" w:rsidP="0007712F">
      <w:pPr>
        <w:ind w:left="5400"/>
        <w:rPr>
          <w:sz w:val="24"/>
          <w:szCs w:val="24"/>
        </w:rPr>
      </w:pPr>
    </w:p>
    <w:p w:rsidR="00F06D43" w:rsidRDefault="00F06D43" w:rsidP="0007712F">
      <w:pPr>
        <w:ind w:left="5400"/>
        <w:rPr>
          <w:sz w:val="24"/>
          <w:szCs w:val="24"/>
        </w:rPr>
      </w:pPr>
    </w:p>
    <w:p w:rsidR="00FD0792" w:rsidRDefault="00FD0792" w:rsidP="0007712F">
      <w:pPr>
        <w:ind w:left="5400"/>
        <w:rPr>
          <w:sz w:val="24"/>
          <w:szCs w:val="24"/>
        </w:rPr>
      </w:pPr>
    </w:p>
    <w:p w:rsidR="00FD0792" w:rsidRPr="00E976B5" w:rsidRDefault="00FD0792" w:rsidP="0007712F">
      <w:pPr>
        <w:ind w:left="5400"/>
        <w:rPr>
          <w:sz w:val="24"/>
          <w:szCs w:val="24"/>
        </w:rPr>
      </w:pPr>
    </w:p>
    <w:tbl>
      <w:tblPr>
        <w:tblW w:w="935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0E5AEB" w:rsidRPr="00C82405" w:rsidTr="00AE45A9">
        <w:tc>
          <w:tcPr>
            <w:tcW w:w="9356" w:type="dxa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5AEB" w:rsidRPr="00F94D9B" w:rsidRDefault="00DC42BE" w:rsidP="00745F5E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righ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E5AEB" w:rsidRPr="00F94D9B">
              <w:rPr>
                <w:sz w:val="28"/>
                <w:szCs w:val="28"/>
              </w:rPr>
              <w:t>Občanská vybavenost obce</w:t>
            </w:r>
          </w:p>
        </w:tc>
      </w:tr>
      <w:tr w:rsidR="000E5AEB" w:rsidRPr="00C82405" w:rsidTr="00AE45A9">
        <w:tc>
          <w:tcPr>
            <w:tcW w:w="6379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EB" w:rsidRPr="00DC5CF0" w:rsidRDefault="000E5AEB" w:rsidP="00F85B70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Zvýhodněny budou obce, které mají vyšší občanskou vybavenost</w:t>
            </w:r>
            <w:r w:rsidR="000954D5" w:rsidRPr="00DC5CF0">
              <w:rPr>
                <w:b w:val="0"/>
                <w:i/>
                <w:sz w:val="20"/>
                <w:szCs w:val="20"/>
              </w:rPr>
              <w:t>, dostupnost zdravotních služeb</w:t>
            </w:r>
            <w:r w:rsidR="00465544">
              <w:rPr>
                <w:b w:val="0"/>
                <w:i/>
                <w:sz w:val="20"/>
                <w:szCs w:val="20"/>
              </w:rPr>
              <w:t xml:space="preserve"> </w:t>
            </w:r>
            <w:r w:rsidR="00E475A2">
              <w:rPr>
                <w:b w:val="0"/>
                <w:i/>
                <w:sz w:val="20"/>
                <w:szCs w:val="20"/>
              </w:rPr>
              <w:t xml:space="preserve">a </w:t>
            </w:r>
            <w:r w:rsidR="00465544">
              <w:rPr>
                <w:b w:val="0"/>
                <w:i/>
                <w:sz w:val="20"/>
                <w:szCs w:val="20"/>
              </w:rPr>
              <w:t>to přímo v obci nebo místní části (pokud</w:t>
            </w:r>
            <w:r w:rsidR="00F85B70">
              <w:rPr>
                <w:b w:val="0"/>
                <w:i/>
                <w:sz w:val="20"/>
                <w:szCs w:val="20"/>
              </w:rPr>
              <w:t xml:space="preserve"> tato</w:t>
            </w:r>
            <w:r w:rsidR="00465544">
              <w:rPr>
                <w:b w:val="0"/>
                <w:i/>
                <w:sz w:val="20"/>
                <w:szCs w:val="20"/>
              </w:rPr>
              <w:t xml:space="preserve"> přímo nenavazuj</w:t>
            </w:r>
            <w:r w:rsidR="00F85B70">
              <w:rPr>
                <w:b w:val="0"/>
                <w:i/>
                <w:sz w:val="20"/>
                <w:szCs w:val="20"/>
              </w:rPr>
              <w:t>e</w:t>
            </w:r>
            <w:r w:rsidR="00465544">
              <w:rPr>
                <w:b w:val="0"/>
                <w:i/>
                <w:sz w:val="20"/>
                <w:szCs w:val="20"/>
              </w:rPr>
              <w:t xml:space="preserve"> na obec</w:t>
            </w:r>
            <w:r w:rsidR="00F85B70">
              <w:rPr>
                <w:b w:val="0"/>
                <w:i/>
                <w:sz w:val="20"/>
                <w:szCs w:val="20"/>
              </w:rPr>
              <w:t xml:space="preserve"> a je v ní KODUS umístěn</w:t>
            </w:r>
            <w:r w:rsidR="00465544">
              <w:rPr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EB" w:rsidRPr="00DC5CF0" w:rsidRDefault="00BC1256" w:rsidP="008F2F68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3012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>m</w:t>
            </w:r>
            <w:r w:rsidR="000E5AEB" w:rsidRPr="00DC5CF0">
              <w:rPr>
                <w:b w:val="0"/>
                <w:i/>
                <w:sz w:val="20"/>
                <w:szCs w:val="20"/>
              </w:rPr>
              <w:t xml:space="preserve">ax. počet bodů </w:t>
            </w:r>
            <w:r w:rsidR="00B4246F" w:rsidRPr="00DC5CF0">
              <w:rPr>
                <w:i/>
                <w:sz w:val="20"/>
                <w:szCs w:val="20"/>
              </w:rPr>
              <w:t>1</w:t>
            </w:r>
            <w:r w:rsidR="005C01C9" w:rsidRPr="00DC5CF0">
              <w:rPr>
                <w:i/>
                <w:sz w:val="20"/>
                <w:szCs w:val="20"/>
              </w:rPr>
              <w:t>5</w:t>
            </w:r>
          </w:p>
        </w:tc>
      </w:tr>
      <w:tr w:rsidR="00590B81" w:rsidRPr="00C82405" w:rsidTr="00AE45A9">
        <w:trPr>
          <w:trHeight w:val="769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B81" w:rsidRPr="00DC5CF0" w:rsidRDefault="00590B81" w:rsidP="008B7DFC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Pošta, obchod</w:t>
            </w:r>
            <w:r w:rsidR="008B7DFC" w:rsidRPr="00DC5CF0">
              <w:rPr>
                <w:b w:val="0"/>
                <w:sz w:val="20"/>
                <w:szCs w:val="20"/>
              </w:rPr>
              <w:t xml:space="preserve"> v</w:t>
            </w:r>
            <w:r w:rsidR="00B4246F" w:rsidRPr="00DC5CF0">
              <w:rPr>
                <w:b w:val="0"/>
                <w:sz w:val="20"/>
                <w:szCs w:val="20"/>
              </w:rPr>
              <w:t> </w:t>
            </w:r>
            <w:r w:rsidR="008B7DFC" w:rsidRPr="00DC5CF0">
              <w:rPr>
                <w:b w:val="0"/>
                <w:sz w:val="20"/>
                <w:szCs w:val="20"/>
              </w:rPr>
              <w:t>obci</w:t>
            </w:r>
            <w:r w:rsidR="00B4246F" w:rsidRPr="00DC5CF0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B81" w:rsidRPr="00DC5CF0" w:rsidRDefault="00590B81" w:rsidP="009A777C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Za každý z uvedených příkladů získá žadatel </w:t>
            </w:r>
            <w:r w:rsidR="00A11709" w:rsidRPr="00DC5CF0">
              <w:rPr>
                <w:b w:val="0"/>
                <w:sz w:val="20"/>
                <w:szCs w:val="20"/>
              </w:rPr>
              <w:t>5</w:t>
            </w:r>
            <w:r w:rsidR="00BB5761" w:rsidRPr="00DC5CF0">
              <w:rPr>
                <w:b w:val="0"/>
                <w:sz w:val="20"/>
                <w:szCs w:val="20"/>
              </w:rPr>
              <w:t xml:space="preserve"> </w:t>
            </w:r>
            <w:r w:rsidRPr="00DC5CF0">
              <w:rPr>
                <w:b w:val="0"/>
                <w:sz w:val="20"/>
                <w:szCs w:val="20"/>
              </w:rPr>
              <w:t>bod</w:t>
            </w:r>
            <w:r w:rsidR="00A11709" w:rsidRPr="00DC5CF0">
              <w:rPr>
                <w:b w:val="0"/>
                <w:sz w:val="20"/>
                <w:szCs w:val="20"/>
              </w:rPr>
              <w:t>ů</w:t>
            </w:r>
            <w:r w:rsidR="006E3D25" w:rsidRPr="00DC5CF0">
              <w:rPr>
                <w:b w:val="0"/>
                <w:sz w:val="20"/>
                <w:szCs w:val="20"/>
              </w:rPr>
              <w:t>.</w:t>
            </w:r>
          </w:p>
          <w:p w:rsidR="00590B81" w:rsidRPr="00DC5CF0" w:rsidRDefault="00590B81" w:rsidP="009A777C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Pro získání stanovených bodů stačí splnit jednu z možností uvedenou v</w:t>
            </w:r>
            <w:r w:rsidR="006E3D25" w:rsidRPr="00DC5CF0">
              <w:rPr>
                <w:b w:val="0"/>
                <w:sz w:val="20"/>
                <w:szCs w:val="20"/>
              </w:rPr>
              <w:t> </w:t>
            </w:r>
            <w:r w:rsidRPr="00DC5CF0">
              <w:rPr>
                <w:b w:val="0"/>
                <w:sz w:val="20"/>
                <w:szCs w:val="20"/>
              </w:rPr>
              <w:t>řádku.</w:t>
            </w:r>
          </w:p>
        </w:tc>
      </w:tr>
      <w:tr w:rsidR="00590B81" w:rsidRPr="00C82405" w:rsidTr="00AE45A9">
        <w:trPr>
          <w:trHeight w:val="6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B81" w:rsidRPr="00DC5CF0" w:rsidRDefault="00B4246F" w:rsidP="00B4246F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D</w:t>
            </w:r>
            <w:r w:rsidR="00590B81" w:rsidRPr="00DC5CF0">
              <w:rPr>
                <w:b w:val="0"/>
                <w:sz w:val="20"/>
                <w:szCs w:val="20"/>
              </w:rPr>
              <w:t>ostupnost pracoviště zdravotní služby v obci (nemocnice</w:t>
            </w:r>
            <w:r w:rsidR="008B7DFC" w:rsidRPr="00DC5CF0">
              <w:rPr>
                <w:b w:val="0"/>
                <w:sz w:val="20"/>
                <w:szCs w:val="20"/>
              </w:rPr>
              <w:t xml:space="preserve"> </w:t>
            </w:r>
            <w:r w:rsidRPr="00DC5CF0">
              <w:rPr>
                <w:b w:val="0"/>
                <w:sz w:val="20"/>
                <w:szCs w:val="20"/>
              </w:rPr>
              <w:t xml:space="preserve">/ </w:t>
            </w:r>
            <w:r w:rsidR="00590B81" w:rsidRPr="00DC5CF0">
              <w:rPr>
                <w:b w:val="0"/>
                <w:sz w:val="20"/>
                <w:szCs w:val="20"/>
              </w:rPr>
              <w:t>poliklinika</w:t>
            </w:r>
            <w:r w:rsidR="008B7DFC" w:rsidRPr="00DC5CF0">
              <w:rPr>
                <w:b w:val="0"/>
                <w:sz w:val="20"/>
                <w:szCs w:val="20"/>
              </w:rPr>
              <w:t xml:space="preserve"> </w:t>
            </w:r>
            <w:r w:rsidRPr="00DC5CF0">
              <w:rPr>
                <w:b w:val="0"/>
                <w:sz w:val="20"/>
                <w:szCs w:val="20"/>
              </w:rPr>
              <w:t>/ ordinace</w:t>
            </w:r>
            <w:r w:rsidR="005C01C9" w:rsidRPr="00DC5CF0">
              <w:rPr>
                <w:b w:val="0"/>
                <w:sz w:val="20"/>
                <w:szCs w:val="20"/>
              </w:rPr>
              <w:t xml:space="preserve"> praktického lékaře</w:t>
            </w:r>
            <w:r w:rsidRPr="00DC5CF0">
              <w:rPr>
                <w:b w:val="0"/>
                <w:sz w:val="20"/>
                <w:szCs w:val="20"/>
              </w:rPr>
              <w:t>).</w:t>
            </w:r>
          </w:p>
        </w:tc>
        <w:tc>
          <w:tcPr>
            <w:tcW w:w="29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B81" w:rsidRPr="00DC5CF0" w:rsidRDefault="00590B81" w:rsidP="00DC42BE">
            <w:pPr>
              <w:pStyle w:val="Nadpis1"/>
              <w:keepNext w:val="0"/>
              <w:tabs>
                <w:tab w:val="clear" w:pos="1495"/>
                <w:tab w:val="num" w:pos="0"/>
                <w:tab w:val="num" w:pos="1560"/>
              </w:tabs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590B81" w:rsidRPr="00C82405" w:rsidTr="00AE45A9">
        <w:trPr>
          <w:trHeight w:val="682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B81" w:rsidRPr="00DC5CF0" w:rsidRDefault="00FF49C8" w:rsidP="00B4246F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Vyšší občanská vybavenost, pracoviště státní správy v místě nebo </w:t>
            </w:r>
            <w:r w:rsidR="00CE086D" w:rsidRPr="00DC5CF0">
              <w:rPr>
                <w:b w:val="0"/>
                <w:sz w:val="20"/>
                <w:szCs w:val="20"/>
              </w:rPr>
              <w:t>dostupné alespoň 6 spoji veřejné dopravy denně</w:t>
            </w:r>
            <w:r w:rsidR="00B4246F" w:rsidRPr="00DC5CF0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B81" w:rsidRPr="00DC5CF0" w:rsidRDefault="00590B81" w:rsidP="00DC42BE">
            <w:pPr>
              <w:pStyle w:val="Nadpis1"/>
              <w:keepNext w:val="0"/>
              <w:tabs>
                <w:tab w:val="clear" w:pos="1495"/>
                <w:tab w:val="num" w:pos="0"/>
                <w:tab w:val="num" w:pos="1560"/>
              </w:tabs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E5AEB" w:rsidRPr="00C82405" w:rsidTr="00AE45A9">
        <w:trPr>
          <w:trHeight w:val="586"/>
        </w:trPr>
        <w:tc>
          <w:tcPr>
            <w:tcW w:w="6379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EB" w:rsidRPr="00DC5CF0" w:rsidRDefault="000E5AEB" w:rsidP="00DC42B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Doklad </w:t>
            </w:r>
          </w:p>
        </w:tc>
        <w:tc>
          <w:tcPr>
            <w:tcW w:w="2977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EB" w:rsidRPr="00DC5CF0" w:rsidRDefault="00B4246F" w:rsidP="00B4246F">
            <w:pPr>
              <w:tabs>
                <w:tab w:val="num" w:pos="0"/>
              </w:tabs>
              <w:rPr>
                <w:rFonts w:ascii="Arial" w:hAnsi="Arial" w:cs="Arial"/>
              </w:rPr>
            </w:pPr>
            <w:r w:rsidRPr="00DC5CF0">
              <w:rPr>
                <w:rFonts w:ascii="Arial" w:hAnsi="Arial" w:cs="Arial"/>
              </w:rPr>
              <w:t>p</w:t>
            </w:r>
            <w:r w:rsidR="00BC3379" w:rsidRPr="00DC5CF0">
              <w:rPr>
                <w:rFonts w:ascii="Arial" w:hAnsi="Arial" w:cs="Arial"/>
              </w:rPr>
              <w:t>říloh</w:t>
            </w:r>
            <w:r w:rsidRPr="00DC5CF0">
              <w:rPr>
                <w:rFonts w:ascii="Arial" w:hAnsi="Arial" w:cs="Arial"/>
              </w:rPr>
              <w:t>y žádosti</w:t>
            </w:r>
          </w:p>
        </w:tc>
      </w:tr>
    </w:tbl>
    <w:p w:rsidR="00AE45A9" w:rsidRDefault="00AE45A9" w:rsidP="00DC42BE">
      <w:pPr>
        <w:tabs>
          <w:tab w:val="num" w:pos="0"/>
        </w:tabs>
        <w:rPr>
          <w:sz w:val="24"/>
          <w:szCs w:val="24"/>
        </w:rPr>
      </w:pPr>
    </w:p>
    <w:p w:rsidR="00AE45A9" w:rsidRDefault="00AE45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56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521"/>
        <w:gridCol w:w="2835"/>
      </w:tblGrid>
      <w:tr w:rsidR="00DC5CF0" w:rsidRPr="00681E85" w:rsidTr="00AE45A9">
        <w:tc>
          <w:tcPr>
            <w:tcW w:w="9356" w:type="dxa"/>
            <w:gridSpan w:val="2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C5CF0" w:rsidRPr="00681E85" w:rsidRDefault="00DC5CF0" w:rsidP="00827C23">
            <w:pPr>
              <w:tabs>
                <w:tab w:val="right" w:pos="8988"/>
              </w:tabs>
              <w:ind w:left="567" w:hanging="567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4"/>
                <w:szCs w:val="22"/>
              </w:rPr>
            </w:pPr>
            <w:r w:rsidRPr="00681E85">
              <w:rPr>
                <w:rFonts w:ascii="Arial" w:hAnsi="Arial" w:cs="Arial"/>
                <w:b/>
                <w:bCs/>
                <w:kern w:val="32"/>
                <w:sz w:val="28"/>
                <w:szCs w:val="28"/>
              </w:rPr>
              <w:lastRenderedPageBreak/>
              <w:t xml:space="preserve">6. </w:t>
            </w:r>
            <w:r w:rsidR="0016670E">
              <w:rPr>
                <w:rFonts w:ascii="Arial" w:hAnsi="Arial" w:cs="Arial"/>
                <w:b/>
                <w:bCs/>
                <w:kern w:val="32"/>
                <w:sz w:val="28"/>
                <w:szCs w:val="28"/>
              </w:rPr>
              <w:t>P</w:t>
            </w:r>
            <w:r w:rsidR="00F85B70">
              <w:rPr>
                <w:rFonts w:ascii="Arial" w:hAnsi="Arial" w:cs="Arial"/>
                <w:b/>
                <w:bCs/>
                <w:kern w:val="32"/>
                <w:sz w:val="28"/>
                <w:szCs w:val="28"/>
              </w:rPr>
              <w:t>rojektová dokumentace</w:t>
            </w:r>
            <w:r w:rsidRPr="00681E85">
              <w:rPr>
                <w:rFonts w:ascii="Arial" w:hAnsi="Arial" w:cs="Arial"/>
                <w:b/>
                <w:bCs/>
                <w:kern w:val="32"/>
                <w:sz w:val="24"/>
                <w:szCs w:val="22"/>
              </w:rPr>
              <w:tab/>
            </w:r>
          </w:p>
        </w:tc>
      </w:tr>
      <w:tr w:rsidR="00827C23" w:rsidRPr="00681E85" w:rsidTr="00AE45A9">
        <w:trPr>
          <w:trHeight w:val="469"/>
        </w:trPr>
        <w:tc>
          <w:tcPr>
            <w:tcW w:w="6521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7C23" w:rsidRDefault="00827C23" w:rsidP="00827C23">
            <w:pPr>
              <w:outlineLvl w:val="0"/>
              <w:rPr>
                <w:rFonts w:ascii="Arial" w:hAnsi="Arial" w:cs="Arial"/>
                <w:b/>
                <w:bCs/>
                <w:i/>
                <w:kern w:val="32"/>
              </w:rPr>
            </w:pPr>
            <w:r>
              <w:rPr>
                <w:rFonts w:ascii="Arial" w:hAnsi="Arial" w:cs="Arial"/>
                <w:b/>
                <w:bCs/>
                <w:i/>
                <w:kern w:val="32"/>
              </w:rPr>
              <w:t>Příprava akce</w:t>
            </w:r>
          </w:p>
          <w:p w:rsidR="00827C23" w:rsidRPr="00F46BBB" w:rsidRDefault="00827C23" w:rsidP="00827C23">
            <w:pPr>
              <w:outlineLvl w:val="0"/>
              <w:rPr>
                <w:rFonts w:ascii="Arial" w:hAnsi="Arial" w:cs="Arial"/>
                <w:bCs/>
                <w:i/>
                <w:kern w:val="32"/>
              </w:rPr>
            </w:pPr>
            <w:r w:rsidRPr="002F0678">
              <w:rPr>
                <w:rFonts w:ascii="Arial" w:hAnsi="Arial" w:cs="Arial"/>
                <w:bCs/>
                <w:i/>
                <w:kern w:val="32"/>
              </w:rPr>
              <w:t>Hodnotí se připravenost akce k realizaci a čerpání dotačních prostředků</w:t>
            </w:r>
            <w:r>
              <w:rPr>
                <w:rFonts w:ascii="Arial" w:hAnsi="Arial" w:cs="Arial"/>
                <w:bCs/>
                <w:i/>
                <w:kern w:val="32"/>
              </w:rPr>
              <w:t xml:space="preserve"> v okamžiku předložení žádosti.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27C23" w:rsidRPr="002436E8" w:rsidRDefault="00FD0792" w:rsidP="00827C23">
            <w:pPr>
              <w:jc w:val="center"/>
              <w:outlineLvl w:val="0"/>
              <w:rPr>
                <w:rFonts w:ascii="Arial" w:hAnsi="Arial" w:cs="Arial"/>
                <w:b/>
                <w:bCs/>
                <w:i/>
                <w:kern w:val="32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827C23" w:rsidRPr="002436E8">
              <w:rPr>
                <w:rFonts w:ascii="Arial" w:hAnsi="Arial" w:cs="Arial"/>
                <w:i/>
              </w:rPr>
              <w:t>ax. počet bodů</w:t>
            </w:r>
            <w:r w:rsidR="00827C23" w:rsidRPr="002436E8">
              <w:rPr>
                <w:rFonts w:ascii="Arial" w:hAnsi="Arial" w:cs="Arial"/>
                <w:b/>
                <w:i/>
              </w:rPr>
              <w:t xml:space="preserve"> 20</w:t>
            </w:r>
          </w:p>
        </w:tc>
      </w:tr>
      <w:tr w:rsidR="00827C23" w:rsidRPr="00681E85" w:rsidTr="00AE45A9">
        <w:trPr>
          <w:trHeight w:val="469"/>
        </w:trPr>
        <w:tc>
          <w:tcPr>
            <w:tcW w:w="65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7C23" w:rsidRPr="00681E85" w:rsidRDefault="00827C23" w:rsidP="00827C23">
            <w:pPr>
              <w:ind w:left="851"/>
            </w:pPr>
            <w:r w:rsidRPr="00681E85">
              <w:rPr>
                <w:rFonts w:ascii="Arial" w:hAnsi="Arial" w:cs="Arial"/>
                <w:bCs/>
                <w:kern w:val="32"/>
              </w:rPr>
              <w:t>na akce je vydáno povolení stavby a žadatel má zpracovanou projektovou dokumentaci pro provedení stavby</w:t>
            </w:r>
          </w:p>
        </w:tc>
        <w:tc>
          <w:tcPr>
            <w:tcW w:w="283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7C23" w:rsidRPr="00BE0A98" w:rsidRDefault="00827C23" w:rsidP="00827C23">
            <w:pPr>
              <w:ind w:left="57"/>
              <w:jc w:val="center"/>
              <w:outlineLvl w:val="0"/>
              <w:rPr>
                <w:rFonts w:ascii="Arial" w:hAnsi="Arial" w:cs="Arial"/>
                <w:bCs/>
                <w:kern w:val="32"/>
                <w:szCs w:val="22"/>
              </w:rPr>
            </w:pPr>
            <w:r w:rsidRPr="00BE0A98">
              <w:rPr>
                <w:rFonts w:ascii="Arial" w:hAnsi="Arial" w:cs="Arial"/>
                <w:bCs/>
                <w:kern w:val="32"/>
                <w:szCs w:val="22"/>
              </w:rPr>
              <w:t>20</w:t>
            </w:r>
          </w:p>
        </w:tc>
      </w:tr>
      <w:tr w:rsidR="00827C23" w:rsidRPr="00681E85" w:rsidTr="00AE45A9">
        <w:trPr>
          <w:trHeight w:val="217"/>
        </w:trPr>
        <w:tc>
          <w:tcPr>
            <w:tcW w:w="65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7C23" w:rsidRPr="00681E85" w:rsidRDefault="00827C23" w:rsidP="00827C23">
            <w:pPr>
              <w:ind w:left="851"/>
              <w:outlineLvl w:val="0"/>
              <w:rPr>
                <w:rFonts w:ascii="Arial" w:hAnsi="Arial" w:cs="Arial"/>
                <w:bCs/>
                <w:kern w:val="32"/>
                <w:szCs w:val="22"/>
              </w:rPr>
            </w:pPr>
            <w:r w:rsidRPr="00681E85">
              <w:rPr>
                <w:rFonts w:ascii="Arial" w:hAnsi="Arial" w:cs="Arial"/>
                <w:bCs/>
                <w:kern w:val="32"/>
                <w:szCs w:val="32"/>
              </w:rPr>
              <w:t>na akci je vydáno pravomocné povolení stavby</w:t>
            </w:r>
          </w:p>
        </w:tc>
        <w:tc>
          <w:tcPr>
            <w:tcW w:w="283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7C23" w:rsidRPr="00681E85" w:rsidRDefault="00827C23" w:rsidP="00827C23">
            <w:pPr>
              <w:ind w:left="57"/>
              <w:jc w:val="center"/>
              <w:outlineLvl w:val="0"/>
              <w:rPr>
                <w:rFonts w:ascii="Arial" w:hAnsi="Arial" w:cs="Arial"/>
                <w:bCs/>
                <w:kern w:val="32"/>
                <w:szCs w:val="22"/>
              </w:rPr>
            </w:pPr>
            <w:r>
              <w:rPr>
                <w:rFonts w:ascii="Arial" w:hAnsi="Arial" w:cs="Arial"/>
                <w:bCs/>
                <w:kern w:val="32"/>
                <w:szCs w:val="22"/>
              </w:rPr>
              <w:t>10</w:t>
            </w:r>
          </w:p>
        </w:tc>
      </w:tr>
      <w:tr w:rsidR="00827C23" w:rsidRPr="00681E85" w:rsidTr="00AE45A9">
        <w:trPr>
          <w:trHeight w:val="95"/>
        </w:trPr>
        <w:tc>
          <w:tcPr>
            <w:tcW w:w="65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27C23" w:rsidRPr="00681E85" w:rsidRDefault="00827C23" w:rsidP="00827C23">
            <w:pPr>
              <w:ind w:left="851"/>
              <w:outlineLvl w:val="0"/>
              <w:rPr>
                <w:rFonts w:ascii="Arial" w:hAnsi="Arial" w:cs="Arial"/>
                <w:bCs/>
                <w:kern w:val="32"/>
                <w:szCs w:val="22"/>
              </w:rPr>
            </w:pPr>
            <w:r>
              <w:rPr>
                <w:rFonts w:ascii="Arial" w:hAnsi="Arial" w:cs="Arial"/>
                <w:bCs/>
                <w:kern w:val="32"/>
                <w:szCs w:val="32"/>
              </w:rPr>
              <w:t xml:space="preserve">na akci je </w:t>
            </w:r>
            <w:r w:rsidRPr="00681E85">
              <w:rPr>
                <w:rFonts w:ascii="Arial" w:hAnsi="Arial" w:cs="Arial"/>
                <w:bCs/>
                <w:kern w:val="32"/>
                <w:szCs w:val="32"/>
              </w:rPr>
              <w:t>vydáno nepravomocné povolení stavby</w:t>
            </w:r>
          </w:p>
        </w:tc>
        <w:tc>
          <w:tcPr>
            <w:tcW w:w="283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7C23" w:rsidRPr="00681E85" w:rsidRDefault="00827C23" w:rsidP="00827C23">
            <w:pPr>
              <w:ind w:left="57"/>
              <w:jc w:val="center"/>
              <w:outlineLvl w:val="0"/>
              <w:rPr>
                <w:rFonts w:ascii="Arial" w:hAnsi="Arial" w:cs="Arial"/>
                <w:bCs/>
                <w:kern w:val="32"/>
                <w:szCs w:val="22"/>
              </w:rPr>
            </w:pPr>
            <w:r>
              <w:rPr>
                <w:rFonts w:ascii="Arial" w:hAnsi="Arial" w:cs="Arial"/>
                <w:bCs/>
                <w:kern w:val="32"/>
                <w:szCs w:val="22"/>
              </w:rPr>
              <w:t>0</w:t>
            </w:r>
          </w:p>
        </w:tc>
      </w:tr>
      <w:tr w:rsidR="00827C23" w:rsidRPr="00681E85" w:rsidTr="00AE45A9">
        <w:trPr>
          <w:trHeight w:val="469"/>
        </w:trPr>
        <w:tc>
          <w:tcPr>
            <w:tcW w:w="65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7C23" w:rsidRPr="00681E85" w:rsidRDefault="00827C23" w:rsidP="00827C23">
            <w:pPr>
              <w:outlineLvl w:val="0"/>
              <w:rPr>
                <w:rFonts w:ascii="Arial" w:hAnsi="Arial" w:cs="Arial"/>
                <w:bCs/>
                <w:i/>
                <w:kern w:val="32"/>
              </w:rPr>
            </w:pPr>
            <w:r w:rsidRPr="00681E85">
              <w:rPr>
                <w:rFonts w:ascii="Arial" w:hAnsi="Arial" w:cs="Arial"/>
                <w:bCs/>
                <w:kern w:val="32"/>
              </w:rPr>
              <w:t>Doklad</w:t>
            </w:r>
          </w:p>
        </w:tc>
        <w:tc>
          <w:tcPr>
            <w:tcW w:w="2835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27C23" w:rsidRPr="00681E85" w:rsidRDefault="00827C23" w:rsidP="00827C23">
            <w:pPr>
              <w:tabs>
                <w:tab w:val="num" w:pos="0"/>
              </w:tabs>
              <w:rPr>
                <w:rFonts w:ascii="Arial" w:hAnsi="Arial" w:cs="Arial"/>
              </w:rPr>
            </w:pPr>
            <w:r w:rsidRPr="00681E85">
              <w:rPr>
                <w:rFonts w:ascii="Arial" w:hAnsi="Arial" w:cs="Arial"/>
              </w:rPr>
              <w:t>žádost</w:t>
            </w:r>
          </w:p>
        </w:tc>
      </w:tr>
    </w:tbl>
    <w:p w:rsidR="0006293F" w:rsidRDefault="0006293F" w:rsidP="00DC42BE">
      <w:pPr>
        <w:tabs>
          <w:tab w:val="num" w:pos="0"/>
        </w:tabs>
        <w:rPr>
          <w:rFonts w:ascii="Calibri" w:hAnsi="Calibri"/>
          <w:sz w:val="24"/>
          <w:szCs w:val="24"/>
        </w:rPr>
      </w:pPr>
    </w:p>
    <w:p w:rsidR="004533EF" w:rsidRDefault="004533EF" w:rsidP="00DC42BE">
      <w:pPr>
        <w:tabs>
          <w:tab w:val="num" w:pos="0"/>
        </w:tabs>
        <w:rPr>
          <w:sz w:val="24"/>
        </w:rPr>
      </w:pPr>
    </w:p>
    <w:tbl>
      <w:tblPr>
        <w:tblW w:w="935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1B2394" w:rsidRPr="00DC5CF0" w:rsidTr="00AE45A9">
        <w:tc>
          <w:tcPr>
            <w:tcW w:w="9356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B2394" w:rsidRPr="00DC5CF0" w:rsidRDefault="001B2394" w:rsidP="00B4246F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sz w:val="20"/>
                <w:szCs w:val="20"/>
              </w:rPr>
            </w:pPr>
            <w:r w:rsidRPr="00DC5CF0">
              <w:rPr>
                <w:sz w:val="20"/>
                <w:szCs w:val="20"/>
              </w:rPr>
              <w:t>Pořadí doručení žádosti</w:t>
            </w:r>
          </w:p>
        </w:tc>
      </w:tr>
      <w:tr w:rsidR="001B2394" w:rsidRPr="00DC5CF0" w:rsidTr="00AE45A9">
        <w:trPr>
          <w:trHeight w:val="763"/>
        </w:trPr>
        <w:tc>
          <w:tcPr>
            <w:tcW w:w="93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2394" w:rsidRPr="00DC5CF0" w:rsidRDefault="001B2394" w:rsidP="00BC3379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CF0">
              <w:rPr>
                <w:b w:val="0"/>
                <w:i/>
                <w:sz w:val="20"/>
                <w:szCs w:val="20"/>
              </w:rPr>
              <w:t xml:space="preserve">V případě, že </w:t>
            </w:r>
            <w:r w:rsidR="00445F2E" w:rsidRPr="00DC5CF0">
              <w:rPr>
                <w:b w:val="0"/>
                <w:i/>
                <w:sz w:val="20"/>
                <w:szCs w:val="20"/>
              </w:rPr>
              <w:t>více žádostí bude mít stejný počet bodů</w:t>
            </w:r>
            <w:r w:rsidRPr="00DC5CF0">
              <w:rPr>
                <w:b w:val="0"/>
                <w:i/>
                <w:sz w:val="20"/>
                <w:szCs w:val="20"/>
              </w:rPr>
              <w:t>, rozhodne při výběru datum</w:t>
            </w:r>
            <w:r w:rsidR="00E4367B" w:rsidRPr="00DC5CF0">
              <w:rPr>
                <w:b w:val="0"/>
                <w:i/>
                <w:sz w:val="20"/>
                <w:szCs w:val="20"/>
              </w:rPr>
              <w:t xml:space="preserve"> a hodina</w:t>
            </w:r>
            <w:r w:rsidRPr="00DC5CF0">
              <w:rPr>
                <w:b w:val="0"/>
                <w:i/>
                <w:sz w:val="20"/>
                <w:szCs w:val="20"/>
              </w:rPr>
              <w:t xml:space="preserve"> doručení žádosti na MMR.</w:t>
            </w:r>
          </w:p>
        </w:tc>
      </w:tr>
      <w:tr w:rsidR="001B2394" w:rsidRPr="00DC5CF0" w:rsidTr="00AE45A9">
        <w:trPr>
          <w:trHeight w:val="559"/>
        </w:trPr>
        <w:tc>
          <w:tcPr>
            <w:tcW w:w="5954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2394" w:rsidRPr="00DC5CF0" w:rsidRDefault="001B2394" w:rsidP="009A777C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 xml:space="preserve">Doklad </w:t>
            </w:r>
          </w:p>
        </w:tc>
        <w:tc>
          <w:tcPr>
            <w:tcW w:w="3402" w:type="dxa"/>
            <w:shd w:val="clear" w:color="auto" w:fill="E0E0E0"/>
          </w:tcPr>
          <w:p w:rsidR="001B2394" w:rsidRPr="00DC5CF0" w:rsidRDefault="0097689F" w:rsidP="009A777C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C5CF0">
              <w:rPr>
                <w:b w:val="0"/>
                <w:sz w:val="20"/>
                <w:szCs w:val="20"/>
              </w:rPr>
              <w:t>r</w:t>
            </w:r>
            <w:r w:rsidR="00B4246F" w:rsidRPr="00DC5CF0">
              <w:rPr>
                <w:b w:val="0"/>
                <w:sz w:val="20"/>
                <w:szCs w:val="20"/>
              </w:rPr>
              <w:t>azítko podatelny</w:t>
            </w:r>
          </w:p>
        </w:tc>
      </w:tr>
    </w:tbl>
    <w:p w:rsidR="004533EF" w:rsidRDefault="004533EF" w:rsidP="0007712F">
      <w:pPr>
        <w:rPr>
          <w:sz w:val="24"/>
        </w:rPr>
      </w:pPr>
    </w:p>
    <w:p w:rsidR="004533EF" w:rsidRDefault="004533EF" w:rsidP="0007712F">
      <w:pPr>
        <w:rPr>
          <w:sz w:val="24"/>
        </w:rPr>
      </w:pPr>
    </w:p>
    <w:p w:rsidR="008F6A2E" w:rsidRPr="008F6A2E" w:rsidRDefault="008F6A2E" w:rsidP="0007712F"/>
    <w:sectPr w:rsidR="008F6A2E" w:rsidRPr="008F6A2E" w:rsidSect="00A55852">
      <w:footerReference w:type="default" r:id="rId8"/>
      <w:headerReference w:type="first" r:id="rId9"/>
      <w:pgSz w:w="11906" w:h="16838" w:code="9"/>
      <w:pgMar w:top="1418" w:right="1418" w:bottom="1418" w:left="1418" w:header="1418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DD" w:rsidRDefault="005254DD" w:rsidP="002F514E">
      <w:r>
        <w:separator/>
      </w:r>
    </w:p>
  </w:endnote>
  <w:endnote w:type="continuationSeparator" w:id="0">
    <w:p w:rsidR="005254DD" w:rsidRDefault="005254DD" w:rsidP="002F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9B" w:rsidRPr="009A777C" w:rsidRDefault="00F94D9B">
    <w:pPr>
      <w:pStyle w:val="Zpat"/>
      <w:jc w:val="center"/>
      <w:rPr>
        <w:rFonts w:ascii="Arial" w:hAnsi="Arial" w:cs="Arial"/>
      </w:rPr>
    </w:pPr>
    <w:r w:rsidRPr="009A777C">
      <w:rPr>
        <w:rFonts w:ascii="Arial" w:hAnsi="Arial" w:cs="Arial"/>
      </w:rPr>
      <w:fldChar w:fldCharType="begin"/>
    </w:r>
    <w:r w:rsidRPr="009A777C">
      <w:rPr>
        <w:rFonts w:ascii="Arial" w:hAnsi="Arial" w:cs="Arial"/>
      </w:rPr>
      <w:instrText xml:space="preserve"> PAGE   \* MERGEFORMAT </w:instrText>
    </w:r>
    <w:r w:rsidRPr="009A777C">
      <w:rPr>
        <w:rFonts w:ascii="Arial" w:hAnsi="Arial" w:cs="Arial"/>
      </w:rPr>
      <w:fldChar w:fldCharType="separate"/>
    </w:r>
    <w:r w:rsidR="00FF7460">
      <w:rPr>
        <w:rFonts w:ascii="Arial" w:hAnsi="Arial" w:cs="Arial"/>
        <w:noProof/>
      </w:rPr>
      <w:t>4</w:t>
    </w:r>
    <w:r w:rsidRPr="009A777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DD" w:rsidRDefault="005254DD" w:rsidP="002F514E">
      <w:r>
        <w:separator/>
      </w:r>
    </w:p>
  </w:footnote>
  <w:footnote w:type="continuationSeparator" w:id="0">
    <w:p w:rsidR="005254DD" w:rsidRDefault="005254DD" w:rsidP="002F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52" w:rsidRDefault="00F97A77">
    <w:pPr>
      <w:pStyle w:val="Zhlav"/>
    </w:pPr>
    <w:r>
      <w:rPr>
        <w:noProof/>
      </w:rPr>
      <w:drawing>
        <wp:inline distT="0" distB="0" distL="0" distR="0" wp14:anchorId="0A33E267" wp14:editId="03814C68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0A1"/>
    <w:multiLevelType w:val="hybridMultilevel"/>
    <w:tmpl w:val="C94E2984"/>
    <w:lvl w:ilvl="0" w:tplc="A83C70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16E4"/>
    <w:multiLevelType w:val="hybridMultilevel"/>
    <w:tmpl w:val="9F00583C"/>
    <w:lvl w:ilvl="0" w:tplc="E82806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BC7"/>
    <w:multiLevelType w:val="hybridMultilevel"/>
    <w:tmpl w:val="F57E783E"/>
    <w:lvl w:ilvl="0" w:tplc="A5C023E2">
      <w:start w:val="1"/>
      <w:numFmt w:val="decimal"/>
      <w:pStyle w:val="Nadpis1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21365F1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cs="Times New Roman" w:hint="default"/>
        <w:b w:val="0"/>
      </w:rPr>
    </w:lvl>
    <w:lvl w:ilvl="2" w:tplc="97F079FC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F2D2A"/>
    <w:multiLevelType w:val="hybridMultilevel"/>
    <w:tmpl w:val="C78A7BBC"/>
    <w:lvl w:ilvl="0" w:tplc="F4C23CC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46DDE"/>
    <w:multiLevelType w:val="hybridMultilevel"/>
    <w:tmpl w:val="57B2ABE6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DBA"/>
    <w:multiLevelType w:val="hybridMultilevel"/>
    <w:tmpl w:val="6C1AB840"/>
    <w:lvl w:ilvl="0" w:tplc="7B700E0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41B10"/>
    <w:multiLevelType w:val="hybridMultilevel"/>
    <w:tmpl w:val="BC4C3374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A1B0F"/>
    <w:multiLevelType w:val="multilevel"/>
    <w:tmpl w:val="0736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304" w:hanging="1304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4648E"/>
    <w:multiLevelType w:val="hybridMultilevel"/>
    <w:tmpl w:val="C8C25776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7D64"/>
    <w:multiLevelType w:val="hybridMultilevel"/>
    <w:tmpl w:val="8330368A"/>
    <w:lvl w:ilvl="0" w:tplc="0C161A0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0518DD"/>
    <w:multiLevelType w:val="multilevel"/>
    <w:tmpl w:val="C0FA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E1020"/>
    <w:multiLevelType w:val="multilevel"/>
    <w:tmpl w:val="A5F4093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27F9E"/>
    <w:multiLevelType w:val="hybridMultilevel"/>
    <w:tmpl w:val="3B6C307E"/>
    <w:lvl w:ilvl="0" w:tplc="409AE968">
      <w:start w:val="1"/>
      <w:numFmt w:val="bullet"/>
      <w:lvlText w:val=""/>
      <w:lvlJc w:val="left"/>
      <w:pPr>
        <w:tabs>
          <w:tab w:val="num" w:pos="1635"/>
        </w:tabs>
        <w:ind w:left="1635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13" w15:restartNumberingAfterBreak="0">
    <w:nsid w:val="450168E9"/>
    <w:multiLevelType w:val="multilevel"/>
    <w:tmpl w:val="F1A8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589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83ADA"/>
    <w:multiLevelType w:val="multilevel"/>
    <w:tmpl w:val="C78A7BB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F0988"/>
    <w:multiLevelType w:val="hybridMultilevel"/>
    <w:tmpl w:val="BA2E262E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A4FBC"/>
    <w:multiLevelType w:val="hybridMultilevel"/>
    <w:tmpl w:val="6C7417C4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69CF"/>
    <w:multiLevelType w:val="hybridMultilevel"/>
    <w:tmpl w:val="D9B45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B3B60"/>
    <w:multiLevelType w:val="hybridMultilevel"/>
    <w:tmpl w:val="48F2F5FC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70EF5"/>
    <w:multiLevelType w:val="multilevel"/>
    <w:tmpl w:val="49CED9E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717F1F"/>
    <w:multiLevelType w:val="hybridMultilevel"/>
    <w:tmpl w:val="1BB42DC2"/>
    <w:lvl w:ilvl="0" w:tplc="0C161A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D477F"/>
    <w:multiLevelType w:val="hybridMultilevel"/>
    <w:tmpl w:val="A2AE698A"/>
    <w:lvl w:ilvl="0" w:tplc="409AE968">
      <w:start w:val="1"/>
      <w:numFmt w:val="bullet"/>
      <w:lvlText w:val=""/>
      <w:lvlJc w:val="left"/>
      <w:pPr>
        <w:tabs>
          <w:tab w:val="num" w:pos="1480"/>
        </w:tabs>
        <w:ind w:left="148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711A7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8"/>
  </w:num>
  <w:num w:numId="5">
    <w:abstractNumId w:val="18"/>
  </w:num>
  <w:num w:numId="6">
    <w:abstractNumId w:val="16"/>
  </w:num>
  <w:num w:numId="7">
    <w:abstractNumId w:val="6"/>
  </w:num>
  <w:num w:numId="8">
    <w:abstractNumId w:val="15"/>
  </w:num>
  <w:num w:numId="9">
    <w:abstractNumId w:val="4"/>
  </w:num>
  <w:num w:numId="10">
    <w:abstractNumId w:val="21"/>
  </w:num>
  <w:num w:numId="11">
    <w:abstractNumId w:val="20"/>
  </w:num>
  <w:num w:numId="12">
    <w:abstractNumId w:val="1"/>
  </w:num>
  <w:num w:numId="13">
    <w:abstractNumId w:val="9"/>
  </w:num>
  <w:num w:numId="14">
    <w:abstractNumId w:val="10"/>
  </w:num>
  <w:num w:numId="15">
    <w:abstractNumId w:val="13"/>
  </w:num>
  <w:num w:numId="16">
    <w:abstractNumId w:val="7"/>
  </w:num>
  <w:num w:numId="17">
    <w:abstractNumId w:val="12"/>
  </w:num>
  <w:num w:numId="18">
    <w:abstractNumId w:val="3"/>
  </w:num>
  <w:num w:numId="19">
    <w:abstractNumId w:val="11"/>
  </w:num>
  <w:num w:numId="20">
    <w:abstractNumId w:val="14"/>
  </w:num>
  <w:num w:numId="21">
    <w:abstractNumId w:val="0"/>
  </w:num>
  <w:num w:numId="22">
    <w:abstractNumId w:val="2"/>
    <w:lvlOverride w:ilvl="0">
      <w:startOverride w:val="5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77"/>
    <w:rsid w:val="0000043B"/>
    <w:rsid w:val="00003CEF"/>
    <w:rsid w:val="000063FA"/>
    <w:rsid w:val="00012D5B"/>
    <w:rsid w:val="0002668B"/>
    <w:rsid w:val="0003032F"/>
    <w:rsid w:val="00032463"/>
    <w:rsid w:val="00033DA5"/>
    <w:rsid w:val="0004365E"/>
    <w:rsid w:val="00043D82"/>
    <w:rsid w:val="00054318"/>
    <w:rsid w:val="00056A02"/>
    <w:rsid w:val="000628A2"/>
    <w:rsid w:val="0006293F"/>
    <w:rsid w:val="00072876"/>
    <w:rsid w:val="0007712F"/>
    <w:rsid w:val="00077B9B"/>
    <w:rsid w:val="00086D76"/>
    <w:rsid w:val="00087CA7"/>
    <w:rsid w:val="00090318"/>
    <w:rsid w:val="00094738"/>
    <w:rsid w:val="000954D5"/>
    <w:rsid w:val="000977C5"/>
    <w:rsid w:val="000B4182"/>
    <w:rsid w:val="000B6055"/>
    <w:rsid w:val="000B77BF"/>
    <w:rsid w:val="000C0B43"/>
    <w:rsid w:val="000C194C"/>
    <w:rsid w:val="000C331D"/>
    <w:rsid w:val="000C59FE"/>
    <w:rsid w:val="000E5AEB"/>
    <w:rsid w:val="00102354"/>
    <w:rsid w:val="00104570"/>
    <w:rsid w:val="00112A78"/>
    <w:rsid w:val="00127A5D"/>
    <w:rsid w:val="001303D3"/>
    <w:rsid w:val="00141B92"/>
    <w:rsid w:val="00153523"/>
    <w:rsid w:val="00155E5C"/>
    <w:rsid w:val="00156BF6"/>
    <w:rsid w:val="00160DF7"/>
    <w:rsid w:val="001633D6"/>
    <w:rsid w:val="001659E0"/>
    <w:rsid w:val="0016670E"/>
    <w:rsid w:val="0018725B"/>
    <w:rsid w:val="00191AE0"/>
    <w:rsid w:val="001A7CF1"/>
    <w:rsid w:val="001B2394"/>
    <w:rsid w:val="001C4A77"/>
    <w:rsid w:val="001C524F"/>
    <w:rsid w:val="001D0B3E"/>
    <w:rsid w:val="001D4431"/>
    <w:rsid w:val="002031D9"/>
    <w:rsid w:val="00204229"/>
    <w:rsid w:val="0020742E"/>
    <w:rsid w:val="0021131F"/>
    <w:rsid w:val="00212017"/>
    <w:rsid w:val="002141D6"/>
    <w:rsid w:val="00220320"/>
    <w:rsid w:val="002221D0"/>
    <w:rsid w:val="00222E8A"/>
    <w:rsid w:val="00223974"/>
    <w:rsid w:val="00243429"/>
    <w:rsid w:val="002436E8"/>
    <w:rsid w:val="00246AAB"/>
    <w:rsid w:val="00251980"/>
    <w:rsid w:val="00251A31"/>
    <w:rsid w:val="0025479D"/>
    <w:rsid w:val="00254A7F"/>
    <w:rsid w:val="00255543"/>
    <w:rsid w:val="0026113B"/>
    <w:rsid w:val="00262665"/>
    <w:rsid w:val="00282701"/>
    <w:rsid w:val="0028381D"/>
    <w:rsid w:val="00293B9D"/>
    <w:rsid w:val="002C1328"/>
    <w:rsid w:val="002C6010"/>
    <w:rsid w:val="002D335B"/>
    <w:rsid w:val="002D76ED"/>
    <w:rsid w:val="002D7E73"/>
    <w:rsid w:val="002E1571"/>
    <w:rsid w:val="002E182B"/>
    <w:rsid w:val="002E4249"/>
    <w:rsid w:val="002E4A6C"/>
    <w:rsid w:val="002E5B65"/>
    <w:rsid w:val="002F514E"/>
    <w:rsid w:val="00305E67"/>
    <w:rsid w:val="00305FDD"/>
    <w:rsid w:val="003103B5"/>
    <w:rsid w:val="00322366"/>
    <w:rsid w:val="00322E02"/>
    <w:rsid w:val="00324389"/>
    <w:rsid w:val="00324B77"/>
    <w:rsid w:val="00326C0A"/>
    <w:rsid w:val="0033422E"/>
    <w:rsid w:val="003406F0"/>
    <w:rsid w:val="0034282A"/>
    <w:rsid w:val="003531F4"/>
    <w:rsid w:val="00355851"/>
    <w:rsid w:val="003561E5"/>
    <w:rsid w:val="0036071C"/>
    <w:rsid w:val="00377EF6"/>
    <w:rsid w:val="00380CA9"/>
    <w:rsid w:val="003828E5"/>
    <w:rsid w:val="00383B1C"/>
    <w:rsid w:val="00387A96"/>
    <w:rsid w:val="00397C4B"/>
    <w:rsid w:val="003A4D0A"/>
    <w:rsid w:val="003B0F82"/>
    <w:rsid w:val="003C3DA3"/>
    <w:rsid w:val="003D4359"/>
    <w:rsid w:val="003E36E9"/>
    <w:rsid w:val="003E3CF0"/>
    <w:rsid w:val="003F22A9"/>
    <w:rsid w:val="004147C0"/>
    <w:rsid w:val="004276C9"/>
    <w:rsid w:val="00435365"/>
    <w:rsid w:val="00435805"/>
    <w:rsid w:val="00445F2E"/>
    <w:rsid w:val="00451A68"/>
    <w:rsid w:val="004533EF"/>
    <w:rsid w:val="00465544"/>
    <w:rsid w:val="0046795C"/>
    <w:rsid w:val="004743D4"/>
    <w:rsid w:val="00482032"/>
    <w:rsid w:val="00482951"/>
    <w:rsid w:val="00482CB5"/>
    <w:rsid w:val="00485AE3"/>
    <w:rsid w:val="00485BD8"/>
    <w:rsid w:val="004B0BB3"/>
    <w:rsid w:val="004B299F"/>
    <w:rsid w:val="004B352A"/>
    <w:rsid w:val="004B707D"/>
    <w:rsid w:val="004D312A"/>
    <w:rsid w:val="004D6486"/>
    <w:rsid w:val="004E4CDA"/>
    <w:rsid w:val="004F3C58"/>
    <w:rsid w:val="004F5460"/>
    <w:rsid w:val="004F6E3C"/>
    <w:rsid w:val="004F6FA7"/>
    <w:rsid w:val="00505D11"/>
    <w:rsid w:val="00511FCA"/>
    <w:rsid w:val="005254DD"/>
    <w:rsid w:val="00527D37"/>
    <w:rsid w:val="0053288D"/>
    <w:rsid w:val="0054249F"/>
    <w:rsid w:val="00542C95"/>
    <w:rsid w:val="00547AF0"/>
    <w:rsid w:val="00550181"/>
    <w:rsid w:val="00550A81"/>
    <w:rsid w:val="0055573C"/>
    <w:rsid w:val="00556B21"/>
    <w:rsid w:val="005600DD"/>
    <w:rsid w:val="00560E7E"/>
    <w:rsid w:val="00566948"/>
    <w:rsid w:val="00576429"/>
    <w:rsid w:val="0058088F"/>
    <w:rsid w:val="005821F9"/>
    <w:rsid w:val="00590B81"/>
    <w:rsid w:val="00590D1A"/>
    <w:rsid w:val="0059487B"/>
    <w:rsid w:val="00595DCC"/>
    <w:rsid w:val="0059750E"/>
    <w:rsid w:val="005A29BB"/>
    <w:rsid w:val="005A6F56"/>
    <w:rsid w:val="005A789C"/>
    <w:rsid w:val="005C01C9"/>
    <w:rsid w:val="005C0F52"/>
    <w:rsid w:val="005D19B1"/>
    <w:rsid w:val="005D3FEE"/>
    <w:rsid w:val="005E3A5D"/>
    <w:rsid w:val="005F5E42"/>
    <w:rsid w:val="005F6068"/>
    <w:rsid w:val="00605824"/>
    <w:rsid w:val="006069F1"/>
    <w:rsid w:val="00606B88"/>
    <w:rsid w:val="00610276"/>
    <w:rsid w:val="0061462F"/>
    <w:rsid w:val="00621E90"/>
    <w:rsid w:val="006274EA"/>
    <w:rsid w:val="0063004F"/>
    <w:rsid w:val="0063417A"/>
    <w:rsid w:val="00646B8C"/>
    <w:rsid w:val="00653666"/>
    <w:rsid w:val="00664096"/>
    <w:rsid w:val="0067237F"/>
    <w:rsid w:val="00674696"/>
    <w:rsid w:val="00676404"/>
    <w:rsid w:val="00676B46"/>
    <w:rsid w:val="00682064"/>
    <w:rsid w:val="006822DA"/>
    <w:rsid w:val="00685AB4"/>
    <w:rsid w:val="00694DC0"/>
    <w:rsid w:val="006A525E"/>
    <w:rsid w:val="006B197C"/>
    <w:rsid w:val="006D2DEC"/>
    <w:rsid w:val="006D5696"/>
    <w:rsid w:val="006D5A2A"/>
    <w:rsid w:val="006E3D25"/>
    <w:rsid w:val="006F2E79"/>
    <w:rsid w:val="006F45D6"/>
    <w:rsid w:val="006F65BA"/>
    <w:rsid w:val="00701A6B"/>
    <w:rsid w:val="00704987"/>
    <w:rsid w:val="00707137"/>
    <w:rsid w:val="00711A38"/>
    <w:rsid w:val="00716870"/>
    <w:rsid w:val="0072435E"/>
    <w:rsid w:val="00734F21"/>
    <w:rsid w:val="00740DA5"/>
    <w:rsid w:val="00745F5E"/>
    <w:rsid w:val="00754276"/>
    <w:rsid w:val="007556BE"/>
    <w:rsid w:val="00762C7C"/>
    <w:rsid w:val="00773266"/>
    <w:rsid w:val="00781D81"/>
    <w:rsid w:val="007848CA"/>
    <w:rsid w:val="00790752"/>
    <w:rsid w:val="007977B4"/>
    <w:rsid w:val="007A0C83"/>
    <w:rsid w:val="007A3BBB"/>
    <w:rsid w:val="007B3294"/>
    <w:rsid w:val="007C2BBE"/>
    <w:rsid w:val="007D49B3"/>
    <w:rsid w:val="007D5FB5"/>
    <w:rsid w:val="007E1408"/>
    <w:rsid w:val="007E33CF"/>
    <w:rsid w:val="007F078E"/>
    <w:rsid w:val="007F5295"/>
    <w:rsid w:val="00803193"/>
    <w:rsid w:val="00803E28"/>
    <w:rsid w:val="0081353A"/>
    <w:rsid w:val="00827C23"/>
    <w:rsid w:val="00827DCA"/>
    <w:rsid w:val="00834B8B"/>
    <w:rsid w:val="00843853"/>
    <w:rsid w:val="00847DDF"/>
    <w:rsid w:val="00851644"/>
    <w:rsid w:val="00851C32"/>
    <w:rsid w:val="00851CD0"/>
    <w:rsid w:val="00852BEC"/>
    <w:rsid w:val="008572AA"/>
    <w:rsid w:val="008643E6"/>
    <w:rsid w:val="0088087C"/>
    <w:rsid w:val="00880F10"/>
    <w:rsid w:val="00885F72"/>
    <w:rsid w:val="008974C9"/>
    <w:rsid w:val="008B55F3"/>
    <w:rsid w:val="008B7DFC"/>
    <w:rsid w:val="008C2862"/>
    <w:rsid w:val="008C3F81"/>
    <w:rsid w:val="008C49C2"/>
    <w:rsid w:val="008D61E1"/>
    <w:rsid w:val="008D7BAB"/>
    <w:rsid w:val="008D7D47"/>
    <w:rsid w:val="008E01FD"/>
    <w:rsid w:val="008F2F68"/>
    <w:rsid w:val="008F4062"/>
    <w:rsid w:val="008F6A2E"/>
    <w:rsid w:val="008F6CAC"/>
    <w:rsid w:val="00902680"/>
    <w:rsid w:val="009150B2"/>
    <w:rsid w:val="00916782"/>
    <w:rsid w:val="00917129"/>
    <w:rsid w:val="009213B9"/>
    <w:rsid w:val="00933BF0"/>
    <w:rsid w:val="00937C77"/>
    <w:rsid w:val="00941873"/>
    <w:rsid w:val="00951BC4"/>
    <w:rsid w:val="00960CE3"/>
    <w:rsid w:val="00963BC5"/>
    <w:rsid w:val="00972115"/>
    <w:rsid w:val="00973D07"/>
    <w:rsid w:val="0097689F"/>
    <w:rsid w:val="00982724"/>
    <w:rsid w:val="00986862"/>
    <w:rsid w:val="009938E0"/>
    <w:rsid w:val="009A777C"/>
    <w:rsid w:val="009B09F8"/>
    <w:rsid w:val="009B216A"/>
    <w:rsid w:val="009B3B08"/>
    <w:rsid w:val="009B5C2F"/>
    <w:rsid w:val="009B5C9C"/>
    <w:rsid w:val="009C3331"/>
    <w:rsid w:val="009D155C"/>
    <w:rsid w:val="009D7E16"/>
    <w:rsid w:val="009E23D7"/>
    <w:rsid w:val="009E6CF9"/>
    <w:rsid w:val="009F18A5"/>
    <w:rsid w:val="009F3D21"/>
    <w:rsid w:val="009F3EEB"/>
    <w:rsid w:val="00A04BCD"/>
    <w:rsid w:val="00A11709"/>
    <w:rsid w:val="00A14764"/>
    <w:rsid w:val="00A1552C"/>
    <w:rsid w:val="00A20BAD"/>
    <w:rsid w:val="00A20EBD"/>
    <w:rsid w:val="00A22013"/>
    <w:rsid w:val="00A22A0C"/>
    <w:rsid w:val="00A24EB7"/>
    <w:rsid w:val="00A25C83"/>
    <w:rsid w:val="00A31898"/>
    <w:rsid w:val="00A3249C"/>
    <w:rsid w:val="00A41EA0"/>
    <w:rsid w:val="00A55852"/>
    <w:rsid w:val="00A63F28"/>
    <w:rsid w:val="00A72BD0"/>
    <w:rsid w:val="00A758C4"/>
    <w:rsid w:val="00A76EFF"/>
    <w:rsid w:val="00A84148"/>
    <w:rsid w:val="00A870B0"/>
    <w:rsid w:val="00A9364C"/>
    <w:rsid w:val="00A95B60"/>
    <w:rsid w:val="00A973EE"/>
    <w:rsid w:val="00AA5EBD"/>
    <w:rsid w:val="00AB3380"/>
    <w:rsid w:val="00AB37C6"/>
    <w:rsid w:val="00AB592D"/>
    <w:rsid w:val="00AC3702"/>
    <w:rsid w:val="00AC50E3"/>
    <w:rsid w:val="00AD070A"/>
    <w:rsid w:val="00AD4A9D"/>
    <w:rsid w:val="00AD66FD"/>
    <w:rsid w:val="00AE3844"/>
    <w:rsid w:val="00AE45A9"/>
    <w:rsid w:val="00AF4EF6"/>
    <w:rsid w:val="00AF674B"/>
    <w:rsid w:val="00B00BA2"/>
    <w:rsid w:val="00B00EFD"/>
    <w:rsid w:val="00B068D8"/>
    <w:rsid w:val="00B14454"/>
    <w:rsid w:val="00B20142"/>
    <w:rsid w:val="00B248D1"/>
    <w:rsid w:val="00B25577"/>
    <w:rsid w:val="00B31339"/>
    <w:rsid w:val="00B4246F"/>
    <w:rsid w:val="00B53CE5"/>
    <w:rsid w:val="00B663AF"/>
    <w:rsid w:val="00B676E5"/>
    <w:rsid w:val="00B70632"/>
    <w:rsid w:val="00B84307"/>
    <w:rsid w:val="00B93BF5"/>
    <w:rsid w:val="00BB5761"/>
    <w:rsid w:val="00BB61B5"/>
    <w:rsid w:val="00BB7B2E"/>
    <w:rsid w:val="00BC05C6"/>
    <w:rsid w:val="00BC1256"/>
    <w:rsid w:val="00BC3379"/>
    <w:rsid w:val="00BC5F39"/>
    <w:rsid w:val="00BC6CF0"/>
    <w:rsid w:val="00BD4E90"/>
    <w:rsid w:val="00BD7C05"/>
    <w:rsid w:val="00BE0631"/>
    <w:rsid w:val="00BE0A98"/>
    <w:rsid w:val="00BE4C8F"/>
    <w:rsid w:val="00BF6735"/>
    <w:rsid w:val="00C30491"/>
    <w:rsid w:val="00C36CB2"/>
    <w:rsid w:val="00C4352D"/>
    <w:rsid w:val="00C455B2"/>
    <w:rsid w:val="00C465D4"/>
    <w:rsid w:val="00C54823"/>
    <w:rsid w:val="00C70A95"/>
    <w:rsid w:val="00C77C05"/>
    <w:rsid w:val="00C82405"/>
    <w:rsid w:val="00C83ACF"/>
    <w:rsid w:val="00C85CE1"/>
    <w:rsid w:val="00C86E36"/>
    <w:rsid w:val="00C8792D"/>
    <w:rsid w:val="00C87BAC"/>
    <w:rsid w:val="00C961A4"/>
    <w:rsid w:val="00CA0590"/>
    <w:rsid w:val="00CA0C5F"/>
    <w:rsid w:val="00CA140B"/>
    <w:rsid w:val="00CA6A78"/>
    <w:rsid w:val="00CA7E85"/>
    <w:rsid w:val="00CB1DE9"/>
    <w:rsid w:val="00CB369A"/>
    <w:rsid w:val="00CC1CA6"/>
    <w:rsid w:val="00CE086D"/>
    <w:rsid w:val="00CE21E2"/>
    <w:rsid w:val="00CE47D2"/>
    <w:rsid w:val="00CF0375"/>
    <w:rsid w:val="00CF7AE3"/>
    <w:rsid w:val="00D018F2"/>
    <w:rsid w:val="00D0211F"/>
    <w:rsid w:val="00D03E2A"/>
    <w:rsid w:val="00D245E6"/>
    <w:rsid w:val="00D26F35"/>
    <w:rsid w:val="00D30FF9"/>
    <w:rsid w:val="00D4201C"/>
    <w:rsid w:val="00D47982"/>
    <w:rsid w:val="00D50768"/>
    <w:rsid w:val="00D517CD"/>
    <w:rsid w:val="00D5742F"/>
    <w:rsid w:val="00D60F3D"/>
    <w:rsid w:val="00D63017"/>
    <w:rsid w:val="00D66210"/>
    <w:rsid w:val="00D6664A"/>
    <w:rsid w:val="00D704EE"/>
    <w:rsid w:val="00D705E3"/>
    <w:rsid w:val="00D772DE"/>
    <w:rsid w:val="00D80BBC"/>
    <w:rsid w:val="00D95D7F"/>
    <w:rsid w:val="00DA5CF5"/>
    <w:rsid w:val="00DB18E2"/>
    <w:rsid w:val="00DB1F1F"/>
    <w:rsid w:val="00DB41D7"/>
    <w:rsid w:val="00DC09C5"/>
    <w:rsid w:val="00DC42BE"/>
    <w:rsid w:val="00DC44A3"/>
    <w:rsid w:val="00DC5C17"/>
    <w:rsid w:val="00DC5CF0"/>
    <w:rsid w:val="00DD480D"/>
    <w:rsid w:val="00DD7378"/>
    <w:rsid w:val="00DE0029"/>
    <w:rsid w:val="00DF0D5E"/>
    <w:rsid w:val="00DF3D07"/>
    <w:rsid w:val="00E06200"/>
    <w:rsid w:val="00E065CD"/>
    <w:rsid w:val="00E0720C"/>
    <w:rsid w:val="00E13B06"/>
    <w:rsid w:val="00E15388"/>
    <w:rsid w:val="00E17762"/>
    <w:rsid w:val="00E20673"/>
    <w:rsid w:val="00E22002"/>
    <w:rsid w:val="00E2286C"/>
    <w:rsid w:val="00E25B9E"/>
    <w:rsid w:val="00E33765"/>
    <w:rsid w:val="00E4367B"/>
    <w:rsid w:val="00E475A2"/>
    <w:rsid w:val="00E534B3"/>
    <w:rsid w:val="00E55AAC"/>
    <w:rsid w:val="00E57459"/>
    <w:rsid w:val="00E805A7"/>
    <w:rsid w:val="00E8476F"/>
    <w:rsid w:val="00E86D33"/>
    <w:rsid w:val="00E92A67"/>
    <w:rsid w:val="00E941F9"/>
    <w:rsid w:val="00E976B5"/>
    <w:rsid w:val="00EB3EB3"/>
    <w:rsid w:val="00ED1932"/>
    <w:rsid w:val="00EE3CF0"/>
    <w:rsid w:val="00EF05E8"/>
    <w:rsid w:val="00EF33AD"/>
    <w:rsid w:val="00EF3785"/>
    <w:rsid w:val="00EF6251"/>
    <w:rsid w:val="00F06D43"/>
    <w:rsid w:val="00F06F94"/>
    <w:rsid w:val="00F076D9"/>
    <w:rsid w:val="00F23E7A"/>
    <w:rsid w:val="00F240DF"/>
    <w:rsid w:val="00F26DCF"/>
    <w:rsid w:val="00F342D4"/>
    <w:rsid w:val="00F37C2D"/>
    <w:rsid w:val="00F40B83"/>
    <w:rsid w:val="00F42005"/>
    <w:rsid w:val="00F453A1"/>
    <w:rsid w:val="00F507D7"/>
    <w:rsid w:val="00F72A41"/>
    <w:rsid w:val="00F77B2E"/>
    <w:rsid w:val="00F77B94"/>
    <w:rsid w:val="00F80A1C"/>
    <w:rsid w:val="00F81B18"/>
    <w:rsid w:val="00F85B70"/>
    <w:rsid w:val="00F94D9B"/>
    <w:rsid w:val="00F951BE"/>
    <w:rsid w:val="00F97A77"/>
    <w:rsid w:val="00FA003B"/>
    <w:rsid w:val="00FA5708"/>
    <w:rsid w:val="00FA575C"/>
    <w:rsid w:val="00FD0792"/>
    <w:rsid w:val="00FD133F"/>
    <w:rsid w:val="00FD1456"/>
    <w:rsid w:val="00FD1F1F"/>
    <w:rsid w:val="00FD45B1"/>
    <w:rsid w:val="00FF438E"/>
    <w:rsid w:val="00FF49C8"/>
    <w:rsid w:val="00FF57A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1ED5C4"/>
  <w15:docId w15:val="{88B443EC-ECE0-4E9A-8058-83DD212C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1BE"/>
  </w:style>
  <w:style w:type="paragraph" w:styleId="Nadpis1">
    <w:name w:val="heading 1"/>
    <w:basedOn w:val="Normln"/>
    <w:next w:val="Normln"/>
    <w:qFormat/>
    <w:rsid w:val="0005431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E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CharCharCharCharCharCharCharCharChar">
    <w:name w:val="Char4 Char Char Char Char Char Char Char Char Char"/>
    <w:basedOn w:val="Normln"/>
    <w:rsid w:val="00AD070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">
    <w:name w:val="Char4 Char Char Char Char Char Char Char Char Char Char Char Char Char Char Char Char Char Char"/>
    <w:basedOn w:val="Normln"/>
    <w:rsid w:val="000C194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EF05E8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E57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2F5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14E"/>
  </w:style>
  <w:style w:type="paragraph" w:styleId="Zpat">
    <w:name w:val="footer"/>
    <w:basedOn w:val="Normln"/>
    <w:link w:val="ZpatChar"/>
    <w:uiPriority w:val="99"/>
    <w:unhideWhenUsed/>
    <w:rsid w:val="002F5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514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55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5543"/>
  </w:style>
  <w:style w:type="character" w:styleId="Znakapoznpodarou">
    <w:name w:val="footnote reference"/>
    <w:uiPriority w:val="99"/>
    <w:semiHidden/>
    <w:unhideWhenUsed/>
    <w:rsid w:val="0025554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DD48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8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8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8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4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FEA8-6CFF-4BD2-8BED-A788FD08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838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</vt:lpstr>
    </vt:vector>
  </TitlesOfParts>
  <Company>MMR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</dc:title>
  <dc:creator>Pejpalová Hana</dc:creator>
  <cp:lastModifiedBy>Novotná Lenka</cp:lastModifiedBy>
  <cp:revision>7</cp:revision>
  <cp:lastPrinted>2015-10-30T12:38:00Z</cp:lastPrinted>
  <dcterms:created xsi:type="dcterms:W3CDTF">2019-09-26T06:24:00Z</dcterms:created>
  <dcterms:modified xsi:type="dcterms:W3CDTF">2019-10-18T12:12:00Z</dcterms:modified>
</cp:coreProperties>
</file>