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32"/>
        </w:rPr>
      </w:pPr>
      <w:r>
        <w:rPr>
          <w:b/>
          <w:sz w:val="32"/>
        </w:rPr>
        <w:t>Šablona - Rozpočet tvorby strategie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Charakteristika a účel šablony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Rozpočet je vytvořen jako součást Plánu tvorby strategie. Rozpočet musí být zároveň provázán s ostatními částmi Plánu tvorby strategie, tj. zejména organizační strukturou, hierarchickou strukturou prací, harmonogramem, plánem řízení rizik, plánem spolupráce a komunikace apod.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tvorbu Rozpočtu tvorby strategie je odpovědný Koordinátor tvorby strategie, který na jeho zpracování spolupracuje především s Týmem pro tvorbu strategie.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Účelem Rozpočtu je především poskytnout přehled o:</w:t>
        <w:tab/>
      </w:r>
    </w:p>
    <w:p>
      <w:pPr>
        <w:pStyle w:val="Normal"/>
        <w:rPr/>
      </w:pPr>
      <w:r>
        <w:rPr/>
        <w:t>- nákladech tvorby strategie</w:t>
        <w:tab/>
      </w:r>
    </w:p>
    <w:p>
      <w:pPr>
        <w:pStyle w:val="Normal"/>
        <w:rPr/>
      </w:pPr>
      <w:r>
        <w:rPr/>
        <w:t>- zdrojích financování tvorby strategie</w:t>
        <w:tab/>
      </w:r>
    </w:p>
    <w:p>
      <w:pPr>
        <w:pStyle w:val="Normal"/>
        <w:rPr/>
      </w:pPr>
      <w:r>
        <w:rPr/>
        <w:t>- členění nákladů i zdrojů do dílčích položek / činností / časových období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  <w:t>Obsah šablony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Rozpočet musí zahrnovat náklady nezbytné na realizaci všech aktivit v celém jejich rozsahu. Při sestavení rozpočtu je možné postupovat například tak, že jsou stanoveny náklady na realizaci všech jednotlivých aktivit (činností, úkolů), které jsou následně agregovány.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54370" cy="1901825"/>
                <wp:effectExtent l="4445" t="8890" r="4445" b="4445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880" cy="190116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ulletcopy2"/>
                              <w:tabs>
                                <w:tab w:val="left" w:pos="362" w:leader="none"/>
                                <w:tab w:val="left" w:pos="567" w:leader="none"/>
                              </w:tabs>
                              <w:spacing w:lineRule="atLeast" w:line="240" w:before="120" w:after="120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Rozpočet projektu obvykle zahrnuje: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náklady na přípravu strategie (dokumentace, finanční a ekonomická analýza, sběr dat, ostatní analýzy),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osobní náklady (platy, odměny, výdaje na odborné zaměstnance, pojištění atd.),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náklady na jednotlivé aktivity přípravy strategie (včetně řízení rizik a řízení změn),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náklady na komunikaci,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rFonts w:cs="Arial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platby dodavatelům,</w:t>
                            </w:r>
                          </w:p>
                          <w:p>
                            <w:pPr>
                              <w:pStyle w:val="Bulletcopy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 w:leader="none"/>
                                <w:tab w:val="left" w:pos="709" w:leader="none"/>
                              </w:tabs>
                              <w:spacing w:lineRule="atLeast" w:line="240" w:before="120" w:after="120"/>
                              <w:ind w:left="567" w:hanging="283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0"/>
                                <w:lang w:val="cs-CZ"/>
                              </w:rPr>
                              <w:t>další náklady.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silver" stroked="f" style="position:absolute;margin-left:0pt;margin-top:-149.75pt;width:453pt;height:149.65pt;mso-position-vertical:top">
                <w10:wrap type="square"/>
                <v:fill o:detectmouseclick="t" type="solid" color2="#3f3f3f" opacity="0.69"/>
                <v:stroke color="#3465a4" joinstyle="round" endcap="flat"/>
                <v:textbox>
                  <w:txbxContent>
                    <w:p>
                      <w:pPr>
                        <w:pStyle w:val="Bulletcopy2"/>
                        <w:tabs>
                          <w:tab w:val="left" w:pos="362" w:leader="none"/>
                          <w:tab w:val="left" w:pos="567" w:leader="none"/>
                        </w:tabs>
                        <w:spacing w:lineRule="atLeast" w:line="240" w:before="120" w:after="120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Rozpočet projektu obvykle zahrnuje: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náklady na přípravu strategie (dokumentace, finanční a ekonomická analýza, sběr dat, ostatní analýzy),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osobní náklady (platy, odměny, výdaje na odborné zaměstnance, pojištění atd.),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náklady na jednotlivé aktivity přípravy strategie (včetně řízení rizik a řízení změn),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náklady na komunikaci,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rFonts w:cs="Arial"/>
                          <w:szCs w:val="20"/>
                          <w:lang w:val="cs-CZ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platby dodavatelům,</w:t>
                      </w:r>
                    </w:p>
                    <w:p>
                      <w:pPr>
                        <w:pStyle w:val="Bulletcopy2"/>
                        <w:numPr>
                          <w:ilvl w:val="0"/>
                          <w:numId w:val="1"/>
                        </w:numPr>
                        <w:tabs>
                          <w:tab w:val="left" w:pos="362" w:leader="none"/>
                          <w:tab w:val="left" w:pos="709" w:leader="none"/>
                        </w:tabs>
                        <w:spacing w:lineRule="atLeast" w:line="240" w:before="120" w:after="120"/>
                        <w:ind w:left="567" w:hanging="283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cs="Arial"/>
                          <w:color w:val="auto"/>
                          <w:szCs w:val="20"/>
                          <w:lang w:val="cs-CZ"/>
                        </w:rPr>
                        <w:t>další náklady.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Součástí rozpočtu jsou také zdroje financování jednotlivých položek sestaveného rozpočtu. To může být zajištěno z prostředků instituce Gestora tvorby strategie. V případě zapojení více subjektů do tvorby strategie může být financování strategie zajištěno z rozpočtu těchto subjektů, kdy každý hradí příslušnou část nákladů.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 rámci tvorby rozpočtu jsou dále identifikovány zdroje nefinančního charakteru potřebné pro tvorbu strategie. Mezi zdroje nefinančního charakteru se řadí například: </w:t>
      </w:r>
    </w:p>
    <w:p>
      <w:pPr>
        <w:pStyle w:val="Normal"/>
        <w:numPr>
          <w:ilvl w:val="0"/>
          <w:numId w:val="2"/>
        </w:numPr>
        <w:rPr/>
      </w:pPr>
      <w:r>
        <w:rPr/>
        <w:t>aktiva (např. kancelářské prostory, IT vybavení, datové a informační systémy atd.),</w:t>
      </w:r>
    </w:p>
    <w:p>
      <w:pPr>
        <w:pStyle w:val="Normal"/>
        <w:numPr>
          <w:ilvl w:val="0"/>
          <w:numId w:val="2"/>
        </w:numPr>
        <w:rPr/>
      </w:pPr>
      <w:r>
        <w:rPr/>
        <w:t>technologie a služby,</w:t>
      </w:r>
    </w:p>
    <w:p>
      <w:pPr>
        <w:pStyle w:val="Normal"/>
        <w:numPr>
          <w:ilvl w:val="0"/>
          <w:numId w:val="2"/>
        </w:numPr>
        <w:rPr/>
      </w:pPr>
      <w:r>
        <w:rPr/>
        <w:t>lidské zdroje vč. expertů v dané oblasti.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Rozpočet tvorby strategie dále obsahuje plán, který na základě odhadu zdrojů potřebných pro realizaci jednotlivých aktivit definuje, jakým způsobem budou tyto zdroje získány (zda jsou k dispozici interně nebo musí být pořízeny). V případě pořízení jednotlivých zdrojů je nutné určit, kdy k tomu dojde a zda se bude jednat o zadání veřejné zakázky. Dále je nutné aktivity pořízení zdrojů zohlednit v harmonogramu tvorby strategie.</w:t>
      </w:r>
    </w:p>
    <w:p>
      <w:pPr>
        <w:pStyle w:val="Normal"/>
        <w:rPr/>
      </w:pPr>
      <w:r>
        <w:rPr/>
        <w:t>Při tvorbě rozpočtu je zapotřebí postupovat pokud je to účelné od nejnižší úrovně činností v rámci tvorby strategie.  K této nejnižší úrovni činností by měly být definovány všechny potřebné náklady po jednotlivých položkách. Tímto způsobem vznikne základní rozpočet (viz rozpočet A v šabloně) obsahující všechny náklady projektu tvorby strategie v členění po fázích / aktivitách / krocích / činnostech tvorby strategie.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Zároveň je třeba, aby základní rozpočet byl doplněn náhledem podle nákladů definovaných po jednotlivých položkách (např. osobní náklady, nákup služeb, spotřební nákupy, investiční náklady apod.), příp. podpoložkách - viz rozpočet B v šabloně. Jednotlivé položky (podpoložky) mohou být agregovány v různém počtu úrovní, podle potřeby dané strategie (např. služby se mohou dělit na analýzy, organizaci veřejných zakázek apod.). Jednotlivá položka (např. služby) představuje součet všech nákladů na služby v rámci všech činností (uvedených v základním rozpočtu A).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 šabloně je uveden také rozpočet C, který obsahuje zdroje financování tvorby strategie.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b/>
          <w:b/>
        </w:rPr>
      </w:pPr>
      <w:r>
        <w:rPr>
          <w:b/>
        </w:rPr>
        <w:t>Šablona pro rozpočet tvorby strategie A – náklady podle jednotlivých fází / aktivit / kroků / činností tvorby strategie</w:t>
        <w:tab/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4681220" cy="1277620"/>
                <wp:effectExtent l="0" t="0" r="0" b="0"/>
                <wp:wrapSquare wrapText="bothSides"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220" cy="12776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pPr w:bottomFromText="0" w:horzAnchor="margin" w:leftFromText="141" w:rightFromText="141" w:tblpX="0" w:tblpXSpec="center" w:tblpY="73" w:topFromText="0" w:vertAnchor="text"/>
                              <w:tblW w:w="7372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547"/>
                              <w:gridCol w:w="2698"/>
                              <w:gridCol w:w="1276"/>
                              <w:gridCol w:w="850"/>
                            </w:tblGrid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Úroveň strategie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Název   úrovně strategie</w:t>
                                  </w:r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x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</w:t>
                                  </w:r>
                                  <w:r>
                                    <w:rPr/>
                                    <w:t>Fáze 1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   </w:t>
                                  </w:r>
                                  <w:r>
                                    <w:rPr/>
                                    <w:t>Aktivita 1.1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      </w:t>
                                  </w:r>
                                  <w:r>
                                    <w:rPr/>
                                    <w:t>Krok 1.1.1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         </w:t>
                                  </w:r>
                                  <w:r>
                                    <w:rPr/>
                                    <w:t>Činnost 1.1.1.1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         </w:t>
                                  </w:r>
                                  <w:r>
                                    <w:rPr/>
                                    <w:t>Položka 1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54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         </w:t>
                                  </w:r>
                                  <w:r>
                                    <w:rPr/>
                                    <w:t>Položka 2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68.6pt;height:100.6pt;mso-wrap-distance-left:7.05pt;mso-wrap-distance-right:7.05pt;mso-wrap-distance-top:0pt;mso-wrap-distance-bottom:0pt;margin-top:3.65pt;mso-position-vertical-relative:text;margin-left:42.5pt;mso-position-horizontal:center;mso-position-horizontal-relative:margin">
                <v:textbox inset="0in,0in,0in,0in">
                  <w:txbxContent>
                    <w:tbl>
                      <w:tblPr>
                        <w:tblStyle w:val="Mkatabulky"/>
                        <w:tblpPr w:bottomFromText="0" w:horzAnchor="margin" w:leftFromText="141" w:rightFromText="141" w:tblpX="0" w:tblpXSpec="center" w:tblpY="73" w:topFromText="0" w:vertAnchor="text"/>
                        <w:tblW w:w="7372" w:type="dxa"/>
                        <w:jc w:val="center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547"/>
                        <w:gridCol w:w="2698"/>
                        <w:gridCol w:w="1276"/>
                        <w:gridCol w:w="850"/>
                      </w:tblGrid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Úroveň strategie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Název   úrovně strategie</w:t>
                            </w:r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x</w:t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Fáze 1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</w:t>
                            </w:r>
                            <w:r>
                              <w:rPr/>
                              <w:t>Aktivita 1.1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Krok 1.1.1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      </w:t>
                            </w:r>
                            <w:r>
                              <w:rPr/>
                              <w:t>Činnost 1.1.1.1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      </w:t>
                            </w:r>
                            <w:r>
                              <w:rPr/>
                              <w:t>Položka 1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54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         </w:t>
                            </w:r>
                            <w:r>
                              <w:rPr/>
                              <w:t>Položka 2</w:t>
                            </w:r>
                          </w:p>
                        </w:tc>
                        <w:tc>
                          <w:tcPr>
                            <w:tcW w:w="26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7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Šablona pro rozpočet tvorby strategie B – náklady podle jednotlivých položek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align>center</wp:align>
                </wp:positionH>
                <wp:positionV relativeFrom="page">
                  <wp:posOffset>4185285</wp:posOffset>
                </wp:positionV>
                <wp:extent cx="2245995" cy="1277620"/>
                <wp:effectExtent l="0" t="0" r="0" b="0"/>
                <wp:wrapSquare wrapText="bothSides"/>
                <wp:docPr id="4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12776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pPr w:bottomFromText="0" w:horzAnchor="margin" w:leftFromText="141" w:rightFromText="141" w:tblpX="0" w:tblpXSpec="center" w:tblpY="6591" w:topFromText="0" w:vertAnchor="page"/>
                              <w:tblW w:w="3537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890"/>
                              <w:gridCol w:w="823"/>
                              <w:gridCol w:w="824"/>
                            </w:tblGrid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x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Položka 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</w:t>
                                  </w:r>
                                  <w:r>
                                    <w:rPr/>
                                    <w:t>Podpoložka 1.1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</w:t>
                                  </w:r>
                                  <w:r>
                                    <w:rPr/>
                                    <w:t>Podpoložka 1.2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Položka 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</w:t>
                                  </w:r>
                                  <w:r>
                                    <w:rPr/>
                                    <w:t>Podpoložka 2.1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9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  </w:t>
                                  </w:r>
                                  <w:r>
                                    <w:rPr/>
                                    <w:t>Podpoložka 2.2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6.85pt;height:100.6pt;mso-wrap-distance-left:7.05pt;mso-wrap-distance-right:7.05pt;mso-wrap-distance-top:0pt;mso-wrap-distance-bottom:0pt;margin-top:329.55pt;mso-position-vertical-relative:page;margin-left:138.4pt;mso-position-horizontal:center;mso-position-horizontal-relative:margin">
                <v:textbox inset="0in,0in,0in,0in">
                  <w:txbxContent>
                    <w:tbl>
                      <w:tblPr>
                        <w:tblStyle w:val="Mkatabulky"/>
                        <w:tblpPr w:bottomFromText="0" w:horzAnchor="margin" w:leftFromText="141" w:rightFromText="141" w:tblpX="0" w:tblpXSpec="center" w:tblpY="6591" w:topFromText="0" w:vertAnchor="page"/>
                        <w:tblW w:w="3537" w:type="dxa"/>
                        <w:jc w:val="center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890"/>
                        <w:gridCol w:w="823"/>
                        <w:gridCol w:w="824"/>
                      </w:tblGrid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x</w:t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Položka 1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Podpoložka 1.1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Podpoložka 1.2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Položka 2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Podpoložka 2.1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90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  </w:t>
                            </w:r>
                            <w:r>
                              <w:rPr/>
                              <w:t>Podpoložka 2.2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Šablona pro rozpočet tvorby strategie C – zdroje financování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6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364740" cy="732790"/>
                <wp:effectExtent l="0" t="0" r="0" b="0"/>
                <wp:wrapSquare wrapText="bothSides"/>
                <wp:docPr id="5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740" cy="7327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pPr w:bottomFromText="0" w:horzAnchor="margin" w:leftFromText="141" w:rightFromText="141" w:tblpX="0" w:tblpXSpec="center" w:tblpY="124" w:topFromText="0" w:vertAnchor="text"/>
                              <w:tblW w:w="3724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077"/>
                              <w:gridCol w:w="823"/>
                              <w:gridCol w:w="824"/>
                            </w:tblGrid>
                            <w:tr>
                              <w:trPr/>
                              <w:tc>
                                <w:tcPr>
                                  <w:tcW w:w="207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Zdroj financování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x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</w:rPr>
                                    <w:t>Rok y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07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Zdroj 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07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Zdroj 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07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" w:name="__UnoMark__232_1677610999"/>
                                  <w:bookmarkEnd w:id="2"/>
                                  <w:r>
                                    <w:rPr/>
                                    <w:t>Zdroj 3</w:t>
                                  </w:r>
                                  <w:bookmarkStart w:id="3" w:name="__UnoMark__233_1677610999"/>
                                  <w:bookmarkEnd w:id="3"/>
                                </w:p>
                              </w:tc>
                              <w:tc>
                                <w:tcPr>
                                  <w:tcW w:w="8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  <w:bookmarkStart w:id="4" w:name="__UnoMark__235_1677610999"/>
                                  <w:bookmarkStart w:id="5" w:name="__UnoMark__234_1677610999"/>
                                  <w:bookmarkStart w:id="6" w:name="__UnoMark__235_1677610999"/>
                                  <w:bookmarkStart w:id="7" w:name="__UnoMark__234_1677610999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824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  <w:bookmarkStart w:id="8" w:name="__UnoMark__236_1677610999"/>
                                  <w:bookmarkStart w:id="9" w:name="__UnoMark__236_1677610999"/>
                                  <w:bookmarkEnd w:id="9"/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6.2pt;height:57.7pt;mso-wrap-distance-left:7.05pt;mso-wrap-distance-right:7.05pt;mso-wrap-distance-top:0pt;mso-wrap-distance-bottom:0pt;margin-top:6.2pt;mso-position-vertical-relative:text;margin-left:133.7pt;mso-position-horizontal:center;mso-position-horizontal-relative:margin">
                <v:textbox inset="0in,0in,0in,0in">
                  <w:txbxContent>
                    <w:tbl>
                      <w:tblPr>
                        <w:tblStyle w:val="Mkatabulky"/>
                        <w:tblpPr w:bottomFromText="0" w:horzAnchor="margin" w:leftFromText="141" w:rightFromText="141" w:tblpX="0" w:tblpXSpec="center" w:tblpY="124" w:topFromText="0" w:vertAnchor="text"/>
                        <w:tblW w:w="3724" w:type="dxa"/>
                        <w:jc w:val="center"/>
                        <w:tblInd w:w="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077"/>
                        <w:gridCol w:w="823"/>
                        <w:gridCol w:w="824"/>
                      </w:tblGrid>
                      <w:tr>
                        <w:trPr/>
                        <w:tc>
                          <w:tcPr>
                            <w:tcW w:w="207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Zdroj financování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x</w:t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Rok y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07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Zdroj 1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07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Zdroj 2</w:t>
                            </w:r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07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10" w:name="__UnoMark__232_1677610999"/>
                            <w:bookmarkEnd w:id="10"/>
                            <w:r>
                              <w:rPr/>
                              <w:t>Zdroj 3</w:t>
                            </w:r>
                            <w:bookmarkStart w:id="11" w:name="__UnoMark__233_1677610999"/>
                            <w:bookmarkEnd w:id="11"/>
                          </w:p>
                        </w:tc>
                        <w:tc>
                          <w:tcPr>
                            <w:tcW w:w="823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  <w:bookmarkStart w:id="12" w:name="__UnoMark__235_1677610999"/>
                            <w:bookmarkStart w:id="13" w:name="__UnoMark__234_1677610999"/>
                            <w:bookmarkStart w:id="14" w:name="__UnoMark__235_1677610999"/>
                            <w:bookmarkStart w:id="15" w:name="__UnoMark__234_1677610999"/>
                            <w:bookmarkEnd w:id="14"/>
                            <w:bookmarkEnd w:id="15"/>
                          </w:p>
                        </w:tc>
                        <w:tc>
                          <w:tcPr>
                            <w:tcW w:w="824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  <w:bookmarkStart w:id="16" w:name="__UnoMark__236_1677610999"/>
                            <w:bookmarkStart w:id="17" w:name="__UnoMark__236_1677610999"/>
                            <w:bookmarkEnd w:id="17"/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41896498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1"/>
        </w:tabs>
        <w:ind w:left="1" w:hanging="284"/>
      </w:pPr>
      <w:rPr>
        <w:rFonts w:ascii="Wingdings" w:hAnsi="Wingdings" w:cs="Wingdings" w:hint="default"/>
        <w:sz w:val="22"/>
        <w:szCs w:val="22"/>
        <w:color w:val="auto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copy2Char" w:customStyle="1">
    <w:name w:val="Bullet copy 2 Char"/>
    <w:basedOn w:val="DefaultParagraphFont"/>
    <w:link w:val="Bulletcopy2"/>
    <w:qFormat/>
    <w:rsid w:val="00e64a72"/>
    <w:rPr>
      <w:rFonts w:ascii="Arial" w:hAnsi="Arial" w:eastAsia="Times New Roman"/>
      <w:sz w:val="20"/>
      <w:szCs w:val="18"/>
      <w:lang w:val="en-US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9643b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71f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571f9c"/>
    <w:rPr/>
  </w:style>
  <w:style w:type="character" w:styleId="ListLabel1">
    <w:name w:val="ListLabel 1"/>
    <w:qFormat/>
    <w:rPr>
      <w:color w:val="auto"/>
      <w:sz w:val="22"/>
      <w:szCs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ulletcopy2" w:customStyle="1">
    <w:name w:val="Bullet copy 2"/>
    <w:basedOn w:val="Normal"/>
    <w:link w:val="Bulletcopy2Char"/>
    <w:qFormat/>
    <w:rsid w:val="00e64a72"/>
    <w:pPr>
      <w:tabs>
        <w:tab w:val="left" w:pos="362" w:leader="none"/>
      </w:tabs>
      <w:spacing w:lineRule="exact" w:line="260" w:before="0" w:after="120"/>
      <w:jc w:val="left"/>
    </w:pPr>
    <w:rPr>
      <w:rFonts w:ascii="Arial" w:hAnsi="Arial" w:eastAsia="Times New Roman"/>
      <w:sz w:val="20"/>
      <w:szCs w:val="18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9643b"/>
    <w:pPr/>
    <w:rPr>
      <w:rFonts w:ascii="Segoe UI" w:hAnsi="Segoe UI" w:cs="Segoe UI"/>
      <w:sz w:val="18"/>
      <w:szCs w:val="18"/>
    </w:rPr>
  </w:style>
  <w:style w:type="paragraph" w:styleId="Zhlav">
    <w:name w:val="Header"/>
    <w:basedOn w:val="Normal"/>
    <w:link w:val="ZhlavChar"/>
    <w:uiPriority w:val="99"/>
    <w:unhideWhenUsed/>
    <w:rsid w:val="00571f9c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571f9c"/>
    <w:pPr>
      <w:tabs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d964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LibreOffice/6.1.0.3$Windows_X86_64 LibreOffice_project/efb621ed25068d70781dc026f7e9c5187a4decd1</Application>
  <Pages>2</Pages>
  <Words>574</Words>
  <Characters>3452</Characters>
  <CharactersWithSpaces>4048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2021-03-22T15:21:00Z</dcterms:created>
  <dc:creator>Igor Hartmann</dc:creator>
  <dc:description/>
  <dc:language>cs-CZ</dc:language>
  <cp:lastModifiedBy>Igor Hartmann</cp:lastModifiedBy>
  <dcterms:modified xsi:type="dcterms:W3CDTF">2021-03-23T10:31:00Z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