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16EFD3B9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5A501C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05A501C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Podmín</w:t>
      </w:r>
      <w:r w:rsidR="00D4737C" w:rsidRPr="005A501C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ky</w:t>
      </w:r>
      <w:r w:rsidRPr="005A501C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k ROzhodnutí o</w:t>
      </w:r>
      <w:r w:rsidR="00680D14" w:rsidRPr="005A501C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A501C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1EC61F6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Pr="00C81DE4">
        <w:rPr>
          <w:rFonts w:ascii="Arial" w:eastAsia="Arial" w:hAnsi="Arial" w:cs="Arial"/>
          <w:b/>
          <w:bCs/>
          <w:color w:val="002060"/>
          <w:sz w:val="28"/>
          <w:szCs w:val="28"/>
        </w:rPr>
        <w:t>od</w:t>
      </w:r>
      <w:r w:rsidR="001E2F2A" w:rsidRPr="00C81DE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C81DE4" w:rsidRPr="00C81DE4">
        <w:rPr>
          <w:rFonts w:ascii="Arial" w:eastAsia="Arial" w:hAnsi="Arial" w:cs="Arial"/>
          <w:b/>
          <w:bCs/>
          <w:color w:val="002060"/>
          <w:sz w:val="28"/>
          <w:szCs w:val="28"/>
        </w:rPr>
        <w:t>30</w:t>
      </w:r>
      <w:r w:rsidR="0043225B" w:rsidRPr="00C81DE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C81DE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C81DE4" w:rsidRPr="00C81DE4">
        <w:rPr>
          <w:rFonts w:ascii="Arial" w:eastAsia="Arial" w:hAnsi="Arial" w:cs="Arial"/>
          <w:b/>
          <w:bCs/>
          <w:color w:val="002060"/>
          <w:sz w:val="28"/>
          <w:szCs w:val="28"/>
        </w:rPr>
        <w:t>4.</w:t>
      </w:r>
      <w:r w:rsidR="001E2F2A" w:rsidRPr="00C81DE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202</w:t>
      </w:r>
      <w:r w:rsidRPr="00C81DE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6A289716" w:rsidR="00147AE5" w:rsidRDefault="00147AE5" w:rsidP="00320804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49109A90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povinen při realizaci akce a při plnění účelu dotace dodržovat veškeré podmínky vyplývající z rozhodnutí o poskytnutí dotace (dále jen „Rozhodnutí“), dále ze zákona č. 218/2000 Sb., </w:t>
            </w:r>
            <w:r w:rsidR="009C6164">
              <w:rPr>
                <w:rFonts w:ascii="Arial" w:hAnsi="Arial" w:cs="Arial"/>
                <w:sz w:val="18"/>
                <w:szCs w:val="18"/>
              </w:rPr>
              <w:br/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</w:t>
            </w:r>
            <w:r w:rsidR="009C6164">
              <w:rPr>
                <w:rFonts w:ascii="Arial" w:hAnsi="Arial" w:cs="Arial"/>
                <w:sz w:val="18"/>
                <w:szCs w:val="18"/>
              </w:rPr>
              <w:br/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</w:t>
            </w:r>
            <w:r w:rsidR="009C6164">
              <w:rPr>
                <w:rFonts w:ascii="Arial" w:hAnsi="Arial" w:cs="Arial"/>
                <w:sz w:val="18"/>
                <w:szCs w:val="18"/>
              </w:rPr>
              <w:br/>
            </w:r>
            <w:r w:rsidRPr="00521B84">
              <w:rPr>
                <w:rFonts w:ascii="Arial" w:hAnsi="Arial" w:cs="Arial"/>
                <w:sz w:val="18"/>
                <w:szCs w:val="18"/>
              </w:rPr>
              <w:t>v souladu platnými právními předpisy.</w:t>
            </w:r>
          </w:p>
          <w:p w14:paraId="51D8EA39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08FCA83C" w:rsidR="00D633E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 w:rsidRPr="008B25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 w:rsidRPr="008B25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67C44661" w14:textId="77777777" w:rsidR="00D633E4" w:rsidRPr="008B2519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29FED9A" w14:textId="1D0655D0" w:rsidR="00521B84" w:rsidRPr="00B9214D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14D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 w:rsidRPr="00B921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214D">
              <w:rPr>
                <w:rFonts w:ascii="Arial" w:hAnsi="Arial" w:cs="Arial"/>
                <w:sz w:val="18"/>
                <w:szCs w:val="18"/>
              </w:rPr>
              <w:t xml:space="preserve">postupovat v souladu s veškerými doklady </w:t>
            </w:r>
            <w:r w:rsidR="009C6164">
              <w:rPr>
                <w:rFonts w:ascii="Arial" w:hAnsi="Arial" w:cs="Arial"/>
                <w:sz w:val="18"/>
                <w:szCs w:val="18"/>
              </w:rPr>
              <w:br/>
            </w:r>
            <w:r w:rsidRPr="00B9214D">
              <w:rPr>
                <w:rFonts w:ascii="Arial" w:hAnsi="Arial" w:cs="Arial"/>
                <w:sz w:val="18"/>
                <w:szCs w:val="18"/>
              </w:rPr>
              <w:t>a informacemi předloženými poskytovateli</w:t>
            </w:r>
            <w:r w:rsidR="005736D3" w:rsidRPr="00B9214D">
              <w:rPr>
                <w:rFonts w:ascii="Arial" w:hAnsi="Arial" w:cs="Arial"/>
                <w:sz w:val="18"/>
                <w:szCs w:val="18"/>
              </w:rPr>
              <w:t xml:space="preserve"> a dodržet veškeré parametry, které žadatel </w:t>
            </w:r>
            <w:r w:rsidR="009E1D29" w:rsidRPr="00B9214D">
              <w:rPr>
                <w:rFonts w:ascii="Arial" w:hAnsi="Arial" w:cs="Arial"/>
                <w:sz w:val="18"/>
                <w:szCs w:val="18"/>
              </w:rPr>
              <w:t xml:space="preserve">uvedl </w:t>
            </w:r>
            <w:r w:rsidR="005736D3" w:rsidRPr="00B9214D">
              <w:rPr>
                <w:rFonts w:ascii="Arial" w:hAnsi="Arial" w:cs="Arial"/>
                <w:sz w:val="18"/>
                <w:szCs w:val="18"/>
              </w:rPr>
              <w:t>při podání žádosti o dotaci</w:t>
            </w:r>
            <w:r w:rsidR="009E1D29" w:rsidRPr="00B9214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7F5BFE" w14:textId="77777777" w:rsidR="00D633E4" w:rsidRPr="008B2519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9326D45" w14:textId="4F90A7C8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529E27F" w14:textId="32392553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="00DD2C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8B2519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BFA0D45" w14:textId="4DCD78BD" w:rsidR="00065D48" w:rsidRDefault="00521B84" w:rsidP="00065D4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Celková výše poskytnuté dotace uvedená v Rozhodnutí nebude překročena. Dotace bude příjemcem vynaložena na odůvodněné a řádně prokázané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22DBFAFE" w14:textId="77777777" w:rsidR="00065D48" w:rsidRPr="008B2519" w:rsidRDefault="00065D48" w:rsidP="00D23B4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7DFEB2E" w14:textId="1716DBB1" w:rsidR="00065D48" w:rsidRPr="00065D48" w:rsidRDefault="00065D48" w:rsidP="00065D4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na základě žádosti poskytovatele dotace poskytnout prostřednictvím interní depeše </w:t>
            </w:r>
            <w:r w:rsidR="009C616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CB71787" w14:textId="62F6C195" w:rsidR="00521B84" w:rsidRPr="008B2519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 pravidelných termínech stanovených v Pravidlech je příjemce povinen předkládat depeší informace </w:t>
            </w:r>
            <w:r w:rsidR="009C616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 plnění indikátorů.</w:t>
            </w:r>
            <w:r w:rsidRPr="0002577A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8B2519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644D999" w14:textId="7C51EFBD" w:rsidR="00521B84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2F6D5862" w:rsidR="00521B84" w:rsidRPr="00065D48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</w:t>
            </w:r>
            <w:r w:rsidR="009C6164">
              <w:rPr>
                <w:rFonts w:ascii="Arial" w:hAnsi="Arial" w:cs="Arial"/>
                <w:sz w:val="18"/>
                <w:szCs w:val="18"/>
              </w:rPr>
              <w:br/>
            </w:r>
            <w:r w:rsidRPr="00065D48">
              <w:rPr>
                <w:rFonts w:ascii="Arial" w:hAnsi="Arial" w:cs="Arial"/>
                <w:sz w:val="18"/>
                <w:szCs w:val="18"/>
              </w:rPr>
              <w:t>o podporu před samotnou realizací této změny. V případě, že má změna vliv na podávanou ŽoP/ZoR projektu, musí příjemce podat žádost o změnu údajů před podáním této ŽoP/ZoR projektu nejpozději s datem ukončení sledovaného období/projektu. V návaznosti na funkčnost systému je třeba, aby byla nejdříve schválena žádost o změnu a následně podána ŽoP/ZoR projektu.</w:t>
            </w:r>
          </w:p>
          <w:p w14:paraId="6A8CF118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053D678" w14:textId="0A5E29ED" w:rsid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ŽoP a ZoR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Výsledky projektu je příjemce povinen zachovat minimálně do konce roku 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00B4B2CB" w:rsidR="0097568F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43BEF612" w14:textId="77777777" w:rsidR="00D633E4" w:rsidRPr="008B2519" w:rsidRDefault="00D633E4" w:rsidP="00A555B2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E0928D7" w14:textId="03B6C0BD" w:rsidR="00D633E4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CFD9BCD" w14:textId="10E4669F" w:rsidR="00C86B70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je povinen při zadávání veřejných zakázek postupovat v souladu se zákonem č. 134/2016 Sb., </w:t>
            </w:r>
            <w:r w:rsidR="009C6164">
              <w:rPr>
                <w:rFonts w:ascii="Arial" w:hAnsi="Arial" w:cs="Arial"/>
                <w:sz w:val="18"/>
                <w:szCs w:val="18"/>
              </w:rPr>
              <w:br/>
            </w:r>
            <w:r w:rsidRPr="00C86B70">
              <w:rPr>
                <w:rFonts w:ascii="Arial" w:hAnsi="Arial" w:cs="Arial"/>
                <w:sz w:val="18"/>
                <w:szCs w:val="18"/>
              </w:rPr>
              <w:t>o zadávání veřejných zakázek, a v souladu s Metodickým pokynem pro zadávací řízení pro Národní plán obnovy na období 2021-2026.</w:t>
            </w:r>
            <w:r w:rsidR="00C86B70" w:rsidRPr="00C86B70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8CC4B67" w14:textId="303B9099" w:rsidR="009E12B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D5050C8" w14:textId="6F6486EC" w:rsidR="00C86B70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F5A418D" w14:textId="50F98123" w:rsidR="00CB14AD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1ABC3DD6" w14:textId="35307A49" w:rsidR="00C2464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4EA0FDD" w14:textId="77777777" w:rsidR="00D633E4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8B2519" w:rsidRDefault="2A81BF60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6563095B" w14:textId="5008CD42" w:rsidR="00CB14AD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97CCA1D" w14:textId="5EA586BD" w:rsidR="00D633E4" w:rsidRPr="00D633E4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Žadatel o dotaci musí doložit doklad, kterým bude prokázán právní vztah k nemovitému majetku. Tento doklad nesmí být starší </w:t>
            </w:r>
            <w:r w:rsidR="000520B8">
              <w:rPr>
                <w:rFonts w:ascii="Arial" w:hAnsi="Arial" w:cs="Arial"/>
                <w:sz w:val="18"/>
                <w:szCs w:val="18"/>
              </w:rPr>
              <w:t>tří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 měsíců od data podání žádosti o dotaci. </w:t>
            </w:r>
            <w:r w:rsidR="00B55136" w:rsidRPr="00B55136">
              <w:rPr>
                <w:rFonts w:ascii="Arial" w:hAnsi="Arial" w:cs="Arial"/>
                <w:sz w:val="18"/>
                <w:szCs w:val="18"/>
              </w:rPr>
              <w:t>Doklad musí být úředně ověřen a musí na něm být jasně vyznačena nemovitá věc, která je předmětem žádosti o dotaci.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 Jde o nemovitý majetek, ke kterému se bude vztahovat předmětná projektová dokumentace na rekonstrukci či výstavbu, na základě, které bude realizována rekonstrukce či výstavba v kontextu se splněním následné podmínky </w:t>
            </w:r>
            <w:r w:rsidR="009C6164">
              <w:rPr>
                <w:rFonts w:ascii="Arial" w:hAnsi="Arial" w:cs="Arial"/>
                <w:sz w:val="18"/>
                <w:szCs w:val="18"/>
              </w:rPr>
              <w:br/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o realizaci stavby do 10 let od ukončení projektu. Za doklad o právním vztahu k nemovitému majetku bude považována také smlouva o smlouvě budoucí kupní. V tomto případě (tedy v případě využití smlouvy </w:t>
            </w:r>
            <w:r w:rsidR="009C6164">
              <w:rPr>
                <w:rFonts w:ascii="Arial" w:hAnsi="Arial" w:cs="Arial"/>
                <w:sz w:val="18"/>
                <w:szCs w:val="18"/>
              </w:rPr>
              <w:br/>
            </w:r>
            <w:r w:rsidRPr="00CB14AD">
              <w:rPr>
                <w:rFonts w:ascii="Arial" w:hAnsi="Arial" w:cs="Arial"/>
                <w:sz w:val="18"/>
                <w:szCs w:val="18"/>
              </w:rPr>
              <w:t>o smlouvě budoucí kupní) je podmínkou, aby příjemce dotace v rámci závěrečné zprávy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3BFB57EC" w14:textId="3468CB15" w:rsidR="00DD625C" w:rsidRDefault="00290A25" w:rsidP="00DD625C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>V případě, že se předmět dotace vztahuje k nemovité věci, která není zapsána v katastru nemovitostí, pak žadatel dále předloží: katastrální mapu s vyznačením majetku a evidenční kartu majetku</w:t>
            </w:r>
            <w:r w:rsidR="00DD62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E41774" w14:textId="77777777" w:rsidR="00A555B2" w:rsidRDefault="00A555B2" w:rsidP="00DD625C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A82783" w14:textId="3608FCB8" w:rsidR="00BF64E0" w:rsidRPr="00BF64E0" w:rsidRDefault="00BF64E0" w:rsidP="00BF64E0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4E0">
              <w:rPr>
                <w:rFonts w:ascii="Arial" w:hAnsi="Arial" w:cs="Arial"/>
                <w:sz w:val="18"/>
                <w:szCs w:val="18"/>
              </w:rPr>
              <w:t>Výjimka z plného rozsahu vlastnictví je dále přípustná v případě podání žádosti městskou částí hlavního města Prahy nebo městskou částí/obvodu statutárního města (dále jen „městská část“), a to v případě, že městská část není vlastníkem nemovité věci, ale je jí svěřena správa této nemovité věci, která je ve vlastnictví hlavního města Prahy nebo statutárního města. Tento stav doloží městská část výpisem z katastru nemovitostí. V případě, že nemovitá věc ještě není v době podání žádosti svěřena městské části do správy, doloží žadatel písemný příslib vlastníka nemovité věci o jejím budoucím převodu do správy městské části. V ZoR pak příjemce dotace (městská část) doloží nový výpis z katastru nemovitostí, kterým bude prokázána správa dané nemovité věci.</w:t>
            </w:r>
          </w:p>
          <w:p w14:paraId="204965A4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E045C2" w14:textId="77777777" w:rsidR="007E6E02" w:rsidRPr="005234FF" w:rsidRDefault="007E6E02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C3D5241" w:rsidR="00147AE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8B25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1789492E" w14:textId="77777777" w:rsidR="00454BD2" w:rsidRDefault="00454BD2" w:rsidP="00454BD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90D86F" w14:textId="458ECE74" w:rsidR="00454BD2" w:rsidRDefault="00454BD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>V případě, že je předmětem podpory/výstupem projektu dokumentace k územnímu řízení, nebo dokumentace pro stavební povolení, nebo projekt pro výběr zhotovitele vč. realizačního projektu, nebo projektová příprava PPP, nebo Design&amp;Build, nebo projektová příprava EPC</w:t>
            </w:r>
            <w:r w:rsidR="008B2519">
              <w:rPr>
                <w:rFonts w:ascii="Arial" w:hAnsi="Arial" w:cs="Arial"/>
                <w:sz w:val="18"/>
                <w:szCs w:val="18"/>
              </w:rPr>
              <w:t xml:space="preserve"> (EPC však musí být </w:t>
            </w:r>
            <w:r w:rsidR="008B2519" w:rsidRPr="008B2519">
              <w:rPr>
                <w:rFonts w:ascii="Arial" w:hAnsi="Arial" w:cs="Arial"/>
                <w:sz w:val="18"/>
                <w:szCs w:val="18"/>
              </w:rPr>
              <w:t>součástí projektu, ve kterém se realizuje také některá z</w:t>
            </w:r>
            <w:r w:rsidR="008B2519">
              <w:rPr>
                <w:rFonts w:ascii="Arial" w:hAnsi="Arial" w:cs="Arial"/>
                <w:sz w:val="18"/>
                <w:szCs w:val="18"/>
              </w:rPr>
              <w:t xml:space="preserve"> dalších </w:t>
            </w:r>
            <w:r w:rsidR="008B2519" w:rsidRPr="008B2519">
              <w:rPr>
                <w:rFonts w:ascii="Arial" w:hAnsi="Arial" w:cs="Arial"/>
                <w:sz w:val="18"/>
                <w:szCs w:val="18"/>
              </w:rPr>
              <w:t>aktivit</w:t>
            </w:r>
            <w:r w:rsidR="008B2519">
              <w:rPr>
                <w:rFonts w:ascii="Arial" w:hAnsi="Arial" w:cs="Arial"/>
                <w:sz w:val="18"/>
                <w:szCs w:val="18"/>
              </w:rPr>
              <w:t xml:space="preserve"> podporovaných výzvou</w:t>
            </w:r>
            <w:r w:rsidR="008B2519" w:rsidRPr="008B2519">
              <w:rPr>
                <w:rFonts w:ascii="Arial" w:hAnsi="Arial" w:cs="Arial"/>
                <w:sz w:val="18"/>
                <w:szCs w:val="18"/>
              </w:rPr>
              <w:t>)</w:t>
            </w:r>
            <w:r w:rsidRPr="00454BD2">
              <w:rPr>
                <w:rFonts w:ascii="Arial" w:hAnsi="Arial" w:cs="Arial"/>
                <w:sz w:val="18"/>
                <w:szCs w:val="18"/>
              </w:rPr>
              <w:t xml:space="preserve">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</w:t>
            </w:r>
            <w:r w:rsidRPr="003A0E5F">
              <w:rPr>
                <w:rFonts w:ascii="Arial" w:hAnsi="Arial" w:cs="Arial"/>
                <w:sz w:val="18"/>
                <w:szCs w:val="18"/>
              </w:rPr>
              <w:t>kapitola 3 Realizace projektu</w:t>
            </w:r>
            <w:r w:rsidRPr="00454B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CD3ACB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D718F1" w14:textId="77777777" w:rsidR="00A31D32" w:rsidRDefault="00D633E4" w:rsidP="00A31D3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EA6"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25E4A2F4" w14:textId="77777777" w:rsidR="00A31D32" w:rsidRPr="008B2519" w:rsidRDefault="00A31D32" w:rsidP="00A31D32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25B90461" w14:textId="43E6DC5C" w:rsidR="001A2A68" w:rsidRPr="00B9214D" w:rsidRDefault="00F901D4" w:rsidP="001A2A6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14D">
              <w:rPr>
                <w:rFonts w:ascii="Arial" w:hAnsi="Arial" w:cs="Arial"/>
                <w:sz w:val="18"/>
                <w:szCs w:val="18"/>
              </w:rPr>
              <w:t>Konečný výstup p</w:t>
            </w:r>
            <w:r w:rsidR="00793281" w:rsidRPr="00B9214D">
              <w:rPr>
                <w:rFonts w:ascii="Arial" w:hAnsi="Arial" w:cs="Arial"/>
                <w:sz w:val="18"/>
                <w:szCs w:val="18"/>
              </w:rPr>
              <w:t>odpořen</w:t>
            </w:r>
            <w:r w:rsidRPr="00B9214D">
              <w:rPr>
                <w:rFonts w:ascii="Arial" w:hAnsi="Arial" w:cs="Arial"/>
                <w:sz w:val="18"/>
                <w:szCs w:val="18"/>
              </w:rPr>
              <w:t>ého</w:t>
            </w:r>
            <w:r w:rsidR="00793281" w:rsidRPr="00B9214D">
              <w:rPr>
                <w:rFonts w:ascii="Arial" w:hAnsi="Arial" w:cs="Arial"/>
                <w:sz w:val="18"/>
                <w:szCs w:val="18"/>
              </w:rPr>
              <w:t xml:space="preserve"> projekt</w:t>
            </w:r>
            <w:r w:rsidRPr="00B9214D">
              <w:rPr>
                <w:rFonts w:ascii="Arial" w:hAnsi="Arial" w:cs="Arial"/>
                <w:sz w:val="18"/>
                <w:szCs w:val="18"/>
              </w:rPr>
              <w:t>u</w:t>
            </w:r>
            <w:r w:rsidR="00793281" w:rsidRPr="00B9214D">
              <w:rPr>
                <w:rFonts w:ascii="Arial" w:hAnsi="Arial" w:cs="Arial"/>
                <w:sz w:val="18"/>
                <w:szCs w:val="18"/>
              </w:rPr>
              <w:t xml:space="preserve"> musí </w:t>
            </w:r>
            <w:r w:rsidRPr="00B9214D">
              <w:rPr>
                <w:rFonts w:ascii="Arial" w:hAnsi="Arial" w:cs="Arial"/>
                <w:sz w:val="18"/>
                <w:szCs w:val="18"/>
              </w:rPr>
              <w:t xml:space="preserve">dosáhnout </w:t>
            </w:r>
            <w:r w:rsidR="001A2A68" w:rsidRPr="00B9214D">
              <w:rPr>
                <w:rFonts w:ascii="Arial" w:hAnsi="Arial" w:cs="Arial"/>
                <w:sz w:val="18"/>
                <w:szCs w:val="18"/>
              </w:rPr>
              <w:t xml:space="preserve">buď </w:t>
            </w:r>
            <w:r w:rsidRPr="00B9214D">
              <w:rPr>
                <w:rFonts w:ascii="Arial" w:hAnsi="Arial" w:cs="Arial"/>
                <w:sz w:val="18"/>
                <w:szCs w:val="18"/>
              </w:rPr>
              <w:t>minimální bodové hranice stanovené pro splnění kritérií kvality výstupu projektu a enviromentálních kritérií a spln</w:t>
            </w:r>
            <w:r w:rsidR="008B2519">
              <w:rPr>
                <w:rFonts w:ascii="Arial" w:hAnsi="Arial" w:cs="Arial"/>
                <w:sz w:val="18"/>
                <w:szCs w:val="18"/>
              </w:rPr>
              <w:t>ění</w:t>
            </w:r>
            <w:r w:rsidRPr="00B9214D">
              <w:rPr>
                <w:rFonts w:ascii="Arial" w:hAnsi="Arial" w:cs="Arial"/>
                <w:sz w:val="18"/>
                <w:szCs w:val="18"/>
              </w:rPr>
              <w:t xml:space="preserve"> podmín</w:t>
            </w:r>
            <w:r w:rsidR="008B2519">
              <w:rPr>
                <w:rFonts w:ascii="Arial" w:hAnsi="Arial" w:cs="Arial"/>
                <w:sz w:val="18"/>
                <w:szCs w:val="18"/>
              </w:rPr>
              <w:t>e</w:t>
            </w:r>
            <w:r w:rsidRPr="00B9214D">
              <w:rPr>
                <w:rFonts w:ascii="Arial" w:hAnsi="Arial" w:cs="Arial"/>
                <w:sz w:val="18"/>
                <w:szCs w:val="18"/>
              </w:rPr>
              <w:t xml:space="preserve">k DNSH nebo </w:t>
            </w:r>
            <w:r w:rsidR="007D288D" w:rsidRPr="00B9214D">
              <w:rPr>
                <w:rFonts w:ascii="Arial" w:hAnsi="Arial" w:cs="Arial"/>
                <w:sz w:val="18"/>
                <w:szCs w:val="18"/>
              </w:rPr>
              <w:t>musí</w:t>
            </w:r>
            <w:r w:rsidRPr="00B921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7A92">
              <w:rPr>
                <w:rFonts w:ascii="Arial" w:hAnsi="Arial" w:cs="Arial"/>
                <w:sz w:val="18"/>
                <w:szCs w:val="18"/>
              </w:rPr>
              <w:t>k</w:t>
            </w:r>
            <w:r w:rsidR="00747A92" w:rsidRPr="00747A92">
              <w:rPr>
                <w:rFonts w:ascii="Arial" w:hAnsi="Arial" w:cs="Arial"/>
                <w:sz w:val="18"/>
                <w:szCs w:val="18"/>
              </w:rPr>
              <w:t>onečný výstup projektu dosáhn</w:t>
            </w:r>
            <w:r w:rsidR="00BF64E0">
              <w:rPr>
                <w:rFonts w:ascii="Arial" w:hAnsi="Arial" w:cs="Arial"/>
                <w:sz w:val="18"/>
                <w:szCs w:val="18"/>
              </w:rPr>
              <w:t>out</w:t>
            </w:r>
            <w:r w:rsidR="00747A92" w:rsidRPr="00747A92">
              <w:rPr>
                <w:rFonts w:ascii="Arial" w:hAnsi="Arial" w:cs="Arial"/>
                <w:sz w:val="18"/>
                <w:szCs w:val="18"/>
              </w:rPr>
              <w:t xml:space="preserve"> minimální bodové hranice stanovené pro splnění kritérií kvality výstupu projektu, spln</w:t>
            </w:r>
            <w:r w:rsidR="00747A92">
              <w:rPr>
                <w:rFonts w:ascii="Arial" w:hAnsi="Arial" w:cs="Arial"/>
                <w:sz w:val="18"/>
                <w:szCs w:val="18"/>
              </w:rPr>
              <w:t>it</w:t>
            </w:r>
            <w:r w:rsidR="00747A92" w:rsidRPr="00747A92">
              <w:rPr>
                <w:rFonts w:ascii="Arial" w:hAnsi="Arial" w:cs="Arial"/>
                <w:sz w:val="18"/>
                <w:szCs w:val="18"/>
              </w:rPr>
              <w:t xml:space="preserve"> podmínky DNSH a získ</w:t>
            </w:r>
            <w:r w:rsidR="00747A92">
              <w:rPr>
                <w:rFonts w:ascii="Arial" w:hAnsi="Arial" w:cs="Arial"/>
                <w:sz w:val="18"/>
                <w:szCs w:val="18"/>
              </w:rPr>
              <w:t>at</w:t>
            </w:r>
            <w:r w:rsidR="00747A92" w:rsidRPr="00747A92">
              <w:rPr>
                <w:rFonts w:ascii="Arial" w:hAnsi="Arial" w:cs="Arial"/>
                <w:sz w:val="18"/>
                <w:szCs w:val="18"/>
              </w:rPr>
              <w:t xml:space="preserve"> certifikát níže uvedené úrovně pro certifikaci kvality budov dle na území ČR užívaných metodik pro certifikaci kvality budov.</w:t>
            </w:r>
            <w:r w:rsidR="001A2A68" w:rsidRPr="00B921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653EEA" w14:textId="4D68B64E" w:rsidR="00F901D4" w:rsidRPr="008B2519" w:rsidRDefault="001A2A68" w:rsidP="001A2A68">
            <w:pPr>
              <w:widowControl w:val="0"/>
              <w:ind w:left="73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Doporučenými metodikami </w:t>
            </w:r>
            <w:r w:rsidR="00747A9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 požadovanou úrovní certifikace </w:t>
            </w:r>
            <w:r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jsou: </w:t>
            </w:r>
            <w:r w:rsidR="00F901D4"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SBToolCZ</w:t>
            </w:r>
            <w:r w:rsidR="009E1D29"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: </w:t>
            </w:r>
            <w:r w:rsidR="00F901D4"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minimálně na úrovni bronzového certifikátu, </w:t>
            </w:r>
            <w:r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nebo </w:t>
            </w:r>
            <w:r w:rsidR="00F901D4"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BREEAM (úroveň Good (&gt;45%), nebo LEED (úroveň Certified (40–49 bodů)), nebo DGNB (úroveň Bronze</w:t>
            </w:r>
            <w:r w:rsidR="00747A9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F901D4" w:rsidRPr="008B25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(35–50 %), nebo dle dalších metodik využívaných na území ČR obdobné úrovně.</w:t>
            </w:r>
          </w:p>
          <w:p w14:paraId="522B4C6E" w14:textId="77777777" w:rsidR="00F901D4" w:rsidRPr="008B2519" w:rsidRDefault="00F901D4" w:rsidP="00A31D32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0982055" w14:textId="7783C0F4" w:rsidR="00154103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8B2519" w:rsidRDefault="00D633E4" w:rsidP="00D633E4">
            <w:pPr>
              <w:widowControl w:val="0"/>
              <w:spacing w:after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648944F" w14:textId="77777777" w:rsidR="003D5BDF" w:rsidRDefault="00CB14AD" w:rsidP="003D5BD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096E7DC2" w14:textId="77777777" w:rsidR="003D5BDF" w:rsidRPr="008B2519" w:rsidRDefault="003D5BDF" w:rsidP="003D5BDF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7429D848" w:rsidR="00242ED8" w:rsidRPr="003D5BDF" w:rsidRDefault="00242ED8" w:rsidP="003D5BD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14D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  <w:r w:rsidR="003D5BDF" w:rsidRPr="00B9214D">
              <w:rPr>
                <w:rFonts w:ascii="Arial" w:hAnsi="Arial" w:cs="Arial"/>
                <w:sz w:val="18"/>
                <w:szCs w:val="18"/>
              </w:rPr>
              <w:t xml:space="preserve"> Příjemce je povinen v rámci podání ZoR doložit povinnou přílohu o plnění indikátorů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5B72DAE4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6044341E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33905431" w14:textId="4579884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42FAA7DA" w14:textId="3901B56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25063E0C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7B8722C1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 4 písm. a) rozpočtových pravidel uhradí částku ve výši 0, 02 % z celkové částky vyplacených prostředků podpory v případě, že dojde</w:t>
            </w:r>
          </w:p>
          <w:p w14:paraId="0A4D427F" w14:textId="628822E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50FCC9B1" w14:textId="7A45C251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0CD2770D" w14:textId="77777777" w:rsidR="000C50E9" w:rsidRPr="00EB4BD4" w:rsidRDefault="000C50E9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012DE8D8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 xml:space="preserve">částky vyplacených prostředků podpory v případě, že </w:t>
            </w:r>
          </w:p>
          <w:p w14:paraId="594A6602" w14:textId="678EC35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 nápravné opatření nebo</w:t>
            </w:r>
          </w:p>
          <w:p w14:paraId="163835C5" w14:textId="7A53865B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zachovat dokumentaci k výsledkům projektu podle Podmínek a chybějící dokument nedoložil jiným průkazným způsobem, je možné stanovit výši podpory, ke které se 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057379BF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3A124A30" w:rsidR="009E12B4" w:rsidRPr="00D74CEA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049BDB04" w14:textId="5476EA64" w:rsidR="005E7E91" w:rsidRPr="001A66A2" w:rsidRDefault="009E12B4" w:rsidP="00C81DE4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="007D288D">
              <w:rPr>
                <w:rFonts w:ascii="Arial" w:hAnsi="Arial" w:cs="Arial"/>
                <w:sz w:val="18"/>
                <w:szCs w:val="18"/>
              </w:rPr>
              <w:t>.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2C118D43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</w:t>
            </w:r>
            <w:r w:rsidR="00EA268A">
              <w:rPr>
                <w:rFonts w:ascii="Arial" w:hAnsi="Arial" w:cs="Arial"/>
                <w:sz w:val="18"/>
                <w:szCs w:val="18"/>
              </w:rPr>
              <w:t>/</w:t>
            </w:r>
            <w:r w:rsidRPr="00F56B7A">
              <w:rPr>
                <w:rFonts w:ascii="Arial" w:hAnsi="Arial" w:cs="Arial"/>
                <w:sz w:val="18"/>
                <w:szCs w:val="18"/>
              </w:rPr>
              <w:t>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38E0EE31" w14:textId="77777777" w:rsidR="0064358F" w:rsidRDefault="0064358F" w:rsidP="0064358F">
    <w:pPr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 xml:space="preserve">PRŮBĚŽNÁ 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>VÝZVA – na finanční podporu přípravy projektů souladných s cíli EU (příprava projektů dostupného (vč. sociálního) a udržitelného nájemního bydlení)</w:t>
    </w:r>
  </w:p>
  <w:p w14:paraId="4708BDBD" w14:textId="3A27BE03" w:rsidR="009A57CB" w:rsidRPr="0018504B" w:rsidRDefault="009A57CB" w:rsidP="0018504B">
    <w:pPr>
      <w:pStyle w:val="Zpat"/>
      <w:rPr>
        <w:rFonts w:ascii="Calibri" w:hAnsi="Calibri" w:cs="Calibri"/>
        <w:b/>
        <w:bCs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40A26FFC" w:rsidR="00C955E1" w:rsidRDefault="00911745" w:rsidP="00911745">
    <w:pPr>
      <w:pStyle w:val="Zhlav"/>
      <w:jc w:val="center"/>
    </w:pPr>
    <w:r>
      <w:rPr>
        <w:noProof/>
      </w:rPr>
      <w:drawing>
        <wp:inline distT="0" distB="0" distL="0" distR="0" wp14:anchorId="32AEE6B9" wp14:editId="6478F3CB">
          <wp:extent cx="5124450" cy="724316"/>
          <wp:effectExtent l="0" t="0" r="0" b="0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4241" cy="72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77168434">
    <w:abstractNumId w:val="17"/>
  </w:num>
  <w:num w:numId="36" w16cid:durableId="1775517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520B8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504B"/>
    <w:rsid w:val="00186AFB"/>
    <w:rsid w:val="00195D6C"/>
    <w:rsid w:val="00197B0A"/>
    <w:rsid w:val="001A2A68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2ED8"/>
    <w:rsid w:val="0025070C"/>
    <w:rsid w:val="00251A4C"/>
    <w:rsid w:val="002537C4"/>
    <w:rsid w:val="00256685"/>
    <w:rsid w:val="0026176F"/>
    <w:rsid w:val="00265599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0E5F"/>
    <w:rsid w:val="003A7C0C"/>
    <w:rsid w:val="003B1BE2"/>
    <w:rsid w:val="003C615A"/>
    <w:rsid w:val="003D30DC"/>
    <w:rsid w:val="003D4BCB"/>
    <w:rsid w:val="003D5BDF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4BD2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2FCE"/>
    <w:rsid w:val="005736D3"/>
    <w:rsid w:val="005765B4"/>
    <w:rsid w:val="00576C7A"/>
    <w:rsid w:val="00583F86"/>
    <w:rsid w:val="005A46D5"/>
    <w:rsid w:val="005A501C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358F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37245"/>
    <w:rsid w:val="00742BF2"/>
    <w:rsid w:val="00745B1C"/>
    <w:rsid w:val="00747A92"/>
    <w:rsid w:val="007520DF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54C8"/>
    <w:rsid w:val="007C7D31"/>
    <w:rsid w:val="007D288D"/>
    <w:rsid w:val="007D44BE"/>
    <w:rsid w:val="007D5B6A"/>
    <w:rsid w:val="007D7EBA"/>
    <w:rsid w:val="007E6E02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86EBF"/>
    <w:rsid w:val="008944F4"/>
    <w:rsid w:val="0089570B"/>
    <w:rsid w:val="008A551E"/>
    <w:rsid w:val="008B2519"/>
    <w:rsid w:val="008C457F"/>
    <w:rsid w:val="008C743A"/>
    <w:rsid w:val="008D72B8"/>
    <w:rsid w:val="008E43B0"/>
    <w:rsid w:val="008F6AE5"/>
    <w:rsid w:val="0090366B"/>
    <w:rsid w:val="009062EC"/>
    <w:rsid w:val="00911745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2932"/>
    <w:rsid w:val="009A57CB"/>
    <w:rsid w:val="009A9847"/>
    <w:rsid w:val="009B2887"/>
    <w:rsid w:val="009C03D0"/>
    <w:rsid w:val="009C4873"/>
    <w:rsid w:val="009C53D8"/>
    <w:rsid w:val="009C6164"/>
    <w:rsid w:val="009D1430"/>
    <w:rsid w:val="009D4BAB"/>
    <w:rsid w:val="009D4E47"/>
    <w:rsid w:val="009D79C4"/>
    <w:rsid w:val="009E12B4"/>
    <w:rsid w:val="009E1D29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1D32"/>
    <w:rsid w:val="00A32934"/>
    <w:rsid w:val="00A35D9F"/>
    <w:rsid w:val="00A47E42"/>
    <w:rsid w:val="00A555B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A4F2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55136"/>
    <w:rsid w:val="00B61ACB"/>
    <w:rsid w:val="00B62BFF"/>
    <w:rsid w:val="00B768A9"/>
    <w:rsid w:val="00B76A6B"/>
    <w:rsid w:val="00B77696"/>
    <w:rsid w:val="00B87249"/>
    <w:rsid w:val="00B9214D"/>
    <w:rsid w:val="00B92BB3"/>
    <w:rsid w:val="00BA0920"/>
    <w:rsid w:val="00BA1272"/>
    <w:rsid w:val="00BA30E1"/>
    <w:rsid w:val="00BA388A"/>
    <w:rsid w:val="00BA6796"/>
    <w:rsid w:val="00BA7EA6"/>
    <w:rsid w:val="00BC1754"/>
    <w:rsid w:val="00BC4217"/>
    <w:rsid w:val="00BD690D"/>
    <w:rsid w:val="00BD7BD2"/>
    <w:rsid w:val="00BE69D1"/>
    <w:rsid w:val="00BE6BF3"/>
    <w:rsid w:val="00BF06F8"/>
    <w:rsid w:val="00BF64E0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1DE4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627E"/>
    <w:rsid w:val="00CE78C7"/>
    <w:rsid w:val="00CF0794"/>
    <w:rsid w:val="00CF49C4"/>
    <w:rsid w:val="00D2015C"/>
    <w:rsid w:val="00D23B4E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2CF0"/>
    <w:rsid w:val="00DD30DE"/>
    <w:rsid w:val="00DD5D6F"/>
    <w:rsid w:val="00DD625C"/>
    <w:rsid w:val="00DE5520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268A"/>
    <w:rsid w:val="00EA4F12"/>
    <w:rsid w:val="00EA62BF"/>
    <w:rsid w:val="00EC03C4"/>
    <w:rsid w:val="00EC0441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1D4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  <w:style w:type="paragraph" w:styleId="Bezmezer">
    <w:name w:val="No Spacing"/>
    <w:link w:val="BezmezerChar"/>
    <w:uiPriority w:val="1"/>
    <w:qFormat/>
    <w:rsid w:val="00F901D4"/>
    <w:pPr>
      <w:spacing w:before="40" w:after="40"/>
    </w:pPr>
    <w:rPr>
      <w:rFonts w:ascii="Arial" w:eastAsiaTheme="minorHAnsi" w:hAnsi="Arial" w:cstheme="minorBidi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F901D4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2089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Blokešová Nikola</cp:lastModifiedBy>
  <cp:revision>12</cp:revision>
  <cp:lastPrinted>2023-11-09T09:51:00Z</cp:lastPrinted>
  <dcterms:created xsi:type="dcterms:W3CDTF">2024-04-15T11:05:00Z</dcterms:created>
  <dcterms:modified xsi:type="dcterms:W3CDTF">2024-04-29T11:27:00Z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