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77" w:rsidRPr="00924F38" w:rsidRDefault="00741B77" w:rsidP="005A7858">
      <w:pPr>
        <w:spacing w:line="240" w:lineRule="auto"/>
        <w:jc w:val="center"/>
        <w:rPr>
          <w:color w:val="365F91"/>
          <w:sz w:val="32"/>
          <w:szCs w:val="32"/>
          <w:lang w:eastAsia="cs-CZ"/>
        </w:rPr>
      </w:pPr>
      <w:r w:rsidRPr="00924F38">
        <w:rPr>
          <w:color w:val="365F91"/>
          <w:sz w:val="32"/>
          <w:szCs w:val="32"/>
          <w:lang w:eastAsia="cs-CZ"/>
        </w:rPr>
        <w:t>Zápis z</w:t>
      </w:r>
      <w:r>
        <w:rPr>
          <w:color w:val="365F91"/>
          <w:sz w:val="32"/>
          <w:szCs w:val="32"/>
          <w:lang w:eastAsia="cs-CZ"/>
        </w:rPr>
        <w:t xml:space="preserve"> V.</w:t>
      </w:r>
      <w:r w:rsidRPr="00924F38">
        <w:rPr>
          <w:color w:val="365F91"/>
          <w:sz w:val="32"/>
          <w:szCs w:val="32"/>
          <w:lang w:eastAsia="cs-CZ"/>
        </w:rPr>
        <w:t xml:space="preserve"> jednání </w:t>
      </w:r>
    </w:p>
    <w:p w:rsidR="00741B77" w:rsidRPr="00CC6AA6" w:rsidRDefault="00741B77" w:rsidP="005A7858">
      <w:pPr>
        <w:spacing w:after="240" w:line="240" w:lineRule="auto"/>
        <w:jc w:val="center"/>
        <w:rPr>
          <w:b/>
          <w:color w:val="365F91"/>
          <w:sz w:val="36"/>
          <w:szCs w:val="36"/>
          <w:lang w:eastAsia="cs-CZ"/>
        </w:rPr>
      </w:pPr>
      <w:r w:rsidRPr="00CC6AA6">
        <w:rPr>
          <w:b/>
          <w:color w:val="365F91"/>
          <w:sz w:val="36"/>
          <w:szCs w:val="36"/>
          <w:lang w:eastAsia="cs-CZ"/>
        </w:rPr>
        <w:t>Expertní skupiny pro strategickou práci</w:t>
      </w:r>
    </w:p>
    <w:tbl>
      <w:tblPr>
        <w:tblW w:w="9794" w:type="dxa"/>
        <w:jc w:val="center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516"/>
        <w:gridCol w:w="936"/>
        <w:gridCol w:w="204"/>
        <w:gridCol w:w="5852"/>
        <w:gridCol w:w="934"/>
        <w:gridCol w:w="1352"/>
      </w:tblGrid>
      <w:tr w:rsidR="00741B77" w:rsidRPr="00397D33" w:rsidTr="00CC6AA6">
        <w:trPr>
          <w:trHeight w:val="220"/>
          <w:jc w:val="center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Datum</w:t>
            </w:r>
            <w:r>
              <w:rPr>
                <w:b/>
                <w:lang w:eastAsia="cs-CZ"/>
              </w:rPr>
              <w:t>, čas</w:t>
            </w:r>
            <w:r w:rsidRPr="00397D33">
              <w:rPr>
                <w:b/>
                <w:lang w:eastAsia="cs-CZ"/>
              </w:rPr>
              <w:t>:</w:t>
            </w:r>
          </w:p>
        </w:tc>
        <w:tc>
          <w:tcPr>
            <w:tcW w:w="8342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lang w:eastAsia="cs-CZ"/>
              </w:rPr>
            </w:pPr>
            <w:r>
              <w:rPr>
                <w:lang w:eastAsia="cs-CZ"/>
              </w:rPr>
              <w:t>15. 12. 2016; 10:00</w:t>
            </w:r>
            <w:r w:rsidRPr="00397D33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–</w:t>
            </w:r>
            <w:r w:rsidRPr="00397D33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11:30 hod.</w:t>
            </w:r>
          </w:p>
        </w:tc>
      </w:tr>
      <w:tr w:rsidR="00741B77" w:rsidRPr="00397D33" w:rsidTr="002C00DC">
        <w:trPr>
          <w:trHeight w:val="267"/>
          <w:jc w:val="center"/>
        </w:trPr>
        <w:tc>
          <w:tcPr>
            <w:tcW w:w="1452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lang w:eastAsia="cs-CZ"/>
              </w:rPr>
            </w:pPr>
            <w:r w:rsidRPr="00397D33">
              <w:rPr>
                <w:b/>
                <w:lang w:eastAsia="cs-CZ"/>
              </w:rPr>
              <w:t>Místo:</w:t>
            </w:r>
          </w:p>
        </w:tc>
        <w:tc>
          <w:tcPr>
            <w:tcW w:w="8342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lang w:eastAsia="cs-CZ"/>
              </w:rPr>
            </w:pPr>
            <w:r w:rsidRPr="00397D33">
              <w:rPr>
                <w:lang w:eastAsia="cs-CZ"/>
              </w:rPr>
              <w:t xml:space="preserve">Ministerstvo pro místní rozvoj, </w:t>
            </w:r>
            <w:r>
              <w:rPr>
                <w:lang w:eastAsia="cs-CZ"/>
              </w:rPr>
              <w:t>Staroměstské nám. 6</w:t>
            </w:r>
            <w:r w:rsidRPr="00397D33">
              <w:rPr>
                <w:lang w:eastAsia="cs-CZ"/>
              </w:rPr>
              <w:t>, Praha 1</w:t>
            </w:r>
          </w:p>
        </w:tc>
      </w:tr>
      <w:tr w:rsidR="00741B77" w:rsidRPr="00397D33" w:rsidTr="002C00DC">
        <w:trPr>
          <w:trHeight w:val="267"/>
          <w:jc w:val="center"/>
        </w:trPr>
        <w:tc>
          <w:tcPr>
            <w:tcW w:w="1452" w:type="dxa"/>
            <w:gridSpan w:val="2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Účast:</w:t>
            </w:r>
          </w:p>
        </w:tc>
        <w:tc>
          <w:tcPr>
            <w:tcW w:w="8342" w:type="dxa"/>
            <w:gridSpan w:val="4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60" w:line="240" w:lineRule="auto"/>
              <w:rPr>
                <w:b/>
                <w:lang w:eastAsia="cs-CZ"/>
              </w:rPr>
            </w:pPr>
            <w:r>
              <w:rPr>
                <w:lang w:eastAsia="cs-CZ"/>
              </w:rPr>
              <w:t>viz prezenční listina</w:t>
            </w:r>
          </w:p>
        </w:tc>
      </w:tr>
      <w:tr w:rsidR="00741B77" w:rsidRPr="00CC6AA6" w:rsidTr="00CC6AA6">
        <w:trPr>
          <w:trHeight w:val="25"/>
          <w:jc w:val="center"/>
        </w:trPr>
        <w:tc>
          <w:tcPr>
            <w:tcW w:w="979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741B77" w:rsidRPr="00397D33" w:rsidTr="002C00DC">
        <w:trPr>
          <w:trHeight w:val="1140"/>
          <w:jc w:val="center"/>
        </w:trPr>
        <w:tc>
          <w:tcPr>
            <w:tcW w:w="979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1B77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>
              <w:t>Zahájení jednání</w:t>
            </w:r>
          </w:p>
          <w:p w:rsidR="00741B77" w:rsidRPr="00A25520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 w:rsidRPr="00A25520">
              <w:t xml:space="preserve">Informace </w:t>
            </w:r>
            <w:r>
              <w:t>z oblasti Kohezní politiky</w:t>
            </w:r>
          </w:p>
          <w:p w:rsidR="00741B77" w:rsidRPr="00A25520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>
              <w:t>Představení modulu přípravy strategií v Databázi strategií</w:t>
            </w:r>
          </w:p>
          <w:p w:rsidR="00741B77" w:rsidRPr="00A25520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>
              <w:t>Typologie strategických dokumentů</w:t>
            </w:r>
          </w:p>
          <w:p w:rsidR="00741B77" w:rsidRPr="00A25520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 w:rsidRPr="00A25520">
              <w:t xml:space="preserve">Různé </w:t>
            </w:r>
          </w:p>
          <w:p w:rsidR="00741B77" w:rsidRPr="00A25520" w:rsidRDefault="00741B77" w:rsidP="005A7858">
            <w:pPr>
              <w:pStyle w:val="Odstavecseseznamem"/>
              <w:numPr>
                <w:ilvl w:val="0"/>
                <w:numId w:val="4"/>
              </w:numPr>
              <w:spacing w:after="40"/>
              <w:ind w:left="396"/>
              <w:contextualSpacing w:val="0"/>
            </w:pPr>
            <w:r w:rsidRPr="00A25520">
              <w:t>Závěr a shrnutí</w:t>
            </w:r>
          </w:p>
        </w:tc>
      </w:tr>
      <w:tr w:rsidR="00741B77" w:rsidRPr="00397D33" w:rsidTr="002C00DC">
        <w:trPr>
          <w:trHeight w:hRule="exact" w:val="340"/>
          <w:jc w:val="center"/>
        </w:trPr>
        <w:tc>
          <w:tcPr>
            <w:tcW w:w="979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line="240" w:lineRule="auto"/>
              <w:rPr>
                <w:b/>
                <w:caps/>
                <w:sz w:val="24"/>
                <w:szCs w:val="24"/>
                <w:lang w:eastAsia="cs-CZ"/>
              </w:rPr>
            </w:pPr>
            <w:r w:rsidRPr="00397D33">
              <w:rPr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741B77" w:rsidRPr="00397D33" w:rsidTr="00CC6AA6">
        <w:trPr>
          <w:trHeight w:val="1133"/>
          <w:jc w:val="center"/>
        </w:trPr>
        <w:tc>
          <w:tcPr>
            <w:tcW w:w="9794" w:type="dxa"/>
            <w:gridSpan w:val="6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41B77" w:rsidRPr="00924F38" w:rsidRDefault="00741B77" w:rsidP="005A7858">
            <w:pPr>
              <w:pStyle w:val="Odstavecseseznamem"/>
              <w:numPr>
                <w:ilvl w:val="0"/>
                <w:numId w:val="2"/>
              </w:numPr>
              <w:spacing w:after="60"/>
              <w:ind w:left="289" w:hanging="289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924F38">
              <w:rPr>
                <w:b/>
                <w:color w:val="2E74B5" w:themeColor="accent1" w:themeShade="BF"/>
                <w:sz w:val="24"/>
                <w:szCs w:val="24"/>
              </w:rPr>
              <w:t>Zahájení a úvod</w:t>
            </w:r>
          </w:p>
          <w:p w:rsidR="00741B77" w:rsidRPr="00107984" w:rsidRDefault="00741B77" w:rsidP="005A7858">
            <w:pPr>
              <w:pStyle w:val="Bezmezer"/>
              <w:spacing w:after="60"/>
              <w:jc w:val="both"/>
            </w:pPr>
            <w:r>
              <w:t>J</w:t>
            </w:r>
            <w:r w:rsidRPr="00604792">
              <w:t>ednání Expertní skupiny</w:t>
            </w:r>
            <w:r>
              <w:t xml:space="preserve"> (dále jen ESSP)</w:t>
            </w:r>
            <w:r w:rsidRPr="00604792">
              <w:t xml:space="preserve"> </w:t>
            </w:r>
            <w:r>
              <w:t>zahájil její místopředseda Ing. David Škorňa</w:t>
            </w:r>
            <w:r w:rsidRPr="00604792">
              <w:t xml:space="preserve">. </w:t>
            </w:r>
            <w:r>
              <w:t>Informoval členy ESSP</w:t>
            </w:r>
            <w:r w:rsidR="00CC6AA6">
              <w:t xml:space="preserve"> o</w:t>
            </w:r>
            <w:r>
              <w:t xml:space="preserve"> schválen</w:t>
            </w:r>
            <w:r w:rsidR="00CC6AA6">
              <w:t>í</w:t>
            </w:r>
            <w:r>
              <w:t xml:space="preserve"> statu</w:t>
            </w:r>
            <w:r w:rsidR="00CC6AA6">
              <w:t>tu</w:t>
            </w:r>
            <w:r>
              <w:t xml:space="preserve"> ESSP ve formě, v jaké byl členům po IV. jednání rozeslán. Statut bude k dispozici na webových stránkách pro strategickou práci </w:t>
            </w:r>
            <w:hyperlink r:id="rId8" w:history="1">
              <w:r w:rsidRPr="00096BFD">
                <w:rPr>
                  <w:rStyle w:val="Hypertextovodkaz"/>
                </w:rPr>
                <w:t>www.verejne-strategie.cz</w:t>
              </w:r>
            </w:hyperlink>
            <w:r>
              <w:t>.</w:t>
            </w:r>
          </w:p>
        </w:tc>
      </w:tr>
      <w:tr w:rsidR="00741B77" w:rsidRPr="00397D33" w:rsidTr="008C73C7">
        <w:trPr>
          <w:trHeight w:val="2666"/>
          <w:jc w:val="center"/>
        </w:trPr>
        <w:tc>
          <w:tcPr>
            <w:tcW w:w="979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41B77" w:rsidRPr="00583359" w:rsidRDefault="00741B77" w:rsidP="005A7858">
            <w:pPr>
              <w:pStyle w:val="Odstavecseseznamem"/>
              <w:numPr>
                <w:ilvl w:val="0"/>
                <w:numId w:val="2"/>
              </w:numPr>
              <w:spacing w:after="60"/>
              <w:ind w:left="289" w:hanging="289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583359">
              <w:rPr>
                <w:b/>
                <w:color w:val="2E74B5" w:themeColor="accent1" w:themeShade="BF"/>
                <w:sz w:val="24"/>
                <w:szCs w:val="24"/>
              </w:rPr>
              <w:t xml:space="preserve">Informace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z oblasti Kohezní politiky</w:t>
            </w:r>
          </w:p>
          <w:p w:rsidR="00741B77" w:rsidRDefault="00741B77" w:rsidP="005A7858">
            <w:pPr>
              <w:pStyle w:val="Bezmezer"/>
              <w:spacing w:before="60" w:after="60"/>
              <w:jc w:val="both"/>
            </w:pPr>
            <w:r>
              <w:rPr>
                <w:b/>
              </w:rPr>
              <w:t>D</w:t>
            </w:r>
            <w:r w:rsidRPr="00BB149A">
              <w:rPr>
                <w:b/>
              </w:rPr>
              <w:t xml:space="preserve">. </w:t>
            </w:r>
            <w:r>
              <w:rPr>
                <w:b/>
              </w:rPr>
              <w:t xml:space="preserve">Škorňa </w:t>
            </w:r>
            <w:r>
              <w:t xml:space="preserve">(MMR) informoval členy o aktuálním vývoji čerpání a novinkách z oblasti ESI fondů, vč. aktuálního stavu čerpání </w:t>
            </w:r>
            <w:r w:rsidR="00CC6AA6">
              <w:t xml:space="preserve">na úrovni </w:t>
            </w:r>
            <w:r>
              <w:t>Dohody o partnerství (</w:t>
            </w:r>
            <w:proofErr w:type="spellStart"/>
            <w:r>
              <w:t>DoP</w:t>
            </w:r>
            <w:proofErr w:type="spellEnd"/>
            <w:r>
              <w:t>). Dále informoval o přípravě programového období po roce 2020 (</w:t>
            </w:r>
            <w:r w:rsidR="00CC6AA6">
              <w:t>p</w:t>
            </w:r>
            <w:r w:rsidRPr="005D3C8A">
              <w:t>oziční</w:t>
            </w:r>
            <w:r w:rsidR="00CC6AA6">
              <w:t>m</w:t>
            </w:r>
            <w:r w:rsidRPr="005D3C8A">
              <w:t xml:space="preserve"> dokumentu</w:t>
            </w:r>
            <w:r>
              <w:t xml:space="preserve">; </w:t>
            </w:r>
            <w:r w:rsidRPr="00BC6D8D">
              <w:t>dokumentu stanovující</w:t>
            </w:r>
            <w:r>
              <w:t>ho</w:t>
            </w:r>
            <w:r w:rsidRPr="00BC6D8D">
              <w:t xml:space="preserve"> priority ČR po roce 2020)</w:t>
            </w:r>
            <w:r>
              <w:t xml:space="preserve">. Předeslal, že se v 1. </w:t>
            </w:r>
            <w:r w:rsidR="00CC6AA6">
              <w:t>p</w:t>
            </w:r>
            <w:r>
              <w:t>ol</w:t>
            </w:r>
            <w:r w:rsidR="00CC6AA6">
              <w:t>.</w:t>
            </w:r>
            <w:r>
              <w:t xml:space="preserve"> 2017 </w:t>
            </w:r>
            <w:r w:rsidR="00CC6AA6">
              <w:t xml:space="preserve">se </w:t>
            </w:r>
            <w:r>
              <w:t>v Praze uskuteční k</w:t>
            </w:r>
            <w:r w:rsidRPr="00B1003C">
              <w:t xml:space="preserve">onference k </w:t>
            </w:r>
            <w:r w:rsidR="00CC6AA6" w:rsidRPr="00B1003C">
              <w:t xml:space="preserve">urbánní agendě </w:t>
            </w:r>
            <w:r w:rsidR="00CC6AA6">
              <w:t>vč. tématu kohezní politiky.</w:t>
            </w:r>
            <w:r>
              <w:t xml:space="preserve"> Seznámil členy ESSP s výsledky analýzy komunitárních programů, kterou MMR-NOK nechalo zpracovat a které jsou nyní dostupné </w:t>
            </w:r>
            <w:hyperlink r:id="rId9" w:history="1">
              <w:r w:rsidRPr="0000496F">
                <w:rPr>
                  <w:rStyle w:val="Hypertextovodkaz"/>
                </w:rPr>
                <w:t>na stránkách MMR</w:t>
              </w:r>
            </w:hyperlink>
            <w:r>
              <w:t xml:space="preserve">. Informoval o pokračování prací </w:t>
            </w:r>
            <w:r w:rsidR="005A7858">
              <w:t>na</w:t>
            </w:r>
            <w:r>
              <w:t xml:space="preserve"> h</w:t>
            </w:r>
            <w:r w:rsidRPr="00262E14">
              <w:t>odnocení příspěvku ESI fondů</w:t>
            </w:r>
            <w:r w:rsidR="005A7858">
              <w:t xml:space="preserve"> k naplňování cílů strategií</w:t>
            </w:r>
            <w:r w:rsidRPr="00FF616D">
              <w:t>.</w:t>
            </w:r>
          </w:p>
          <w:p w:rsidR="00741B77" w:rsidRPr="00B526FB" w:rsidRDefault="008C73C7" w:rsidP="008C73C7">
            <w:pPr>
              <w:pStyle w:val="Bezmezer"/>
              <w:spacing w:before="80" w:after="80"/>
              <w:jc w:val="both"/>
            </w:pPr>
            <w:r w:rsidRPr="008C73C7">
              <w:t>V diskusi zazněla</w:t>
            </w:r>
            <w:r>
              <w:t xml:space="preserve"> např.</w:t>
            </w:r>
            <w:r w:rsidRPr="008C73C7">
              <w:t xml:space="preserve"> debata k způsobu přípravy klíčových dokumentů pro přípravu období 2020+; zdůraznění nutnosti reflexe </w:t>
            </w:r>
            <w:proofErr w:type="spellStart"/>
            <w:r w:rsidR="00741B77" w:rsidRPr="008C73C7">
              <w:t>Brexitu</w:t>
            </w:r>
            <w:proofErr w:type="spellEnd"/>
            <w:r w:rsidR="00741B77" w:rsidRPr="008C73C7">
              <w:t xml:space="preserve"> p</w:t>
            </w:r>
            <w:r w:rsidRPr="008C73C7">
              <w:t xml:space="preserve">ři přípravě pozičního dokumentu; možnosti zvažovat např. i </w:t>
            </w:r>
            <w:r w:rsidR="00741B77" w:rsidRPr="008C73C7">
              <w:t>přeskládání NUTS 2</w:t>
            </w:r>
            <w:r w:rsidRPr="008C73C7">
              <w:t xml:space="preserve"> k dosažení objektivní míry podpory</w:t>
            </w:r>
            <w:r>
              <w:t xml:space="preserve">; či možnosti systémovější podpory (i institucionálního charakteru) v oblasti komunitárních programů na úrovni celé ČR. </w:t>
            </w:r>
          </w:p>
        </w:tc>
      </w:tr>
      <w:tr w:rsidR="00741B77" w:rsidRPr="00397D33" w:rsidTr="002C00DC">
        <w:trPr>
          <w:trHeight w:val="329"/>
          <w:jc w:val="center"/>
        </w:trPr>
        <w:tc>
          <w:tcPr>
            <w:tcW w:w="979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41B77" w:rsidRPr="00D56592" w:rsidRDefault="00741B77" w:rsidP="005A7858">
            <w:pPr>
              <w:pStyle w:val="Odstavecseseznamem"/>
              <w:numPr>
                <w:ilvl w:val="0"/>
                <w:numId w:val="2"/>
              </w:numPr>
              <w:spacing w:after="0"/>
              <w:ind w:left="254" w:hanging="254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A00D21">
              <w:rPr>
                <w:b/>
                <w:color w:val="2E74B5" w:themeColor="accent1" w:themeShade="BF"/>
                <w:sz w:val="24"/>
                <w:szCs w:val="24"/>
              </w:rPr>
              <w:t>Představení modulu přípravy strategií v Databázi strategií</w:t>
            </w:r>
          </w:p>
          <w:p w:rsidR="00741B77" w:rsidRDefault="00741B77" w:rsidP="005A7858">
            <w:pPr>
              <w:spacing w:before="40" w:after="60" w:line="240" w:lineRule="auto"/>
              <w:jc w:val="both"/>
            </w:pPr>
            <w:r>
              <w:rPr>
                <w:b/>
              </w:rPr>
              <w:t>P</w:t>
            </w:r>
            <w:r w:rsidRPr="008335DB">
              <w:rPr>
                <w:b/>
              </w:rPr>
              <w:t xml:space="preserve">. </w:t>
            </w:r>
            <w:r>
              <w:rPr>
                <w:b/>
              </w:rPr>
              <w:t>Švec</w:t>
            </w:r>
            <w:r>
              <w:t xml:space="preserve"> (NSZM) představil nový </w:t>
            </w:r>
            <w:r w:rsidRPr="00480AFE">
              <w:t xml:space="preserve">modul přípravy strategických dokumentů v Databázi </w:t>
            </w:r>
            <w:r>
              <w:t xml:space="preserve">strategií, vč. ukázek konkrétních funkcí. Modul byl pilotně testován </w:t>
            </w:r>
            <w:r w:rsidRPr="00480AFE">
              <w:t xml:space="preserve">na </w:t>
            </w:r>
            <w:r>
              <w:t>připravované strategii</w:t>
            </w:r>
            <w:r w:rsidRPr="00480AFE">
              <w:t xml:space="preserve"> „ČR 2030“.</w:t>
            </w:r>
          </w:p>
          <w:p w:rsidR="00741B77" w:rsidRPr="00924F38" w:rsidRDefault="00741B77" w:rsidP="005A7858">
            <w:pPr>
              <w:pStyle w:val="Bezmezer"/>
              <w:spacing w:before="160" w:after="80"/>
              <w:jc w:val="both"/>
              <w:rPr>
                <w:u w:val="single"/>
              </w:rPr>
            </w:pPr>
            <w:r w:rsidRPr="00924F38">
              <w:rPr>
                <w:u w:val="single"/>
              </w:rPr>
              <w:t>Dis</w:t>
            </w:r>
            <w:r>
              <w:rPr>
                <w:u w:val="single"/>
              </w:rPr>
              <w:t>k</w:t>
            </w:r>
            <w:r w:rsidRPr="00924F38">
              <w:rPr>
                <w:u w:val="single"/>
              </w:rPr>
              <w:t>use:</w:t>
            </w:r>
          </w:p>
          <w:p w:rsidR="00741B77" w:rsidRPr="00D34359" w:rsidRDefault="00741B77" w:rsidP="005A7858">
            <w:pPr>
              <w:pStyle w:val="Bezmezer"/>
              <w:numPr>
                <w:ilvl w:val="0"/>
                <w:numId w:val="3"/>
              </w:numPr>
              <w:spacing w:after="100"/>
              <w:ind w:left="396"/>
              <w:jc w:val="both"/>
            </w:pPr>
            <w:r>
              <w:rPr>
                <w:b/>
              </w:rPr>
              <w:t>D</w:t>
            </w:r>
            <w:r w:rsidRPr="00D34359">
              <w:rPr>
                <w:b/>
              </w:rPr>
              <w:t>. Š</w:t>
            </w:r>
            <w:r>
              <w:rPr>
                <w:b/>
              </w:rPr>
              <w:t>korňa</w:t>
            </w:r>
            <w:r>
              <w:t xml:space="preserve"> nabídl členům ESSP možnost odzkoušení modulu na dalších 2-3 strategických dokumentech.</w:t>
            </w:r>
          </w:p>
          <w:p w:rsidR="00741B77" w:rsidRDefault="00741B77" w:rsidP="005A7858">
            <w:pPr>
              <w:pStyle w:val="Bezmezer"/>
              <w:numPr>
                <w:ilvl w:val="0"/>
                <w:numId w:val="3"/>
              </w:numPr>
              <w:spacing w:after="100"/>
              <w:ind w:left="396"/>
              <w:jc w:val="both"/>
            </w:pPr>
            <w:r>
              <w:rPr>
                <w:b/>
              </w:rPr>
              <w:t xml:space="preserve">Z. Machát </w:t>
            </w:r>
            <w:r w:rsidRPr="005F3160">
              <w:t>(</w:t>
            </w:r>
            <w:r>
              <w:t>ÚV</w:t>
            </w:r>
            <w:r w:rsidRPr="005F3160">
              <w:t>)</w:t>
            </w:r>
            <w:r w:rsidRPr="00924F38">
              <w:t xml:space="preserve"> </w:t>
            </w:r>
            <w:r>
              <w:t>sdělil pozitivní zkušenost s psaním strategického dokumentu formou malých odstavců, což ulehčuje i práci s Databází.</w:t>
            </w:r>
          </w:p>
          <w:p w:rsidR="00741B77" w:rsidRPr="003F7277" w:rsidRDefault="00741B77" w:rsidP="005A7858">
            <w:pPr>
              <w:pStyle w:val="Bezmezer"/>
              <w:numPr>
                <w:ilvl w:val="0"/>
                <w:numId w:val="3"/>
              </w:numPr>
              <w:spacing w:after="100"/>
              <w:ind w:left="396"/>
              <w:jc w:val="both"/>
            </w:pPr>
            <w:r>
              <w:rPr>
                <w:b/>
              </w:rPr>
              <w:t xml:space="preserve">I. Hartmann </w:t>
            </w:r>
            <w:r w:rsidRPr="00CD0C37">
              <w:t>(MMR)</w:t>
            </w:r>
            <w:r>
              <w:t xml:space="preserve"> v kontextu debaty o strategii ČR 2030 připomněl, že v předkládací zprávě je třeba explicite zmínit, že bylo při přípravě dokumentu vycházeno z Metodiky.</w:t>
            </w:r>
          </w:p>
        </w:tc>
      </w:tr>
      <w:tr w:rsidR="00741B77" w:rsidRPr="00397D33" w:rsidTr="00CC6AA6">
        <w:trPr>
          <w:trHeight w:val="2193"/>
          <w:jc w:val="center"/>
        </w:trPr>
        <w:tc>
          <w:tcPr>
            <w:tcW w:w="979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41B77" w:rsidRPr="004C4701" w:rsidRDefault="00741B77" w:rsidP="005A7858">
            <w:pPr>
              <w:pStyle w:val="Odstavecseseznamem"/>
              <w:numPr>
                <w:ilvl w:val="0"/>
                <w:numId w:val="2"/>
              </w:numPr>
              <w:spacing w:after="60"/>
              <w:ind w:left="289" w:hanging="289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065FB4">
              <w:rPr>
                <w:b/>
                <w:color w:val="2E74B5" w:themeColor="accent1" w:themeShade="BF"/>
                <w:sz w:val="24"/>
                <w:szCs w:val="24"/>
              </w:rPr>
              <w:t>Typologie strategických dokumentů</w:t>
            </w:r>
          </w:p>
          <w:p w:rsidR="00741B77" w:rsidRDefault="00741B77" w:rsidP="005A7858">
            <w:pPr>
              <w:pStyle w:val="Bezmezer"/>
              <w:spacing w:before="40" w:after="40"/>
              <w:jc w:val="both"/>
            </w:pPr>
            <w:r>
              <w:rPr>
                <w:b/>
              </w:rPr>
              <w:t>I</w:t>
            </w:r>
            <w:r w:rsidRPr="008335DB">
              <w:rPr>
                <w:b/>
              </w:rPr>
              <w:t xml:space="preserve">. </w:t>
            </w:r>
            <w:r>
              <w:rPr>
                <w:b/>
              </w:rPr>
              <w:t>Hartmann</w:t>
            </w:r>
            <w:r>
              <w:t xml:space="preserve"> představil finální verzi typologie strategických dokumentů. Prezentoval cíle materiálu; aktuální stav a jeho analýzu; návrh typologie dokumentů a charakteristiky jednotlivých typů. Popsal průběh připomínkování materiálu ze strany členů ESSP, vč. úprav, které na základě připomínek typologie zaznamenala. Uvedl, že cílem je se nyní </w:t>
            </w:r>
            <w:r w:rsidRPr="004E4EC5">
              <w:t>shodnout na určitém kompromisu mezi Metodikou přípravy veřejných strategií a reálným stavem</w:t>
            </w:r>
            <w:r>
              <w:t>. Pro diskusi otevřel otázky ohledně budoucího zacházení s Typologií.</w:t>
            </w:r>
          </w:p>
          <w:p w:rsidR="00741B77" w:rsidRDefault="00741B77" w:rsidP="005A7858">
            <w:pPr>
              <w:pStyle w:val="Bezmezer"/>
              <w:spacing w:before="80" w:after="80"/>
              <w:jc w:val="both"/>
              <w:rPr>
                <w:u w:val="single"/>
              </w:rPr>
            </w:pPr>
            <w:r w:rsidRPr="00924F38">
              <w:rPr>
                <w:u w:val="single"/>
              </w:rPr>
              <w:t>Dis</w:t>
            </w:r>
            <w:r>
              <w:rPr>
                <w:u w:val="single"/>
              </w:rPr>
              <w:t>k</w:t>
            </w:r>
            <w:r w:rsidRPr="00924F38">
              <w:rPr>
                <w:u w:val="single"/>
              </w:rPr>
              <w:t>use:</w:t>
            </w:r>
          </w:p>
          <w:p w:rsidR="00741B77" w:rsidRPr="003414F4" w:rsidRDefault="00CC6AA6" w:rsidP="005A7858">
            <w:pPr>
              <w:pStyle w:val="Bezmezer"/>
              <w:jc w:val="both"/>
            </w:pPr>
            <w:r>
              <w:t>Proběhla</w:t>
            </w:r>
            <w:r w:rsidR="00741B77">
              <w:t xml:space="preserve"> disku</w:t>
            </w:r>
            <w:r>
              <w:t>se k</w:t>
            </w:r>
            <w:r w:rsidR="00741B77">
              <w:t xml:space="preserve"> časov</w:t>
            </w:r>
            <w:r>
              <w:t>ému</w:t>
            </w:r>
            <w:r w:rsidR="00741B77">
              <w:t xml:space="preserve"> harmonogram</w:t>
            </w:r>
            <w:r>
              <w:t>u</w:t>
            </w:r>
            <w:r w:rsidR="00741B77">
              <w:t xml:space="preserve"> dalších kroků práce s Typologií strategických dokumentů.</w:t>
            </w:r>
          </w:p>
        </w:tc>
      </w:tr>
      <w:tr w:rsidR="00741B77" w:rsidRPr="00397D33" w:rsidTr="002C00DC">
        <w:trPr>
          <w:trHeight w:val="329"/>
          <w:jc w:val="center"/>
        </w:trPr>
        <w:tc>
          <w:tcPr>
            <w:tcW w:w="979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741B77" w:rsidRDefault="00741B77" w:rsidP="005A7858">
            <w:pPr>
              <w:pStyle w:val="Odstavecseseznamem"/>
              <w:numPr>
                <w:ilvl w:val="0"/>
                <w:numId w:val="2"/>
              </w:numPr>
              <w:spacing w:after="60"/>
              <w:ind w:left="289" w:hanging="289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b/>
                <w:color w:val="2E74B5" w:themeColor="accent1" w:themeShade="BF"/>
                <w:sz w:val="24"/>
                <w:szCs w:val="24"/>
              </w:rPr>
              <w:t>Různé</w:t>
            </w:r>
          </w:p>
          <w:p w:rsidR="00741B77" w:rsidRDefault="00741B77" w:rsidP="005A7858">
            <w:pPr>
              <w:spacing w:after="12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V. K. Brázová</w:t>
            </w:r>
            <w:r>
              <w:rPr>
                <w:lang w:eastAsia="cs-CZ"/>
              </w:rPr>
              <w:t xml:space="preserve"> (MMR) podala informaci o stavu strategických projektů MMR (vzdělávacího projektu ke strategickému plánování „</w:t>
            </w:r>
            <w:proofErr w:type="spellStart"/>
            <w:r>
              <w:rPr>
                <w:lang w:eastAsia="cs-CZ"/>
              </w:rPr>
              <w:t>STRATeduka</w:t>
            </w:r>
            <w:proofErr w:type="spellEnd"/>
            <w:r>
              <w:rPr>
                <w:lang w:eastAsia="cs-CZ"/>
              </w:rPr>
              <w:t>“ a analytických projektů „Mapování strategické práce“ a „Analýza strategických dokumentů“</w:t>
            </w:r>
            <w:r w:rsidR="00CC6AA6">
              <w:rPr>
                <w:lang w:eastAsia="cs-CZ"/>
              </w:rPr>
              <w:t>)</w:t>
            </w:r>
            <w:r>
              <w:rPr>
                <w:lang w:eastAsia="cs-CZ"/>
              </w:rPr>
              <w:t>. Informovala, že Pracovní tým pro vertikální koordinaci strategického řízení, spadající pod ESSP, se sejde na počátku roku 2017 a zaměří se na uplatnění Typologie strategických dokumentů v praxi a na hierarchizaci strategických dokumentů na krajské a místní úrovni.</w:t>
            </w:r>
          </w:p>
          <w:p w:rsidR="00741B77" w:rsidRPr="003862C3" w:rsidRDefault="00741B77" w:rsidP="005A7858">
            <w:pPr>
              <w:spacing w:after="120" w:line="240" w:lineRule="auto"/>
              <w:jc w:val="both"/>
              <w:rPr>
                <w:lang w:eastAsia="cs-CZ"/>
              </w:rPr>
            </w:pPr>
            <w:r>
              <w:rPr>
                <w:b/>
                <w:lang w:eastAsia="cs-CZ"/>
              </w:rPr>
              <w:t>D. Škorňa</w:t>
            </w:r>
            <w:r>
              <w:rPr>
                <w:lang w:eastAsia="cs-CZ"/>
              </w:rPr>
              <w:t xml:space="preserve"> informoval o žádosti Slovenska o využití české Metodiky přípravy veřejných strategií v rámci snah o zkvalitnění strategického řízení ve vazbě na přípravu Národního infrastrukturního plánu SR, vypracovaného na základě dlouhodobé vize a strategie rozvoje společnosti.</w:t>
            </w:r>
          </w:p>
        </w:tc>
      </w:tr>
      <w:tr w:rsidR="00741B77" w:rsidRPr="004F5C16" w:rsidTr="002C00DC">
        <w:trPr>
          <w:trHeight w:val="958"/>
          <w:jc w:val="center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1B77" w:rsidRDefault="00741B77" w:rsidP="005A7858">
            <w:pPr>
              <w:pStyle w:val="Odstavecseseznamem"/>
              <w:numPr>
                <w:ilvl w:val="0"/>
                <w:numId w:val="2"/>
              </w:numPr>
              <w:spacing w:after="60"/>
              <w:ind w:left="289" w:hanging="289"/>
              <w:contextualSpacing w:val="0"/>
              <w:rPr>
                <w:b/>
                <w:color w:val="2E74B5" w:themeColor="accent1" w:themeShade="BF"/>
                <w:sz w:val="24"/>
                <w:szCs w:val="24"/>
              </w:rPr>
            </w:pPr>
            <w:r w:rsidRPr="00CC6AA6">
              <w:rPr>
                <w:b/>
                <w:color w:val="2E74B5" w:themeColor="accent1" w:themeShade="BF"/>
                <w:sz w:val="24"/>
                <w:szCs w:val="24"/>
              </w:rPr>
              <w:t xml:space="preserve"> </w:t>
            </w:r>
            <w:r>
              <w:rPr>
                <w:b/>
                <w:color w:val="2E74B5" w:themeColor="accent1" w:themeShade="BF"/>
                <w:sz w:val="24"/>
                <w:szCs w:val="24"/>
              </w:rPr>
              <w:t>Závěr</w:t>
            </w:r>
          </w:p>
          <w:p w:rsidR="00741B77" w:rsidRPr="00604792" w:rsidRDefault="00741B77" w:rsidP="005A7858">
            <w:pPr>
              <w:spacing w:after="120" w:line="240" w:lineRule="auto"/>
              <w:jc w:val="both"/>
            </w:pPr>
            <w:r>
              <w:rPr>
                <w:b/>
                <w:lang w:eastAsia="cs-CZ"/>
              </w:rPr>
              <w:t>D. Škorňa</w:t>
            </w:r>
            <w:r>
              <w:rPr>
                <w:lang w:eastAsia="cs-CZ"/>
              </w:rPr>
              <w:t xml:space="preserve"> poděkoval členům ESSP za účast a apeloval na spolupráci zejména při plnění úkolů vyplývajících z jednotlivých jednání ESSP.</w:t>
            </w:r>
          </w:p>
        </w:tc>
      </w:tr>
      <w:tr w:rsidR="00741B77" w:rsidRPr="00397D33" w:rsidTr="002C00DC">
        <w:trPr>
          <w:trHeight w:val="324"/>
          <w:jc w:val="center"/>
        </w:trPr>
        <w:tc>
          <w:tcPr>
            <w:tcW w:w="979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b/>
                <w:caps/>
                <w:sz w:val="24"/>
                <w:szCs w:val="24"/>
                <w:lang w:eastAsia="cs-CZ"/>
              </w:rPr>
              <w:t>VYBRANÉ úkoly</w:t>
            </w:r>
          </w:p>
        </w:tc>
      </w:tr>
      <w:tr w:rsidR="00741B77" w:rsidRPr="00397D33" w:rsidTr="002C00DC">
        <w:trPr>
          <w:trHeight w:val="245"/>
          <w:jc w:val="center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</w:rPr>
              <w:t>č</w:t>
            </w:r>
            <w:r w:rsidRPr="00214034">
              <w:rPr>
                <w:b/>
              </w:rPr>
              <w:t>.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b/>
              </w:rPr>
              <w:t>ú</w:t>
            </w:r>
            <w:r w:rsidRPr="00214034">
              <w:rPr>
                <w:b/>
              </w:rPr>
              <w:t>kol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b/>
              </w:rPr>
              <w:t>ř</w:t>
            </w:r>
            <w:r w:rsidRPr="00214034">
              <w:rPr>
                <w:b/>
              </w:rPr>
              <w:t>ešitel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b/>
              </w:rPr>
              <w:t>t</w:t>
            </w:r>
            <w:r w:rsidRPr="00214034">
              <w:rPr>
                <w:b/>
              </w:rPr>
              <w:t>ermín</w:t>
            </w:r>
          </w:p>
        </w:tc>
      </w:tr>
      <w:tr w:rsidR="00741B77" w:rsidRPr="00397D33" w:rsidTr="00CC6AA6">
        <w:trPr>
          <w:trHeight w:val="424"/>
          <w:jc w:val="center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DD4225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cs-CZ"/>
              </w:rPr>
            </w:pPr>
            <w:r w:rsidRPr="00DD4225">
              <w:rPr>
                <w:lang w:eastAsia="cs-CZ"/>
              </w:rPr>
              <w:t>1.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Zaslat zpětnou vazbu ke strategickým mapám – jak je se strategickými mapami pracováno. Písemnou informaci poslat na e-mailové adresy: </w:t>
            </w:r>
            <w:hyperlink r:id="rId10" w:history="1">
              <w:r w:rsidRPr="00096BFD">
                <w:rPr>
                  <w:rStyle w:val="Hypertextovodkaz"/>
                  <w:lang w:eastAsia="cs-CZ"/>
                </w:rPr>
                <w:t>pavla.zackova@mmr.cz</w:t>
              </w:r>
            </w:hyperlink>
            <w:r>
              <w:rPr>
                <w:color w:val="000000"/>
                <w:lang w:eastAsia="cs-CZ"/>
              </w:rPr>
              <w:t xml:space="preserve"> a </w:t>
            </w:r>
            <w:hyperlink r:id="rId11" w:history="1">
              <w:r w:rsidRPr="00096BFD">
                <w:rPr>
                  <w:rStyle w:val="Hypertextovodkaz"/>
                  <w:lang w:eastAsia="cs-CZ"/>
                </w:rPr>
                <w:t>vera-karin.brazova@mmr.cz</w:t>
              </w:r>
            </w:hyperlink>
            <w:r>
              <w:rPr>
                <w:color w:val="000000"/>
                <w:lang w:eastAsia="cs-CZ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Členové ESSP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B77" w:rsidRPr="004F5C16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30</w:t>
            </w:r>
            <w:r w:rsidRPr="0012107B">
              <w:rPr>
                <w:color w:val="000000"/>
                <w:lang w:eastAsia="cs-CZ"/>
              </w:rPr>
              <w:t>.</w:t>
            </w:r>
            <w:r>
              <w:rPr>
                <w:color w:val="000000"/>
                <w:lang w:eastAsia="cs-CZ"/>
              </w:rPr>
              <w:t xml:space="preserve"> ledna 2017</w:t>
            </w:r>
          </w:p>
        </w:tc>
      </w:tr>
      <w:tr w:rsidR="00741B77" w:rsidRPr="00397D33" w:rsidTr="002C00DC">
        <w:trPr>
          <w:trHeight w:val="223"/>
          <w:jc w:val="center"/>
        </w:trPr>
        <w:tc>
          <w:tcPr>
            <w:tcW w:w="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DD4225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lang w:eastAsia="cs-CZ"/>
              </w:rPr>
            </w:pPr>
            <w:r>
              <w:rPr>
                <w:lang w:eastAsia="cs-CZ"/>
              </w:rPr>
              <w:t>2.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B77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Zaslat oficiální (re)nominaci členů Expertní skupiny v případě, že stávající členové zatím nebyli ze strany jejich resortu/instituce jmenováni korektně (např. při personálních změnách či změně agendy).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B77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Členové ESSP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1B77" w:rsidRPr="0012107B" w:rsidRDefault="00741B77" w:rsidP="005A7858">
            <w:pPr>
              <w:autoSpaceDE w:val="0"/>
              <w:autoSpaceDN w:val="0"/>
              <w:adjustRightInd w:val="0"/>
              <w:spacing w:before="40"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průběžně </w:t>
            </w:r>
          </w:p>
        </w:tc>
      </w:tr>
      <w:tr w:rsidR="00741B77" w:rsidRPr="00397D33" w:rsidTr="002C00DC">
        <w:trPr>
          <w:trHeight w:val="171"/>
          <w:jc w:val="center"/>
        </w:trPr>
        <w:tc>
          <w:tcPr>
            <w:tcW w:w="165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line="240" w:lineRule="auto"/>
              <w:rPr>
                <w:b/>
                <w:lang w:eastAsia="cs-CZ"/>
              </w:rPr>
            </w:pPr>
            <w:r w:rsidRPr="00397D33">
              <w:rPr>
                <w:b/>
                <w:lang w:eastAsia="cs-CZ"/>
              </w:rPr>
              <w:t>Přílohy</w:t>
            </w:r>
          </w:p>
        </w:tc>
        <w:tc>
          <w:tcPr>
            <w:tcW w:w="813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1B77" w:rsidRDefault="00741B77" w:rsidP="005A7858">
            <w:pPr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1. Prezenční listina</w:t>
            </w:r>
          </w:p>
          <w:p w:rsidR="00741B77" w:rsidRDefault="00741B77" w:rsidP="005A7858">
            <w:pPr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2. Prezentace z jednání</w:t>
            </w:r>
          </w:p>
          <w:p w:rsidR="00741B77" w:rsidRPr="004F5C16" w:rsidRDefault="00741B77" w:rsidP="005A7858">
            <w:pPr>
              <w:autoSpaceDE w:val="0"/>
              <w:autoSpaceDN w:val="0"/>
              <w:adjustRightInd w:val="0"/>
              <w:spacing w:after="4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3. Dotazník ke strategickým mapám</w:t>
            </w:r>
          </w:p>
        </w:tc>
      </w:tr>
      <w:tr w:rsidR="00741B77" w:rsidRPr="00397D33" w:rsidTr="005A7858">
        <w:trPr>
          <w:trHeight w:val="43"/>
          <w:jc w:val="center"/>
        </w:trPr>
        <w:tc>
          <w:tcPr>
            <w:tcW w:w="1656" w:type="dxa"/>
            <w:gridSpan w:val="3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Zapsal, datum</w:t>
            </w:r>
          </w:p>
        </w:tc>
        <w:tc>
          <w:tcPr>
            <w:tcW w:w="8138" w:type="dxa"/>
            <w:gridSpan w:val="3"/>
            <w:tcBorders>
              <w:right w:val="single" w:sz="8" w:space="0" w:color="auto"/>
            </w:tcBorders>
            <w:vAlign w:val="center"/>
          </w:tcPr>
          <w:p w:rsidR="00741B77" w:rsidRPr="007C30B6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V-K. Brázová, 3. 1. 2017</w:t>
            </w:r>
          </w:p>
        </w:tc>
      </w:tr>
      <w:tr w:rsidR="00741B77" w:rsidRPr="00397D33" w:rsidTr="002C00DC">
        <w:trPr>
          <w:trHeight w:val="128"/>
          <w:jc w:val="center"/>
        </w:trPr>
        <w:tc>
          <w:tcPr>
            <w:tcW w:w="165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741B77" w:rsidRPr="00397D33" w:rsidRDefault="00741B77" w:rsidP="005A7858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  <w:lang w:eastAsia="cs-CZ"/>
              </w:rPr>
              <w:t>Za správnost, datum</w:t>
            </w:r>
          </w:p>
        </w:tc>
        <w:tc>
          <w:tcPr>
            <w:tcW w:w="813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1B77" w:rsidRPr="004F5C16" w:rsidRDefault="00CC6AA6" w:rsidP="005A785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D. Škorňa, 3. 1. 2017</w:t>
            </w:r>
          </w:p>
        </w:tc>
      </w:tr>
    </w:tbl>
    <w:p w:rsidR="00741B77" w:rsidRPr="00741B77" w:rsidRDefault="00741B77" w:rsidP="005A7858">
      <w:pPr>
        <w:spacing w:line="240" w:lineRule="auto"/>
        <w:rPr>
          <w:lang w:eastAsia="cs-CZ"/>
        </w:rPr>
      </w:pPr>
    </w:p>
    <w:sectPr w:rsidR="00741B77" w:rsidRPr="00741B77" w:rsidSect="00CC6AA6">
      <w:headerReference w:type="default" r:id="rId12"/>
      <w:footerReference w:type="default" r:id="rId13"/>
      <w:pgSz w:w="11906" w:h="16838"/>
      <w:pgMar w:top="1276" w:right="720" w:bottom="1276" w:left="720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59" w:rsidRDefault="00717359" w:rsidP="00E9125C">
      <w:pPr>
        <w:spacing w:after="0" w:line="240" w:lineRule="auto"/>
      </w:pPr>
      <w:r>
        <w:separator/>
      </w:r>
    </w:p>
  </w:endnote>
  <w:endnote w:type="continuationSeparator" w:id="0">
    <w:p w:rsidR="00717359" w:rsidRDefault="00717359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34F" w:rsidRDefault="001F434F" w:rsidP="00A702F7">
    <w:pPr>
      <w:pStyle w:val="Zpat"/>
      <w:jc w:val="center"/>
      <w:rPr>
        <w:b/>
        <w:sz w:val="14"/>
        <w:szCs w:val="14"/>
      </w:rPr>
    </w:pPr>
  </w:p>
  <w:p w:rsidR="001F434F" w:rsidRDefault="00B53DB9" w:rsidP="00CC6AA6">
    <w:pPr>
      <w:pStyle w:val="Zpat"/>
      <w:ind w:left="284"/>
      <w:jc w:val="center"/>
      <w:rPr>
        <w:b/>
        <w:sz w:val="14"/>
        <w:szCs w:val="14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86DD332" wp14:editId="684BEC7E">
          <wp:simplePos x="0" y="0"/>
          <wp:positionH relativeFrom="column">
            <wp:posOffset>210185</wp:posOffset>
          </wp:positionH>
          <wp:positionV relativeFrom="paragraph">
            <wp:posOffset>71755</wp:posOffset>
          </wp:positionV>
          <wp:extent cx="6225540" cy="462915"/>
          <wp:effectExtent l="0" t="0" r="3810" b="0"/>
          <wp:wrapSquare wrapText="bothSides"/>
          <wp:docPr id="1" name="Obrázek 1" descr="G:\logolin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lin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434F" w:rsidRDefault="001F434F" w:rsidP="00A702F7">
    <w:pPr>
      <w:pStyle w:val="Zpat"/>
      <w:jc w:val="center"/>
      <w:rPr>
        <w:b/>
        <w:sz w:val="14"/>
        <w:szCs w:val="14"/>
      </w:rPr>
    </w:pPr>
  </w:p>
  <w:p w:rsidR="001F434F" w:rsidRDefault="001F434F" w:rsidP="00A702F7">
    <w:pPr>
      <w:pStyle w:val="Zpat"/>
      <w:jc w:val="center"/>
      <w:rPr>
        <w:b/>
        <w:sz w:val="14"/>
        <w:szCs w:val="14"/>
      </w:rPr>
    </w:pPr>
  </w:p>
  <w:p w:rsidR="001F434F" w:rsidRDefault="001F434F" w:rsidP="00A702F7">
    <w:pPr>
      <w:pStyle w:val="Zpat"/>
      <w:jc w:val="center"/>
      <w:rPr>
        <w:b/>
        <w:sz w:val="14"/>
        <w:szCs w:val="14"/>
      </w:rPr>
    </w:pPr>
  </w:p>
  <w:p w:rsidR="001F434F" w:rsidRDefault="001F434F" w:rsidP="00A702F7">
    <w:pPr>
      <w:pStyle w:val="Zpat"/>
      <w:jc w:val="center"/>
      <w:rPr>
        <w:b/>
        <w:sz w:val="14"/>
        <w:szCs w:val="14"/>
      </w:rPr>
    </w:pPr>
  </w:p>
  <w:p w:rsidR="001F434F" w:rsidRDefault="001F434F" w:rsidP="001F434F">
    <w:pPr>
      <w:pStyle w:val="Zpat"/>
      <w:jc w:val="center"/>
      <w:rPr>
        <w:b/>
        <w:sz w:val="14"/>
        <w:szCs w:val="14"/>
      </w:rPr>
    </w:pPr>
  </w:p>
  <w:p w:rsidR="00E9125C" w:rsidRPr="00CC6AA6" w:rsidRDefault="00E9125C" w:rsidP="00CC6AA6">
    <w:pPr>
      <w:pStyle w:val="Zpat"/>
      <w:ind w:left="284"/>
      <w:rPr>
        <w:sz w:val="14"/>
        <w:szCs w:val="14"/>
      </w:rPr>
    </w:pPr>
    <w:r w:rsidRPr="00CC6AA6">
      <w:rPr>
        <w:b/>
        <w:sz w:val="14"/>
        <w:szCs w:val="14"/>
      </w:rPr>
      <w:t xml:space="preserve">MINISTERSTVO PRO MÍSTNÍ ROZVOJ </w:t>
    </w:r>
    <w:proofErr w:type="gramStart"/>
    <w:r w:rsidRPr="00CC6AA6">
      <w:rPr>
        <w:b/>
        <w:sz w:val="14"/>
        <w:szCs w:val="14"/>
      </w:rPr>
      <w:t>ČR</w:t>
    </w:r>
    <w:r w:rsidR="00CC6AA6">
      <w:rPr>
        <w:b/>
        <w:sz w:val="14"/>
        <w:szCs w:val="14"/>
      </w:rPr>
      <w:t xml:space="preserve">   </w:t>
    </w:r>
    <w:r w:rsidRPr="00CC6AA6">
      <w:rPr>
        <w:rFonts w:ascii="Calibri" w:hAnsi="Calibri" w:cs="Calibri"/>
        <w:sz w:val="14"/>
        <w:szCs w:val="14"/>
      </w:rPr>
      <w:t>•</w:t>
    </w:r>
    <w:r w:rsidR="00CC6AA6">
      <w:rPr>
        <w:rFonts w:ascii="Calibri" w:hAnsi="Calibri" w:cs="Calibri"/>
        <w:sz w:val="14"/>
        <w:szCs w:val="14"/>
      </w:rPr>
      <w:t xml:space="preserve">  </w:t>
    </w:r>
    <w:r w:rsidRPr="00CC6AA6">
      <w:rPr>
        <w:b/>
        <w:sz w:val="14"/>
        <w:szCs w:val="14"/>
      </w:rPr>
      <w:t xml:space="preserve"> </w:t>
    </w:r>
    <w:r w:rsidRPr="00CC6AA6">
      <w:rPr>
        <w:sz w:val="14"/>
        <w:szCs w:val="14"/>
      </w:rPr>
      <w:t>Staroměstské</w:t>
    </w:r>
    <w:proofErr w:type="gramEnd"/>
    <w:r w:rsidRPr="00CC6AA6">
      <w:rPr>
        <w:sz w:val="14"/>
        <w:szCs w:val="14"/>
      </w:rPr>
      <w:t xml:space="preserve"> náměstí 6, 110 15 Praha 1</w:t>
    </w:r>
    <w:r w:rsidR="00CC6AA6">
      <w:rPr>
        <w:sz w:val="14"/>
        <w:szCs w:val="14"/>
      </w:rPr>
      <w:t xml:space="preserve">  </w:t>
    </w:r>
    <w:r w:rsidRPr="00CC6AA6">
      <w:rPr>
        <w:sz w:val="14"/>
        <w:szCs w:val="14"/>
      </w:rPr>
      <w:t xml:space="preserve"> </w:t>
    </w:r>
    <w:r w:rsidRPr="00CC6AA6">
      <w:rPr>
        <w:rFonts w:ascii="Calibri" w:hAnsi="Calibri" w:cs="Calibri"/>
        <w:sz w:val="14"/>
        <w:szCs w:val="14"/>
      </w:rPr>
      <w:t>•</w:t>
    </w:r>
    <w:r w:rsidRPr="00CC6AA6">
      <w:rPr>
        <w:sz w:val="14"/>
        <w:szCs w:val="14"/>
      </w:rPr>
      <w:t xml:space="preserve"> </w:t>
    </w:r>
    <w:r w:rsidR="00CC6AA6">
      <w:rPr>
        <w:sz w:val="14"/>
        <w:szCs w:val="14"/>
      </w:rPr>
      <w:t xml:space="preserve">  </w:t>
    </w:r>
    <w:r w:rsidRPr="00CC6AA6">
      <w:rPr>
        <w:sz w:val="14"/>
        <w:szCs w:val="14"/>
      </w:rPr>
      <w:t>tel.: +</w:t>
    </w:r>
    <w:proofErr w:type="gramStart"/>
    <w:r w:rsidRPr="00CC6AA6">
      <w:rPr>
        <w:sz w:val="14"/>
        <w:szCs w:val="14"/>
      </w:rPr>
      <w:t xml:space="preserve">420 224 861 111 </w:t>
    </w:r>
    <w:r w:rsidR="00CC6AA6">
      <w:rPr>
        <w:sz w:val="14"/>
        <w:szCs w:val="14"/>
      </w:rPr>
      <w:t xml:space="preserve">  </w:t>
    </w:r>
    <w:r w:rsidRPr="00CC6AA6">
      <w:rPr>
        <w:rFonts w:ascii="Calibri" w:hAnsi="Calibri" w:cs="Calibri"/>
        <w:sz w:val="14"/>
        <w:szCs w:val="14"/>
      </w:rPr>
      <w:t>•</w:t>
    </w:r>
    <w:r w:rsidR="00CC6AA6">
      <w:rPr>
        <w:rFonts w:ascii="Calibri" w:hAnsi="Calibri" w:cs="Calibri"/>
        <w:sz w:val="14"/>
        <w:szCs w:val="14"/>
      </w:rPr>
      <w:t xml:space="preserve">  </w:t>
    </w:r>
    <w:r w:rsidRPr="00CC6AA6">
      <w:rPr>
        <w:sz w:val="14"/>
        <w:szCs w:val="14"/>
      </w:rPr>
      <w:t xml:space="preserve"> IČ</w:t>
    </w:r>
    <w:proofErr w:type="gramEnd"/>
    <w:r w:rsidRPr="00CC6AA6">
      <w:rPr>
        <w:sz w:val="14"/>
        <w:szCs w:val="14"/>
      </w:rPr>
      <w:t xml:space="preserve">: 66 00 22 22 </w:t>
    </w:r>
    <w:r w:rsidRPr="00CC6AA6">
      <w:rPr>
        <w:rFonts w:ascii="Calibri" w:hAnsi="Calibri" w:cs="Calibri"/>
        <w:sz w:val="14"/>
        <w:szCs w:val="14"/>
      </w:rPr>
      <w:t>•</w:t>
    </w:r>
    <w:r w:rsidRPr="00CC6AA6">
      <w:rPr>
        <w:sz w:val="14"/>
        <w:szCs w:val="14"/>
      </w:rPr>
      <w:t xml:space="preserve"> </w:t>
    </w:r>
    <w:r w:rsidR="00CC6AA6">
      <w:rPr>
        <w:sz w:val="14"/>
        <w:szCs w:val="14"/>
      </w:rPr>
      <w:t>www.mmr.</w:t>
    </w:r>
    <w:proofErr w:type="gramStart"/>
    <w:r w:rsidR="00CC6AA6">
      <w:rPr>
        <w:sz w:val="14"/>
        <w:szCs w:val="14"/>
      </w:rPr>
      <w:t xml:space="preserve">cz  </w:t>
    </w:r>
    <w:r w:rsidRPr="00CC6AA6">
      <w:rPr>
        <w:sz w:val="14"/>
        <w:szCs w:val="14"/>
      </w:rPr>
      <w:t xml:space="preserve"> </w:t>
    </w:r>
    <w:r w:rsidRPr="00CC6AA6">
      <w:rPr>
        <w:rFonts w:ascii="Calibri" w:hAnsi="Calibri" w:cs="Calibri"/>
        <w:sz w:val="14"/>
        <w:szCs w:val="14"/>
      </w:rPr>
      <w:t>•</w:t>
    </w:r>
    <w:r w:rsidRPr="00CC6AA6">
      <w:rPr>
        <w:sz w:val="14"/>
        <w:szCs w:val="14"/>
      </w:rPr>
      <w:t xml:space="preserve">   www</w:t>
    </w:r>
    <w:proofErr w:type="gramEnd"/>
    <w:r w:rsidRPr="00CC6AA6">
      <w:rPr>
        <w:sz w:val="14"/>
        <w:szCs w:val="14"/>
      </w:rPr>
      <w:t>.dotaceEU.cz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59" w:rsidRDefault="00717359" w:rsidP="00E9125C">
      <w:pPr>
        <w:spacing w:after="0" w:line="240" w:lineRule="auto"/>
      </w:pPr>
      <w:r>
        <w:separator/>
      </w:r>
    </w:p>
  </w:footnote>
  <w:footnote w:type="continuationSeparator" w:id="0">
    <w:p w:rsidR="00717359" w:rsidRDefault="00717359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AA6" w:rsidRDefault="00CC6AA6">
    <w:pPr>
      <w:pStyle w:val="Zhlav"/>
    </w:pPr>
    <w:r w:rsidRPr="0065630B">
      <w:rPr>
        <w:b/>
        <w:noProof/>
        <w:color w:val="4472C4" w:themeColor="accent5"/>
        <w:sz w:val="42"/>
        <w:szCs w:val="42"/>
        <w:lang w:eastAsia="cs-CZ"/>
      </w:rPr>
      <w:drawing>
        <wp:anchor distT="0" distB="0" distL="114300" distR="114300" simplePos="0" relativeHeight="251663360" behindDoc="0" locked="0" layoutInCell="1" allowOverlap="1" wp14:anchorId="752C2479" wp14:editId="3980308A">
          <wp:simplePos x="0" y="0"/>
          <wp:positionH relativeFrom="column">
            <wp:posOffset>5467985</wp:posOffset>
          </wp:positionH>
          <wp:positionV relativeFrom="paragraph">
            <wp:posOffset>-211455</wp:posOffset>
          </wp:positionV>
          <wp:extent cx="971550" cy="363855"/>
          <wp:effectExtent l="0" t="0" r="0" b="0"/>
          <wp:wrapSquare wrapText="bothSides"/>
          <wp:docPr id="24" name="Obrázek 24" descr="Portál strategické práce v České repub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Portál strategické práce v České repub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630B">
      <w:rPr>
        <w:b/>
        <w:noProof/>
        <w:color w:val="4472C4" w:themeColor="accent5"/>
        <w:sz w:val="42"/>
        <w:szCs w:val="42"/>
        <w:lang w:eastAsia="cs-CZ"/>
      </w:rPr>
      <w:drawing>
        <wp:anchor distT="0" distB="0" distL="114300" distR="114300" simplePos="0" relativeHeight="251661312" behindDoc="0" locked="0" layoutInCell="1" allowOverlap="1" wp14:anchorId="05D2FE45" wp14:editId="0A715245">
          <wp:simplePos x="0" y="0"/>
          <wp:positionH relativeFrom="column">
            <wp:posOffset>4058285</wp:posOffset>
          </wp:positionH>
          <wp:positionV relativeFrom="paragraph">
            <wp:posOffset>-207645</wp:posOffset>
          </wp:positionV>
          <wp:extent cx="1219200" cy="382905"/>
          <wp:effectExtent l="0" t="0" r="0" b="0"/>
          <wp:wrapSquare wrapText="bothSides"/>
          <wp:docPr id="25" name="Obrázek 25" descr="logo-databaze-strateg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6" descr="logo-databaze-strategi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D6B20"/>
    <w:multiLevelType w:val="hybridMultilevel"/>
    <w:tmpl w:val="E9A063DA"/>
    <w:lvl w:ilvl="0" w:tplc="43CE910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A22985"/>
    <w:multiLevelType w:val="hybridMultilevel"/>
    <w:tmpl w:val="6340FE52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746AA"/>
    <w:multiLevelType w:val="hybridMultilevel"/>
    <w:tmpl w:val="7C02F7F6"/>
    <w:lvl w:ilvl="0" w:tplc="1574608E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3">
    <w:nsid w:val="510E3B0E"/>
    <w:multiLevelType w:val="hybridMultilevel"/>
    <w:tmpl w:val="5D4A3E12"/>
    <w:lvl w:ilvl="0" w:tplc="9FAAB07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Times New Roman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5C"/>
    <w:rsid w:val="00056A73"/>
    <w:rsid w:val="00092FFF"/>
    <w:rsid w:val="000E00A6"/>
    <w:rsid w:val="001731F4"/>
    <w:rsid w:val="0019594E"/>
    <w:rsid w:val="001F434F"/>
    <w:rsid w:val="003E147D"/>
    <w:rsid w:val="00412D09"/>
    <w:rsid w:val="00430A7A"/>
    <w:rsid w:val="0046123F"/>
    <w:rsid w:val="004725B6"/>
    <w:rsid w:val="004B6D12"/>
    <w:rsid w:val="005A7858"/>
    <w:rsid w:val="0065630B"/>
    <w:rsid w:val="006775AB"/>
    <w:rsid w:val="006B1468"/>
    <w:rsid w:val="006E612E"/>
    <w:rsid w:val="00717359"/>
    <w:rsid w:val="00733C44"/>
    <w:rsid w:val="00741B77"/>
    <w:rsid w:val="00802ED9"/>
    <w:rsid w:val="008364C5"/>
    <w:rsid w:val="008876FE"/>
    <w:rsid w:val="008C73C7"/>
    <w:rsid w:val="00902348"/>
    <w:rsid w:val="00A535EF"/>
    <w:rsid w:val="00A702F7"/>
    <w:rsid w:val="00B53DB9"/>
    <w:rsid w:val="00B974E0"/>
    <w:rsid w:val="00C142F4"/>
    <w:rsid w:val="00C419FA"/>
    <w:rsid w:val="00CB65C2"/>
    <w:rsid w:val="00CC6AA6"/>
    <w:rsid w:val="00D83788"/>
    <w:rsid w:val="00DB5F10"/>
    <w:rsid w:val="00E42C75"/>
    <w:rsid w:val="00E43399"/>
    <w:rsid w:val="00E87831"/>
    <w:rsid w:val="00E9125C"/>
    <w:rsid w:val="00EC08B9"/>
    <w:rsid w:val="00EC7A11"/>
    <w:rsid w:val="00F5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65630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sid w:val="0065630B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65630B"/>
    <w:pPr>
      <w:numPr>
        <w:ilvl w:val="1"/>
      </w:numPr>
      <w:spacing w:after="200" w:line="276" w:lineRule="auto"/>
    </w:pPr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5630B"/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65630B"/>
    <w:pPr>
      <w:spacing w:line="240" w:lineRule="auto"/>
      <w:ind w:left="1008" w:hanging="288"/>
      <w:contextualSpacing/>
    </w:pPr>
    <w:rPr>
      <w:sz w:val="21"/>
      <w:lang w:eastAsia="cs-CZ"/>
    </w:rPr>
  </w:style>
  <w:style w:type="table" w:styleId="Mkatabulky">
    <w:name w:val="Table Grid"/>
    <w:basedOn w:val="Normlntabulka"/>
    <w:uiPriority w:val="59"/>
    <w:rsid w:val="0065630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B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41B77"/>
    <w:pPr>
      <w:spacing w:after="0" w:line="240" w:lineRule="auto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41B77"/>
    <w:rPr>
      <w:sz w:val="21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65630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  <w14:ligatures w14:val="standardContextual"/>
      <w14:cntxtAlts/>
    </w:rPr>
  </w:style>
  <w:style w:type="character" w:customStyle="1" w:styleId="TitleChar">
    <w:name w:val="Title Char"/>
    <w:basedOn w:val="Standardnpsmoodstavce"/>
    <w:link w:val="Titul"/>
    <w:uiPriority w:val="10"/>
    <w:rsid w:val="0065630B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  <w14:ligatures w14:val="standardContextual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65630B"/>
    <w:pPr>
      <w:numPr>
        <w:ilvl w:val="1"/>
      </w:numPr>
      <w:spacing w:after="200" w:line="276" w:lineRule="auto"/>
    </w:pPr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character" w:customStyle="1" w:styleId="PodtitulChar">
    <w:name w:val="Podtitul Char"/>
    <w:basedOn w:val="Standardnpsmoodstavce"/>
    <w:link w:val="Podtitul"/>
    <w:uiPriority w:val="11"/>
    <w:rsid w:val="0065630B"/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65630B"/>
    <w:pPr>
      <w:spacing w:line="240" w:lineRule="auto"/>
      <w:ind w:left="1008" w:hanging="288"/>
      <w:contextualSpacing/>
    </w:pPr>
    <w:rPr>
      <w:sz w:val="21"/>
      <w:lang w:eastAsia="cs-CZ"/>
    </w:rPr>
  </w:style>
  <w:style w:type="table" w:styleId="Mkatabulky">
    <w:name w:val="Table Grid"/>
    <w:basedOn w:val="Normlntabulka"/>
    <w:uiPriority w:val="59"/>
    <w:rsid w:val="0065630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B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41B77"/>
    <w:pPr>
      <w:spacing w:after="0" w:line="240" w:lineRule="auto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41B77"/>
    <w:rPr>
      <w:sz w:val="2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ejne-strategie.cz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era-karin.brazova@mm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avla.zackova@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taceeu.cz/cs/Fondy-EU/2014-2020/Dohoda-o-partnerstvi/Synergie-a-komplementarity/Analyza-programu-EU-v-souvislosti-s-doplnkovosti-s-programy-ESI-fond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David Škorňa</cp:lastModifiedBy>
  <cp:revision>2</cp:revision>
  <cp:lastPrinted>2016-10-10T11:26:00Z</cp:lastPrinted>
  <dcterms:created xsi:type="dcterms:W3CDTF">2017-01-06T22:46:00Z</dcterms:created>
  <dcterms:modified xsi:type="dcterms:W3CDTF">2017-01-06T22:46:00Z</dcterms:modified>
</cp:coreProperties>
</file>