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Co bude v rámci akce realizováno.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etapu, datum a způsob jejího ukončení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6F55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71B65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E71B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E71B65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E71B6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jaká sportovní infrastruktura se nachází ve školním areálu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4439B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 případě, že školní areál nedisponuje sportovní infrastrukturou potřebnou pro hodiny tělesné výchovy, popíše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 žádosti, na kter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požadována dotace, se nachází ve školním areálu.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34FA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disponuje sportovní infrastrukturou potře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bnou pro hodiny tělesné výchovy a žadatel žádá na sportovní infrastrukturu, která je mimo školní areál,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uvede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odůvodnění, proč předmětem dotace není sportovní infrastruktura ve školním areálu. </w:t>
            </w: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E934FA" w:rsidRPr="00FC69FB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žadatele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oblasti sportovní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volnočasové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infrastruktury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(včetně předmětu dotace)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dětská hřiště a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doplnění sportovních nebo herních prvků, mobiliáře, osvětlení, oplocení atp.). Popsat přístupnost (volně přístupné, přístupné prostře</w:t>
            </w:r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dnictvím správce, od – </w:t>
            </w:r>
            <w:proofErr w:type="gramStart"/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do</w:t>
            </w:r>
            <w:proofErr w:type="gramEnd"/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atp.) Využití pro věkové skupiny atd.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65" w:rsidRDefault="00E71B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A2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65" w:rsidRDefault="00E71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65" w:rsidRDefault="00E71B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E71B65">
      <w:t>1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5B</w:t>
    </w:r>
    <w:r>
      <w:t xml:space="preserve"> zásad podprogramu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65" w:rsidRDefault="00E71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4439B6"/>
    <w:rsid w:val="00596D61"/>
    <w:rsid w:val="006401B4"/>
    <w:rsid w:val="006F5517"/>
    <w:rsid w:val="00857796"/>
    <w:rsid w:val="00857B4C"/>
    <w:rsid w:val="009557F5"/>
    <w:rsid w:val="009C01A2"/>
    <w:rsid w:val="00B55C34"/>
    <w:rsid w:val="00C626EC"/>
    <w:rsid w:val="00D47025"/>
    <w:rsid w:val="00E10A69"/>
    <w:rsid w:val="00E71B65"/>
    <w:rsid w:val="00E934FA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16</cp:revision>
  <dcterms:created xsi:type="dcterms:W3CDTF">2019-11-26T12:16:00Z</dcterms:created>
  <dcterms:modified xsi:type="dcterms:W3CDTF">2020-10-12T07:55:00Z</dcterms:modified>
</cp:coreProperties>
</file>