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E0B9" w14:textId="77777777" w:rsidR="002703E1" w:rsidRDefault="002703E1" w:rsidP="002703E1">
      <w:pPr>
        <w:jc w:val="both"/>
        <w:rPr>
          <w:rFonts w:ascii="Calibri" w:eastAsia="Times New Roman" w:hAnsi="Calibri" w:cs="Calibri"/>
          <w:b/>
          <w:bCs/>
          <w:color w:val="4472C4" w:themeColor="accent1"/>
          <w:sz w:val="32"/>
          <w:szCs w:val="32"/>
        </w:rPr>
      </w:pPr>
      <w:proofErr w:type="spellStart"/>
      <w:r>
        <w:rPr>
          <w:rFonts w:ascii="Calibri" w:eastAsia="Times New Roman" w:hAnsi="Calibri" w:cs="Calibri"/>
          <w:b/>
          <w:bCs/>
          <w:color w:val="4472C4" w:themeColor="accent1"/>
          <w:sz w:val="32"/>
          <w:szCs w:val="32"/>
        </w:rPr>
        <w:t>Subkomponenta</w:t>
      </w:r>
      <w:proofErr w:type="spellEnd"/>
      <w:r>
        <w:rPr>
          <w:rFonts w:ascii="Calibri" w:eastAsia="Times New Roman" w:hAnsi="Calibri" w:cs="Calibri"/>
          <w:b/>
          <w:bCs/>
          <w:color w:val="4472C4" w:themeColor="accent1"/>
          <w:sz w:val="32"/>
          <w:szCs w:val="32"/>
        </w:rPr>
        <w:t xml:space="preserve"> 1.4.1.6 (vlastník komponenty MPO)</w:t>
      </w:r>
    </w:p>
    <w:p w14:paraId="3C5E0903" w14:textId="5710C943" w:rsidR="004F05DB" w:rsidRDefault="004F05DB" w:rsidP="004F05DB">
      <w:pPr>
        <w:jc w:val="both"/>
        <w:rPr>
          <w:rFonts w:cstheme="minorHAnsi"/>
        </w:rPr>
      </w:pPr>
      <w:r w:rsidRPr="000B31F9">
        <w:rPr>
          <w:rFonts w:cstheme="minorHAnsi"/>
        </w:rPr>
        <w:t xml:space="preserve">Cílem </w:t>
      </w:r>
      <w:r>
        <w:rPr>
          <w:rFonts w:cstheme="minorHAnsi"/>
        </w:rPr>
        <w:t>investice</w:t>
      </w:r>
      <w:r w:rsidRPr="000B31F9">
        <w:rPr>
          <w:rFonts w:cstheme="minorHAnsi"/>
        </w:rPr>
        <w:t xml:space="preserve"> je </w:t>
      </w:r>
      <w:r w:rsidRPr="00A8251C">
        <w:rPr>
          <w:rFonts w:cstheme="minorHAnsi"/>
        </w:rPr>
        <w:t>demonstrovat využití technologie 5G v prostředí chytrých měst</w:t>
      </w:r>
      <w:r w:rsidRPr="000B31F9">
        <w:rPr>
          <w:rFonts w:cstheme="minorHAnsi"/>
        </w:rPr>
        <w:t>.</w:t>
      </w:r>
      <w:r>
        <w:rPr>
          <w:rFonts w:cstheme="minorHAnsi"/>
        </w:rPr>
        <w:t xml:space="preserve"> Převážná část projektů je realizována v tématech jako b</w:t>
      </w:r>
      <w:r w:rsidRPr="008C3CEC">
        <w:rPr>
          <w:rFonts w:cstheme="minorHAnsi"/>
        </w:rPr>
        <w:t>ezpečnost, doprava, telemedicína, vzdělávání a</w:t>
      </w:r>
      <w:r>
        <w:rPr>
          <w:rFonts w:cstheme="minorHAnsi"/>
        </w:rPr>
        <w:t xml:space="preserve">pod (konkrétně </w:t>
      </w:r>
      <w:r w:rsidRPr="008C3CEC">
        <w:rPr>
          <w:rFonts w:cstheme="minorHAnsi"/>
        </w:rPr>
        <w:t>bezpečnostní kamerové systémy, využití moderních technologií ve vzdělávání, asistenční a</w:t>
      </w:r>
      <w:r w:rsidR="00FE33F3">
        <w:rPr>
          <w:rFonts w:cstheme="minorHAnsi"/>
        </w:rPr>
        <w:t> </w:t>
      </w:r>
      <w:r w:rsidRPr="008C3CEC">
        <w:rPr>
          <w:rFonts w:cstheme="minorHAnsi"/>
        </w:rPr>
        <w:t>telemedicínské služby nebo moderní systémy řízení dopravy</w:t>
      </w:r>
      <w:r>
        <w:rPr>
          <w:rFonts w:cstheme="minorHAnsi"/>
        </w:rPr>
        <w:t>).</w:t>
      </w:r>
    </w:p>
    <w:p w14:paraId="7E8C8D34" w14:textId="123F1F52" w:rsidR="004F05DB" w:rsidRDefault="004F05DB" w:rsidP="004F05DB">
      <w:pPr>
        <w:jc w:val="both"/>
        <w:rPr>
          <w:rFonts w:cstheme="minorHAnsi"/>
        </w:rPr>
      </w:pPr>
      <w:r>
        <w:rPr>
          <w:rFonts w:cstheme="minorHAnsi"/>
        </w:rPr>
        <w:t xml:space="preserve">MMR vypsalo </w:t>
      </w:r>
      <w:r w:rsidRPr="008434D2">
        <w:rPr>
          <w:rFonts w:cstheme="minorHAnsi"/>
          <w:b/>
          <w:bCs/>
        </w:rPr>
        <w:t>1. výzvu</w:t>
      </w:r>
      <w:r>
        <w:rPr>
          <w:rFonts w:cstheme="minorHAnsi"/>
        </w:rPr>
        <w:t xml:space="preserve"> v květnu 2022 (alokace 89,5 mil. Kč). 5 pilotních projektů z výzvy bylo úspěšně dokončeno a podpořeno. MMR dále v listopadu 2023 vyhlásilo hlavní </w:t>
      </w:r>
      <w:r w:rsidRPr="008434D2">
        <w:rPr>
          <w:rFonts w:cstheme="minorHAnsi"/>
          <w:b/>
          <w:bCs/>
        </w:rPr>
        <w:t>2. výzvu</w:t>
      </w:r>
      <w:r>
        <w:rPr>
          <w:rFonts w:cstheme="minorHAnsi"/>
        </w:rPr>
        <w:t xml:space="preserve"> (alokace 632 mil Kč). Ve</w:t>
      </w:r>
      <w:r w:rsidR="00FE33F3">
        <w:rPr>
          <w:rFonts w:cstheme="minorHAnsi"/>
        </w:rPr>
        <w:t> </w:t>
      </w:r>
      <w:r>
        <w:rPr>
          <w:rFonts w:cstheme="minorHAnsi"/>
        </w:rPr>
        <w:t>lhůtě</w:t>
      </w:r>
      <w:r w:rsidRPr="000B31F9">
        <w:rPr>
          <w:rFonts w:cstheme="minorHAnsi"/>
        </w:rPr>
        <w:t xml:space="preserve"> pro příjem žádostí o podporu</w:t>
      </w:r>
      <w:r>
        <w:rPr>
          <w:rFonts w:cstheme="minorHAnsi"/>
        </w:rPr>
        <w:t xml:space="preserve"> resort</w:t>
      </w:r>
      <w:r w:rsidRPr="000B31F9">
        <w:rPr>
          <w:rFonts w:cstheme="minorHAnsi"/>
        </w:rPr>
        <w:t xml:space="preserve"> obdržel</w:t>
      </w:r>
      <w:r>
        <w:rPr>
          <w:rFonts w:cstheme="minorHAnsi"/>
        </w:rPr>
        <w:t xml:space="preserve"> celkem</w:t>
      </w:r>
      <w:r w:rsidRPr="000B31F9">
        <w:rPr>
          <w:rFonts w:cstheme="minorHAnsi"/>
        </w:rPr>
        <w:t xml:space="preserve"> 77 žádostí ve výši 939 milionů korun. </w:t>
      </w:r>
      <w:r>
        <w:rPr>
          <w:rFonts w:cstheme="minorHAnsi"/>
        </w:rPr>
        <w:t xml:space="preserve">Schváleno k financování bylo celkem 53 projektových žádostí v celkové výši přesahující </w:t>
      </w:r>
      <w:r w:rsidRPr="00895518">
        <w:rPr>
          <w:rFonts w:cstheme="minorHAnsi"/>
        </w:rPr>
        <w:t>60</w:t>
      </w:r>
      <w:r>
        <w:rPr>
          <w:rFonts w:cstheme="minorHAnsi"/>
        </w:rPr>
        <w:t>7 mil. Kč.</w:t>
      </w:r>
    </w:p>
    <w:p w14:paraId="71121147" w14:textId="0B0FBE54" w:rsidR="004F05DB" w:rsidRPr="008434D2" w:rsidRDefault="004F05DB" w:rsidP="004F05DB">
      <w:pPr>
        <w:jc w:val="both"/>
        <w:rPr>
          <w:rFonts w:cstheme="minorHAnsi"/>
        </w:rPr>
      </w:pPr>
      <w:r>
        <w:rPr>
          <w:rFonts w:cstheme="minorHAnsi"/>
        </w:rPr>
        <w:t xml:space="preserve">V listopadu 2024 MMR vyhlásilo dodatečnou </w:t>
      </w:r>
      <w:r w:rsidRPr="008434D2">
        <w:rPr>
          <w:rFonts w:cstheme="minorHAnsi"/>
          <w:b/>
          <w:bCs/>
        </w:rPr>
        <w:t>3. výzvu</w:t>
      </w:r>
      <w:r>
        <w:rPr>
          <w:rFonts w:cstheme="minorHAnsi"/>
        </w:rPr>
        <w:t xml:space="preserve"> (alokace 217 mil. Kč). O výzvu byl velký zájem a</w:t>
      </w:r>
      <w:r w:rsidR="00FE33F3">
        <w:rPr>
          <w:rFonts w:cstheme="minorHAnsi"/>
        </w:rPr>
        <w:t> </w:t>
      </w:r>
      <w:r>
        <w:rPr>
          <w:rFonts w:cstheme="minorHAnsi"/>
        </w:rPr>
        <w:t xml:space="preserve">ve lhůtě pro příjem žádostí do 31. 1. 2025 bylo podáno 89 žádostí o podporu </w:t>
      </w:r>
      <w:r w:rsidRPr="00893B41">
        <w:rPr>
          <w:rFonts w:cstheme="minorHAnsi"/>
        </w:rPr>
        <w:t>v celkové výši 812 mil. Kč</w:t>
      </w:r>
      <w:r>
        <w:rPr>
          <w:rFonts w:cstheme="minorHAnsi"/>
        </w:rPr>
        <w:t>. Nyní p</w:t>
      </w:r>
      <w:r w:rsidRPr="008434D2">
        <w:rPr>
          <w:rFonts w:cstheme="minorHAnsi"/>
        </w:rPr>
        <w:t xml:space="preserve">robíhá </w:t>
      </w:r>
      <w:r>
        <w:rPr>
          <w:rFonts w:cstheme="minorHAnsi"/>
        </w:rPr>
        <w:t xml:space="preserve">proces </w:t>
      </w:r>
      <w:r w:rsidRPr="008434D2">
        <w:rPr>
          <w:rFonts w:cstheme="minorHAnsi"/>
        </w:rPr>
        <w:t>hodnocení s odhadovaným termínem dokončení v dubnu až květnu</w:t>
      </w:r>
      <w:r>
        <w:rPr>
          <w:rFonts w:cstheme="minorHAnsi"/>
        </w:rPr>
        <w:t xml:space="preserve">. </w:t>
      </w:r>
      <w:r w:rsidRPr="00893B41">
        <w:rPr>
          <w:rFonts w:cstheme="minorHAnsi"/>
        </w:rPr>
        <w:t>Očekáváme podporu okolo 20 až 30 projektů</w:t>
      </w:r>
      <w:r>
        <w:rPr>
          <w:rFonts w:cstheme="minorHAnsi"/>
        </w:rPr>
        <w:t>. Další výzvy nejsou s ohledem na alokaci a termíny dokončení NPO předpokládány.</w:t>
      </w:r>
      <w:r w:rsidRPr="00CD2D54">
        <w:rPr>
          <w:rFonts w:ascii="Calibri" w:hAnsi="Calibri" w:cs="Calibri"/>
        </w:rPr>
        <w:t xml:space="preserve"> </w:t>
      </w:r>
    </w:p>
    <w:p w14:paraId="68C8D09B" w14:textId="1C49A0CD" w:rsidR="00560836" w:rsidRPr="00004A10" w:rsidRDefault="00560836" w:rsidP="007575C2">
      <w:pPr>
        <w:jc w:val="both"/>
        <w:rPr>
          <w:rFonts w:ascii="Calibri" w:eastAsia="Times New Roman" w:hAnsi="Calibri" w:cs="Calibri"/>
          <w:b/>
          <w:bCs/>
          <w:color w:val="4472C4" w:themeColor="accent1"/>
          <w:sz w:val="32"/>
          <w:szCs w:val="32"/>
        </w:rPr>
      </w:pPr>
      <w:r w:rsidRPr="00004A10">
        <w:rPr>
          <w:rFonts w:ascii="Calibri" w:eastAsia="Times New Roman" w:hAnsi="Calibri" w:cs="Calibri"/>
          <w:b/>
          <w:bCs/>
          <w:color w:val="4472C4" w:themeColor="accent1"/>
          <w:sz w:val="32"/>
          <w:szCs w:val="32"/>
        </w:rPr>
        <w:t>Komponenta 1.6</w:t>
      </w:r>
    </w:p>
    <w:p w14:paraId="22D1640D" w14:textId="77777777" w:rsidR="008E156C" w:rsidRPr="00004A10" w:rsidRDefault="008E156C" w:rsidP="008E156C">
      <w:pPr>
        <w:spacing w:after="120" w:line="240" w:lineRule="auto"/>
        <w:jc w:val="both"/>
        <w:rPr>
          <w:rFonts w:ascii="Calibri" w:eastAsia="Times New Roman" w:hAnsi="Calibri" w:cs="Calibri"/>
          <w:kern w:val="0"/>
          <w:lang w:eastAsia="cs-CZ"/>
          <w14:ligatures w14:val="none"/>
        </w:rPr>
      </w:pPr>
      <w:r w:rsidRPr="00004A10">
        <w:rPr>
          <w:rFonts w:ascii="Calibri" w:eastAsia="Times New Roman" w:hAnsi="Calibri" w:cs="Calibri"/>
          <w:color w:val="000000"/>
          <w:kern w:val="0"/>
          <w:lang w:eastAsia="cs-CZ"/>
          <w14:ligatures w14:val="none"/>
        </w:rPr>
        <w:t xml:space="preserve">V </w:t>
      </w:r>
      <w:proofErr w:type="spellStart"/>
      <w:r w:rsidRPr="00004A10">
        <w:rPr>
          <w:rFonts w:ascii="Calibri" w:eastAsia="Times New Roman" w:hAnsi="Calibri" w:cs="Calibri"/>
          <w:color w:val="000000"/>
          <w:kern w:val="0"/>
          <w:lang w:eastAsia="cs-CZ"/>
          <w14:ligatures w14:val="none"/>
        </w:rPr>
        <w:t>subkomponentě</w:t>
      </w:r>
      <w:proofErr w:type="spellEnd"/>
      <w:r w:rsidRPr="00004A10">
        <w:rPr>
          <w:rFonts w:ascii="Calibri" w:eastAsia="Times New Roman" w:hAnsi="Calibri" w:cs="Calibri"/>
          <w:color w:val="000000"/>
          <w:kern w:val="0"/>
          <w:lang w:eastAsia="cs-CZ"/>
          <w14:ligatures w14:val="none"/>
        </w:rPr>
        <w:t xml:space="preserve"> </w:t>
      </w:r>
      <w:r w:rsidRPr="00004A10">
        <w:rPr>
          <w:rFonts w:ascii="Calibri" w:eastAsia="Times New Roman" w:hAnsi="Calibri" w:cs="Calibri"/>
          <w:b/>
          <w:bCs/>
          <w:color w:val="000000"/>
          <w:kern w:val="0"/>
          <w:u w:val="single"/>
          <w:lang w:eastAsia="cs-CZ"/>
          <w14:ligatures w14:val="none"/>
        </w:rPr>
        <w:t>1.6.1 Zavedení rekodifikace stavebního práva do praxe</w:t>
      </w:r>
      <w:r w:rsidRPr="00004A10">
        <w:rPr>
          <w:rFonts w:ascii="Calibri" w:eastAsia="Times New Roman" w:hAnsi="Calibri" w:cs="Calibri"/>
          <w:color w:val="000000"/>
          <w:kern w:val="0"/>
          <w:lang w:eastAsia="cs-CZ"/>
          <w14:ligatures w14:val="none"/>
        </w:rPr>
        <w:t xml:space="preserve"> je řešeno vytvoření nové struktury stavebních úřadů, jejich vybavení a proškolení zaměstnanců úřadu.  </w:t>
      </w:r>
    </w:p>
    <w:p w14:paraId="69E60A8B" w14:textId="1883A24C" w:rsidR="00985EA2" w:rsidRPr="00004A10" w:rsidRDefault="00985EA2" w:rsidP="000248CA">
      <w:pPr>
        <w:pStyle w:val="Odstavecseseznamem"/>
        <w:numPr>
          <w:ilvl w:val="0"/>
          <w:numId w:val="18"/>
        </w:numPr>
        <w:tabs>
          <w:tab w:val="num" w:pos="1440"/>
        </w:tabs>
        <w:spacing w:after="120"/>
        <w:jc w:val="both"/>
        <w:rPr>
          <w:rFonts w:eastAsia="Times New Roman"/>
          <w:color w:val="000000"/>
          <w:lang w:eastAsia="cs-CZ"/>
          <w14:ligatures w14:val="none"/>
        </w:rPr>
      </w:pPr>
      <w:r w:rsidRPr="00004A10">
        <w:rPr>
          <w:rFonts w:eastAsia="Times New Roman"/>
          <w:color w:val="000000"/>
          <w:lang w:eastAsia="cs-CZ"/>
          <w14:ligatures w14:val="none"/>
        </w:rPr>
        <w:t>V</w:t>
      </w:r>
      <w:r w:rsidR="00004A10" w:rsidRPr="00004A10">
        <w:rPr>
          <w:rFonts w:eastAsia="Times New Roman"/>
          <w:color w:val="000000"/>
          <w:lang w:eastAsia="cs-CZ"/>
          <w14:ligatures w14:val="none"/>
        </w:rPr>
        <w:t xml:space="preserve"> této </w:t>
      </w:r>
      <w:proofErr w:type="spellStart"/>
      <w:r w:rsidR="00004A10" w:rsidRPr="00004A10">
        <w:rPr>
          <w:rFonts w:eastAsia="Times New Roman"/>
          <w:color w:val="000000"/>
          <w:lang w:eastAsia="cs-CZ"/>
          <w14:ligatures w14:val="none"/>
        </w:rPr>
        <w:t>subkomponentě</w:t>
      </w:r>
      <w:proofErr w:type="spellEnd"/>
      <w:r w:rsidR="00004A10" w:rsidRPr="00004A10">
        <w:rPr>
          <w:rFonts w:eastAsia="Times New Roman"/>
          <w:color w:val="000000"/>
          <w:lang w:eastAsia="cs-CZ"/>
          <w14:ligatures w14:val="none"/>
        </w:rPr>
        <w:t xml:space="preserve"> </w:t>
      </w:r>
      <w:r w:rsidRPr="00004A10">
        <w:rPr>
          <w:rFonts w:eastAsia="Times New Roman"/>
          <w:color w:val="000000"/>
          <w:lang w:eastAsia="cs-CZ"/>
          <w14:ligatures w14:val="none"/>
        </w:rPr>
        <w:t xml:space="preserve">byly stavební úřady vybaveny </w:t>
      </w:r>
      <w:r w:rsidRPr="00004A10">
        <w:rPr>
          <w:rFonts w:eastAsia="Times New Roman"/>
          <w:b/>
          <w:bCs/>
          <w:color w:val="000000"/>
          <w:lang w:eastAsia="cs-CZ"/>
          <w14:ligatures w14:val="none"/>
        </w:rPr>
        <w:t>IT technikou</w:t>
      </w:r>
      <w:r w:rsidR="00004A10" w:rsidRPr="00004A10">
        <w:rPr>
          <w:rFonts w:eastAsia="Times New Roman"/>
          <w:b/>
          <w:bCs/>
          <w:color w:val="000000"/>
          <w:lang w:eastAsia="cs-CZ"/>
          <w14:ligatures w14:val="none"/>
        </w:rPr>
        <w:t xml:space="preserve">, </w:t>
      </w:r>
      <w:r w:rsidR="00004A10" w:rsidRPr="00004A10">
        <w:rPr>
          <w:rFonts w:eastAsia="Times New Roman"/>
          <w:color w:val="000000"/>
          <w:lang w:eastAsia="cs-CZ"/>
          <w14:ligatures w14:val="none"/>
        </w:rPr>
        <w:t>proběhla</w:t>
      </w:r>
      <w:r w:rsidRPr="00004A10">
        <w:rPr>
          <w:rFonts w:eastAsia="Times New Roman"/>
          <w:color w:val="000000"/>
          <w:lang w:eastAsia="cs-CZ"/>
          <w14:ligatures w14:val="none"/>
        </w:rPr>
        <w:t xml:space="preserve"> </w:t>
      </w:r>
      <w:r w:rsidRPr="00004A10">
        <w:rPr>
          <w:rFonts w:eastAsia="Times New Roman"/>
          <w:b/>
          <w:bCs/>
          <w:color w:val="000000"/>
          <w:lang w:eastAsia="cs-CZ"/>
          <w14:ligatures w14:val="none"/>
        </w:rPr>
        <w:t xml:space="preserve">školení webinářů </w:t>
      </w:r>
      <w:r w:rsidRPr="00004A10">
        <w:rPr>
          <w:rFonts w:eastAsia="Times New Roman"/>
          <w:color w:val="000000"/>
          <w:lang w:eastAsia="cs-CZ"/>
          <w14:ligatures w14:val="none"/>
        </w:rPr>
        <w:t>a byl</w:t>
      </w:r>
      <w:r w:rsidR="00004A10" w:rsidRPr="00004A10">
        <w:rPr>
          <w:rFonts w:eastAsia="Times New Roman"/>
          <w:color w:val="000000"/>
          <w:lang w:eastAsia="cs-CZ"/>
          <w14:ligatures w14:val="none"/>
        </w:rPr>
        <w:t>a</w:t>
      </w:r>
      <w:r w:rsidRPr="00004A10">
        <w:rPr>
          <w:rFonts w:eastAsia="Times New Roman"/>
          <w:color w:val="000000"/>
          <w:lang w:eastAsia="cs-CZ"/>
          <w14:ligatures w14:val="none"/>
        </w:rPr>
        <w:t xml:space="preserve"> zveřejněn</w:t>
      </w:r>
      <w:r w:rsidR="00004A10" w:rsidRPr="00004A10">
        <w:rPr>
          <w:rFonts w:eastAsia="Times New Roman"/>
          <w:color w:val="000000"/>
          <w:lang w:eastAsia="cs-CZ"/>
          <w14:ligatures w14:val="none"/>
        </w:rPr>
        <w:t>a</w:t>
      </w:r>
      <w:r w:rsidRPr="00004A10">
        <w:rPr>
          <w:rFonts w:eastAsia="Times New Roman"/>
          <w:color w:val="000000"/>
          <w:lang w:eastAsia="cs-CZ"/>
          <w14:ligatures w14:val="none"/>
        </w:rPr>
        <w:t xml:space="preserve"> </w:t>
      </w:r>
      <w:r w:rsidRPr="00004A10">
        <w:rPr>
          <w:rFonts w:eastAsia="Times New Roman"/>
          <w:b/>
          <w:bCs/>
          <w:color w:val="000000"/>
          <w:lang w:eastAsia="cs-CZ"/>
          <w14:ligatures w14:val="none"/>
        </w:rPr>
        <w:t>instruktážní vide</w:t>
      </w:r>
      <w:r w:rsidR="00004A10" w:rsidRPr="00004A10">
        <w:rPr>
          <w:rFonts w:eastAsia="Times New Roman"/>
          <w:b/>
          <w:bCs/>
          <w:color w:val="000000"/>
          <w:lang w:eastAsia="cs-CZ"/>
          <w14:ligatures w14:val="none"/>
        </w:rPr>
        <w:t>a</w:t>
      </w:r>
      <w:r w:rsidR="00004A10" w:rsidRPr="00004A10">
        <w:rPr>
          <w:rFonts w:eastAsia="Times New Roman"/>
          <w:color w:val="000000"/>
          <w:lang w:eastAsia="cs-CZ"/>
          <w14:ligatures w14:val="none"/>
        </w:rPr>
        <w:t>.</w:t>
      </w:r>
    </w:p>
    <w:p w14:paraId="00C4B0A7" w14:textId="0FAF008F" w:rsidR="008E156C" w:rsidRPr="00004A10" w:rsidRDefault="008E156C" w:rsidP="008E156C">
      <w:pPr>
        <w:spacing w:after="120" w:line="240" w:lineRule="auto"/>
        <w:jc w:val="both"/>
        <w:rPr>
          <w:rFonts w:ascii="Calibri" w:eastAsia="Times New Roman" w:hAnsi="Calibri" w:cs="Calibri"/>
          <w:color w:val="000000"/>
          <w:kern w:val="0"/>
          <w:lang w:eastAsia="cs-CZ"/>
          <w14:ligatures w14:val="none"/>
        </w:rPr>
      </w:pPr>
      <w:r w:rsidRPr="00004A10">
        <w:rPr>
          <w:rFonts w:ascii="Calibri" w:eastAsia="Times New Roman" w:hAnsi="Calibri" w:cs="Calibri"/>
          <w:color w:val="000000"/>
          <w:kern w:val="0"/>
          <w:lang w:eastAsia="cs-CZ"/>
          <w14:ligatures w14:val="none"/>
        </w:rPr>
        <w:t xml:space="preserve">V rámci </w:t>
      </w:r>
      <w:proofErr w:type="spellStart"/>
      <w:r w:rsidRPr="00004A10">
        <w:rPr>
          <w:rFonts w:ascii="Calibri" w:eastAsia="Times New Roman" w:hAnsi="Calibri" w:cs="Calibri"/>
          <w:color w:val="000000"/>
          <w:kern w:val="0"/>
          <w:lang w:eastAsia="cs-CZ"/>
          <w14:ligatures w14:val="none"/>
        </w:rPr>
        <w:t>subkomponenty</w:t>
      </w:r>
      <w:proofErr w:type="spellEnd"/>
      <w:r w:rsidRPr="00004A10">
        <w:rPr>
          <w:rFonts w:ascii="Calibri" w:eastAsia="Times New Roman" w:hAnsi="Calibri" w:cs="Calibri"/>
          <w:color w:val="000000"/>
          <w:kern w:val="0"/>
          <w:lang w:eastAsia="cs-CZ"/>
          <w14:ligatures w14:val="none"/>
        </w:rPr>
        <w:t xml:space="preserve"> </w:t>
      </w:r>
      <w:r w:rsidRPr="00004A10">
        <w:rPr>
          <w:rFonts w:ascii="Calibri" w:eastAsia="Times New Roman" w:hAnsi="Calibri" w:cs="Calibri"/>
          <w:b/>
          <w:bCs/>
          <w:color w:val="000000"/>
          <w:kern w:val="0"/>
          <w:u w:val="single"/>
          <w:lang w:eastAsia="cs-CZ"/>
          <w14:ligatures w14:val="none"/>
        </w:rPr>
        <w:t>1.6.2 Vytvoření AIS</w:t>
      </w:r>
      <w:r w:rsidRPr="00004A10">
        <w:rPr>
          <w:rFonts w:ascii="Calibri" w:eastAsia="Times New Roman" w:hAnsi="Calibri" w:cs="Calibri"/>
          <w:color w:val="000000"/>
          <w:kern w:val="0"/>
          <w:lang w:eastAsia="cs-CZ"/>
          <w14:ligatures w14:val="none"/>
        </w:rPr>
        <w:t xml:space="preserve"> je realizován vývoj informačníh</w:t>
      </w:r>
      <w:r w:rsidR="00004A10" w:rsidRPr="00004A10">
        <w:rPr>
          <w:rFonts w:ascii="Calibri" w:eastAsia="Times New Roman" w:hAnsi="Calibri" w:cs="Calibri"/>
          <w:color w:val="000000"/>
          <w:kern w:val="0"/>
          <w:lang w:eastAsia="cs-CZ"/>
          <w14:ligatures w14:val="none"/>
        </w:rPr>
        <w:t>o</w:t>
      </w:r>
      <w:r w:rsidRPr="00004A10">
        <w:rPr>
          <w:rFonts w:ascii="Calibri" w:eastAsia="Times New Roman" w:hAnsi="Calibri" w:cs="Calibri"/>
          <w:color w:val="000000"/>
          <w:kern w:val="0"/>
          <w:lang w:eastAsia="cs-CZ"/>
          <w14:ligatures w14:val="none"/>
        </w:rPr>
        <w:t xml:space="preserve"> systém</w:t>
      </w:r>
      <w:r w:rsidR="00004A10" w:rsidRPr="00004A10">
        <w:rPr>
          <w:rFonts w:ascii="Calibri" w:eastAsia="Times New Roman" w:hAnsi="Calibri" w:cs="Calibri"/>
          <w:color w:val="000000"/>
          <w:kern w:val="0"/>
          <w:lang w:eastAsia="cs-CZ"/>
          <w14:ligatures w14:val="none"/>
        </w:rPr>
        <w:t>u</w:t>
      </w:r>
      <w:r w:rsidRPr="00004A10">
        <w:rPr>
          <w:rFonts w:ascii="Calibri" w:eastAsia="Times New Roman" w:hAnsi="Calibri" w:cs="Calibri"/>
          <w:color w:val="000000"/>
          <w:kern w:val="0"/>
          <w:lang w:eastAsia="cs-CZ"/>
          <w14:ligatures w14:val="none"/>
        </w:rPr>
        <w:t xml:space="preserve"> stavební správy. </w:t>
      </w:r>
    </w:p>
    <w:p w14:paraId="24411E42" w14:textId="0F9D01D2" w:rsidR="00004A10" w:rsidRPr="00004A10" w:rsidRDefault="00004A10" w:rsidP="00004A10">
      <w:pPr>
        <w:pStyle w:val="Odstavecseseznamem"/>
        <w:numPr>
          <w:ilvl w:val="0"/>
          <w:numId w:val="18"/>
        </w:numPr>
        <w:spacing w:after="120"/>
        <w:ind w:left="714" w:hanging="357"/>
        <w:jc w:val="both"/>
        <w:rPr>
          <w:rFonts w:eastAsia="Times New Roman"/>
          <w:lang w:eastAsia="cs-CZ"/>
          <w14:ligatures w14:val="none"/>
        </w:rPr>
      </w:pPr>
      <w:r w:rsidRPr="00004A10">
        <w:rPr>
          <w:rFonts w:eastAsia="Times New Roman"/>
          <w:lang w:eastAsia="cs-CZ"/>
          <w14:ligatures w14:val="none"/>
        </w:rPr>
        <w:t>Vzhledem ke změnám v oblasti používání některých informačních systémů (= „bypass“) probíhají aktuálně jednání s EK ohledně nastavení komponenty a jejího rozpočtu. Jednání pomohou k minimalizaci rizik a úspěšnému naplnění milníků a cílů.</w:t>
      </w:r>
    </w:p>
    <w:p w14:paraId="5E14C447" w14:textId="3C3DCE69" w:rsidR="008E156C" w:rsidRPr="00004A10" w:rsidRDefault="008E156C" w:rsidP="00F654C8">
      <w:pPr>
        <w:spacing w:after="120" w:line="240" w:lineRule="auto"/>
        <w:jc w:val="both"/>
        <w:rPr>
          <w:rFonts w:ascii="Calibri" w:eastAsia="Times New Roman" w:hAnsi="Calibri" w:cs="Calibri"/>
          <w:color w:val="000000"/>
          <w:kern w:val="0"/>
          <w:lang w:eastAsia="cs-CZ"/>
          <w14:ligatures w14:val="none"/>
        </w:rPr>
      </w:pPr>
      <w:proofErr w:type="spellStart"/>
      <w:r w:rsidRPr="00004A10">
        <w:rPr>
          <w:rFonts w:ascii="Calibri" w:eastAsia="Times New Roman" w:hAnsi="Calibri" w:cs="Calibri"/>
          <w:color w:val="000000"/>
          <w:kern w:val="0"/>
          <w:lang w:eastAsia="cs-CZ"/>
          <w14:ligatures w14:val="none"/>
        </w:rPr>
        <w:t>Subkomponent</w:t>
      </w:r>
      <w:r w:rsidR="00004A10">
        <w:rPr>
          <w:rFonts w:ascii="Calibri" w:eastAsia="Times New Roman" w:hAnsi="Calibri" w:cs="Calibri"/>
          <w:color w:val="000000"/>
          <w:kern w:val="0"/>
          <w:lang w:eastAsia="cs-CZ"/>
          <w14:ligatures w14:val="none"/>
        </w:rPr>
        <w:t>y</w:t>
      </w:r>
      <w:proofErr w:type="spellEnd"/>
      <w:r w:rsidRPr="00004A10">
        <w:rPr>
          <w:rFonts w:ascii="Calibri" w:eastAsia="Times New Roman" w:hAnsi="Calibri" w:cs="Calibri"/>
          <w:color w:val="000000"/>
          <w:kern w:val="0"/>
          <w:lang w:eastAsia="cs-CZ"/>
          <w14:ligatures w14:val="none"/>
        </w:rPr>
        <w:t xml:space="preserve"> </w:t>
      </w:r>
      <w:r w:rsidRPr="00004A10">
        <w:rPr>
          <w:rFonts w:ascii="Calibri" w:eastAsia="Times New Roman" w:hAnsi="Calibri" w:cs="Calibri"/>
          <w:b/>
          <w:bCs/>
          <w:color w:val="000000"/>
          <w:kern w:val="0"/>
          <w:u w:val="single"/>
          <w:lang w:eastAsia="cs-CZ"/>
          <w14:ligatures w14:val="none"/>
        </w:rPr>
        <w:t>1.6.3 Rozvoj a využití datového fondu veřejné správy v územním plánování</w:t>
      </w:r>
      <w:r w:rsidR="00004A10" w:rsidRPr="00004A10">
        <w:rPr>
          <w:rFonts w:ascii="Calibri" w:eastAsia="Times New Roman" w:hAnsi="Calibri" w:cs="Calibri"/>
          <w:color w:val="000000"/>
          <w:kern w:val="0"/>
          <w:lang w:eastAsia="cs-CZ"/>
          <w14:ligatures w14:val="none"/>
        </w:rPr>
        <w:t xml:space="preserve"> a </w:t>
      </w:r>
      <w:r w:rsidR="00004A10" w:rsidRPr="00004A10">
        <w:rPr>
          <w:rFonts w:ascii="Calibri" w:eastAsia="Times New Roman" w:hAnsi="Calibri" w:cs="Calibri"/>
          <w:b/>
          <w:bCs/>
          <w:color w:val="000000"/>
          <w:kern w:val="0"/>
          <w:u w:val="single"/>
          <w:lang w:eastAsia="cs-CZ"/>
          <w14:ligatures w14:val="none"/>
        </w:rPr>
        <w:t>1.6.4 Plné využití přínosů digitalizace stavebního řízení</w:t>
      </w:r>
      <w:r w:rsidRPr="00004A10">
        <w:rPr>
          <w:rFonts w:ascii="Calibri" w:eastAsia="Times New Roman" w:hAnsi="Calibri" w:cs="Calibri"/>
          <w:b/>
          <w:bCs/>
          <w:color w:val="000000"/>
          <w:kern w:val="0"/>
          <w:lang w:eastAsia="cs-CZ"/>
          <w14:ligatures w14:val="none"/>
        </w:rPr>
        <w:t xml:space="preserve"> </w:t>
      </w:r>
      <w:r w:rsidR="00985EA2" w:rsidRPr="00004A10">
        <w:rPr>
          <w:rFonts w:ascii="Calibri" w:eastAsia="Times New Roman" w:hAnsi="Calibri" w:cs="Calibri"/>
          <w:color w:val="000000"/>
          <w:kern w:val="0"/>
          <w:lang w:eastAsia="cs-CZ"/>
          <w14:ligatures w14:val="none"/>
        </w:rPr>
        <w:t>j</w:t>
      </w:r>
      <w:r w:rsidR="00004A10" w:rsidRPr="00004A10">
        <w:rPr>
          <w:rFonts w:ascii="Calibri" w:eastAsia="Times New Roman" w:hAnsi="Calibri" w:cs="Calibri"/>
          <w:color w:val="000000"/>
          <w:kern w:val="0"/>
          <w:lang w:eastAsia="cs-CZ"/>
          <w14:ligatures w14:val="none"/>
        </w:rPr>
        <w:t>sou</w:t>
      </w:r>
      <w:r w:rsidR="00985EA2" w:rsidRPr="00004A10">
        <w:rPr>
          <w:rFonts w:ascii="Calibri" w:eastAsia="Times New Roman" w:hAnsi="Calibri" w:cs="Calibri"/>
          <w:color w:val="000000"/>
          <w:kern w:val="0"/>
          <w:lang w:eastAsia="cs-CZ"/>
          <w14:ligatures w14:val="none"/>
        </w:rPr>
        <w:t xml:space="preserve"> ve fázi realizace.</w:t>
      </w:r>
    </w:p>
    <w:p w14:paraId="5D435563" w14:textId="4F690C69" w:rsidR="00560836" w:rsidRDefault="00560836" w:rsidP="007575C2">
      <w:pPr>
        <w:jc w:val="both"/>
        <w:rPr>
          <w:rFonts w:ascii="Calibri" w:eastAsia="Times New Roman" w:hAnsi="Calibri" w:cs="Calibri"/>
          <w:b/>
          <w:bCs/>
          <w:color w:val="4472C4" w:themeColor="accent1"/>
          <w:sz w:val="32"/>
          <w:szCs w:val="32"/>
        </w:rPr>
      </w:pPr>
      <w:r>
        <w:rPr>
          <w:rFonts w:ascii="Calibri" w:eastAsia="Times New Roman" w:hAnsi="Calibri" w:cs="Calibri"/>
          <w:b/>
          <w:bCs/>
          <w:color w:val="4472C4" w:themeColor="accent1"/>
          <w:sz w:val="32"/>
          <w:szCs w:val="32"/>
        </w:rPr>
        <w:t>Komponenta 2.8</w:t>
      </w:r>
    </w:p>
    <w:p w14:paraId="0712AC38" w14:textId="74DD1A2E" w:rsidR="004F05DB" w:rsidRPr="004F05DB" w:rsidRDefault="004F05DB" w:rsidP="004F05DB">
      <w:pPr>
        <w:spacing w:line="240" w:lineRule="auto"/>
        <w:jc w:val="both"/>
        <w:rPr>
          <w:rFonts w:cstheme="minorHAnsi"/>
        </w:rPr>
      </w:pPr>
      <w:r w:rsidRPr="004F05DB">
        <w:rPr>
          <w:rFonts w:cstheme="minorHAnsi"/>
        </w:rPr>
        <w:t xml:space="preserve">V </w:t>
      </w:r>
      <w:proofErr w:type="spellStart"/>
      <w:r w:rsidRPr="004F05DB">
        <w:rPr>
          <w:rFonts w:cstheme="minorHAnsi"/>
        </w:rPr>
        <w:t>subkomponentě</w:t>
      </w:r>
      <w:proofErr w:type="spellEnd"/>
      <w:r w:rsidRPr="004F05DB">
        <w:rPr>
          <w:rFonts w:cstheme="minorHAnsi"/>
        </w:rPr>
        <w:t xml:space="preserve"> </w:t>
      </w:r>
      <w:r w:rsidRPr="004F05DB">
        <w:rPr>
          <w:rFonts w:cstheme="minorHAnsi"/>
          <w:b/>
          <w:bCs/>
          <w:u w:val="single"/>
        </w:rPr>
        <w:t>2.8.1 Revitalizace velkých brownfieldů</w:t>
      </w:r>
      <w:r w:rsidRPr="004F05DB">
        <w:rPr>
          <w:rFonts w:cstheme="minorHAnsi"/>
        </w:rPr>
        <w:t xml:space="preserve"> je v realizaci celkem 11 rekonstrukcí a 5 demolicí s následnou výstavbou energeticky šetrné budovy úhrnem za 2 mld. Kč. </w:t>
      </w:r>
      <w:r>
        <w:rPr>
          <w:rFonts w:cstheme="minorHAnsi"/>
        </w:rPr>
        <w:t>Tři</w:t>
      </w:r>
      <w:r w:rsidRPr="004F05DB">
        <w:rPr>
          <w:rFonts w:cstheme="minorHAnsi"/>
        </w:rPr>
        <w:t xml:space="preserve"> projekty evidují zpoždění realizace v řádu 2-4 měsíců, zbytek 13 projektů je </w:t>
      </w:r>
      <w:r w:rsidR="00FE33F3">
        <w:rPr>
          <w:rFonts w:cstheme="minorHAnsi"/>
        </w:rPr>
        <w:t xml:space="preserve">realizován </w:t>
      </w:r>
      <w:r w:rsidRPr="004F05DB">
        <w:rPr>
          <w:rFonts w:cstheme="minorHAnsi"/>
        </w:rPr>
        <w:t>v</w:t>
      </w:r>
      <w:r w:rsidR="00FE33F3">
        <w:rPr>
          <w:rFonts w:cstheme="minorHAnsi"/>
        </w:rPr>
        <w:t xml:space="preserve"> souladu s </w:t>
      </w:r>
      <w:r w:rsidRPr="004F05DB">
        <w:rPr>
          <w:rFonts w:cstheme="minorHAnsi"/>
        </w:rPr>
        <w:t>harmonogram</w:t>
      </w:r>
      <w:r w:rsidR="00FE33F3">
        <w:rPr>
          <w:rFonts w:cstheme="minorHAnsi"/>
        </w:rPr>
        <w:t>em</w:t>
      </w:r>
      <w:r w:rsidRPr="004F05DB">
        <w:rPr>
          <w:rFonts w:cstheme="minorHAnsi"/>
        </w:rPr>
        <w:t>. Cíl je 10 projektů, na plnění tak nemá zpoždění žádný vliv.</w:t>
      </w:r>
    </w:p>
    <w:p w14:paraId="3D40D855" w14:textId="62DDB69E" w:rsidR="004F05DB" w:rsidRPr="004F05DB" w:rsidRDefault="004F05DB" w:rsidP="004F05DB">
      <w:pPr>
        <w:spacing w:line="240" w:lineRule="auto"/>
        <w:jc w:val="both"/>
        <w:rPr>
          <w:rFonts w:cstheme="minorHAnsi"/>
        </w:rPr>
      </w:pPr>
      <w:r w:rsidRPr="004F05DB">
        <w:rPr>
          <w:rFonts w:cstheme="minorHAnsi"/>
        </w:rPr>
        <w:t xml:space="preserve">V </w:t>
      </w:r>
      <w:proofErr w:type="spellStart"/>
      <w:r w:rsidRPr="004F05DB">
        <w:rPr>
          <w:rFonts w:cstheme="minorHAnsi"/>
        </w:rPr>
        <w:t>subkomponentě</w:t>
      </w:r>
      <w:proofErr w:type="spellEnd"/>
      <w:r w:rsidRPr="004F05DB">
        <w:rPr>
          <w:rFonts w:cstheme="minorHAnsi"/>
        </w:rPr>
        <w:t xml:space="preserve"> </w:t>
      </w:r>
      <w:r w:rsidRPr="004F05DB">
        <w:rPr>
          <w:rFonts w:cstheme="minorHAnsi"/>
          <w:b/>
          <w:bCs/>
          <w:u w:val="single"/>
        </w:rPr>
        <w:t xml:space="preserve">2.8.2 Revitalizace malých brownfieldů pro </w:t>
      </w:r>
      <w:proofErr w:type="spellStart"/>
      <w:r w:rsidRPr="004F05DB">
        <w:rPr>
          <w:rFonts w:cstheme="minorHAnsi"/>
          <w:b/>
          <w:bCs/>
          <w:u w:val="single"/>
        </w:rPr>
        <w:t>nehospodářské</w:t>
      </w:r>
      <w:proofErr w:type="spellEnd"/>
      <w:r w:rsidRPr="004F05DB">
        <w:rPr>
          <w:rFonts w:cstheme="minorHAnsi"/>
          <w:b/>
          <w:bCs/>
          <w:u w:val="single"/>
        </w:rPr>
        <w:t xml:space="preserve"> využití</w:t>
      </w:r>
      <w:r w:rsidRPr="004F05DB">
        <w:rPr>
          <w:rFonts w:cstheme="minorHAnsi"/>
        </w:rPr>
        <w:t xml:space="preserve"> je realizováno 53 projektů, z větší části se jedná o vznik přírodního úložiště uhlíku, což je demolice brownfieldu s následným zalesněním pozemku. Kromě počtu třiceti projektů je v této komponentě navíc cíl 41 tis. m</w:t>
      </w:r>
      <w:r w:rsidRPr="004F05DB">
        <w:rPr>
          <w:rFonts w:cstheme="minorHAnsi"/>
          <w:vertAlign w:val="superscript"/>
        </w:rPr>
        <w:t>2</w:t>
      </w:r>
      <w:r w:rsidRPr="004F05DB">
        <w:rPr>
          <w:rFonts w:cstheme="minorHAnsi"/>
        </w:rPr>
        <w:t xml:space="preserve"> zastavěné plochy revitalizace. V realizaci je 48 tis. </w:t>
      </w:r>
      <w:r>
        <w:rPr>
          <w:rFonts w:cstheme="minorHAnsi"/>
        </w:rPr>
        <w:t>m</w:t>
      </w:r>
      <w:r w:rsidRPr="004F05DB">
        <w:rPr>
          <w:rFonts w:cstheme="minorHAnsi"/>
          <w:vertAlign w:val="superscript"/>
        </w:rPr>
        <w:t>2</w:t>
      </w:r>
      <w:r w:rsidRPr="004F05DB">
        <w:rPr>
          <w:rFonts w:cstheme="minorHAnsi"/>
        </w:rPr>
        <w:t xml:space="preserve">, rezerva 7 tis. </w:t>
      </w:r>
      <w:r>
        <w:rPr>
          <w:rFonts w:cstheme="minorHAnsi"/>
        </w:rPr>
        <w:t>m</w:t>
      </w:r>
      <w:r w:rsidRPr="004F05DB">
        <w:rPr>
          <w:rFonts w:cstheme="minorHAnsi"/>
          <w:vertAlign w:val="superscript"/>
        </w:rPr>
        <w:t>2</w:t>
      </w:r>
      <w:r w:rsidRPr="004F05DB">
        <w:rPr>
          <w:rFonts w:cstheme="minorHAnsi"/>
        </w:rPr>
        <w:t xml:space="preserve"> je tak zcela dostatečná. </w:t>
      </w:r>
    </w:p>
    <w:p w14:paraId="7BB8130F" w14:textId="77777777" w:rsidR="004F05DB" w:rsidRPr="004F05DB" w:rsidRDefault="004F05DB" w:rsidP="004F05DB">
      <w:pPr>
        <w:spacing w:line="240" w:lineRule="auto"/>
        <w:jc w:val="both"/>
        <w:rPr>
          <w:rFonts w:cstheme="minorHAnsi"/>
        </w:rPr>
      </w:pPr>
      <w:r w:rsidRPr="004F05DB">
        <w:rPr>
          <w:rFonts w:cstheme="minorHAnsi"/>
        </w:rPr>
        <w:t xml:space="preserve">V této </w:t>
      </w:r>
      <w:proofErr w:type="spellStart"/>
      <w:r w:rsidRPr="004F05DB">
        <w:rPr>
          <w:rFonts w:cstheme="minorHAnsi"/>
        </w:rPr>
        <w:t>subkomponentě</w:t>
      </w:r>
      <w:proofErr w:type="spellEnd"/>
      <w:r w:rsidRPr="004F05DB">
        <w:rPr>
          <w:rFonts w:cstheme="minorHAnsi"/>
        </w:rPr>
        <w:t xml:space="preserve"> z celkových 830 mil. Kč nebylo alokováno 121 mil. Kč, které zůstávají jako úspora ve státním rozpočtu.</w:t>
      </w:r>
    </w:p>
    <w:p w14:paraId="130FC4E5" w14:textId="4DAC527F" w:rsidR="008944AF" w:rsidRPr="004F05DB" w:rsidRDefault="004F05DB" w:rsidP="00EB35E4">
      <w:pPr>
        <w:spacing w:line="240" w:lineRule="auto"/>
        <w:jc w:val="both"/>
        <w:rPr>
          <w:rFonts w:cstheme="minorHAnsi"/>
        </w:rPr>
      </w:pPr>
      <w:r w:rsidRPr="004F05DB">
        <w:rPr>
          <w:rFonts w:cstheme="minorHAnsi"/>
        </w:rPr>
        <w:t>U cíle č. 155, tedy u velkých brownfieldů jsme z preventivních důvodů požádali o posun dokončení revitalizace o 6 měsíců, z konce letoška na červen 2026. Neformálně je změna Bruselem vnímána přijatelně, čekáme na podpis II. revize CID.</w:t>
      </w:r>
    </w:p>
    <w:p w14:paraId="55977E26" w14:textId="77777777" w:rsidR="002703E1" w:rsidRDefault="002703E1" w:rsidP="002703E1">
      <w:pPr>
        <w:jc w:val="both"/>
        <w:rPr>
          <w:rFonts w:ascii="Calibri" w:eastAsia="Times New Roman" w:hAnsi="Calibri" w:cs="Calibri"/>
          <w:b/>
          <w:bCs/>
          <w:color w:val="4472C4" w:themeColor="accent1"/>
          <w:sz w:val="32"/>
          <w:szCs w:val="32"/>
        </w:rPr>
      </w:pPr>
      <w:r>
        <w:rPr>
          <w:rFonts w:ascii="Calibri" w:eastAsia="Times New Roman" w:hAnsi="Calibri" w:cs="Calibri"/>
          <w:b/>
          <w:bCs/>
          <w:color w:val="4472C4" w:themeColor="accent1"/>
          <w:sz w:val="32"/>
          <w:szCs w:val="32"/>
        </w:rPr>
        <w:lastRenderedPageBreak/>
        <w:t>Komponenta 2.10</w:t>
      </w:r>
    </w:p>
    <w:p w14:paraId="026362AE" w14:textId="463BA124" w:rsidR="004F05DB" w:rsidRDefault="004F05DB" w:rsidP="004F05DB">
      <w:pPr>
        <w:spacing w:after="120" w:line="240" w:lineRule="auto"/>
        <w:jc w:val="both"/>
        <w:rPr>
          <w:rFonts w:eastAsia="+mn-ea" w:cstheme="minorHAnsi"/>
          <w:color w:val="262626"/>
          <w:kern w:val="24"/>
        </w:rPr>
      </w:pPr>
      <w:r w:rsidRPr="003861C1">
        <w:rPr>
          <w:rFonts w:eastAsia="+mn-ea" w:cstheme="minorHAnsi"/>
          <w:color w:val="262626"/>
          <w:kern w:val="24"/>
        </w:rPr>
        <w:t>Skládá se z</w:t>
      </w:r>
      <w:r>
        <w:rPr>
          <w:rFonts w:eastAsia="+mn-ea" w:cstheme="minorHAnsi"/>
          <w:color w:val="262626"/>
          <w:kern w:val="24"/>
        </w:rPr>
        <w:t xml:space="preserve"> </w:t>
      </w:r>
      <w:r w:rsidRPr="003861C1">
        <w:rPr>
          <w:rFonts w:eastAsia="+mn-ea" w:cstheme="minorHAnsi"/>
          <w:b/>
          <w:bCs/>
          <w:color w:val="262626"/>
          <w:kern w:val="24"/>
          <w:u w:val="single"/>
        </w:rPr>
        <w:t>grantové části</w:t>
      </w:r>
      <w:r w:rsidRPr="003861C1">
        <w:rPr>
          <w:rFonts w:eastAsia="+mn-ea" w:cstheme="minorHAnsi"/>
          <w:color w:val="262626"/>
          <w:kern w:val="24"/>
        </w:rPr>
        <w:t xml:space="preserve"> </w:t>
      </w:r>
      <w:r>
        <w:rPr>
          <w:rFonts w:eastAsia="+mn-ea" w:cstheme="minorHAnsi"/>
          <w:color w:val="262626"/>
          <w:kern w:val="24"/>
        </w:rPr>
        <w:t xml:space="preserve">(alokace </w:t>
      </w:r>
      <w:r w:rsidRPr="003861C1">
        <w:rPr>
          <w:rFonts w:eastAsia="+mn-ea" w:cstheme="minorHAnsi"/>
          <w:color w:val="262626"/>
          <w:kern w:val="24"/>
        </w:rPr>
        <w:t>80 mil. Kč</w:t>
      </w:r>
      <w:r>
        <w:rPr>
          <w:rFonts w:eastAsia="+mn-ea" w:cstheme="minorHAnsi"/>
          <w:color w:val="262626"/>
          <w:kern w:val="24"/>
        </w:rPr>
        <w:t xml:space="preserve"> určená na </w:t>
      </w:r>
      <w:r w:rsidRPr="003861C1">
        <w:rPr>
          <w:rFonts w:eastAsia="+mn-ea" w:cstheme="minorHAnsi"/>
          <w:color w:val="262626"/>
          <w:kern w:val="24"/>
        </w:rPr>
        <w:t>zákon o podpoře bydlení</w:t>
      </w:r>
      <w:r>
        <w:rPr>
          <w:rFonts w:eastAsia="+mn-ea" w:cstheme="minorHAnsi"/>
          <w:color w:val="262626"/>
          <w:kern w:val="24"/>
        </w:rPr>
        <w:t>) a</w:t>
      </w:r>
      <w:r w:rsidRPr="003861C1">
        <w:rPr>
          <w:rFonts w:eastAsia="+mn-ea" w:cstheme="minorHAnsi"/>
          <w:b/>
          <w:bCs/>
          <w:color w:val="262626"/>
          <w:kern w:val="24"/>
        </w:rPr>
        <w:t xml:space="preserve"> </w:t>
      </w:r>
      <w:r w:rsidRPr="003861C1">
        <w:rPr>
          <w:rFonts w:eastAsia="+mn-ea" w:cstheme="minorHAnsi"/>
          <w:b/>
          <w:bCs/>
          <w:color w:val="262626"/>
          <w:kern w:val="24"/>
          <w:u w:val="single"/>
        </w:rPr>
        <w:t>půjčkové části</w:t>
      </w:r>
      <w:r w:rsidRPr="003861C1">
        <w:rPr>
          <w:rFonts w:eastAsia="+mn-ea" w:cstheme="minorHAnsi"/>
          <w:b/>
          <w:bCs/>
          <w:color w:val="262626"/>
          <w:kern w:val="24"/>
        </w:rPr>
        <w:t xml:space="preserve"> </w:t>
      </w:r>
      <w:r w:rsidRPr="003861C1">
        <w:rPr>
          <w:rFonts w:eastAsia="+mn-ea" w:cstheme="minorHAnsi"/>
          <w:color w:val="262626"/>
          <w:kern w:val="24"/>
        </w:rPr>
        <w:t>(</w:t>
      </w:r>
      <w:r>
        <w:rPr>
          <w:rFonts w:eastAsia="+mn-ea" w:cstheme="minorHAnsi"/>
          <w:color w:val="262626"/>
          <w:kern w:val="24"/>
        </w:rPr>
        <w:t xml:space="preserve">alokace </w:t>
      </w:r>
      <w:r w:rsidRPr="003861C1">
        <w:rPr>
          <w:rFonts w:eastAsia="+mn-ea" w:cstheme="minorHAnsi"/>
          <w:color w:val="262626"/>
          <w:kern w:val="24"/>
        </w:rPr>
        <w:t xml:space="preserve">8,42 mld. Kč </w:t>
      </w:r>
      <w:r>
        <w:rPr>
          <w:rFonts w:eastAsia="+mn-ea" w:cstheme="minorHAnsi"/>
          <w:color w:val="262626"/>
          <w:kern w:val="24"/>
        </w:rPr>
        <w:t xml:space="preserve">určená na </w:t>
      </w:r>
      <w:r w:rsidRPr="003861C1">
        <w:rPr>
          <w:rFonts w:eastAsia="+mn-ea" w:cstheme="minorHAnsi"/>
          <w:color w:val="262626"/>
          <w:kern w:val="24"/>
        </w:rPr>
        <w:t>finanční nástroje</w:t>
      </w:r>
      <w:r>
        <w:rPr>
          <w:rFonts w:eastAsia="+mn-ea" w:cstheme="minorHAnsi"/>
          <w:color w:val="262626"/>
          <w:kern w:val="24"/>
        </w:rPr>
        <w:t xml:space="preserve"> (s implementačními partnery SFPI, NRB a NRI) a</w:t>
      </w:r>
      <w:r w:rsidR="00FE33F3">
        <w:rPr>
          <w:rFonts w:eastAsia="+mn-ea" w:cstheme="minorHAnsi"/>
          <w:color w:val="262626"/>
          <w:kern w:val="24"/>
        </w:rPr>
        <w:t> </w:t>
      </w:r>
      <w:r w:rsidRPr="003861C1">
        <w:rPr>
          <w:rFonts w:eastAsia="+mn-ea" w:cstheme="minorHAnsi"/>
          <w:color w:val="262626"/>
          <w:kern w:val="24"/>
        </w:rPr>
        <w:t>regionální centra pro podporu investic do bydlení)</w:t>
      </w:r>
      <w:r>
        <w:rPr>
          <w:rFonts w:eastAsia="+mn-ea" w:cstheme="minorHAnsi"/>
          <w:color w:val="262626"/>
          <w:kern w:val="24"/>
        </w:rPr>
        <w:t>.</w:t>
      </w:r>
    </w:p>
    <w:p w14:paraId="39CD5E4A" w14:textId="77777777" w:rsidR="004F05DB" w:rsidRPr="00642077" w:rsidRDefault="004F05DB" w:rsidP="004F05DB">
      <w:pPr>
        <w:spacing w:after="120" w:line="240" w:lineRule="auto"/>
        <w:jc w:val="both"/>
        <w:rPr>
          <w:rFonts w:eastAsia="+mn-ea" w:cstheme="minorHAnsi"/>
          <w:b/>
          <w:bCs/>
          <w:color w:val="262626"/>
          <w:kern w:val="24"/>
        </w:rPr>
      </w:pPr>
      <w:r w:rsidRPr="00642077">
        <w:rPr>
          <w:rFonts w:eastAsia="+mn-ea" w:cstheme="minorHAnsi"/>
          <w:b/>
          <w:bCs/>
          <w:color w:val="262626"/>
          <w:kern w:val="24"/>
        </w:rPr>
        <w:t>Zákon o podpoře bydlení (dále Zákon)</w:t>
      </w:r>
    </w:p>
    <w:p w14:paraId="16A715C1" w14:textId="6F6B1B46" w:rsidR="004F05DB" w:rsidRPr="004F05DB" w:rsidRDefault="004F05DB" w:rsidP="004F05DB">
      <w:pPr>
        <w:spacing w:after="120" w:line="240" w:lineRule="auto"/>
        <w:jc w:val="both"/>
        <w:rPr>
          <w:rFonts w:eastAsia="Calibri" w:cstheme="minorHAnsi"/>
          <w:color w:val="000000" w:themeColor="text1"/>
          <w:kern w:val="0"/>
          <w14:ligatures w14:val="none"/>
        </w:rPr>
      </w:pPr>
      <w:bookmarkStart w:id="0" w:name="_Hlk193293521"/>
      <w:r>
        <w:rPr>
          <w:rFonts w:eastAsia="Calibri" w:cstheme="minorHAnsi"/>
          <w:kern w:val="0"/>
          <w14:ligatures w14:val="none"/>
        </w:rPr>
        <w:t>V rámci komponenty dojde k </w:t>
      </w:r>
      <w:r w:rsidRPr="00EB35E4">
        <w:rPr>
          <w:rFonts w:eastAsia="Calibri" w:cstheme="minorHAnsi"/>
          <w:kern w:val="0"/>
          <w14:ligatures w14:val="none"/>
        </w:rPr>
        <w:t>vytv</w:t>
      </w:r>
      <w:r>
        <w:rPr>
          <w:rFonts w:eastAsia="Calibri" w:cstheme="minorHAnsi"/>
          <w:kern w:val="0"/>
          <w14:ligatures w14:val="none"/>
        </w:rPr>
        <w:t>o</w:t>
      </w:r>
      <w:r w:rsidRPr="00EB35E4">
        <w:rPr>
          <w:rFonts w:eastAsia="Calibri" w:cstheme="minorHAnsi"/>
          <w:kern w:val="0"/>
          <w14:ligatures w14:val="none"/>
        </w:rPr>
        <w:t>řen</w:t>
      </w:r>
      <w:r>
        <w:rPr>
          <w:rFonts w:eastAsia="Calibri" w:cstheme="minorHAnsi"/>
          <w:kern w:val="0"/>
          <w14:ligatures w14:val="none"/>
        </w:rPr>
        <w:t xml:space="preserve">í zákona, </w:t>
      </w:r>
      <w:r w:rsidRPr="007B5599">
        <w:rPr>
          <w:rFonts w:eastAsia="Calibri" w:cstheme="minorHAnsi"/>
          <w:kern w:val="0"/>
          <w14:ligatures w14:val="none"/>
        </w:rPr>
        <w:t>který zavádí</w:t>
      </w:r>
      <w:r>
        <w:rPr>
          <w:rFonts w:eastAsia="Calibri" w:cstheme="minorHAnsi"/>
          <w:kern w:val="0"/>
          <w14:ligatures w14:val="none"/>
        </w:rPr>
        <w:t xml:space="preserve"> </w:t>
      </w:r>
      <w:r w:rsidRPr="007B5599">
        <w:rPr>
          <w:rFonts w:eastAsia="Calibri" w:cstheme="minorHAnsi"/>
          <w:kern w:val="0"/>
          <w14:ligatures w14:val="none"/>
        </w:rPr>
        <w:t>kontaktní místa pro bydlení, systém garancí pro nájemníky a pronajímatele, podporu asistence v bydlení.</w:t>
      </w:r>
      <w:r w:rsidRPr="00A733B3">
        <w:rPr>
          <w:rFonts w:eastAsia="Calibri" w:cstheme="minorHAnsi"/>
          <w:kern w:val="0"/>
          <w14:ligatures w14:val="none"/>
        </w:rPr>
        <w:t xml:space="preserve"> </w:t>
      </w:r>
      <w:r w:rsidRPr="004F05DB">
        <w:rPr>
          <w:rFonts w:eastAsia="Calibri" w:cstheme="minorHAnsi"/>
          <w:color w:val="000000" w:themeColor="text1"/>
          <w:kern w:val="0"/>
          <w14:ligatures w14:val="none"/>
        </w:rPr>
        <w:t>Zákon</w:t>
      </w:r>
      <w:r w:rsidRPr="004F05DB">
        <w:rPr>
          <w:rFonts w:eastAsia="Calibri" w:cstheme="minorHAnsi"/>
          <w:b/>
          <w:bCs/>
          <w:color w:val="000000" w:themeColor="text1"/>
          <w:kern w:val="0"/>
          <w14:ligatures w14:val="none"/>
        </w:rPr>
        <w:t xml:space="preserve"> </w:t>
      </w:r>
      <w:r w:rsidRPr="004F05DB">
        <w:rPr>
          <w:rFonts w:eastAsia="Calibri" w:cstheme="minorHAnsi"/>
          <w:color w:val="000000" w:themeColor="text1"/>
          <w:kern w:val="0"/>
          <w14:ligatures w14:val="none"/>
        </w:rPr>
        <w:t>prošel 5. března druhým čtením v Poslanecké sněmovně, rozprava ve třetím čtení započala 26. 3., pokračování rozpravy a</w:t>
      </w:r>
      <w:r w:rsidR="00FE33F3">
        <w:rPr>
          <w:rFonts w:eastAsia="Calibri" w:cstheme="minorHAnsi"/>
          <w:color w:val="000000" w:themeColor="text1"/>
          <w:kern w:val="0"/>
          <w14:ligatures w14:val="none"/>
        </w:rPr>
        <w:t> </w:t>
      </w:r>
      <w:r w:rsidRPr="004F05DB">
        <w:rPr>
          <w:rFonts w:eastAsia="Calibri" w:cstheme="minorHAnsi"/>
          <w:color w:val="000000" w:themeColor="text1"/>
          <w:kern w:val="0"/>
          <w14:ligatures w14:val="none"/>
        </w:rPr>
        <w:t>hlasování se očekává 2. dubna. Účinnost části Zákona je předpokládána na leden 2026, zbylá část by měla být účinná v létě téhož roku.</w:t>
      </w:r>
    </w:p>
    <w:p w14:paraId="22FA4191" w14:textId="77777777" w:rsidR="004F05DB" w:rsidRPr="004F05DB" w:rsidRDefault="004F05DB" w:rsidP="004F05DB">
      <w:pPr>
        <w:spacing w:after="120" w:line="240" w:lineRule="auto"/>
        <w:jc w:val="both"/>
        <w:rPr>
          <w:rFonts w:eastAsia="Calibri" w:cstheme="minorHAnsi"/>
          <w:color w:val="000000" w:themeColor="text1"/>
          <w:kern w:val="0"/>
          <w14:ligatures w14:val="none"/>
        </w:rPr>
      </w:pPr>
      <w:r w:rsidRPr="004F05DB">
        <w:rPr>
          <w:rFonts w:eastAsia="Calibri" w:cstheme="minorHAnsi"/>
          <w:color w:val="000000" w:themeColor="text1"/>
          <w:kern w:val="0"/>
          <w14:ligatures w14:val="none"/>
        </w:rPr>
        <w:t>Před druhým čtením bylo podáno několik pozměňovacích návrhů upravujících posuzování hranice příjmů pro nárok na podpůrná opatření a pozměňovací návrh upravující délku asistence v bydlení. Změna hranice příjmů dle jednoho pozměňovacího návrhu by významně zúžila cílovou skupinu podpůrných opatření, druhý pozměňovací návrh týkající se této hranice by naopak cílovou skupinu rozšířila. Výslednou podobu cílové populace rozhodne hlasování ve třetím čtení.</w:t>
      </w:r>
    </w:p>
    <w:p w14:paraId="75B210D8" w14:textId="77777777" w:rsidR="004F05DB" w:rsidRDefault="004F05DB" w:rsidP="004F05DB">
      <w:pPr>
        <w:spacing w:after="120" w:line="240" w:lineRule="auto"/>
        <w:jc w:val="both"/>
        <w:rPr>
          <w:rFonts w:eastAsia="+mn-ea" w:cstheme="minorHAnsi"/>
          <w:color w:val="262626"/>
          <w:kern w:val="24"/>
        </w:rPr>
      </w:pPr>
      <w:r w:rsidRPr="00E76E06">
        <w:rPr>
          <w:rFonts w:eastAsia="+mn-ea" w:cstheme="minorHAnsi"/>
          <w:color w:val="262626"/>
          <w:kern w:val="24"/>
        </w:rPr>
        <w:t xml:space="preserve">V souvislosti se </w:t>
      </w:r>
      <w:r>
        <w:rPr>
          <w:rFonts w:eastAsia="+mn-ea" w:cstheme="minorHAnsi"/>
          <w:color w:val="262626"/>
          <w:kern w:val="24"/>
        </w:rPr>
        <w:t>Z</w:t>
      </w:r>
      <w:r w:rsidRPr="00E76E06">
        <w:rPr>
          <w:rFonts w:eastAsia="+mn-ea" w:cstheme="minorHAnsi"/>
          <w:color w:val="262626"/>
          <w:kern w:val="24"/>
        </w:rPr>
        <w:t xml:space="preserve">ákonem také </w:t>
      </w:r>
      <w:r>
        <w:rPr>
          <w:rFonts w:eastAsia="+mn-ea" w:cstheme="minorHAnsi"/>
          <w:color w:val="262626"/>
          <w:kern w:val="24"/>
        </w:rPr>
        <w:t xml:space="preserve">nadále </w:t>
      </w:r>
      <w:r w:rsidRPr="00E76E06">
        <w:rPr>
          <w:rFonts w:eastAsia="+mn-ea" w:cstheme="minorHAnsi"/>
          <w:color w:val="262626"/>
          <w:kern w:val="24"/>
        </w:rPr>
        <w:t>probíhá tvorba evidenčního IT systému</w:t>
      </w:r>
      <w:r w:rsidRPr="004F05DB">
        <w:rPr>
          <w:rFonts w:eastAsia="+mn-ea" w:cstheme="minorHAnsi"/>
          <w:color w:val="000000" w:themeColor="text1"/>
          <w:kern w:val="24"/>
        </w:rPr>
        <w:t>, tvorba prováděcích předpisů vycházejících ze Zákona a tvorba metodi</w:t>
      </w:r>
      <w:r w:rsidRPr="00E76E06">
        <w:rPr>
          <w:rFonts w:eastAsia="+mn-ea" w:cstheme="minorHAnsi"/>
          <w:color w:val="262626"/>
          <w:kern w:val="24"/>
        </w:rPr>
        <w:t>ckých podkladů k </w:t>
      </w:r>
      <w:r>
        <w:rPr>
          <w:rFonts w:eastAsia="+mn-ea" w:cstheme="minorHAnsi"/>
          <w:color w:val="262626"/>
          <w:kern w:val="24"/>
        </w:rPr>
        <w:t>Z</w:t>
      </w:r>
      <w:r w:rsidRPr="00E76E06">
        <w:rPr>
          <w:rFonts w:eastAsia="+mn-ea" w:cstheme="minorHAnsi"/>
          <w:color w:val="262626"/>
          <w:kern w:val="24"/>
        </w:rPr>
        <w:t>ákonu v součinnosti s</w:t>
      </w:r>
      <w:r>
        <w:rPr>
          <w:rFonts w:eastAsia="+mn-ea" w:cstheme="minorHAnsi"/>
          <w:color w:val="262626"/>
          <w:kern w:val="24"/>
        </w:rPr>
        <w:t> Ministerstvem práce a sociálních věcí (dále MPSV)</w:t>
      </w:r>
      <w:r w:rsidRPr="00E76E06">
        <w:rPr>
          <w:rFonts w:eastAsia="+mn-ea" w:cstheme="minorHAnsi"/>
          <w:color w:val="262626"/>
          <w:kern w:val="24"/>
        </w:rPr>
        <w:t>.</w:t>
      </w:r>
    </w:p>
    <w:p w14:paraId="4B3D1F03" w14:textId="77777777" w:rsidR="004F05DB" w:rsidRPr="004F05DB" w:rsidRDefault="004F05DB" w:rsidP="004F05DB">
      <w:pPr>
        <w:spacing w:after="120" w:line="240" w:lineRule="auto"/>
        <w:jc w:val="both"/>
        <w:rPr>
          <w:color w:val="000000" w:themeColor="text1"/>
        </w:rPr>
      </w:pPr>
      <w:r w:rsidRPr="004F05DB">
        <w:rPr>
          <w:rFonts w:eastAsia="+mn-ea" w:cstheme="minorHAnsi"/>
          <w:color w:val="000000" w:themeColor="text1"/>
          <w:kern w:val="24"/>
        </w:rPr>
        <w:t xml:space="preserve">Mezi </w:t>
      </w:r>
      <w:r w:rsidRPr="004F05DB">
        <w:rPr>
          <w:rFonts w:eastAsia="+mn-ea" w:cstheme="minorHAnsi"/>
          <w:b/>
          <w:bCs/>
          <w:color w:val="000000" w:themeColor="text1"/>
          <w:kern w:val="24"/>
        </w:rPr>
        <w:t>rizika</w:t>
      </w:r>
      <w:r w:rsidRPr="004F05DB">
        <w:rPr>
          <w:rFonts w:eastAsia="+mn-ea" w:cstheme="minorHAnsi"/>
          <w:color w:val="000000" w:themeColor="text1"/>
          <w:kern w:val="24"/>
        </w:rPr>
        <w:t xml:space="preserve"> spojená s tímto milníkem patří riziko zpoždění v rámci legislativního procesu. Politicky citlivé téma dostupného bydlení vzbuzuje kontroverze. Toto r</w:t>
      </w:r>
      <w:r w:rsidRPr="004F05DB">
        <w:rPr>
          <w:color w:val="000000" w:themeColor="text1"/>
        </w:rPr>
        <w:t>iziko je minimalizováno aktivním projednáváním na koaliční půdě, jednáním s opozicí a komunikací s expertním sektorem. Další riziko – riziko zpoždění implementace Zákona – je minimalizováno pokračováním prací na metodikách a vývoji evidence, které pružně reagují na změny vycházející z vyjednávání ohledně Zákona.</w:t>
      </w:r>
    </w:p>
    <w:p w14:paraId="02DB8957" w14:textId="3577E9CA" w:rsidR="004F05DB" w:rsidRPr="004F05DB" w:rsidRDefault="004F05DB" w:rsidP="004F05DB">
      <w:pPr>
        <w:spacing w:after="120" w:line="240" w:lineRule="auto"/>
        <w:jc w:val="both"/>
        <w:rPr>
          <w:color w:val="000000" w:themeColor="text1"/>
        </w:rPr>
      </w:pPr>
      <w:r w:rsidRPr="004F05DB">
        <w:rPr>
          <w:color w:val="000000" w:themeColor="text1"/>
        </w:rPr>
        <w:t xml:space="preserve">V konečném důsledku by neschválení znamenalo zamezení systémového řešení bytové krize v České republice a její prohloubení zejména u cílových skupin jako senioři, osoby se zdravotním postižením, ohrožené děti či oběti domácího násilí. Neschválení by dále </w:t>
      </w:r>
      <w:r w:rsidR="00FE33F3">
        <w:rPr>
          <w:color w:val="000000" w:themeColor="text1"/>
        </w:rPr>
        <w:t xml:space="preserve">pravděpodobně </w:t>
      </w:r>
      <w:r w:rsidRPr="004F05DB">
        <w:rPr>
          <w:color w:val="000000" w:themeColor="text1"/>
        </w:rPr>
        <w:t>znamenalo pokutu vůči EU ve výši téměř 10 miliard korun.</w:t>
      </w:r>
    </w:p>
    <w:bookmarkEnd w:id="0"/>
    <w:p w14:paraId="3B307A84" w14:textId="77777777" w:rsidR="004F05DB" w:rsidRPr="00642077" w:rsidRDefault="004F05DB" w:rsidP="004F05DB">
      <w:pPr>
        <w:spacing w:after="120" w:line="240" w:lineRule="auto"/>
        <w:jc w:val="both"/>
        <w:rPr>
          <w:b/>
          <w:bCs/>
        </w:rPr>
      </w:pPr>
      <w:r w:rsidRPr="00642077">
        <w:rPr>
          <w:b/>
          <w:bCs/>
        </w:rPr>
        <w:t>Finanční nástroje (investice do dostupného bydlení)</w:t>
      </w:r>
    </w:p>
    <w:p w14:paraId="4DD8DE5D" w14:textId="77777777" w:rsidR="004F05DB" w:rsidRPr="00DE140C" w:rsidRDefault="004F05DB" w:rsidP="004F05DB">
      <w:pPr>
        <w:spacing w:after="120" w:line="240" w:lineRule="auto"/>
        <w:jc w:val="both"/>
        <w:rPr>
          <w:rFonts w:eastAsia="+mn-ea" w:cstheme="minorHAnsi"/>
          <w:color w:val="00B050"/>
          <w:kern w:val="24"/>
        </w:rPr>
      </w:pPr>
      <w:r>
        <w:rPr>
          <w:rFonts w:eastAsia="+mn-ea" w:cstheme="minorHAnsi"/>
          <w:color w:val="262626"/>
          <w:kern w:val="24"/>
        </w:rPr>
        <w:t xml:space="preserve">V dubnu 2024 byl finalizován </w:t>
      </w:r>
      <w:r w:rsidRPr="009C367E">
        <w:rPr>
          <w:rFonts w:eastAsia="+mn-ea" w:cstheme="minorHAnsi"/>
          <w:color w:val="262626"/>
          <w:kern w:val="24"/>
        </w:rPr>
        <w:t xml:space="preserve">notifikační proces programu dostupného bydlení u </w:t>
      </w:r>
      <w:r>
        <w:rPr>
          <w:rFonts w:eastAsia="+mn-ea" w:cstheme="minorHAnsi"/>
          <w:color w:val="262626"/>
          <w:kern w:val="24"/>
        </w:rPr>
        <w:t xml:space="preserve">Evropské komise </w:t>
      </w:r>
      <w:r w:rsidRPr="00DE140C">
        <w:rPr>
          <w:rFonts w:eastAsia="+mn-ea" w:cstheme="minorHAnsi"/>
          <w:b/>
          <w:bCs/>
          <w:kern w:val="24"/>
          <w:u w:val="single"/>
        </w:rPr>
        <w:t>(finanční nástroj 1, implementační partner SFPI)</w:t>
      </w:r>
      <w:r>
        <w:rPr>
          <w:rFonts w:eastAsia="+mn-ea" w:cstheme="minorHAnsi"/>
          <w:kern w:val="24"/>
        </w:rPr>
        <w:t xml:space="preserve">. </w:t>
      </w:r>
      <w:r w:rsidRPr="004F05DB">
        <w:rPr>
          <w:rFonts w:eastAsia="+mn-ea" w:cstheme="minorHAnsi"/>
          <w:color w:val="000000" w:themeColor="text1"/>
          <w:kern w:val="24"/>
        </w:rPr>
        <w:t xml:space="preserve">Na začátku roku 2025 byla vypracována i notifikace pro </w:t>
      </w:r>
      <w:r w:rsidRPr="004F05DB">
        <w:rPr>
          <w:rFonts w:eastAsia="+mn-ea" w:cstheme="minorHAnsi"/>
          <w:b/>
          <w:bCs/>
          <w:color w:val="000000" w:themeColor="text1"/>
          <w:kern w:val="24"/>
          <w:u w:val="single"/>
        </w:rPr>
        <w:t>finanční nástroj 2 (implementační partner NRB)</w:t>
      </w:r>
      <w:r w:rsidRPr="004F05DB">
        <w:rPr>
          <w:rFonts w:eastAsia="+mn-ea" w:cstheme="minorHAnsi"/>
          <w:b/>
          <w:bCs/>
          <w:color w:val="000000" w:themeColor="text1"/>
          <w:kern w:val="24"/>
        </w:rPr>
        <w:t>.</w:t>
      </w:r>
    </w:p>
    <w:p w14:paraId="13D78069" w14:textId="77777777" w:rsidR="004F05DB" w:rsidRDefault="004F05DB" w:rsidP="004F05DB">
      <w:pPr>
        <w:spacing w:after="120" w:line="240" w:lineRule="auto"/>
        <w:jc w:val="both"/>
        <w:rPr>
          <w:rFonts w:eastAsia="+mn-ea" w:cstheme="minorHAnsi"/>
          <w:color w:val="262626"/>
          <w:kern w:val="24"/>
        </w:rPr>
      </w:pPr>
      <w:r>
        <w:rPr>
          <w:rFonts w:eastAsia="+mn-ea" w:cstheme="minorHAnsi"/>
          <w:color w:val="262626"/>
          <w:kern w:val="24"/>
        </w:rPr>
        <w:t xml:space="preserve">V říjnu 2024 byly podepsány všechny tři prováděcí dohody. </w:t>
      </w:r>
      <w:r w:rsidRPr="004F05DB">
        <w:rPr>
          <w:rFonts w:eastAsia="+mn-ea" w:cstheme="minorHAnsi"/>
          <w:color w:val="000000" w:themeColor="text1"/>
          <w:kern w:val="24"/>
        </w:rPr>
        <w:t>V únoru a březnu tohoto roku byly v návaznosti na změnu Prováděcího rozhodnutí rady (CID) vytvořeny dodatky k dohodám týkajícím se finančních nástrojů 2 a 3 a prošly vnitřním připomínkovým řízením na MMR.</w:t>
      </w:r>
    </w:p>
    <w:p w14:paraId="4D6601D4" w14:textId="77777777" w:rsidR="004F05DB" w:rsidRPr="003861C1" w:rsidRDefault="004F05DB" w:rsidP="004F05DB">
      <w:pPr>
        <w:spacing w:after="0" w:line="240" w:lineRule="auto"/>
        <w:jc w:val="both"/>
        <w:rPr>
          <w:rFonts w:eastAsia="Calibri" w:cstheme="minorHAnsi"/>
          <w:b/>
          <w:bCs/>
          <w:kern w:val="0"/>
          <w14:ligatures w14:val="none"/>
        </w:rPr>
      </w:pPr>
      <w:r w:rsidRPr="009C367E">
        <w:rPr>
          <w:rFonts w:eastAsia="Calibri" w:cstheme="minorHAnsi"/>
          <w:b/>
          <w:bCs/>
          <w:kern w:val="0"/>
          <w14:ligatures w14:val="none"/>
        </w:rPr>
        <w:t>Charakteristika finančních nástrojů:</w:t>
      </w:r>
    </w:p>
    <w:p w14:paraId="5D60F902" w14:textId="77777777" w:rsidR="004F05DB" w:rsidRPr="003861C1" w:rsidRDefault="004F05DB" w:rsidP="004F05DB">
      <w:pPr>
        <w:spacing w:after="0" w:line="240" w:lineRule="auto"/>
        <w:jc w:val="both"/>
        <w:rPr>
          <w:rFonts w:eastAsia="Calibri" w:cstheme="minorHAnsi"/>
          <w:b/>
          <w:bCs/>
          <w:kern w:val="0"/>
          <w14:ligatures w14:val="none"/>
        </w:rPr>
      </w:pPr>
    </w:p>
    <w:p w14:paraId="6C3D9724" w14:textId="77777777" w:rsidR="004F05DB" w:rsidRPr="008320D4" w:rsidRDefault="004F05DB" w:rsidP="004F05DB">
      <w:pPr>
        <w:pStyle w:val="Default"/>
        <w:jc w:val="both"/>
        <w:rPr>
          <w:rFonts w:asciiTheme="minorHAnsi" w:hAnsiTheme="minorHAnsi" w:cstheme="minorHAnsi"/>
          <w:sz w:val="22"/>
          <w:szCs w:val="22"/>
          <w:u w:val="single"/>
        </w:rPr>
      </w:pPr>
      <w:r w:rsidRPr="008320D4">
        <w:rPr>
          <w:rFonts w:asciiTheme="minorHAnsi" w:hAnsiTheme="minorHAnsi" w:cstheme="minorHAnsi"/>
          <w:b/>
          <w:bCs/>
          <w:sz w:val="22"/>
          <w:szCs w:val="22"/>
          <w:u w:val="single"/>
        </w:rPr>
        <w:t>1. Zvýhodněné úvěry: 4,5 mld. Kč (SFPI)</w:t>
      </w:r>
    </w:p>
    <w:p w14:paraId="11DC42FB" w14:textId="77777777" w:rsidR="004F05DB" w:rsidRPr="003861C1" w:rsidRDefault="004F05DB" w:rsidP="004F05DB">
      <w:pPr>
        <w:pStyle w:val="Default"/>
        <w:numPr>
          <w:ilvl w:val="0"/>
          <w:numId w:val="13"/>
        </w:numPr>
        <w:jc w:val="both"/>
        <w:rPr>
          <w:rFonts w:asciiTheme="minorHAnsi" w:hAnsiTheme="minorHAnsi" w:cstheme="minorHAnsi"/>
          <w:sz w:val="22"/>
          <w:szCs w:val="22"/>
        </w:rPr>
      </w:pPr>
      <w:r w:rsidRPr="003861C1">
        <w:rPr>
          <w:rFonts w:asciiTheme="minorHAnsi" w:hAnsiTheme="minorHAnsi" w:cstheme="minorHAnsi"/>
          <w:sz w:val="22"/>
          <w:szCs w:val="22"/>
        </w:rPr>
        <w:t>Účel: novostavba (min. 4 b</w:t>
      </w:r>
      <w:r>
        <w:rPr>
          <w:rFonts w:asciiTheme="minorHAnsi" w:hAnsiTheme="minorHAnsi" w:cstheme="minorHAnsi"/>
          <w:sz w:val="22"/>
          <w:szCs w:val="22"/>
        </w:rPr>
        <w:t xml:space="preserve">ytové </w:t>
      </w:r>
      <w:r w:rsidRPr="003861C1">
        <w:rPr>
          <w:rFonts w:asciiTheme="minorHAnsi" w:hAnsiTheme="minorHAnsi" w:cstheme="minorHAnsi"/>
          <w:sz w:val="22"/>
          <w:szCs w:val="22"/>
        </w:rPr>
        <w:t>j</w:t>
      </w:r>
      <w:r>
        <w:rPr>
          <w:rFonts w:asciiTheme="minorHAnsi" w:hAnsiTheme="minorHAnsi" w:cstheme="minorHAnsi"/>
          <w:sz w:val="22"/>
          <w:szCs w:val="22"/>
        </w:rPr>
        <w:t>ednotky</w:t>
      </w:r>
      <w:r w:rsidRPr="003861C1">
        <w:rPr>
          <w:rFonts w:asciiTheme="minorHAnsi" w:hAnsiTheme="minorHAnsi" w:cstheme="minorHAnsi"/>
          <w:sz w:val="22"/>
          <w:szCs w:val="22"/>
        </w:rPr>
        <w:t xml:space="preserve">), rekonstrukce, přístavba/ nástavba, pořízení bytového domu </w:t>
      </w:r>
    </w:p>
    <w:p w14:paraId="4A02573F" w14:textId="77777777" w:rsidR="004F05DB" w:rsidRPr="003861C1" w:rsidRDefault="004F05DB" w:rsidP="004F05DB">
      <w:pPr>
        <w:pStyle w:val="Default"/>
        <w:numPr>
          <w:ilvl w:val="0"/>
          <w:numId w:val="13"/>
        </w:numPr>
        <w:jc w:val="both"/>
        <w:rPr>
          <w:rFonts w:asciiTheme="minorHAnsi" w:hAnsiTheme="minorHAnsi" w:cstheme="minorHAnsi"/>
          <w:sz w:val="22"/>
          <w:szCs w:val="22"/>
        </w:rPr>
      </w:pPr>
      <w:r w:rsidRPr="003861C1">
        <w:rPr>
          <w:rFonts w:asciiTheme="minorHAnsi" w:hAnsiTheme="minorHAnsi" w:cstheme="minorHAnsi"/>
          <w:sz w:val="22"/>
          <w:szCs w:val="22"/>
        </w:rPr>
        <w:t>Struktura financování:</w:t>
      </w:r>
    </w:p>
    <w:p w14:paraId="56D9F157" w14:textId="77777777" w:rsidR="004F05DB" w:rsidRPr="003861C1" w:rsidRDefault="004F05DB" w:rsidP="004F05DB">
      <w:pPr>
        <w:pStyle w:val="Default"/>
        <w:numPr>
          <w:ilvl w:val="1"/>
          <w:numId w:val="13"/>
        </w:numPr>
        <w:jc w:val="both"/>
        <w:rPr>
          <w:rFonts w:asciiTheme="minorHAnsi" w:hAnsiTheme="minorHAnsi" w:cstheme="minorHAnsi"/>
          <w:sz w:val="22"/>
          <w:szCs w:val="22"/>
        </w:rPr>
      </w:pPr>
      <w:r w:rsidRPr="003861C1">
        <w:rPr>
          <w:rFonts w:asciiTheme="minorHAnsi" w:hAnsiTheme="minorHAnsi" w:cstheme="minorHAnsi"/>
          <w:sz w:val="22"/>
          <w:szCs w:val="22"/>
        </w:rPr>
        <w:t>Vlastní kapitál: 10 %</w:t>
      </w:r>
    </w:p>
    <w:p w14:paraId="020C6E33" w14:textId="77777777" w:rsidR="004F05DB" w:rsidRPr="003861C1" w:rsidRDefault="004F05DB" w:rsidP="004F05DB">
      <w:pPr>
        <w:pStyle w:val="Default"/>
        <w:numPr>
          <w:ilvl w:val="1"/>
          <w:numId w:val="13"/>
        </w:numPr>
        <w:jc w:val="both"/>
        <w:rPr>
          <w:rFonts w:asciiTheme="minorHAnsi" w:hAnsiTheme="minorHAnsi" w:cstheme="minorHAnsi"/>
          <w:sz w:val="22"/>
          <w:szCs w:val="22"/>
        </w:rPr>
      </w:pPr>
      <w:r w:rsidRPr="003861C1">
        <w:rPr>
          <w:rFonts w:asciiTheme="minorHAnsi" w:hAnsiTheme="minorHAnsi" w:cstheme="minorHAnsi"/>
          <w:sz w:val="22"/>
          <w:szCs w:val="22"/>
        </w:rPr>
        <w:t>Dotace: 25 % (možnost 5 % bonifikace za výraznou energetickou účinnost, sociální mix, strukturálně ohrožená území či památkové zóny)</w:t>
      </w:r>
    </w:p>
    <w:p w14:paraId="31EC5AF8" w14:textId="77777777" w:rsidR="004F05DB" w:rsidRPr="003861C1" w:rsidRDefault="004F05DB" w:rsidP="004F05DB">
      <w:pPr>
        <w:pStyle w:val="Default"/>
        <w:numPr>
          <w:ilvl w:val="1"/>
          <w:numId w:val="13"/>
        </w:numPr>
        <w:jc w:val="both"/>
        <w:rPr>
          <w:rFonts w:asciiTheme="minorHAnsi" w:hAnsiTheme="minorHAnsi" w:cstheme="minorHAnsi"/>
          <w:sz w:val="22"/>
          <w:szCs w:val="22"/>
        </w:rPr>
      </w:pPr>
      <w:r w:rsidRPr="003861C1">
        <w:rPr>
          <w:rFonts w:asciiTheme="minorHAnsi" w:hAnsiTheme="minorHAnsi" w:cstheme="minorHAnsi"/>
          <w:sz w:val="22"/>
          <w:szCs w:val="22"/>
        </w:rPr>
        <w:t xml:space="preserve">Půjčka SFPI: splatnost 20–30 let, minimálně ve výši dotace, úroková sazba 1–3 % </w:t>
      </w:r>
      <w:proofErr w:type="spellStart"/>
      <w:r w:rsidRPr="003861C1">
        <w:rPr>
          <w:rFonts w:asciiTheme="minorHAnsi" w:hAnsiTheme="minorHAnsi" w:cstheme="minorHAnsi"/>
          <w:sz w:val="22"/>
          <w:szCs w:val="22"/>
        </w:rPr>
        <w:t>p.a</w:t>
      </w:r>
      <w:proofErr w:type="spellEnd"/>
      <w:r w:rsidRPr="003861C1">
        <w:rPr>
          <w:rFonts w:asciiTheme="minorHAnsi" w:hAnsiTheme="minorHAnsi" w:cstheme="minorHAnsi"/>
          <w:sz w:val="22"/>
          <w:szCs w:val="22"/>
        </w:rPr>
        <w:t>. (dle predikce ČNB předpoklad 1,5 % - 2 %)</w:t>
      </w:r>
    </w:p>
    <w:p w14:paraId="536A97AA" w14:textId="77777777" w:rsidR="004F05DB" w:rsidRPr="003861C1" w:rsidRDefault="004F05DB" w:rsidP="004F05DB">
      <w:pPr>
        <w:pStyle w:val="Default"/>
        <w:numPr>
          <w:ilvl w:val="0"/>
          <w:numId w:val="13"/>
        </w:numPr>
        <w:jc w:val="both"/>
        <w:rPr>
          <w:rFonts w:asciiTheme="minorHAnsi" w:hAnsiTheme="minorHAnsi" w:cstheme="minorHAnsi"/>
          <w:sz w:val="22"/>
          <w:szCs w:val="22"/>
        </w:rPr>
      </w:pPr>
      <w:r w:rsidRPr="003861C1">
        <w:rPr>
          <w:rFonts w:asciiTheme="minorHAnsi" w:hAnsiTheme="minorHAnsi" w:cstheme="minorHAnsi"/>
          <w:sz w:val="22"/>
          <w:szCs w:val="22"/>
        </w:rPr>
        <w:t>Strop pro nájemné: nákladové nájemné (veřejní i soukromí investoři)</w:t>
      </w:r>
    </w:p>
    <w:p w14:paraId="3B492EBF" w14:textId="77777777" w:rsidR="004F05DB" w:rsidRPr="003861C1" w:rsidRDefault="004F05DB" w:rsidP="004F05DB">
      <w:pPr>
        <w:pStyle w:val="Default"/>
        <w:numPr>
          <w:ilvl w:val="1"/>
          <w:numId w:val="13"/>
        </w:numPr>
        <w:jc w:val="both"/>
        <w:rPr>
          <w:rFonts w:asciiTheme="minorHAnsi" w:hAnsiTheme="minorHAnsi" w:cstheme="minorHAnsi"/>
          <w:sz w:val="22"/>
          <w:szCs w:val="22"/>
        </w:rPr>
      </w:pPr>
      <w:r w:rsidRPr="003861C1">
        <w:rPr>
          <w:rFonts w:asciiTheme="minorHAnsi" w:hAnsiTheme="minorHAnsi" w:cstheme="minorHAnsi"/>
          <w:sz w:val="22"/>
          <w:szCs w:val="22"/>
        </w:rPr>
        <w:lastRenderedPageBreak/>
        <w:t>Žadatelé: právnické osoby (zejména obce)</w:t>
      </w:r>
    </w:p>
    <w:p w14:paraId="01933500" w14:textId="77777777" w:rsidR="004F05DB" w:rsidRDefault="004F05DB" w:rsidP="004F05DB">
      <w:pPr>
        <w:pStyle w:val="Default"/>
        <w:numPr>
          <w:ilvl w:val="1"/>
          <w:numId w:val="13"/>
        </w:numPr>
        <w:jc w:val="both"/>
        <w:rPr>
          <w:rFonts w:asciiTheme="minorHAnsi" w:hAnsiTheme="minorHAnsi" w:cstheme="minorHAnsi"/>
          <w:sz w:val="22"/>
          <w:szCs w:val="22"/>
        </w:rPr>
      </w:pPr>
      <w:r>
        <w:rPr>
          <w:rFonts w:asciiTheme="minorHAnsi" w:hAnsiTheme="minorHAnsi" w:cstheme="minorHAnsi"/>
          <w:sz w:val="22"/>
          <w:szCs w:val="22"/>
        </w:rPr>
        <w:t xml:space="preserve">Výzva vyhlášena 19. září </w:t>
      </w:r>
      <w:r w:rsidRPr="003861C1">
        <w:rPr>
          <w:rFonts w:asciiTheme="minorHAnsi" w:hAnsiTheme="minorHAnsi" w:cstheme="minorHAnsi"/>
          <w:sz w:val="22"/>
          <w:szCs w:val="22"/>
        </w:rPr>
        <w:t>2024</w:t>
      </w:r>
    </w:p>
    <w:p w14:paraId="0764EBCA" w14:textId="39F78B35" w:rsidR="004F05DB" w:rsidRPr="00EB2CD8" w:rsidRDefault="004F05DB" w:rsidP="004F05DB">
      <w:pPr>
        <w:pStyle w:val="Default"/>
        <w:numPr>
          <w:ilvl w:val="0"/>
          <w:numId w:val="13"/>
        </w:numPr>
        <w:jc w:val="both"/>
        <w:rPr>
          <w:rFonts w:asciiTheme="minorHAnsi" w:hAnsiTheme="minorHAnsi" w:cstheme="minorHAnsi"/>
          <w:sz w:val="22"/>
          <w:szCs w:val="22"/>
        </w:rPr>
      </w:pPr>
      <w:r w:rsidRPr="00EB2CD8">
        <w:rPr>
          <w:rFonts w:eastAsia="+mn-ea" w:cstheme="minorHAnsi"/>
          <w:color w:val="262626"/>
          <w:kern w:val="24"/>
          <w:sz w:val="22"/>
          <w:szCs w:val="22"/>
        </w:rPr>
        <w:t xml:space="preserve">V září byla vypsána </w:t>
      </w:r>
      <w:r w:rsidRPr="00EB2CD8">
        <w:rPr>
          <w:rFonts w:eastAsia="+mn-ea" w:cstheme="minorHAnsi"/>
          <w:b/>
          <w:bCs/>
          <w:color w:val="262626"/>
          <w:kern w:val="24"/>
          <w:sz w:val="22"/>
          <w:szCs w:val="22"/>
        </w:rPr>
        <w:t>výzva programu Dostupného nájemního bydlení</w:t>
      </w:r>
      <w:r w:rsidRPr="00EB2CD8">
        <w:rPr>
          <w:rFonts w:eastAsia="+mn-ea" w:cstheme="minorHAnsi"/>
          <w:color w:val="262626"/>
          <w:kern w:val="24"/>
          <w:sz w:val="22"/>
          <w:szCs w:val="22"/>
        </w:rPr>
        <w:t xml:space="preserve"> SFPI, příjem žádostí byl zahájen 1. října 2024. </w:t>
      </w:r>
      <w:r w:rsidRPr="004F05DB">
        <w:rPr>
          <w:rFonts w:eastAsia="+mn-ea" w:cstheme="minorHAnsi"/>
          <w:color w:val="000000" w:themeColor="text1"/>
          <w:kern w:val="24"/>
          <w:sz w:val="22"/>
          <w:szCs w:val="22"/>
        </w:rPr>
        <w:t>K 26.3.2025 bylo přijato 140 žádostí o podporu v hodnotě 7,4 mld. Kč, z</w:t>
      </w:r>
      <w:r w:rsidR="00FE33F3">
        <w:rPr>
          <w:rFonts w:eastAsia="+mn-ea"/>
          <w:color w:val="000000" w:themeColor="text1"/>
          <w:kern w:val="24"/>
          <w:sz w:val="22"/>
          <w:szCs w:val="22"/>
        </w:rPr>
        <w:t> </w:t>
      </w:r>
      <w:r w:rsidRPr="004F05DB">
        <w:rPr>
          <w:rFonts w:eastAsia="+mn-ea" w:cstheme="minorHAnsi"/>
          <w:color w:val="000000" w:themeColor="text1"/>
          <w:kern w:val="24"/>
          <w:sz w:val="22"/>
          <w:szCs w:val="22"/>
        </w:rPr>
        <w:t>toho úvěry v objemu 4,7 mld. Kč (zbytek dotace). Celkový počet bytů v žádostech je 2.217. Další výzva se chystá na 2Q 2025.</w:t>
      </w:r>
    </w:p>
    <w:p w14:paraId="45B64CFF" w14:textId="77777777" w:rsidR="004F05DB" w:rsidRPr="003861C1" w:rsidRDefault="004F05DB" w:rsidP="004F05DB">
      <w:pPr>
        <w:pStyle w:val="Default"/>
        <w:jc w:val="both"/>
        <w:rPr>
          <w:rFonts w:asciiTheme="minorHAnsi" w:hAnsiTheme="minorHAnsi" w:cstheme="minorHAnsi"/>
          <w:sz w:val="22"/>
          <w:szCs w:val="22"/>
        </w:rPr>
      </w:pPr>
    </w:p>
    <w:p w14:paraId="7DB4A2D8" w14:textId="77777777" w:rsidR="004F05DB" w:rsidRPr="008320D4" w:rsidRDefault="004F05DB" w:rsidP="004F05DB">
      <w:pPr>
        <w:pStyle w:val="Default"/>
        <w:jc w:val="both"/>
        <w:rPr>
          <w:rFonts w:asciiTheme="minorHAnsi" w:hAnsiTheme="minorHAnsi" w:cstheme="minorHAnsi"/>
          <w:color w:val="FF0000"/>
          <w:sz w:val="22"/>
          <w:szCs w:val="22"/>
          <w:u w:val="single"/>
        </w:rPr>
      </w:pPr>
      <w:r w:rsidRPr="008320D4">
        <w:rPr>
          <w:rFonts w:asciiTheme="minorHAnsi" w:hAnsiTheme="minorHAnsi" w:cstheme="minorHAnsi"/>
          <w:b/>
          <w:bCs/>
          <w:color w:val="auto"/>
          <w:sz w:val="22"/>
          <w:szCs w:val="22"/>
          <w:u w:val="single"/>
        </w:rPr>
        <w:t>2. Podřízené úvěry: 2,5 mld. (NRB)</w:t>
      </w:r>
    </w:p>
    <w:p w14:paraId="15D836A7" w14:textId="77777777" w:rsidR="004F05DB" w:rsidRPr="003861C1" w:rsidRDefault="004F05DB" w:rsidP="004F05DB">
      <w:pPr>
        <w:pStyle w:val="Default"/>
        <w:numPr>
          <w:ilvl w:val="0"/>
          <w:numId w:val="14"/>
        </w:numPr>
        <w:jc w:val="both"/>
        <w:rPr>
          <w:rFonts w:asciiTheme="minorHAnsi" w:hAnsiTheme="minorHAnsi" w:cstheme="minorHAnsi"/>
          <w:sz w:val="22"/>
          <w:szCs w:val="22"/>
        </w:rPr>
      </w:pPr>
      <w:r w:rsidRPr="003861C1">
        <w:rPr>
          <w:rFonts w:asciiTheme="minorHAnsi" w:hAnsiTheme="minorHAnsi" w:cstheme="minorHAnsi"/>
          <w:sz w:val="22"/>
          <w:szCs w:val="22"/>
        </w:rPr>
        <w:t>Účel: výstavba nových bytů a rekonstrukce stávajících nemovitos</w:t>
      </w:r>
      <w:r w:rsidRPr="003861C1">
        <w:rPr>
          <w:rFonts w:asciiTheme="minorHAnsi" w:eastAsia="Calibri" w:hAnsiTheme="minorHAnsi" w:cstheme="minorHAnsi"/>
          <w:sz w:val="22"/>
          <w:szCs w:val="22"/>
        </w:rPr>
        <w:t>tí</w:t>
      </w:r>
    </w:p>
    <w:p w14:paraId="22B553A6" w14:textId="77777777" w:rsidR="004F05DB" w:rsidRPr="003861C1" w:rsidRDefault="004F05DB" w:rsidP="004F05DB">
      <w:pPr>
        <w:pStyle w:val="Default"/>
        <w:numPr>
          <w:ilvl w:val="0"/>
          <w:numId w:val="14"/>
        </w:numPr>
        <w:jc w:val="both"/>
        <w:rPr>
          <w:rFonts w:asciiTheme="minorHAnsi" w:hAnsiTheme="minorHAnsi" w:cstheme="minorHAnsi"/>
          <w:sz w:val="22"/>
          <w:szCs w:val="22"/>
        </w:rPr>
      </w:pPr>
      <w:r w:rsidRPr="003861C1">
        <w:rPr>
          <w:rFonts w:asciiTheme="minorHAnsi" w:hAnsiTheme="minorHAnsi" w:cstheme="minorHAnsi"/>
          <w:sz w:val="22"/>
          <w:szCs w:val="22"/>
        </w:rPr>
        <w:t>Struktura financování:</w:t>
      </w:r>
    </w:p>
    <w:p w14:paraId="2156DCE0" w14:textId="77777777" w:rsidR="004F05DB" w:rsidRPr="003861C1" w:rsidRDefault="004F05DB" w:rsidP="004F05DB">
      <w:pPr>
        <w:pStyle w:val="Default"/>
        <w:numPr>
          <w:ilvl w:val="1"/>
          <w:numId w:val="14"/>
        </w:numPr>
        <w:jc w:val="both"/>
        <w:rPr>
          <w:rFonts w:asciiTheme="minorHAnsi" w:hAnsiTheme="minorHAnsi" w:cstheme="minorHAnsi"/>
          <w:sz w:val="22"/>
          <w:szCs w:val="22"/>
        </w:rPr>
      </w:pPr>
      <w:r w:rsidRPr="003861C1">
        <w:rPr>
          <w:rFonts w:asciiTheme="minorHAnsi" w:hAnsiTheme="minorHAnsi" w:cstheme="minorHAnsi"/>
          <w:sz w:val="22"/>
          <w:szCs w:val="22"/>
        </w:rPr>
        <w:t>Vlastní kapitál: 10 %</w:t>
      </w:r>
    </w:p>
    <w:p w14:paraId="1C64417D" w14:textId="77777777" w:rsidR="004F05DB" w:rsidRDefault="004F05DB" w:rsidP="004F05DB">
      <w:pPr>
        <w:pStyle w:val="Default"/>
        <w:numPr>
          <w:ilvl w:val="1"/>
          <w:numId w:val="14"/>
        </w:numPr>
        <w:jc w:val="both"/>
        <w:rPr>
          <w:rFonts w:asciiTheme="minorHAnsi" w:hAnsiTheme="minorHAnsi" w:cstheme="minorHAnsi"/>
          <w:sz w:val="22"/>
          <w:szCs w:val="22"/>
        </w:rPr>
      </w:pPr>
      <w:r w:rsidRPr="003861C1">
        <w:rPr>
          <w:rFonts w:asciiTheme="minorHAnsi" w:hAnsiTheme="minorHAnsi" w:cstheme="minorHAnsi"/>
          <w:sz w:val="22"/>
          <w:szCs w:val="22"/>
        </w:rPr>
        <w:t>Mezaninový úvěr: Podřízený úvěr do 40 % celkových způsobilých nákladů, Pevná úroková sazba 1 – 1,5 %,</w:t>
      </w:r>
    </w:p>
    <w:p w14:paraId="4D311028" w14:textId="77777777" w:rsidR="004F05DB" w:rsidRPr="008F7E37" w:rsidRDefault="004F05DB" w:rsidP="004F05DB">
      <w:pPr>
        <w:pStyle w:val="Default"/>
        <w:numPr>
          <w:ilvl w:val="0"/>
          <w:numId w:val="14"/>
        </w:numPr>
        <w:jc w:val="both"/>
        <w:rPr>
          <w:rFonts w:asciiTheme="minorHAnsi" w:hAnsiTheme="minorHAnsi" w:cstheme="minorHAnsi"/>
          <w:sz w:val="22"/>
          <w:szCs w:val="22"/>
        </w:rPr>
      </w:pPr>
      <w:r w:rsidRPr="008F7E37">
        <w:rPr>
          <w:rFonts w:asciiTheme="minorHAnsi" w:hAnsiTheme="minorHAnsi" w:cstheme="minorHAnsi"/>
          <w:sz w:val="22"/>
          <w:szCs w:val="22"/>
        </w:rPr>
        <w:t>Platný strop nájemného: 90 % tržního nájemného ve srovnatelných bytech (pro soukromé investory)</w:t>
      </w:r>
    </w:p>
    <w:p w14:paraId="6E45ADC3" w14:textId="77777777" w:rsidR="004F05DB" w:rsidRDefault="004F05DB" w:rsidP="004F05DB">
      <w:pPr>
        <w:pStyle w:val="Default"/>
        <w:numPr>
          <w:ilvl w:val="1"/>
          <w:numId w:val="14"/>
        </w:numPr>
        <w:jc w:val="both"/>
        <w:rPr>
          <w:rFonts w:asciiTheme="minorHAnsi" w:hAnsiTheme="minorHAnsi" w:cstheme="minorHAnsi"/>
          <w:sz w:val="22"/>
          <w:szCs w:val="22"/>
        </w:rPr>
      </w:pPr>
      <w:r w:rsidRPr="003861C1">
        <w:rPr>
          <w:rFonts w:asciiTheme="minorHAnsi" w:hAnsiTheme="minorHAnsi" w:cstheme="minorHAnsi"/>
          <w:sz w:val="22"/>
          <w:szCs w:val="22"/>
        </w:rPr>
        <w:t>Předpokládané vyhlášení výzvy: 2025</w:t>
      </w:r>
    </w:p>
    <w:p w14:paraId="5582AABE" w14:textId="77777777" w:rsidR="004F05DB" w:rsidRPr="003861C1" w:rsidRDefault="004F05DB" w:rsidP="004F05DB">
      <w:pPr>
        <w:pStyle w:val="Default"/>
        <w:jc w:val="both"/>
        <w:rPr>
          <w:rFonts w:asciiTheme="minorHAnsi" w:hAnsiTheme="minorHAnsi" w:cstheme="minorHAnsi"/>
          <w:sz w:val="22"/>
          <w:szCs w:val="22"/>
        </w:rPr>
      </w:pPr>
    </w:p>
    <w:p w14:paraId="10DD0BCD" w14:textId="77777777" w:rsidR="004F05DB" w:rsidRPr="008320D4" w:rsidRDefault="004F05DB" w:rsidP="004F05DB">
      <w:pPr>
        <w:pStyle w:val="Default"/>
        <w:jc w:val="both"/>
        <w:rPr>
          <w:rFonts w:asciiTheme="minorHAnsi" w:hAnsiTheme="minorHAnsi" w:cstheme="minorHAnsi"/>
          <w:sz w:val="22"/>
          <w:szCs w:val="22"/>
          <w:u w:val="single"/>
        </w:rPr>
      </w:pPr>
      <w:r w:rsidRPr="008320D4">
        <w:rPr>
          <w:rFonts w:asciiTheme="minorHAnsi" w:hAnsiTheme="minorHAnsi" w:cstheme="minorHAnsi"/>
          <w:b/>
          <w:bCs/>
          <w:sz w:val="22"/>
          <w:szCs w:val="22"/>
          <w:u w:val="single"/>
        </w:rPr>
        <w:t xml:space="preserve">3. </w:t>
      </w:r>
      <w:proofErr w:type="spellStart"/>
      <w:r w:rsidRPr="008320D4">
        <w:rPr>
          <w:rFonts w:asciiTheme="minorHAnsi" w:hAnsiTheme="minorHAnsi" w:cstheme="minorHAnsi"/>
          <w:b/>
          <w:bCs/>
          <w:sz w:val="22"/>
          <w:szCs w:val="22"/>
          <w:u w:val="single"/>
        </w:rPr>
        <w:t>Koinves</w:t>
      </w:r>
      <w:r w:rsidRPr="008320D4">
        <w:rPr>
          <w:rFonts w:asciiTheme="minorHAnsi" w:eastAsia="Calibri" w:hAnsiTheme="minorHAnsi" w:cstheme="minorHAnsi"/>
          <w:b/>
          <w:bCs/>
          <w:sz w:val="22"/>
          <w:szCs w:val="22"/>
          <w:u w:val="single"/>
        </w:rPr>
        <w:t>ti</w:t>
      </w:r>
      <w:r w:rsidRPr="008320D4">
        <w:rPr>
          <w:rFonts w:asciiTheme="minorHAnsi" w:hAnsiTheme="minorHAnsi" w:cstheme="minorHAnsi"/>
          <w:b/>
          <w:bCs/>
          <w:sz w:val="22"/>
          <w:szCs w:val="22"/>
          <w:u w:val="single"/>
        </w:rPr>
        <w:t>ční</w:t>
      </w:r>
      <w:proofErr w:type="spellEnd"/>
      <w:r w:rsidRPr="008320D4">
        <w:rPr>
          <w:rFonts w:asciiTheme="minorHAnsi" w:hAnsiTheme="minorHAnsi" w:cstheme="minorHAnsi"/>
          <w:b/>
          <w:bCs/>
          <w:sz w:val="22"/>
          <w:szCs w:val="22"/>
          <w:u w:val="single"/>
        </w:rPr>
        <w:t xml:space="preserve"> fond: 1 mld. Kč (NRI)</w:t>
      </w:r>
    </w:p>
    <w:p w14:paraId="0B1A7A9D" w14:textId="77777777" w:rsidR="004F05DB" w:rsidRPr="003861C1" w:rsidRDefault="004F05DB" w:rsidP="004F05DB">
      <w:pPr>
        <w:pStyle w:val="Default"/>
        <w:numPr>
          <w:ilvl w:val="0"/>
          <w:numId w:val="16"/>
        </w:numPr>
        <w:jc w:val="both"/>
        <w:rPr>
          <w:rFonts w:asciiTheme="minorHAnsi" w:hAnsiTheme="minorHAnsi" w:cstheme="minorHAnsi"/>
          <w:sz w:val="22"/>
          <w:szCs w:val="22"/>
        </w:rPr>
      </w:pPr>
      <w:r w:rsidRPr="003861C1">
        <w:rPr>
          <w:rFonts w:asciiTheme="minorHAnsi" w:hAnsiTheme="minorHAnsi" w:cstheme="minorHAnsi"/>
          <w:sz w:val="22"/>
          <w:szCs w:val="22"/>
        </w:rPr>
        <w:t xml:space="preserve">Účel: přímé akvizice existujících nájemních bytů a projektů. </w:t>
      </w:r>
    </w:p>
    <w:p w14:paraId="11DE82EC" w14:textId="77777777" w:rsidR="004F05DB" w:rsidRPr="003861C1" w:rsidRDefault="004F05DB" w:rsidP="004F05DB">
      <w:pPr>
        <w:pStyle w:val="Default"/>
        <w:numPr>
          <w:ilvl w:val="0"/>
          <w:numId w:val="16"/>
        </w:numPr>
        <w:jc w:val="both"/>
        <w:rPr>
          <w:rFonts w:asciiTheme="minorHAnsi" w:hAnsiTheme="minorHAnsi" w:cstheme="minorHAnsi"/>
          <w:sz w:val="22"/>
          <w:szCs w:val="22"/>
        </w:rPr>
      </w:pPr>
      <w:r w:rsidRPr="003861C1">
        <w:rPr>
          <w:rFonts w:asciiTheme="minorHAnsi" w:hAnsiTheme="minorHAnsi" w:cstheme="minorHAnsi"/>
          <w:sz w:val="22"/>
          <w:szCs w:val="22"/>
        </w:rPr>
        <w:t>Platný strop nájemného: 90 % tržního nájemného ve srovnatelných bytech</w:t>
      </w:r>
    </w:p>
    <w:p w14:paraId="20515FD1" w14:textId="77777777" w:rsidR="004F05DB" w:rsidRDefault="004F05DB" w:rsidP="004F05DB">
      <w:pPr>
        <w:pStyle w:val="Default"/>
        <w:numPr>
          <w:ilvl w:val="1"/>
          <w:numId w:val="15"/>
        </w:numPr>
        <w:jc w:val="both"/>
        <w:rPr>
          <w:rFonts w:asciiTheme="minorHAnsi" w:hAnsiTheme="minorHAnsi" w:cstheme="minorHAnsi"/>
          <w:sz w:val="22"/>
          <w:szCs w:val="22"/>
        </w:rPr>
      </w:pPr>
      <w:r w:rsidRPr="003861C1">
        <w:rPr>
          <w:rFonts w:asciiTheme="minorHAnsi" w:hAnsiTheme="minorHAnsi" w:cstheme="minorHAnsi"/>
          <w:sz w:val="22"/>
          <w:szCs w:val="22"/>
        </w:rPr>
        <w:t>Předpokládané založení: 2025</w:t>
      </w:r>
    </w:p>
    <w:p w14:paraId="6CD5A4B9" w14:textId="77777777" w:rsidR="004F05DB" w:rsidRPr="004F05DB" w:rsidRDefault="004F05DB" w:rsidP="004F05DB">
      <w:pPr>
        <w:pStyle w:val="Default"/>
        <w:numPr>
          <w:ilvl w:val="0"/>
          <w:numId w:val="13"/>
        </w:numPr>
        <w:jc w:val="both"/>
        <w:rPr>
          <w:rFonts w:asciiTheme="minorHAnsi" w:hAnsiTheme="minorHAnsi" w:cstheme="minorHAnsi"/>
          <w:color w:val="000000" w:themeColor="text1"/>
          <w:sz w:val="22"/>
          <w:szCs w:val="22"/>
        </w:rPr>
      </w:pPr>
      <w:r w:rsidRPr="004F05DB">
        <w:rPr>
          <w:rFonts w:asciiTheme="minorHAnsi" w:hAnsiTheme="minorHAnsi" w:cstheme="minorHAnsi"/>
          <w:color w:val="000000" w:themeColor="text1"/>
          <w:sz w:val="22"/>
          <w:szCs w:val="22"/>
        </w:rPr>
        <w:t>Byl schválen statut a jednací řád Koordinačního výboru složeného ze zaměstnanců MMR, který zajišťuje monitoring a kontrolu implementace finančního nástroje 3.</w:t>
      </w:r>
    </w:p>
    <w:p w14:paraId="5B1D3834" w14:textId="77777777" w:rsidR="004F05DB" w:rsidRPr="004F05DB" w:rsidRDefault="004F05DB" w:rsidP="004F05DB">
      <w:pPr>
        <w:pStyle w:val="Default"/>
        <w:numPr>
          <w:ilvl w:val="0"/>
          <w:numId w:val="13"/>
        </w:numPr>
        <w:jc w:val="both"/>
        <w:rPr>
          <w:rFonts w:asciiTheme="minorHAnsi" w:hAnsiTheme="minorHAnsi" w:cstheme="minorHAnsi"/>
          <w:color w:val="000000" w:themeColor="text1"/>
          <w:sz w:val="22"/>
          <w:szCs w:val="22"/>
        </w:rPr>
      </w:pPr>
      <w:r w:rsidRPr="004F05DB">
        <w:rPr>
          <w:rFonts w:asciiTheme="minorHAnsi" w:hAnsiTheme="minorHAnsi" w:cstheme="minorHAnsi"/>
          <w:color w:val="000000" w:themeColor="text1"/>
          <w:sz w:val="22"/>
          <w:szCs w:val="22"/>
        </w:rPr>
        <w:t>Proběhly předběžné tržní konzultace v rámci zakázky na finančního zprostředkovatele Fondu.</w:t>
      </w:r>
    </w:p>
    <w:p w14:paraId="0B020B6B" w14:textId="77777777" w:rsidR="004F05DB" w:rsidRPr="004F05DB" w:rsidRDefault="004F05DB" w:rsidP="004F05DB">
      <w:pPr>
        <w:pStyle w:val="Default"/>
        <w:numPr>
          <w:ilvl w:val="0"/>
          <w:numId w:val="13"/>
        </w:numPr>
        <w:jc w:val="both"/>
        <w:rPr>
          <w:rFonts w:asciiTheme="minorHAnsi" w:hAnsiTheme="minorHAnsi" w:cstheme="minorHAnsi"/>
          <w:color w:val="000000" w:themeColor="text1"/>
          <w:sz w:val="22"/>
          <w:szCs w:val="22"/>
        </w:rPr>
      </w:pPr>
      <w:r w:rsidRPr="004F05DB">
        <w:rPr>
          <w:rFonts w:asciiTheme="minorHAnsi" w:hAnsiTheme="minorHAnsi" w:cstheme="minorHAnsi"/>
          <w:color w:val="000000" w:themeColor="text1"/>
          <w:sz w:val="22"/>
          <w:szCs w:val="22"/>
        </w:rPr>
        <w:t>NRI je již v kontaktu s potenciálními investory.</w:t>
      </w:r>
    </w:p>
    <w:p w14:paraId="687CCA41" w14:textId="77777777" w:rsidR="004F05DB" w:rsidRPr="00371F0C" w:rsidRDefault="004F05DB" w:rsidP="004F05DB">
      <w:pPr>
        <w:pStyle w:val="Default"/>
        <w:jc w:val="both"/>
        <w:rPr>
          <w:rFonts w:asciiTheme="minorHAnsi" w:hAnsiTheme="minorHAnsi" w:cstheme="minorHAnsi"/>
          <w:sz w:val="22"/>
          <w:szCs w:val="22"/>
          <w:highlight w:val="green"/>
        </w:rPr>
      </w:pPr>
    </w:p>
    <w:p w14:paraId="16681D45" w14:textId="7FF520D2" w:rsidR="004F05DB" w:rsidRPr="00626CEC" w:rsidRDefault="004F05DB" w:rsidP="004F05DB">
      <w:pPr>
        <w:spacing w:after="0" w:line="240" w:lineRule="auto"/>
        <w:jc w:val="both"/>
        <w:rPr>
          <w:rFonts w:eastAsia="+mn-ea" w:cstheme="minorHAnsi"/>
          <w:color w:val="262626"/>
          <w:kern w:val="24"/>
        </w:rPr>
      </w:pPr>
      <w:r w:rsidRPr="008320D4">
        <w:rPr>
          <w:rFonts w:eastAsia="Calibri" w:cstheme="minorHAnsi"/>
          <w:kern w:val="0"/>
          <w14:ligatures w14:val="none"/>
        </w:rPr>
        <w:t>Komponenta 2.10 také zahrnuje</w:t>
      </w:r>
      <w:r>
        <w:rPr>
          <w:rFonts w:eastAsia="Calibri" w:cstheme="minorHAnsi"/>
          <w:b/>
          <w:bCs/>
          <w:kern w:val="0"/>
          <w14:ligatures w14:val="none"/>
        </w:rPr>
        <w:t xml:space="preserve"> </w:t>
      </w:r>
      <w:r w:rsidRPr="008320D4">
        <w:rPr>
          <w:rFonts w:eastAsia="Calibri" w:cstheme="minorHAnsi"/>
          <w:b/>
          <w:bCs/>
          <w:kern w:val="0"/>
          <w:u w:val="single"/>
          <w14:ligatures w14:val="none"/>
        </w:rPr>
        <w:t>vytvoření 8 regionálních center pro podporu investic do bydlení</w:t>
      </w:r>
      <w:r w:rsidRPr="003861C1">
        <w:rPr>
          <w:rFonts w:eastAsia="Calibri" w:cstheme="minorHAnsi"/>
          <w:b/>
          <w:bCs/>
          <w:kern w:val="0"/>
          <w14:ligatures w14:val="none"/>
        </w:rPr>
        <w:t xml:space="preserve"> </w:t>
      </w:r>
      <w:r w:rsidRPr="008320D4">
        <w:rPr>
          <w:rFonts w:eastAsia="Calibri" w:cstheme="minorHAnsi"/>
          <w:kern w:val="0"/>
          <w14:ligatures w14:val="none"/>
        </w:rPr>
        <w:t>ve</w:t>
      </w:r>
      <w:r w:rsidR="00FE33F3">
        <w:rPr>
          <w:rFonts w:eastAsia="Calibri" w:cstheme="minorHAnsi"/>
          <w:kern w:val="0"/>
          <w14:ligatures w14:val="none"/>
        </w:rPr>
        <w:t> </w:t>
      </w:r>
      <w:r w:rsidRPr="008320D4">
        <w:rPr>
          <w:rFonts w:eastAsia="Calibri" w:cstheme="minorHAnsi"/>
          <w:kern w:val="0"/>
          <w14:ligatures w14:val="none"/>
        </w:rPr>
        <w:t xml:space="preserve">spolupráci SFPI s regionálními rozvojovými agenturami. Centra </w:t>
      </w:r>
      <w:r>
        <w:rPr>
          <w:rFonts w:eastAsia="Calibri" w:cstheme="minorHAnsi"/>
          <w:kern w:val="0"/>
          <w14:ligatures w14:val="none"/>
        </w:rPr>
        <w:t>fungují</w:t>
      </w:r>
      <w:r w:rsidRPr="008320D4">
        <w:rPr>
          <w:rFonts w:eastAsia="Calibri" w:cstheme="minorHAnsi"/>
          <w:kern w:val="0"/>
          <w14:ligatures w14:val="none"/>
        </w:rPr>
        <w:t xml:space="preserve"> </w:t>
      </w:r>
      <w:r w:rsidRPr="008320D4">
        <w:rPr>
          <w:rFonts w:eastAsia="Calibri" w:cstheme="minorHAnsi"/>
          <w:b/>
          <w:bCs/>
          <w:kern w:val="0"/>
          <w:u w:val="single"/>
          <w14:ligatures w14:val="none"/>
        </w:rPr>
        <w:t>od dubna 2024</w:t>
      </w:r>
      <w:r>
        <w:rPr>
          <w:rFonts w:eastAsia="Calibri" w:cstheme="minorHAnsi"/>
          <w:kern w:val="0"/>
          <w14:ligatures w14:val="none"/>
        </w:rPr>
        <w:t xml:space="preserve"> a poskytují </w:t>
      </w:r>
      <w:r w:rsidRPr="003861C1">
        <w:rPr>
          <w:rFonts w:eastAsia="+mn-ea" w:cstheme="minorHAnsi"/>
          <w:color w:val="262626"/>
          <w:kern w:val="24"/>
        </w:rPr>
        <w:t>expertní podpor</w:t>
      </w:r>
      <w:r>
        <w:rPr>
          <w:rFonts w:eastAsia="+mn-ea" w:cstheme="minorHAnsi"/>
          <w:color w:val="262626"/>
          <w:kern w:val="24"/>
        </w:rPr>
        <w:t>u</w:t>
      </w:r>
      <w:r w:rsidRPr="003861C1">
        <w:rPr>
          <w:rFonts w:eastAsia="+mn-ea" w:cstheme="minorHAnsi"/>
          <w:color w:val="262626"/>
          <w:kern w:val="24"/>
        </w:rPr>
        <w:t xml:space="preserve"> přímo v regionu, zvětšení odborných kapacit obcí pro identifikaci, přípravu a realizaci projektů dostupného nájemního bydlení vč. finančního poradenství</w:t>
      </w:r>
      <w:r>
        <w:rPr>
          <w:rFonts w:eastAsia="+mn-ea" w:cstheme="minorHAnsi"/>
          <w:color w:val="262626"/>
          <w:kern w:val="24"/>
        </w:rPr>
        <w:t>.</w:t>
      </w:r>
    </w:p>
    <w:p w14:paraId="053ADB0B" w14:textId="77777777" w:rsidR="004F05DB" w:rsidRDefault="004F05DB" w:rsidP="007575C2">
      <w:pPr>
        <w:jc w:val="both"/>
        <w:rPr>
          <w:rFonts w:ascii="Calibri" w:eastAsia="Times New Roman" w:hAnsi="Calibri" w:cs="Calibri"/>
          <w:b/>
          <w:bCs/>
          <w:color w:val="4472C4" w:themeColor="accent1"/>
          <w:sz w:val="32"/>
          <w:szCs w:val="32"/>
        </w:rPr>
      </w:pPr>
    </w:p>
    <w:p w14:paraId="58E8B702" w14:textId="77777777" w:rsidR="004F05DB" w:rsidRDefault="004F05DB" w:rsidP="007575C2">
      <w:pPr>
        <w:jc w:val="both"/>
        <w:rPr>
          <w:rFonts w:ascii="Calibri" w:eastAsia="Times New Roman" w:hAnsi="Calibri" w:cs="Calibri"/>
          <w:b/>
          <w:bCs/>
          <w:color w:val="4472C4" w:themeColor="accent1"/>
          <w:sz w:val="32"/>
          <w:szCs w:val="32"/>
        </w:rPr>
      </w:pPr>
    </w:p>
    <w:p w14:paraId="0CF50019" w14:textId="77777777" w:rsidR="004F05DB" w:rsidRDefault="004F05DB" w:rsidP="007575C2">
      <w:pPr>
        <w:jc w:val="both"/>
        <w:rPr>
          <w:rFonts w:ascii="Calibri" w:eastAsia="Times New Roman" w:hAnsi="Calibri" w:cs="Calibri"/>
          <w:b/>
          <w:bCs/>
          <w:color w:val="4472C4" w:themeColor="accent1"/>
          <w:sz w:val="32"/>
          <w:szCs w:val="32"/>
        </w:rPr>
      </w:pPr>
    </w:p>
    <w:p w14:paraId="4E587382" w14:textId="6E992C06" w:rsidR="00640A55" w:rsidRPr="00CD2D54" w:rsidRDefault="00560836" w:rsidP="007575C2">
      <w:pPr>
        <w:jc w:val="both"/>
        <w:rPr>
          <w:rFonts w:ascii="Calibri" w:eastAsia="Times New Roman" w:hAnsi="Calibri" w:cs="Calibri"/>
          <w:b/>
          <w:bCs/>
          <w:color w:val="4472C4" w:themeColor="accent1"/>
          <w:sz w:val="32"/>
          <w:szCs w:val="32"/>
        </w:rPr>
      </w:pPr>
      <w:r>
        <w:rPr>
          <w:rFonts w:ascii="Calibri" w:eastAsia="Times New Roman" w:hAnsi="Calibri" w:cs="Calibri"/>
          <w:b/>
          <w:bCs/>
          <w:color w:val="4472C4" w:themeColor="accent1"/>
          <w:sz w:val="32"/>
          <w:szCs w:val="32"/>
        </w:rPr>
        <w:t>K</w:t>
      </w:r>
      <w:r w:rsidR="00640A55" w:rsidRPr="00CD2D54">
        <w:rPr>
          <w:rFonts w:ascii="Calibri" w:eastAsia="Times New Roman" w:hAnsi="Calibri" w:cs="Calibri"/>
          <w:b/>
          <w:bCs/>
          <w:color w:val="4472C4" w:themeColor="accent1"/>
          <w:sz w:val="32"/>
          <w:szCs w:val="32"/>
        </w:rPr>
        <w:t>omponent</w:t>
      </w:r>
      <w:r>
        <w:rPr>
          <w:rFonts w:ascii="Calibri" w:eastAsia="Times New Roman" w:hAnsi="Calibri" w:cs="Calibri"/>
          <w:b/>
          <w:bCs/>
          <w:color w:val="4472C4" w:themeColor="accent1"/>
          <w:sz w:val="32"/>
          <w:szCs w:val="32"/>
        </w:rPr>
        <w:t>a</w:t>
      </w:r>
      <w:r w:rsidR="00640A55" w:rsidRPr="00CD2D54">
        <w:rPr>
          <w:rFonts w:ascii="Calibri" w:eastAsia="Times New Roman" w:hAnsi="Calibri" w:cs="Calibri"/>
          <w:b/>
          <w:bCs/>
          <w:color w:val="4472C4" w:themeColor="accent1"/>
          <w:sz w:val="32"/>
          <w:szCs w:val="32"/>
        </w:rPr>
        <w:t xml:space="preserve"> 4.1 Systémová podpora veřejných investic</w:t>
      </w:r>
    </w:p>
    <w:p w14:paraId="5CA8E0C6" w14:textId="77777777" w:rsidR="004F05DB" w:rsidRPr="00F654C8" w:rsidRDefault="004F05DB" w:rsidP="004F05DB">
      <w:pPr>
        <w:spacing w:after="60"/>
        <w:jc w:val="both"/>
      </w:pPr>
      <w:proofErr w:type="spellStart"/>
      <w:r w:rsidRPr="00B4684B">
        <w:rPr>
          <w:rFonts w:eastAsia="Times New Roman"/>
        </w:rPr>
        <w:t>Subkomponenta</w:t>
      </w:r>
      <w:proofErr w:type="spellEnd"/>
      <w:r w:rsidRPr="00B4684B">
        <w:rPr>
          <w:rFonts w:eastAsia="Times New Roman"/>
        </w:rPr>
        <w:t xml:space="preserve"> </w:t>
      </w:r>
      <w:r w:rsidRPr="00B4684B">
        <w:rPr>
          <w:rFonts w:eastAsia="Times New Roman"/>
          <w:b/>
          <w:bCs/>
          <w:u w:val="single"/>
        </w:rPr>
        <w:t>4</w:t>
      </w:r>
      <w:r w:rsidRPr="00B4684B">
        <w:rPr>
          <w:rFonts w:eastAsia="Times New Roman"/>
          <w:b/>
          <w:bCs/>
          <w:color w:val="000000"/>
          <w:u w:val="single"/>
          <w:lang w:eastAsia="cs-CZ"/>
          <w14:ligatures w14:val="none"/>
        </w:rPr>
        <w:t>.1.3 Finanční podpora přípravy projektů souladných s cíli EU</w:t>
      </w:r>
      <w:r w:rsidRPr="00B4684B">
        <w:rPr>
          <w:rFonts w:eastAsia="Times New Roman"/>
          <w:color w:val="000000"/>
          <w:lang w:eastAsia="cs-CZ"/>
          <w14:ligatures w14:val="none"/>
        </w:rPr>
        <w:t xml:space="preserve"> p</w:t>
      </w:r>
      <w:r w:rsidRPr="00B4684B">
        <w:rPr>
          <w:rFonts w:eastAsia="Times New Roman"/>
        </w:rPr>
        <w:t xml:space="preserve">odporuje </w:t>
      </w:r>
      <w:r w:rsidRPr="00B4684B">
        <w:rPr>
          <w:rFonts w:eastAsia="Times New Roman"/>
          <w:b/>
          <w:bCs/>
          <w:u w:val="single"/>
        </w:rPr>
        <w:t>přípravu širokého spektra projektů vedoucích ke zvýšení investic veřejných investorů</w:t>
      </w:r>
      <w:r w:rsidRPr="00B4684B">
        <w:rPr>
          <w:rFonts w:eastAsia="Times New Roman"/>
        </w:rPr>
        <w:t xml:space="preserve"> do veřejného prostoru – </w:t>
      </w:r>
      <w:r w:rsidRPr="00F654C8">
        <w:t>podpora bydlení, zkvalitňování veřejného prostranství, občanské vybavenosti, veřejných služeb</w:t>
      </w:r>
      <w:r>
        <w:t xml:space="preserve"> atd.</w:t>
      </w:r>
    </w:p>
    <w:p w14:paraId="55C3E0F9" w14:textId="77777777" w:rsidR="004F05DB" w:rsidRPr="002C0002" w:rsidRDefault="004F05DB" w:rsidP="004F05DB">
      <w:pPr>
        <w:spacing w:after="60"/>
        <w:jc w:val="both"/>
        <w:rPr>
          <w:rFonts w:eastAsia="Times New Roman"/>
        </w:rPr>
      </w:pPr>
      <w:r w:rsidRPr="002C0002">
        <w:rPr>
          <w:rFonts w:eastAsia="Times New Roman"/>
        </w:rPr>
        <w:t xml:space="preserve">Na podporu přípravy projektů je zde </w:t>
      </w:r>
      <w:r w:rsidRPr="002C0002">
        <w:rPr>
          <w:rFonts w:eastAsia="Times New Roman"/>
          <w:b/>
          <w:bCs/>
          <w:u w:val="single"/>
        </w:rPr>
        <w:t>alokováno celkem 1,420 miliardy Kč.</w:t>
      </w:r>
      <w:r w:rsidRPr="002C0002">
        <w:rPr>
          <w:rFonts w:eastAsia="Times New Roman"/>
        </w:rPr>
        <w:t xml:space="preserve"> </w:t>
      </w:r>
    </w:p>
    <w:p w14:paraId="569A9084" w14:textId="7BBD55AC" w:rsidR="004F05DB" w:rsidRDefault="004F05DB" w:rsidP="004F05DB">
      <w:pPr>
        <w:pStyle w:val="Odstavecseseznamem"/>
        <w:numPr>
          <w:ilvl w:val="0"/>
          <w:numId w:val="5"/>
        </w:numPr>
        <w:spacing w:after="60"/>
        <w:ind w:left="714" w:hanging="357"/>
        <w:jc w:val="both"/>
        <w:rPr>
          <w:rFonts w:eastAsia="Times New Roman"/>
        </w:rPr>
      </w:pPr>
      <w:r>
        <w:rPr>
          <w:rFonts w:eastAsia="Times New Roman"/>
          <w:b/>
          <w:bCs/>
          <w:u w:val="single"/>
        </w:rPr>
        <w:t xml:space="preserve">Bylo </w:t>
      </w:r>
      <w:r w:rsidRPr="002C0002">
        <w:rPr>
          <w:rFonts w:eastAsia="Times New Roman"/>
          <w:b/>
          <w:bCs/>
          <w:u w:val="single"/>
        </w:rPr>
        <w:t>vyhlášen</w:t>
      </w:r>
      <w:r>
        <w:rPr>
          <w:rFonts w:eastAsia="Times New Roman"/>
          <w:b/>
          <w:bCs/>
          <w:u w:val="single"/>
        </w:rPr>
        <w:t>o</w:t>
      </w:r>
      <w:r w:rsidRPr="002C0002">
        <w:rPr>
          <w:rFonts w:eastAsia="Times New Roman"/>
          <w:b/>
          <w:bCs/>
          <w:u w:val="single"/>
        </w:rPr>
        <w:t xml:space="preserve"> </w:t>
      </w:r>
      <w:r>
        <w:rPr>
          <w:rFonts w:eastAsia="Times New Roman"/>
          <w:b/>
          <w:bCs/>
          <w:u w:val="single"/>
        </w:rPr>
        <w:t>celkem pět</w:t>
      </w:r>
      <w:r w:rsidRPr="002C0002">
        <w:rPr>
          <w:rFonts w:eastAsia="Times New Roman"/>
          <w:b/>
          <w:bCs/>
          <w:u w:val="single"/>
        </w:rPr>
        <w:t xml:space="preserve"> výz</w:t>
      </w:r>
      <w:r>
        <w:rPr>
          <w:rFonts w:eastAsia="Times New Roman"/>
          <w:b/>
          <w:bCs/>
          <w:u w:val="single"/>
        </w:rPr>
        <w:t>ev</w:t>
      </w:r>
      <w:r w:rsidRPr="002C0002">
        <w:rPr>
          <w:rFonts w:eastAsia="Times New Roman"/>
        </w:rPr>
        <w:t xml:space="preserve"> (bytové projekty, velké projekty a malé projekty</w:t>
      </w:r>
      <w:r>
        <w:rPr>
          <w:rFonts w:eastAsia="Times New Roman"/>
        </w:rPr>
        <w:t xml:space="preserve">, malé projekty </w:t>
      </w:r>
      <w:r w:rsidRPr="002C0002">
        <w:rPr>
          <w:rFonts w:eastAsia="Times New Roman"/>
        </w:rPr>
        <w:t>pro podporu projektů v</w:t>
      </w:r>
      <w:r>
        <w:rPr>
          <w:rFonts w:eastAsia="Times New Roman"/>
        </w:rPr>
        <w:t> </w:t>
      </w:r>
      <w:r w:rsidRPr="002C0002">
        <w:rPr>
          <w:rFonts w:eastAsia="Times New Roman"/>
        </w:rPr>
        <w:t>realizaci</w:t>
      </w:r>
      <w:r>
        <w:rPr>
          <w:rFonts w:eastAsia="Times New Roman"/>
        </w:rPr>
        <w:t xml:space="preserve"> a p</w:t>
      </w:r>
      <w:r>
        <w:t>říprava projektů dostupného (vč. sociálního) a udržitelného nájemního bydlení</w:t>
      </w:r>
      <w:r w:rsidRPr="002C0002">
        <w:rPr>
          <w:rFonts w:eastAsia="Times New Roman"/>
        </w:rPr>
        <w:t>)</w:t>
      </w:r>
      <w:r>
        <w:rPr>
          <w:rFonts w:eastAsia="Times New Roman"/>
        </w:rPr>
        <w:t>)</w:t>
      </w:r>
      <w:r w:rsidRPr="002C0002">
        <w:rPr>
          <w:rFonts w:eastAsia="Times New Roman"/>
        </w:rPr>
        <w:t xml:space="preserve">. </w:t>
      </w:r>
    </w:p>
    <w:p w14:paraId="02A6EC8D" w14:textId="77777777" w:rsidR="004F05DB" w:rsidRDefault="004F05DB" w:rsidP="004F05DB">
      <w:pPr>
        <w:pStyle w:val="Odstavecseseznamem"/>
        <w:numPr>
          <w:ilvl w:val="0"/>
          <w:numId w:val="5"/>
        </w:numPr>
        <w:spacing w:after="60"/>
        <w:ind w:left="714" w:hanging="357"/>
        <w:jc w:val="both"/>
        <w:rPr>
          <w:rFonts w:eastAsia="Times New Roman"/>
        </w:rPr>
      </w:pPr>
      <w:r w:rsidRPr="00C0521F">
        <w:rPr>
          <w:rFonts w:eastAsia="Times New Roman"/>
        </w:rPr>
        <w:t>Souhrnně za všechny výzvy bylo podáno cca 900 projektů v objemu přes 3,66 mld. Kč, z nichž bylo podpořeno 392 projektů</w:t>
      </w:r>
      <w:r>
        <w:rPr>
          <w:rFonts w:eastAsia="Times New Roman"/>
        </w:rPr>
        <w:t>.</w:t>
      </w:r>
    </w:p>
    <w:p w14:paraId="58CD9378" w14:textId="7A57584E" w:rsidR="004F05DB" w:rsidRPr="00C0521F" w:rsidRDefault="004F05DB" w:rsidP="00FE33F3">
      <w:pPr>
        <w:pStyle w:val="Odstavecseseznamem"/>
        <w:numPr>
          <w:ilvl w:val="0"/>
          <w:numId w:val="5"/>
        </w:numPr>
        <w:spacing w:after="60"/>
        <w:jc w:val="both"/>
        <w:rPr>
          <w:rFonts w:eastAsia="Times New Roman"/>
        </w:rPr>
      </w:pPr>
      <w:r w:rsidRPr="00C0521F">
        <w:rPr>
          <w:rFonts w:eastAsia="Times New Roman"/>
        </w:rPr>
        <w:t xml:space="preserve">V 1. a 5. výzvě zaměřených na podporu </w:t>
      </w:r>
      <w:r w:rsidRPr="00C0521F">
        <w:rPr>
          <w:rFonts w:eastAsia="Times New Roman"/>
          <w:b/>
          <w:bCs/>
          <w:u w:val="single"/>
        </w:rPr>
        <w:t xml:space="preserve">dostupného nájemního bydlení bylo podpořeno 187 projektů </w:t>
      </w:r>
      <w:r w:rsidRPr="00C0521F">
        <w:rPr>
          <w:rFonts w:eastAsia="Times New Roman"/>
        </w:rPr>
        <w:t xml:space="preserve">a v následujících letech by tak mělo vzniknout více než </w:t>
      </w:r>
      <w:r w:rsidRPr="00C0521F">
        <w:rPr>
          <w:rFonts w:eastAsia="Times New Roman"/>
          <w:b/>
          <w:bCs/>
          <w:u w:val="single"/>
        </w:rPr>
        <w:t>3 400 bytů</w:t>
      </w:r>
      <w:r w:rsidRPr="00C0521F">
        <w:rPr>
          <w:rFonts w:eastAsia="Times New Roman"/>
        </w:rPr>
        <w:t xml:space="preserve">. Na tyto projekty bylo nejvíce žádostí podáno </w:t>
      </w:r>
      <w:r w:rsidR="00FE33F3">
        <w:rPr>
          <w:rFonts w:eastAsia="Times New Roman"/>
        </w:rPr>
        <w:t>z</w:t>
      </w:r>
      <w:r w:rsidRPr="00C0521F">
        <w:rPr>
          <w:rFonts w:eastAsia="Times New Roman"/>
        </w:rPr>
        <w:t xml:space="preserve"> Olomoucké</w:t>
      </w:r>
      <w:r w:rsidR="00FE33F3">
        <w:rPr>
          <w:rFonts w:eastAsia="Times New Roman"/>
        </w:rPr>
        <w:t>ho</w:t>
      </w:r>
      <w:r w:rsidRPr="00C0521F">
        <w:rPr>
          <w:rFonts w:eastAsia="Times New Roman"/>
        </w:rPr>
        <w:t>, Jihomoravské</w:t>
      </w:r>
      <w:r w:rsidR="00FE33F3">
        <w:rPr>
          <w:rFonts w:eastAsia="Times New Roman"/>
        </w:rPr>
        <w:t>ho</w:t>
      </w:r>
      <w:r w:rsidRPr="00C0521F">
        <w:rPr>
          <w:rFonts w:eastAsia="Times New Roman"/>
        </w:rPr>
        <w:t xml:space="preserve"> a Středočeské</w:t>
      </w:r>
      <w:r w:rsidR="00FE33F3">
        <w:rPr>
          <w:rFonts w:eastAsia="Times New Roman"/>
        </w:rPr>
        <w:t>ho</w:t>
      </w:r>
      <w:r w:rsidRPr="00C0521F">
        <w:rPr>
          <w:rFonts w:eastAsia="Times New Roman"/>
        </w:rPr>
        <w:t xml:space="preserve"> kraj</w:t>
      </w:r>
      <w:r w:rsidR="00FE33F3">
        <w:rPr>
          <w:rFonts w:eastAsia="Times New Roman"/>
        </w:rPr>
        <w:t>e</w:t>
      </w:r>
      <w:r>
        <w:rPr>
          <w:rFonts w:eastAsia="Times New Roman"/>
        </w:rPr>
        <w:t>.</w:t>
      </w:r>
    </w:p>
    <w:p w14:paraId="619F4FEA" w14:textId="77777777" w:rsidR="004F05DB" w:rsidRPr="00C0521F" w:rsidRDefault="004F05DB" w:rsidP="004F05DB">
      <w:pPr>
        <w:pStyle w:val="Odstavecseseznamem"/>
        <w:numPr>
          <w:ilvl w:val="0"/>
          <w:numId w:val="5"/>
        </w:numPr>
        <w:spacing w:after="60"/>
        <w:jc w:val="both"/>
        <w:rPr>
          <w:rFonts w:eastAsia="Times New Roman"/>
        </w:rPr>
      </w:pPr>
      <w:r w:rsidRPr="00C0521F">
        <w:rPr>
          <w:rFonts w:eastAsia="Times New Roman"/>
        </w:rPr>
        <w:t xml:space="preserve">2., 3. a 4. výzva byly zaměřeny (kromě bydlení) na podporu v oblasti Smart </w:t>
      </w:r>
      <w:proofErr w:type="spellStart"/>
      <w:r w:rsidRPr="00C0521F">
        <w:rPr>
          <w:rFonts w:eastAsia="Times New Roman"/>
        </w:rPr>
        <w:t>Cities</w:t>
      </w:r>
      <w:proofErr w:type="spellEnd"/>
      <w:r w:rsidRPr="00C0521F">
        <w:rPr>
          <w:rFonts w:eastAsia="Times New Roman"/>
        </w:rPr>
        <w:t xml:space="preserve">, veřejné infrastruktury a veřejného prostoru, ekologických opatření, posilování </w:t>
      </w:r>
      <w:proofErr w:type="spellStart"/>
      <w:r w:rsidRPr="00C0521F">
        <w:rPr>
          <w:rFonts w:eastAsia="Times New Roman"/>
        </w:rPr>
        <w:t>resilience</w:t>
      </w:r>
      <w:proofErr w:type="spellEnd"/>
      <w:r w:rsidRPr="00C0521F">
        <w:rPr>
          <w:rFonts w:eastAsia="Times New Roman"/>
        </w:rPr>
        <w:t xml:space="preserve"> krajiny, regionální konkurenceschopnosti a sociální udržitelnosti. V těchto výzvách bylo </w:t>
      </w:r>
      <w:r w:rsidRPr="00C0521F">
        <w:rPr>
          <w:rFonts w:eastAsia="Times New Roman"/>
          <w:b/>
          <w:bCs/>
          <w:u w:val="single"/>
        </w:rPr>
        <w:t>podpořeno celkem 205 projektů</w:t>
      </w:r>
      <w:r>
        <w:rPr>
          <w:rFonts w:eastAsia="Times New Roman"/>
          <w:b/>
          <w:bCs/>
          <w:u w:val="single"/>
        </w:rPr>
        <w:t>.</w:t>
      </w:r>
    </w:p>
    <w:p w14:paraId="37C9B560" w14:textId="5185F3B4" w:rsidR="004F05DB" w:rsidRDefault="004F05DB" w:rsidP="004F05DB">
      <w:pPr>
        <w:pStyle w:val="Odstavecseseznamem"/>
        <w:numPr>
          <w:ilvl w:val="0"/>
          <w:numId w:val="5"/>
        </w:numPr>
        <w:spacing w:after="120"/>
        <w:ind w:left="714" w:hanging="357"/>
        <w:jc w:val="both"/>
        <w:rPr>
          <w:rFonts w:eastAsia="Times New Roman"/>
        </w:rPr>
      </w:pPr>
      <w:r w:rsidRPr="002C0002">
        <w:rPr>
          <w:rFonts w:eastAsia="Times New Roman"/>
        </w:rPr>
        <w:t>K aktivitám, které v rámci výzev</w:t>
      </w:r>
      <w:r>
        <w:rPr>
          <w:rFonts w:eastAsia="Times New Roman"/>
        </w:rPr>
        <w:t xml:space="preserve"> budou</w:t>
      </w:r>
      <w:r w:rsidRPr="002C0002">
        <w:rPr>
          <w:rFonts w:eastAsia="Times New Roman"/>
        </w:rPr>
        <w:t xml:space="preserve"> realizov</w:t>
      </w:r>
      <w:r>
        <w:rPr>
          <w:rFonts w:eastAsia="Times New Roman"/>
        </w:rPr>
        <w:t>ány</w:t>
      </w:r>
      <w:r w:rsidRPr="002C0002">
        <w:rPr>
          <w:rFonts w:eastAsia="Times New Roman"/>
        </w:rPr>
        <w:t xml:space="preserve">, patří zejména </w:t>
      </w:r>
      <w:r w:rsidRPr="002C0002">
        <w:rPr>
          <w:rFonts w:eastAsia="Times New Roman"/>
          <w:b/>
          <w:bCs/>
        </w:rPr>
        <w:t>příprava projektové dokumentace ve všech jejích fázích, dále zpracování architektonické studie nebo studie proveditelnosti, příprava soutěžní dokumentace a architektonické soutěže, příprava PPP smluv</w:t>
      </w:r>
      <w:r w:rsidRPr="002C0002">
        <w:rPr>
          <w:rFonts w:eastAsia="Times New Roman"/>
        </w:rPr>
        <w:t xml:space="preserve"> apod. Podporovány jsou tak aktivity, které eliminují prodlevu přípravných prací a</w:t>
      </w:r>
      <w:r w:rsidR="00FE33F3">
        <w:rPr>
          <w:rFonts w:eastAsia="Times New Roman"/>
        </w:rPr>
        <w:t> </w:t>
      </w:r>
      <w:r w:rsidRPr="002C0002">
        <w:rPr>
          <w:rFonts w:eastAsia="Times New Roman"/>
        </w:rPr>
        <w:t xml:space="preserve">motivují veřejné investory k přípravě kvalitních projektů. </w:t>
      </w:r>
    </w:p>
    <w:p w14:paraId="503FF6E5" w14:textId="7A366BE8" w:rsidR="004F05DB" w:rsidRDefault="004F05DB" w:rsidP="004F05DB">
      <w:pPr>
        <w:pStyle w:val="Odstavecseseznamem"/>
        <w:numPr>
          <w:ilvl w:val="0"/>
          <w:numId w:val="5"/>
        </w:numPr>
        <w:jc w:val="both"/>
        <w:rPr>
          <w:rFonts w:eastAsia="Times New Roman"/>
        </w:rPr>
      </w:pPr>
      <w:r w:rsidRPr="00C0521F">
        <w:rPr>
          <w:rFonts w:eastAsia="Times New Roman"/>
        </w:rPr>
        <w:t xml:space="preserve">Velký zájem ze strany obcí a krajů potvrdil vysokou absorpční kapacitu této podpory v území, přičemž celková hodnota podaných projektů přesáhla téměř 2,5krát dostupné finanční prostředky. </w:t>
      </w:r>
      <w:r w:rsidR="00FE33F3">
        <w:rPr>
          <w:rFonts w:eastAsia="Times New Roman"/>
        </w:rPr>
        <w:t>MMR bude v podpoře přípravy projektů pokračovat přes národní podprogram určený pro hospodářsky a sociálně ohrožená území.</w:t>
      </w:r>
    </w:p>
    <w:p w14:paraId="40EF92EC" w14:textId="77777777" w:rsidR="004F05DB" w:rsidRPr="00C0521F" w:rsidRDefault="004F05DB" w:rsidP="004F05DB">
      <w:pPr>
        <w:spacing w:before="100" w:beforeAutospacing="1" w:after="100" w:afterAutospacing="1"/>
        <w:outlineLvl w:val="2"/>
        <w:rPr>
          <w:rFonts w:ascii="Arial" w:eastAsia="Times New Roman" w:hAnsi="Arial" w:cs="Arial"/>
          <w:b/>
          <w:bCs/>
          <w:sz w:val="20"/>
          <w:szCs w:val="20"/>
          <w:lang w:eastAsia="cs-CZ"/>
          <w14:ligatures w14:val="none"/>
        </w:rPr>
      </w:pPr>
      <w:r w:rsidRPr="00C0521F">
        <w:rPr>
          <w:rFonts w:ascii="Arial" w:eastAsia="Times New Roman" w:hAnsi="Arial" w:cs="Arial"/>
          <w:b/>
          <w:bCs/>
          <w:sz w:val="20"/>
          <w:szCs w:val="20"/>
          <w:lang w:eastAsia="cs-CZ"/>
          <w14:ligatures w14:val="none"/>
        </w:rPr>
        <w:t>Přehled výzev a jejich výsledky</w:t>
      </w:r>
      <w:r>
        <w:rPr>
          <w:rFonts w:ascii="Arial" w:eastAsia="Times New Roman" w:hAnsi="Arial" w:cs="Arial"/>
          <w:b/>
          <w:bCs/>
          <w:sz w:val="20"/>
          <w:szCs w:val="20"/>
          <w:lang w:eastAsia="cs-CZ"/>
          <w14:ligatures w14:val="none"/>
        </w:rPr>
        <w:t>:</w:t>
      </w:r>
    </w:p>
    <w:tbl>
      <w:tblPr>
        <w:tblW w:w="10014" w:type="dxa"/>
        <w:tblInd w:w="-289" w:type="dxa"/>
        <w:tblCellMar>
          <w:left w:w="70" w:type="dxa"/>
          <w:right w:w="70" w:type="dxa"/>
        </w:tblCellMar>
        <w:tblLook w:val="04A0" w:firstRow="1" w:lastRow="0" w:firstColumn="1" w:lastColumn="0" w:noHBand="0" w:noVBand="1"/>
      </w:tblPr>
      <w:tblGrid>
        <w:gridCol w:w="2232"/>
        <w:gridCol w:w="1267"/>
        <w:gridCol w:w="1599"/>
        <w:gridCol w:w="1930"/>
        <w:gridCol w:w="1387"/>
        <w:gridCol w:w="1599"/>
      </w:tblGrid>
      <w:tr w:rsidR="004F05DB" w:rsidRPr="00CE11B0" w14:paraId="18F50CEA" w14:textId="77777777" w:rsidTr="004F05DB">
        <w:trPr>
          <w:trHeight w:val="524"/>
        </w:trPr>
        <w:tc>
          <w:tcPr>
            <w:tcW w:w="223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41E43882" w14:textId="77777777" w:rsidR="004F05DB" w:rsidRPr="00CE11B0" w:rsidRDefault="004F05DB" w:rsidP="00A6198C">
            <w:pPr>
              <w:spacing w:after="0" w:line="240" w:lineRule="auto"/>
              <w:rPr>
                <w:rFonts w:ascii="Arial" w:eastAsia="Times New Roman" w:hAnsi="Arial" w:cs="Arial"/>
                <w:b/>
                <w:bCs/>
                <w:color w:val="FFFFFF"/>
                <w:kern w:val="0"/>
                <w:sz w:val="20"/>
                <w:szCs w:val="20"/>
                <w:lang w:eastAsia="cs-CZ"/>
                <w14:ligatures w14:val="none"/>
              </w:rPr>
            </w:pPr>
            <w:r w:rsidRPr="00CE11B0">
              <w:rPr>
                <w:rFonts w:ascii="Arial" w:eastAsia="Times New Roman" w:hAnsi="Arial" w:cs="Arial"/>
                <w:b/>
                <w:bCs/>
                <w:color w:val="FFFFFF"/>
                <w:kern w:val="0"/>
                <w:sz w:val="20"/>
                <w:szCs w:val="20"/>
                <w:lang w:eastAsia="cs-CZ"/>
                <w14:ligatures w14:val="none"/>
              </w:rPr>
              <w:t>Výzva</w:t>
            </w:r>
          </w:p>
        </w:tc>
        <w:tc>
          <w:tcPr>
            <w:tcW w:w="1267"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6B58A5B8" w14:textId="77777777" w:rsidR="004F05DB" w:rsidRPr="00CE11B0" w:rsidRDefault="004F05DB" w:rsidP="00A6198C">
            <w:pPr>
              <w:spacing w:after="0" w:line="240" w:lineRule="auto"/>
              <w:rPr>
                <w:rFonts w:ascii="Arial" w:eastAsia="Times New Roman" w:hAnsi="Arial" w:cs="Arial"/>
                <w:b/>
                <w:bCs/>
                <w:color w:val="FFFFFF"/>
                <w:kern w:val="0"/>
                <w:sz w:val="20"/>
                <w:szCs w:val="20"/>
                <w:lang w:eastAsia="cs-CZ"/>
                <w14:ligatures w14:val="none"/>
              </w:rPr>
            </w:pPr>
            <w:r w:rsidRPr="00CE11B0">
              <w:rPr>
                <w:rFonts w:ascii="Arial" w:eastAsia="Times New Roman" w:hAnsi="Arial" w:cs="Arial"/>
                <w:b/>
                <w:bCs/>
                <w:color w:val="FFFFFF"/>
                <w:kern w:val="0"/>
                <w:sz w:val="20"/>
                <w:szCs w:val="20"/>
                <w:lang w:eastAsia="cs-CZ"/>
                <w14:ligatures w14:val="none"/>
              </w:rPr>
              <w:t>Datum uzavření</w:t>
            </w:r>
          </w:p>
        </w:tc>
        <w:tc>
          <w:tcPr>
            <w:tcW w:w="1599"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42DA8386" w14:textId="77777777" w:rsidR="004F05DB" w:rsidRPr="00CE11B0" w:rsidRDefault="004F05DB" w:rsidP="00A6198C">
            <w:pPr>
              <w:spacing w:after="0" w:line="240" w:lineRule="auto"/>
              <w:rPr>
                <w:rFonts w:ascii="Arial" w:eastAsia="Times New Roman" w:hAnsi="Arial" w:cs="Arial"/>
                <w:b/>
                <w:bCs/>
                <w:color w:val="FFFFFF"/>
                <w:kern w:val="0"/>
                <w:sz w:val="20"/>
                <w:szCs w:val="20"/>
                <w:lang w:eastAsia="cs-CZ"/>
                <w14:ligatures w14:val="none"/>
              </w:rPr>
            </w:pPr>
            <w:r w:rsidRPr="00CE11B0">
              <w:rPr>
                <w:rFonts w:ascii="Arial" w:eastAsia="Times New Roman" w:hAnsi="Arial" w:cs="Arial"/>
                <w:b/>
                <w:bCs/>
                <w:color w:val="FFFFFF"/>
                <w:kern w:val="0"/>
                <w:sz w:val="20"/>
                <w:szCs w:val="20"/>
                <w:lang w:eastAsia="cs-CZ"/>
                <w14:ligatures w14:val="none"/>
              </w:rPr>
              <w:t>Celkem podaných projektů</w:t>
            </w:r>
          </w:p>
        </w:tc>
        <w:tc>
          <w:tcPr>
            <w:tcW w:w="193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53F472F0" w14:textId="77777777" w:rsidR="004F05DB" w:rsidRPr="00CE11B0" w:rsidRDefault="004F05DB" w:rsidP="00A6198C">
            <w:pPr>
              <w:spacing w:after="0" w:line="240" w:lineRule="auto"/>
              <w:rPr>
                <w:rFonts w:ascii="Arial" w:eastAsia="Times New Roman" w:hAnsi="Arial" w:cs="Arial"/>
                <w:b/>
                <w:bCs/>
                <w:color w:val="FFFFFF"/>
                <w:kern w:val="0"/>
                <w:sz w:val="20"/>
                <w:szCs w:val="20"/>
                <w:lang w:eastAsia="cs-CZ"/>
                <w14:ligatures w14:val="none"/>
              </w:rPr>
            </w:pPr>
            <w:r w:rsidRPr="00CE11B0">
              <w:rPr>
                <w:rFonts w:ascii="Arial" w:eastAsia="Times New Roman" w:hAnsi="Arial" w:cs="Arial"/>
                <w:b/>
                <w:bCs/>
                <w:color w:val="FFFFFF"/>
                <w:kern w:val="0"/>
                <w:sz w:val="20"/>
                <w:szCs w:val="20"/>
                <w:lang w:eastAsia="cs-CZ"/>
                <w14:ligatures w14:val="none"/>
              </w:rPr>
              <w:t>Podpořené projekty</w:t>
            </w:r>
          </w:p>
        </w:tc>
        <w:tc>
          <w:tcPr>
            <w:tcW w:w="1387"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63EA310F" w14:textId="16F66C5F" w:rsidR="004F05DB" w:rsidRPr="00CE11B0" w:rsidRDefault="00FE33F3" w:rsidP="00A6198C">
            <w:pPr>
              <w:spacing w:after="0" w:line="240" w:lineRule="auto"/>
              <w:rPr>
                <w:rFonts w:ascii="Arial" w:eastAsia="Times New Roman" w:hAnsi="Arial" w:cs="Arial"/>
                <w:b/>
                <w:bCs/>
                <w:color w:val="FFFFFF"/>
                <w:kern w:val="0"/>
                <w:sz w:val="20"/>
                <w:szCs w:val="20"/>
                <w:lang w:eastAsia="cs-CZ"/>
                <w14:ligatures w14:val="none"/>
              </w:rPr>
            </w:pPr>
            <w:r>
              <w:rPr>
                <w:rFonts w:ascii="Arial" w:eastAsia="Times New Roman" w:hAnsi="Arial" w:cs="Arial"/>
                <w:b/>
                <w:bCs/>
                <w:color w:val="FFFFFF"/>
                <w:kern w:val="0"/>
                <w:sz w:val="20"/>
                <w:szCs w:val="20"/>
                <w:lang w:eastAsia="cs-CZ"/>
                <w14:ligatures w14:val="none"/>
              </w:rPr>
              <w:t>Č</w:t>
            </w:r>
            <w:r w:rsidR="004F05DB" w:rsidRPr="00CE11B0">
              <w:rPr>
                <w:rFonts w:ascii="Arial" w:eastAsia="Times New Roman" w:hAnsi="Arial" w:cs="Arial"/>
                <w:b/>
                <w:bCs/>
                <w:color w:val="FFFFFF"/>
                <w:kern w:val="0"/>
                <w:sz w:val="20"/>
                <w:szCs w:val="20"/>
                <w:lang w:eastAsia="cs-CZ"/>
                <w14:ligatures w14:val="none"/>
              </w:rPr>
              <w:t>ástka</w:t>
            </w:r>
            <w:r>
              <w:rPr>
                <w:rFonts w:ascii="Arial" w:eastAsia="Times New Roman" w:hAnsi="Arial" w:cs="Arial"/>
                <w:b/>
                <w:bCs/>
                <w:color w:val="FFFFFF"/>
                <w:kern w:val="0"/>
                <w:sz w:val="20"/>
                <w:szCs w:val="20"/>
                <w:lang w:eastAsia="cs-CZ"/>
                <w14:ligatures w14:val="none"/>
              </w:rPr>
              <w:t xml:space="preserve"> dotace</w:t>
            </w:r>
          </w:p>
        </w:tc>
        <w:tc>
          <w:tcPr>
            <w:tcW w:w="1599" w:type="dxa"/>
            <w:tcBorders>
              <w:top w:val="single" w:sz="4" w:space="0" w:color="auto"/>
              <w:left w:val="single" w:sz="4" w:space="0" w:color="auto"/>
              <w:bottom w:val="single" w:sz="4" w:space="0" w:color="auto"/>
              <w:right w:val="single" w:sz="4" w:space="0" w:color="auto"/>
            </w:tcBorders>
            <w:shd w:val="clear" w:color="4472C4" w:fill="4472C4"/>
            <w:vAlign w:val="bottom"/>
            <w:hideMark/>
          </w:tcPr>
          <w:p w14:paraId="2A68FE6B" w14:textId="77777777" w:rsidR="004F05DB" w:rsidRPr="00CE11B0" w:rsidRDefault="004F05DB" w:rsidP="00A6198C">
            <w:pPr>
              <w:spacing w:after="0" w:line="240" w:lineRule="auto"/>
              <w:rPr>
                <w:rFonts w:ascii="Arial" w:eastAsia="Times New Roman" w:hAnsi="Arial" w:cs="Arial"/>
                <w:b/>
                <w:bCs/>
                <w:color w:val="FFFFFF"/>
                <w:kern w:val="0"/>
                <w:sz w:val="20"/>
                <w:szCs w:val="20"/>
                <w:lang w:eastAsia="cs-CZ"/>
                <w14:ligatures w14:val="none"/>
              </w:rPr>
            </w:pPr>
            <w:r w:rsidRPr="00CE11B0">
              <w:rPr>
                <w:rFonts w:ascii="Arial" w:eastAsia="Times New Roman" w:hAnsi="Arial" w:cs="Arial"/>
                <w:b/>
                <w:bCs/>
                <w:color w:val="FFFFFF"/>
                <w:kern w:val="0"/>
                <w:sz w:val="20"/>
                <w:szCs w:val="20"/>
                <w:lang w:eastAsia="cs-CZ"/>
                <w14:ligatures w14:val="none"/>
              </w:rPr>
              <w:t>Celková požadovaná částka</w:t>
            </w:r>
          </w:p>
        </w:tc>
      </w:tr>
      <w:tr w:rsidR="004F05DB" w:rsidRPr="00CE11B0" w14:paraId="46E51404" w14:textId="77777777" w:rsidTr="004F05DB">
        <w:trPr>
          <w:trHeight w:val="262"/>
        </w:trPr>
        <w:tc>
          <w:tcPr>
            <w:tcW w:w="223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BFD2FC6"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 Bytové projekty</w:t>
            </w:r>
          </w:p>
        </w:tc>
        <w:tc>
          <w:tcPr>
            <w:tcW w:w="126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1E6C57"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30.04.2024</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2EFBEE"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157</w:t>
            </w:r>
          </w:p>
        </w:tc>
        <w:tc>
          <w:tcPr>
            <w:tcW w:w="193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83A764"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72</w:t>
            </w:r>
          </w:p>
        </w:tc>
        <w:tc>
          <w:tcPr>
            <w:tcW w:w="1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B95734"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150 mil. Kč</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5368B8"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528 mil. Kč</w:t>
            </w:r>
          </w:p>
        </w:tc>
      </w:tr>
      <w:tr w:rsidR="004F05DB" w:rsidRPr="00CE11B0" w14:paraId="6DCCFE49" w14:textId="77777777" w:rsidTr="004F05DB">
        <w:trPr>
          <w:trHeight w:val="262"/>
        </w:trPr>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DA7A1"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2. Velké projekty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C4F3"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31.05.2024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629D"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74</w:t>
            </w:r>
          </w:p>
        </w:tc>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EDB0"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25</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64BCF"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500 mil. Kč</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719FF"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1,3 mld. Kč</w:t>
            </w:r>
          </w:p>
        </w:tc>
      </w:tr>
      <w:tr w:rsidR="004F05DB" w:rsidRPr="00CE11B0" w14:paraId="6755B9E7" w14:textId="77777777" w:rsidTr="004F05DB">
        <w:trPr>
          <w:trHeight w:val="262"/>
        </w:trPr>
        <w:tc>
          <w:tcPr>
            <w:tcW w:w="223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C442EA1"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 Malé projekty</w:t>
            </w:r>
          </w:p>
        </w:tc>
        <w:tc>
          <w:tcPr>
            <w:tcW w:w="126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EBDB6ED"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15.03.2024</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1F4CE2"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392</w:t>
            </w:r>
          </w:p>
        </w:tc>
        <w:tc>
          <w:tcPr>
            <w:tcW w:w="193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ED54914"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140</w:t>
            </w:r>
          </w:p>
        </w:tc>
        <w:tc>
          <w:tcPr>
            <w:tcW w:w="1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6148FA"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300 mil. Kč</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A3967F3"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831 mil. Kč</w:t>
            </w:r>
          </w:p>
        </w:tc>
      </w:tr>
      <w:tr w:rsidR="004F05DB" w:rsidRPr="00CE11B0" w14:paraId="5AD8D189" w14:textId="77777777" w:rsidTr="004F05DB">
        <w:trPr>
          <w:trHeight w:val="524"/>
        </w:trPr>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9D0F2"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4. Malé projekty předložené do výzev</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C1AE"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28.06.2024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3462"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93</w:t>
            </w:r>
          </w:p>
        </w:tc>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7D53"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40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BE4E"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20,1 mil. Kč</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B9890"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86,2 mil. Kč</w:t>
            </w:r>
          </w:p>
        </w:tc>
      </w:tr>
      <w:tr w:rsidR="004F05DB" w:rsidRPr="00CE11B0" w14:paraId="361C5243" w14:textId="77777777" w:rsidTr="004F05DB">
        <w:trPr>
          <w:trHeight w:val="786"/>
        </w:trPr>
        <w:tc>
          <w:tcPr>
            <w:tcW w:w="223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AEB4D1C"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5. Podpora dostupného nájemního bydlení</w:t>
            </w:r>
          </w:p>
        </w:tc>
        <w:tc>
          <w:tcPr>
            <w:tcW w:w="126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FA0AEE"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30.10.2024</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822B8B"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183</w:t>
            </w:r>
          </w:p>
        </w:tc>
        <w:tc>
          <w:tcPr>
            <w:tcW w:w="193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ACD6097" w14:textId="77777777" w:rsidR="004F05DB" w:rsidRPr="00CE11B0" w:rsidRDefault="004F05DB" w:rsidP="00A6198C">
            <w:pPr>
              <w:spacing w:after="0" w:line="240" w:lineRule="auto"/>
              <w:jc w:val="right"/>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 xml:space="preserve">115 </w:t>
            </w:r>
          </w:p>
        </w:tc>
        <w:tc>
          <w:tcPr>
            <w:tcW w:w="138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FF6CAE"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400 mil. Kč</w:t>
            </w:r>
          </w:p>
        </w:tc>
        <w:tc>
          <w:tcPr>
            <w:tcW w:w="15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F9115F" w14:textId="77777777" w:rsidR="004F05DB" w:rsidRPr="00CE11B0" w:rsidRDefault="004F05DB" w:rsidP="00A6198C">
            <w:pPr>
              <w:spacing w:after="0" w:line="240" w:lineRule="auto"/>
              <w:rPr>
                <w:rFonts w:ascii="Arial" w:eastAsia="Times New Roman" w:hAnsi="Arial" w:cs="Arial"/>
                <w:color w:val="000000"/>
                <w:kern w:val="0"/>
                <w:sz w:val="20"/>
                <w:szCs w:val="20"/>
                <w:lang w:eastAsia="cs-CZ"/>
                <w14:ligatures w14:val="none"/>
              </w:rPr>
            </w:pPr>
            <w:r w:rsidRPr="00CE11B0">
              <w:rPr>
                <w:rFonts w:ascii="Arial" w:eastAsia="Times New Roman" w:hAnsi="Arial" w:cs="Arial"/>
                <w:color w:val="000000"/>
                <w:kern w:val="0"/>
                <w:sz w:val="20"/>
                <w:szCs w:val="20"/>
                <w:lang w:eastAsia="cs-CZ"/>
                <w14:ligatures w14:val="none"/>
              </w:rPr>
              <w:t>616,2 mil. Kč</w:t>
            </w:r>
          </w:p>
        </w:tc>
      </w:tr>
    </w:tbl>
    <w:p w14:paraId="71B9F691" w14:textId="79696DDE" w:rsidR="00362740" w:rsidRPr="00CD2D54" w:rsidRDefault="00362740" w:rsidP="004F05DB">
      <w:pPr>
        <w:jc w:val="both"/>
        <w:rPr>
          <w:rFonts w:ascii="Calibri" w:hAnsi="Calibri" w:cs="Calibri"/>
        </w:rPr>
      </w:pPr>
    </w:p>
    <w:sectPr w:rsidR="00362740" w:rsidRPr="00CD2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1D21"/>
    <w:multiLevelType w:val="hybridMultilevel"/>
    <w:tmpl w:val="F6C21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7C7AD9"/>
    <w:multiLevelType w:val="hybridMultilevel"/>
    <w:tmpl w:val="3ADEB38E"/>
    <w:lvl w:ilvl="0" w:tplc="E418EB88">
      <w:start w:val="1"/>
      <w:numFmt w:val="bullet"/>
      <w:lvlText w:val=""/>
      <w:lvlJc w:val="left"/>
      <w:pPr>
        <w:tabs>
          <w:tab w:val="num" w:pos="720"/>
        </w:tabs>
        <w:ind w:left="720" w:hanging="360"/>
      </w:pPr>
      <w:rPr>
        <w:rFonts w:ascii="Wingdings" w:hAnsi="Wingdings" w:hint="default"/>
      </w:rPr>
    </w:lvl>
    <w:lvl w:ilvl="1" w:tplc="5632352C">
      <w:numFmt w:val="bullet"/>
      <w:lvlText w:val=""/>
      <w:lvlJc w:val="left"/>
      <w:pPr>
        <w:tabs>
          <w:tab w:val="num" w:pos="1440"/>
        </w:tabs>
        <w:ind w:left="1440" w:hanging="360"/>
      </w:pPr>
      <w:rPr>
        <w:rFonts w:ascii="Wingdings" w:hAnsi="Wingdings" w:hint="default"/>
      </w:rPr>
    </w:lvl>
    <w:lvl w:ilvl="2" w:tplc="51A0E57E" w:tentative="1">
      <w:start w:val="1"/>
      <w:numFmt w:val="bullet"/>
      <w:lvlText w:val=""/>
      <w:lvlJc w:val="left"/>
      <w:pPr>
        <w:tabs>
          <w:tab w:val="num" w:pos="2160"/>
        </w:tabs>
        <w:ind w:left="2160" w:hanging="360"/>
      </w:pPr>
      <w:rPr>
        <w:rFonts w:ascii="Wingdings" w:hAnsi="Wingdings" w:hint="default"/>
      </w:rPr>
    </w:lvl>
    <w:lvl w:ilvl="3" w:tplc="C08C6146" w:tentative="1">
      <w:start w:val="1"/>
      <w:numFmt w:val="bullet"/>
      <w:lvlText w:val=""/>
      <w:lvlJc w:val="left"/>
      <w:pPr>
        <w:tabs>
          <w:tab w:val="num" w:pos="2880"/>
        </w:tabs>
        <w:ind w:left="2880" w:hanging="360"/>
      </w:pPr>
      <w:rPr>
        <w:rFonts w:ascii="Wingdings" w:hAnsi="Wingdings" w:hint="default"/>
      </w:rPr>
    </w:lvl>
    <w:lvl w:ilvl="4" w:tplc="36C6AFE6" w:tentative="1">
      <w:start w:val="1"/>
      <w:numFmt w:val="bullet"/>
      <w:lvlText w:val=""/>
      <w:lvlJc w:val="left"/>
      <w:pPr>
        <w:tabs>
          <w:tab w:val="num" w:pos="3600"/>
        </w:tabs>
        <w:ind w:left="3600" w:hanging="360"/>
      </w:pPr>
      <w:rPr>
        <w:rFonts w:ascii="Wingdings" w:hAnsi="Wingdings" w:hint="default"/>
      </w:rPr>
    </w:lvl>
    <w:lvl w:ilvl="5" w:tplc="9F8EB7F4" w:tentative="1">
      <w:start w:val="1"/>
      <w:numFmt w:val="bullet"/>
      <w:lvlText w:val=""/>
      <w:lvlJc w:val="left"/>
      <w:pPr>
        <w:tabs>
          <w:tab w:val="num" w:pos="4320"/>
        </w:tabs>
        <w:ind w:left="4320" w:hanging="360"/>
      </w:pPr>
      <w:rPr>
        <w:rFonts w:ascii="Wingdings" w:hAnsi="Wingdings" w:hint="default"/>
      </w:rPr>
    </w:lvl>
    <w:lvl w:ilvl="6" w:tplc="992EDDF0" w:tentative="1">
      <w:start w:val="1"/>
      <w:numFmt w:val="bullet"/>
      <w:lvlText w:val=""/>
      <w:lvlJc w:val="left"/>
      <w:pPr>
        <w:tabs>
          <w:tab w:val="num" w:pos="5040"/>
        </w:tabs>
        <w:ind w:left="5040" w:hanging="360"/>
      </w:pPr>
      <w:rPr>
        <w:rFonts w:ascii="Wingdings" w:hAnsi="Wingdings" w:hint="default"/>
      </w:rPr>
    </w:lvl>
    <w:lvl w:ilvl="7" w:tplc="05063074" w:tentative="1">
      <w:start w:val="1"/>
      <w:numFmt w:val="bullet"/>
      <w:lvlText w:val=""/>
      <w:lvlJc w:val="left"/>
      <w:pPr>
        <w:tabs>
          <w:tab w:val="num" w:pos="5760"/>
        </w:tabs>
        <w:ind w:left="5760" w:hanging="360"/>
      </w:pPr>
      <w:rPr>
        <w:rFonts w:ascii="Wingdings" w:hAnsi="Wingdings" w:hint="default"/>
      </w:rPr>
    </w:lvl>
    <w:lvl w:ilvl="8" w:tplc="31D8B3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44279"/>
    <w:multiLevelType w:val="hybridMultilevel"/>
    <w:tmpl w:val="B1C0B5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A2259E"/>
    <w:multiLevelType w:val="multilevel"/>
    <w:tmpl w:val="AA7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C2310"/>
    <w:multiLevelType w:val="multilevel"/>
    <w:tmpl w:val="A8B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D461C"/>
    <w:multiLevelType w:val="multilevel"/>
    <w:tmpl w:val="DB3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B7EFB"/>
    <w:multiLevelType w:val="hybridMultilevel"/>
    <w:tmpl w:val="B9547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ED0754"/>
    <w:multiLevelType w:val="hybridMultilevel"/>
    <w:tmpl w:val="BC52099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A919E6"/>
    <w:multiLevelType w:val="hybridMultilevel"/>
    <w:tmpl w:val="1562BAC6"/>
    <w:lvl w:ilvl="0" w:tplc="370069BE">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DD4445"/>
    <w:multiLevelType w:val="multilevel"/>
    <w:tmpl w:val="9E5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577D5"/>
    <w:multiLevelType w:val="hybridMultilevel"/>
    <w:tmpl w:val="F8CE909A"/>
    <w:lvl w:ilvl="0" w:tplc="CB88C7DC">
      <w:start w:val="1"/>
      <w:numFmt w:val="bullet"/>
      <w:lvlText w:val=""/>
      <w:lvlJc w:val="left"/>
      <w:pPr>
        <w:tabs>
          <w:tab w:val="num" w:pos="720"/>
        </w:tabs>
        <w:ind w:left="720" w:hanging="360"/>
      </w:pPr>
      <w:rPr>
        <w:rFonts w:ascii="Wingdings" w:hAnsi="Wingdings" w:hint="default"/>
      </w:rPr>
    </w:lvl>
    <w:lvl w:ilvl="1" w:tplc="F46C55BC" w:tentative="1">
      <w:start w:val="1"/>
      <w:numFmt w:val="bullet"/>
      <w:lvlText w:val=""/>
      <w:lvlJc w:val="left"/>
      <w:pPr>
        <w:tabs>
          <w:tab w:val="num" w:pos="1440"/>
        </w:tabs>
        <w:ind w:left="1440" w:hanging="360"/>
      </w:pPr>
      <w:rPr>
        <w:rFonts w:ascii="Wingdings" w:hAnsi="Wingdings" w:hint="default"/>
      </w:rPr>
    </w:lvl>
    <w:lvl w:ilvl="2" w:tplc="6D745A2C" w:tentative="1">
      <w:start w:val="1"/>
      <w:numFmt w:val="bullet"/>
      <w:lvlText w:val=""/>
      <w:lvlJc w:val="left"/>
      <w:pPr>
        <w:tabs>
          <w:tab w:val="num" w:pos="2160"/>
        </w:tabs>
        <w:ind w:left="2160" w:hanging="360"/>
      </w:pPr>
      <w:rPr>
        <w:rFonts w:ascii="Wingdings" w:hAnsi="Wingdings" w:hint="default"/>
      </w:rPr>
    </w:lvl>
    <w:lvl w:ilvl="3" w:tplc="D9040448" w:tentative="1">
      <w:start w:val="1"/>
      <w:numFmt w:val="bullet"/>
      <w:lvlText w:val=""/>
      <w:lvlJc w:val="left"/>
      <w:pPr>
        <w:tabs>
          <w:tab w:val="num" w:pos="2880"/>
        </w:tabs>
        <w:ind w:left="2880" w:hanging="360"/>
      </w:pPr>
      <w:rPr>
        <w:rFonts w:ascii="Wingdings" w:hAnsi="Wingdings" w:hint="default"/>
      </w:rPr>
    </w:lvl>
    <w:lvl w:ilvl="4" w:tplc="AA5073D6" w:tentative="1">
      <w:start w:val="1"/>
      <w:numFmt w:val="bullet"/>
      <w:lvlText w:val=""/>
      <w:lvlJc w:val="left"/>
      <w:pPr>
        <w:tabs>
          <w:tab w:val="num" w:pos="3600"/>
        </w:tabs>
        <w:ind w:left="3600" w:hanging="360"/>
      </w:pPr>
      <w:rPr>
        <w:rFonts w:ascii="Wingdings" w:hAnsi="Wingdings" w:hint="default"/>
      </w:rPr>
    </w:lvl>
    <w:lvl w:ilvl="5" w:tplc="3D00ABEA" w:tentative="1">
      <w:start w:val="1"/>
      <w:numFmt w:val="bullet"/>
      <w:lvlText w:val=""/>
      <w:lvlJc w:val="left"/>
      <w:pPr>
        <w:tabs>
          <w:tab w:val="num" w:pos="4320"/>
        </w:tabs>
        <w:ind w:left="4320" w:hanging="360"/>
      </w:pPr>
      <w:rPr>
        <w:rFonts w:ascii="Wingdings" w:hAnsi="Wingdings" w:hint="default"/>
      </w:rPr>
    </w:lvl>
    <w:lvl w:ilvl="6" w:tplc="B8ECCCCC" w:tentative="1">
      <w:start w:val="1"/>
      <w:numFmt w:val="bullet"/>
      <w:lvlText w:val=""/>
      <w:lvlJc w:val="left"/>
      <w:pPr>
        <w:tabs>
          <w:tab w:val="num" w:pos="5040"/>
        </w:tabs>
        <w:ind w:left="5040" w:hanging="360"/>
      </w:pPr>
      <w:rPr>
        <w:rFonts w:ascii="Wingdings" w:hAnsi="Wingdings" w:hint="default"/>
      </w:rPr>
    </w:lvl>
    <w:lvl w:ilvl="7" w:tplc="3168D620" w:tentative="1">
      <w:start w:val="1"/>
      <w:numFmt w:val="bullet"/>
      <w:lvlText w:val=""/>
      <w:lvlJc w:val="left"/>
      <w:pPr>
        <w:tabs>
          <w:tab w:val="num" w:pos="5760"/>
        </w:tabs>
        <w:ind w:left="5760" w:hanging="360"/>
      </w:pPr>
      <w:rPr>
        <w:rFonts w:ascii="Wingdings" w:hAnsi="Wingdings" w:hint="default"/>
      </w:rPr>
    </w:lvl>
    <w:lvl w:ilvl="8" w:tplc="36AA8F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5729B6"/>
    <w:multiLevelType w:val="hybridMultilevel"/>
    <w:tmpl w:val="AB846960"/>
    <w:lvl w:ilvl="0" w:tplc="370069BE">
      <w:start w:val="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7B3603"/>
    <w:multiLevelType w:val="hybridMultilevel"/>
    <w:tmpl w:val="7F00B8C8"/>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504750"/>
    <w:multiLevelType w:val="hybridMultilevel"/>
    <w:tmpl w:val="09F43994"/>
    <w:lvl w:ilvl="0" w:tplc="4350D660">
      <w:start w:val="1"/>
      <w:numFmt w:val="bullet"/>
      <w:lvlText w:val=""/>
      <w:lvlJc w:val="left"/>
      <w:pPr>
        <w:tabs>
          <w:tab w:val="num" w:pos="720"/>
        </w:tabs>
        <w:ind w:left="720" w:hanging="360"/>
      </w:pPr>
      <w:rPr>
        <w:rFonts w:ascii="Wingdings" w:hAnsi="Wingdings" w:hint="default"/>
      </w:rPr>
    </w:lvl>
    <w:lvl w:ilvl="1" w:tplc="9F2616B0">
      <w:numFmt w:val="bullet"/>
      <w:lvlText w:val=""/>
      <w:lvlJc w:val="left"/>
      <w:pPr>
        <w:tabs>
          <w:tab w:val="num" w:pos="1440"/>
        </w:tabs>
        <w:ind w:left="1440" w:hanging="360"/>
      </w:pPr>
      <w:rPr>
        <w:rFonts w:ascii="Wingdings" w:hAnsi="Wingdings" w:hint="default"/>
      </w:rPr>
    </w:lvl>
    <w:lvl w:ilvl="2" w:tplc="BFB28316" w:tentative="1">
      <w:start w:val="1"/>
      <w:numFmt w:val="bullet"/>
      <w:lvlText w:val=""/>
      <w:lvlJc w:val="left"/>
      <w:pPr>
        <w:tabs>
          <w:tab w:val="num" w:pos="2160"/>
        </w:tabs>
        <w:ind w:left="2160" w:hanging="360"/>
      </w:pPr>
      <w:rPr>
        <w:rFonts w:ascii="Wingdings" w:hAnsi="Wingdings" w:hint="default"/>
      </w:rPr>
    </w:lvl>
    <w:lvl w:ilvl="3" w:tplc="658AF968" w:tentative="1">
      <w:start w:val="1"/>
      <w:numFmt w:val="bullet"/>
      <w:lvlText w:val=""/>
      <w:lvlJc w:val="left"/>
      <w:pPr>
        <w:tabs>
          <w:tab w:val="num" w:pos="2880"/>
        </w:tabs>
        <w:ind w:left="2880" w:hanging="360"/>
      </w:pPr>
      <w:rPr>
        <w:rFonts w:ascii="Wingdings" w:hAnsi="Wingdings" w:hint="default"/>
      </w:rPr>
    </w:lvl>
    <w:lvl w:ilvl="4" w:tplc="D05A9CD0" w:tentative="1">
      <w:start w:val="1"/>
      <w:numFmt w:val="bullet"/>
      <w:lvlText w:val=""/>
      <w:lvlJc w:val="left"/>
      <w:pPr>
        <w:tabs>
          <w:tab w:val="num" w:pos="3600"/>
        </w:tabs>
        <w:ind w:left="3600" w:hanging="360"/>
      </w:pPr>
      <w:rPr>
        <w:rFonts w:ascii="Wingdings" w:hAnsi="Wingdings" w:hint="default"/>
      </w:rPr>
    </w:lvl>
    <w:lvl w:ilvl="5" w:tplc="83747F6A" w:tentative="1">
      <w:start w:val="1"/>
      <w:numFmt w:val="bullet"/>
      <w:lvlText w:val=""/>
      <w:lvlJc w:val="left"/>
      <w:pPr>
        <w:tabs>
          <w:tab w:val="num" w:pos="4320"/>
        </w:tabs>
        <w:ind w:left="4320" w:hanging="360"/>
      </w:pPr>
      <w:rPr>
        <w:rFonts w:ascii="Wingdings" w:hAnsi="Wingdings" w:hint="default"/>
      </w:rPr>
    </w:lvl>
    <w:lvl w:ilvl="6" w:tplc="69DCABE4" w:tentative="1">
      <w:start w:val="1"/>
      <w:numFmt w:val="bullet"/>
      <w:lvlText w:val=""/>
      <w:lvlJc w:val="left"/>
      <w:pPr>
        <w:tabs>
          <w:tab w:val="num" w:pos="5040"/>
        </w:tabs>
        <w:ind w:left="5040" w:hanging="360"/>
      </w:pPr>
      <w:rPr>
        <w:rFonts w:ascii="Wingdings" w:hAnsi="Wingdings" w:hint="default"/>
      </w:rPr>
    </w:lvl>
    <w:lvl w:ilvl="7" w:tplc="D40A084A" w:tentative="1">
      <w:start w:val="1"/>
      <w:numFmt w:val="bullet"/>
      <w:lvlText w:val=""/>
      <w:lvlJc w:val="left"/>
      <w:pPr>
        <w:tabs>
          <w:tab w:val="num" w:pos="5760"/>
        </w:tabs>
        <w:ind w:left="5760" w:hanging="360"/>
      </w:pPr>
      <w:rPr>
        <w:rFonts w:ascii="Wingdings" w:hAnsi="Wingdings" w:hint="default"/>
      </w:rPr>
    </w:lvl>
    <w:lvl w:ilvl="8" w:tplc="7A6AD7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8044C"/>
    <w:multiLevelType w:val="hybridMultilevel"/>
    <w:tmpl w:val="B62A04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CF1640"/>
    <w:multiLevelType w:val="hybridMultilevel"/>
    <w:tmpl w:val="91ACDE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8B6E46"/>
    <w:multiLevelType w:val="hybridMultilevel"/>
    <w:tmpl w:val="811EBD0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57A0C07"/>
    <w:multiLevelType w:val="hybridMultilevel"/>
    <w:tmpl w:val="3A121A68"/>
    <w:lvl w:ilvl="0" w:tplc="370069BE">
      <w:start w:val="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D95BBD"/>
    <w:multiLevelType w:val="hybridMultilevel"/>
    <w:tmpl w:val="B6D47ACC"/>
    <w:lvl w:ilvl="0" w:tplc="ADA8B4BA">
      <w:numFmt w:val="bullet"/>
      <w:lvlText w:val="-"/>
      <w:lvlJc w:val="left"/>
      <w:pPr>
        <w:ind w:left="1074" w:hanging="360"/>
      </w:pPr>
      <w:rPr>
        <w:rFonts w:ascii="Calibri" w:eastAsia="Times New Roman" w:hAnsi="Calibri" w:cs="Calibri"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9" w15:restartNumberingAfterBreak="0">
    <w:nsid w:val="78E405B0"/>
    <w:multiLevelType w:val="hybridMultilevel"/>
    <w:tmpl w:val="159EBFA8"/>
    <w:lvl w:ilvl="0" w:tplc="17BA8C4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99553741">
    <w:abstractNumId w:val="8"/>
  </w:num>
  <w:num w:numId="2" w16cid:durableId="1964193632">
    <w:abstractNumId w:val="8"/>
  </w:num>
  <w:num w:numId="3" w16cid:durableId="1742169691">
    <w:abstractNumId w:val="17"/>
  </w:num>
  <w:num w:numId="4" w16cid:durableId="270091340">
    <w:abstractNumId w:val="11"/>
  </w:num>
  <w:num w:numId="5" w16cid:durableId="1689525597">
    <w:abstractNumId w:val="2"/>
  </w:num>
  <w:num w:numId="6" w16cid:durableId="1915387127">
    <w:abstractNumId w:val="16"/>
  </w:num>
  <w:num w:numId="7" w16cid:durableId="1895964001">
    <w:abstractNumId w:val="5"/>
  </w:num>
  <w:num w:numId="8" w16cid:durableId="1003633278">
    <w:abstractNumId w:val="4"/>
  </w:num>
  <w:num w:numId="9" w16cid:durableId="1139298282">
    <w:abstractNumId w:val="9"/>
  </w:num>
  <w:num w:numId="10" w16cid:durableId="2020499709">
    <w:abstractNumId w:val="3"/>
  </w:num>
  <w:num w:numId="11" w16cid:durableId="568543442">
    <w:abstractNumId w:val="19"/>
  </w:num>
  <w:num w:numId="12" w16cid:durableId="967012127">
    <w:abstractNumId w:val="18"/>
  </w:num>
  <w:num w:numId="13" w16cid:durableId="995914358">
    <w:abstractNumId w:val="14"/>
  </w:num>
  <w:num w:numId="14" w16cid:durableId="586961918">
    <w:abstractNumId w:val="15"/>
  </w:num>
  <w:num w:numId="15" w16cid:durableId="1105880122">
    <w:abstractNumId w:val="7"/>
  </w:num>
  <w:num w:numId="16" w16cid:durableId="1280645035">
    <w:abstractNumId w:val="12"/>
  </w:num>
  <w:num w:numId="17" w16cid:durableId="716777231">
    <w:abstractNumId w:val="1"/>
  </w:num>
  <w:num w:numId="18" w16cid:durableId="1215045445">
    <w:abstractNumId w:val="6"/>
  </w:num>
  <w:num w:numId="19" w16cid:durableId="1370491725">
    <w:abstractNumId w:val="13"/>
  </w:num>
  <w:num w:numId="20" w16cid:durableId="1295714251">
    <w:abstractNumId w:val="0"/>
  </w:num>
  <w:num w:numId="21" w16cid:durableId="623312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C2"/>
    <w:rsid w:val="00004A10"/>
    <w:rsid w:val="00015E08"/>
    <w:rsid w:val="000A515A"/>
    <w:rsid w:val="001234BE"/>
    <w:rsid w:val="00207000"/>
    <w:rsid w:val="002703E1"/>
    <w:rsid w:val="002B6BCB"/>
    <w:rsid w:val="002C0002"/>
    <w:rsid w:val="002E34C9"/>
    <w:rsid w:val="00331B78"/>
    <w:rsid w:val="00362740"/>
    <w:rsid w:val="003718A7"/>
    <w:rsid w:val="00380817"/>
    <w:rsid w:val="003861C1"/>
    <w:rsid w:val="00404D59"/>
    <w:rsid w:val="00424387"/>
    <w:rsid w:val="004F05DB"/>
    <w:rsid w:val="00560836"/>
    <w:rsid w:val="005E29B2"/>
    <w:rsid w:val="006240CE"/>
    <w:rsid w:val="00640A55"/>
    <w:rsid w:val="00664725"/>
    <w:rsid w:val="00704BFA"/>
    <w:rsid w:val="007575C2"/>
    <w:rsid w:val="0076045D"/>
    <w:rsid w:val="007B1F63"/>
    <w:rsid w:val="007D49E5"/>
    <w:rsid w:val="00800EE0"/>
    <w:rsid w:val="008320D4"/>
    <w:rsid w:val="0087262E"/>
    <w:rsid w:val="008944AF"/>
    <w:rsid w:val="008E156C"/>
    <w:rsid w:val="00985EA2"/>
    <w:rsid w:val="00A55FCA"/>
    <w:rsid w:val="00A87893"/>
    <w:rsid w:val="00AA45AB"/>
    <w:rsid w:val="00AD3E0E"/>
    <w:rsid w:val="00AD55D0"/>
    <w:rsid w:val="00B2124C"/>
    <w:rsid w:val="00B85967"/>
    <w:rsid w:val="00BD4174"/>
    <w:rsid w:val="00C07210"/>
    <w:rsid w:val="00C12D96"/>
    <w:rsid w:val="00C25D9E"/>
    <w:rsid w:val="00C64078"/>
    <w:rsid w:val="00C979F8"/>
    <w:rsid w:val="00CB1408"/>
    <w:rsid w:val="00CD2D54"/>
    <w:rsid w:val="00CE6AC1"/>
    <w:rsid w:val="00CE785B"/>
    <w:rsid w:val="00E00760"/>
    <w:rsid w:val="00E0210F"/>
    <w:rsid w:val="00E20198"/>
    <w:rsid w:val="00E348FE"/>
    <w:rsid w:val="00E36BEF"/>
    <w:rsid w:val="00E64ABD"/>
    <w:rsid w:val="00EB35E4"/>
    <w:rsid w:val="00F37160"/>
    <w:rsid w:val="00F654C8"/>
    <w:rsid w:val="00F739A7"/>
    <w:rsid w:val="00FE2580"/>
    <w:rsid w:val="00FE3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FF99"/>
  <w15:chartTrackingRefBased/>
  <w15:docId w15:val="{FC2D8798-F19E-45CC-A620-47729CE6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4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75C2"/>
    <w:pPr>
      <w:spacing w:after="0" w:line="240" w:lineRule="auto"/>
      <w:ind w:left="720"/>
    </w:pPr>
    <w:rPr>
      <w:rFonts w:ascii="Calibri" w:hAnsi="Calibri" w:cs="Calibri"/>
      <w:kern w:val="0"/>
    </w:rPr>
  </w:style>
  <w:style w:type="character" w:styleId="Odkaznakoment">
    <w:name w:val="annotation reference"/>
    <w:basedOn w:val="Standardnpsmoodstavce"/>
    <w:uiPriority w:val="99"/>
    <w:semiHidden/>
    <w:unhideWhenUsed/>
    <w:rsid w:val="0087262E"/>
    <w:rPr>
      <w:sz w:val="16"/>
      <w:szCs w:val="16"/>
    </w:rPr>
  </w:style>
  <w:style w:type="paragraph" w:styleId="Textkomente">
    <w:name w:val="annotation text"/>
    <w:basedOn w:val="Normln"/>
    <w:link w:val="TextkomenteChar"/>
    <w:uiPriority w:val="99"/>
    <w:unhideWhenUsed/>
    <w:rsid w:val="0087262E"/>
    <w:pPr>
      <w:spacing w:line="240" w:lineRule="auto"/>
    </w:pPr>
    <w:rPr>
      <w:color w:val="000000" w:themeColor="text1"/>
      <w:kern w:val="0"/>
      <w:sz w:val="20"/>
      <w:szCs w:val="20"/>
      <w14:ligatures w14:val="none"/>
    </w:rPr>
  </w:style>
  <w:style w:type="character" w:customStyle="1" w:styleId="TextkomenteChar">
    <w:name w:val="Text komentáře Char"/>
    <w:basedOn w:val="Standardnpsmoodstavce"/>
    <w:link w:val="Textkomente"/>
    <w:uiPriority w:val="99"/>
    <w:rsid w:val="0087262E"/>
    <w:rPr>
      <w:color w:val="000000" w:themeColor="text1"/>
      <w:kern w:val="0"/>
      <w:sz w:val="20"/>
      <w:szCs w:val="20"/>
      <w14:ligatures w14:val="none"/>
    </w:rPr>
  </w:style>
  <w:style w:type="paragraph" w:customStyle="1" w:styleId="Default">
    <w:name w:val="Default"/>
    <w:rsid w:val="003861C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980">
      <w:bodyDiv w:val="1"/>
      <w:marLeft w:val="0"/>
      <w:marRight w:val="0"/>
      <w:marTop w:val="0"/>
      <w:marBottom w:val="0"/>
      <w:divBdr>
        <w:top w:val="none" w:sz="0" w:space="0" w:color="auto"/>
        <w:left w:val="none" w:sz="0" w:space="0" w:color="auto"/>
        <w:bottom w:val="none" w:sz="0" w:space="0" w:color="auto"/>
        <w:right w:val="none" w:sz="0" w:space="0" w:color="auto"/>
      </w:divBdr>
      <w:divsChild>
        <w:div w:id="585267502">
          <w:marLeft w:val="547"/>
          <w:marRight w:val="0"/>
          <w:marTop w:val="0"/>
          <w:marBottom w:val="120"/>
          <w:divBdr>
            <w:top w:val="none" w:sz="0" w:space="0" w:color="auto"/>
            <w:left w:val="none" w:sz="0" w:space="0" w:color="auto"/>
            <w:bottom w:val="none" w:sz="0" w:space="0" w:color="auto"/>
            <w:right w:val="none" w:sz="0" w:space="0" w:color="auto"/>
          </w:divBdr>
        </w:div>
      </w:divsChild>
    </w:div>
    <w:div w:id="254556870">
      <w:bodyDiv w:val="1"/>
      <w:marLeft w:val="0"/>
      <w:marRight w:val="0"/>
      <w:marTop w:val="0"/>
      <w:marBottom w:val="0"/>
      <w:divBdr>
        <w:top w:val="none" w:sz="0" w:space="0" w:color="auto"/>
        <w:left w:val="none" w:sz="0" w:space="0" w:color="auto"/>
        <w:bottom w:val="none" w:sz="0" w:space="0" w:color="auto"/>
        <w:right w:val="none" w:sz="0" w:space="0" w:color="auto"/>
      </w:divBdr>
    </w:div>
    <w:div w:id="335424652">
      <w:bodyDiv w:val="1"/>
      <w:marLeft w:val="0"/>
      <w:marRight w:val="0"/>
      <w:marTop w:val="0"/>
      <w:marBottom w:val="0"/>
      <w:divBdr>
        <w:top w:val="none" w:sz="0" w:space="0" w:color="auto"/>
        <w:left w:val="none" w:sz="0" w:space="0" w:color="auto"/>
        <w:bottom w:val="none" w:sz="0" w:space="0" w:color="auto"/>
        <w:right w:val="none" w:sz="0" w:space="0" w:color="auto"/>
      </w:divBdr>
    </w:div>
    <w:div w:id="382606339">
      <w:bodyDiv w:val="1"/>
      <w:marLeft w:val="0"/>
      <w:marRight w:val="0"/>
      <w:marTop w:val="0"/>
      <w:marBottom w:val="0"/>
      <w:divBdr>
        <w:top w:val="none" w:sz="0" w:space="0" w:color="auto"/>
        <w:left w:val="none" w:sz="0" w:space="0" w:color="auto"/>
        <w:bottom w:val="none" w:sz="0" w:space="0" w:color="auto"/>
        <w:right w:val="none" w:sz="0" w:space="0" w:color="auto"/>
      </w:divBdr>
      <w:divsChild>
        <w:div w:id="551238432">
          <w:marLeft w:val="547"/>
          <w:marRight w:val="0"/>
          <w:marTop w:val="0"/>
          <w:marBottom w:val="0"/>
          <w:divBdr>
            <w:top w:val="none" w:sz="0" w:space="0" w:color="auto"/>
            <w:left w:val="none" w:sz="0" w:space="0" w:color="auto"/>
            <w:bottom w:val="none" w:sz="0" w:space="0" w:color="auto"/>
            <w:right w:val="none" w:sz="0" w:space="0" w:color="auto"/>
          </w:divBdr>
        </w:div>
        <w:div w:id="1331450886">
          <w:marLeft w:val="547"/>
          <w:marRight w:val="0"/>
          <w:marTop w:val="0"/>
          <w:marBottom w:val="0"/>
          <w:divBdr>
            <w:top w:val="none" w:sz="0" w:space="0" w:color="auto"/>
            <w:left w:val="none" w:sz="0" w:space="0" w:color="auto"/>
            <w:bottom w:val="none" w:sz="0" w:space="0" w:color="auto"/>
            <w:right w:val="none" w:sz="0" w:space="0" w:color="auto"/>
          </w:divBdr>
        </w:div>
        <w:div w:id="807936882">
          <w:marLeft w:val="1512"/>
          <w:marRight w:val="0"/>
          <w:marTop w:val="0"/>
          <w:marBottom w:val="0"/>
          <w:divBdr>
            <w:top w:val="none" w:sz="0" w:space="0" w:color="auto"/>
            <w:left w:val="none" w:sz="0" w:space="0" w:color="auto"/>
            <w:bottom w:val="none" w:sz="0" w:space="0" w:color="auto"/>
            <w:right w:val="none" w:sz="0" w:space="0" w:color="auto"/>
          </w:divBdr>
        </w:div>
        <w:div w:id="317537752">
          <w:marLeft w:val="1512"/>
          <w:marRight w:val="0"/>
          <w:marTop w:val="0"/>
          <w:marBottom w:val="0"/>
          <w:divBdr>
            <w:top w:val="none" w:sz="0" w:space="0" w:color="auto"/>
            <w:left w:val="none" w:sz="0" w:space="0" w:color="auto"/>
            <w:bottom w:val="none" w:sz="0" w:space="0" w:color="auto"/>
            <w:right w:val="none" w:sz="0" w:space="0" w:color="auto"/>
          </w:divBdr>
        </w:div>
      </w:divsChild>
    </w:div>
    <w:div w:id="703477865">
      <w:bodyDiv w:val="1"/>
      <w:marLeft w:val="0"/>
      <w:marRight w:val="0"/>
      <w:marTop w:val="0"/>
      <w:marBottom w:val="0"/>
      <w:divBdr>
        <w:top w:val="none" w:sz="0" w:space="0" w:color="auto"/>
        <w:left w:val="none" w:sz="0" w:space="0" w:color="auto"/>
        <w:bottom w:val="none" w:sz="0" w:space="0" w:color="auto"/>
        <w:right w:val="none" w:sz="0" w:space="0" w:color="auto"/>
      </w:divBdr>
    </w:div>
    <w:div w:id="720328882">
      <w:bodyDiv w:val="1"/>
      <w:marLeft w:val="0"/>
      <w:marRight w:val="0"/>
      <w:marTop w:val="0"/>
      <w:marBottom w:val="0"/>
      <w:divBdr>
        <w:top w:val="none" w:sz="0" w:space="0" w:color="auto"/>
        <w:left w:val="none" w:sz="0" w:space="0" w:color="auto"/>
        <w:bottom w:val="none" w:sz="0" w:space="0" w:color="auto"/>
        <w:right w:val="none" w:sz="0" w:space="0" w:color="auto"/>
      </w:divBdr>
      <w:divsChild>
        <w:div w:id="1923948317">
          <w:marLeft w:val="547"/>
          <w:marRight w:val="0"/>
          <w:marTop w:val="0"/>
          <w:marBottom w:val="120"/>
          <w:divBdr>
            <w:top w:val="none" w:sz="0" w:space="0" w:color="auto"/>
            <w:left w:val="none" w:sz="0" w:space="0" w:color="auto"/>
            <w:bottom w:val="none" w:sz="0" w:space="0" w:color="auto"/>
            <w:right w:val="none" w:sz="0" w:space="0" w:color="auto"/>
          </w:divBdr>
        </w:div>
      </w:divsChild>
    </w:div>
    <w:div w:id="1529490916">
      <w:bodyDiv w:val="1"/>
      <w:marLeft w:val="0"/>
      <w:marRight w:val="0"/>
      <w:marTop w:val="0"/>
      <w:marBottom w:val="0"/>
      <w:divBdr>
        <w:top w:val="none" w:sz="0" w:space="0" w:color="auto"/>
        <w:left w:val="none" w:sz="0" w:space="0" w:color="auto"/>
        <w:bottom w:val="none" w:sz="0" w:space="0" w:color="auto"/>
        <w:right w:val="none" w:sz="0" w:space="0" w:color="auto"/>
      </w:divBdr>
      <w:divsChild>
        <w:div w:id="1850876453">
          <w:marLeft w:val="547"/>
          <w:marRight w:val="0"/>
          <w:marTop w:val="0"/>
          <w:marBottom w:val="0"/>
          <w:divBdr>
            <w:top w:val="none" w:sz="0" w:space="0" w:color="auto"/>
            <w:left w:val="none" w:sz="0" w:space="0" w:color="auto"/>
            <w:bottom w:val="none" w:sz="0" w:space="0" w:color="auto"/>
            <w:right w:val="none" w:sz="0" w:space="0" w:color="auto"/>
          </w:divBdr>
        </w:div>
        <w:div w:id="309942039">
          <w:marLeft w:val="1512"/>
          <w:marRight w:val="0"/>
          <w:marTop w:val="0"/>
          <w:marBottom w:val="0"/>
          <w:divBdr>
            <w:top w:val="none" w:sz="0" w:space="0" w:color="auto"/>
            <w:left w:val="none" w:sz="0" w:space="0" w:color="auto"/>
            <w:bottom w:val="none" w:sz="0" w:space="0" w:color="auto"/>
            <w:right w:val="none" w:sz="0" w:space="0" w:color="auto"/>
          </w:divBdr>
        </w:div>
        <w:div w:id="1654988211">
          <w:marLeft w:val="1512"/>
          <w:marRight w:val="0"/>
          <w:marTop w:val="0"/>
          <w:marBottom w:val="0"/>
          <w:divBdr>
            <w:top w:val="none" w:sz="0" w:space="0" w:color="auto"/>
            <w:left w:val="none" w:sz="0" w:space="0" w:color="auto"/>
            <w:bottom w:val="none" w:sz="0" w:space="0" w:color="auto"/>
            <w:right w:val="none" w:sz="0" w:space="0" w:color="auto"/>
          </w:divBdr>
        </w:div>
        <w:div w:id="1095983310">
          <w:marLeft w:val="1512"/>
          <w:marRight w:val="0"/>
          <w:marTop w:val="0"/>
          <w:marBottom w:val="0"/>
          <w:divBdr>
            <w:top w:val="none" w:sz="0" w:space="0" w:color="auto"/>
            <w:left w:val="none" w:sz="0" w:space="0" w:color="auto"/>
            <w:bottom w:val="none" w:sz="0" w:space="0" w:color="auto"/>
            <w:right w:val="none" w:sz="0" w:space="0" w:color="auto"/>
          </w:divBdr>
        </w:div>
        <w:div w:id="1989631419">
          <w:marLeft w:val="1512"/>
          <w:marRight w:val="0"/>
          <w:marTop w:val="0"/>
          <w:marBottom w:val="0"/>
          <w:divBdr>
            <w:top w:val="none" w:sz="0" w:space="0" w:color="auto"/>
            <w:left w:val="none" w:sz="0" w:space="0" w:color="auto"/>
            <w:bottom w:val="none" w:sz="0" w:space="0" w:color="auto"/>
            <w:right w:val="none" w:sz="0" w:space="0" w:color="auto"/>
          </w:divBdr>
        </w:div>
        <w:div w:id="2015954353">
          <w:marLeft w:val="547"/>
          <w:marRight w:val="0"/>
          <w:marTop w:val="0"/>
          <w:marBottom w:val="0"/>
          <w:divBdr>
            <w:top w:val="none" w:sz="0" w:space="0" w:color="auto"/>
            <w:left w:val="none" w:sz="0" w:space="0" w:color="auto"/>
            <w:bottom w:val="none" w:sz="0" w:space="0" w:color="auto"/>
            <w:right w:val="none" w:sz="0" w:space="0" w:color="auto"/>
          </w:divBdr>
        </w:div>
        <w:div w:id="2030174604">
          <w:marLeft w:val="1512"/>
          <w:marRight w:val="0"/>
          <w:marTop w:val="0"/>
          <w:marBottom w:val="0"/>
          <w:divBdr>
            <w:top w:val="none" w:sz="0" w:space="0" w:color="auto"/>
            <w:left w:val="none" w:sz="0" w:space="0" w:color="auto"/>
            <w:bottom w:val="none" w:sz="0" w:space="0" w:color="auto"/>
            <w:right w:val="none" w:sz="0" w:space="0" w:color="auto"/>
          </w:divBdr>
        </w:div>
        <w:div w:id="821459802">
          <w:marLeft w:val="1512"/>
          <w:marRight w:val="0"/>
          <w:marTop w:val="0"/>
          <w:marBottom w:val="0"/>
          <w:divBdr>
            <w:top w:val="none" w:sz="0" w:space="0" w:color="auto"/>
            <w:left w:val="none" w:sz="0" w:space="0" w:color="auto"/>
            <w:bottom w:val="none" w:sz="0" w:space="0" w:color="auto"/>
            <w:right w:val="none" w:sz="0" w:space="0" w:color="auto"/>
          </w:divBdr>
        </w:div>
        <w:div w:id="1891304721">
          <w:marLeft w:val="15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22" ma:contentTypeDescription="Vytvoří nový dokument" ma:contentTypeScope="" ma:versionID="2fc5a68a84c3532a693e54b46d0baec4">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b0b6c9f321b002f466112cf8f24e2616"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b6e955f-6355-4a61-ae3b-658e8d2c932c}" ma:internalName="TaxCatchAll" ma:showField="CatchAllData" ma:web="a867a263-4c00-4944-a435-72febfd7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67a263-4c00-4944-a435-72febfd70997" xsi:nil="true"/>
    <lcf76f155ced4ddcb4097134ff3c332f xmlns="ae529b29-b2bb-4f0f-bf76-47ede62a77b9">
      <Terms xmlns="http://schemas.microsoft.com/office/infopath/2007/PartnerControls"/>
    </lcf76f155ced4ddcb4097134ff3c332f>
    <_Flow_SignoffStatus xmlns="ae529b29-b2bb-4f0f-bf76-47ede62a77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A30EE-1FC6-429A-9B5B-E39AC849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79909-3EAF-4825-BD12-FC4D170256C9}">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ae529b29-b2bb-4f0f-bf76-47ede62a77b9"/>
    <ds:schemaRef ds:uri="http://schemas.openxmlformats.org/package/2006/metadata/core-properties"/>
    <ds:schemaRef ds:uri="a867a263-4c00-4944-a435-72febfd70997"/>
    <ds:schemaRef ds:uri="http://www.w3.org/XML/1998/namespace"/>
  </ds:schemaRefs>
</ds:datastoreItem>
</file>

<file path=customXml/itemProps3.xml><?xml version="1.0" encoding="utf-8"?>
<ds:datastoreItem xmlns:ds="http://schemas.openxmlformats.org/officeDocument/2006/customXml" ds:itemID="{B9BA967A-E95B-4CAD-B6C3-FA8B4BF48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9084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Krůpová Martina</dc:creator>
  <cp:keywords/>
  <dc:description/>
  <cp:lastModifiedBy>Barcalová Jitka</cp:lastModifiedBy>
  <cp:revision>2</cp:revision>
  <dcterms:created xsi:type="dcterms:W3CDTF">2025-04-07T16:46:00Z</dcterms:created>
  <dcterms:modified xsi:type="dcterms:W3CDTF">2025-04-07T16:46:00Z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MediaServiceImageTags">
    <vt:lpwstr/>
  </property>
</Properties>
</file>