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A0" w:rsidRDefault="00DB3FA0" w:rsidP="00E0337C">
      <w:pPr>
        <w:pStyle w:val="Nzev"/>
        <w:pBdr>
          <w:bottom w:val="single" w:sz="8" w:space="1" w:color="auto"/>
        </w:pBdr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547C17">
        <w:rPr>
          <w:rFonts w:ascii="Arial" w:hAnsi="Arial" w:cs="Arial"/>
          <w:color w:val="auto"/>
        </w:rPr>
        <w:t>Informace o plátci DPH</w:t>
      </w:r>
    </w:p>
    <w:p w:rsidR="00C05DD8" w:rsidRPr="00C05DD8" w:rsidRDefault="00C05DD8" w:rsidP="00C05DD8">
      <w:pPr>
        <w:jc w:val="center"/>
        <w:rPr>
          <w:color w:val="FF0000"/>
        </w:rPr>
      </w:pPr>
      <w:r w:rsidRPr="00C05DD8">
        <w:rPr>
          <w:color w:val="FF0000"/>
        </w:rPr>
        <w:t>ŘIĎTE SE POZNÁMKAMI POD ČAROU</w:t>
      </w:r>
    </w:p>
    <w:p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842"/>
        <w:gridCol w:w="2977"/>
        <w:gridCol w:w="2158"/>
      </w:tblGrid>
      <w:tr w:rsidR="00DB3FA0" w:rsidRPr="003153F4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:rsidR="00DB3FA0" w:rsidRPr="00547C17" w:rsidRDefault="002B12AF" w:rsidP="00AF45D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vzor: 10 </w:t>
            </w:r>
            <w:r w:rsidR="00AF45DE">
              <w:rPr>
                <w:rFonts w:ascii="Arial" w:hAnsi="Arial" w:cs="Arial"/>
                <w:sz w:val="20"/>
                <w:szCs w:val="20"/>
              </w:rPr>
              <w:t>P – lokalita „Za Borůvkami“, Lesov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DB3FA0" w:rsidRDefault="00DB3FA0" w:rsidP="002C17F6">
      <w:pPr>
        <w:pStyle w:val="Nadpis1"/>
        <w:tabs>
          <w:tab w:val="left" w:pos="1985"/>
        </w:tabs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="002C17F6">
        <w:rPr>
          <w:rFonts w:ascii="Arial" w:hAnsi="Arial" w:cs="Arial"/>
        </w:rPr>
        <w:t xml:space="preserve"> </w:t>
      </w:r>
      <w:r w:rsidR="002C17F6">
        <w:rPr>
          <w:rFonts w:ascii="Arial" w:hAnsi="Arial" w:cs="Arial"/>
        </w:rPr>
        <w:tab/>
      </w:r>
      <w:r w:rsidR="00C05DD8">
        <w:rPr>
          <w:rFonts w:ascii="Arial" w:hAnsi="Arial" w:cs="Arial"/>
          <w:b w:val="0"/>
          <w:color w:val="auto"/>
        </w:rPr>
        <w:t xml:space="preserve">(vyplňte pouze </w:t>
      </w:r>
      <w:r w:rsidR="002C17F6" w:rsidRPr="00C05DD8">
        <w:rPr>
          <w:rFonts w:ascii="Arial" w:hAnsi="Arial" w:cs="Arial"/>
          <w:b w:val="0"/>
          <w:color w:val="auto"/>
        </w:rPr>
        <w:t xml:space="preserve">u </w:t>
      </w:r>
      <w:r w:rsidR="002C17F6" w:rsidRPr="00C05DD8">
        <w:rPr>
          <w:rFonts w:ascii="Arial" w:hAnsi="Arial" w:cs="Arial"/>
          <w:color w:val="auto"/>
        </w:rPr>
        <w:t>předmětné</w:t>
      </w:r>
      <w:r w:rsidR="002C17F6" w:rsidRPr="00C05DD8">
        <w:rPr>
          <w:rFonts w:ascii="Arial" w:hAnsi="Arial" w:cs="Arial"/>
          <w:b w:val="0"/>
          <w:color w:val="auto"/>
        </w:rPr>
        <w:t xml:space="preserve"> technické infrastruktury)</w:t>
      </w: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vodovod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dešťová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splašková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jednotná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komunikace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DB3FA0" w:rsidRPr="003153F4" w:rsidTr="00AF2539">
        <w:trPr>
          <w:trHeight w:val="904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:rsidTr="00AF2539">
        <w:trPr>
          <w:trHeight w:val="949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7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pStyle w:val="Nadpis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</w:p>
    <w:p w:rsidR="00AF45DE" w:rsidRPr="00E0337C" w:rsidRDefault="00AF45DE" w:rsidP="00AF45DE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veřejné osvětlení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AF45DE" w:rsidRPr="003153F4" w:rsidTr="00247357">
        <w:trPr>
          <w:trHeight w:val="904"/>
        </w:trPr>
        <w:tc>
          <w:tcPr>
            <w:tcW w:w="6629" w:type="dxa"/>
            <w:shd w:val="clear" w:color="auto" w:fill="F2F2F2"/>
          </w:tcPr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45DE" w:rsidRPr="00DE0706" w:rsidRDefault="00AF45DE" w:rsidP="002473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AF45DE" w:rsidRPr="00DE0706" w:rsidRDefault="00AF45DE" w:rsidP="002473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AF45DE" w:rsidRPr="003153F4" w:rsidTr="00247357">
        <w:trPr>
          <w:trHeight w:val="949"/>
        </w:trPr>
        <w:tc>
          <w:tcPr>
            <w:tcW w:w="6629" w:type="dxa"/>
            <w:shd w:val="clear" w:color="auto" w:fill="F2F2F2"/>
          </w:tcPr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8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F45DE" w:rsidRPr="00DE0706" w:rsidRDefault="00AF45DE" w:rsidP="0024735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45DE" w:rsidRPr="00DE0706" w:rsidRDefault="00AF45DE" w:rsidP="002473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AF45DE" w:rsidRPr="00DE0706" w:rsidRDefault="00AF45DE" w:rsidP="002473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rPr>
          <w:rFonts w:ascii="Arial" w:hAnsi="Arial" w:cs="Arial"/>
          <w:sz w:val="20"/>
          <w:szCs w:val="20"/>
        </w:rPr>
      </w:pPr>
    </w:p>
    <w:p w:rsidR="00E0337C" w:rsidRPr="00E0337C" w:rsidRDefault="00DB3FA0" w:rsidP="00E0337C">
      <w:pPr>
        <w:pStyle w:val="Nadpis1"/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9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47"/>
        <w:gridCol w:w="1948"/>
        <w:gridCol w:w="1948"/>
      </w:tblGrid>
      <w:tr w:rsidR="00DB3FA0" w:rsidRPr="003153F4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:rsidR="00DB3FA0" w:rsidRPr="003153F4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0337C" w:rsidRPr="003153F4" w:rsidTr="007A6007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zakázky včetně DPH v Kč</w:t>
            </w:r>
          </w:p>
        </w:tc>
        <w:tc>
          <w:tcPr>
            <w:tcW w:w="5843" w:type="dxa"/>
            <w:gridSpan w:val="3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DB3FA0" w:rsidRPr="00E0337C" w:rsidRDefault="00DB3FA0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402"/>
        <w:gridCol w:w="4785"/>
      </w:tblGrid>
      <w:tr w:rsidR="00DB3FA0" w:rsidRPr="003153F4" w:rsidTr="00AF2539">
        <w:trPr>
          <w:trHeight w:val="648"/>
        </w:trPr>
        <w:tc>
          <w:tcPr>
            <w:tcW w:w="4537" w:type="dxa"/>
            <w:gridSpan w:val="2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785" w:type="dxa"/>
            <w:vMerge w:val="restart"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vMerge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4BDB" w:rsidRPr="00DE0706" w:rsidRDefault="00C14BDB" w:rsidP="00AF45D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C14BDB" w:rsidRPr="00DE0706" w:rsidSect="00E0337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57" w:rsidRDefault="00247357" w:rsidP="003F6DB0">
      <w:pPr>
        <w:spacing w:after="0" w:line="240" w:lineRule="auto"/>
      </w:pPr>
      <w:r>
        <w:separator/>
      </w:r>
    </w:p>
  </w:endnote>
  <w:endnote w:type="continuationSeparator" w:id="0">
    <w:p w:rsidR="00247357" w:rsidRDefault="00247357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7C" w:rsidRDefault="00E033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684E">
      <w:rPr>
        <w:noProof/>
      </w:rPr>
      <w:t>1</w:t>
    </w:r>
    <w:r>
      <w:fldChar w:fldCharType="end"/>
    </w:r>
  </w:p>
  <w:p w:rsidR="00BC1CD3" w:rsidRDefault="00BC1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57" w:rsidRDefault="00247357" w:rsidP="003F6DB0">
      <w:pPr>
        <w:spacing w:after="0" w:line="240" w:lineRule="auto"/>
      </w:pPr>
      <w:r>
        <w:separator/>
      </w:r>
    </w:p>
  </w:footnote>
  <w:footnote w:type="continuationSeparator" w:id="0">
    <w:p w:rsidR="00247357" w:rsidRDefault="00247357" w:rsidP="003F6DB0">
      <w:pPr>
        <w:spacing w:after="0" w:line="240" w:lineRule="auto"/>
      </w:pPr>
      <w:r>
        <w:continuationSeparator/>
      </w:r>
    </w:p>
  </w:footnote>
  <w:footnote w:id="1">
    <w:p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5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6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7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8">
    <w:p w:rsidR="00AF45DE" w:rsidRPr="007872FF" w:rsidRDefault="00AF45DE" w:rsidP="00AF45DE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9">
    <w:p w:rsidR="00BC1CD3" w:rsidRDefault="00BC1CD3" w:rsidP="00DB3FA0">
      <w:pPr>
        <w:pStyle w:val="Textpoznpodarou"/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CD3" w:rsidRDefault="00BC1CD3">
    <w:pPr>
      <w:pStyle w:val="Zhlav"/>
    </w:pPr>
  </w:p>
  <w:p w:rsidR="00BC1CD3" w:rsidRDefault="00BC1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CD3" w:rsidRDefault="00BC1CD3" w:rsidP="00FC1AC4">
    <w:pPr>
      <w:pStyle w:val="Zhlav"/>
      <w:ind w:left="-426"/>
    </w:pPr>
    <w:r>
      <w:rPr>
        <w:rFonts w:ascii="Times New Roman" w:hAnsi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2pt;margin-top:28.15pt;width:170.05pt;height:36.85pt;z-index:251657728;mso-position-vertical-relative:page" o:allowoverlap="f">
          <v:imagedata r:id="rId1" o:title="mmr_barevne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7E6"/>
    <w:rsid w:val="00011DBE"/>
    <w:rsid w:val="000239EA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F15AA"/>
    <w:rsid w:val="001F7C66"/>
    <w:rsid w:val="00231FA1"/>
    <w:rsid w:val="00247357"/>
    <w:rsid w:val="0026684E"/>
    <w:rsid w:val="00267E52"/>
    <w:rsid w:val="00271C93"/>
    <w:rsid w:val="00291E46"/>
    <w:rsid w:val="002B12AF"/>
    <w:rsid w:val="002B587D"/>
    <w:rsid w:val="002C17F6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B1F77"/>
    <w:rsid w:val="004B4ADB"/>
    <w:rsid w:val="004F15FE"/>
    <w:rsid w:val="00547C17"/>
    <w:rsid w:val="0056614E"/>
    <w:rsid w:val="005B48D9"/>
    <w:rsid w:val="005B64D0"/>
    <w:rsid w:val="005C7808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4D85"/>
    <w:rsid w:val="006D7246"/>
    <w:rsid w:val="006E415E"/>
    <w:rsid w:val="0074673E"/>
    <w:rsid w:val="00772A8F"/>
    <w:rsid w:val="007872FF"/>
    <w:rsid w:val="007A6007"/>
    <w:rsid w:val="007B02C3"/>
    <w:rsid w:val="007C15CB"/>
    <w:rsid w:val="007C1C12"/>
    <w:rsid w:val="007F1304"/>
    <w:rsid w:val="008300AF"/>
    <w:rsid w:val="00851B0F"/>
    <w:rsid w:val="00870913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66040"/>
    <w:rsid w:val="009B7799"/>
    <w:rsid w:val="00A02CD4"/>
    <w:rsid w:val="00A32DF8"/>
    <w:rsid w:val="00A77989"/>
    <w:rsid w:val="00A949EC"/>
    <w:rsid w:val="00AE764F"/>
    <w:rsid w:val="00AF2539"/>
    <w:rsid w:val="00AF45DE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78BB"/>
    <w:rsid w:val="00C05DD8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37C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57912"/>
    <w:rsid w:val="00FB04B0"/>
    <w:rsid w:val="00FC1AC4"/>
    <w:rsid w:val="00FD524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904E30-1AC2-442D-A72D-D4A29F4E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8CE9-98F4-4469-A9D5-5CF137ED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Veselá Lenka</cp:lastModifiedBy>
  <cp:revision>2</cp:revision>
  <cp:lastPrinted>2012-04-19T10:40:00Z</cp:lastPrinted>
  <dcterms:created xsi:type="dcterms:W3CDTF">2020-06-08T12:55:00Z</dcterms:created>
  <dcterms:modified xsi:type="dcterms:W3CDTF">2020-06-08T12:55:00Z</dcterms:modified>
</cp:coreProperties>
</file>