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C3951" w14:textId="2BD3C70F" w:rsidR="00CD3093" w:rsidRDefault="000B5345" w:rsidP="0040312E">
      <w:pPr>
        <w:spacing w:before="1600" w:after="120" w:line="276" w:lineRule="auto"/>
        <w:jc w:val="center"/>
        <w:rPr>
          <w:rFonts w:ascii="Arial" w:eastAsia="Arial" w:hAnsi="Arial" w:cs="Arial"/>
          <w:b/>
          <w:bCs/>
          <w:kern w:val="0"/>
          <w:sz w:val="20"/>
          <w:szCs w:val="20"/>
          <w:lang w:eastAsia="cs-CZ"/>
          <w14:ligatures w14:val="none"/>
        </w:rPr>
      </w:pPr>
      <w:r>
        <w:rPr>
          <w:rFonts w:ascii="Arial" w:eastAsia="Arial" w:hAnsi="Arial" w:cs="Arial"/>
          <w:b/>
          <w:bCs/>
          <w:noProof/>
          <w:kern w:val="0"/>
          <w:sz w:val="20"/>
          <w:szCs w:val="20"/>
          <w:lang w:eastAsia="cs-CZ"/>
        </w:rPr>
        <w:drawing>
          <wp:anchor distT="0" distB="0" distL="114300" distR="114300" simplePos="0" relativeHeight="251658240" behindDoc="1" locked="1" layoutInCell="1" allowOverlap="1" wp14:anchorId="76885766" wp14:editId="4D9ED766">
            <wp:simplePos x="0" y="0"/>
            <wp:positionH relativeFrom="page">
              <wp:posOffset>902970</wp:posOffset>
            </wp:positionH>
            <wp:positionV relativeFrom="page">
              <wp:posOffset>867410</wp:posOffset>
            </wp:positionV>
            <wp:extent cx="5759450" cy="313055"/>
            <wp:effectExtent l="0" t="0" r="0" b="0"/>
            <wp:wrapNone/>
            <wp:docPr id="710140381"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014038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CD3093" w:rsidRPr="113D6C7C">
        <w:rPr>
          <w:rFonts w:ascii="Arial" w:eastAsia="Arial" w:hAnsi="Arial" w:cs="Arial"/>
          <w:b/>
          <w:bCs/>
          <w:kern w:val="0"/>
          <w:sz w:val="20"/>
          <w:szCs w:val="20"/>
          <w:lang w:eastAsia="cs-CZ"/>
          <w14:ligatures w14:val="none"/>
        </w:rPr>
        <w:t>Opatření obecné povahy</w:t>
      </w:r>
    </w:p>
    <w:p w14:paraId="2BAA42F4" w14:textId="39F7A37E" w:rsidR="0040312E" w:rsidRPr="00CD3093" w:rsidRDefault="0040312E" w:rsidP="00532B8A">
      <w:pPr>
        <w:spacing w:before="240" w:after="240" w:line="276" w:lineRule="auto"/>
        <w:jc w:val="center"/>
        <w:rPr>
          <w:rFonts w:ascii="Arial" w:eastAsia="Arial" w:hAnsi="Arial" w:cs="Arial"/>
          <w:kern w:val="0"/>
          <w:sz w:val="20"/>
          <w:szCs w:val="20"/>
          <w:lang w:eastAsia="cs-CZ"/>
          <w14:ligatures w14:val="none"/>
        </w:rPr>
      </w:pPr>
      <w:r w:rsidRPr="0040312E">
        <w:rPr>
          <w:rFonts w:ascii="Arial" w:eastAsia="Arial" w:hAnsi="Arial" w:cs="Arial"/>
          <w:b/>
          <w:bCs/>
          <w:kern w:val="0"/>
          <w:sz w:val="20"/>
          <w:szCs w:val="20"/>
          <w:lang w:eastAsia="cs-CZ"/>
          <w14:ligatures w14:val="none"/>
        </w:rPr>
        <w:t>pro akcelerační oblast AOV</w:t>
      </w:r>
      <w:r>
        <w:rPr>
          <w:rFonts w:ascii="Arial" w:eastAsia="Arial" w:hAnsi="Arial" w:cs="Arial"/>
          <w:b/>
          <w:bCs/>
          <w:kern w:val="0"/>
          <w:sz w:val="20"/>
          <w:szCs w:val="20"/>
          <w:lang w:eastAsia="cs-CZ"/>
          <w14:ligatures w14:val="none"/>
        </w:rPr>
        <w:t>51 Řenče</w:t>
      </w:r>
    </w:p>
    <w:p w14:paraId="3D202FF1" w14:textId="6C161AB6" w:rsidR="00CD3093" w:rsidRPr="00CD3093" w:rsidRDefault="00CD3093" w:rsidP="113D6C7C">
      <w:pPr>
        <w:spacing w:after="0" w:line="276" w:lineRule="auto"/>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Vláda České republiky, jako orgán příslušný podle § 9 odst. 3 zákona č. 249/2025 Sb., o urychlení využívání některých obnovitelných zdrojů energie a o změně souvisejících zákonů (zákon o urychlení využívání obnovitelných zdrojů energie), (dále jen „ZOZE“),  </w:t>
      </w:r>
    </w:p>
    <w:p w14:paraId="0FD2AF2C" w14:textId="48D544A4" w:rsidR="00CD3093" w:rsidRPr="00CD3093" w:rsidRDefault="00CD3093" w:rsidP="00721DE8">
      <w:pPr>
        <w:spacing w:after="0" w:line="276" w:lineRule="auto"/>
        <w:jc w:val="center"/>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w:t>
      </w:r>
      <w:r w:rsidRPr="00721DE8">
        <w:rPr>
          <w:rFonts w:ascii="Arial" w:hAnsi="Arial" w:cs="Arial"/>
          <w:b/>
          <w:bCs/>
          <w:kern w:val="0"/>
          <w:sz w:val="20"/>
          <w:szCs w:val="20"/>
        </w:rPr>
        <w:t>vydává</w:t>
      </w:r>
      <w:r w:rsidRPr="113D6C7C">
        <w:rPr>
          <w:rFonts w:ascii="Arial" w:eastAsia="Arial" w:hAnsi="Arial" w:cs="Arial"/>
          <w:kern w:val="0"/>
          <w:sz w:val="20"/>
          <w:szCs w:val="20"/>
          <w:lang w:eastAsia="cs-CZ"/>
          <w14:ligatures w14:val="none"/>
        </w:rPr>
        <w:t> </w:t>
      </w:r>
    </w:p>
    <w:p w14:paraId="562C0EAF" w14:textId="7923C3A9" w:rsidR="00CD3093" w:rsidRPr="00CD3093" w:rsidRDefault="00CD3093" w:rsidP="008C1C16">
      <w:pPr>
        <w:spacing w:before="120" w:after="240" w:line="276" w:lineRule="auto"/>
        <w:jc w:val="both"/>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podle § 6, § 7 a § 9 odst. 3 ZOZE v souběhu s § 20 písm. e) ve spojení s § 61 písm. c) a § 73 odst. 1 zákona č. 283/2021 Sb., stavební zákon, ve znění pozdějších předpisů, ve spojení s § 171 až 174 zákona č. 500/2004 Sb., správní řád, ve znění pozdějších předpisů, </w:t>
      </w:r>
    </w:p>
    <w:p w14:paraId="6A660721" w14:textId="1E63395F" w:rsidR="00CD3093" w:rsidRPr="00CD3093" w:rsidRDefault="00CD3093" w:rsidP="007441B5">
      <w:pPr>
        <w:spacing w:after="0" w:line="276" w:lineRule="auto"/>
        <w:jc w:val="center"/>
        <w:rPr>
          <w:rFonts w:ascii="Arial" w:eastAsia="Arial" w:hAnsi="Arial" w:cs="Arial"/>
          <w:kern w:val="0"/>
          <w:sz w:val="20"/>
          <w:szCs w:val="20"/>
          <w:lang w:eastAsia="cs-CZ"/>
          <w14:ligatures w14:val="none"/>
        </w:rPr>
      </w:pPr>
      <w:r w:rsidRPr="113D6C7C">
        <w:rPr>
          <w:rFonts w:ascii="Arial" w:eastAsia="Arial" w:hAnsi="Arial" w:cs="Arial"/>
          <w:b/>
          <w:bCs/>
          <w:kern w:val="0"/>
          <w:sz w:val="20"/>
          <w:szCs w:val="20"/>
          <w:lang w:eastAsia="cs-CZ"/>
          <w14:ligatures w14:val="none"/>
        </w:rPr>
        <w:t>územní opatření o podmínkách a zmírňujících opatřeních podle zákona o urychlení využívání obnovitelných zdrojů energie</w:t>
      </w:r>
      <w:r w:rsidRPr="113D6C7C">
        <w:rPr>
          <w:rFonts w:ascii="Arial" w:eastAsia="Arial" w:hAnsi="Arial" w:cs="Arial"/>
          <w:kern w:val="0"/>
          <w:sz w:val="20"/>
          <w:szCs w:val="20"/>
          <w:lang w:eastAsia="cs-CZ"/>
          <w14:ligatures w14:val="none"/>
        </w:rPr>
        <w:t> </w:t>
      </w:r>
    </w:p>
    <w:p w14:paraId="672C66DC" w14:textId="77777777" w:rsidR="00CD3093" w:rsidRPr="00CD3093" w:rsidRDefault="00CD3093" w:rsidP="113D6C7C">
      <w:pPr>
        <w:spacing w:after="0" w:line="276" w:lineRule="auto"/>
        <w:jc w:val="center"/>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(dále jen „územní opatření“). </w:t>
      </w:r>
    </w:p>
    <w:p w14:paraId="2EC7C1EE" w14:textId="7E679D8E" w:rsidR="00CD3093" w:rsidRPr="009E23FE" w:rsidRDefault="00CD3093" w:rsidP="009E23FE">
      <w:pPr>
        <w:pStyle w:val="Odstavecseseznamem"/>
        <w:numPr>
          <w:ilvl w:val="0"/>
          <w:numId w:val="42"/>
        </w:numPr>
        <w:spacing w:before="120" w:after="120" w:line="276" w:lineRule="auto"/>
        <w:ind w:left="0" w:firstLine="0"/>
        <w:contextualSpacing w:val="0"/>
        <w:jc w:val="both"/>
        <w:rPr>
          <w:rFonts w:ascii="Arial" w:eastAsia="Arial" w:hAnsi="Arial" w:cs="Arial"/>
          <w:kern w:val="0"/>
          <w:sz w:val="20"/>
          <w:szCs w:val="20"/>
          <w:shd w:val="clear" w:color="auto" w:fill="FFF2CC" w:themeFill="accent4" w:themeFillTint="33"/>
          <w:lang w:eastAsia="cs-CZ"/>
          <w14:ligatures w14:val="none"/>
        </w:rPr>
      </w:pPr>
      <w:r w:rsidRPr="113D6C7C">
        <w:rPr>
          <w:rFonts w:ascii="Arial" w:eastAsia="Arial" w:hAnsi="Arial" w:cs="Arial"/>
          <w:kern w:val="0"/>
          <w:sz w:val="20"/>
          <w:szCs w:val="20"/>
          <w:lang w:eastAsia="cs-CZ"/>
          <w14:ligatures w14:val="none"/>
        </w:rPr>
        <w:t>Územní opatření se vydává pro akcelerační oblast </w:t>
      </w:r>
      <w:r w:rsidRPr="113D6C7C">
        <w:rPr>
          <w:rFonts w:ascii="Arial" w:eastAsia="Arial" w:hAnsi="Arial" w:cs="Arial"/>
          <w:b/>
          <w:bCs/>
          <w:kern w:val="0"/>
          <w:sz w:val="20"/>
          <w:szCs w:val="20"/>
          <w:lang w:eastAsia="cs-CZ"/>
          <w14:ligatures w14:val="none"/>
        </w:rPr>
        <w:t>AOV5</w:t>
      </w:r>
      <w:r w:rsidR="004F5E82" w:rsidRPr="113D6C7C">
        <w:rPr>
          <w:rFonts w:ascii="Arial" w:eastAsia="Arial" w:hAnsi="Arial" w:cs="Arial"/>
          <w:b/>
          <w:bCs/>
          <w:kern w:val="0"/>
          <w:sz w:val="20"/>
          <w:szCs w:val="20"/>
          <w:lang w:eastAsia="cs-CZ"/>
          <w14:ligatures w14:val="none"/>
        </w:rPr>
        <w:t>1</w:t>
      </w:r>
      <w:r w:rsidRPr="113D6C7C">
        <w:rPr>
          <w:rFonts w:ascii="Arial" w:eastAsia="Arial" w:hAnsi="Arial" w:cs="Arial"/>
          <w:b/>
          <w:bCs/>
          <w:kern w:val="0"/>
          <w:sz w:val="20"/>
          <w:szCs w:val="20"/>
          <w:lang w:eastAsia="cs-CZ"/>
          <w14:ligatures w14:val="none"/>
        </w:rPr>
        <w:t xml:space="preserve"> </w:t>
      </w:r>
      <w:r w:rsidR="004F5E82" w:rsidRPr="113D6C7C">
        <w:rPr>
          <w:rFonts w:ascii="Arial" w:eastAsia="Arial" w:hAnsi="Arial" w:cs="Arial"/>
          <w:b/>
          <w:bCs/>
          <w:kern w:val="0"/>
          <w:sz w:val="20"/>
          <w:szCs w:val="20"/>
          <w:lang w:eastAsia="cs-CZ"/>
          <w14:ligatures w14:val="none"/>
        </w:rPr>
        <w:t>Řenče</w:t>
      </w:r>
      <w:r w:rsidRPr="113D6C7C">
        <w:rPr>
          <w:rFonts w:ascii="Arial" w:eastAsia="Arial" w:hAnsi="Arial" w:cs="Arial"/>
          <w:kern w:val="0"/>
          <w:sz w:val="20"/>
          <w:szCs w:val="20"/>
          <w:lang w:eastAsia="cs-CZ"/>
          <w14:ligatures w14:val="none"/>
        </w:rPr>
        <w:t xml:space="preserve"> (dále jen „akcelerační oblast“), vymezenou ve Změně č. 2 územního rozvojového plánu (dále také jen </w:t>
      </w:r>
      <w:r w:rsidR="38DE6EED" w:rsidRPr="22CBF0FD">
        <w:rPr>
          <w:rFonts w:ascii="Arial" w:eastAsia="Arial" w:hAnsi="Arial" w:cs="Arial"/>
          <w:sz w:val="20"/>
          <w:szCs w:val="20"/>
          <w:lang w:eastAsia="cs-CZ"/>
        </w:rPr>
        <w:t>„ÚRP</w:t>
      </w:r>
      <w:r w:rsidR="38DE6EED" w:rsidRPr="113D6C7C">
        <w:rPr>
          <w:rFonts w:ascii="Arial" w:eastAsia="Arial" w:hAnsi="Arial" w:cs="Arial"/>
          <w:kern w:val="0"/>
          <w:sz w:val="20"/>
          <w:szCs w:val="20"/>
          <w:lang w:eastAsia="cs-CZ"/>
          <w14:ligatures w14:val="none"/>
        </w:rPr>
        <w:t>“</w:t>
      </w:r>
      <w:r w:rsidR="00823BA3" w:rsidRPr="113D6C7C">
        <w:rPr>
          <w:rFonts w:ascii="Arial" w:eastAsia="Arial" w:hAnsi="Arial" w:cs="Arial"/>
          <w:kern w:val="0"/>
          <w:sz w:val="20"/>
          <w:szCs w:val="20"/>
          <w:lang w:eastAsia="cs-CZ"/>
          <w14:ligatures w14:val="none"/>
        </w:rPr>
        <w:t>). Akcelerační oblast zasahuje do katastrálních území 748218 Skašov</w:t>
      </w:r>
      <w:r w:rsidR="00191284">
        <w:rPr>
          <w:rFonts w:ascii="Arial" w:eastAsia="Arial" w:hAnsi="Arial" w:cs="Arial"/>
          <w:kern w:val="0"/>
          <w:sz w:val="20"/>
          <w:szCs w:val="20"/>
          <w:lang w:eastAsia="cs-CZ"/>
          <w14:ligatures w14:val="none"/>
        </w:rPr>
        <w:t xml:space="preserve"> ve stejnojmenné obci</w:t>
      </w:r>
      <w:r w:rsidR="00823BA3" w:rsidRPr="113D6C7C">
        <w:rPr>
          <w:rFonts w:ascii="Arial" w:eastAsia="Arial" w:hAnsi="Arial" w:cs="Arial"/>
          <w:kern w:val="0"/>
          <w:sz w:val="20"/>
          <w:szCs w:val="20"/>
          <w:lang w:eastAsia="cs-CZ"/>
          <w14:ligatures w14:val="none"/>
        </w:rPr>
        <w:t>, 644854 Újezd u Horšic</w:t>
      </w:r>
      <w:r w:rsidR="005A4695">
        <w:rPr>
          <w:rFonts w:ascii="Arial" w:eastAsia="Arial" w:hAnsi="Arial" w:cs="Arial"/>
          <w:kern w:val="0"/>
          <w:sz w:val="20"/>
          <w:szCs w:val="20"/>
          <w:lang w:eastAsia="cs-CZ"/>
          <w14:ligatures w14:val="none"/>
        </w:rPr>
        <w:t xml:space="preserve"> v obci Horšice</w:t>
      </w:r>
      <w:r w:rsidR="00823BA3" w:rsidRPr="113D6C7C">
        <w:rPr>
          <w:rFonts w:ascii="Arial" w:eastAsia="Arial" w:hAnsi="Arial" w:cs="Arial"/>
          <w:kern w:val="0"/>
          <w:sz w:val="20"/>
          <w:szCs w:val="20"/>
          <w:lang w:eastAsia="cs-CZ"/>
          <w14:ligatures w14:val="none"/>
        </w:rPr>
        <w:t xml:space="preserve">, </w:t>
      </w:r>
      <w:r w:rsidR="0068172D" w:rsidRPr="113D6C7C">
        <w:rPr>
          <w:rFonts w:ascii="Arial" w:eastAsia="Arial" w:hAnsi="Arial" w:cs="Arial"/>
          <w:kern w:val="0"/>
          <w:sz w:val="20"/>
          <w:szCs w:val="20"/>
          <w:lang w:eastAsia="cs-CZ"/>
          <w14:ligatures w14:val="none"/>
        </w:rPr>
        <w:t>745090 Plevňov</w:t>
      </w:r>
      <w:r w:rsidR="0068172D">
        <w:rPr>
          <w:rFonts w:ascii="Arial" w:eastAsia="Arial" w:hAnsi="Arial" w:cs="Arial"/>
          <w:kern w:val="0"/>
          <w:sz w:val="20"/>
          <w:szCs w:val="20"/>
          <w:lang w:eastAsia="cs-CZ"/>
          <w14:ligatures w14:val="none"/>
        </w:rPr>
        <w:t xml:space="preserve">, </w:t>
      </w:r>
      <w:r w:rsidR="0068172D" w:rsidRPr="113D6C7C">
        <w:rPr>
          <w:rFonts w:ascii="Arial" w:eastAsia="Arial" w:hAnsi="Arial" w:cs="Arial"/>
          <w:kern w:val="0"/>
          <w:sz w:val="20"/>
          <w:szCs w:val="20"/>
          <w:lang w:eastAsia="cs-CZ"/>
          <w14:ligatures w14:val="none"/>
        </w:rPr>
        <w:t>745081 Libákovice</w:t>
      </w:r>
      <w:r w:rsidR="0068172D">
        <w:rPr>
          <w:rFonts w:ascii="Arial" w:eastAsia="Arial" w:hAnsi="Arial" w:cs="Arial"/>
          <w:kern w:val="0"/>
          <w:sz w:val="20"/>
          <w:szCs w:val="20"/>
          <w:lang w:eastAsia="cs-CZ"/>
          <w14:ligatures w14:val="none"/>
        </w:rPr>
        <w:t xml:space="preserve"> a </w:t>
      </w:r>
      <w:r w:rsidR="0068172D" w:rsidRPr="113D6C7C">
        <w:rPr>
          <w:rFonts w:ascii="Arial" w:eastAsia="Arial" w:hAnsi="Arial" w:cs="Arial"/>
          <w:kern w:val="0"/>
          <w:sz w:val="20"/>
          <w:szCs w:val="20"/>
          <w:lang w:eastAsia="cs-CZ"/>
          <w14:ligatures w14:val="none"/>
        </w:rPr>
        <w:t>745103 Řenče</w:t>
      </w:r>
      <w:r w:rsidR="0068172D">
        <w:rPr>
          <w:rFonts w:ascii="Arial" w:eastAsia="Arial" w:hAnsi="Arial" w:cs="Arial"/>
          <w:kern w:val="0"/>
          <w:sz w:val="20"/>
          <w:szCs w:val="20"/>
          <w:lang w:eastAsia="cs-CZ"/>
          <w14:ligatures w14:val="none"/>
        </w:rPr>
        <w:t xml:space="preserve"> ve stejnojmenné obci, </w:t>
      </w:r>
      <w:r w:rsidR="0068172D" w:rsidRPr="113D6C7C">
        <w:rPr>
          <w:rFonts w:ascii="Arial" w:eastAsia="Arial" w:hAnsi="Arial" w:cs="Arial"/>
          <w:kern w:val="0"/>
          <w:sz w:val="20"/>
          <w:szCs w:val="20"/>
          <w:lang w:eastAsia="cs-CZ"/>
          <w14:ligatures w14:val="none"/>
        </w:rPr>
        <w:t>644820 Dolce</w:t>
      </w:r>
      <w:r w:rsidR="000F7746">
        <w:rPr>
          <w:rFonts w:ascii="Arial" w:eastAsia="Arial" w:hAnsi="Arial" w:cs="Arial"/>
          <w:kern w:val="0"/>
          <w:sz w:val="20"/>
          <w:szCs w:val="20"/>
          <w:lang w:eastAsia="cs-CZ"/>
          <w14:ligatures w14:val="none"/>
        </w:rPr>
        <w:t xml:space="preserve"> ve stejnojmenné obci </w:t>
      </w:r>
      <w:r w:rsidR="000F7746" w:rsidRPr="113D6C7C">
        <w:rPr>
          <w:rFonts w:ascii="Arial" w:eastAsia="Arial" w:hAnsi="Arial" w:cs="Arial"/>
          <w:kern w:val="0"/>
          <w:sz w:val="20"/>
          <w:szCs w:val="20"/>
          <w:lang w:eastAsia="cs-CZ"/>
          <w14:ligatures w14:val="none"/>
        </w:rPr>
        <w:t xml:space="preserve">(správní obvod obce s rozšířenou působností, dále jen </w:t>
      </w:r>
      <w:r w:rsidR="000F7746" w:rsidRPr="22CBF0FD">
        <w:rPr>
          <w:rFonts w:ascii="Arial" w:eastAsia="Arial" w:hAnsi="Arial" w:cs="Arial"/>
          <w:sz w:val="20"/>
          <w:szCs w:val="20"/>
          <w:lang w:eastAsia="cs-CZ"/>
        </w:rPr>
        <w:t>„ORP</w:t>
      </w:r>
      <w:r w:rsidR="000F7746" w:rsidRPr="113D6C7C">
        <w:rPr>
          <w:rFonts w:ascii="Arial" w:eastAsia="Arial" w:hAnsi="Arial" w:cs="Arial"/>
          <w:kern w:val="0"/>
          <w:sz w:val="20"/>
          <w:szCs w:val="20"/>
          <w:lang w:eastAsia="cs-CZ"/>
          <w14:ligatures w14:val="none"/>
        </w:rPr>
        <w:t>“</w:t>
      </w:r>
      <w:r w:rsidR="000F7746" w:rsidRPr="22CBF0FD">
        <w:rPr>
          <w:rFonts w:ascii="Arial" w:eastAsia="Arial" w:hAnsi="Arial" w:cs="Arial"/>
          <w:sz w:val="20"/>
          <w:szCs w:val="20"/>
          <w:lang w:eastAsia="cs-CZ"/>
        </w:rPr>
        <w:t>, Přeštice)</w:t>
      </w:r>
      <w:r w:rsidR="00240FFF">
        <w:rPr>
          <w:rFonts w:ascii="Arial" w:eastAsia="Arial" w:hAnsi="Arial" w:cs="Arial"/>
          <w:sz w:val="20"/>
          <w:szCs w:val="20"/>
          <w:lang w:eastAsia="cs-CZ"/>
        </w:rPr>
        <w:t xml:space="preserve">, </w:t>
      </w:r>
      <w:r w:rsidR="00240FFF" w:rsidRPr="113D6C7C">
        <w:rPr>
          <w:rFonts w:ascii="Arial" w:eastAsia="Arial" w:hAnsi="Arial" w:cs="Arial"/>
          <w:kern w:val="0"/>
          <w:sz w:val="20"/>
          <w:szCs w:val="20"/>
          <w:lang w:eastAsia="cs-CZ"/>
          <w14:ligatures w14:val="none"/>
        </w:rPr>
        <w:t>797081 Březí u Žinkov</w:t>
      </w:r>
      <w:r w:rsidR="00240FFF">
        <w:rPr>
          <w:rFonts w:ascii="Arial" w:eastAsia="Arial" w:hAnsi="Arial" w:cs="Arial"/>
          <w:kern w:val="0"/>
          <w:sz w:val="20"/>
          <w:szCs w:val="20"/>
          <w:lang w:eastAsia="cs-CZ"/>
          <w14:ligatures w14:val="none"/>
        </w:rPr>
        <w:t xml:space="preserve"> v obci Žinkovy (správní obvod ORP </w:t>
      </w:r>
      <w:r w:rsidR="00A9016B">
        <w:rPr>
          <w:rFonts w:ascii="Arial" w:eastAsia="Arial" w:hAnsi="Arial" w:cs="Arial"/>
          <w:kern w:val="0"/>
          <w:sz w:val="20"/>
          <w:szCs w:val="20"/>
          <w:lang w:eastAsia="cs-CZ"/>
          <w14:ligatures w14:val="none"/>
        </w:rPr>
        <w:t xml:space="preserve">Nepomuk), </w:t>
      </w:r>
      <w:r w:rsidR="00190527" w:rsidRPr="113D6C7C">
        <w:rPr>
          <w:rFonts w:ascii="Arial" w:eastAsia="Arial" w:hAnsi="Arial" w:cs="Arial"/>
          <w:kern w:val="0"/>
          <w:sz w:val="20"/>
          <w:szCs w:val="20"/>
          <w:lang w:eastAsia="cs-CZ"/>
          <w14:ligatures w14:val="none"/>
        </w:rPr>
        <w:t>680583 Kbelnice u Letin,</w:t>
      </w:r>
      <w:r w:rsidR="00190527" w:rsidRPr="00190527">
        <w:rPr>
          <w:rFonts w:ascii="Arial" w:eastAsia="Arial" w:hAnsi="Arial" w:cs="Arial"/>
          <w:kern w:val="0"/>
          <w:sz w:val="20"/>
          <w:szCs w:val="20"/>
          <w:lang w:eastAsia="cs-CZ"/>
          <w14:ligatures w14:val="none"/>
        </w:rPr>
        <w:t xml:space="preserve"> </w:t>
      </w:r>
      <w:r w:rsidR="00704C40" w:rsidRPr="113D6C7C">
        <w:rPr>
          <w:rFonts w:ascii="Arial" w:eastAsia="Arial" w:hAnsi="Arial" w:cs="Arial"/>
          <w:kern w:val="0"/>
          <w:sz w:val="20"/>
          <w:szCs w:val="20"/>
          <w:lang w:eastAsia="cs-CZ"/>
          <w14:ligatures w14:val="none"/>
        </w:rPr>
        <w:t xml:space="preserve">680613 Svárkov </w:t>
      </w:r>
      <w:r w:rsidR="00704C40">
        <w:rPr>
          <w:rFonts w:ascii="Arial" w:eastAsia="Arial" w:hAnsi="Arial" w:cs="Arial"/>
          <w:kern w:val="0"/>
          <w:sz w:val="20"/>
          <w:szCs w:val="20"/>
          <w:lang w:eastAsia="cs-CZ"/>
          <w14:ligatures w14:val="none"/>
        </w:rPr>
        <w:t xml:space="preserve">a </w:t>
      </w:r>
      <w:r w:rsidR="00190527" w:rsidRPr="113D6C7C">
        <w:rPr>
          <w:rFonts w:ascii="Arial" w:eastAsia="Arial" w:hAnsi="Arial" w:cs="Arial"/>
          <w:kern w:val="0"/>
          <w:sz w:val="20"/>
          <w:szCs w:val="20"/>
          <w:lang w:eastAsia="cs-CZ"/>
          <w14:ligatures w14:val="none"/>
        </w:rPr>
        <w:t>680605 Letiny</w:t>
      </w:r>
      <w:r w:rsidR="00704C40">
        <w:rPr>
          <w:rFonts w:ascii="Arial" w:eastAsia="Arial" w:hAnsi="Arial" w:cs="Arial"/>
          <w:kern w:val="0"/>
          <w:sz w:val="20"/>
          <w:szCs w:val="20"/>
          <w:lang w:eastAsia="cs-CZ"/>
          <w14:ligatures w14:val="none"/>
        </w:rPr>
        <w:t xml:space="preserve"> ve stejnojmenné obci a </w:t>
      </w:r>
      <w:r w:rsidR="00704C40" w:rsidRPr="113D6C7C">
        <w:rPr>
          <w:rFonts w:ascii="Arial" w:eastAsia="Arial" w:hAnsi="Arial" w:cs="Arial"/>
          <w:kern w:val="0"/>
          <w:sz w:val="20"/>
          <w:szCs w:val="20"/>
          <w:lang w:eastAsia="cs-CZ"/>
          <w14:ligatures w14:val="none"/>
        </w:rPr>
        <w:t>774421 Únětice u Blovic</w:t>
      </w:r>
      <w:r w:rsidR="00704C40">
        <w:rPr>
          <w:rFonts w:ascii="Arial" w:eastAsia="Arial" w:hAnsi="Arial" w:cs="Arial"/>
          <w:kern w:val="0"/>
          <w:sz w:val="20"/>
          <w:szCs w:val="20"/>
          <w:lang w:eastAsia="cs-CZ"/>
          <w14:ligatures w14:val="none"/>
        </w:rPr>
        <w:t xml:space="preserve"> v obci Únětice</w:t>
      </w:r>
      <w:r w:rsidR="009E23FE">
        <w:rPr>
          <w:rFonts w:ascii="Arial" w:eastAsia="Arial" w:hAnsi="Arial" w:cs="Arial"/>
          <w:kern w:val="0"/>
          <w:sz w:val="20"/>
          <w:szCs w:val="20"/>
          <w:lang w:eastAsia="cs-CZ"/>
          <w14:ligatures w14:val="none"/>
        </w:rPr>
        <w:t xml:space="preserve"> (správní obvod ORP Blovice) </w:t>
      </w:r>
      <w:r w:rsidRPr="009E23FE">
        <w:rPr>
          <w:rFonts w:ascii="Arial" w:eastAsia="Arial" w:hAnsi="Arial" w:cs="Arial"/>
          <w:sz w:val="20"/>
          <w:szCs w:val="20"/>
          <w:lang w:eastAsia="cs-CZ"/>
        </w:rPr>
        <w:t>a je vyznačena ve výkresu, který je přílohou tohoto územního opatření a je jeho nedílnou součástí. </w:t>
      </w:r>
    </w:p>
    <w:p w14:paraId="616A86BD" w14:textId="7A4A878E" w:rsidR="00CD3093" w:rsidRPr="00CD3093" w:rsidRDefault="00CD3093" w:rsidP="005C4521">
      <w:pPr>
        <w:pStyle w:val="Odstavecseseznamem"/>
        <w:numPr>
          <w:ilvl w:val="0"/>
          <w:numId w:val="42"/>
        </w:numPr>
        <w:spacing w:before="120" w:after="120" w:line="276" w:lineRule="auto"/>
        <w:ind w:left="0" w:firstLine="0"/>
        <w:contextualSpacing w:val="0"/>
        <w:jc w:val="both"/>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V souladu s vymezením akcelerační oblasti ve Změně č. 2 územního rozvojového plánu je akcelerační oblast určena pro rozvoj výroby energie z </w:t>
      </w:r>
      <w:r w:rsidRPr="113D6C7C">
        <w:rPr>
          <w:rFonts w:ascii="Arial" w:eastAsia="Arial" w:hAnsi="Arial" w:cs="Arial"/>
          <w:b/>
          <w:bCs/>
          <w:kern w:val="0"/>
          <w:sz w:val="20"/>
          <w:szCs w:val="20"/>
          <w:lang w:eastAsia="cs-CZ"/>
          <w14:ligatures w14:val="none"/>
        </w:rPr>
        <w:t>větrné energie.</w:t>
      </w:r>
      <w:r w:rsidRPr="113D6C7C">
        <w:rPr>
          <w:rFonts w:ascii="Arial" w:eastAsia="Arial" w:hAnsi="Arial" w:cs="Arial"/>
          <w:kern w:val="0"/>
          <w:sz w:val="20"/>
          <w:szCs w:val="20"/>
          <w:lang w:eastAsia="cs-CZ"/>
          <w14:ligatures w14:val="none"/>
        </w:rPr>
        <w:t> </w:t>
      </w:r>
    </w:p>
    <w:p w14:paraId="35306401" w14:textId="16B2CF4F" w:rsidR="00CD3093" w:rsidRPr="000F70AD" w:rsidRDefault="00CD3093" w:rsidP="005C4521">
      <w:pPr>
        <w:pStyle w:val="Odstavecseseznamem"/>
        <w:numPr>
          <w:ilvl w:val="0"/>
          <w:numId w:val="42"/>
        </w:numPr>
        <w:spacing w:before="120" w:after="120" w:line="276" w:lineRule="auto"/>
        <w:ind w:left="0" w:firstLine="0"/>
        <w:contextualSpacing w:val="0"/>
        <w:jc w:val="both"/>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Územní opatření stanovuje pro záměry sloužící k využití energie podle bodu 2, splňující definiční znaky podle § 2 písm. a) ZOZE a navrhované a provedené v akcelerační oblasti (dále jen „záměry OZE“) následující </w:t>
      </w:r>
      <w:r w:rsidRPr="113D6C7C">
        <w:rPr>
          <w:rFonts w:ascii="Arial" w:eastAsia="Arial" w:hAnsi="Arial" w:cs="Arial"/>
          <w:b/>
          <w:bCs/>
          <w:kern w:val="0"/>
          <w:sz w:val="20"/>
          <w:szCs w:val="20"/>
          <w:lang w:eastAsia="cs-CZ"/>
          <w14:ligatures w14:val="none"/>
        </w:rPr>
        <w:t>podmínky a zmírňující opatření pro povolení, provedení nebo užívání záměrů OZE:</w:t>
      </w:r>
      <w:r w:rsidRPr="113D6C7C">
        <w:rPr>
          <w:rFonts w:ascii="Arial" w:eastAsia="Arial" w:hAnsi="Arial" w:cs="Arial"/>
          <w:kern w:val="0"/>
          <w:sz w:val="20"/>
          <w:szCs w:val="20"/>
          <w:lang w:eastAsia="cs-CZ"/>
          <w14:ligatures w14:val="none"/>
        </w:rPr>
        <w:t> </w:t>
      </w:r>
    </w:p>
    <w:p w14:paraId="5AECFA7A" w14:textId="26E603AA" w:rsidR="004A3FD4" w:rsidRPr="000F70AD" w:rsidRDefault="004A3FD4" w:rsidP="0069650F">
      <w:pPr>
        <w:pStyle w:val="Odstavecseseznamem"/>
        <w:numPr>
          <w:ilvl w:val="1"/>
          <w:numId w:val="42"/>
        </w:numPr>
        <w:spacing w:before="240" w:after="120" w:line="276" w:lineRule="auto"/>
        <w:ind w:hanging="720"/>
        <w:contextualSpacing w:val="0"/>
        <w:jc w:val="both"/>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Podmínky a zmírňující opatření pro povolení a provedení záměrů OZE: </w:t>
      </w:r>
    </w:p>
    <w:p w14:paraId="7510438B" w14:textId="68145056" w:rsidR="004A3FD4" w:rsidRPr="00353E1B"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xml:space="preserve">Výška větrných elektráren (dále </w:t>
      </w:r>
      <w:r w:rsidR="7FF7972A" w:rsidRPr="113D6C7C">
        <w:rPr>
          <w:rFonts w:ascii="Arial" w:eastAsia="Arial" w:hAnsi="Arial" w:cs="Arial"/>
          <w:kern w:val="0"/>
          <w:sz w:val="20"/>
          <w:szCs w:val="20"/>
          <w:lang w:eastAsia="cs-CZ"/>
          <w14:ligatures w14:val="none"/>
        </w:rPr>
        <w:t>též</w:t>
      </w:r>
      <w:r w:rsidRPr="113D6C7C">
        <w:rPr>
          <w:rFonts w:ascii="Arial" w:eastAsia="Arial" w:hAnsi="Arial" w:cs="Arial"/>
          <w:kern w:val="0"/>
          <w:sz w:val="20"/>
          <w:szCs w:val="20"/>
          <w:lang w:eastAsia="cs-CZ"/>
          <w14:ligatures w14:val="none"/>
        </w:rPr>
        <w:t xml:space="preserve"> </w:t>
      </w:r>
      <w:r w:rsidR="6088C13D" w:rsidRPr="22CBF0FD">
        <w:rPr>
          <w:rFonts w:ascii="Arial" w:eastAsia="Arial" w:hAnsi="Arial" w:cs="Arial"/>
          <w:sz w:val="20"/>
          <w:szCs w:val="20"/>
          <w:lang w:eastAsia="cs-CZ"/>
        </w:rPr>
        <w:t>„VTE“</w:t>
      </w:r>
      <w:r w:rsidRPr="113D6C7C">
        <w:rPr>
          <w:rFonts w:ascii="Arial" w:eastAsia="Arial" w:hAnsi="Arial" w:cs="Arial"/>
          <w:kern w:val="0"/>
          <w:sz w:val="20"/>
          <w:szCs w:val="20"/>
          <w:lang w:eastAsia="cs-CZ"/>
          <w14:ligatures w14:val="none"/>
        </w:rPr>
        <w:t>) v akcelerační oblasti nepřesáhne 250,0 m, měřeno od úrovně styku stožáru (tubusu) větrné elektrárny se základem po horní úvrať listů rotoru</w:t>
      </w:r>
      <w:r w:rsidR="004A3FD4" w:rsidRPr="113D6C7C">
        <w:rPr>
          <w:rFonts w:ascii="Arial" w:eastAsia="Arial" w:hAnsi="Arial" w:cs="Arial"/>
          <w:kern w:val="0"/>
          <w:sz w:val="20"/>
          <w:szCs w:val="20"/>
          <w:lang w:eastAsia="cs-CZ"/>
          <w14:ligatures w14:val="none"/>
        </w:rPr>
        <w:t xml:space="preserve">. </w:t>
      </w:r>
    </w:p>
    <w:p w14:paraId="0BFC269B" w14:textId="5EAAAA52" w:rsidR="004A3FD4" w:rsidRPr="00353E1B"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xml:space="preserve">Záměry OZE a související infrastruktury budou umisťovány mimo nemovité kulturní památky. Půdorysná výměra areálů určených pro skladování elektřiny (např. oplocených areálů s kontejnery) nepřesáhne 0,06 ha </w:t>
      </w:r>
      <w:r w:rsidR="004D33D9">
        <w:rPr>
          <w:rFonts w:ascii="Arial" w:eastAsia="Arial" w:hAnsi="Arial" w:cs="Arial"/>
          <w:kern w:val="0"/>
          <w:sz w:val="20"/>
          <w:szCs w:val="20"/>
          <w:lang w:eastAsia="cs-CZ"/>
          <w14:ligatures w14:val="none"/>
        </w:rPr>
        <w:t>na jednu VTE</w:t>
      </w:r>
      <w:r w:rsidRPr="113D6C7C">
        <w:rPr>
          <w:rFonts w:ascii="Arial" w:eastAsia="Arial" w:hAnsi="Arial" w:cs="Arial"/>
          <w:kern w:val="0"/>
          <w:sz w:val="20"/>
          <w:szCs w:val="20"/>
          <w:lang w:eastAsia="cs-CZ"/>
          <w14:ligatures w14:val="none"/>
        </w:rPr>
        <w:t xml:space="preserve"> </w:t>
      </w:r>
      <w:r w:rsidRPr="004D33D9">
        <w:rPr>
          <w:rFonts w:ascii="Arial" w:eastAsia="Arial" w:hAnsi="Arial" w:cs="Arial"/>
          <w:kern w:val="0"/>
          <w:sz w:val="20"/>
          <w:szCs w:val="20"/>
          <w:lang w:eastAsia="cs-CZ"/>
          <w14:ligatures w14:val="none"/>
        </w:rPr>
        <w:t>a 0,</w:t>
      </w:r>
      <w:r w:rsidR="004D33D9" w:rsidRPr="004D33D9">
        <w:rPr>
          <w:rFonts w:ascii="Arial" w:eastAsia="Arial" w:hAnsi="Arial" w:cs="Arial"/>
          <w:kern w:val="0"/>
          <w:sz w:val="20"/>
          <w:szCs w:val="20"/>
          <w:lang w:eastAsia="cs-CZ"/>
          <w14:ligatures w14:val="none"/>
        </w:rPr>
        <w:t>8</w:t>
      </w:r>
      <w:r w:rsidRPr="004D33D9">
        <w:rPr>
          <w:rFonts w:ascii="Arial" w:eastAsia="Arial" w:hAnsi="Arial" w:cs="Arial"/>
          <w:kern w:val="0"/>
          <w:sz w:val="20"/>
          <w:szCs w:val="20"/>
          <w:lang w:eastAsia="cs-CZ"/>
          <w14:ligatures w14:val="none"/>
        </w:rPr>
        <w:t xml:space="preserve"> ha</w:t>
      </w:r>
      <w:r w:rsidRPr="113D6C7C">
        <w:rPr>
          <w:rFonts w:ascii="Arial" w:eastAsia="Arial" w:hAnsi="Arial" w:cs="Arial"/>
          <w:kern w:val="0"/>
          <w:sz w:val="20"/>
          <w:szCs w:val="20"/>
          <w:lang w:eastAsia="cs-CZ"/>
          <w14:ligatures w14:val="none"/>
        </w:rPr>
        <w:t xml:space="preserve">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w:t>
      </w:r>
      <w:r w:rsidR="004A3FD4" w:rsidRPr="113D6C7C">
        <w:rPr>
          <w:rFonts w:ascii="Arial" w:eastAsia="Arial" w:hAnsi="Arial" w:cs="Arial"/>
          <w:kern w:val="0"/>
          <w:sz w:val="20"/>
          <w:szCs w:val="20"/>
          <w:lang w:eastAsia="cs-CZ"/>
          <w14:ligatures w14:val="none"/>
        </w:rPr>
        <w:t xml:space="preserve"> </w:t>
      </w:r>
    </w:p>
    <w:p w14:paraId="72964236" w14:textId="1F1D4EA9"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xml:space="preserve">Vedlejší stavby a zařízení záměru OZE včetně oplocení budou navrženy a provedeny tak, že na obvodový plášť staveb a zařízení a na oplocení nebudou použity výrazné barvy; </w:t>
      </w:r>
      <w:r w:rsidRPr="113D6C7C">
        <w:rPr>
          <w:rFonts w:ascii="Arial" w:eastAsia="Arial" w:hAnsi="Arial" w:cs="Arial"/>
          <w:kern w:val="0"/>
          <w:sz w:val="20"/>
          <w:szCs w:val="20"/>
          <w:lang w:eastAsia="cs-CZ"/>
          <w14:ligatures w14:val="none"/>
        </w:rPr>
        <w:lastRenderedPageBreak/>
        <w:t xml:space="preserve">použity budou tlumené, přírodní a neutrální odstíny (typicky tmavě zelená, hnědá nebo šedá) v matném provedení. </w:t>
      </w:r>
    </w:p>
    <w:p w14:paraId="09770CF4" w14:textId="77777777"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37389F85" w14:textId="77777777"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Záměry OZE budou umisťovány tak, aby nebyla narušena funkce stávajících funkčních meliorací.</w:t>
      </w:r>
    </w:p>
    <w:p w14:paraId="124C719C" w14:textId="31D175B2"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Záměry OZE budou umisťovány do území tak, aby v okolí nevznikly zemědělské pozemky bez přístupu k veřejně přístupné pozemní komunikaci, nebo neobhospodařovatelné zbytkové zemědělské pozemky.</w:t>
      </w:r>
      <w:r w:rsidR="00EE2D94" w:rsidRPr="00EE2D94">
        <w:rPr>
          <w:rFonts w:ascii="Arial" w:hAnsi="Arial" w:cs="Arial"/>
          <w:sz w:val="20"/>
          <w:szCs w:val="20"/>
          <w14:ligatures w14:val="none"/>
        </w:rPr>
        <w:t xml:space="preserve"> </w:t>
      </w:r>
      <w:r w:rsidR="00EE2D94" w:rsidRPr="00EE2D94">
        <w:rPr>
          <w:rFonts w:ascii="Arial" w:eastAsia="Arial" w:hAnsi="Arial" w:cs="Arial"/>
          <w:kern w:val="0"/>
          <w:sz w:val="20"/>
          <w:szCs w:val="20"/>
          <w:lang w:eastAsia="cs-CZ"/>
          <w14:ligatures w14:val="none"/>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19AF1B4E" w14:textId="3D4BBF0F"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Záměry OZE budou umisťovány tak, aby nebyla poškozena protierozní opatření realizovaná v souladu s rozhodnutími podle jiných právních předpisů.</w:t>
      </w:r>
    </w:p>
    <w:p w14:paraId="6DB74A90" w14:textId="4F421FED"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xml:space="preserve">Záměry OZE a související infrastruktury budou umisťovány mimo mokřady, prameniště, rašeliniště, vodní plochy a toky (trvalé i občasné) ve vzdálenosti min. 8 metrů od břehové hrany, </w:t>
      </w:r>
      <w:r w:rsidR="0045305D">
        <w:rPr>
          <w:rFonts w:ascii="Arial" w:eastAsia="Arial" w:hAnsi="Arial" w:cs="Arial"/>
          <w:kern w:val="0"/>
          <w:sz w:val="20"/>
          <w:szCs w:val="20"/>
          <w:lang w:eastAsia="cs-CZ"/>
          <w14:ligatures w14:val="none"/>
        </w:rPr>
        <w:t>případně</w:t>
      </w:r>
      <w:r w:rsidR="003F6DF8">
        <w:rPr>
          <w:rFonts w:ascii="Arial" w:eastAsia="Arial" w:hAnsi="Arial" w:cs="Arial"/>
          <w:kern w:val="0"/>
          <w:sz w:val="20"/>
          <w:szCs w:val="20"/>
          <w:lang w:eastAsia="cs-CZ"/>
          <w14:ligatures w14:val="none"/>
        </w:rPr>
        <w:t xml:space="preserve"> od okrajů</w:t>
      </w:r>
      <w:r w:rsidR="0045305D">
        <w:rPr>
          <w:rFonts w:ascii="Arial" w:eastAsia="Arial" w:hAnsi="Arial" w:cs="Arial"/>
          <w:kern w:val="0"/>
          <w:sz w:val="20"/>
          <w:szCs w:val="20"/>
          <w:lang w:eastAsia="cs-CZ"/>
          <w14:ligatures w14:val="none"/>
        </w:rPr>
        <w:t xml:space="preserve"> břehových porostů, </w:t>
      </w:r>
      <w:r w:rsidRPr="113D6C7C">
        <w:rPr>
          <w:rFonts w:ascii="Arial" w:eastAsia="Arial" w:hAnsi="Arial" w:cs="Arial"/>
          <w:kern w:val="0"/>
          <w:sz w:val="20"/>
          <w:szCs w:val="20"/>
          <w:lang w:eastAsia="cs-CZ"/>
          <w14:ligatures w14:val="none"/>
        </w:rPr>
        <w:t xml:space="preserve">vyjma nezbytných křížení liniové dopravní a technické infrastruktury s vodním tokem. </w:t>
      </w:r>
    </w:p>
    <w:p w14:paraId="2BB45E3D" w14:textId="67D0BC48" w:rsidR="00481715" w:rsidRPr="00481715"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113D6C7C">
        <w:rPr>
          <w:rFonts w:ascii="Arial" w:eastAsia="Arial" w:hAnsi="Arial" w:cs="Arial"/>
          <w:kern w:val="0"/>
          <w:sz w:val="20"/>
          <w:szCs w:val="20"/>
          <w:lang w:eastAsia="cs-CZ"/>
          <w14:ligatures w14:val="none"/>
        </w:rPr>
        <w:t xml:space="preserve">Záměry OZE budou umisťovány mimo plochy a koridory lokálního územního systému ekologické stability (dále jen </w:t>
      </w:r>
      <w:r w:rsidR="3ADC7C70" w:rsidRPr="22CBF0FD">
        <w:rPr>
          <w:rFonts w:ascii="Arial" w:eastAsia="Arial" w:hAnsi="Arial" w:cs="Arial"/>
          <w:sz w:val="20"/>
          <w:szCs w:val="20"/>
          <w:lang w:eastAsia="cs-CZ"/>
        </w:rPr>
        <w:t>„ÚSES“</w:t>
      </w:r>
      <w:r w:rsidRPr="113D6C7C">
        <w:rPr>
          <w:rFonts w:ascii="Arial" w:eastAsia="Arial" w:hAnsi="Arial" w:cs="Arial"/>
          <w:kern w:val="0"/>
          <w:sz w:val="20"/>
          <w:szCs w:val="20"/>
          <w:lang w:eastAsia="cs-CZ"/>
          <w14:ligatures w14:val="none"/>
        </w:rPr>
        <w:t>) a mimo regionální a nadregionální biokoridory, vyjma nezbytných křížení liniové dopravní a technické infrastruktury s biokoridory.</w:t>
      </w:r>
    </w:p>
    <w:p w14:paraId="4190219A" w14:textId="23AF7D47" w:rsidR="00481715" w:rsidRPr="00F53F0C"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 xml:space="preserve">Bude zajištěna ochrana ptáků </w:t>
      </w:r>
      <w:r w:rsidR="00EE2D94">
        <w:rPr>
          <w:rFonts w:ascii="Arial" w:eastAsia="Arial" w:hAnsi="Arial" w:cs="Arial"/>
          <w:kern w:val="0"/>
          <w:sz w:val="20"/>
          <w:szCs w:val="20"/>
          <w:lang w:eastAsia="cs-CZ"/>
          <w14:ligatures w14:val="none"/>
        </w:rPr>
        <w:t xml:space="preserve">a netopýrů </w:t>
      </w:r>
      <w:r w:rsidRPr="00F53F0C">
        <w:rPr>
          <w:rFonts w:ascii="Arial" w:eastAsia="Arial" w:hAnsi="Arial" w:cs="Arial"/>
          <w:kern w:val="0"/>
          <w:sz w:val="20"/>
          <w:szCs w:val="20"/>
          <w:lang w:eastAsia="cs-CZ"/>
          <w14:ligatures w14:val="none"/>
        </w:rPr>
        <w:t xml:space="preserve">těmito způsoby: </w:t>
      </w:r>
    </w:p>
    <w:p w14:paraId="5165E9CF" w14:textId="77777777" w:rsidR="00481715" w:rsidRPr="00F53F0C" w:rsidRDefault="00481715" w:rsidP="00F34925">
      <w:pPr>
        <w:pStyle w:val="Odstavecseseznamem"/>
        <w:numPr>
          <w:ilvl w:val="0"/>
          <w:numId w:val="36"/>
        </w:numPr>
        <w:spacing w:after="0" w:line="276" w:lineRule="auto"/>
        <w:ind w:left="1843" w:hanging="425"/>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Před úrazy a mortalitou na elektrickém vedení – přípojné elektrické vedení bude přednostně realizováno podzemním kabelem za předpokladu, že se vyhne chráněným biotopům a stanovištím.</w:t>
      </w:r>
    </w:p>
    <w:p w14:paraId="4DC7945F" w14:textId="21355E40" w:rsidR="00481715" w:rsidRPr="00F53F0C" w:rsidRDefault="00481715" w:rsidP="00F34925">
      <w:pPr>
        <w:pStyle w:val="Odstavecseseznamem"/>
        <w:numPr>
          <w:ilvl w:val="0"/>
          <w:numId w:val="36"/>
        </w:numPr>
        <w:spacing w:after="0" w:line="276" w:lineRule="auto"/>
        <w:ind w:left="1843" w:hanging="425"/>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Před kolizemi s lopatkami VTE volbou vhodného technického řešení</w:t>
      </w:r>
      <w:r w:rsidR="00153051">
        <w:rPr>
          <w:rFonts w:ascii="Arial" w:eastAsia="Arial" w:hAnsi="Arial" w:cs="Arial"/>
          <w:kern w:val="0"/>
          <w:sz w:val="20"/>
          <w:szCs w:val="20"/>
          <w:lang w:eastAsia="cs-CZ"/>
          <w14:ligatures w14:val="none"/>
        </w:rPr>
        <w:t xml:space="preserve"> </w:t>
      </w:r>
      <w:r w:rsidR="00153051" w:rsidRPr="00153051">
        <w:rPr>
          <w:rFonts w:ascii="Arial" w:eastAsia="Arial" w:hAnsi="Arial" w:cs="Arial"/>
          <w:kern w:val="0"/>
          <w:sz w:val="20"/>
          <w:szCs w:val="20"/>
          <w:lang w:eastAsia="cs-CZ"/>
          <w14:ligatures w14:val="none"/>
        </w:rPr>
        <w:t>(viz bod 3.2)</w:t>
      </w:r>
      <w:r w:rsidRPr="00F53F0C">
        <w:rPr>
          <w:rFonts w:ascii="Arial" w:eastAsia="Arial" w:hAnsi="Arial" w:cs="Arial"/>
          <w:kern w:val="0"/>
          <w:sz w:val="20"/>
          <w:szCs w:val="20"/>
          <w:lang w:eastAsia="cs-CZ"/>
          <w14:ligatures w14:val="none"/>
        </w:rPr>
        <w:t>.</w:t>
      </w:r>
    </w:p>
    <w:p w14:paraId="7C93E91C" w14:textId="2EAF4135" w:rsidR="00481715" w:rsidRPr="00F53F0C" w:rsidRDefault="00481715" w:rsidP="00F34925">
      <w:pPr>
        <w:pStyle w:val="Odstavecseseznamem"/>
        <w:numPr>
          <w:ilvl w:val="0"/>
          <w:numId w:val="36"/>
        </w:numPr>
        <w:spacing w:after="0" w:line="276" w:lineRule="auto"/>
        <w:ind w:left="1843" w:hanging="425"/>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 xml:space="preserve">Před hnízděním na VTE </w:t>
      </w:r>
      <w:r w:rsidR="00EF0283">
        <w:rPr>
          <w:rFonts w:ascii="Arial" w:eastAsia="Arial" w:hAnsi="Arial" w:cs="Arial"/>
          <w:kern w:val="0"/>
          <w:sz w:val="20"/>
          <w:szCs w:val="20"/>
          <w:lang w:eastAsia="cs-CZ"/>
          <w14:ligatures w14:val="none"/>
        </w:rPr>
        <w:t xml:space="preserve">nebo pronikáním do její konstrukce </w:t>
      </w:r>
      <w:r w:rsidRPr="00F53F0C">
        <w:rPr>
          <w:rFonts w:ascii="Arial" w:eastAsia="Arial" w:hAnsi="Arial" w:cs="Arial"/>
          <w:kern w:val="0"/>
          <w:sz w:val="20"/>
          <w:szCs w:val="20"/>
          <w:lang w:eastAsia="cs-CZ"/>
          <w14:ligatures w14:val="none"/>
        </w:rPr>
        <w:t>volbou vhodného technického řešení</w:t>
      </w:r>
      <w:r w:rsidR="000304B2">
        <w:rPr>
          <w:rFonts w:ascii="Arial" w:eastAsia="Arial" w:hAnsi="Arial" w:cs="Arial"/>
          <w:kern w:val="0"/>
          <w:sz w:val="20"/>
          <w:szCs w:val="20"/>
          <w:lang w:eastAsia="cs-CZ"/>
          <w14:ligatures w14:val="none"/>
        </w:rPr>
        <w:t xml:space="preserve"> – to bude voleno tak, aby bylo dostatečně účinné, ale nepředstavovalo riziko úrazů a mortality ptáků a netopýrů</w:t>
      </w:r>
      <w:r w:rsidRPr="00F53F0C">
        <w:rPr>
          <w:rFonts w:ascii="Arial" w:eastAsia="Arial" w:hAnsi="Arial" w:cs="Arial"/>
          <w:kern w:val="0"/>
          <w:sz w:val="20"/>
          <w:szCs w:val="20"/>
          <w:lang w:eastAsia="cs-CZ"/>
          <w14:ligatures w14:val="none"/>
        </w:rPr>
        <w:t>.</w:t>
      </w:r>
    </w:p>
    <w:p w14:paraId="5162C6E4" w14:textId="4CD2127E" w:rsidR="00481715" w:rsidRPr="00F53F0C" w:rsidRDefault="00481715" w:rsidP="00F34925">
      <w:pPr>
        <w:pStyle w:val="Odstavecseseznamem"/>
        <w:numPr>
          <w:ilvl w:val="0"/>
          <w:numId w:val="36"/>
        </w:numPr>
        <w:spacing w:after="0" w:line="276" w:lineRule="auto"/>
        <w:ind w:left="1843" w:hanging="425"/>
        <w:jc w:val="both"/>
        <w:textAlignment w:val="baseline"/>
        <w:rPr>
          <w:rFonts w:ascii="Arial" w:hAnsi="Arial" w:cs="Arial"/>
          <w:kern w:val="0"/>
          <w14:ligatures w14:val="none"/>
        </w:rPr>
      </w:pPr>
      <w:r w:rsidRPr="00F53F0C">
        <w:rPr>
          <w:rFonts w:ascii="Arial" w:eastAsia="Arial" w:hAnsi="Arial" w:cs="Arial"/>
          <w:kern w:val="0"/>
          <w:sz w:val="20"/>
          <w:szCs w:val="20"/>
          <w:lang w:eastAsia="cs-CZ"/>
          <w14:ligatures w14:val="none"/>
        </w:rPr>
        <w:t>Výstavba větrných elektráren a doprovodné infrastruktury bude realizována mimo období hnízdění ptáků</w:t>
      </w:r>
      <w:r w:rsidR="63C277B7" w:rsidRPr="00F53F0C">
        <w:rPr>
          <w:rFonts w:ascii="Arial" w:eastAsia="Arial" w:hAnsi="Arial" w:cs="Arial"/>
          <w:kern w:val="0"/>
          <w:sz w:val="20"/>
          <w:szCs w:val="20"/>
          <w:lang w:eastAsia="cs-CZ"/>
          <w14:ligatures w14:val="none"/>
        </w:rPr>
        <w:t xml:space="preserve">, </w:t>
      </w:r>
      <w:r w:rsidR="63C277B7" w:rsidRPr="00F53F0C">
        <w:rPr>
          <w:rFonts w:ascii="Arial" w:eastAsia="Arial" w:hAnsi="Arial" w:cs="Arial"/>
          <w:color w:val="000000" w:themeColor="text1"/>
          <w:sz w:val="20"/>
          <w:szCs w:val="20"/>
        </w:rPr>
        <w:t>s přihlédnutím ke konkrétní lokalitě záměru a druhům v ní přítomných.</w:t>
      </w:r>
    </w:p>
    <w:p w14:paraId="5574EC13" w14:textId="3B221C25" w:rsidR="00481715" w:rsidRPr="00F53F0C"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 xml:space="preserve">Pro navazující řízení dle stavebního zákona zpracovat hlukovou studii </w:t>
      </w:r>
      <w:r w:rsidR="00FF4D35" w:rsidRPr="00AD32C7">
        <w:rPr>
          <w:rFonts w:ascii="Arial" w:eastAsia="Arial" w:hAnsi="Arial" w:cs="Arial"/>
          <w:kern w:val="0"/>
          <w:sz w:val="20"/>
          <w:szCs w:val="20"/>
          <w:lang w:eastAsia="cs-CZ"/>
          <w14:ligatures w14:val="none"/>
        </w:rPr>
        <w:t>h</w:t>
      </w:r>
      <w:r w:rsidR="00FF4D35" w:rsidRPr="00393701">
        <w:rPr>
          <w:rFonts w:ascii="Arial" w:eastAsia="Arial" w:hAnsi="Arial" w:cs="Arial"/>
          <w:kern w:val="0"/>
          <w:sz w:val="20"/>
          <w:szCs w:val="20"/>
          <w:lang w:eastAsia="cs-CZ"/>
          <w14:ligatures w14:val="none"/>
        </w:rPr>
        <w:t>odnotící vliv nově umisťovaného OZE</w:t>
      </w:r>
      <w:r w:rsidR="00FF4D35" w:rsidRPr="00FF4D35">
        <w:rPr>
          <w:rFonts w:ascii="Arial" w:eastAsia="Arial" w:hAnsi="Arial" w:cs="Arial"/>
          <w:kern w:val="0"/>
          <w:sz w:val="20"/>
          <w:szCs w:val="20"/>
          <w:lang w:eastAsia="cs-CZ"/>
          <w14:ligatures w14:val="none"/>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Pr="00F53F0C">
        <w:rPr>
          <w:rFonts w:ascii="Arial" w:eastAsia="Arial" w:hAnsi="Arial" w:cs="Arial"/>
          <w:kern w:val="0"/>
          <w:sz w:val="20"/>
          <w:szCs w:val="20"/>
          <w:lang w:eastAsia="cs-CZ"/>
          <w14:ligatures w14:val="none"/>
        </w:rPr>
        <w:t>.</w:t>
      </w:r>
    </w:p>
    <w:p w14:paraId="3944CE09" w14:textId="3482717F" w:rsidR="00481715" w:rsidRPr="00F53F0C" w:rsidRDefault="00481715"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Pro navazující řízení dle stavebního zákona zpracovat studii působení stroboskopického efektu na obytnou zástavbu s vymezením VTE, u nichž je nutno dobu provozu omezit tak, aby shadow flicker efekt nepřekročil dobu trvání 30 hodin/rok</w:t>
      </w:r>
      <w:r w:rsidR="004A3FD4" w:rsidRPr="00F53F0C">
        <w:rPr>
          <w:rFonts w:ascii="Arial" w:eastAsia="Arial" w:hAnsi="Arial" w:cs="Arial"/>
          <w:kern w:val="0"/>
          <w:sz w:val="20"/>
          <w:szCs w:val="20"/>
          <w:lang w:eastAsia="cs-CZ"/>
          <w14:ligatures w14:val="none"/>
        </w:rPr>
        <w:t>.</w:t>
      </w:r>
    </w:p>
    <w:p w14:paraId="2349A6FA" w14:textId="6700BA69" w:rsidR="00114495" w:rsidRPr="00F53F0C" w:rsidRDefault="00114495" w:rsidP="00101E29">
      <w:pPr>
        <w:numPr>
          <w:ilvl w:val="0"/>
          <w:numId w:val="27"/>
        </w:numPr>
        <w:pBdr>
          <w:top w:val="nil"/>
          <w:left w:val="nil"/>
          <w:bottom w:val="nil"/>
          <w:right w:val="nil"/>
          <w:between w:val="nil"/>
        </w:pBdr>
        <w:spacing w:after="0" w:line="276" w:lineRule="auto"/>
        <w:ind w:left="1213" w:hanging="357"/>
        <w:jc w:val="both"/>
        <w:rPr>
          <w:rFonts w:ascii="Arial" w:eastAsia="Arial" w:hAnsi="Arial" w:cs="Arial"/>
          <w:color w:val="000000"/>
          <w:sz w:val="20"/>
          <w:szCs w:val="20"/>
        </w:rPr>
      </w:pPr>
      <w:r w:rsidRPr="00F53F0C">
        <w:rPr>
          <w:rFonts w:ascii="Arial" w:eastAsia="Arial" w:hAnsi="Arial" w:cs="Arial"/>
          <w:color w:val="000000" w:themeColor="text1"/>
          <w:sz w:val="20"/>
          <w:szCs w:val="20"/>
        </w:rPr>
        <w:t>Pro osvětlení VTE bude použito přerušované světlo, a to v minimálním počtu zdrojů světla a minimální intenzitou a frekvencí záblesků (20</w:t>
      </w:r>
      <w:r w:rsidR="00621D9C">
        <w:rPr>
          <w:rFonts w:ascii="Arial" w:eastAsia="Arial" w:hAnsi="Arial" w:cs="Arial"/>
          <w:color w:val="000000" w:themeColor="text1"/>
          <w:sz w:val="20"/>
          <w:szCs w:val="20"/>
        </w:rPr>
        <w:t>–</w:t>
      </w:r>
      <w:r w:rsidRPr="00F53F0C">
        <w:rPr>
          <w:rFonts w:ascii="Arial" w:eastAsia="Arial" w:hAnsi="Arial" w:cs="Arial"/>
          <w:color w:val="000000" w:themeColor="text1"/>
          <w:sz w:val="20"/>
          <w:szCs w:val="20"/>
        </w:rPr>
        <w:t>60 záblesků/min dle Leteckého předpisu L14). Bude zajištěno stínění světel ze strany a omezení viditelnosti pouze seshora. Nebude použito stálé, rychle pulzující červené světlo nebo široce rozptýlené světlo.</w:t>
      </w:r>
    </w:p>
    <w:p w14:paraId="4B77A44B" w14:textId="5E0ED78A" w:rsidR="00114495" w:rsidRPr="00F53F0C" w:rsidRDefault="43733914" w:rsidP="00101E29">
      <w:pPr>
        <w:pStyle w:val="Odstavecseseznamem"/>
        <w:numPr>
          <w:ilvl w:val="0"/>
          <w:numId w:val="27"/>
        </w:numPr>
        <w:spacing w:after="0" w:line="276" w:lineRule="auto"/>
        <w:ind w:left="1213" w:hanging="357"/>
        <w:jc w:val="both"/>
        <w:textAlignment w:val="baseline"/>
        <w:rPr>
          <w:rFonts w:ascii="Arial" w:eastAsia="Arial" w:hAnsi="Arial" w:cs="Arial"/>
          <w:kern w:val="0"/>
          <w:sz w:val="20"/>
          <w:szCs w:val="20"/>
          <w:lang w:eastAsia="cs-CZ"/>
          <w14:ligatures w14:val="none"/>
        </w:rPr>
      </w:pPr>
      <w:r w:rsidRPr="3F5F1F83">
        <w:rPr>
          <w:rFonts w:ascii="Arial" w:eastAsia="Arial" w:hAnsi="Arial" w:cs="Arial"/>
          <w:color w:val="000000" w:themeColor="text1"/>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r w:rsidR="39B48087" w:rsidRPr="3F5F1F83">
        <w:rPr>
          <w:rFonts w:ascii="Arial" w:eastAsia="Arial" w:hAnsi="Arial" w:cs="Arial"/>
          <w:color w:val="000000" w:themeColor="text1"/>
          <w:sz w:val="20"/>
          <w:szCs w:val="20"/>
        </w:rPr>
        <w:t>.</w:t>
      </w:r>
    </w:p>
    <w:p w14:paraId="58DCE998" w14:textId="6A5D5707" w:rsidR="14749CC7" w:rsidRDefault="14749CC7" w:rsidP="00101E29">
      <w:pPr>
        <w:pStyle w:val="Odstavecseseznamem"/>
        <w:numPr>
          <w:ilvl w:val="0"/>
          <w:numId w:val="27"/>
        </w:numPr>
        <w:spacing w:after="0" w:line="276" w:lineRule="auto"/>
        <w:ind w:left="1213" w:hanging="357"/>
        <w:jc w:val="both"/>
        <w:rPr>
          <w:rFonts w:ascii="Arial" w:eastAsia="Arial" w:hAnsi="Arial" w:cs="Arial"/>
          <w:color w:val="000000" w:themeColor="text1"/>
          <w:sz w:val="20"/>
          <w:szCs w:val="20"/>
          <w:lang w:eastAsia="cs-CZ"/>
        </w:rPr>
      </w:pPr>
      <w:r w:rsidRPr="3F5F1F83">
        <w:rPr>
          <w:rFonts w:ascii="Arial" w:eastAsia="Arial" w:hAnsi="Arial" w:cs="Arial"/>
          <w:color w:val="000000" w:themeColor="text1"/>
          <w:sz w:val="20"/>
          <w:szCs w:val="20"/>
          <w:lang w:eastAsia="cs-CZ"/>
        </w:rPr>
        <w:lastRenderedPageBreak/>
        <w:t>V severozápadní části akcelerační oblasti se nachází poddolované území, které je třeba při umisťování záměrů OZE respektovat.</w:t>
      </w:r>
    </w:p>
    <w:p w14:paraId="5B6D9FE9" w14:textId="2CF8E02A" w:rsidR="23701CF7" w:rsidRPr="00F53F0C" w:rsidRDefault="537350C7" w:rsidP="00101E29">
      <w:pPr>
        <w:pStyle w:val="Odstavecseseznamem"/>
        <w:numPr>
          <w:ilvl w:val="0"/>
          <w:numId w:val="27"/>
        </w:numPr>
        <w:spacing w:after="0" w:line="276" w:lineRule="auto"/>
        <w:ind w:left="1213" w:hanging="357"/>
        <w:jc w:val="both"/>
        <w:rPr>
          <w:rFonts w:ascii="Arial" w:eastAsia="Arial" w:hAnsi="Arial" w:cs="Arial"/>
          <w:color w:val="000000" w:themeColor="text1"/>
          <w:sz w:val="20"/>
          <w:szCs w:val="20"/>
        </w:rPr>
      </w:pPr>
      <w:r w:rsidRPr="00F53F0C">
        <w:rPr>
          <w:rFonts w:ascii="Arial" w:eastAsia="Arial" w:hAnsi="Arial" w:cs="Arial"/>
          <w:color w:val="000000" w:themeColor="text1"/>
          <w:sz w:val="20"/>
          <w:szCs w:val="20"/>
        </w:rPr>
        <w:t>V migračním koridoru vymezeném jako součást biotopu vybraných zvláště chráněných druhů velkých savců</w:t>
      </w:r>
      <w:r w:rsidR="1BA0ED6B" w:rsidRPr="00F53F0C">
        <w:rPr>
          <w:rFonts w:ascii="Arial" w:eastAsia="Arial" w:hAnsi="Arial" w:cs="Arial"/>
          <w:color w:val="000000" w:themeColor="text1"/>
          <w:sz w:val="20"/>
          <w:szCs w:val="20"/>
        </w:rPr>
        <w:t>, který se nachází v akcelerační oblasti</w:t>
      </w:r>
      <w:r w:rsidR="00EB28C2" w:rsidRPr="00F53F0C">
        <w:rPr>
          <w:rFonts w:ascii="Arial" w:eastAsia="Arial" w:hAnsi="Arial" w:cs="Arial"/>
          <w:color w:val="D13438"/>
          <w:sz w:val="20"/>
          <w:szCs w:val="20"/>
          <w:u w:val="single"/>
        </w:rPr>
        <w:t>,</w:t>
      </w:r>
      <w:r w:rsidRPr="00F53F0C">
        <w:rPr>
          <w:rFonts w:ascii="Arial" w:eastAsia="Arial" w:hAnsi="Arial" w:cs="Arial"/>
          <w:color w:val="000000" w:themeColor="text1"/>
          <w:sz w:val="20"/>
          <w:szCs w:val="20"/>
        </w:rPr>
        <w:t xml:space="preserve"> nesmí záměry OZE dojít ke snížení průchodnosti migračního koridoru, fragmentaci území ani vzniku fyzických nebo vizuálních bariér, které by mohly omezit pohyb velkých savců v rámci jejich přirozených migračních tras.</w:t>
      </w:r>
    </w:p>
    <w:p w14:paraId="1F923A0D" w14:textId="23964C33" w:rsidR="767B6462" w:rsidRDefault="6DE207BF" w:rsidP="00101E29">
      <w:pPr>
        <w:pStyle w:val="Odstavecseseznamem"/>
        <w:numPr>
          <w:ilvl w:val="0"/>
          <w:numId w:val="27"/>
        </w:numPr>
        <w:spacing w:after="0" w:line="276" w:lineRule="auto"/>
        <w:ind w:left="1213" w:hanging="357"/>
        <w:jc w:val="both"/>
        <w:rPr>
          <w:rFonts w:ascii="Arial" w:eastAsia="Arial" w:hAnsi="Arial" w:cs="Arial"/>
          <w:color w:val="000000" w:themeColor="text1"/>
          <w:sz w:val="20"/>
          <w:szCs w:val="20"/>
        </w:rPr>
      </w:pPr>
      <w:r w:rsidRPr="00F53F0C">
        <w:rPr>
          <w:rFonts w:ascii="Arial" w:eastAsia="Arial" w:hAnsi="Arial" w:cs="Arial"/>
          <w:color w:val="000000" w:themeColor="text1"/>
          <w:sz w:val="20"/>
          <w:szCs w:val="20"/>
        </w:rPr>
        <w:t>Při stavbě v období jarní migrace</w:t>
      </w:r>
      <w:r w:rsidR="73C160F8" w:rsidRPr="00F53F0C">
        <w:rPr>
          <w:rFonts w:ascii="Arial" w:eastAsia="Arial" w:hAnsi="Arial" w:cs="Arial"/>
          <w:color w:val="000000" w:themeColor="text1"/>
          <w:sz w:val="20"/>
          <w:szCs w:val="20"/>
        </w:rPr>
        <w:t xml:space="preserve"> (březen</w:t>
      </w:r>
      <w:r w:rsidR="00EB28C2" w:rsidRPr="00F53F0C">
        <w:rPr>
          <w:rFonts w:ascii="Arial" w:eastAsia="Arial" w:hAnsi="Arial" w:cs="Arial"/>
          <w:color w:val="000000" w:themeColor="text1"/>
          <w:sz w:val="20"/>
          <w:szCs w:val="20"/>
        </w:rPr>
        <w:t>–</w:t>
      </w:r>
      <w:r w:rsidR="73C160F8" w:rsidRPr="00F53F0C">
        <w:rPr>
          <w:rFonts w:ascii="Arial" w:eastAsia="Arial" w:hAnsi="Arial" w:cs="Arial"/>
          <w:color w:val="000000" w:themeColor="text1"/>
          <w:sz w:val="20"/>
          <w:szCs w:val="20"/>
        </w:rPr>
        <w:t>duben)</w:t>
      </w:r>
      <w:r w:rsidRPr="00F53F0C">
        <w:rPr>
          <w:rFonts w:ascii="Arial" w:eastAsia="Arial" w:hAnsi="Arial" w:cs="Arial"/>
          <w:color w:val="000000" w:themeColor="text1"/>
          <w:sz w:val="20"/>
          <w:szCs w:val="20"/>
        </w:rPr>
        <w:t xml:space="preserve"> bude staveniště zajištěno proti úhynu a</w:t>
      </w:r>
      <w:r w:rsidR="00AD32C7">
        <w:rPr>
          <w:rFonts w:ascii="Arial" w:eastAsia="Arial" w:hAnsi="Arial" w:cs="Arial"/>
          <w:color w:val="000000" w:themeColor="text1"/>
          <w:sz w:val="20"/>
          <w:szCs w:val="20"/>
        </w:rPr>
        <w:t> </w:t>
      </w:r>
      <w:r w:rsidRPr="00F53F0C">
        <w:rPr>
          <w:rFonts w:ascii="Arial" w:eastAsia="Arial" w:hAnsi="Arial" w:cs="Arial"/>
          <w:color w:val="000000" w:themeColor="text1"/>
          <w:sz w:val="20"/>
          <w:szCs w:val="20"/>
        </w:rPr>
        <w:t>zraňování obojživelníků. Realizace opatření na ochranu obojživelníků bude garantována odborně způsobilou osobou.</w:t>
      </w:r>
    </w:p>
    <w:p w14:paraId="29FC5199" w14:textId="3B172017" w:rsidR="00A109ED" w:rsidRPr="00FF4FD3" w:rsidRDefault="00A109ED" w:rsidP="00101E29">
      <w:pPr>
        <w:pStyle w:val="Odstavecseseznamem"/>
        <w:numPr>
          <w:ilvl w:val="0"/>
          <w:numId w:val="27"/>
        </w:numPr>
        <w:spacing w:after="0" w:line="276" w:lineRule="auto"/>
        <w:ind w:left="1213" w:hanging="357"/>
        <w:jc w:val="both"/>
      </w:pPr>
      <w:r w:rsidRPr="00DA6B25">
        <w:rPr>
          <w:rFonts w:ascii="Arial" w:hAnsi="Arial" w:cs="Arial"/>
          <w:sz w:val="20"/>
          <w:szCs w:val="20"/>
        </w:rPr>
        <w:t xml:space="preserve">Akcelerační oblastí </w:t>
      </w:r>
      <w:r>
        <w:rPr>
          <w:rFonts w:ascii="Arial" w:hAnsi="Arial" w:cs="Arial"/>
          <w:sz w:val="20"/>
          <w:szCs w:val="20"/>
        </w:rPr>
        <w:t>ze severo</w:t>
      </w:r>
      <w:r w:rsidR="00BE0137">
        <w:rPr>
          <w:rFonts w:ascii="Arial" w:hAnsi="Arial" w:cs="Arial"/>
          <w:sz w:val="20"/>
          <w:szCs w:val="20"/>
        </w:rPr>
        <w:t>západu na jihovýchod</w:t>
      </w:r>
      <w:r w:rsidRPr="00DA6B25">
        <w:rPr>
          <w:rFonts w:ascii="Arial" w:hAnsi="Arial" w:cs="Arial"/>
          <w:sz w:val="20"/>
          <w:szCs w:val="20"/>
        </w:rPr>
        <w:t xml:space="preserve"> prochází vedení </w:t>
      </w:r>
      <w:r>
        <w:rPr>
          <w:rFonts w:ascii="Arial" w:hAnsi="Arial" w:cs="Arial"/>
          <w:sz w:val="20"/>
          <w:szCs w:val="20"/>
        </w:rPr>
        <w:t xml:space="preserve">elektrické energie </w:t>
      </w:r>
      <w:r w:rsidRPr="00DA6B25">
        <w:rPr>
          <w:rFonts w:ascii="Arial" w:hAnsi="Arial" w:cs="Arial"/>
          <w:sz w:val="20"/>
          <w:szCs w:val="20"/>
        </w:rPr>
        <w:t>velmi vysokého napětí (</w:t>
      </w:r>
      <w:r w:rsidR="005264E0">
        <w:rPr>
          <w:rFonts w:ascii="Arial" w:hAnsi="Arial" w:cs="Arial"/>
          <w:sz w:val="20"/>
          <w:szCs w:val="20"/>
        </w:rPr>
        <w:t>22</w:t>
      </w:r>
      <w:r w:rsidRPr="00DA6B25">
        <w:rPr>
          <w:rFonts w:ascii="Arial" w:hAnsi="Arial" w:cs="Arial"/>
          <w:sz w:val="20"/>
          <w:szCs w:val="20"/>
        </w:rPr>
        <w:t xml:space="preserve">0 kV). Záměry </w:t>
      </w:r>
      <w:r>
        <w:rPr>
          <w:rFonts w:ascii="Arial" w:hAnsi="Arial" w:cs="Arial"/>
          <w:sz w:val="20"/>
          <w:szCs w:val="20"/>
        </w:rPr>
        <w:t>VT</w:t>
      </w:r>
      <w:r w:rsidRPr="00DA6B25">
        <w:rPr>
          <w:rFonts w:ascii="Arial" w:hAnsi="Arial" w:cs="Arial"/>
          <w:sz w:val="20"/>
          <w:szCs w:val="20"/>
        </w:rPr>
        <w:t>E budou umísťovány mimo ochranné pásmo vedení elektrické energie v minimální vzdálenosti 120</w:t>
      </w:r>
      <w:r w:rsidR="00621D9C">
        <w:rPr>
          <w:rFonts w:ascii="Arial" w:hAnsi="Arial" w:cs="Arial"/>
          <w:sz w:val="20"/>
          <w:szCs w:val="20"/>
        </w:rPr>
        <w:t> </w:t>
      </w:r>
      <w:r w:rsidRPr="00DA6B25">
        <w:rPr>
          <w:rFonts w:ascii="Arial" w:hAnsi="Arial" w:cs="Arial"/>
          <w:sz w:val="20"/>
          <w:szCs w:val="20"/>
        </w:rPr>
        <w:t>m od osy elektrického vedení</w:t>
      </w:r>
      <w:r w:rsidRPr="4CD75ADD">
        <w:rPr>
          <w:rFonts w:ascii="Arial" w:eastAsia="Arial" w:hAnsi="Arial" w:cs="Arial"/>
          <w:color w:val="000000" w:themeColor="text1"/>
          <w:sz w:val="20"/>
          <w:szCs w:val="20"/>
          <w:lang w:val="cs"/>
        </w:rPr>
        <w:t>.</w:t>
      </w:r>
    </w:p>
    <w:p w14:paraId="64793C63" w14:textId="1D9B6AD3" w:rsidR="00FF4FD3" w:rsidRPr="00267947" w:rsidRDefault="00FF4FD3" w:rsidP="00101E29">
      <w:pPr>
        <w:pStyle w:val="Odstavecseseznamem"/>
        <w:numPr>
          <w:ilvl w:val="0"/>
          <w:numId w:val="27"/>
        </w:numPr>
        <w:spacing w:after="0" w:line="276" w:lineRule="auto"/>
        <w:ind w:left="1213" w:hanging="357"/>
        <w:jc w:val="both"/>
        <w:rPr>
          <w:rFonts w:ascii="Arial" w:hAnsi="Arial" w:cs="Arial"/>
          <w:sz w:val="20"/>
          <w:szCs w:val="20"/>
        </w:rPr>
      </w:pPr>
      <w:r w:rsidRPr="00F1284B">
        <w:rPr>
          <w:rFonts w:ascii="Arial" w:hAnsi="Arial" w:cs="Arial"/>
          <w:sz w:val="20"/>
          <w:szCs w:val="20"/>
        </w:rPr>
        <w:t xml:space="preserve">Akcelerační oblastí prochází </w:t>
      </w:r>
      <w:r>
        <w:rPr>
          <w:rFonts w:ascii="Arial" w:hAnsi="Arial" w:cs="Arial"/>
          <w:sz w:val="20"/>
          <w:szCs w:val="20"/>
        </w:rPr>
        <w:t xml:space="preserve">koridor </w:t>
      </w:r>
      <w:r w:rsidRPr="00333404">
        <w:rPr>
          <w:rFonts w:ascii="Arial" w:hAnsi="Arial" w:cs="Arial"/>
          <w:sz w:val="20"/>
          <w:szCs w:val="20"/>
        </w:rPr>
        <w:t>TE</w:t>
      </w:r>
      <w:r w:rsidR="00EB38B3">
        <w:rPr>
          <w:rFonts w:ascii="Arial" w:hAnsi="Arial" w:cs="Arial"/>
          <w:sz w:val="20"/>
          <w:szCs w:val="20"/>
        </w:rPr>
        <w:t>27</w:t>
      </w:r>
      <w:r w:rsidRPr="00333404">
        <w:rPr>
          <w:rFonts w:ascii="Arial" w:hAnsi="Arial" w:cs="Arial"/>
          <w:sz w:val="20"/>
          <w:szCs w:val="20"/>
        </w:rPr>
        <w:t xml:space="preserve"> (</w:t>
      </w:r>
      <w:r w:rsidR="00100AF3" w:rsidRPr="00100AF3">
        <w:rPr>
          <w:rFonts w:ascii="Arial" w:hAnsi="Arial" w:cs="Arial"/>
          <w:sz w:val="20"/>
          <w:szCs w:val="20"/>
        </w:rPr>
        <w:t>Koridory pro dvojitá vedení 400 kV v úsecích Přeštice–Milín, Milín–Chodov, Milín–Sokolnice, Milín–elektrárna Orlík a souvisejících ploch pro rozšíření elektrických stanic Milín, Přeštice, Chodov a Sokolnice</w:t>
      </w:r>
      <w:r w:rsidRPr="00333404">
        <w:rPr>
          <w:rFonts w:ascii="Arial" w:hAnsi="Arial" w:cs="Arial"/>
          <w:sz w:val="20"/>
          <w:szCs w:val="20"/>
        </w:rPr>
        <w:t>)</w:t>
      </w:r>
      <w:r>
        <w:rPr>
          <w:rFonts w:ascii="Arial" w:hAnsi="Arial" w:cs="Arial"/>
          <w:sz w:val="20"/>
          <w:szCs w:val="20"/>
        </w:rPr>
        <w:t xml:space="preserve">. </w:t>
      </w:r>
      <w:r w:rsidRPr="00E35C32">
        <w:rPr>
          <w:rFonts w:ascii="Arial" w:hAnsi="Arial" w:cs="Arial"/>
          <w:sz w:val="20"/>
          <w:szCs w:val="20"/>
        </w:rPr>
        <w:t xml:space="preserve">VTE budou umísťovány mimo </w:t>
      </w:r>
      <w:r>
        <w:rPr>
          <w:rFonts w:ascii="Arial" w:hAnsi="Arial" w:cs="Arial"/>
          <w:sz w:val="20"/>
          <w:szCs w:val="20"/>
        </w:rPr>
        <w:t>tento koridor</w:t>
      </w:r>
      <w:r w:rsidR="00EB38B3">
        <w:rPr>
          <w:rFonts w:ascii="Arial" w:hAnsi="Arial" w:cs="Arial"/>
          <w:sz w:val="20"/>
          <w:szCs w:val="20"/>
        </w:rPr>
        <w:t>.</w:t>
      </w:r>
    </w:p>
    <w:p w14:paraId="518E2AC8" w14:textId="3F99FC27" w:rsidR="004066FC" w:rsidRPr="00AD32C7" w:rsidRDefault="004066FC" w:rsidP="004066FC">
      <w:pPr>
        <w:pStyle w:val="Odstavecseseznamem"/>
        <w:numPr>
          <w:ilvl w:val="0"/>
          <w:numId w:val="27"/>
        </w:numPr>
        <w:spacing w:after="0" w:line="276" w:lineRule="auto"/>
        <w:ind w:left="1213" w:hanging="357"/>
        <w:jc w:val="both"/>
        <w:rPr>
          <w:rFonts w:ascii="Arial" w:hAnsi="Arial" w:cs="Arial"/>
          <w:sz w:val="20"/>
          <w:szCs w:val="20"/>
        </w:rPr>
      </w:pPr>
      <w:r w:rsidRPr="00AD32C7">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8C06B2" w:rsidRPr="00AD32C7">
        <w:rPr>
          <w:rFonts w:ascii="Arial" w:hAnsi="Arial" w:cs="Arial"/>
          <w:sz w:val="20"/>
          <w:szCs w:val="20"/>
        </w:rPr>
        <w:t>5</w:t>
      </w:r>
      <w:r w:rsidRPr="00AD32C7">
        <w:rPr>
          <w:rFonts w:ascii="Arial" w:hAnsi="Arial" w:cs="Arial"/>
          <w:sz w:val="20"/>
          <w:szCs w:val="20"/>
        </w:rPr>
        <w:t>,</w:t>
      </w:r>
      <w:r w:rsidR="008C06B2" w:rsidRPr="00AD32C7">
        <w:rPr>
          <w:rFonts w:ascii="Arial" w:hAnsi="Arial" w:cs="Arial"/>
          <w:sz w:val="20"/>
          <w:szCs w:val="20"/>
        </w:rPr>
        <w:t>49</w:t>
      </w:r>
      <w:r w:rsidRPr="00AD32C7">
        <w:rPr>
          <w:rFonts w:ascii="Arial" w:hAnsi="Arial" w:cs="Arial"/>
          <w:sz w:val="20"/>
          <w:szCs w:val="20"/>
        </w:rPr>
        <w:t xml:space="preserve"> ha.</w:t>
      </w:r>
    </w:p>
    <w:p w14:paraId="465A1D9F" w14:textId="5DA698FC" w:rsidR="00584E71" w:rsidRPr="00AD32C7" w:rsidRDefault="00584E71" w:rsidP="00584E71">
      <w:pPr>
        <w:pStyle w:val="Odstavecseseznamem"/>
        <w:numPr>
          <w:ilvl w:val="0"/>
          <w:numId w:val="27"/>
        </w:numPr>
        <w:spacing w:after="0" w:line="276" w:lineRule="auto"/>
        <w:ind w:left="1213" w:hanging="357"/>
        <w:jc w:val="both"/>
        <w:rPr>
          <w:rFonts w:ascii="Arial" w:hAnsi="Arial" w:cs="Arial"/>
          <w:sz w:val="20"/>
          <w:szCs w:val="20"/>
        </w:rPr>
      </w:pPr>
      <w:r w:rsidRPr="00AD32C7">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03B50D96" w14:textId="3769578A" w:rsidR="003C634A" w:rsidRPr="00AD32C7" w:rsidRDefault="003C634A" w:rsidP="003C634A">
      <w:pPr>
        <w:pStyle w:val="Odstavecseseznamem"/>
        <w:numPr>
          <w:ilvl w:val="0"/>
          <w:numId w:val="27"/>
        </w:numPr>
        <w:spacing w:after="0" w:line="276" w:lineRule="auto"/>
        <w:ind w:left="1213" w:hanging="357"/>
        <w:jc w:val="both"/>
        <w:rPr>
          <w:rFonts w:ascii="Arial" w:hAnsi="Arial" w:cs="Arial"/>
          <w:sz w:val="20"/>
          <w:szCs w:val="20"/>
        </w:rPr>
      </w:pPr>
      <w:r w:rsidRPr="00AD32C7">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3A6BBE5E" w14:textId="3F6F2857" w:rsidR="004066FC" w:rsidRPr="007E215E" w:rsidRDefault="008C06B2" w:rsidP="008C06B2">
      <w:pPr>
        <w:pStyle w:val="Odstavecseseznamem"/>
        <w:numPr>
          <w:ilvl w:val="0"/>
          <w:numId w:val="27"/>
        </w:numPr>
        <w:spacing w:after="0" w:line="276" w:lineRule="auto"/>
        <w:ind w:left="1213" w:hanging="357"/>
        <w:jc w:val="both"/>
      </w:pPr>
      <w:r w:rsidRPr="00AD32C7">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3AAEE3CE" w14:textId="62BC7D14" w:rsidR="004A3FD4" w:rsidRPr="00F53F0C" w:rsidRDefault="004A3FD4" w:rsidP="000A2D29">
      <w:pPr>
        <w:pStyle w:val="Odstavecseseznamem"/>
        <w:numPr>
          <w:ilvl w:val="1"/>
          <w:numId w:val="42"/>
        </w:numPr>
        <w:spacing w:before="240" w:after="120" w:line="276" w:lineRule="auto"/>
        <w:ind w:hanging="720"/>
        <w:contextualSpacing w:val="0"/>
        <w:jc w:val="both"/>
        <w:rPr>
          <w:rFonts w:ascii="Arial" w:eastAsia="Arial" w:hAnsi="Arial" w:cs="Arial"/>
          <w:kern w:val="0"/>
          <w:sz w:val="20"/>
          <w:szCs w:val="20"/>
          <w:lang w:eastAsia="cs-CZ"/>
          <w14:ligatures w14:val="none"/>
        </w:rPr>
      </w:pPr>
      <w:r w:rsidRPr="00F53F0C">
        <w:rPr>
          <w:rFonts w:ascii="Arial" w:eastAsia="Arial" w:hAnsi="Arial" w:cs="Arial"/>
          <w:kern w:val="0"/>
          <w:sz w:val="20"/>
          <w:szCs w:val="20"/>
          <w:lang w:eastAsia="cs-CZ"/>
          <w14:ligatures w14:val="none"/>
        </w:rPr>
        <w:t>Podmínky a zmírňující opatření pro provoz záměrů OZE:</w:t>
      </w:r>
    </w:p>
    <w:p w14:paraId="1C963034" w14:textId="5BAE376C" w:rsidR="00E32E90" w:rsidRPr="00F53F0C" w:rsidRDefault="007F20BF" w:rsidP="000A2D29">
      <w:pPr>
        <w:numPr>
          <w:ilvl w:val="0"/>
          <w:numId w:val="30"/>
        </w:numPr>
        <w:pBdr>
          <w:top w:val="nil"/>
          <w:left w:val="nil"/>
          <w:bottom w:val="nil"/>
          <w:right w:val="nil"/>
          <w:between w:val="nil"/>
        </w:pBdr>
        <w:spacing w:after="0" w:line="276" w:lineRule="auto"/>
        <w:ind w:left="1213" w:hanging="357"/>
        <w:jc w:val="both"/>
        <w:textAlignment w:val="baseline"/>
        <w:rPr>
          <w:rFonts w:ascii="Arial" w:eastAsia="Arial" w:hAnsi="Arial" w:cs="Arial"/>
          <w:sz w:val="20"/>
          <w:szCs w:val="20"/>
          <w:lang w:eastAsia="cs-CZ"/>
        </w:rPr>
      </w:pPr>
      <w:r>
        <w:rPr>
          <w:rFonts w:ascii="Arial" w:eastAsia="Arial" w:hAnsi="Arial" w:cs="Arial"/>
          <w:color w:val="000000" w:themeColor="text1"/>
          <w:sz w:val="20"/>
          <w:szCs w:val="20"/>
          <w:lang w:val="cs"/>
        </w:rPr>
        <w:t>Podmínka nebyla stanovena.</w:t>
      </w:r>
    </w:p>
    <w:p w14:paraId="7A8F010D" w14:textId="753E08F8" w:rsidR="00E32E90" w:rsidRPr="00F53F0C" w:rsidRDefault="71F0671C" w:rsidP="000A2D29">
      <w:pPr>
        <w:numPr>
          <w:ilvl w:val="0"/>
          <w:numId w:val="30"/>
        </w:numPr>
        <w:spacing w:after="0" w:line="276" w:lineRule="auto"/>
        <w:ind w:left="1213" w:hanging="357"/>
        <w:jc w:val="both"/>
        <w:textAlignment w:val="baseline"/>
        <w:rPr>
          <w:rFonts w:ascii="Arial" w:eastAsia="Arial" w:hAnsi="Arial" w:cs="Arial"/>
          <w:sz w:val="20"/>
          <w:szCs w:val="20"/>
          <w:lang w:val="cs"/>
        </w:rPr>
      </w:pPr>
      <w:r w:rsidRPr="00F53F0C">
        <w:rPr>
          <w:rStyle w:val="eop"/>
          <w:rFonts w:ascii="Arial" w:eastAsia="Arial" w:hAnsi="Arial" w:cs="Arial"/>
          <w:color w:val="000000" w:themeColor="text1"/>
          <w:sz w:val="20"/>
          <w:szCs w:val="20"/>
        </w:rPr>
        <w:t>Pro omezení kolizí ptáků</w:t>
      </w:r>
      <w:r w:rsidR="007F20BF">
        <w:rPr>
          <w:rStyle w:val="eop"/>
          <w:rFonts w:ascii="Arial" w:eastAsia="Arial" w:hAnsi="Arial" w:cs="Arial"/>
          <w:color w:val="000000" w:themeColor="text1"/>
          <w:sz w:val="20"/>
          <w:szCs w:val="20"/>
        </w:rPr>
        <w:t xml:space="preserve"> a netopýrů</w:t>
      </w:r>
      <w:r w:rsidRPr="00F53F0C">
        <w:rPr>
          <w:rStyle w:val="eop"/>
          <w:rFonts w:ascii="Arial" w:eastAsia="Arial" w:hAnsi="Arial" w:cs="Arial"/>
          <w:color w:val="000000" w:themeColor="text1"/>
          <w:sz w:val="20"/>
          <w:szCs w:val="20"/>
        </w:rPr>
        <w:t xml:space="preserve"> s lopatkami rotoru budou využity odpuzovače (optické, akustické, nebo elektromagnetické), které odrazují zájmové druhy létat do bezprostředního okolí VTE, nebo detekční systémy (akustické, optické, termovize), které v případě detekce zájmového druhu v</w:t>
      </w:r>
      <w:r w:rsidR="002E3F89" w:rsidRPr="00F53F0C">
        <w:rPr>
          <w:rStyle w:val="eop"/>
          <w:rFonts w:ascii="Arial" w:eastAsia="Arial" w:hAnsi="Arial" w:cs="Arial"/>
          <w:color w:val="000000" w:themeColor="text1"/>
          <w:sz w:val="20"/>
          <w:szCs w:val="20"/>
        </w:rPr>
        <w:t> </w:t>
      </w:r>
      <w:r w:rsidRPr="00F53F0C">
        <w:rPr>
          <w:rStyle w:val="eop"/>
          <w:rFonts w:ascii="Arial" w:eastAsia="Arial" w:hAnsi="Arial" w:cs="Arial"/>
          <w:color w:val="000000" w:themeColor="text1"/>
          <w:sz w:val="20"/>
          <w:szCs w:val="20"/>
        </w:rPr>
        <w:t>blízkosti VTE zpomalí, popř. zastaví rotor VTE. Budou použita vždy nejúčinnější dostupná a</w:t>
      </w:r>
      <w:r w:rsidR="002E3F89" w:rsidRPr="00F53F0C">
        <w:rPr>
          <w:rStyle w:val="eop"/>
          <w:rFonts w:ascii="Arial" w:eastAsia="Arial" w:hAnsi="Arial" w:cs="Arial"/>
          <w:color w:val="000000" w:themeColor="text1"/>
          <w:sz w:val="20"/>
          <w:szCs w:val="20"/>
        </w:rPr>
        <w:t> </w:t>
      </w:r>
      <w:r w:rsidRPr="00F53F0C">
        <w:rPr>
          <w:rStyle w:val="eop"/>
          <w:rFonts w:ascii="Arial" w:eastAsia="Arial" w:hAnsi="Arial" w:cs="Arial"/>
          <w:color w:val="000000" w:themeColor="text1"/>
          <w:sz w:val="20"/>
          <w:szCs w:val="20"/>
        </w:rPr>
        <w:t>ověřená zařízení.</w:t>
      </w:r>
    </w:p>
    <w:p w14:paraId="558485D3" w14:textId="68503352" w:rsidR="00E32E90" w:rsidRPr="00F53F0C" w:rsidRDefault="23FC34E3" w:rsidP="000A2D29">
      <w:pPr>
        <w:numPr>
          <w:ilvl w:val="0"/>
          <w:numId w:val="30"/>
        </w:numPr>
        <w:pBdr>
          <w:top w:val="nil"/>
          <w:left w:val="nil"/>
          <w:bottom w:val="nil"/>
          <w:right w:val="nil"/>
          <w:between w:val="nil"/>
        </w:pBdr>
        <w:spacing w:after="0" w:line="276" w:lineRule="auto"/>
        <w:ind w:left="1213" w:hanging="357"/>
        <w:jc w:val="both"/>
        <w:textAlignment w:val="baseline"/>
        <w:rPr>
          <w:rFonts w:ascii="Arial" w:eastAsia="Arial" w:hAnsi="Arial" w:cs="Arial"/>
          <w:sz w:val="20"/>
          <w:szCs w:val="20"/>
          <w:lang w:eastAsia="cs-CZ"/>
        </w:rPr>
      </w:pPr>
      <w:r w:rsidRPr="00F53F0C">
        <w:rPr>
          <w:rFonts w:ascii="Arial" w:eastAsia="Arial" w:hAnsi="Arial" w:cs="Arial"/>
          <w:sz w:val="20"/>
          <w:szCs w:val="20"/>
          <w:lang w:val="cs"/>
        </w:rPr>
        <w:t>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w:t>
      </w:r>
      <w:r w:rsidR="002E3F89" w:rsidRPr="00F53F0C">
        <w:rPr>
          <w:rFonts w:ascii="Arial" w:eastAsia="Arial" w:hAnsi="Arial" w:cs="Arial"/>
          <w:sz w:val="20"/>
          <w:szCs w:val="20"/>
          <w:lang w:val="cs"/>
        </w:rPr>
        <w:t> </w:t>
      </w:r>
      <w:r w:rsidRPr="00F53F0C">
        <w:rPr>
          <w:rFonts w:ascii="Arial" w:eastAsia="Arial" w:hAnsi="Arial" w:cs="Arial"/>
          <w:sz w:val="20"/>
          <w:szCs w:val="20"/>
          <w:lang w:val="cs"/>
        </w:rPr>
        <w:t>v</w:t>
      </w:r>
      <w:r w:rsidR="002E3F89" w:rsidRPr="00F53F0C">
        <w:rPr>
          <w:rFonts w:ascii="Arial" w:eastAsia="Arial" w:hAnsi="Arial" w:cs="Arial"/>
          <w:sz w:val="20"/>
          <w:szCs w:val="20"/>
          <w:lang w:val="cs"/>
        </w:rPr>
        <w:t> </w:t>
      </w:r>
      <w:r w:rsidRPr="00F53F0C">
        <w:rPr>
          <w:rFonts w:ascii="Arial" w:eastAsia="Arial" w:hAnsi="Arial" w:cs="Arial"/>
          <w:sz w:val="20"/>
          <w:szCs w:val="20"/>
          <w:lang w:val="cs"/>
        </w:rPr>
        <w:t xml:space="preserve">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A46DCD">
        <w:rPr>
          <w:rFonts w:ascii="Arial" w:eastAsia="Arial" w:hAnsi="Arial" w:cs="Arial"/>
          <w:sz w:val="20"/>
          <w:szCs w:val="20"/>
          <w:lang w:val="cs"/>
        </w:rPr>
        <w:t>optimalizována či doplněna</w:t>
      </w:r>
      <w:r w:rsidR="00A46DCD" w:rsidRPr="00F53F0C">
        <w:rPr>
          <w:rFonts w:ascii="Arial" w:eastAsia="Arial" w:hAnsi="Arial" w:cs="Arial"/>
          <w:sz w:val="20"/>
          <w:szCs w:val="20"/>
          <w:lang w:val="cs"/>
        </w:rPr>
        <w:t xml:space="preserve"> </w:t>
      </w:r>
      <w:r w:rsidRPr="00F53F0C">
        <w:rPr>
          <w:rFonts w:ascii="Arial" w:eastAsia="Arial" w:hAnsi="Arial" w:cs="Arial"/>
          <w:sz w:val="20"/>
          <w:szCs w:val="20"/>
          <w:lang w:val="cs"/>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r w:rsidR="012783CC" w:rsidRPr="00F53F0C">
        <w:rPr>
          <w:rFonts w:ascii="Arial" w:eastAsia="Arial" w:hAnsi="Arial" w:cs="Arial"/>
          <w:color w:val="000000" w:themeColor="text1"/>
          <w:sz w:val="20"/>
          <w:szCs w:val="20"/>
        </w:rPr>
        <w:t>.</w:t>
      </w:r>
    </w:p>
    <w:p w14:paraId="118B8AD1" w14:textId="29714B80" w:rsidR="004A3FD4" w:rsidRPr="00F53F0C" w:rsidRDefault="46AC0046" w:rsidP="000A2D29">
      <w:pPr>
        <w:numPr>
          <w:ilvl w:val="0"/>
          <w:numId w:val="30"/>
        </w:numPr>
        <w:pBdr>
          <w:top w:val="nil"/>
          <w:left w:val="nil"/>
          <w:bottom w:val="nil"/>
          <w:right w:val="nil"/>
          <w:between w:val="nil"/>
        </w:pBdr>
        <w:spacing w:after="0" w:line="276" w:lineRule="auto"/>
        <w:ind w:left="1213" w:hanging="357"/>
        <w:jc w:val="both"/>
        <w:rPr>
          <w:rFonts w:ascii="Arial" w:eastAsia="Arial" w:hAnsi="Arial" w:cs="Arial"/>
          <w:color w:val="000000"/>
          <w:sz w:val="20"/>
          <w:szCs w:val="20"/>
        </w:rPr>
      </w:pPr>
      <w:r w:rsidRPr="00F53F0C">
        <w:rPr>
          <w:rFonts w:ascii="Arial" w:eastAsia="Arial" w:hAnsi="Arial" w:cs="Arial"/>
          <w:sz w:val="20"/>
          <w:szCs w:val="20"/>
          <w:lang w:val="cs"/>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AD32C7">
        <w:rPr>
          <w:rFonts w:ascii="Arial" w:eastAsia="Arial" w:hAnsi="Arial" w:cs="Arial"/>
          <w:sz w:val="20"/>
          <w:szCs w:val="20"/>
          <w:lang w:val="cs"/>
        </w:rPr>
        <w:t> </w:t>
      </w:r>
      <w:r w:rsidRPr="00F53F0C">
        <w:rPr>
          <w:rFonts w:ascii="Arial" w:eastAsia="Arial" w:hAnsi="Arial" w:cs="Arial"/>
          <w:sz w:val="20"/>
          <w:szCs w:val="20"/>
          <w:lang w:val="cs"/>
        </w:rPr>
        <w:t>oblasti monitoringu netopýrů. Monitoring bude zaměřen na detekci letové aktivity rizikových druhů netopýrů, tj. především na netopýra velkého (</w:t>
      </w:r>
      <w:r w:rsidRPr="00F53F0C">
        <w:rPr>
          <w:rFonts w:ascii="Arial" w:eastAsia="Arial" w:hAnsi="Arial" w:cs="Arial"/>
          <w:i/>
          <w:iCs/>
          <w:sz w:val="20"/>
          <w:szCs w:val="20"/>
          <w:lang w:val="cs"/>
        </w:rPr>
        <w:t>Myotis myotis</w:t>
      </w:r>
      <w:r w:rsidRPr="00F53F0C">
        <w:rPr>
          <w:rFonts w:ascii="Arial" w:eastAsia="Arial" w:hAnsi="Arial" w:cs="Arial"/>
          <w:sz w:val="20"/>
          <w:szCs w:val="20"/>
          <w:lang w:val="cs"/>
        </w:rPr>
        <w:t>), netopýra hvízdavého (</w:t>
      </w:r>
      <w:r w:rsidRPr="00F53F0C">
        <w:rPr>
          <w:rFonts w:ascii="Arial" w:eastAsia="Arial" w:hAnsi="Arial" w:cs="Arial"/>
          <w:i/>
          <w:iCs/>
          <w:sz w:val="20"/>
          <w:szCs w:val="20"/>
          <w:lang w:val="cs"/>
        </w:rPr>
        <w:t>Pipistrellus pipistrellus</w:t>
      </w:r>
      <w:r w:rsidRPr="00F53F0C">
        <w:rPr>
          <w:rFonts w:ascii="Arial" w:eastAsia="Arial" w:hAnsi="Arial" w:cs="Arial"/>
          <w:sz w:val="20"/>
          <w:szCs w:val="20"/>
          <w:lang w:val="cs"/>
        </w:rPr>
        <w:t>), netopýra nejmenšího (</w:t>
      </w:r>
      <w:r w:rsidRPr="00F53F0C">
        <w:rPr>
          <w:rFonts w:ascii="Arial" w:eastAsia="Arial" w:hAnsi="Arial" w:cs="Arial"/>
          <w:i/>
          <w:iCs/>
          <w:sz w:val="20"/>
          <w:szCs w:val="20"/>
          <w:lang w:val="cs"/>
        </w:rPr>
        <w:t>Pipistrellus pygmaeus</w:t>
      </w:r>
      <w:r w:rsidRPr="00F53F0C">
        <w:rPr>
          <w:rFonts w:ascii="Arial" w:eastAsia="Arial" w:hAnsi="Arial" w:cs="Arial"/>
          <w:sz w:val="20"/>
          <w:szCs w:val="20"/>
          <w:lang w:val="cs"/>
        </w:rPr>
        <w:t>), netopýra rezavého (</w:t>
      </w:r>
      <w:r w:rsidRPr="00F53F0C">
        <w:rPr>
          <w:rFonts w:ascii="Arial" w:eastAsia="Arial" w:hAnsi="Arial" w:cs="Arial"/>
          <w:i/>
          <w:iCs/>
          <w:sz w:val="20"/>
          <w:szCs w:val="20"/>
          <w:lang w:val="cs"/>
        </w:rPr>
        <w:t>Nyctalus noctula</w:t>
      </w:r>
      <w:r w:rsidRPr="00F53F0C">
        <w:rPr>
          <w:rFonts w:ascii="Arial" w:eastAsia="Arial" w:hAnsi="Arial" w:cs="Arial"/>
          <w:sz w:val="20"/>
          <w:szCs w:val="20"/>
          <w:lang w:val="cs"/>
        </w:rPr>
        <w:t>) a netopýra vousatého (</w:t>
      </w:r>
      <w:r w:rsidRPr="00F53F0C">
        <w:rPr>
          <w:rFonts w:ascii="Arial" w:eastAsia="Arial" w:hAnsi="Arial" w:cs="Arial"/>
          <w:i/>
          <w:iCs/>
          <w:sz w:val="20"/>
          <w:szCs w:val="20"/>
          <w:lang w:val="cs"/>
        </w:rPr>
        <w:t>Myotis mystacinus</w:t>
      </w:r>
      <w:r w:rsidRPr="00F53F0C">
        <w:rPr>
          <w:rFonts w:ascii="Arial" w:eastAsia="Arial" w:hAnsi="Arial" w:cs="Arial"/>
          <w:sz w:val="20"/>
          <w:szCs w:val="20"/>
          <w:lang w:val="cs"/>
        </w:rPr>
        <w:t xml:space="preserve">). Vyhodnocení monitoringu musí být provedeno v souladu s metodickým doporučením společnosti ČESON (v přípravě). Na základě výsledků monitoringu a vyhodnocení rizikovosti větrné elektrárny budou následně případně </w:t>
      </w:r>
      <w:r w:rsidR="00712C2A">
        <w:rPr>
          <w:rFonts w:ascii="Arial" w:eastAsia="Arial" w:hAnsi="Arial" w:cs="Arial"/>
          <w:sz w:val="20"/>
          <w:szCs w:val="20"/>
          <w:lang w:val="cs"/>
        </w:rPr>
        <w:t xml:space="preserve">optimalizována či doplněna </w:t>
      </w:r>
      <w:r w:rsidRPr="00F53F0C">
        <w:rPr>
          <w:rFonts w:ascii="Arial" w:eastAsia="Arial" w:hAnsi="Arial" w:cs="Arial"/>
          <w:sz w:val="20"/>
          <w:szCs w:val="20"/>
          <w:lang w:val="cs"/>
        </w:rPr>
        <w:t xml:space="preserve">opatření pro provoz zařízení, která minimalizují riziko zranění a úhynu cílových druhů netopýrů. Tato opatření </w:t>
      </w:r>
      <w:r w:rsidR="006C2847">
        <w:rPr>
          <w:rFonts w:ascii="Arial" w:eastAsia="Arial" w:hAnsi="Arial" w:cs="Arial"/>
          <w:sz w:val="20"/>
          <w:szCs w:val="20"/>
          <w:lang w:val="cs"/>
        </w:rPr>
        <w:t xml:space="preserve">pro provoz </w:t>
      </w:r>
      <w:r w:rsidRPr="00F53F0C">
        <w:rPr>
          <w:rFonts w:ascii="Arial" w:eastAsia="Arial" w:hAnsi="Arial" w:cs="Arial"/>
          <w:sz w:val="20"/>
          <w:szCs w:val="20"/>
          <w:lang w:val="cs"/>
        </w:rPr>
        <w:t xml:space="preserve">mohou zahrnovat zejména dočasné omezení provozu, včetně vypínání větrné elektrárny v rizikových obdobích roku v návaznosti na teplotu prostředí a rychlost větru. Dále se může jednat o </w:t>
      </w:r>
      <w:r w:rsidR="006C2847">
        <w:rPr>
          <w:rFonts w:ascii="Arial" w:eastAsia="Arial" w:hAnsi="Arial" w:cs="Arial"/>
          <w:sz w:val="20"/>
          <w:szCs w:val="20"/>
          <w:lang w:val="cs"/>
        </w:rPr>
        <w:t>optimalizaci funkce</w:t>
      </w:r>
      <w:r w:rsidR="006C2847" w:rsidRPr="00F53F0C">
        <w:rPr>
          <w:rFonts w:ascii="Arial" w:eastAsia="Arial" w:hAnsi="Arial" w:cs="Arial"/>
          <w:sz w:val="20"/>
          <w:szCs w:val="20"/>
          <w:lang w:val="cs"/>
        </w:rPr>
        <w:t xml:space="preserve"> </w:t>
      </w:r>
      <w:r w:rsidRPr="00F53F0C">
        <w:rPr>
          <w:rFonts w:ascii="Arial" w:eastAsia="Arial" w:hAnsi="Arial" w:cs="Arial"/>
          <w:sz w:val="20"/>
          <w:szCs w:val="20"/>
          <w:lang w:val="cs"/>
        </w:rPr>
        <w:t>technických ochranných opatření, např. ultrazvukového odpuzovače</w:t>
      </w:r>
      <w:r w:rsidR="00FD1731">
        <w:rPr>
          <w:rFonts w:ascii="Arial" w:eastAsia="Arial" w:hAnsi="Arial" w:cs="Arial"/>
          <w:sz w:val="20"/>
          <w:szCs w:val="20"/>
          <w:lang w:val="cs"/>
        </w:rPr>
        <w:t xml:space="preserve"> či detekční</w:t>
      </w:r>
      <w:r w:rsidR="00AF4925">
        <w:rPr>
          <w:rFonts w:ascii="Arial" w:eastAsia="Arial" w:hAnsi="Arial" w:cs="Arial"/>
          <w:sz w:val="20"/>
          <w:szCs w:val="20"/>
          <w:lang w:val="cs"/>
        </w:rPr>
        <w:t>ch</w:t>
      </w:r>
      <w:r w:rsidR="00FD1731">
        <w:rPr>
          <w:rFonts w:ascii="Arial" w:eastAsia="Arial" w:hAnsi="Arial" w:cs="Arial"/>
          <w:sz w:val="20"/>
          <w:szCs w:val="20"/>
          <w:lang w:val="cs"/>
        </w:rPr>
        <w:t xml:space="preserve"> systém</w:t>
      </w:r>
      <w:r w:rsidR="00AF4925">
        <w:rPr>
          <w:rFonts w:ascii="Arial" w:eastAsia="Arial" w:hAnsi="Arial" w:cs="Arial"/>
          <w:sz w:val="20"/>
          <w:szCs w:val="20"/>
          <w:lang w:val="cs"/>
        </w:rPr>
        <w:t>ů</w:t>
      </w:r>
      <w:r w:rsidR="00FD1731">
        <w:rPr>
          <w:rFonts w:ascii="Arial" w:eastAsia="Arial" w:hAnsi="Arial" w:cs="Arial"/>
          <w:sz w:val="20"/>
          <w:szCs w:val="20"/>
          <w:lang w:val="cs"/>
        </w:rPr>
        <w:t xml:space="preserve">, které </w:t>
      </w:r>
      <w:r w:rsidR="00AF4925">
        <w:rPr>
          <w:rFonts w:ascii="Arial" w:eastAsia="Arial" w:hAnsi="Arial" w:cs="Arial"/>
          <w:sz w:val="20"/>
          <w:szCs w:val="20"/>
          <w:lang w:val="cs"/>
        </w:rPr>
        <w:t>bud</w:t>
      </w:r>
      <w:r w:rsidR="00FD1731">
        <w:rPr>
          <w:rFonts w:ascii="Arial" w:eastAsia="Arial" w:hAnsi="Arial" w:cs="Arial"/>
          <w:sz w:val="20"/>
          <w:szCs w:val="20"/>
          <w:lang w:val="cs"/>
        </w:rPr>
        <w:t>ou mít prokazatelnou</w:t>
      </w:r>
      <w:r w:rsidRPr="00F53F0C">
        <w:rPr>
          <w:rFonts w:ascii="Arial" w:eastAsia="Arial" w:hAnsi="Arial" w:cs="Arial"/>
          <w:sz w:val="20"/>
          <w:szCs w:val="20"/>
          <w:lang w:val="cs"/>
        </w:rPr>
        <w:t xml:space="preserve"> 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r w:rsidR="012783CC" w:rsidRPr="00F53F0C">
        <w:rPr>
          <w:rFonts w:ascii="Arial" w:eastAsia="Arial" w:hAnsi="Arial" w:cs="Arial"/>
          <w:color w:val="000000" w:themeColor="text1"/>
          <w:sz w:val="20"/>
          <w:szCs w:val="20"/>
        </w:rPr>
        <w:t>.</w:t>
      </w:r>
    </w:p>
    <w:p w14:paraId="4F458139" w14:textId="041579B5" w:rsidR="00CD3093" w:rsidRPr="00542D95" w:rsidRDefault="002527A2" w:rsidP="00532B8A">
      <w:pPr>
        <w:spacing w:before="240" w:after="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 xml:space="preserve">akcelerační oblasti, území, pro 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CD3093" w:rsidRPr="00542D9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DF8BE" w14:textId="77777777" w:rsidR="007E249A" w:rsidRDefault="007E249A" w:rsidP="002527A2">
      <w:pPr>
        <w:spacing w:after="0" w:line="240" w:lineRule="auto"/>
      </w:pPr>
      <w:r>
        <w:separator/>
      </w:r>
    </w:p>
  </w:endnote>
  <w:endnote w:type="continuationSeparator" w:id="0">
    <w:p w14:paraId="49863BFD" w14:textId="77777777" w:rsidR="007E249A" w:rsidRDefault="007E249A" w:rsidP="00252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195678"/>
      <w:docPartObj>
        <w:docPartGallery w:val="Page Numbers (Bottom of Page)"/>
        <w:docPartUnique/>
      </w:docPartObj>
    </w:sdtPr>
    <w:sdtEndPr>
      <w:rPr>
        <w:rFonts w:ascii="Arial" w:hAnsi="Arial" w:cs="Arial"/>
        <w:sz w:val="20"/>
        <w:szCs w:val="20"/>
      </w:rPr>
    </w:sdtEndPr>
    <w:sdtContent>
      <w:p w14:paraId="0E1C8A50" w14:textId="7E8D4E00" w:rsidR="002527A2" w:rsidRPr="00902420" w:rsidRDefault="002527A2" w:rsidP="00902420">
        <w:pPr>
          <w:pStyle w:val="Zpat"/>
          <w:jc w:val="center"/>
          <w:rPr>
            <w:rFonts w:ascii="Arial" w:hAnsi="Arial" w:cs="Arial"/>
            <w:sz w:val="20"/>
            <w:szCs w:val="20"/>
          </w:rPr>
        </w:pPr>
        <w:r w:rsidRPr="00552846">
          <w:rPr>
            <w:rFonts w:ascii="Arial" w:hAnsi="Arial" w:cs="Arial"/>
            <w:sz w:val="20"/>
            <w:szCs w:val="20"/>
          </w:rPr>
          <w:fldChar w:fldCharType="begin"/>
        </w:r>
        <w:r w:rsidRPr="00552846">
          <w:rPr>
            <w:rFonts w:ascii="Arial" w:hAnsi="Arial" w:cs="Arial"/>
            <w:sz w:val="20"/>
            <w:szCs w:val="20"/>
          </w:rPr>
          <w:instrText>PAGE   \* MERGEFORMAT</w:instrText>
        </w:r>
        <w:r w:rsidRPr="00552846">
          <w:rPr>
            <w:rFonts w:ascii="Arial" w:hAnsi="Arial" w:cs="Arial"/>
            <w:sz w:val="20"/>
            <w:szCs w:val="20"/>
          </w:rPr>
          <w:fldChar w:fldCharType="separate"/>
        </w:r>
        <w:r w:rsidRPr="00552846">
          <w:rPr>
            <w:rFonts w:ascii="Arial" w:hAnsi="Arial" w:cs="Arial"/>
            <w:sz w:val="20"/>
            <w:szCs w:val="20"/>
          </w:rPr>
          <w:t>2</w:t>
        </w:r>
        <w:r w:rsidRPr="0055284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11EE7" w14:textId="77777777" w:rsidR="007E249A" w:rsidRDefault="007E249A" w:rsidP="002527A2">
      <w:pPr>
        <w:spacing w:after="0" w:line="240" w:lineRule="auto"/>
      </w:pPr>
      <w:r>
        <w:separator/>
      </w:r>
    </w:p>
  </w:footnote>
  <w:footnote w:type="continuationSeparator" w:id="0">
    <w:p w14:paraId="0BC4B36B" w14:textId="77777777" w:rsidR="007E249A" w:rsidRDefault="007E249A" w:rsidP="002527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7552"/>
    <w:multiLevelType w:val="multilevel"/>
    <w:tmpl w:val="35903A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04AC7"/>
    <w:multiLevelType w:val="multilevel"/>
    <w:tmpl w:val="010697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360F9"/>
    <w:multiLevelType w:val="multilevel"/>
    <w:tmpl w:val="D1C4FF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F44B14"/>
    <w:multiLevelType w:val="multilevel"/>
    <w:tmpl w:val="16D66C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3316661"/>
    <w:multiLevelType w:val="multilevel"/>
    <w:tmpl w:val="ED6E22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AB7242A"/>
    <w:multiLevelType w:val="multilevel"/>
    <w:tmpl w:val="37808D4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BAC39D2"/>
    <w:multiLevelType w:val="hybridMultilevel"/>
    <w:tmpl w:val="909E71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1D63D4"/>
    <w:multiLevelType w:val="multilevel"/>
    <w:tmpl w:val="30E2AFD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FBB6FB5"/>
    <w:multiLevelType w:val="hybridMultilevel"/>
    <w:tmpl w:val="A0A8EF22"/>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204C396F"/>
    <w:multiLevelType w:val="multilevel"/>
    <w:tmpl w:val="240C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E54C5F"/>
    <w:multiLevelType w:val="multilevel"/>
    <w:tmpl w:val="24B0E1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6639C"/>
    <w:multiLevelType w:val="hybridMultilevel"/>
    <w:tmpl w:val="7982FD2E"/>
    <w:lvl w:ilvl="0" w:tplc="5830BB94">
      <w:start w:val="1"/>
      <w:numFmt w:val="bullet"/>
      <w:lvlText w:val="·"/>
      <w:lvlJc w:val="left"/>
      <w:pPr>
        <w:ind w:left="720" w:hanging="360"/>
      </w:pPr>
      <w:rPr>
        <w:rFonts w:ascii="Symbol" w:hAnsi="Symbol" w:hint="default"/>
      </w:rPr>
    </w:lvl>
    <w:lvl w:ilvl="1" w:tplc="B612745E">
      <w:start w:val="1"/>
      <w:numFmt w:val="bullet"/>
      <w:lvlText w:val="o"/>
      <w:lvlJc w:val="left"/>
      <w:pPr>
        <w:ind w:left="1440" w:hanging="360"/>
      </w:pPr>
      <w:rPr>
        <w:rFonts w:ascii="Courier New" w:hAnsi="Courier New" w:hint="default"/>
      </w:rPr>
    </w:lvl>
    <w:lvl w:ilvl="2" w:tplc="C32CE99A">
      <w:start w:val="1"/>
      <w:numFmt w:val="bullet"/>
      <w:lvlText w:val=""/>
      <w:lvlJc w:val="left"/>
      <w:pPr>
        <w:ind w:left="2160" w:hanging="360"/>
      </w:pPr>
      <w:rPr>
        <w:rFonts w:ascii="Wingdings" w:hAnsi="Wingdings" w:hint="default"/>
      </w:rPr>
    </w:lvl>
    <w:lvl w:ilvl="3" w:tplc="73EEFF5E">
      <w:start w:val="1"/>
      <w:numFmt w:val="bullet"/>
      <w:lvlText w:val=""/>
      <w:lvlJc w:val="left"/>
      <w:pPr>
        <w:ind w:left="2880" w:hanging="360"/>
      </w:pPr>
      <w:rPr>
        <w:rFonts w:ascii="Symbol" w:hAnsi="Symbol" w:hint="default"/>
      </w:rPr>
    </w:lvl>
    <w:lvl w:ilvl="4" w:tplc="53A8CE9E">
      <w:start w:val="1"/>
      <w:numFmt w:val="bullet"/>
      <w:lvlText w:val="o"/>
      <w:lvlJc w:val="left"/>
      <w:pPr>
        <w:ind w:left="3600" w:hanging="360"/>
      </w:pPr>
      <w:rPr>
        <w:rFonts w:ascii="Courier New" w:hAnsi="Courier New" w:hint="default"/>
      </w:rPr>
    </w:lvl>
    <w:lvl w:ilvl="5" w:tplc="160416F2">
      <w:start w:val="1"/>
      <w:numFmt w:val="bullet"/>
      <w:lvlText w:val=""/>
      <w:lvlJc w:val="left"/>
      <w:pPr>
        <w:ind w:left="4320" w:hanging="360"/>
      </w:pPr>
      <w:rPr>
        <w:rFonts w:ascii="Wingdings" w:hAnsi="Wingdings" w:hint="default"/>
      </w:rPr>
    </w:lvl>
    <w:lvl w:ilvl="6" w:tplc="B93E20AE">
      <w:start w:val="1"/>
      <w:numFmt w:val="bullet"/>
      <w:lvlText w:val=""/>
      <w:lvlJc w:val="left"/>
      <w:pPr>
        <w:ind w:left="5040" w:hanging="360"/>
      </w:pPr>
      <w:rPr>
        <w:rFonts w:ascii="Symbol" w:hAnsi="Symbol" w:hint="default"/>
      </w:rPr>
    </w:lvl>
    <w:lvl w:ilvl="7" w:tplc="2270A692">
      <w:start w:val="1"/>
      <w:numFmt w:val="bullet"/>
      <w:lvlText w:val="o"/>
      <w:lvlJc w:val="left"/>
      <w:pPr>
        <w:ind w:left="5760" w:hanging="360"/>
      </w:pPr>
      <w:rPr>
        <w:rFonts w:ascii="Courier New" w:hAnsi="Courier New" w:hint="default"/>
      </w:rPr>
    </w:lvl>
    <w:lvl w:ilvl="8" w:tplc="B2A4EF30">
      <w:start w:val="1"/>
      <w:numFmt w:val="bullet"/>
      <w:lvlText w:val=""/>
      <w:lvlJc w:val="left"/>
      <w:pPr>
        <w:ind w:left="6480" w:hanging="360"/>
      </w:pPr>
      <w:rPr>
        <w:rFonts w:ascii="Wingdings" w:hAnsi="Wingdings" w:hint="default"/>
      </w:rPr>
    </w:lvl>
  </w:abstractNum>
  <w:abstractNum w:abstractNumId="12" w15:restartNumberingAfterBreak="0">
    <w:nsid w:val="28371297"/>
    <w:multiLevelType w:val="hybridMultilevel"/>
    <w:tmpl w:val="36DE63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9834FC9"/>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90B3C"/>
    <w:multiLevelType w:val="multilevel"/>
    <w:tmpl w:val="50681018"/>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D6D86"/>
    <w:multiLevelType w:val="hybridMultilevel"/>
    <w:tmpl w:val="BBFAE78C"/>
    <w:lvl w:ilvl="0" w:tplc="E8827680">
      <w:start w:val="1"/>
      <w:numFmt w:val="lowerLetter"/>
      <w:lvlText w:val="%1)"/>
      <w:lvlJc w:val="left"/>
      <w:pPr>
        <w:ind w:left="1211" w:hanging="360"/>
      </w:pPr>
      <w:rPr>
        <w:b w:val="0"/>
        <w:bCs w:val="0"/>
        <w:color w:val="auto"/>
      </w:rPr>
    </w:lvl>
    <w:lvl w:ilvl="1" w:tplc="6C00D4AA">
      <w:start w:val="1"/>
      <w:numFmt w:val="decimal"/>
      <w:lvlText w:val="%2."/>
      <w:lvlJc w:val="left"/>
      <w:pPr>
        <w:ind w:left="1788" w:hanging="360"/>
      </w:pPr>
    </w:lvl>
    <w:lvl w:ilvl="2" w:tplc="1B26F100">
      <w:start w:val="1"/>
      <w:numFmt w:val="lowerRoman"/>
      <w:lvlText w:val="%3."/>
      <w:lvlJc w:val="right"/>
      <w:pPr>
        <w:ind w:left="2508" w:hanging="180"/>
      </w:pPr>
    </w:lvl>
    <w:lvl w:ilvl="3" w:tplc="435C84A8">
      <w:start w:val="1"/>
      <w:numFmt w:val="decimal"/>
      <w:lvlText w:val="%4."/>
      <w:lvlJc w:val="left"/>
      <w:pPr>
        <w:ind w:left="3228" w:hanging="360"/>
      </w:pPr>
    </w:lvl>
    <w:lvl w:ilvl="4" w:tplc="C3506472">
      <w:start w:val="1"/>
      <w:numFmt w:val="lowerLetter"/>
      <w:lvlText w:val="%5."/>
      <w:lvlJc w:val="left"/>
      <w:pPr>
        <w:ind w:left="3948" w:hanging="360"/>
      </w:pPr>
    </w:lvl>
    <w:lvl w:ilvl="5" w:tplc="07104806">
      <w:start w:val="1"/>
      <w:numFmt w:val="lowerRoman"/>
      <w:lvlText w:val="%6."/>
      <w:lvlJc w:val="right"/>
      <w:pPr>
        <w:ind w:left="4668" w:hanging="180"/>
      </w:pPr>
    </w:lvl>
    <w:lvl w:ilvl="6" w:tplc="8968CD74">
      <w:start w:val="1"/>
      <w:numFmt w:val="decimal"/>
      <w:lvlText w:val="%7."/>
      <w:lvlJc w:val="left"/>
      <w:pPr>
        <w:ind w:left="5388" w:hanging="360"/>
      </w:pPr>
    </w:lvl>
    <w:lvl w:ilvl="7" w:tplc="98EC2582">
      <w:start w:val="1"/>
      <w:numFmt w:val="lowerLetter"/>
      <w:lvlText w:val="%8."/>
      <w:lvlJc w:val="left"/>
      <w:pPr>
        <w:ind w:left="6108" w:hanging="360"/>
      </w:pPr>
    </w:lvl>
    <w:lvl w:ilvl="8" w:tplc="777AF0E4">
      <w:start w:val="1"/>
      <w:numFmt w:val="lowerRoman"/>
      <w:lvlText w:val="%9."/>
      <w:lvlJc w:val="right"/>
      <w:pPr>
        <w:ind w:left="6828" w:hanging="180"/>
      </w:pPr>
    </w:lvl>
  </w:abstractNum>
  <w:abstractNum w:abstractNumId="16" w15:restartNumberingAfterBreak="0">
    <w:nsid w:val="31414C96"/>
    <w:multiLevelType w:val="hybridMultilevel"/>
    <w:tmpl w:val="909E71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635671"/>
    <w:multiLevelType w:val="multilevel"/>
    <w:tmpl w:val="FA22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33F20"/>
    <w:multiLevelType w:val="multilevel"/>
    <w:tmpl w:val="C400C4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63A0909"/>
    <w:multiLevelType w:val="hybridMultilevel"/>
    <w:tmpl w:val="909E71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7D5FDE"/>
    <w:multiLevelType w:val="multilevel"/>
    <w:tmpl w:val="18FE0F2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F01A90"/>
    <w:multiLevelType w:val="hybridMultilevel"/>
    <w:tmpl w:val="88C2FB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CF1886"/>
    <w:multiLevelType w:val="hybridMultilevel"/>
    <w:tmpl w:val="0E62423A"/>
    <w:lvl w:ilvl="0" w:tplc="FB76AA74">
      <w:start w:val="1"/>
      <w:numFmt w:val="lowerLetter"/>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A231D4"/>
    <w:multiLevelType w:val="hybridMultilevel"/>
    <w:tmpl w:val="C1A43442"/>
    <w:lvl w:ilvl="0" w:tplc="FFFFFFFF">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A4E510E"/>
    <w:multiLevelType w:val="multilevel"/>
    <w:tmpl w:val="B88A39F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ED32DF3"/>
    <w:multiLevelType w:val="multilevel"/>
    <w:tmpl w:val="E2CE8EA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FC3347A"/>
    <w:multiLevelType w:val="multilevel"/>
    <w:tmpl w:val="EB50FEB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2957255"/>
    <w:multiLevelType w:val="multilevel"/>
    <w:tmpl w:val="F13083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64C6B18"/>
    <w:multiLevelType w:val="multilevel"/>
    <w:tmpl w:val="6A7C7F70"/>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CDF1D6E"/>
    <w:multiLevelType w:val="multilevel"/>
    <w:tmpl w:val="7ADE12E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ED43C6C"/>
    <w:multiLevelType w:val="hybridMultilevel"/>
    <w:tmpl w:val="490A898E"/>
    <w:lvl w:ilvl="0" w:tplc="992237F2">
      <w:start w:val="1"/>
      <w:numFmt w:val="decimal"/>
      <w:lvlText w:val="%1."/>
      <w:lvlJc w:val="left"/>
      <w:pPr>
        <w:ind w:left="1440" w:hanging="360"/>
      </w:pPr>
      <w:rPr>
        <w:rFonts w:hint="default"/>
        <w:b w:val="0"/>
        <w:bCs w:val="0"/>
        <w:sz w:val="20"/>
        <w:szCs w:val="2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7810D1C"/>
    <w:multiLevelType w:val="hybridMultilevel"/>
    <w:tmpl w:val="F33E53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7BF68DA"/>
    <w:multiLevelType w:val="hybridMultilevel"/>
    <w:tmpl w:val="02EEA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2F2AD8"/>
    <w:multiLevelType w:val="multilevel"/>
    <w:tmpl w:val="9C8291D0"/>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19B18B3"/>
    <w:multiLevelType w:val="multilevel"/>
    <w:tmpl w:val="747673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2493A3A"/>
    <w:multiLevelType w:val="hybridMultilevel"/>
    <w:tmpl w:val="7D40837C"/>
    <w:lvl w:ilvl="0" w:tplc="040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755213F9"/>
    <w:multiLevelType w:val="multilevel"/>
    <w:tmpl w:val="D9BA3B0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A6E244E"/>
    <w:multiLevelType w:val="multilevel"/>
    <w:tmpl w:val="0BC03448"/>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B84552E"/>
    <w:multiLevelType w:val="multilevel"/>
    <w:tmpl w:val="3D44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F66854"/>
    <w:multiLevelType w:val="multilevel"/>
    <w:tmpl w:val="43CEC6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D59146A"/>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180D68"/>
    <w:multiLevelType w:val="multilevel"/>
    <w:tmpl w:val="DBCCBF0A"/>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44988188">
    <w:abstractNumId w:val="11"/>
  </w:num>
  <w:num w:numId="2" w16cid:durableId="1966614503">
    <w:abstractNumId w:val="35"/>
  </w:num>
  <w:num w:numId="3" w16cid:durableId="910583367">
    <w:abstractNumId w:val="30"/>
  </w:num>
  <w:num w:numId="4" w16cid:durableId="987435118">
    <w:abstractNumId w:val="4"/>
  </w:num>
  <w:num w:numId="5" w16cid:durableId="516117865">
    <w:abstractNumId w:val="18"/>
  </w:num>
  <w:num w:numId="6" w16cid:durableId="216626026">
    <w:abstractNumId w:val="7"/>
  </w:num>
  <w:num w:numId="7" w16cid:durableId="1738239424">
    <w:abstractNumId w:val="37"/>
  </w:num>
  <w:num w:numId="8" w16cid:durableId="1845319196">
    <w:abstractNumId w:val="20"/>
  </w:num>
  <w:num w:numId="9" w16cid:durableId="244606697">
    <w:abstractNumId w:val="5"/>
  </w:num>
  <w:num w:numId="10" w16cid:durableId="104423459">
    <w:abstractNumId w:val="27"/>
  </w:num>
  <w:num w:numId="11" w16cid:durableId="848518771">
    <w:abstractNumId w:val="25"/>
  </w:num>
  <w:num w:numId="12" w16cid:durableId="889220357">
    <w:abstractNumId w:val="39"/>
  </w:num>
  <w:num w:numId="13" w16cid:durableId="904683053">
    <w:abstractNumId w:val="2"/>
  </w:num>
  <w:num w:numId="14" w16cid:durableId="319235470">
    <w:abstractNumId w:val="0"/>
  </w:num>
  <w:num w:numId="15" w16cid:durableId="680543641">
    <w:abstractNumId w:val="40"/>
  </w:num>
  <w:num w:numId="16" w16cid:durableId="1866362387">
    <w:abstractNumId w:val="26"/>
  </w:num>
  <w:num w:numId="17" w16cid:durableId="779836061">
    <w:abstractNumId w:val="34"/>
  </w:num>
  <w:num w:numId="18" w16cid:durableId="758334546">
    <w:abstractNumId w:val="14"/>
  </w:num>
  <w:num w:numId="19" w16cid:durableId="2109688919">
    <w:abstractNumId w:val="29"/>
  </w:num>
  <w:num w:numId="20" w16cid:durableId="391077170">
    <w:abstractNumId w:val="38"/>
  </w:num>
  <w:num w:numId="21" w16cid:durableId="1922524692">
    <w:abstractNumId w:val="43"/>
  </w:num>
  <w:num w:numId="22" w16cid:durableId="460460582">
    <w:abstractNumId w:val="3"/>
  </w:num>
  <w:num w:numId="23" w16cid:durableId="270667533">
    <w:abstractNumId w:val="10"/>
  </w:num>
  <w:num w:numId="24" w16cid:durableId="1670867065">
    <w:abstractNumId w:val="28"/>
  </w:num>
  <w:num w:numId="25" w16cid:durableId="222256774">
    <w:abstractNumId w:val="17"/>
  </w:num>
  <w:num w:numId="26" w16cid:durableId="1596280015">
    <w:abstractNumId w:val="9"/>
  </w:num>
  <w:num w:numId="27" w16cid:durableId="1605922732">
    <w:abstractNumId w:val="23"/>
  </w:num>
  <w:num w:numId="28" w16cid:durableId="567300361">
    <w:abstractNumId w:val="12"/>
  </w:num>
  <w:num w:numId="29" w16cid:durableId="789085017">
    <w:abstractNumId w:val="22"/>
  </w:num>
  <w:num w:numId="30" w16cid:durableId="896552709">
    <w:abstractNumId w:val="21"/>
  </w:num>
  <w:num w:numId="31" w16cid:durableId="400368466">
    <w:abstractNumId w:val="42"/>
  </w:num>
  <w:num w:numId="32" w16cid:durableId="598415983">
    <w:abstractNumId w:val="33"/>
  </w:num>
  <w:num w:numId="33" w16cid:durableId="404302335">
    <w:abstractNumId w:val="24"/>
  </w:num>
  <w:num w:numId="34" w16cid:durableId="1992098703">
    <w:abstractNumId w:val="19"/>
  </w:num>
  <w:num w:numId="35" w16cid:durableId="240213477">
    <w:abstractNumId w:val="36"/>
  </w:num>
  <w:num w:numId="36" w16cid:durableId="1265578238">
    <w:abstractNumId w:val="31"/>
  </w:num>
  <w:num w:numId="37" w16cid:durableId="57674641">
    <w:abstractNumId w:val="41"/>
  </w:num>
  <w:num w:numId="38" w16cid:durableId="1180775515">
    <w:abstractNumId w:val="1"/>
  </w:num>
  <w:num w:numId="39" w16cid:durableId="120999167">
    <w:abstractNumId w:val="8"/>
  </w:num>
  <w:num w:numId="40" w16cid:durableId="1964002078">
    <w:abstractNumId w:val="6"/>
  </w:num>
  <w:num w:numId="41" w16cid:durableId="1794253483">
    <w:abstractNumId w:val="16"/>
  </w:num>
  <w:num w:numId="42" w16cid:durableId="1494031182">
    <w:abstractNumId w:val="13"/>
  </w:num>
  <w:num w:numId="43" w16cid:durableId="1042251130">
    <w:abstractNumId w:val="32"/>
  </w:num>
  <w:num w:numId="44" w16cid:durableId="1915161374">
    <w:abstractNumId w:val="15"/>
  </w:num>
  <w:num w:numId="45" w16cid:durableId="204829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93"/>
    <w:rsid w:val="00012EB1"/>
    <w:rsid w:val="0002573F"/>
    <w:rsid w:val="000304B2"/>
    <w:rsid w:val="000349F6"/>
    <w:rsid w:val="00041EA6"/>
    <w:rsid w:val="00061428"/>
    <w:rsid w:val="000630FB"/>
    <w:rsid w:val="00083BD0"/>
    <w:rsid w:val="000A2D29"/>
    <w:rsid w:val="000B5345"/>
    <w:rsid w:val="000D1004"/>
    <w:rsid w:val="000E5510"/>
    <w:rsid w:val="000F1112"/>
    <w:rsid w:val="000F70AD"/>
    <w:rsid w:val="000F7746"/>
    <w:rsid w:val="00100AF3"/>
    <w:rsid w:val="00101E29"/>
    <w:rsid w:val="0010762B"/>
    <w:rsid w:val="00114495"/>
    <w:rsid w:val="001174A9"/>
    <w:rsid w:val="0012724E"/>
    <w:rsid w:val="0013F3F0"/>
    <w:rsid w:val="00153051"/>
    <w:rsid w:val="001537DB"/>
    <w:rsid w:val="00164F8F"/>
    <w:rsid w:val="001805F0"/>
    <w:rsid w:val="00190527"/>
    <w:rsid w:val="00191284"/>
    <w:rsid w:val="00193A99"/>
    <w:rsid w:val="001B3C16"/>
    <w:rsid w:val="001D66C5"/>
    <w:rsid w:val="001E1078"/>
    <w:rsid w:val="001E6532"/>
    <w:rsid w:val="00224E11"/>
    <w:rsid w:val="0022644B"/>
    <w:rsid w:val="00226672"/>
    <w:rsid w:val="00240C06"/>
    <w:rsid w:val="00240FFF"/>
    <w:rsid w:val="00241FF2"/>
    <w:rsid w:val="00247F89"/>
    <w:rsid w:val="002527A2"/>
    <w:rsid w:val="00254F6D"/>
    <w:rsid w:val="00266F75"/>
    <w:rsid w:val="00267947"/>
    <w:rsid w:val="00270527"/>
    <w:rsid w:val="00280535"/>
    <w:rsid w:val="002866AC"/>
    <w:rsid w:val="00293080"/>
    <w:rsid w:val="002B71CC"/>
    <w:rsid w:val="002D057E"/>
    <w:rsid w:val="002E1678"/>
    <w:rsid w:val="002E3F89"/>
    <w:rsid w:val="002E4A89"/>
    <w:rsid w:val="002E5A67"/>
    <w:rsid w:val="002E6435"/>
    <w:rsid w:val="002F1BEE"/>
    <w:rsid w:val="00307CFD"/>
    <w:rsid w:val="00311D78"/>
    <w:rsid w:val="00320B56"/>
    <w:rsid w:val="00333F36"/>
    <w:rsid w:val="0033439D"/>
    <w:rsid w:val="00350258"/>
    <w:rsid w:val="00373225"/>
    <w:rsid w:val="003841B9"/>
    <w:rsid w:val="00393701"/>
    <w:rsid w:val="003C634A"/>
    <w:rsid w:val="003C78DB"/>
    <w:rsid w:val="003E5272"/>
    <w:rsid w:val="003F2F48"/>
    <w:rsid w:val="003F44EF"/>
    <w:rsid w:val="003F6DF8"/>
    <w:rsid w:val="0040312E"/>
    <w:rsid w:val="004066FC"/>
    <w:rsid w:val="0040708D"/>
    <w:rsid w:val="004126EF"/>
    <w:rsid w:val="00422522"/>
    <w:rsid w:val="00431190"/>
    <w:rsid w:val="00441563"/>
    <w:rsid w:val="00445061"/>
    <w:rsid w:val="0045305D"/>
    <w:rsid w:val="00481715"/>
    <w:rsid w:val="00492E80"/>
    <w:rsid w:val="004A33DE"/>
    <w:rsid w:val="004A3FD4"/>
    <w:rsid w:val="004B1052"/>
    <w:rsid w:val="004D33D9"/>
    <w:rsid w:val="004F5E82"/>
    <w:rsid w:val="004F73FA"/>
    <w:rsid w:val="005264E0"/>
    <w:rsid w:val="00532B8A"/>
    <w:rsid w:val="00542D95"/>
    <w:rsid w:val="00551B8C"/>
    <w:rsid w:val="00552846"/>
    <w:rsid w:val="00553514"/>
    <w:rsid w:val="00576D0F"/>
    <w:rsid w:val="00584E71"/>
    <w:rsid w:val="00591921"/>
    <w:rsid w:val="005963DA"/>
    <w:rsid w:val="005A4695"/>
    <w:rsid w:val="005C4521"/>
    <w:rsid w:val="005C5E55"/>
    <w:rsid w:val="005D1A35"/>
    <w:rsid w:val="005D597F"/>
    <w:rsid w:val="005E1016"/>
    <w:rsid w:val="00600434"/>
    <w:rsid w:val="00620A6E"/>
    <w:rsid w:val="00621D9C"/>
    <w:rsid w:val="006267D2"/>
    <w:rsid w:val="00646499"/>
    <w:rsid w:val="006752F3"/>
    <w:rsid w:val="0068172D"/>
    <w:rsid w:val="00692F78"/>
    <w:rsid w:val="0069650F"/>
    <w:rsid w:val="006A0E8B"/>
    <w:rsid w:val="006A7F30"/>
    <w:rsid w:val="006C2445"/>
    <w:rsid w:val="006C2847"/>
    <w:rsid w:val="006F4C22"/>
    <w:rsid w:val="00704C40"/>
    <w:rsid w:val="00712C2A"/>
    <w:rsid w:val="0071671B"/>
    <w:rsid w:val="00721DE8"/>
    <w:rsid w:val="00735A40"/>
    <w:rsid w:val="007441B5"/>
    <w:rsid w:val="00744B32"/>
    <w:rsid w:val="0076060C"/>
    <w:rsid w:val="007633B6"/>
    <w:rsid w:val="007738BA"/>
    <w:rsid w:val="0077441B"/>
    <w:rsid w:val="00783FBF"/>
    <w:rsid w:val="00787223"/>
    <w:rsid w:val="007A7895"/>
    <w:rsid w:val="007A7EEF"/>
    <w:rsid w:val="007B0DA2"/>
    <w:rsid w:val="007B194F"/>
    <w:rsid w:val="007B3506"/>
    <w:rsid w:val="007B7EE2"/>
    <w:rsid w:val="007C4B4B"/>
    <w:rsid w:val="007E249A"/>
    <w:rsid w:val="007F20BF"/>
    <w:rsid w:val="007F26E4"/>
    <w:rsid w:val="007F5238"/>
    <w:rsid w:val="00813AD6"/>
    <w:rsid w:val="00823BA3"/>
    <w:rsid w:val="0083761B"/>
    <w:rsid w:val="00842422"/>
    <w:rsid w:val="0084769F"/>
    <w:rsid w:val="00853F28"/>
    <w:rsid w:val="008622A6"/>
    <w:rsid w:val="00872C19"/>
    <w:rsid w:val="00893AE8"/>
    <w:rsid w:val="008B447D"/>
    <w:rsid w:val="008C06B2"/>
    <w:rsid w:val="008C1C16"/>
    <w:rsid w:val="008C24DB"/>
    <w:rsid w:val="008E12CB"/>
    <w:rsid w:val="008F3B9E"/>
    <w:rsid w:val="00902420"/>
    <w:rsid w:val="009109DE"/>
    <w:rsid w:val="00934FD6"/>
    <w:rsid w:val="00971EC1"/>
    <w:rsid w:val="009B4F37"/>
    <w:rsid w:val="009C34F6"/>
    <w:rsid w:val="009C3D8F"/>
    <w:rsid w:val="009D24A1"/>
    <w:rsid w:val="009D6C73"/>
    <w:rsid w:val="009E1A17"/>
    <w:rsid w:val="009E23FE"/>
    <w:rsid w:val="009E3DB8"/>
    <w:rsid w:val="009F1D3B"/>
    <w:rsid w:val="009F5B9E"/>
    <w:rsid w:val="009F6529"/>
    <w:rsid w:val="00A05AAC"/>
    <w:rsid w:val="00A109ED"/>
    <w:rsid w:val="00A11967"/>
    <w:rsid w:val="00A1344E"/>
    <w:rsid w:val="00A46DCD"/>
    <w:rsid w:val="00A82C59"/>
    <w:rsid w:val="00A83CB2"/>
    <w:rsid w:val="00A9016B"/>
    <w:rsid w:val="00A94DB9"/>
    <w:rsid w:val="00AA4441"/>
    <w:rsid w:val="00AC4C61"/>
    <w:rsid w:val="00AD32C7"/>
    <w:rsid w:val="00AD5ECE"/>
    <w:rsid w:val="00AD7EAD"/>
    <w:rsid w:val="00AE2210"/>
    <w:rsid w:val="00AF2055"/>
    <w:rsid w:val="00AF4925"/>
    <w:rsid w:val="00B16AEF"/>
    <w:rsid w:val="00B42BB2"/>
    <w:rsid w:val="00B45AB8"/>
    <w:rsid w:val="00B45DF9"/>
    <w:rsid w:val="00B5262A"/>
    <w:rsid w:val="00B60B29"/>
    <w:rsid w:val="00B72310"/>
    <w:rsid w:val="00B82751"/>
    <w:rsid w:val="00B90017"/>
    <w:rsid w:val="00BB0C1C"/>
    <w:rsid w:val="00BC4536"/>
    <w:rsid w:val="00BC7746"/>
    <w:rsid w:val="00BE0137"/>
    <w:rsid w:val="00C446DC"/>
    <w:rsid w:val="00C73B0E"/>
    <w:rsid w:val="00C90A81"/>
    <w:rsid w:val="00C90EFD"/>
    <w:rsid w:val="00CC3C5A"/>
    <w:rsid w:val="00CD3093"/>
    <w:rsid w:val="00CD3D3A"/>
    <w:rsid w:val="00CD4CEE"/>
    <w:rsid w:val="00CE071A"/>
    <w:rsid w:val="00CF1B65"/>
    <w:rsid w:val="00CF4DB8"/>
    <w:rsid w:val="00D3167B"/>
    <w:rsid w:val="00D36438"/>
    <w:rsid w:val="00D4086D"/>
    <w:rsid w:val="00D62747"/>
    <w:rsid w:val="00D706EC"/>
    <w:rsid w:val="00D81EF2"/>
    <w:rsid w:val="00D930D4"/>
    <w:rsid w:val="00DA2F48"/>
    <w:rsid w:val="00DB58C6"/>
    <w:rsid w:val="00DC08B3"/>
    <w:rsid w:val="00DC0FD4"/>
    <w:rsid w:val="00DE0678"/>
    <w:rsid w:val="00DF16E8"/>
    <w:rsid w:val="00E06441"/>
    <w:rsid w:val="00E13EA2"/>
    <w:rsid w:val="00E32E90"/>
    <w:rsid w:val="00E57A75"/>
    <w:rsid w:val="00E616FA"/>
    <w:rsid w:val="00E61D0E"/>
    <w:rsid w:val="00EA3CDF"/>
    <w:rsid w:val="00EB28C2"/>
    <w:rsid w:val="00EB373A"/>
    <w:rsid w:val="00EB38B3"/>
    <w:rsid w:val="00EC1477"/>
    <w:rsid w:val="00EE2D94"/>
    <w:rsid w:val="00EE639D"/>
    <w:rsid w:val="00EF0283"/>
    <w:rsid w:val="00F34925"/>
    <w:rsid w:val="00F43A99"/>
    <w:rsid w:val="00F53F0C"/>
    <w:rsid w:val="00F66F5C"/>
    <w:rsid w:val="00F8178B"/>
    <w:rsid w:val="00F96056"/>
    <w:rsid w:val="00FD034C"/>
    <w:rsid w:val="00FD1731"/>
    <w:rsid w:val="00FE1D03"/>
    <w:rsid w:val="00FF4D35"/>
    <w:rsid w:val="00FF4FD3"/>
    <w:rsid w:val="012783CC"/>
    <w:rsid w:val="02425855"/>
    <w:rsid w:val="02D5AC1A"/>
    <w:rsid w:val="032EF851"/>
    <w:rsid w:val="03860578"/>
    <w:rsid w:val="0425260C"/>
    <w:rsid w:val="0426BEFE"/>
    <w:rsid w:val="04A1BA6E"/>
    <w:rsid w:val="051CFF3A"/>
    <w:rsid w:val="05EE4271"/>
    <w:rsid w:val="065E61A3"/>
    <w:rsid w:val="06944ED9"/>
    <w:rsid w:val="07272CB4"/>
    <w:rsid w:val="08CB1557"/>
    <w:rsid w:val="0A00E277"/>
    <w:rsid w:val="0A205109"/>
    <w:rsid w:val="0B2F8595"/>
    <w:rsid w:val="0B99E443"/>
    <w:rsid w:val="0BB55927"/>
    <w:rsid w:val="0BE01861"/>
    <w:rsid w:val="0C531CF3"/>
    <w:rsid w:val="0ED5C534"/>
    <w:rsid w:val="0FCF7CAC"/>
    <w:rsid w:val="101ECB18"/>
    <w:rsid w:val="105A7466"/>
    <w:rsid w:val="113D6C7C"/>
    <w:rsid w:val="119EE15E"/>
    <w:rsid w:val="12EACB41"/>
    <w:rsid w:val="136E4030"/>
    <w:rsid w:val="13A17C43"/>
    <w:rsid w:val="13E6999E"/>
    <w:rsid w:val="13F8269D"/>
    <w:rsid w:val="14749CC7"/>
    <w:rsid w:val="14CC83C6"/>
    <w:rsid w:val="15235D31"/>
    <w:rsid w:val="1579BA29"/>
    <w:rsid w:val="15C33471"/>
    <w:rsid w:val="16278C48"/>
    <w:rsid w:val="16764D3A"/>
    <w:rsid w:val="16B07055"/>
    <w:rsid w:val="16E0BA36"/>
    <w:rsid w:val="16F537CE"/>
    <w:rsid w:val="175301EA"/>
    <w:rsid w:val="175CA0A9"/>
    <w:rsid w:val="19A7F91E"/>
    <w:rsid w:val="1A24370C"/>
    <w:rsid w:val="1BA0ED6B"/>
    <w:rsid w:val="1BD67C0F"/>
    <w:rsid w:val="1CDE7A5B"/>
    <w:rsid w:val="1CDF9688"/>
    <w:rsid w:val="1EC6E09C"/>
    <w:rsid w:val="1EF44E59"/>
    <w:rsid w:val="1F442EF2"/>
    <w:rsid w:val="1FC09245"/>
    <w:rsid w:val="215063D9"/>
    <w:rsid w:val="22188F87"/>
    <w:rsid w:val="22CBF0FD"/>
    <w:rsid w:val="23701CF7"/>
    <w:rsid w:val="2385A982"/>
    <w:rsid w:val="23FC34E3"/>
    <w:rsid w:val="24149546"/>
    <w:rsid w:val="24ABA28F"/>
    <w:rsid w:val="24ED9AC4"/>
    <w:rsid w:val="25014DE9"/>
    <w:rsid w:val="25FF7802"/>
    <w:rsid w:val="26F321FE"/>
    <w:rsid w:val="27BC4976"/>
    <w:rsid w:val="27C580A0"/>
    <w:rsid w:val="28283B85"/>
    <w:rsid w:val="285DC034"/>
    <w:rsid w:val="2886ED69"/>
    <w:rsid w:val="288BF889"/>
    <w:rsid w:val="28C4F2B7"/>
    <w:rsid w:val="2AA07DF1"/>
    <w:rsid w:val="2BFAAE87"/>
    <w:rsid w:val="2CA8DB31"/>
    <w:rsid w:val="2DC23B37"/>
    <w:rsid w:val="2DF14725"/>
    <w:rsid w:val="2E88A36C"/>
    <w:rsid w:val="2EF71D8C"/>
    <w:rsid w:val="2FFB9F67"/>
    <w:rsid w:val="30229600"/>
    <w:rsid w:val="31BB6777"/>
    <w:rsid w:val="3255BE03"/>
    <w:rsid w:val="32749022"/>
    <w:rsid w:val="3284DF32"/>
    <w:rsid w:val="329A2DB6"/>
    <w:rsid w:val="33200CBA"/>
    <w:rsid w:val="34E95F49"/>
    <w:rsid w:val="354666AB"/>
    <w:rsid w:val="3565E90A"/>
    <w:rsid w:val="35E63A3E"/>
    <w:rsid w:val="3742919A"/>
    <w:rsid w:val="37509957"/>
    <w:rsid w:val="3787D68A"/>
    <w:rsid w:val="37C64B85"/>
    <w:rsid w:val="3812F37B"/>
    <w:rsid w:val="38499697"/>
    <w:rsid w:val="38DE6EED"/>
    <w:rsid w:val="39074449"/>
    <w:rsid w:val="3914E3DC"/>
    <w:rsid w:val="391DB00B"/>
    <w:rsid w:val="39B48087"/>
    <w:rsid w:val="39BCD345"/>
    <w:rsid w:val="3A6E8693"/>
    <w:rsid w:val="3A9FA6F1"/>
    <w:rsid w:val="3ADC7C70"/>
    <w:rsid w:val="3B165971"/>
    <w:rsid w:val="3CED45D0"/>
    <w:rsid w:val="3D17EF22"/>
    <w:rsid w:val="3D7DD824"/>
    <w:rsid w:val="3DFC3432"/>
    <w:rsid w:val="3E0565B8"/>
    <w:rsid w:val="3EDA274A"/>
    <w:rsid w:val="3F5F1F83"/>
    <w:rsid w:val="401A6166"/>
    <w:rsid w:val="4079D9B7"/>
    <w:rsid w:val="40D00E36"/>
    <w:rsid w:val="40F9242E"/>
    <w:rsid w:val="410546EE"/>
    <w:rsid w:val="42504BBB"/>
    <w:rsid w:val="43733914"/>
    <w:rsid w:val="4390C24A"/>
    <w:rsid w:val="4456EBAD"/>
    <w:rsid w:val="44C87EA3"/>
    <w:rsid w:val="452D7511"/>
    <w:rsid w:val="45B13324"/>
    <w:rsid w:val="46AC0046"/>
    <w:rsid w:val="4718ED24"/>
    <w:rsid w:val="47E5FB9A"/>
    <w:rsid w:val="480A3B30"/>
    <w:rsid w:val="485918ED"/>
    <w:rsid w:val="48A45E42"/>
    <w:rsid w:val="48DEA553"/>
    <w:rsid w:val="4951E11F"/>
    <w:rsid w:val="49C52F77"/>
    <w:rsid w:val="4A961298"/>
    <w:rsid w:val="4AAE68DF"/>
    <w:rsid w:val="4B5400E3"/>
    <w:rsid w:val="4B59A95F"/>
    <w:rsid w:val="4C0CD7C0"/>
    <w:rsid w:val="4C2B5CAC"/>
    <w:rsid w:val="4C60D379"/>
    <w:rsid w:val="4C693EFF"/>
    <w:rsid w:val="4D966958"/>
    <w:rsid w:val="4E7FD896"/>
    <w:rsid w:val="4EBB885A"/>
    <w:rsid w:val="4F1B18F3"/>
    <w:rsid w:val="4F67CCCB"/>
    <w:rsid w:val="4FE6D1B4"/>
    <w:rsid w:val="507C40D1"/>
    <w:rsid w:val="51E20503"/>
    <w:rsid w:val="537350C7"/>
    <w:rsid w:val="5462B1FC"/>
    <w:rsid w:val="54971972"/>
    <w:rsid w:val="54D7401E"/>
    <w:rsid w:val="54D8B793"/>
    <w:rsid w:val="550C9B8C"/>
    <w:rsid w:val="564DDADA"/>
    <w:rsid w:val="569866B3"/>
    <w:rsid w:val="57E355DF"/>
    <w:rsid w:val="57EA4526"/>
    <w:rsid w:val="57EB255C"/>
    <w:rsid w:val="57FA286F"/>
    <w:rsid w:val="58829C07"/>
    <w:rsid w:val="595C180B"/>
    <w:rsid w:val="5A41287E"/>
    <w:rsid w:val="5ABB3048"/>
    <w:rsid w:val="5B385E8F"/>
    <w:rsid w:val="5B451B7D"/>
    <w:rsid w:val="5B6392A4"/>
    <w:rsid w:val="5B6D3CB4"/>
    <w:rsid w:val="5BCE18D8"/>
    <w:rsid w:val="5C709523"/>
    <w:rsid w:val="5E84665B"/>
    <w:rsid w:val="6088C13D"/>
    <w:rsid w:val="617DABF7"/>
    <w:rsid w:val="6190B335"/>
    <w:rsid w:val="61A41762"/>
    <w:rsid w:val="61F1B44F"/>
    <w:rsid w:val="6355542F"/>
    <w:rsid w:val="636FA57C"/>
    <w:rsid w:val="63C277B7"/>
    <w:rsid w:val="63CDF234"/>
    <w:rsid w:val="665C39BC"/>
    <w:rsid w:val="670A9AC0"/>
    <w:rsid w:val="67AAC828"/>
    <w:rsid w:val="67BABBBC"/>
    <w:rsid w:val="68E2536E"/>
    <w:rsid w:val="69703C1A"/>
    <w:rsid w:val="6A16E4EB"/>
    <w:rsid w:val="6ABA815F"/>
    <w:rsid w:val="6BF6468A"/>
    <w:rsid w:val="6C6CEF3B"/>
    <w:rsid w:val="6CDF6686"/>
    <w:rsid w:val="6D9DFBEF"/>
    <w:rsid w:val="6DE207BF"/>
    <w:rsid w:val="6E83EF2C"/>
    <w:rsid w:val="6E92DCC6"/>
    <w:rsid w:val="6EF11E11"/>
    <w:rsid w:val="6F99A854"/>
    <w:rsid w:val="7003698C"/>
    <w:rsid w:val="711FCFB8"/>
    <w:rsid w:val="71F0671C"/>
    <w:rsid w:val="724C6762"/>
    <w:rsid w:val="73160A9E"/>
    <w:rsid w:val="73287BB7"/>
    <w:rsid w:val="73C160F8"/>
    <w:rsid w:val="73CDC655"/>
    <w:rsid w:val="74D3E5DC"/>
    <w:rsid w:val="751FB4DE"/>
    <w:rsid w:val="75F43F4A"/>
    <w:rsid w:val="767B6462"/>
    <w:rsid w:val="76AA6746"/>
    <w:rsid w:val="7732A969"/>
    <w:rsid w:val="786E0462"/>
    <w:rsid w:val="791B87D2"/>
    <w:rsid w:val="799167D0"/>
    <w:rsid w:val="79E1AE70"/>
    <w:rsid w:val="7A6C57FD"/>
    <w:rsid w:val="7AE2CFA9"/>
    <w:rsid w:val="7AFCCEE8"/>
    <w:rsid w:val="7B70849A"/>
    <w:rsid w:val="7BF29600"/>
    <w:rsid w:val="7C48E3DE"/>
    <w:rsid w:val="7CE490B7"/>
    <w:rsid w:val="7D731948"/>
    <w:rsid w:val="7DF6AC60"/>
    <w:rsid w:val="7FC7CB88"/>
    <w:rsid w:val="7FF797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43133"/>
  <w15:chartTrackingRefBased/>
  <w15:docId w15:val="{C0E1EB42-68A6-C54C-B021-1923D77F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D3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CD3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CD309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CD309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CD309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CD309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D309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D309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D309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D309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CD309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CD3093"/>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CD309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CD309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CD309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D309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D309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D3093"/>
    <w:rPr>
      <w:rFonts w:eastAsiaTheme="majorEastAsia" w:cstheme="majorBidi"/>
      <w:color w:val="272727" w:themeColor="text1" w:themeTint="D8"/>
    </w:rPr>
  </w:style>
  <w:style w:type="paragraph" w:styleId="Nzev">
    <w:name w:val="Title"/>
    <w:basedOn w:val="Normln"/>
    <w:next w:val="Normln"/>
    <w:link w:val="NzevChar"/>
    <w:uiPriority w:val="10"/>
    <w:qFormat/>
    <w:rsid w:val="00CD3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309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D3093"/>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D309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D3093"/>
    <w:pPr>
      <w:spacing w:before="160"/>
      <w:jc w:val="center"/>
    </w:pPr>
    <w:rPr>
      <w:i/>
      <w:iCs/>
      <w:color w:val="404040" w:themeColor="text1" w:themeTint="BF"/>
    </w:rPr>
  </w:style>
  <w:style w:type="character" w:customStyle="1" w:styleId="CittChar">
    <w:name w:val="Citát Char"/>
    <w:basedOn w:val="Standardnpsmoodstavce"/>
    <w:link w:val="Citt"/>
    <w:uiPriority w:val="29"/>
    <w:rsid w:val="00CD3093"/>
    <w:rPr>
      <w:i/>
      <w:iCs/>
      <w:color w:val="404040" w:themeColor="text1" w:themeTint="BF"/>
    </w:rPr>
  </w:style>
  <w:style w:type="paragraph" w:styleId="Odstavecseseznamem">
    <w:name w:val="List Paragraph"/>
    <w:basedOn w:val="Normln"/>
    <w:uiPriority w:val="34"/>
    <w:qFormat/>
    <w:rsid w:val="00CD3093"/>
    <w:pPr>
      <w:ind w:left="720"/>
      <w:contextualSpacing/>
    </w:pPr>
  </w:style>
  <w:style w:type="character" w:styleId="Zdraznnintenzivn">
    <w:name w:val="Intense Emphasis"/>
    <w:basedOn w:val="Standardnpsmoodstavce"/>
    <w:uiPriority w:val="21"/>
    <w:qFormat/>
    <w:rsid w:val="00CD3093"/>
    <w:rPr>
      <w:i/>
      <w:iCs/>
      <w:color w:val="2F5496" w:themeColor="accent1" w:themeShade="BF"/>
    </w:rPr>
  </w:style>
  <w:style w:type="paragraph" w:styleId="Vrazncitt">
    <w:name w:val="Intense Quote"/>
    <w:basedOn w:val="Normln"/>
    <w:next w:val="Normln"/>
    <w:link w:val="VrazncittChar"/>
    <w:uiPriority w:val="30"/>
    <w:qFormat/>
    <w:rsid w:val="00CD3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CD3093"/>
    <w:rPr>
      <w:i/>
      <w:iCs/>
      <w:color w:val="2F5496" w:themeColor="accent1" w:themeShade="BF"/>
    </w:rPr>
  </w:style>
  <w:style w:type="character" w:styleId="Odkazintenzivn">
    <w:name w:val="Intense Reference"/>
    <w:basedOn w:val="Standardnpsmoodstavce"/>
    <w:uiPriority w:val="32"/>
    <w:qFormat/>
    <w:rsid w:val="00CD3093"/>
    <w:rPr>
      <w:b/>
      <w:bCs/>
      <w:smallCaps/>
      <w:color w:val="2F5496" w:themeColor="accent1" w:themeShade="BF"/>
      <w:spacing w:val="5"/>
    </w:rPr>
  </w:style>
  <w:style w:type="paragraph" w:customStyle="1" w:styleId="msonormal0">
    <w:name w:val="msonormal"/>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paragraph" w:customStyle="1" w:styleId="paragraph">
    <w:name w:val="paragraph"/>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extrun">
    <w:name w:val="textrun"/>
    <w:basedOn w:val="Standardnpsmoodstavce"/>
    <w:rsid w:val="00CD3093"/>
  </w:style>
  <w:style w:type="character" w:customStyle="1" w:styleId="normaltextrun">
    <w:name w:val="normaltextrun"/>
    <w:basedOn w:val="Standardnpsmoodstavce"/>
    <w:rsid w:val="00CD3093"/>
  </w:style>
  <w:style w:type="character" w:customStyle="1" w:styleId="apple-converted-space">
    <w:name w:val="apple-converted-space"/>
    <w:basedOn w:val="Standardnpsmoodstavce"/>
    <w:rsid w:val="00CD3093"/>
  </w:style>
  <w:style w:type="character" w:customStyle="1" w:styleId="eop">
    <w:name w:val="eop"/>
    <w:basedOn w:val="Standardnpsmoodstavce"/>
    <w:rsid w:val="00CD3093"/>
  </w:style>
  <w:style w:type="paragraph" w:customStyle="1" w:styleId="outlineelement">
    <w:name w:val="outlineelement"/>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rackchangetextinsertion">
    <w:name w:val="trackchangetextinsertion"/>
    <w:basedOn w:val="Standardnpsmoodstavce"/>
    <w:rsid w:val="00CD3093"/>
  </w:style>
  <w:style w:type="character" w:customStyle="1" w:styleId="trackchangetextdeletionmarker">
    <w:name w:val="trackchangetextdeletionmarker"/>
    <w:basedOn w:val="Standardnpsmoodstavce"/>
    <w:rsid w:val="00CD3093"/>
  </w:style>
  <w:style w:type="character" w:customStyle="1" w:styleId="pagebreakblob">
    <w:name w:val="pagebreakblob"/>
    <w:basedOn w:val="Standardnpsmoodstavce"/>
    <w:rsid w:val="00CD3093"/>
  </w:style>
  <w:style w:type="character" w:customStyle="1" w:styleId="pagebreaktextspan">
    <w:name w:val="pagebreaktextspan"/>
    <w:basedOn w:val="Standardnpsmoodstavce"/>
    <w:rsid w:val="00CD3093"/>
  </w:style>
  <w:style w:type="character" w:customStyle="1" w:styleId="pagebreakborderspan">
    <w:name w:val="pagebreakborderspan"/>
    <w:basedOn w:val="Standardnpsmoodstavce"/>
    <w:rsid w:val="00CD3093"/>
  </w:style>
  <w:style w:type="character" w:customStyle="1" w:styleId="fieldrange">
    <w:name w:val="fieldrange"/>
    <w:basedOn w:val="Standardnpsmoodstavce"/>
    <w:rsid w:val="00CD3093"/>
  </w:style>
  <w:style w:type="character" w:customStyle="1" w:styleId="tabrun">
    <w:name w:val="tabrun"/>
    <w:basedOn w:val="Standardnpsmoodstavce"/>
    <w:rsid w:val="00CD3093"/>
  </w:style>
  <w:style w:type="character" w:customStyle="1" w:styleId="tabchar">
    <w:name w:val="tabchar"/>
    <w:basedOn w:val="Standardnpsmoodstavce"/>
    <w:rsid w:val="00CD3093"/>
  </w:style>
  <w:style w:type="character" w:customStyle="1" w:styleId="tableaderchars">
    <w:name w:val="tableaderchars"/>
    <w:basedOn w:val="Standardnpsmoodstavce"/>
    <w:rsid w:val="00CD3093"/>
  </w:style>
  <w:style w:type="character" w:customStyle="1" w:styleId="scxw174794859">
    <w:name w:val="scxw174794859"/>
    <w:basedOn w:val="Standardnpsmoodstavce"/>
    <w:rsid w:val="00CD3093"/>
  </w:style>
  <w:style w:type="character" w:customStyle="1" w:styleId="wacimagecontainer">
    <w:name w:val="wacimagecontainer"/>
    <w:basedOn w:val="Standardnpsmoodstavce"/>
    <w:rsid w:val="00CD3093"/>
  </w:style>
  <w:style w:type="paragraph" w:styleId="Normlnweb">
    <w:name w:val="Normal (Web)"/>
    <w:basedOn w:val="Normln"/>
    <w:uiPriority w:val="99"/>
    <w:semiHidden/>
    <w:unhideWhenUsed/>
    <w:rsid w:val="009C34F6"/>
    <w:rPr>
      <w:rFonts w:ascii="Times New Roman" w:hAnsi="Times New Roman" w:cs="Times New Roman"/>
    </w:rPr>
  </w:style>
  <w:style w:type="character" w:styleId="Odkaznakoment">
    <w:name w:val="annotation reference"/>
    <w:basedOn w:val="Standardnpsmoodstavce"/>
    <w:uiPriority w:val="99"/>
    <w:semiHidden/>
    <w:unhideWhenUsed/>
    <w:rsid w:val="004A3FD4"/>
    <w:rPr>
      <w:sz w:val="16"/>
      <w:szCs w:val="16"/>
    </w:rPr>
  </w:style>
  <w:style w:type="paragraph" w:styleId="Textkomente">
    <w:name w:val="annotation text"/>
    <w:basedOn w:val="Normln"/>
    <w:link w:val="TextkomenteChar"/>
    <w:uiPriority w:val="99"/>
    <w:unhideWhenUsed/>
    <w:rsid w:val="004A3FD4"/>
    <w:pPr>
      <w:spacing w:line="240" w:lineRule="auto"/>
    </w:pPr>
    <w:rPr>
      <w:sz w:val="20"/>
      <w:szCs w:val="20"/>
    </w:rPr>
  </w:style>
  <w:style w:type="character" w:customStyle="1" w:styleId="TextkomenteChar">
    <w:name w:val="Text komentáře Char"/>
    <w:basedOn w:val="Standardnpsmoodstavce"/>
    <w:link w:val="Textkomente"/>
    <w:uiPriority w:val="99"/>
    <w:rsid w:val="004A3FD4"/>
    <w:rPr>
      <w:sz w:val="20"/>
      <w:szCs w:val="20"/>
    </w:rPr>
  </w:style>
  <w:style w:type="paragraph" w:styleId="Textbubliny">
    <w:name w:val="Balloon Text"/>
    <w:basedOn w:val="Normln"/>
    <w:link w:val="TextbublinyChar"/>
    <w:uiPriority w:val="99"/>
    <w:semiHidden/>
    <w:unhideWhenUsed/>
    <w:rsid w:val="004A3F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A3FD4"/>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8B447D"/>
    <w:rPr>
      <w:b/>
      <w:bCs/>
    </w:rPr>
  </w:style>
  <w:style w:type="character" w:customStyle="1" w:styleId="PedmtkomenteChar">
    <w:name w:val="Předmět komentáře Char"/>
    <w:basedOn w:val="TextkomenteChar"/>
    <w:link w:val="Pedmtkomente"/>
    <w:uiPriority w:val="99"/>
    <w:semiHidden/>
    <w:rsid w:val="008B447D"/>
    <w:rPr>
      <w:b/>
      <w:bCs/>
      <w:sz w:val="20"/>
      <w:szCs w:val="20"/>
    </w:rPr>
  </w:style>
  <w:style w:type="paragraph" w:styleId="Revize">
    <w:name w:val="Revision"/>
    <w:hidden/>
    <w:uiPriority w:val="99"/>
    <w:semiHidden/>
    <w:rsid w:val="00481715"/>
    <w:pPr>
      <w:spacing w:after="0" w:line="240" w:lineRule="auto"/>
    </w:pPr>
  </w:style>
  <w:style w:type="paragraph" w:styleId="Zkladntext">
    <w:name w:val="Body Text"/>
    <w:basedOn w:val="Normln"/>
    <w:link w:val="ZkladntextChar"/>
    <w:uiPriority w:val="99"/>
    <w:unhideWhenUsed/>
    <w:rsid w:val="007A7895"/>
    <w:rPr>
      <w:rFonts w:ascii="Arial" w:hAnsi="Arial" w:cs="Arial"/>
      <w:sz w:val="20"/>
      <w:szCs w:val="20"/>
    </w:rPr>
  </w:style>
  <w:style w:type="character" w:customStyle="1" w:styleId="ZkladntextChar">
    <w:name w:val="Základní text Char"/>
    <w:basedOn w:val="Standardnpsmoodstavce"/>
    <w:link w:val="Zkladntext"/>
    <w:uiPriority w:val="99"/>
    <w:rsid w:val="007A7895"/>
    <w:rPr>
      <w:rFonts w:ascii="Arial" w:hAnsi="Arial" w:cs="Arial"/>
      <w:sz w:val="20"/>
      <w:szCs w:val="20"/>
    </w:rPr>
  </w:style>
  <w:style w:type="paragraph" w:styleId="Zhlav">
    <w:name w:val="header"/>
    <w:basedOn w:val="Normln"/>
    <w:link w:val="ZhlavChar"/>
    <w:uiPriority w:val="99"/>
    <w:unhideWhenUsed/>
    <w:rsid w:val="002527A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527A2"/>
  </w:style>
  <w:style w:type="paragraph" w:styleId="Zpat">
    <w:name w:val="footer"/>
    <w:basedOn w:val="Normln"/>
    <w:link w:val="ZpatChar"/>
    <w:uiPriority w:val="99"/>
    <w:unhideWhenUsed/>
    <w:rsid w:val="002527A2"/>
    <w:pPr>
      <w:tabs>
        <w:tab w:val="center" w:pos="4536"/>
        <w:tab w:val="right" w:pos="9072"/>
      </w:tabs>
      <w:spacing w:after="0" w:line="240" w:lineRule="auto"/>
    </w:pPr>
  </w:style>
  <w:style w:type="character" w:customStyle="1" w:styleId="ZpatChar">
    <w:name w:val="Zápatí Char"/>
    <w:basedOn w:val="Standardnpsmoodstavce"/>
    <w:link w:val="Zpat"/>
    <w:uiPriority w:val="99"/>
    <w:rsid w:val="002527A2"/>
  </w:style>
  <w:style w:type="paragraph" w:styleId="Titulek">
    <w:name w:val="caption"/>
    <w:basedOn w:val="Normln"/>
    <w:next w:val="Normln"/>
    <w:uiPriority w:val="35"/>
    <w:unhideWhenUsed/>
    <w:qFormat/>
    <w:rsid w:val="00893AE8"/>
    <w:pPr>
      <w:spacing w:after="200" w:line="240" w:lineRule="auto"/>
    </w:pPr>
    <w:rPr>
      <w:rFonts w:ascii="Calibri" w:hAnsi="Calibri" w:cs="Calibri"/>
      <w:i/>
      <w:iCs/>
      <w:color w:val="44546A" w:themeColor="text2"/>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94589">
      <w:bodyDiv w:val="1"/>
      <w:marLeft w:val="0"/>
      <w:marRight w:val="0"/>
      <w:marTop w:val="0"/>
      <w:marBottom w:val="0"/>
      <w:divBdr>
        <w:top w:val="none" w:sz="0" w:space="0" w:color="auto"/>
        <w:left w:val="none" w:sz="0" w:space="0" w:color="auto"/>
        <w:bottom w:val="none" w:sz="0" w:space="0" w:color="auto"/>
        <w:right w:val="none" w:sz="0" w:space="0" w:color="auto"/>
      </w:divBdr>
    </w:div>
    <w:div w:id="8385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8F3C-199E-49AA-B31F-E1EC073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2093</Words>
  <Characters>12355</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Klára Jiřincová</dc:creator>
  <cp:keywords/>
  <dc:description/>
  <cp:lastModifiedBy>Klára Škopková</cp:lastModifiedBy>
  <cp:revision>116</cp:revision>
  <cp:lastPrinted>2026-04-07T06:02:00Z</cp:lastPrinted>
  <dcterms:created xsi:type="dcterms:W3CDTF">2026-03-05T20:26:00Z</dcterms:created>
  <dcterms:modified xsi:type="dcterms:W3CDTF">2026-07-20T11:54:00Z</dcterms:modified>
</cp:coreProperties>
</file>