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8F0AE" w14:textId="276D9C56" w:rsidR="00167AF3" w:rsidRDefault="008A494A" w:rsidP="00167AF3">
      <w:pPr>
        <w:jc w:val="center"/>
        <w:rPr>
          <w:rFonts w:ascii="Cambria" w:hAnsi="Cambria" w:cs="Calibri"/>
          <w:b/>
          <w:caps/>
          <w:sz w:val="72"/>
          <w:szCs w:val="64"/>
        </w:rPr>
      </w:pPr>
      <w:r w:rsidRPr="008A494A">
        <w:rPr>
          <w:rFonts w:ascii="Cambria" w:hAnsi="Cambria" w:cs="Calibri"/>
          <w:b/>
          <w:caps/>
          <w:noProof/>
          <w:sz w:val="72"/>
          <w:szCs w:val="64"/>
        </w:rPr>
        <w:drawing>
          <wp:inline distT="0" distB="0" distL="0" distR="0" wp14:anchorId="198FE84D" wp14:editId="1A2CCA10">
            <wp:extent cx="5760720" cy="724351"/>
            <wp:effectExtent l="0" t="0" r="0" b="0"/>
            <wp:docPr id="26" name="Obrázek 26" descr="F:\2-spolupráce\1-MMR\Rizika\logo OPZ+MMR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spolupráce\1-MMR\Rizika\logo OPZ+MMR_CZ.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24351"/>
                    </a:xfrm>
                    <a:prstGeom prst="rect">
                      <a:avLst/>
                    </a:prstGeom>
                    <a:noFill/>
                    <a:ln>
                      <a:noFill/>
                    </a:ln>
                  </pic:spPr>
                </pic:pic>
              </a:graphicData>
            </a:graphic>
          </wp:inline>
        </w:drawing>
      </w:r>
    </w:p>
    <w:p w14:paraId="543E4244" w14:textId="17CE2AEA" w:rsidR="00167AF3" w:rsidRDefault="00167AF3" w:rsidP="000A34F5">
      <w:pPr>
        <w:spacing w:line="240" w:lineRule="auto"/>
        <w:jc w:val="center"/>
        <w:rPr>
          <w:rFonts w:ascii="Cambria" w:hAnsi="Cambria" w:cs="Calibri"/>
          <w:b/>
          <w:caps/>
          <w:sz w:val="72"/>
          <w:szCs w:val="64"/>
        </w:rPr>
      </w:pPr>
    </w:p>
    <w:p w14:paraId="0F13CAE2" w14:textId="41C8DCEF" w:rsidR="008A494A" w:rsidRPr="00693117" w:rsidRDefault="00693117" w:rsidP="00693117">
      <w:pPr>
        <w:spacing w:line="240" w:lineRule="auto"/>
        <w:jc w:val="center"/>
        <w:rPr>
          <w:rFonts w:asciiTheme="minorHAnsi" w:hAnsiTheme="minorHAnsi" w:cstheme="minorHAnsi"/>
          <w:sz w:val="28"/>
          <w:szCs w:val="36"/>
        </w:rPr>
      </w:pPr>
      <w:r w:rsidRPr="00693117">
        <w:rPr>
          <w:rFonts w:asciiTheme="minorHAnsi" w:hAnsiTheme="minorHAnsi" w:cstheme="minorHAnsi"/>
          <w:sz w:val="28"/>
          <w:szCs w:val="36"/>
        </w:rPr>
        <w:t>Výstup v rámci aktivity KA1</w:t>
      </w:r>
    </w:p>
    <w:p w14:paraId="259D8FBF" w14:textId="06825C63" w:rsidR="00693117" w:rsidRPr="00693117" w:rsidRDefault="00693117" w:rsidP="00693117">
      <w:pPr>
        <w:pStyle w:val="TableParagraph"/>
        <w:spacing w:before="40" w:after="60"/>
        <w:ind w:right="136"/>
        <w:jc w:val="center"/>
        <w:rPr>
          <w:rFonts w:asciiTheme="minorHAnsi" w:eastAsia="Times New Roman" w:hAnsiTheme="minorHAnsi" w:cstheme="minorHAnsi"/>
          <w:sz w:val="28"/>
          <w:szCs w:val="36"/>
          <w:lang w:bidi="ar-SA"/>
        </w:rPr>
      </w:pPr>
      <w:r w:rsidRPr="00693117">
        <w:rPr>
          <w:rFonts w:asciiTheme="minorHAnsi" w:eastAsia="Times New Roman" w:hAnsiTheme="minorHAnsi" w:cstheme="minorHAnsi"/>
          <w:sz w:val="28"/>
          <w:szCs w:val="36"/>
          <w:lang w:bidi="ar-SA"/>
        </w:rPr>
        <w:t>Implementace metod a nástrojů pro strategické řízení a plánování</w:t>
      </w:r>
    </w:p>
    <w:p w14:paraId="180BE3F3" w14:textId="77777777" w:rsidR="00693117" w:rsidRPr="00693117" w:rsidRDefault="00693117" w:rsidP="00693117">
      <w:pPr>
        <w:pStyle w:val="TableParagraph"/>
        <w:spacing w:before="40" w:after="60"/>
        <w:ind w:right="136"/>
        <w:jc w:val="center"/>
        <w:rPr>
          <w:rFonts w:asciiTheme="minorHAnsi" w:eastAsia="Times New Roman" w:hAnsiTheme="minorHAnsi" w:cstheme="minorHAnsi"/>
          <w:sz w:val="28"/>
          <w:szCs w:val="36"/>
          <w:lang w:bidi="ar-SA"/>
        </w:rPr>
      </w:pPr>
      <w:r w:rsidRPr="00693117">
        <w:rPr>
          <w:rFonts w:asciiTheme="minorHAnsi" w:eastAsia="Times New Roman" w:hAnsiTheme="minorHAnsi" w:cstheme="minorHAnsi"/>
          <w:sz w:val="28"/>
          <w:szCs w:val="36"/>
          <w:lang w:bidi="ar-SA"/>
        </w:rPr>
        <w:t>Aktivita 1.1 Metodická podpora pro strategické řízení a plánování</w:t>
      </w:r>
    </w:p>
    <w:p w14:paraId="4E537A7D" w14:textId="77777777" w:rsidR="00693117" w:rsidRDefault="00693117" w:rsidP="00693117">
      <w:pPr>
        <w:pStyle w:val="TableParagraph"/>
        <w:spacing w:before="40" w:after="60"/>
        <w:ind w:right="136"/>
        <w:rPr>
          <w:b/>
          <w:bCs/>
          <w:color w:val="0070C0"/>
          <w:sz w:val="24"/>
        </w:rPr>
      </w:pPr>
    </w:p>
    <w:p w14:paraId="009116E2" w14:textId="77777777" w:rsidR="00693117" w:rsidRDefault="00693117" w:rsidP="000A34F5">
      <w:pPr>
        <w:spacing w:line="240" w:lineRule="auto"/>
        <w:jc w:val="center"/>
        <w:rPr>
          <w:rFonts w:ascii="Cambria" w:hAnsi="Cambria" w:cs="Calibri"/>
          <w:b/>
          <w:caps/>
          <w:sz w:val="72"/>
          <w:szCs w:val="64"/>
        </w:rPr>
      </w:pPr>
    </w:p>
    <w:p w14:paraId="2C990F11" w14:textId="2D3399A9" w:rsidR="00DA7A53" w:rsidRDefault="00DA7A53" w:rsidP="000A34F5">
      <w:pPr>
        <w:spacing w:line="240" w:lineRule="auto"/>
        <w:jc w:val="center"/>
        <w:rPr>
          <w:rFonts w:ascii="Cambria" w:hAnsi="Cambria" w:cs="Calibri"/>
          <w:b/>
          <w:caps/>
          <w:sz w:val="72"/>
          <w:szCs w:val="64"/>
        </w:rPr>
      </w:pPr>
    </w:p>
    <w:p w14:paraId="2F9ABE7D" w14:textId="77777777" w:rsidR="00DA7A53" w:rsidRDefault="00DA7A53" w:rsidP="000A34F5">
      <w:pPr>
        <w:spacing w:line="240" w:lineRule="auto"/>
        <w:jc w:val="center"/>
        <w:rPr>
          <w:rFonts w:ascii="Cambria" w:hAnsi="Cambria" w:cs="Calibri"/>
          <w:b/>
          <w:caps/>
          <w:sz w:val="72"/>
          <w:szCs w:val="64"/>
        </w:rPr>
      </w:pPr>
    </w:p>
    <w:p w14:paraId="4AC7727F" w14:textId="6D38235A" w:rsidR="004F1A55" w:rsidRDefault="006E4D7D" w:rsidP="00C90FBA">
      <w:pPr>
        <w:spacing w:line="240" w:lineRule="auto"/>
        <w:jc w:val="center"/>
        <w:rPr>
          <w:rFonts w:asciiTheme="minorHAnsi" w:hAnsiTheme="minorHAnsi" w:cstheme="minorHAnsi"/>
          <w:b/>
          <w:caps/>
          <w:color w:val="404040" w:themeColor="text1" w:themeTint="BF"/>
          <w:sz w:val="72"/>
          <w:szCs w:val="64"/>
          <w14:shadow w14:blurRad="50800" w14:dist="50800" w14:dir="5400000" w14:sx="0" w14:sy="0" w14:kx="0" w14:ky="0" w14:algn="ctr">
            <w14:schemeClr w14:val="bg2">
              <w14:lumMod w14:val="90000"/>
            </w14:schemeClr>
          </w14:shadow>
        </w:rPr>
      </w:pPr>
      <w:r>
        <w:rPr>
          <w:rFonts w:asciiTheme="minorHAnsi" w:hAnsiTheme="minorHAnsi" w:cstheme="minorHAnsi"/>
          <w:b/>
          <w:caps/>
          <w:color w:val="404040" w:themeColor="text1" w:themeTint="BF"/>
          <w:sz w:val="72"/>
          <w:szCs w:val="64"/>
          <w14:shadow w14:blurRad="50800" w14:dist="50800" w14:dir="5400000" w14:sx="0" w14:sy="0" w14:kx="0" w14:ky="0" w14:algn="ctr">
            <w14:schemeClr w14:val="bg2">
              <w14:lumMod w14:val="90000"/>
            </w14:schemeClr>
          </w14:shadow>
        </w:rPr>
        <w:t>Zdravé finanční řízení</w:t>
      </w:r>
    </w:p>
    <w:p w14:paraId="1DB12537" w14:textId="72B5788F" w:rsidR="006E4D7D" w:rsidRPr="006E4D7D" w:rsidRDefault="00B709F5" w:rsidP="00C90FBA">
      <w:pPr>
        <w:spacing w:line="240" w:lineRule="auto"/>
        <w:jc w:val="center"/>
        <w:rPr>
          <w:rFonts w:asciiTheme="minorHAnsi" w:hAnsiTheme="minorHAnsi" w:cstheme="minorHAnsi"/>
          <w:b/>
          <w:caps/>
          <w:color w:val="404040" w:themeColor="text1" w:themeTint="BF"/>
          <w:sz w:val="44"/>
          <w:szCs w:val="64"/>
          <w14:shadow w14:blurRad="50800" w14:dist="50800" w14:dir="5400000" w14:sx="0" w14:sy="0" w14:kx="0" w14:ky="0" w14:algn="ctr">
            <w14:schemeClr w14:val="bg2">
              <w14:lumMod w14:val="90000"/>
            </w14:schemeClr>
          </w14:shadow>
        </w:rPr>
      </w:pPr>
      <w:r>
        <w:rPr>
          <w:rFonts w:asciiTheme="minorHAnsi" w:hAnsiTheme="minorHAnsi" w:cstheme="minorHAnsi"/>
          <w:b/>
          <w:caps/>
          <w:color w:val="404040" w:themeColor="text1" w:themeTint="BF"/>
          <w:sz w:val="44"/>
          <w:szCs w:val="64"/>
          <w14:shadow w14:blurRad="50800" w14:dist="50800" w14:dir="5400000" w14:sx="0" w14:sy="0" w14:kx="0" w14:ky="0" w14:algn="ctr">
            <w14:schemeClr w14:val="bg2">
              <w14:lumMod w14:val="90000"/>
            </w14:schemeClr>
          </w14:shadow>
        </w:rPr>
        <w:t xml:space="preserve">ve </w:t>
      </w:r>
      <w:r w:rsidR="006E4D7D" w:rsidRPr="006E4D7D">
        <w:rPr>
          <w:rFonts w:asciiTheme="minorHAnsi" w:hAnsiTheme="minorHAnsi" w:cstheme="minorHAnsi"/>
          <w:b/>
          <w:caps/>
          <w:color w:val="404040" w:themeColor="text1" w:themeTint="BF"/>
          <w:sz w:val="44"/>
          <w:szCs w:val="64"/>
          <w14:shadow w14:blurRad="50800" w14:dist="50800" w14:dir="5400000" w14:sx="0" w14:sy="0" w14:kx="0" w14:ky="0" w14:algn="ctr">
            <w14:schemeClr w14:val="bg2">
              <w14:lumMod w14:val="90000"/>
            </w14:schemeClr>
          </w14:shadow>
        </w:rPr>
        <w:t>vazbě na strategickou práci</w:t>
      </w:r>
    </w:p>
    <w:p w14:paraId="2B4B2679" w14:textId="77777777" w:rsidR="003B4702" w:rsidRDefault="003B4702" w:rsidP="000A34F5">
      <w:pPr>
        <w:spacing w:line="240" w:lineRule="auto"/>
        <w:jc w:val="center"/>
        <w:rPr>
          <w:rFonts w:asciiTheme="minorHAnsi" w:hAnsiTheme="minorHAnsi" w:cstheme="minorHAnsi"/>
          <w:sz w:val="28"/>
          <w:szCs w:val="36"/>
          <w:highlight w:val="yellow"/>
        </w:rPr>
      </w:pPr>
    </w:p>
    <w:p w14:paraId="3EC16B14" w14:textId="77777777" w:rsidR="00FC47AC" w:rsidRPr="00B91E65" w:rsidRDefault="00FC47AC" w:rsidP="000A34F5">
      <w:pPr>
        <w:spacing w:line="240" w:lineRule="auto"/>
        <w:jc w:val="center"/>
        <w:rPr>
          <w:rFonts w:asciiTheme="majorHAnsi" w:hAnsiTheme="majorHAnsi" w:cstheme="majorHAnsi"/>
          <w:b/>
          <w:caps/>
          <w:color w:val="404040" w:themeColor="text1" w:themeTint="BF"/>
          <w:sz w:val="48"/>
          <w:szCs w:val="48"/>
        </w:rPr>
      </w:pPr>
    </w:p>
    <w:p w14:paraId="27E92F58" w14:textId="77777777" w:rsidR="00167AF3" w:rsidRPr="00B266E6" w:rsidRDefault="00167AF3" w:rsidP="000A34F5">
      <w:pPr>
        <w:spacing w:line="240" w:lineRule="auto"/>
        <w:jc w:val="both"/>
        <w:rPr>
          <w:rFonts w:asciiTheme="majorHAnsi" w:hAnsiTheme="majorHAnsi" w:cstheme="majorHAnsi"/>
        </w:rPr>
      </w:pPr>
    </w:p>
    <w:p w14:paraId="7A992B70" w14:textId="6182B029" w:rsidR="00167AF3" w:rsidRDefault="00167AF3" w:rsidP="000A34F5">
      <w:pPr>
        <w:spacing w:line="240" w:lineRule="auto"/>
        <w:jc w:val="both"/>
        <w:rPr>
          <w:rFonts w:asciiTheme="majorHAnsi" w:hAnsiTheme="majorHAnsi" w:cstheme="majorHAnsi"/>
        </w:rPr>
      </w:pPr>
    </w:p>
    <w:p w14:paraId="6DAD0C2E" w14:textId="77777777" w:rsidR="000A34F5" w:rsidRPr="00B266E6" w:rsidRDefault="000A34F5" w:rsidP="000A34F5">
      <w:pPr>
        <w:spacing w:line="240" w:lineRule="auto"/>
        <w:jc w:val="both"/>
        <w:rPr>
          <w:rFonts w:asciiTheme="majorHAnsi" w:hAnsiTheme="majorHAnsi" w:cstheme="majorHAnsi"/>
        </w:rPr>
      </w:pPr>
    </w:p>
    <w:p w14:paraId="3C579B6A" w14:textId="2309DCDE" w:rsidR="00E603F5" w:rsidRPr="00693117" w:rsidRDefault="00EB5308" w:rsidP="000A34F5">
      <w:pPr>
        <w:spacing w:line="240" w:lineRule="auto"/>
        <w:jc w:val="center"/>
        <w:rPr>
          <w:rFonts w:asciiTheme="minorHAnsi" w:hAnsiTheme="minorHAnsi" w:cstheme="minorHAnsi"/>
          <w:b/>
          <w:sz w:val="36"/>
          <w:szCs w:val="36"/>
        </w:rPr>
      </w:pPr>
      <w:r>
        <w:rPr>
          <w:rFonts w:asciiTheme="minorHAnsi" w:hAnsiTheme="minorHAnsi" w:cstheme="minorHAnsi"/>
          <w:b/>
          <w:sz w:val="36"/>
          <w:szCs w:val="36"/>
        </w:rPr>
        <w:t xml:space="preserve">Verze </w:t>
      </w:r>
      <w:r w:rsidR="0022162D">
        <w:rPr>
          <w:rFonts w:asciiTheme="minorHAnsi" w:hAnsiTheme="minorHAnsi" w:cstheme="minorHAnsi"/>
          <w:b/>
          <w:sz w:val="36"/>
          <w:szCs w:val="36"/>
        </w:rPr>
        <w:t>1</w:t>
      </w:r>
      <w:r w:rsidR="004F1A55">
        <w:rPr>
          <w:rFonts w:asciiTheme="minorHAnsi" w:hAnsiTheme="minorHAnsi" w:cstheme="minorHAnsi"/>
          <w:b/>
          <w:sz w:val="36"/>
          <w:szCs w:val="36"/>
        </w:rPr>
        <w:t xml:space="preserve"> </w:t>
      </w:r>
      <w:r w:rsidR="00944FB2">
        <w:rPr>
          <w:rFonts w:asciiTheme="minorHAnsi" w:hAnsiTheme="minorHAnsi" w:cstheme="minorHAnsi"/>
          <w:b/>
          <w:sz w:val="36"/>
          <w:szCs w:val="36"/>
        </w:rPr>
        <w:t xml:space="preserve">/ </w:t>
      </w:r>
      <w:r w:rsidR="004F1A55">
        <w:rPr>
          <w:rFonts w:asciiTheme="minorHAnsi" w:hAnsiTheme="minorHAnsi" w:cstheme="minorHAnsi"/>
          <w:b/>
          <w:sz w:val="36"/>
          <w:szCs w:val="36"/>
        </w:rPr>
        <w:t>2022</w:t>
      </w:r>
    </w:p>
    <w:p w14:paraId="6D78F22E" w14:textId="77777777" w:rsidR="00E603F5" w:rsidRDefault="00E603F5" w:rsidP="000A34F5">
      <w:pPr>
        <w:spacing w:line="240" w:lineRule="auto"/>
        <w:jc w:val="center"/>
        <w:rPr>
          <w:rFonts w:asciiTheme="minorHAnsi" w:hAnsiTheme="minorHAnsi" w:cstheme="minorHAnsi"/>
          <w:sz w:val="28"/>
          <w:szCs w:val="36"/>
        </w:rPr>
      </w:pPr>
    </w:p>
    <w:p w14:paraId="301E6D23" w14:textId="77777777" w:rsidR="00E603F5" w:rsidRDefault="00E603F5" w:rsidP="000A34F5">
      <w:pPr>
        <w:spacing w:line="240" w:lineRule="auto"/>
        <w:jc w:val="center"/>
        <w:rPr>
          <w:rFonts w:asciiTheme="minorHAnsi" w:hAnsiTheme="minorHAnsi" w:cstheme="minorHAnsi"/>
          <w:sz w:val="28"/>
          <w:szCs w:val="36"/>
        </w:rPr>
      </w:pPr>
    </w:p>
    <w:p w14:paraId="6512305F" w14:textId="77777777" w:rsidR="00693117" w:rsidRDefault="00693117" w:rsidP="000A34F5">
      <w:pPr>
        <w:spacing w:after="120" w:line="240" w:lineRule="auto"/>
        <w:jc w:val="center"/>
        <w:rPr>
          <w:rFonts w:asciiTheme="minorHAnsi" w:hAnsiTheme="minorHAnsi" w:cstheme="minorHAnsi"/>
          <w:sz w:val="28"/>
          <w:szCs w:val="36"/>
        </w:rPr>
      </w:pPr>
    </w:p>
    <w:p w14:paraId="71FC97FB" w14:textId="77777777" w:rsidR="00693117" w:rsidRDefault="00693117" w:rsidP="000A34F5">
      <w:pPr>
        <w:spacing w:after="120" w:line="240" w:lineRule="auto"/>
        <w:jc w:val="center"/>
        <w:rPr>
          <w:rFonts w:asciiTheme="minorHAnsi" w:hAnsiTheme="minorHAnsi" w:cstheme="minorHAnsi"/>
          <w:sz w:val="28"/>
          <w:szCs w:val="36"/>
        </w:rPr>
      </w:pPr>
    </w:p>
    <w:p w14:paraId="5971B4EC" w14:textId="77777777" w:rsidR="009D66B7" w:rsidRDefault="00693117" w:rsidP="00693117">
      <w:pPr>
        <w:spacing w:line="240" w:lineRule="auto"/>
        <w:jc w:val="center"/>
        <w:rPr>
          <w:rFonts w:ascii="Calibri" w:hAnsi="Calibri" w:cs="Calibri"/>
          <w:b/>
          <w:color w:val="4472C4" w:themeColor="accent1"/>
          <w:sz w:val="26"/>
          <w:szCs w:val="26"/>
        </w:rPr>
      </w:pPr>
      <w:r w:rsidRPr="009D66B7">
        <w:rPr>
          <w:rFonts w:ascii="Calibri" w:hAnsi="Calibri" w:cs="Calibri"/>
          <w:b/>
          <w:color w:val="4472C4" w:themeColor="accent1"/>
          <w:sz w:val="26"/>
          <w:szCs w:val="26"/>
        </w:rPr>
        <w:t xml:space="preserve">Název projektu: Podpora strategického řízení a plánování ve veřejné správě ČR </w:t>
      </w:r>
    </w:p>
    <w:p w14:paraId="7B44D865" w14:textId="3D0DE75D" w:rsidR="00693117" w:rsidRPr="009D66B7" w:rsidRDefault="00693117" w:rsidP="00693117">
      <w:pPr>
        <w:spacing w:line="240" w:lineRule="auto"/>
        <w:jc w:val="center"/>
        <w:rPr>
          <w:rFonts w:ascii="Calibri" w:hAnsi="Calibri" w:cs="Calibri"/>
          <w:b/>
          <w:color w:val="4472C4" w:themeColor="accent1"/>
          <w:sz w:val="26"/>
          <w:szCs w:val="26"/>
        </w:rPr>
      </w:pPr>
      <w:r w:rsidRPr="009D66B7">
        <w:rPr>
          <w:rFonts w:ascii="Calibri" w:hAnsi="Calibri" w:cs="Calibri"/>
          <w:b/>
          <w:color w:val="4472C4" w:themeColor="accent1"/>
          <w:sz w:val="26"/>
          <w:szCs w:val="26"/>
        </w:rPr>
        <w:t>s důrazem na rozšiřování metod, nástrojů, inovací, znalostí a zkušeností v praxi</w:t>
      </w:r>
    </w:p>
    <w:p w14:paraId="15720356" w14:textId="7CDDAEA2" w:rsidR="00693117" w:rsidRPr="00693117" w:rsidRDefault="00693117" w:rsidP="000A34F5">
      <w:pPr>
        <w:spacing w:after="120" w:line="240" w:lineRule="auto"/>
        <w:jc w:val="center"/>
        <w:rPr>
          <w:rFonts w:asciiTheme="minorHAnsi" w:hAnsiTheme="minorHAnsi" w:cstheme="minorHAnsi"/>
          <w:color w:val="4472C4" w:themeColor="accent1"/>
          <w:sz w:val="32"/>
          <w:szCs w:val="36"/>
        </w:rPr>
      </w:pPr>
      <w:r w:rsidRPr="009D66B7">
        <w:rPr>
          <w:rFonts w:ascii="Calibri" w:hAnsi="Calibri" w:cs="Calibri"/>
          <w:b/>
          <w:color w:val="4472C4" w:themeColor="accent1"/>
          <w:sz w:val="26"/>
          <w:szCs w:val="26"/>
        </w:rPr>
        <w:t>Registrační číslo CZ.03.4.74/0.0/0.0/15_025/0016924</w:t>
      </w:r>
    </w:p>
    <w:p w14:paraId="07E4065E" w14:textId="77777777" w:rsidR="004F1A55" w:rsidRDefault="004F1A55" w:rsidP="00C90FBA">
      <w:pPr>
        <w:spacing w:after="120" w:line="240" w:lineRule="auto"/>
        <w:jc w:val="both"/>
        <w:rPr>
          <w:rFonts w:ascii="Calibri" w:hAnsi="Calibri" w:cs="Calibri"/>
        </w:rPr>
      </w:pPr>
    </w:p>
    <w:p w14:paraId="76B8190F" w14:textId="77777777" w:rsidR="00C566A0" w:rsidRDefault="00C566A0">
      <w:pPr>
        <w:spacing w:after="160" w:line="259" w:lineRule="auto"/>
        <w:rPr>
          <w:rFonts w:ascii="Calibri" w:hAnsi="Calibri" w:cs="Calibri"/>
        </w:rPr>
      </w:pPr>
      <w:r>
        <w:rPr>
          <w:rFonts w:ascii="Calibri" w:hAnsi="Calibri" w:cs="Calibri"/>
        </w:rPr>
        <w:br w:type="page"/>
      </w:r>
    </w:p>
    <w:p w14:paraId="7E10388E" w14:textId="74CA51D9" w:rsidR="00712DDB" w:rsidRPr="00712DDB" w:rsidRDefault="00C90FBA" w:rsidP="00712DDB">
      <w:pPr>
        <w:spacing w:after="120" w:line="240" w:lineRule="auto"/>
        <w:jc w:val="both"/>
        <w:rPr>
          <w:rFonts w:ascii="Calibri" w:hAnsi="Calibri" w:cs="Calibri"/>
        </w:rPr>
      </w:pPr>
      <w:r w:rsidRPr="0082348B">
        <w:rPr>
          <w:rFonts w:ascii="Calibri" w:hAnsi="Calibri" w:cs="Calibri"/>
        </w:rPr>
        <w:lastRenderedPageBreak/>
        <w:t xml:space="preserve">Název: </w:t>
      </w:r>
      <w:r w:rsidR="00712DDB" w:rsidRPr="00712DDB">
        <w:rPr>
          <w:rFonts w:ascii="Calibri" w:hAnsi="Calibri" w:cs="Calibri"/>
        </w:rPr>
        <w:t>Zdravé finanční řízení</w:t>
      </w:r>
      <w:r w:rsidR="00712DDB">
        <w:rPr>
          <w:rFonts w:ascii="Calibri" w:hAnsi="Calibri" w:cs="Calibri"/>
        </w:rPr>
        <w:t xml:space="preserve"> </w:t>
      </w:r>
      <w:r w:rsidR="00B709F5">
        <w:rPr>
          <w:rFonts w:ascii="Calibri" w:hAnsi="Calibri" w:cs="Calibri"/>
        </w:rPr>
        <w:t xml:space="preserve">ve </w:t>
      </w:r>
      <w:r w:rsidR="00712DDB" w:rsidRPr="00712DDB">
        <w:rPr>
          <w:rFonts w:ascii="Calibri" w:hAnsi="Calibri" w:cs="Calibri"/>
        </w:rPr>
        <w:t>vazbě na strategickou práci</w:t>
      </w:r>
    </w:p>
    <w:p w14:paraId="392A74EC" w14:textId="30950B7A" w:rsidR="00464BA1" w:rsidRPr="0082348B" w:rsidRDefault="00167AF3" w:rsidP="00464BA1">
      <w:pPr>
        <w:spacing w:after="120" w:line="240" w:lineRule="auto"/>
        <w:rPr>
          <w:rFonts w:ascii="Calibri" w:hAnsi="Calibri" w:cs="Calibri"/>
        </w:rPr>
      </w:pPr>
      <w:r w:rsidRPr="0082348B">
        <w:rPr>
          <w:rFonts w:ascii="Calibri" w:hAnsi="Calibri" w:cs="Calibri"/>
        </w:rPr>
        <w:t>Auto</w:t>
      </w:r>
      <w:r w:rsidR="00464BA1" w:rsidRPr="0082348B">
        <w:rPr>
          <w:rFonts w:ascii="Calibri" w:hAnsi="Calibri" w:cs="Calibri"/>
        </w:rPr>
        <w:t>ři</w:t>
      </w:r>
      <w:r w:rsidR="00712DDB">
        <w:rPr>
          <w:rFonts w:ascii="Calibri" w:hAnsi="Calibri" w:cs="Calibri"/>
        </w:rPr>
        <w:t>: Milan Jan Půček</w:t>
      </w:r>
      <w:r w:rsidR="00797828">
        <w:rPr>
          <w:rFonts w:ascii="Calibri" w:hAnsi="Calibri" w:cs="Calibri"/>
        </w:rPr>
        <w:t xml:space="preserve">, </w:t>
      </w:r>
      <w:r w:rsidR="00797828" w:rsidRPr="00797828">
        <w:rPr>
          <w:rFonts w:ascii="Calibri" w:hAnsi="Calibri" w:cs="Calibri"/>
        </w:rPr>
        <w:t>Veronika Linhartová</w:t>
      </w:r>
    </w:p>
    <w:p w14:paraId="4D6C4EAE" w14:textId="35D1803F" w:rsidR="00F27A03" w:rsidRPr="004E7AA8" w:rsidRDefault="00F27A03" w:rsidP="00F27A03">
      <w:pPr>
        <w:spacing w:after="120" w:line="240" w:lineRule="auto"/>
        <w:rPr>
          <w:rFonts w:ascii="Calibri" w:hAnsi="Calibri" w:cs="Calibri"/>
        </w:rPr>
      </w:pPr>
      <w:r>
        <w:rPr>
          <w:rFonts w:ascii="Calibri" w:hAnsi="Calibri" w:cs="Calibri"/>
        </w:rPr>
        <w:t xml:space="preserve">Recenzenti: </w:t>
      </w:r>
      <w:r w:rsidRPr="004E7AA8">
        <w:rPr>
          <w:rFonts w:ascii="Calibri" w:hAnsi="Calibri" w:cs="Calibri"/>
        </w:rPr>
        <w:t xml:space="preserve">Petr Valenta, </w:t>
      </w:r>
      <w:r w:rsidR="007D62DA">
        <w:rPr>
          <w:rFonts w:ascii="Calibri" w:hAnsi="Calibri" w:cs="Calibri"/>
        </w:rPr>
        <w:t>Radim Misiaček, Igor Hartmann</w:t>
      </w:r>
    </w:p>
    <w:p w14:paraId="330D0E3F" w14:textId="11B55BC6" w:rsidR="00167AF3" w:rsidRDefault="00167AF3" w:rsidP="000A34F5">
      <w:pPr>
        <w:spacing w:after="120" w:line="240" w:lineRule="auto"/>
        <w:jc w:val="both"/>
        <w:rPr>
          <w:rFonts w:ascii="Calibri" w:hAnsi="Calibri" w:cs="Calibri"/>
        </w:rPr>
      </w:pPr>
      <w:r w:rsidRPr="00BA5CAD">
        <w:rPr>
          <w:rFonts w:ascii="Calibri" w:hAnsi="Calibri" w:cs="Calibri"/>
        </w:rPr>
        <w:t xml:space="preserve">Počet stran: </w:t>
      </w:r>
      <w:r w:rsidR="003D4569">
        <w:rPr>
          <w:rFonts w:ascii="Calibri" w:hAnsi="Calibri" w:cs="Calibri"/>
        </w:rPr>
        <w:t>133</w:t>
      </w:r>
    </w:p>
    <w:p w14:paraId="4F04D3D4" w14:textId="42849930" w:rsidR="00CE3842" w:rsidRPr="00712DDB" w:rsidRDefault="00CE3842" w:rsidP="00CE3842">
      <w:pPr>
        <w:spacing w:line="240" w:lineRule="auto"/>
        <w:jc w:val="both"/>
        <w:rPr>
          <w:rFonts w:ascii="Calibri" w:hAnsi="Calibri" w:cs="Calibri"/>
          <w:i/>
        </w:rPr>
      </w:pPr>
      <w:r>
        <w:rPr>
          <w:rFonts w:ascii="Calibri" w:hAnsi="Calibri" w:cs="Calibri"/>
        </w:rPr>
        <w:t>Vzor c</w:t>
      </w:r>
      <w:r w:rsidR="00712DDB">
        <w:rPr>
          <w:rFonts w:ascii="Calibri" w:hAnsi="Calibri" w:cs="Calibri"/>
        </w:rPr>
        <w:t>itace: PŮČEK Milan Jan</w:t>
      </w:r>
      <w:r w:rsidR="00797828">
        <w:rPr>
          <w:rFonts w:ascii="Calibri" w:hAnsi="Calibri" w:cs="Calibri"/>
        </w:rPr>
        <w:t xml:space="preserve">, </w:t>
      </w:r>
      <w:r w:rsidR="00797828" w:rsidRPr="00797828">
        <w:rPr>
          <w:rFonts w:ascii="Calibri" w:hAnsi="Calibri" w:cs="Calibri"/>
        </w:rPr>
        <w:t>LINHARTOVÁ</w:t>
      </w:r>
      <w:r>
        <w:rPr>
          <w:rFonts w:ascii="Calibri" w:hAnsi="Calibri" w:cs="Calibri"/>
        </w:rPr>
        <w:t xml:space="preserve"> </w:t>
      </w:r>
      <w:r w:rsidR="00797828" w:rsidRPr="00797828">
        <w:rPr>
          <w:rFonts w:ascii="Calibri" w:hAnsi="Calibri" w:cs="Calibri"/>
        </w:rPr>
        <w:t>Veronika</w:t>
      </w:r>
      <w:r w:rsidR="00797828">
        <w:rPr>
          <w:rFonts w:ascii="Calibri" w:hAnsi="Calibri" w:cs="Calibri"/>
        </w:rPr>
        <w:t>.</w:t>
      </w:r>
      <w:r w:rsidR="00797828" w:rsidRPr="00712DDB">
        <w:rPr>
          <w:rFonts w:ascii="Calibri" w:hAnsi="Calibri" w:cs="Calibri"/>
          <w:i/>
        </w:rPr>
        <w:t xml:space="preserve"> </w:t>
      </w:r>
      <w:r w:rsidR="00712DDB" w:rsidRPr="00712DDB">
        <w:rPr>
          <w:rFonts w:ascii="Calibri" w:hAnsi="Calibri" w:cs="Calibri"/>
          <w:i/>
        </w:rPr>
        <w:t xml:space="preserve">Zdravé finanční řízení </w:t>
      </w:r>
      <w:r w:rsidR="003C1862">
        <w:rPr>
          <w:rFonts w:ascii="Calibri" w:hAnsi="Calibri" w:cs="Calibri"/>
          <w:i/>
        </w:rPr>
        <w:t xml:space="preserve">ve </w:t>
      </w:r>
      <w:r w:rsidR="00712DDB" w:rsidRPr="00712DDB">
        <w:rPr>
          <w:rFonts w:ascii="Calibri" w:hAnsi="Calibri" w:cs="Calibri"/>
          <w:i/>
        </w:rPr>
        <w:t>vazbě na strategickou práci</w:t>
      </w:r>
      <w:r w:rsidR="00712DDB">
        <w:rPr>
          <w:rFonts w:ascii="Calibri" w:hAnsi="Calibri" w:cs="Calibri"/>
          <w:i/>
        </w:rPr>
        <w:t xml:space="preserve">. </w:t>
      </w:r>
      <w:r>
        <w:rPr>
          <w:rFonts w:ascii="Calibri" w:hAnsi="Calibri" w:cs="Calibri"/>
        </w:rPr>
        <w:t>Praha: Mini</w:t>
      </w:r>
      <w:r w:rsidR="00385041">
        <w:rPr>
          <w:rFonts w:ascii="Calibri" w:hAnsi="Calibri" w:cs="Calibri"/>
        </w:rPr>
        <w:t>sterstvo pro místní rozvoj, 2022</w:t>
      </w:r>
    </w:p>
    <w:p w14:paraId="4C929DA6" w14:textId="0AF4AD41" w:rsidR="00CE3842" w:rsidRPr="0082348B" w:rsidRDefault="00CE3842" w:rsidP="00CE3842">
      <w:pPr>
        <w:spacing w:after="120" w:line="240" w:lineRule="auto"/>
        <w:jc w:val="both"/>
        <w:rPr>
          <w:rFonts w:ascii="Calibri" w:hAnsi="Calibri" w:cs="Calibri"/>
        </w:rPr>
      </w:pPr>
    </w:p>
    <w:p w14:paraId="5D2D9874" w14:textId="560470C2" w:rsidR="00CE3842" w:rsidRPr="004F448E" w:rsidRDefault="00CE3842" w:rsidP="000A34F5">
      <w:pPr>
        <w:spacing w:after="120" w:line="240" w:lineRule="auto"/>
        <w:jc w:val="both"/>
        <w:rPr>
          <w:rFonts w:ascii="Calibri" w:hAnsi="Calibri" w:cs="Calibri"/>
        </w:rPr>
      </w:pPr>
    </w:p>
    <w:p w14:paraId="16E86407" w14:textId="77777777" w:rsidR="00167AF3" w:rsidRPr="004F448E" w:rsidRDefault="00167AF3" w:rsidP="000A34F5">
      <w:pPr>
        <w:spacing w:after="120" w:line="240" w:lineRule="auto"/>
        <w:jc w:val="both"/>
        <w:rPr>
          <w:rFonts w:ascii="Calibri" w:hAnsi="Calibri" w:cs="Calibri"/>
        </w:rPr>
      </w:pPr>
    </w:p>
    <w:p w14:paraId="6C520B8D" w14:textId="77CFD80C" w:rsidR="00167AF3" w:rsidRDefault="00167AF3" w:rsidP="00167AF3">
      <w:pPr>
        <w:jc w:val="both"/>
        <w:rPr>
          <w:rFonts w:ascii="Calibri" w:hAnsi="Calibri" w:cs="Calibri"/>
        </w:rPr>
      </w:pPr>
    </w:p>
    <w:p w14:paraId="7BA03F04" w14:textId="1F406162" w:rsidR="007B78D9" w:rsidRDefault="007B78D9" w:rsidP="00167AF3">
      <w:pPr>
        <w:jc w:val="both"/>
        <w:rPr>
          <w:rFonts w:ascii="Calibri" w:hAnsi="Calibri" w:cs="Calibri"/>
        </w:rPr>
      </w:pPr>
    </w:p>
    <w:p w14:paraId="03E4A5B3" w14:textId="6A72C128" w:rsidR="007B78D9" w:rsidRDefault="007B78D9" w:rsidP="00167AF3">
      <w:pPr>
        <w:jc w:val="both"/>
        <w:rPr>
          <w:rFonts w:ascii="Calibri" w:hAnsi="Calibri" w:cs="Calibri"/>
        </w:rPr>
      </w:pPr>
    </w:p>
    <w:p w14:paraId="4F690315" w14:textId="77777777" w:rsidR="00BF0C11" w:rsidRDefault="00BF0C11" w:rsidP="00167AF3">
      <w:pPr>
        <w:jc w:val="both"/>
        <w:rPr>
          <w:rFonts w:ascii="Calibri" w:hAnsi="Calibri" w:cs="Calibri"/>
        </w:rPr>
      </w:pPr>
    </w:p>
    <w:p w14:paraId="7E0FA3E9" w14:textId="1093F1FF" w:rsidR="007B78D9" w:rsidRDefault="007B78D9" w:rsidP="00167AF3">
      <w:pPr>
        <w:jc w:val="both"/>
        <w:rPr>
          <w:rFonts w:ascii="Calibri" w:hAnsi="Calibri" w:cs="Calibri"/>
        </w:rPr>
      </w:pPr>
    </w:p>
    <w:p w14:paraId="34824E12" w14:textId="08B2BCBC" w:rsidR="00DA7A53" w:rsidRDefault="00DA7A53" w:rsidP="00167AF3">
      <w:pPr>
        <w:jc w:val="both"/>
        <w:rPr>
          <w:rFonts w:ascii="Calibri" w:hAnsi="Calibri" w:cs="Calibri"/>
        </w:rPr>
      </w:pPr>
    </w:p>
    <w:p w14:paraId="6695AB01" w14:textId="18367BD8" w:rsidR="00693117" w:rsidRDefault="00693117" w:rsidP="00167AF3">
      <w:pPr>
        <w:jc w:val="both"/>
        <w:rPr>
          <w:rFonts w:ascii="Calibri" w:hAnsi="Calibri" w:cs="Calibri"/>
        </w:rPr>
      </w:pPr>
    </w:p>
    <w:p w14:paraId="7E6B0586" w14:textId="326B0087" w:rsidR="00C6197F" w:rsidRDefault="00C6197F" w:rsidP="00A65CB3">
      <w:pPr>
        <w:jc w:val="both"/>
        <w:rPr>
          <w:rFonts w:asciiTheme="minorHAnsi" w:hAnsiTheme="minorHAnsi" w:cstheme="minorHAnsi"/>
        </w:rPr>
      </w:pPr>
    </w:p>
    <w:p w14:paraId="4E001A93" w14:textId="54446426" w:rsidR="00C6197F" w:rsidRDefault="00C6197F" w:rsidP="00A65CB3">
      <w:pPr>
        <w:jc w:val="both"/>
        <w:rPr>
          <w:rFonts w:asciiTheme="minorHAnsi" w:hAnsiTheme="minorHAnsi" w:cstheme="minorHAnsi"/>
        </w:rPr>
      </w:pPr>
    </w:p>
    <w:p w14:paraId="5EC2E87C" w14:textId="297FA08F" w:rsidR="00C6197F" w:rsidRDefault="00C6197F" w:rsidP="00A65CB3">
      <w:pPr>
        <w:jc w:val="both"/>
        <w:rPr>
          <w:rFonts w:asciiTheme="minorHAnsi" w:hAnsiTheme="minorHAnsi" w:cstheme="minorHAnsi"/>
        </w:rPr>
      </w:pPr>
    </w:p>
    <w:p w14:paraId="203F4A92" w14:textId="200A69AA" w:rsidR="00C6197F" w:rsidRDefault="00C6197F" w:rsidP="00A65CB3">
      <w:pPr>
        <w:jc w:val="both"/>
        <w:rPr>
          <w:rFonts w:asciiTheme="minorHAnsi" w:hAnsiTheme="minorHAnsi" w:cstheme="minorHAnsi"/>
        </w:rPr>
      </w:pPr>
    </w:p>
    <w:p w14:paraId="4A845994" w14:textId="77777777" w:rsidR="00C6197F" w:rsidRDefault="00C6197F" w:rsidP="00A65CB3">
      <w:pPr>
        <w:jc w:val="both"/>
        <w:rPr>
          <w:rFonts w:asciiTheme="minorHAnsi" w:hAnsiTheme="minorHAnsi" w:cstheme="minorHAnsi"/>
        </w:rPr>
      </w:pPr>
    </w:p>
    <w:p w14:paraId="5442690A" w14:textId="286AA696" w:rsidR="00385041" w:rsidRPr="00C6197F" w:rsidRDefault="006C6EBB" w:rsidP="00C6197F">
      <w:pPr>
        <w:spacing w:line="240" w:lineRule="auto"/>
        <w:jc w:val="both"/>
        <w:rPr>
          <w:rFonts w:asciiTheme="minorHAnsi" w:hAnsiTheme="minorHAnsi" w:cstheme="minorHAnsi"/>
          <w:i/>
        </w:rPr>
      </w:pPr>
      <w:r>
        <w:rPr>
          <w:rFonts w:asciiTheme="minorHAnsi" w:hAnsiTheme="minorHAnsi" w:cstheme="minorHAnsi"/>
          <w:i/>
        </w:rPr>
        <w:t>Text</w:t>
      </w:r>
      <w:r w:rsidR="00D07FA3" w:rsidRPr="00C6197F">
        <w:rPr>
          <w:rFonts w:asciiTheme="minorHAnsi" w:hAnsiTheme="minorHAnsi" w:cstheme="minorHAnsi"/>
          <w:i/>
        </w:rPr>
        <w:t xml:space="preserve"> vznikl v rámci projektu </w:t>
      </w:r>
      <w:r w:rsidR="00C86A67" w:rsidRPr="00C6197F">
        <w:rPr>
          <w:rFonts w:asciiTheme="minorHAnsi" w:hAnsiTheme="minorHAnsi" w:cstheme="minorHAnsi"/>
          <w:i/>
        </w:rPr>
        <w:t xml:space="preserve">„Podpora strategického řízení a plánování ve veřejné správě ČR s důrazem na rozšiřování metod, nástrojů, inovací, znalostí a zkušeností v praxi“, registrační číslo CZ.03.4.74/0.0/0.0/15_025/0016924, </w:t>
      </w:r>
      <w:r w:rsidR="00D07FA3" w:rsidRPr="00C6197F">
        <w:rPr>
          <w:rFonts w:asciiTheme="minorHAnsi" w:hAnsiTheme="minorHAnsi" w:cstheme="minorHAnsi"/>
          <w:i/>
        </w:rPr>
        <w:t>který byl podpořen finančními prostředky Evropského sociálního fondu, které byly na realizaci projektu poskytnuty z Operačního programu Zaměstnanost.</w:t>
      </w:r>
      <w:r w:rsidR="00A65CB3" w:rsidRPr="00C6197F">
        <w:rPr>
          <w:rFonts w:asciiTheme="minorHAnsi" w:hAnsiTheme="minorHAnsi" w:cstheme="minorHAnsi"/>
          <w:i/>
        </w:rPr>
        <w:t xml:space="preserve"> </w:t>
      </w:r>
    </w:p>
    <w:p w14:paraId="4BFAE039" w14:textId="6CD430A0" w:rsidR="00C6197F" w:rsidRPr="00C6197F" w:rsidRDefault="006C6EBB" w:rsidP="00C6197F">
      <w:pPr>
        <w:spacing w:line="240" w:lineRule="auto"/>
        <w:jc w:val="both"/>
        <w:rPr>
          <w:rFonts w:asciiTheme="minorHAnsi" w:hAnsiTheme="minorHAnsi" w:cstheme="minorHAnsi"/>
          <w:i/>
        </w:rPr>
      </w:pPr>
      <w:r>
        <w:rPr>
          <w:rFonts w:asciiTheme="minorHAnsi" w:hAnsiTheme="minorHAnsi" w:cstheme="minorHAnsi"/>
          <w:i/>
        </w:rPr>
        <w:t>Text</w:t>
      </w:r>
      <w:r w:rsidR="00C6197F" w:rsidRPr="00C6197F">
        <w:rPr>
          <w:rFonts w:asciiTheme="minorHAnsi" w:hAnsiTheme="minorHAnsi" w:cstheme="minorHAnsi"/>
          <w:i/>
        </w:rPr>
        <w:t xml:space="preserve"> je dostupn</w:t>
      </w:r>
      <w:r>
        <w:rPr>
          <w:rFonts w:asciiTheme="minorHAnsi" w:hAnsiTheme="minorHAnsi" w:cstheme="minorHAnsi"/>
          <w:i/>
        </w:rPr>
        <w:t>ý</w:t>
      </w:r>
      <w:r w:rsidR="00A65CB3" w:rsidRPr="00C6197F">
        <w:rPr>
          <w:rFonts w:asciiTheme="minorHAnsi" w:hAnsiTheme="minorHAnsi" w:cstheme="minorHAnsi"/>
          <w:i/>
        </w:rPr>
        <w:t xml:space="preserve"> (včetně příloh) </w:t>
      </w:r>
      <w:r w:rsidR="00BD7F26" w:rsidRPr="00C6197F">
        <w:rPr>
          <w:rFonts w:asciiTheme="minorHAnsi" w:hAnsiTheme="minorHAnsi" w:cstheme="minorHAnsi"/>
          <w:i/>
        </w:rPr>
        <w:t>na „P</w:t>
      </w:r>
      <w:r w:rsidR="001B4BBD" w:rsidRPr="00C6197F">
        <w:rPr>
          <w:rFonts w:asciiTheme="minorHAnsi" w:hAnsiTheme="minorHAnsi" w:cstheme="minorHAnsi"/>
          <w:i/>
        </w:rPr>
        <w:t>ortálu strategické práce v</w:t>
      </w:r>
      <w:r w:rsidR="00BD7F26" w:rsidRPr="00C6197F">
        <w:rPr>
          <w:rFonts w:asciiTheme="minorHAnsi" w:hAnsiTheme="minorHAnsi" w:cstheme="minorHAnsi"/>
          <w:i/>
        </w:rPr>
        <w:t> </w:t>
      </w:r>
      <w:r w:rsidR="001B4BBD" w:rsidRPr="00C6197F">
        <w:rPr>
          <w:rFonts w:asciiTheme="minorHAnsi" w:hAnsiTheme="minorHAnsi" w:cstheme="minorHAnsi"/>
          <w:i/>
        </w:rPr>
        <w:t>ČR</w:t>
      </w:r>
      <w:r w:rsidR="00BD7F26" w:rsidRPr="00C6197F">
        <w:rPr>
          <w:rFonts w:asciiTheme="minorHAnsi" w:hAnsiTheme="minorHAnsi" w:cstheme="minorHAnsi"/>
          <w:i/>
        </w:rPr>
        <w:t>“</w:t>
      </w:r>
      <w:r w:rsidR="00A65CB3" w:rsidRPr="00C6197F">
        <w:rPr>
          <w:rFonts w:asciiTheme="minorHAnsi" w:hAnsiTheme="minorHAnsi" w:cstheme="minorHAnsi"/>
          <w:i/>
        </w:rPr>
        <w:t xml:space="preserve">: </w:t>
      </w:r>
    </w:p>
    <w:p w14:paraId="722527E8" w14:textId="2FE70015" w:rsidR="00A65CB3" w:rsidRPr="00C6197F" w:rsidRDefault="006B18F0" w:rsidP="00C6197F">
      <w:pPr>
        <w:spacing w:line="240" w:lineRule="auto"/>
        <w:jc w:val="both"/>
        <w:rPr>
          <w:rFonts w:asciiTheme="minorHAnsi" w:hAnsiTheme="minorHAnsi" w:cstheme="minorHAnsi"/>
          <w:i/>
          <w:sz w:val="22"/>
        </w:rPr>
      </w:pPr>
      <w:hyperlink r:id="rId9" w:history="1">
        <w:r w:rsidR="00A65CB3" w:rsidRPr="00C6197F">
          <w:rPr>
            <w:rStyle w:val="Hypertextovodkaz"/>
            <w:rFonts w:asciiTheme="minorHAnsi" w:hAnsiTheme="minorHAnsi" w:cstheme="minorHAnsi"/>
            <w:i/>
            <w:sz w:val="22"/>
          </w:rPr>
          <w:t>https://mmr.cz/cs/microsites/portal-strategicke-prace-v-ceske-republice/nastroje-a-metodicka-podpora/podpora-strategickeho-rizeni-a-planovani-ve-verejn</w:t>
        </w:r>
      </w:hyperlink>
    </w:p>
    <w:p w14:paraId="11CC02FA" w14:textId="0BAB9ACC" w:rsidR="00167AF3" w:rsidRPr="00C6197F" w:rsidRDefault="00385041" w:rsidP="00C6197F">
      <w:pPr>
        <w:spacing w:line="240" w:lineRule="auto"/>
        <w:jc w:val="both"/>
        <w:rPr>
          <w:rFonts w:asciiTheme="minorHAnsi" w:hAnsiTheme="minorHAnsi" w:cstheme="minorHAnsi"/>
          <w:i/>
        </w:rPr>
      </w:pPr>
      <w:r w:rsidRPr="00C6197F">
        <w:rPr>
          <w:rFonts w:asciiTheme="minorHAnsi" w:hAnsiTheme="minorHAnsi" w:cstheme="minorHAnsi"/>
          <w:i/>
        </w:rPr>
        <w:t>nebo na:</w:t>
      </w:r>
    </w:p>
    <w:p w14:paraId="0E203EDF" w14:textId="4ED725D6" w:rsidR="00385041" w:rsidRPr="00C6197F" w:rsidRDefault="006B18F0" w:rsidP="00C6197F">
      <w:pPr>
        <w:spacing w:line="240" w:lineRule="auto"/>
        <w:jc w:val="both"/>
        <w:rPr>
          <w:rFonts w:asciiTheme="minorHAnsi" w:hAnsiTheme="minorHAnsi" w:cstheme="minorHAnsi"/>
          <w:i/>
          <w:sz w:val="22"/>
        </w:rPr>
      </w:pPr>
      <w:hyperlink r:id="rId10" w:history="1">
        <w:r w:rsidR="00385041" w:rsidRPr="00C6197F">
          <w:rPr>
            <w:rStyle w:val="Hypertextovodkaz"/>
            <w:rFonts w:asciiTheme="minorHAnsi" w:hAnsiTheme="minorHAnsi" w:cstheme="minorHAnsi"/>
            <w:i/>
            <w:sz w:val="22"/>
          </w:rPr>
          <w:t>https://mmr.cz/cs/microsites/portal-strategicke-prace-v-ceske-republice/nastroje-a-metodicka-podpora/nastroje-pro-strategickou-praci</w:t>
        </w:r>
      </w:hyperlink>
    </w:p>
    <w:p w14:paraId="2C9A2FB1" w14:textId="77777777" w:rsidR="00385041" w:rsidRPr="004F448E" w:rsidRDefault="00385041" w:rsidP="00C6197F">
      <w:pPr>
        <w:spacing w:line="240" w:lineRule="auto"/>
        <w:jc w:val="both"/>
        <w:rPr>
          <w:rFonts w:ascii="Calibri" w:hAnsi="Calibri" w:cs="Calibri"/>
        </w:rPr>
      </w:pPr>
    </w:p>
    <w:p w14:paraId="052C12A7" w14:textId="77777777" w:rsidR="00167AF3" w:rsidRPr="004F448E" w:rsidRDefault="00167AF3" w:rsidP="00C6197F">
      <w:pPr>
        <w:spacing w:line="240" w:lineRule="auto"/>
        <w:jc w:val="both"/>
        <w:rPr>
          <w:rFonts w:ascii="Calibri" w:hAnsi="Calibri" w:cs="Calibri"/>
        </w:rPr>
      </w:pPr>
      <w:r w:rsidRPr="004F448E">
        <w:rPr>
          <w:rFonts w:ascii="Calibri" w:hAnsi="Calibri" w:cs="Calibri"/>
        </w:rPr>
        <w:t>Tato publikace neprošla redakční jazykovou úpravou.</w:t>
      </w:r>
    </w:p>
    <w:p w14:paraId="06D44B6A" w14:textId="77777777" w:rsidR="00167AF3" w:rsidRPr="004F448E" w:rsidRDefault="00167AF3" w:rsidP="00C6197F">
      <w:pPr>
        <w:spacing w:line="240" w:lineRule="auto"/>
        <w:jc w:val="both"/>
        <w:rPr>
          <w:rFonts w:ascii="Calibri" w:hAnsi="Calibri" w:cs="Calibri"/>
        </w:rPr>
      </w:pPr>
    </w:p>
    <w:p w14:paraId="02A6852B" w14:textId="77777777" w:rsidR="00C6197F" w:rsidRDefault="000A34F5" w:rsidP="00C6197F">
      <w:pPr>
        <w:spacing w:line="240" w:lineRule="auto"/>
        <w:jc w:val="both"/>
        <w:rPr>
          <w:rFonts w:ascii="Calibri" w:hAnsi="Calibri" w:cs="Calibri"/>
        </w:rPr>
      </w:pPr>
      <w:r>
        <w:rPr>
          <w:rFonts w:ascii="Calibri" w:hAnsi="Calibri" w:cs="Calibri"/>
        </w:rPr>
        <w:t>Praha</w:t>
      </w:r>
      <w:r w:rsidR="00693117">
        <w:rPr>
          <w:rFonts w:ascii="Calibri" w:hAnsi="Calibri" w:cs="Calibri"/>
        </w:rPr>
        <w:t>: Ministerstvo pro místní rozvoj,</w:t>
      </w:r>
      <w:r w:rsidR="00E205C8">
        <w:rPr>
          <w:rFonts w:ascii="Calibri" w:hAnsi="Calibri" w:cs="Calibri"/>
        </w:rPr>
        <w:t xml:space="preserve"> 2022</w:t>
      </w:r>
    </w:p>
    <w:p w14:paraId="7481AE57" w14:textId="0D884BC3" w:rsidR="00167AF3" w:rsidRPr="00A71F87" w:rsidRDefault="00C6197F" w:rsidP="00C6197F">
      <w:pPr>
        <w:spacing w:line="240" w:lineRule="auto"/>
        <w:jc w:val="both"/>
        <w:rPr>
          <w:rFonts w:ascii="Calibri" w:hAnsi="Calibri"/>
          <w:b/>
          <w:bCs/>
          <w:color w:val="7493B0"/>
          <w:sz w:val="32"/>
          <w:szCs w:val="28"/>
          <w:lang w:val="x-none"/>
        </w:rPr>
      </w:pPr>
      <w:r w:rsidRPr="00C6197F">
        <w:rPr>
          <w:rFonts w:ascii="Calibri" w:hAnsi="Calibri" w:cs="Calibri"/>
          <w:highlight w:val="yellow"/>
        </w:rPr>
        <w:t>ISBN:                    (pdf)</w:t>
      </w:r>
      <w:r w:rsidR="00167AF3" w:rsidRPr="00A71F87">
        <w:rPr>
          <w:rFonts w:ascii="Calibri" w:hAnsi="Calibri"/>
          <w:b/>
          <w:bCs/>
          <w:color w:val="7493B0"/>
          <w:sz w:val="32"/>
          <w:szCs w:val="28"/>
          <w:lang w:val="x-none"/>
        </w:rPr>
        <w:br w:type="page"/>
      </w:r>
    </w:p>
    <w:p w14:paraId="2395A9C2" w14:textId="03FBF8BA" w:rsidR="00167AF3" w:rsidRPr="008E159E" w:rsidRDefault="00167AF3" w:rsidP="008E159E">
      <w:pPr>
        <w:pStyle w:val="Nadpisobsahu"/>
        <w:tabs>
          <w:tab w:val="left" w:pos="5652"/>
        </w:tabs>
        <w:spacing w:before="0" w:after="120"/>
        <w:rPr>
          <w:rFonts w:ascii="Calibri" w:hAnsi="Calibri"/>
          <w:b w:val="0"/>
          <w:bCs w:val="0"/>
          <w:color w:val="1F3864" w:themeColor="accent1" w:themeShade="80"/>
          <w:szCs w:val="20"/>
          <w:lang w:val="cs-CZ"/>
        </w:rPr>
      </w:pPr>
      <w:r w:rsidRPr="008E159E">
        <w:rPr>
          <w:rFonts w:ascii="Calibri" w:hAnsi="Calibri"/>
          <w:color w:val="1F3864" w:themeColor="accent1" w:themeShade="80"/>
          <w:sz w:val="32"/>
        </w:rPr>
        <w:lastRenderedPageBreak/>
        <w:t>Obsah</w:t>
      </w:r>
      <w:r w:rsidRPr="008E159E">
        <w:rPr>
          <w:rFonts w:ascii="Calibri" w:hAnsi="Calibri"/>
          <w:b w:val="0"/>
          <w:bCs w:val="0"/>
          <w:color w:val="1F3864" w:themeColor="accent1" w:themeShade="80"/>
          <w:szCs w:val="20"/>
          <w:lang w:val="cs-CZ"/>
        </w:rPr>
        <w:tab/>
      </w:r>
    </w:p>
    <w:p w14:paraId="176B1501" w14:textId="26FE40F4" w:rsidR="00734797" w:rsidRPr="00734797" w:rsidRDefault="00167AF3" w:rsidP="00734797">
      <w:pPr>
        <w:pStyle w:val="Obsah1"/>
        <w:tabs>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b w:val="0"/>
          <w:bCs w:val="0"/>
          <w:sz w:val="28"/>
        </w:rPr>
        <w:fldChar w:fldCharType="begin"/>
      </w:r>
      <w:r w:rsidRPr="00734797">
        <w:rPr>
          <w:rFonts w:asciiTheme="minorHAnsi" w:hAnsiTheme="minorHAnsi" w:cstheme="minorHAnsi"/>
          <w:b w:val="0"/>
          <w:bCs w:val="0"/>
          <w:sz w:val="28"/>
        </w:rPr>
        <w:instrText xml:space="preserve"> TOC \o "1-3" \u </w:instrText>
      </w:r>
      <w:r w:rsidRPr="00734797">
        <w:rPr>
          <w:rFonts w:asciiTheme="minorHAnsi" w:hAnsiTheme="minorHAnsi" w:cstheme="minorHAnsi"/>
          <w:b w:val="0"/>
          <w:bCs w:val="0"/>
          <w:sz w:val="28"/>
        </w:rPr>
        <w:fldChar w:fldCharType="separate"/>
      </w:r>
      <w:r w:rsidR="00734797" w:rsidRPr="00734797">
        <w:rPr>
          <w:noProof/>
        </w:rPr>
        <w:t>Souhrn</w:t>
      </w:r>
      <w:r w:rsidR="00734797" w:rsidRPr="00734797">
        <w:rPr>
          <w:noProof/>
        </w:rPr>
        <w:tab/>
      </w:r>
      <w:r w:rsidR="00734797" w:rsidRPr="00734797">
        <w:rPr>
          <w:noProof/>
        </w:rPr>
        <w:fldChar w:fldCharType="begin"/>
      </w:r>
      <w:r w:rsidR="00734797" w:rsidRPr="00734797">
        <w:rPr>
          <w:noProof/>
        </w:rPr>
        <w:instrText xml:space="preserve"> PAGEREF _Toc117269976 \h </w:instrText>
      </w:r>
      <w:r w:rsidR="00734797" w:rsidRPr="00734797">
        <w:rPr>
          <w:noProof/>
        </w:rPr>
      </w:r>
      <w:r w:rsidR="00734797" w:rsidRPr="00734797">
        <w:rPr>
          <w:noProof/>
        </w:rPr>
        <w:fldChar w:fldCharType="separate"/>
      </w:r>
      <w:r w:rsidR="003D4569">
        <w:rPr>
          <w:noProof/>
        </w:rPr>
        <w:t>5</w:t>
      </w:r>
      <w:r w:rsidR="00734797" w:rsidRPr="00734797">
        <w:rPr>
          <w:noProof/>
        </w:rPr>
        <w:fldChar w:fldCharType="end"/>
      </w:r>
    </w:p>
    <w:p w14:paraId="021186E8" w14:textId="64980363" w:rsidR="00734797" w:rsidRPr="00734797" w:rsidRDefault="00734797" w:rsidP="00734797">
      <w:pPr>
        <w:pStyle w:val="Obsah1"/>
        <w:tabs>
          <w:tab w:val="right" w:pos="9062"/>
        </w:tabs>
        <w:spacing w:before="0" w:after="0"/>
        <w:rPr>
          <w:rFonts w:asciiTheme="minorHAnsi" w:eastAsiaTheme="minorEastAsia" w:hAnsiTheme="minorHAnsi" w:cstheme="minorBidi"/>
          <w:b w:val="0"/>
          <w:bCs w:val="0"/>
          <w:noProof/>
          <w:sz w:val="22"/>
          <w:szCs w:val="22"/>
        </w:rPr>
      </w:pPr>
      <w:r w:rsidRPr="00734797">
        <w:rPr>
          <w:noProof/>
        </w:rPr>
        <w:t>Summary</w:t>
      </w:r>
      <w:r w:rsidRPr="00734797">
        <w:rPr>
          <w:noProof/>
        </w:rPr>
        <w:tab/>
      </w:r>
      <w:r w:rsidRPr="00734797">
        <w:rPr>
          <w:noProof/>
        </w:rPr>
        <w:fldChar w:fldCharType="begin"/>
      </w:r>
      <w:r w:rsidRPr="00734797">
        <w:rPr>
          <w:noProof/>
        </w:rPr>
        <w:instrText xml:space="preserve"> PAGEREF _Toc117269977 \h </w:instrText>
      </w:r>
      <w:r w:rsidRPr="00734797">
        <w:rPr>
          <w:noProof/>
        </w:rPr>
      </w:r>
      <w:r w:rsidRPr="00734797">
        <w:rPr>
          <w:noProof/>
        </w:rPr>
        <w:fldChar w:fldCharType="separate"/>
      </w:r>
      <w:r w:rsidR="003D4569">
        <w:rPr>
          <w:noProof/>
        </w:rPr>
        <w:t>6</w:t>
      </w:r>
      <w:r w:rsidRPr="00734797">
        <w:rPr>
          <w:noProof/>
        </w:rPr>
        <w:fldChar w:fldCharType="end"/>
      </w:r>
    </w:p>
    <w:p w14:paraId="757126F4" w14:textId="07A53D63"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1</w:t>
      </w:r>
      <w:r w:rsidRPr="00734797">
        <w:rPr>
          <w:rFonts w:asciiTheme="minorHAnsi" w:eastAsiaTheme="minorEastAsia" w:hAnsiTheme="minorHAnsi" w:cstheme="minorBidi"/>
          <w:b w:val="0"/>
          <w:bCs w:val="0"/>
          <w:noProof/>
          <w:sz w:val="22"/>
          <w:szCs w:val="22"/>
        </w:rPr>
        <w:tab/>
      </w:r>
      <w:r w:rsidRPr="00734797">
        <w:rPr>
          <w:noProof/>
        </w:rPr>
        <w:t>Úvod</w:t>
      </w:r>
      <w:r w:rsidRPr="00734797">
        <w:rPr>
          <w:noProof/>
        </w:rPr>
        <w:tab/>
      </w:r>
      <w:r w:rsidRPr="00734797">
        <w:rPr>
          <w:noProof/>
        </w:rPr>
        <w:fldChar w:fldCharType="begin"/>
      </w:r>
      <w:r w:rsidRPr="00734797">
        <w:rPr>
          <w:noProof/>
        </w:rPr>
        <w:instrText xml:space="preserve"> PAGEREF _Toc117269978 \h </w:instrText>
      </w:r>
      <w:r w:rsidRPr="00734797">
        <w:rPr>
          <w:noProof/>
        </w:rPr>
      </w:r>
      <w:r w:rsidRPr="00734797">
        <w:rPr>
          <w:noProof/>
        </w:rPr>
        <w:fldChar w:fldCharType="separate"/>
      </w:r>
      <w:r w:rsidR="003D4569">
        <w:rPr>
          <w:noProof/>
        </w:rPr>
        <w:t>7</w:t>
      </w:r>
      <w:r w:rsidRPr="00734797">
        <w:rPr>
          <w:noProof/>
        </w:rPr>
        <w:fldChar w:fldCharType="end"/>
      </w:r>
    </w:p>
    <w:p w14:paraId="10F05316" w14:textId="0CFB0210"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2</w:t>
      </w:r>
      <w:r w:rsidRPr="00734797">
        <w:rPr>
          <w:rFonts w:asciiTheme="minorHAnsi" w:eastAsiaTheme="minorEastAsia" w:hAnsiTheme="minorHAnsi" w:cstheme="minorBidi"/>
          <w:b w:val="0"/>
          <w:bCs w:val="0"/>
          <w:noProof/>
          <w:sz w:val="22"/>
          <w:szCs w:val="22"/>
        </w:rPr>
        <w:tab/>
      </w:r>
      <w:r w:rsidRPr="00734797">
        <w:rPr>
          <w:noProof/>
        </w:rPr>
        <w:t>Výsledky analýzy propojení strategických dokumentů s finančními zdroji</w:t>
      </w:r>
      <w:r w:rsidRPr="00734797">
        <w:rPr>
          <w:noProof/>
        </w:rPr>
        <w:tab/>
      </w:r>
      <w:r w:rsidRPr="00734797">
        <w:rPr>
          <w:noProof/>
        </w:rPr>
        <w:fldChar w:fldCharType="begin"/>
      </w:r>
      <w:r w:rsidRPr="00734797">
        <w:rPr>
          <w:noProof/>
        </w:rPr>
        <w:instrText xml:space="preserve"> PAGEREF _Toc117269979 \h </w:instrText>
      </w:r>
      <w:r w:rsidRPr="00734797">
        <w:rPr>
          <w:noProof/>
        </w:rPr>
      </w:r>
      <w:r w:rsidRPr="00734797">
        <w:rPr>
          <w:noProof/>
        </w:rPr>
        <w:fldChar w:fldCharType="separate"/>
      </w:r>
      <w:r w:rsidR="003D4569">
        <w:rPr>
          <w:noProof/>
        </w:rPr>
        <w:t>12</w:t>
      </w:r>
      <w:r w:rsidRPr="00734797">
        <w:rPr>
          <w:noProof/>
        </w:rPr>
        <w:fldChar w:fldCharType="end"/>
      </w:r>
    </w:p>
    <w:p w14:paraId="6EB02185" w14:textId="2BA4FD65"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3</w:t>
      </w:r>
      <w:r w:rsidRPr="00734797">
        <w:rPr>
          <w:rFonts w:asciiTheme="minorHAnsi" w:eastAsiaTheme="minorEastAsia" w:hAnsiTheme="minorHAnsi" w:cstheme="minorBidi"/>
          <w:b w:val="0"/>
          <w:bCs w:val="0"/>
          <w:noProof/>
          <w:sz w:val="22"/>
          <w:szCs w:val="22"/>
        </w:rPr>
        <w:tab/>
      </w:r>
      <w:r w:rsidRPr="00734797">
        <w:rPr>
          <w:noProof/>
        </w:rPr>
        <w:t>Strategická práce ve vztahu k rozpočtové odpovědnosti a 3E</w:t>
      </w:r>
      <w:r w:rsidRPr="00734797">
        <w:rPr>
          <w:noProof/>
        </w:rPr>
        <w:tab/>
      </w:r>
      <w:r w:rsidRPr="00734797">
        <w:rPr>
          <w:noProof/>
        </w:rPr>
        <w:fldChar w:fldCharType="begin"/>
      </w:r>
      <w:r w:rsidRPr="00734797">
        <w:rPr>
          <w:noProof/>
        </w:rPr>
        <w:instrText xml:space="preserve"> PAGEREF _Toc117269980 \h </w:instrText>
      </w:r>
      <w:r w:rsidRPr="00734797">
        <w:rPr>
          <w:noProof/>
        </w:rPr>
      </w:r>
      <w:r w:rsidRPr="00734797">
        <w:rPr>
          <w:noProof/>
        </w:rPr>
        <w:fldChar w:fldCharType="separate"/>
      </w:r>
      <w:r w:rsidR="003D4569">
        <w:rPr>
          <w:noProof/>
        </w:rPr>
        <w:t>14</w:t>
      </w:r>
      <w:r w:rsidRPr="00734797">
        <w:rPr>
          <w:noProof/>
        </w:rPr>
        <w:fldChar w:fldCharType="end"/>
      </w:r>
    </w:p>
    <w:p w14:paraId="7602E3CC" w14:textId="6F0DA659"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3.1</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Co je rozpočtová odpovědnost</w:t>
      </w:r>
      <w:r w:rsidRPr="00734797">
        <w:rPr>
          <w:noProof/>
        </w:rPr>
        <w:tab/>
      </w:r>
      <w:r w:rsidRPr="00734797">
        <w:rPr>
          <w:noProof/>
        </w:rPr>
        <w:fldChar w:fldCharType="begin"/>
      </w:r>
      <w:r w:rsidRPr="00734797">
        <w:rPr>
          <w:noProof/>
        </w:rPr>
        <w:instrText xml:space="preserve"> PAGEREF _Toc117269981 \h </w:instrText>
      </w:r>
      <w:r w:rsidRPr="00734797">
        <w:rPr>
          <w:noProof/>
        </w:rPr>
      </w:r>
      <w:r w:rsidRPr="00734797">
        <w:rPr>
          <w:noProof/>
        </w:rPr>
        <w:fldChar w:fldCharType="separate"/>
      </w:r>
      <w:r w:rsidR="003D4569">
        <w:rPr>
          <w:noProof/>
        </w:rPr>
        <w:t>14</w:t>
      </w:r>
      <w:r w:rsidRPr="00734797">
        <w:rPr>
          <w:noProof/>
        </w:rPr>
        <w:fldChar w:fldCharType="end"/>
      </w:r>
    </w:p>
    <w:p w14:paraId="67EA0C4F" w14:textId="789CD177"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3.2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Hospodárnost, efektivnost, účelnost – kritéria nakládání s veřejnými prostředky</w:t>
      </w:r>
      <w:r w:rsidRPr="00734797">
        <w:rPr>
          <w:noProof/>
        </w:rPr>
        <w:tab/>
      </w:r>
      <w:r w:rsidRPr="00734797">
        <w:rPr>
          <w:noProof/>
        </w:rPr>
        <w:fldChar w:fldCharType="begin"/>
      </w:r>
      <w:r w:rsidRPr="00734797">
        <w:rPr>
          <w:noProof/>
        </w:rPr>
        <w:instrText xml:space="preserve"> PAGEREF _Toc117269982 \h </w:instrText>
      </w:r>
      <w:r w:rsidRPr="00734797">
        <w:rPr>
          <w:noProof/>
        </w:rPr>
      </w:r>
      <w:r w:rsidRPr="00734797">
        <w:rPr>
          <w:noProof/>
        </w:rPr>
        <w:fldChar w:fldCharType="separate"/>
      </w:r>
      <w:r w:rsidR="003D4569">
        <w:rPr>
          <w:noProof/>
        </w:rPr>
        <w:t>15</w:t>
      </w:r>
      <w:r w:rsidRPr="00734797">
        <w:rPr>
          <w:noProof/>
        </w:rPr>
        <w:fldChar w:fldCharType="end"/>
      </w:r>
    </w:p>
    <w:p w14:paraId="18E70EA4" w14:textId="718FABBE"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3.3</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Finanční kontrola dle zákona o finanční kontrole</w:t>
      </w:r>
      <w:r w:rsidRPr="00734797">
        <w:rPr>
          <w:noProof/>
        </w:rPr>
        <w:tab/>
      </w:r>
      <w:r w:rsidRPr="00734797">
        <w:rPr>
          <w:noProof/>
        </w:rPr>
        <w:fldChar w:fldCharType="begin"/>
      </w:r>
      <w:r w:rsidRPr="00734797">
        <w:rPr>
          <w:noProof/>
        </w:rPr>
        <w:instrText xml:space="preserve"> PAGEREF _Toc117269983 \h </w:instrText>
      </w:r>
      <w:r w:rsidRPr="00734797">
        <w:rPr>
          <w:noProof/>
        </w:rPr>
      </w:r>
      <w:r w:rsidRPr="00734797">
        <w:rPr>
          <w:noProof/>
        </w:rPr>
        <w:fldChar w:fldCharType="separate"/>
      </w:r>
      <w:r w:rsidR="003D4569">
        <w:rPr>
          <w:noProof/>
        </w:rPr>
        <w:t>17</w:t>
      </w:r>
      <w:r w:rsidRPr="00734797">
        <w:rPr>
          <w:noProof/>
        </w:rPr>
        <w:fldChar w:fldCharType="end"/>
      </w:r>
    </w:p>
    <w:p w14:paraId="7329582E" w14:textId="6CC4CD4E"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3.4</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Zvládání rizik a využívání příležitostí při nakládání s veřejnými prostředky</w:t>
      </w:r>
      <w:r w:rsidRPr="00734797">
        <w:rPr>
          <w:noProof/>
        </w:rPr>
        <w:tab/>
      </w:r>
      <w:r w:rsidRPr="00734797">
        <w:rPr>
          <w:noProof/>
        </w:rPr>
        <w:fldChar w:fldCharType="begin"/>
      </w:r>
      <w:r w:rsidRPr="00734797">
        <w:rPr>
          <w:noProof/>
        </w:rPr>
        <w:instrText xml:space="preserve"> PAGEREF _Toc117269984 \h </w:instrText>
      </w:r>
      <w:r w:rsidRPr="00734797">
        <w:rPr>
          <w:noProof/>
        </w:rPr>
      </w:r>
      <w:r w:rsidRPr="00734797">
        <w:rPr>
          <w:noProof/>
        </w:rPr>
        <w:fldChar w:fldCharType="separate"/>
      </w:r>
      <w:r w:rsidR="003D4569">
        <w:rPr>
          <w:noProof/>
        </w:rPr>
        <w:t>20</w:t>
      </w:r>
      <w:r w:rsidRPr="00734797">
        <w:rPr>
          <w:noProof/>
        </w:rPr>
        <w:fldChar w:fldCharType="end"/>
      </w:r>
    </w:p>
    <w:p w14:paraId="1428DC2B" w14:textId="4209059A"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4</w:t>
      </w:r>
      <w:r w:rsidRPr="00734797">
        <w:rPr>
          <w:rFonts w:asciiTheme="minorHAnsi" w:eastAsiaTheme="minorEastAsia" w:hAnsiTheme="minorHAnsi" w:cstheme="minorBidi"/>
          <w:b w:val="0"/>
          <w:bCs w:val="0"/>
          <w:noProof/>
          <w:sz w:val="22"/>
          <w:szCs w:val="22"/>
        </w:rPr>
        <w:tab/>
      </w:r>
      <w:r w:rsidRPr="00734797">
        <w:rPr>
          <w:noProof/>
        </w:rPr>
        <w:t>Rozpočet, rozpočtování, finanční řízení</w:t>
      </w:r>
      <w:r w:rsidRPr="00734797">
        <w:rPr>
          <w:noProof/>
        </w:rPr>
        <w:tab/>
      </w:r>
      <w:r w:rsidRPr="00734797">
        <w:rPr>
          <w:noProof/>
        </w:rPr>
        <w:fldChar w:fldCharType="begin"/>
      </w:r>
      <w:r w:rsidRPr="00734797">
        <w:rPr>
          <w:noProof/>
        </w:rPr>
        <w:instrText xml:space="preserve"> PAGEREF _Toc117269985 \h </w:instrText>
      </w:r>
      <w:r w:rsidRPr="00734797">
        <w:rPr>
          <w:noProof/>
        </w:rPr>
      </w:r>
      <w:r w:rsidRPr="00734797">
        <w:rPr>
          <w:noProof/>
        </w:rPr>
        <w:fldChar w:fldCharType="separate"/>
      </w:r>
      <w:r w:rsidR="003D4569">
        <w:rPr>
          <w:noProof/>
        </w:rPr>
        <w:t>24</w:t>
      </w:r>
      <w:r w:rsidRPr="00734797">
        <w:rPr>
          <w:noProof/>
        </w:rPr>
        <w:fldChar w:fldCharType="end"/>
      </w:r>
    </w:p>
    <w:p w14:paraId="7E93100B" w14:textId="08881E11"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4.1</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Úvod k rozpočtování</w:t>
      </w:r>
      <w:r w:rsidRPr="00734797">
        <w:rPr>
          <w:noProof/>
        </w:rPr>
        <w:tab/>
      </w:r>
      <w:r w:rsidRPr="00734797">
        <w:rPr>
          <w:noProof/>
        </w:rPr>
        <w:fldChar w:fldCharType="begin"/>
      </w:r>
      <w:r w:rsidRPr="00734797">
        <w:rPr>
          <w:noProof/>
        </w:rPr>
        <w:instrText xml:space="preserve"> PAGEREF _Toc117269986 \h </w:instrText>
      </w:r>
      <w:r w:rsidRPr="00734797">
        <w:rPr>
          <w:noProof/>
        </w:rPr>
      </w:r>
      <w:r w:rsidRPr="00734797">
        <w:rPr>
          <w:noProof/>
        </w:rPr>
        <w:fldChar w:fldCharType="separate"/>
      </w:r>
      <w:r w:rsidR="003D4569">
        <w:rPr>
          <w:noProof/>
        </w:rPr>
        <w:t>24</w:t>
      </w:r>
      <w:r w:rsidRPr="00734797">
        <w:rPr>
          <w:noProof/>
        </w:rPr>
        <w:fldChar w:fldCharType="end"/>
      </w:r>
    </w:p>
    <w:p w14:paraId="6ADB7F90" w14:textId="46B601D7"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4.2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Rozpočtování dle Metodiky přípravy veřejných strategií</w:t>
      </w:r>
      <w:r w:rsidRPr="00734797">
        <w:rPr>
          <w:noProof/>
        </w:rPr>
        <w:tab/>
      </w:r>
      <w:r w:rsidRPr="00734797">
        <w:rPr>
          <w:noProof/>
        </w:rPr>
        <w:fldChar w:fldCharType="begin"/>
      </w:r>
      <w:r w:rsidRPr="00734797">
        <w:rPr>
          <w:noProof/>
        </w:rPr>
        <w:instrText xml:space="preserve"> PAGEREF _Toc117269987 \h </w:instrText>
      </w:r>
      <w:r w:rsidRPr="00734797">
        <w:rPr>
          <w:noProof/>
        </w:rPr>
      </w:r>
      <w:r w:rsidRPr="00734797">
        <w:rPr>
          <w:noProof/>
        </w:rPr>
        <w:fldChar w:fldCharType="separate"/>
      </w:r>
      <w:r w:rsidR="003D4569">
        <w:rPr>
          <w:noProof/>
        </w:rPr>
        <w:t>27</w:t>
      </w:r>
      <w:r w:rsidRPr="00734797">
        <w:rPr>
          <w:noProof/>
        </w:rPr>
        <w:fldChar w:fldCharType="end"/>
      </w:r>
    </w:p>
    <w:p w14:paraId="01B9A40A" w14:textId="4C559B9F"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4.3</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Fáze rozpočtu – na příkladu státního rozpočtu</w:t>
      </w:r>
      <w:r w:rsidRPr="00734797">
        <w:rPr>
          <w:noProof/>
        </w:rPr>
        <w:tab/>
      </w:r>
      <w:r w:rsidRPr="00734797">
        <w:rPr>
          <w:noProof/>
        </w:rPr>
        <w:fldChar w:fldCharType="begin"/>
      </w:r>
      <w:r w:rsidRPr="00734797">
        <w:rPr>
          <w:noProof/>
        </w:rPr>
        <w:instrText xml:space="preserve"> PAGEREF _Toc117269988 \h </w:instrText>
      </w:r>
      <w:r w:rsidRPr="00734797">
        <w:rPr>
          <w:noProof/>
        </w:rPr>
      </w:r>
      <w:r w:rsidRPr="00734797">
        <w:rPr>
          <w:noProof/>
        </w:rPr>
        <w:fldChar w:fldCharType="separate"/>
      </w:r>
      <w:r w:rsidR="003D4569">
        <w:rPr>
          <w:noProof/>
        </w:rPr>
        <w:t>31</w:t>
      </w:r>
      <w:r w:rsidRPr="00734797">
        <w:rPr>
          <w:noProof/>
        </w:rPr>
        <w:fldChar w:fldCharType="end"/>
      </w:r>
    </w:p>
    <w:p w14:paraId="49D6B653" w14:textId="32909D2F"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4.4</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Fáze rozpočtu – na příkladu obce</w:t>
      </w:r>
      <w:r w:rsidRPr="00734797">
        <w:rPr>
          <w:noProof/>
        </w:rPr>
        <w:tab/>
      </w:r>
      <w:r w:rsidRPr="00734797">
        <w:rPr>
          <w:noProof/>
        </w:rPr>
        <w:fldChar w:fldCharType="begin"/>
      </w:r>
      <w:r w:rsidRPr="00734797">
        <w:rPr>
          <w:noProof/>
        </w:rPr>
        <w:instrText xml:space="preserve"> PAGEREF _Toc117269989 \h </w:instrText>
      </w:r>
      <w:r w:rsidRPr="00734797">
        <w:rPr>
          <w:noProof/>
        </w:rPr>
      </w:r>
      <w:r w:rsidRPr="00734797">
        <w:rPr>
          <w:noProof/>
        </w:rPr>
        <w:fldChar w:fldCharType="separate"/>
      </w:r>
      <w:r w:rsidR="003D4569">
        <w:rPr>
          <w:noProof/>
        </w:rPr>
        <w:t>32</w:t>
      </w:r>
      <w:r w:rsidRPr="00734797">
        <w:rPr>
          <w:noProof/>
        </w:rPr>
        <w:fldChar w:fldCharType="end"/>
      </w:r>
    </w:p>
    <w:p w14:paraId="4D1D6BD1" w14:textId="7FCCFAA4"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4.5</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Rozpočtování jako součást finančního řízení</w:t>
      </w:r>
      <w:r w:rsidRPr="00734797">
        <w:rPr>
          <w:noProof/>
        </w:rPr>
        <w:tab/>
      </w:r>
      <w:r w:rsidRPr="00734797">
        <w:rPr>
          <w:noProof/>
        </w:rPr>
        <w:fldChar w:fldCharType="begin"/>
      </w:r>
      <w:r w:rsidRPr="00734797">
        <w:rPr>
          <w:noProof/>
        </w:rPr>
        <w:instrText xml:space="preserve"> PAGEREF _Toc117269990 \h </w:instrText>
      </w:r>
      <w:r w:rsidRPr="00734797">
        <w:rPr>
          <w:noProof/>
        </w:rPr>
      </w:r>
      <w:r w:rsidRPr="00734797">
        <w:rPr>
          <w:noProof/>
        </w:rPr>
        <w:fldChar w:fldCharType="separate"/>
      </w:r>
      <w:r w:rsidR="003D4569">
        <w:rPr>
          <w:noProof/>
        </w:rPr>
        <w:t>34</w:t>
      </w:r>
      <w:r w:rsidRPr="00734797">
        <w:rPr>
          <w:noProof/>
        </w:rPr>
        <w:fldChar w:fldCharType="end"/>
      </w:r>
    </w:p>
    <w:p w14:paraId="7CBDFD59" w14:textId="3EE8F29C"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5</w:t>
      </w:r>
      <w:r w:rsidRPr="00734797">
        <w:rPr>
          <w:rFonts w:asciiTheme="minorHAnsi" w:eastAsiaTheme="minorEastAsia" w:hAnsiTheme="minorHAnsi" w:cstheme="minorBidi"/>
          <w:b w:val="0"/>
          <w:bCs w:val="0"/>
          <w:noProof/>
          <w:sz w:val="22"/>
          <w:szCs w:val="22"/>
        </w:rPr>
        <w:tab/>
      </w:r>
      <w:r w:rsidRPr="00734797">
        <w:rPr>
          <w:noProof/>
        </w:rPr>
        <w:t>Strategická práce a první fáze rozpočtového procesu: příprava rozpočtu, finanční data a analýzy</w:t>
      </w:r>
      <w:r w:rsidRPr="00734797">
        <w:rPr>
          <w:noProof/>
        </w:rPr>
        <w:tab/>
      </w:r>
      <w:r w:rsidRPr="00734797">
        <w:rPr>
          <w:noProof/>
        </w:rPr>
        <w:fldChar w:fldCharType="begin"/>
      </w:r>
      <w:r w:rsidRPr="00734797">
        <w:rPr>
          <w:noProof/>
        </w:rPr>
        <w:instrText xml:space="preserve"> PAGEREF _Toc117269991 \h </w:instrText>
      </w:r>
      <w:r w:rsidRPr="00734797">
        <w:rPr>
          <w:noProof/>
        </w:rPr>
      </w:r>
      <w:r w:rsidRPr="00734797">
        <w:rPr>
          <w:noProof/>
        </w:rPr>
        <w:fldChar w:fldCharType="separate"/>
      </w:r>
      <w:r w:rsidR="003D4569">
        <w:rPr>
          <w:noProof/>
        </w:rPr>
        <w:t>37</w:t>
      </w:r>
      <w:r w:rsidRPr="00734797">
        <w:rPr>
          <w:noProof/>
        </w:rPr>
        <w:fldChar w:fldCharType="end"/>
      </w:r>
    </w:p>
    <w:p w14:paraId="1FAD4A07" w14:textId="44B2100E"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5.1</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Příprava rozpočtu</w:t>
      </w:r>
      <w:r w:rsidRPr="00734797">
        <w:rPr>
          <w:noProof/>
        </w:rPr>
        <w:tab/>
      </w:r>
      <w:r w:rsidRPr="00734797">
        <w:rPr>
          <w:noProof/>
        </w:rPr>
        <w:fldChar w:fldCharType="begin"/>
      </w:r>
      <w:r w:rsidRPr="00734797">
        <w:rPr>
          <w:noProof/>
        </w:rPr>
        <w:instrText xml:space="preserve"> PAGEREF _Toc117269992 \h </w:instrText>
      </w:r>
      <w:r w:rsidRPr="00734797">
        <w:rPr>
          <w:noProof/>
        </w:rPr>
      </w:r>
      <w:r w:rsidRPr="00734797">
        <w:rPr>
          <w:noProof/>
        </w:rPr>
        <w:fldChar w:fldCharType="separate"/>
      </w:r>
      <w:r w:rsidR="003D4569">
        <w:rPr>
          <w:noProof/>
        </w:rPr>
        <w:t>37</w:t>
      </w:r>
      <w:r w:rsidRPr="00734797">
        <w:rPr>
          <w:noProof/>
        </w:rPr>
        <w:fldChar w:fldCharType="end"/>
      </w:r>
    </w:p>
    <w:p w14:paraId="55FDAA69" w14:textId="7ED7FC5E"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Kde získat informace a data pro přípravu rozpočtu nebo finanční analýzy</w:t>
      </w:r>
      <w:r w:rsidRPr="00734797">
        <w:rPr>
          <w:noProof/>
        </w:rPr>
        <w:tab/>
      </w:r>
      <w:r w:rsidRPr="00734797">
        <w:rPr>
          <w:noProof/>
        </w:rPr>
        <w:fldChar w:fldCharType="begin"/>
      </w:r>
      <w:r w:rsidRPr="00734797">
        <w:rPr>
          <w:noProof/>
        </w:rPr>
        <w:instrText xml:space="preserve"> PAGEREF _Toc117269993 \h </w:instrText>
      </w:r>
      <w:r w:rsidRPr="00734797">
        <w:rPr>
          <w:noProof/>
        </w:rPr>
      </w:r>
      <w:r w:rsidRPr="00734797">
        <w:rPr>
          <w:noProof/>
        </w:rPr>
        <w:fldChar w:fldCharType="separate"/>
      </w:r>
      <w:r w:rsidR="003D4569">
        <w:rPr>
          <w:noProof/>
        </w:rPr>
        <w:t>39</w:t>
      </w:r>
      <w:r w:rsidRPr="00734797">
        <w:rPr>
          <w:noProof/>
        </w:rPr>
        <w:fldChar w:fldCharType="end"/>
      </w:r>
    </w:p>
    <w:p w14:paraId="7F7F5D00" w14:textId="091E30B9"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5.3</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Finanční data: znát rozpočtovou skladbu</w:t>
      </w:r>
      <w:r w:rsidRPr="00734797">
        <w:rPr>
          <w:noProof/>
        </w:rPr>
        <w:tab/>
      </w:r>
      <w:r w:rsidRPr="00734797">
        <w:rPr>
          <w:noProof/>
        </w:rPr>
        <w:fldChar w:fldCharType="begin"/>
      </w:r>
      <w:r w:rsidRPr="00734797">
        <w:rPr>
          <w:noProof/>
        </w:rPr>
        <w:instrText xml:space="preserve"> PAGEREF _Toc117269994 \h </w:instrText>
      </w:r>
      <w:r w:rsidRPr="00734797">
        <w:rPr>
          <w:noProof/>
        </w:rPr>
      </w:r>
      <w:r w:rsidRPr="00734797">
        <w:rPr>
          <w:noProof/>
        </w:rPr>
        <w:fldChar w:fldCharType="separate"/>
      </w:r>
      <w:r w:rsidR="003D4569">
        <w:rPr>
          <w:noProof/>
        </w:rPr>
        <w:t>43</w:t>
      </w:r>
      <w:r w:rsidRPr="00734797">
        <w:rPr>
          <w:noProof/>
        </w:rPr>
        <w:fldChar w:fldCharType="end"/>
      </w:r>
    </w:p>
    <w:p w14:paraId="541FC78E" w14:textId="3B441446"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5.4</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Finanční analýza</w:t>
      </w:r>
      <w:r w:rsidRPr="00734797">
        <w:rPr>
          <w:noProof/>
        </w:rPr>
        <w:tab/>
      </w:r>
      <w:r w:rsidRPr="00734797">
        <w:rPr>
          <w:noProof/>
        </w:rPr>
        <w:fldChar w:fldCharType="begin"/>
      </w:r>
      <w:r w:rsidRPr="00734797">
        <w:rPr>
          <w:noProof/>
        </w:rPr>
        <w:instrText xml:space="preserve"> PAGEREF _Toc117269995 \h </w:instrText>
      </w:r>
      <w:r w:rsidRPr="00734797">
        <w:rPr>
          <w:noProof/>
        </w:rPr>
      </w:r>
      <w:r w:rsidRPr="00734797">
        <w:rPr>
          <w:noProof/>
        </w:rPr>
        <w:fldChar w:fldCharType="separate"/>
      </w:r>
      <w:r w:rsidR="003D4569">
        <w:rPr>
          <w:noProof/>
        </w:rPr>
        <w:t>44</w:t>
      </w:r>
      <w:r w:rsidRPr="00734797">
        <w:rPr>
          <w:noProof/>
        </w:rPr>
        <w:fldChar w:fldCharType="end"/>
      </w:r>
    </w:p>
    <w:p w14:paraId="6237647B" w14:textId="1DED77AF"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5.5</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Finanční benchmarking</w:t>
      </w:r>
      <w:r w:rsidRPr="00734797">
        <w:rPr>
          <w:noProof/>
        </w:rPr>
        <w:tab/>
      </w:r>
      <w:r w:rsidRPr="00734797">
        <w:rPr>
          <w:noProof/>
        </w:rPr>
        <w:fldChar w:fldCharType="begin"/>
      </w:r>
      <w:r w:rsidRPr="00734797">
        <w:rPr>
          <w:noProof/>
        </w:rPr>
        <w:instrText xml:space="preserve"> PAGEREF _Toc117269996 \h </w:instrText>
      </w:r>
      <w:r w:rsidRPr="00734797">
        <w:rPr>
          <w:noProof/>
        </w:rPr>
      </w:r>
      <w:r w:rsidRPr="00734797">
        <w:rPr>
          <w:noProof/>
        </w:rPr>
        <w:fldChar w:fldCharType="separate"/>
      </w:r>
      <w:r w:rsidR="003D4569">
        <w:rPr>
          <w:noProof/>
        </w:rPr>
        <w:t>47</w:t>
      </w:r>
      <w:r w:rsidRPr="00734797">
        <w:rPr>
          <w:noProof/>
        </w:rPr>
        <w:fldChar w:fldCharType="end"/>
      </w:r>
    </w:p>
    <w:p w14:paraId="0216B0FB" w14:textId="5BADC9DD"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5.6</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Analýza CBA, CMA, CEA, CUA</w:t>
      </w:r>
      <w:r w:rsidRPr="00734797">
        <w:rPr>
          <w:noProof/>
        </w:rPr>
        <w:tab/>
      </w:r>
      <w:r w:rsidRPr="00734797">
        <w:rPr>
          <w:noProof/>
        </w:rPr>
        <w:fldChar w:fldCharType="begin"/>
      </w:r>
      <w:r w:rsidRPr="00734797">
        <w:rPr>
          <w:noProof/>
        </w:rPr>
        <w:instrText xml:space="preserve"> PAGEREF _Toc117269997 \h </w:instrText>
      </w:r>
      <w:r w:rsidRPr="00734797">
        <w:rPr>
          <w:noProof/>
        </w:rPr>
      </w:r>
      <w:r w:rsidRPr="00734797">
        <w:rPr>
          <w:noProof/>
        </w:rPr>
        <w:fldChar w:fldCharType="separate"/>
      </w:r>
      <w:r w:rsidR="003D4569">
        <w:rPr>
          <w:noProof/>
        </w:rPr>
        <w:t>48</w:t>
      </w:r>
      <w:r w:rsidRPr="00734797">
        <w:rPr>
          <w:noProof/>
        </w:rPr>
        <w:fldChar w:fldCharType="end"/>
      </w:r>
    </w:p>
    <w:p w14:paraId="3B904F0C" w14:textId="0F2FD1FF"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noProof/>
        </w:rPr>
        <w:t>5.7</w:t>
      </w:r>
      <w:r w:rsidRPr="00734797">
        <w:rPr>
          <w:rFonts w:asciiTheme="minorHAnsi" w:eastAsiaTheme="minorEastAsia" w:hAnsiTheme="minorHAnsi" w:cstheme="minorBidi"/>
          <w:i w:val="0"/>
          <w:iCs w:val="0"/>
          <w:noProof/>
          <w:sz w:val="22"/>
          <w:szCs w:val="22"/>
        </w:rPr>
        <w:tab/>
      </w:r>
      <w:r w:rsidRPr="00734797">
        <w:rPr>
          <w:noProof/>
        </w:rPr>
        <w:t>Analýzy k návratnosti investice</w:t>
      </w:r>
      <w:r w:rsidRPr="00734797">
        <w:rPr>
          <w:noProof/>
        </w:rPr>
        <w:tab/>
      </w:r>
      <w:r w:rsidRPr="00734797">
        <w:rPr>
          <w:noProof/>
        </w:rPr>
        <w:fldChar w:fldCharType="begin"/>
      </w:r>
      <w:r w:rsidRPr="00734797">
        <w:rPr>
          <w:noProof/>
        </w:rPr>
        <w:instrText xml:space="preserve"> PAGEREF _Toc117269998 \h </w:instrText>
      </w:r>
      <w:r w:rsidRPr="00734797">
        <w:rPr>
          <w:noProof/>
        </w:rPr>
      </w:r>
      <w:r w:rsidRPr="00734797">
        <w:rPr>
          <w:noProof/>
        </w:rPr>
        <w:fldChar w:fldCharType="separate"/>
      </w:r>
      <w:r w:rsidR="003D4569">
        <w:rPr>
          <w:noProof/>
        </w:rPr>
        <w:t>49</w:t>
      </w:r>
      <w:r w:rsidRPr="00734797">
        <w:rPr>
          <w:noProof/>
        </w:rPr>
        <w:fldChar w:fldCharType="end"/>
      </w:r>
    </w:p>
    <w:p w14:paraId="2A354C3D" w14:textId="34D95D0F"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5.8</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Analýza rizik, prověřování 3E a další možnosti</w:t>
      </w:r>
      <w:r w:rsidRPr="00734797">
        <w:rPr>
          <w:noProof/>
        </w:rPr>
        <w:tab/>
      </w:r>
      <w:r w:rsidRPr="00734797">
        <w:rPr>
          <w:noProof/>
        </w:rPr>
        <w:fldChar w:fldCharType="begin"/>
      </w:r>
      <w:r w:rsidRPr="00734797">
        <w:rPr>
          <w:noProof/>
        </w:rPr>
        <w:instrText xml:space="preserve"> PAGEREF _Toc117269999 \h </w:instrText>
      </w:r>
      <w:r w:rsidRPr="00734797">
        <w:rPr>
          <w:noProof/>
        </w:rPr>
      </w:r>
      <w:r w:rsidRPr="00734797">
        <w:rPr>
          <w:noProof/>
        </w:rPr>
        <w:fldChar w:fldCharType="separate"/>
      </w:r>
      <w:r w:rsidR="003D4569">
        <w:rPr>
          <w:noProof/>
        </w:rPr>
        <w:t>50</w:t>
      </w:r>
      <w:r w:rsidRPr="00734797">
        <w:rPr>
          <w:noProof/>
        </w:rPr>
        <w:fldChar w:fldCharType="end"/>
      </w:r>
    </w:p>
    <w:p w14:paraId="59BA9893" w14:textId="09E1D3F2"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6</w:t>
      </w:r>
      <w:r w:rsidRPr="00734797">
        <w:rPr>
          <w:rFonts w:asciiTheme="minorHAnsi" w:eastAsiaTheme="minorEastAsia" w:hAnsiTheme="minorHAnsi" w:cstheme="minorBidi"/>
          <w:b w:val="0"/>
          <w:bCs w:val="0"/>
          <w:noProof/>
          <w:sz w:val="22"/>
          <w:szCs w:val="22"/>
        </w:rPr>
        <w:tab/>
      </w:r>
      <w:r w:rsidRPr="00734797">
        <w:rPr>
          <w:noProof/>
        </w:rPr>
        <w:t>Strategická práce a druhá fáze rozpočtového procesu: projednání a schvalování</w:t>
      </w:r>
      <w:r w:rsidRPr="00734797">
        <w:rPr>
          <w:noProof/>
        </w:rPr>
        <w:tab/>
      </w:r>
      <w:r w:rsidRPr="00734797">
        <w:rPr>
          <w:noProof/>
        </w:rPr>
        <w:fldChar w:fldCharType="begin"/>
      </w:r>
      <w:r w:rsidRPr="00734797">
        <w:rPr>
          <w:noProof/>
        </w:rPr>
        <w:instrText xml:space="preserve"> PAGEREF _Toc117270000 \h </w:instrText>
      </w:r>
      <w:r w:rsidRPr="00734797">
        <w:rPr>
          <w:noProof/>
        </w:rPr>
      </w:r>
      <w:r w:rsidRPr="00734797">
        <w:rPr>
          <w:noProof/>
        </w:rPr>
        <w:fldChar w:fldCharType="separate"/>
      </w:r>
      <w:r w:rsidR="003D4569">
        <w:rPr>
          <w:noProof/>
        </w:rPr>
        <w:t>52</w:t>
      </w:r>
      <w:r w:rsidRPr="00734797">
        <w:rPr>
          <w:noProof/>
        </w:rPr>
        <w:fldChar w:fldCharType="end"/>
      </w:r>
    </w:p>
    <w:p w14:paraId="667C2621" w14:textId="27C7DDF6"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7</w:t>
      </w:r>
      <w:r w:rsidRPr="00734797">
        <w:rPr>
          <w:rFonts w:asciiTheme="minorHAnsi" w:eastAsiaTheme="minorEastAsia" w:hAnsiTheme="minorHAnsi" w:cstheme="minorBidi"/>
          <w:b w:val="0"/>
          <w:bCs w:val="0"/>
          <w:noProof/>
          <w:sz w:val="22"/>
          <w:szCs w:val="22"/>
        </w:rPr>
        <w:tab/>
      </w:r>
      <w:r w:rsidRPr="00734797">
        <w:rPr>
          <w:noProof/>
        </w:rPr>
        <w:t>Strategická práce a třetí fáze rozpočtového procesu: hospodaření a změny rozpočtu</w:t>
      </w:r>
      <w:r w:rsidRPr="00734797">
        <w:rPr>
          <w:noProof/>
        </w:rPr>
        <w:tab/>
      </w:r>
      <w:r w:rsidRPr="00734797">
        <w:rPr>
          <w:noProof/>
        </w:rPr>
        <w:fldChar w:fldCharType="begin"/>
      </w:r>
      <w:r w:rsidRPr="00734797">
        <w:rPr>
          <w:noProof/>
        </w:rPr>
        <w:instrText xml:space="preserve"> PAGEREF _Toc117270001 \h </w:instrText>
      </w:r>
      <w:r w:rsidRPr="00734797">
        <w:rPr>
          <w:noProof/>
        </w:rPr>
      </w:r>
      <w:r w:rsidRPr="00734797">
        <w:rPr>
          <w:noProof/>
        </w:rPr>
        <w:fldChar w:fldCharType="separate"/>
      </w:r>
      <w:r w:rsidR="003D4569">
        <w:rPr>
          <w:noProof/>
        </w:rPr>
        <w:t>55</w:t>
      </w:r>
      <w:r w:rsidRPr="00734797">
        <w:rPr>
          <w:noProof/>
        </w:rPr>
        <w:fldChar w:fldCharType="end"/>
      </w:r>
    </w:p>
    <w:p w14:paraId="43CF9AF4" w14:textId="062253F2"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7.1</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Co zahrnuje hospodaření, legislativa ve vazbě na hospodaření</w:t>
      </w:r>
      <w:r w:rsidRPr="00734797">
        <w:rPr>
          <w:noProof/>
        </w:rPr>
        <w:tab/>
      </w:r>
      <w:r w:rsidRPr="00734797">
        <w:rPr>
          <w:noProof/>
        </w:rPr>
        <w:fldChar w:fldCharType="begin"/>
      </w:r>
      <w:r w:rsidRPr="00734797">
        <w:rPr>
          <w:noProof/>
        </w:rPr>
        <w:instrText xml:space="preserve"> PAGEREF _Toc117270002 \h </w:instrText>
      </w:r>
      <w:r w:rsidRPr="00734797">
        <w:rPr>
          <w:noProof/>
        </w:rPr>
      </w:r>
      <w:r w:rsidRPr="00734797">
        <w:rPr>
          <w:noProof/>
        </w:rPr>
        <w:fldChar w:fldCharType="separate"/>
      </w:r>
      <w:r w:rsidR="003D4569">
        <w:rPr>
          <w:noProof/>
        </w:rPr>
        <w:t>55</w:t>
      </w:r>
      <w:r w:rsidRPr="00734797">
        <w:rPr>
          <w:noProof/>
        </w:rPr>
        <w:fldChar w:fldCharType="end"/>
      </w:r>
    </w:p>
    <w:p w14:paraId="0E7849C0" w14:textId="5411E7C9"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Hospodaření: Veřejné služby, veřejné projekty a veřejné zakázky</w:t>
      </w:r>
      <w:r w:rsidRPr="00734797">
        <w:rPr>
          <w:noProof/>
        </w:rPr>
        <w:tab/>
      </w:r>
      <w:r w:rsidRPr="00734797">
        <w:rPr>
          <w:noProof/>
        </w:rPr>
        <w:fldChar w:fldCharType="begin"/>
      </w:r>
      <w:r w:rsidRPr="00734797">
        <w:rPr>
          <w:noProof/>
        </w:rPr>
        <w:instrText xml:space="preserve"> PAGEREF _Toc117270003 \h </w:instrText>
      </w:r>
      <w:r w:rsidRPr="00734797">
        <w:rPr>
          <w:noProof/>
        </w:rPr>
      </w:r>
      <w:r w:rsidRPr="00734797">
        <w:rPr>
          <w:noProof/>
        </w:rPr>
        <w:fldChar w:fldCharType="separate"/>
      </w:r>
      <w:r w:rsidR="003D4569">
        <w:rPr>
          <w:noProof/>
        </w:rPr>
        <w:t>57</w:t>
      </w:r>
      <w:r w:rsidRPr="00734797">
        <w:rPr>
          <w:noProof/>
        </w:rPr>
        <w:fldChar w:fldCharType="end"/>
      </w:r>
    </w:p>
    <w:p w14:paraId="37B20CB0" w14:textId="6FA5E466" w:rsidR="00734797" w:rsidRPr="00734797" w:rsidRDefault="00734797" w:rsidP="00734797">
      <w:pPr>
        <w:pStyle w:val="Obsah3"/>
        <w:tabs>
          <w:tab w:val="left" w:pos="1200"/>
          <w:tab w:val="right" w:pos="9062"/>
        </w:tabs>
        <w:rPr>
          <w:rFonts w:asciiTheme="minorHAnsi" w:eastAsiaTheme="minorEastAsia" w:hAnsiTheme="minorHAnsi" w:cstheme="minorBidi"/>
          <w:noProof/>
          <w:sz w:val="22"/>
          <w:szCs w:val="22"/>
        </w:rPr>
      </w:pPr>
      <w:r w:rsidRPr="00734797">
        <w:rPr>
          <w:noProof/>
        </w:rPr>
        <w:t>7.2.1</w:t>
      </w:r>
      <w:r w:rsidRPr="00734797">
        <w:rPr>
          <w:rFonts w:asciiTheme="minorHAnsi" w:eastAsiaTheme="minorEastAsia" w:hAnsiTheme="minorHAnsi" w:cstheme="minorBidi"/>
          <w:noProof/>
          <w:sz w:val="22"/>
          <w:szCs w:val="22"/>
        </w:rPr>
        <w:tab/>
      </w:r>
      <w:r w:rsidRPr="00734797">
        <w:rPr>
          <w:noProof/>
        </w:rPr>
        <w:t>Veřejné služby</w:t>
      </w:r>
      <w:r w:rsidRPr="00734797">
        <w:rPr>
          <w:noProof/>
        </w:rPr>
        <w:tab/>
      </w:r>
      <w:r w:rsidRPr="00734797">
        <w:rPr>
          <w:noProof/>
        </w:rPr>
        <w:fldChar w:fldCharType="begin"/>
      </w:r>
      <w:r w:rsidRPr="00734797">
        <w:rPr>
          <w:noProof/>
        </w:rPr>
        <w:instrText xml:space="preserve"> PAGEREF _Toc117270004 \h </w:instrText>
      </w:r>
      <w:r w:rsidRPr="00734797">
        <w:rPr>
          <w:noProof/>
        </w:rPr>
      </w:r>
      <w:r w:rsidRPr="00734797">
        <w:rPr>
          <w:noProof/>
        </w:rPr>
        <w:fldChar w:fldCharType="separate"/>
      </w:r>
      <w:r w:rsidR="003D4569">
        <w:rPr>
          <w:noProof/>
        </w:rPr>
        <w:t>57</w:t>
      </w:r>
      <w:r w:rsidRPr="00734797">
        <w:rPr>
          <w:noProof/>
        </w:rPr>
        <w:fldChar w:fldCharType="end"/>
      </w:r>
    </w:p>
    <w:p w14:paraId="449D8FC8" w14:textId="634EDB2C" w:rsidR="00734797" w:rsidRPr="00734797" w:rsidRDefault="00734797" w:rsidP="00734797">
      <w:pPr>
        <w:pStyle w:val="Obsah3"/>
        <w:tabs>
          <w:tab w:val="left" w:pos="1200"/>
          <w:tab w:val="right" w:pos="9062"/>
        </w:tabs>
        <w:rPr>
          <w:rFonts w:asciiTheme="minorHAnsi" w:eastAsiaTheme="minorEastAsia" w:hAnsiTheme="minorHAnsi" w:cstheme="minorBidi"/>
          <w:noProof/>
          <w:sz w:val="22"/>
          <w:szCs w:val="22"/>
        </w:rPr>
      </w:pPr>
      <w:r w:rsidRPr="00734797">
        <w:rPr>
          <w:noProof/>
        </w:rPr>
        <w:t>7.2.2</w:t>
      </w:r>
      <w:r w:rsidRPr="00734797">
        <w:rPr>
          <w:rFonts w:asciiTheme="minorHAnsi" w:eastAsiaTheme="minorEastAsia" w:hAnsiTheme="minorHAnsi" w:cstheme="minorBidi"/>
          <w:noProof/>
          <w:sz w:val="22"/>
          <w:szCs w:val="22"/>
        </w:rPr>
        <w:tab/>
      </w:r>
      <w:r w:rsidRPr="00734797">
        <w:rPr>
          <w:noProof/>
        </w:rPr>
        <w:t>Veřejné projekty</w:t>
      </w:r>
      <w:r w:rsidRPr="00734797">
        <w:rPr>
          <w:noProof/>
        </w:rPr>
        <w:tab/>
      </w:r>
      <w:r w:rsidRPr="00734797">
        <w:rPr>
          <w:noProof/>
        </w:rPr>
        <w:fldChar w:fldCharType="begin"/>
      </w:r>
      <w:r w:rsidRPr="00734797">
        <w:rPr>
          <w:noProof/>
        </w:rPr>
        <w:instrText xml:space="preserve"> PAGEREF _Toc117270005 \h </w:instrText>
      </w:r>
      <w:r w:rsidRPr="00734797">
        <w:rPr>
          <w:noProof/>
        </w:rPr>
      </w:r>
      <w:r w:rsidRPr="00734797">
        <w:rPr>
          <w:noProof/>
        </w:rPr>
        <w:fldChar w:fldCharType="separate"/>
      </w:r>
      <w:r w:rsidR="003D4569">
        <w:rPr>
          <w:noProof/>
        </w:rPr>
        <w:t>58</w:t>
      </w:r>
      <w:r w:rsidRPr="00734797">
        <w:rPr>
          <w:noProof/>
        </w:rPr>
        <w:fldChar w:fldCharType="end"/>
      </w:r>
    </w:p>
    <w:p w14:paraId="6BA1CF4F" w14:textId="6E38DB2B" w:rsidR="00734797" w:rsidRPr="00734797" w:rsidRDefault="00734797" w:rsidP="00734797">
      <w:pPr>
        <w:pStyle w:val="Obsah3"/>
        <w:tabs>
          <w:tab w:val="left" w:pos="1200"/>
          <w:tab w:val="right" w:pos="9062"/>
        </w:tabs>
        <w:rPr>
          <w:rFonts w:asciiTheme="minorHAnsi" w:eastAsiaTheme="minorEastAsia" w:hAnsiTheme="minorHAnsi" w:cstheme="minorBidi"/>
          <w:noProof/>
          <w:sz w:val="22"/>
          <w:szCs w:val="22"/>
        </w:rPr>
      </w:pPr>
      <w:r w:rsidRPr="00734797">
        <w:rPr>
          <w:noProof/>
        </w:rPr>
        <w:t>7.2.3</w:t>
      </w:r>
      <w:r w:rsidRPr="00734797">
        <w:rPr>
          <w:rFonts w:asciiTheme="minorHAnsi" w:eastAsiaTheme="minorEastAsia" w:hAnsiTheme="minorHAnsi" w:cstheme="minorBidi"/>
          <w:noProof/>
          <w:sz w:val="22"/>
          <w:szCs w:val="22"/>
        </w:rPr>
        <w:tab/>
      </w:r>
      <w:r w:rsidRPr="00734797">
        <w:rPr>
          <w:noProof/>
        </w:rPr>
        <w:t>Veřejné zakázky</w:t>
      </w:r>
      <w:r w:rsidRPr="00734797">
        <w:rPr>
          <w:noProof/>
        </w:rPr>
        <w:tab/>
      </w:r>
      <w:r w:rsidRPr="00734797">
        <w:rPr>
          <w:noProof/>
        </w:rPr>
        <w:fldChar w:fldCharType="begin"/>
      </w:r>
      <w:r w:rsidRPr="00734797">
        <w:rPr>
          <w:noProof/>
        </w:rPr>
        <w:instrText xml:space="preserve"> PAGEREF _Toc117270006 \h </w:instrText>
      </w:r>
      <w:r w:rsidRPr="00734797">
        <w:rPr>
          <w:noProof/>
        </w:rPr>
      </w:r>
      <w:r w:rsidRPr="00734797">
        <w:rPr>
          <w:noProof/>
        </w:rPr>
        <w:fldChar w:fldCharType="separate"/>
      </w:r>
      <w:r w:rsidR="003D4569">
        <w:rPr>
          <w:noProof/>
        </w:rPr>
        <w:t>60</w:t>
      </w:r>
      <w:r w:rsidRPr="00734797">
        <w:rPr>
          <w:noProof/>
        </w:rPr>
        <w:fldChar w:fldCharType="end"/>
      </w:r>
    </w:p>
    <w:p w14:paraId="399AF9DE" w14:textId="3C66DB0F"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7.3</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Hospodaření s majetkem, investice</w:t>
      </w:r>
      <w:r w:rsidRPr="00734797">
        <w:rPr>
          <w:noProof/>
        </w:rPr>
        <w:tab/>
      </w:r>
      <w:r w:rsidRPr="00734797">
        <w:rPr>
          <w:noProof/>
        </w:rPr>
        <w:fldChar w:fldCharType="begin"/>
      </w:r>
      <w:r w:rsidRPr="00734797">
        <w:rPr>
          <w:noProof/>
        </w:rPr>
        <w:instrText xml:space="preserve"> PAGEREF _Toc117270007 \h </w:instrText>
      </w:r>
      <w:r w:rsidRPr="00734797">
        <w:rPr>
          <w:noProof/>
        </w:rPr>
      </w:r>
      <w:r w:rsidRPr="00734797">
        <w:rPr>
          <w:noProof/>
        </w:rPr>
        <w:fldChar w:fldCharType="separate"/>
      </w:r>
      <w:r w:rsidR="003D4569">
        <w:rPr>
          <w:noProof/>
        </w:rPr>
        <w:t>61</w:t>
      </w:r>
      <w:r w:rsidRPr="00734797">
        <w:rPr>
          <w:noProof/>
        </w:rPr>
        <w:fldChar w:fldCharType="end"/>
      </w:r>
    </w:p>
    <w:p w14:paraId="09709058" w14:textId="6E2E16E4"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7.4</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Hospodaření: Problematika úspor a plýtvání</w:t>
      </w:r>
      <w:r w:rsidRPr="00734797">
        <w:rPr>
          <w:noProof/>
        </w:rPr>
        <w:tab/>
      </w:r>
      <w:r w:rsidRPr="00734797">
        <w:rPr>
          <w:noProof/>
        </w:rPr>
        <w:fldChar w:fldCharType="begin"/>
      </w:r>
      <w:r w:rsidRPr="00734797">
        <w:rPr>
          <w:noProof/>
        </w:rPr>
        <w:instrText xml:space="preserve"> PAGEREF _Toc117270008 \h </w:instrText>
      </w:r>
      <w:r w:rsidRPr="00734797">
        <w:rPr>
          <w:noProof/>
        </w:rPr>
      </w:r>
      <w:r w:rsidRPr="00734797">
        <w:rPr>
          <w:noProof/>
        </w:rPr>
        <w:fldChar w:fldCharType="separate"/>
      </w:r>
      <w:r w:rsidR="003D4569">
        <w:rPr>
          <w:noProof/>
        </w:rPr>
        <w:t>65</w:t>
      </w:r>
      <w:r w:rsidRPr="00734797">
        <w:rPr>
          <w:noProof/>
        </w:rPr>
        <w:fldChar w:fldCharType="end"/>
      </w:r>
    </w:p>
    <w:p w14:paraId="3E5E3984" w14:textId="69B2FB1C"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7.5</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Hospodaření: Problematika kritérií optimalizace kvalita – výkonnost – náklady</w:t>
      </w:r>
      <w:r w:rsidRPr="00734797">
        <w:rPr>
          <w:noProof/>
        </w:rPr>
        <w:tab/>
      </w:r>
      <w:r w:rsidRPr="00734797">
        <w:rPr>
          <w:noProof/>
        </w:rPr>
        <w:fldChar w:fldCharType="begin"/>
      </w:r>
      <w:r w:rsidRPr="00734797">
        <w:rPr>
          <w:noProof/>
        </w:rPr>
        <w:instrText xml:space="preserve"> PAGEREF _Toc117270009 \h </w:instrText>
      </w:r>
      <w:r w:rsidRPr="00734797">
        <w:rPr>
          <w:noProof/>
        </w:rPr>
      </w:r>
      <w:r w:rsidRPr="00734797">
        <w:rPr>
          <w:noProof/>
        </w:rPr>
        <w:fldChar w:fldCharType="separate"/>
      </w:r>
      <w:r w:rsidR="003D4569">
        <w:rPr>
          <w:noProof/>
        </w:rPr>
        <w:t>68</w:t>
      </w:r>
      <w:r w:rsidRPr="00734797">
        <w:rPr>
          <w:noProof/>
        </w:rPr>
        <w:fldChar w:fldCharType="end"/>
      </w:r>
    </w:p>
    <w:p w14:paraId="3FD1439C" w14:textId="5EA02AF7"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7.6</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Hospodaření: Optimalizace pomocí auditu ztrát (Štíhlá administrativa)</w:t>
      </w:r>
      <w:r w:rsidRPr="00734797">
        <w:rPr>
          <w:noProof/>
        </w:rPr>
        <w:tab/>
      </w:r>
      <w:r w:rsidRPr="00734797">
        <w:rPr>
          <w:noProof/>
        </w:rPr>
        <w:fldChar w:fldCharType="begin"/>
      </w:r>
      <w:r w:rsidRPr="00734797">
        <w:rPr>
          <w:noProof/>
        </w:rPr>
        <w:instrText xml:space="preserve"> PAGEREF _Toc117270010 \h </w:instrText>
      </w:r>
      <w:r w:rsidRPr="00734797">
        <w:rPr>
          <w:noProof/>
        </w:rPr>
      </w:r>
      <w:r w:rsidRPr="00734797">
        <w:rPr>
          <w:noProof/>
        </w:rPr>
        <w:fldChar w:fldCharType="separate"/>
      </w:r>
      <w:r w:rsidR="003D4569">
        <w:rPr>
          <w:noProof/>
        </w:rPr>
        <w:t>71</w:t>
      </w:r>
      <w:r w:rsidRPr="00734797">
        <w:rPr>
          <w:noProof/>
        </w:rPr>
        <w:fldChar w:fldCharType="end"/>
      </w:r>
    </w:p>
    <w:p w14:paraId="5A1B9C86" w14:textId="47BF0872"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7.7</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Hospodaření: Dotační management a jeho fáze</w:t>
      </w:r>
      <w:r w:rsidRPr="00734797">
        <w:rPr>
          <w:noProof/>
        </w:rPr>
        <w:tab/>
      </w:r>
      <w:r w:rsidRPr="00734797">
        <w:rPr>
          <w:noProof/>
        </w:rPr>
        <w:fldChar w:fldCharType="begin"/>
      </w:r>
      <w:r w:rsidRPr="00734797">
        <w:rPr>
          <w:noProof/>
        </w:rPr>
        <w:instrText xml:space="preserve"> PAGEREF _Toc117270011 \h </w:instrText>
      </w:r>
      <w:r w:rsidRPr="00734797">
        <w:rPr>
          <w:noProof/>
        </w:rPr>
      </w:r>
      <w:r w:rsidRPr="00734797">
        <w:rPr>
          <w:noProof/>
        </w:rPr>
        <w:fldChar w:fldCharType="separate"/>
      </w:r>
      <w:r w:rsidR="003D4569">
        <w:rPr>
          <w:noProof/>
        </w:rPr>
        <w:t>73</w:t>
      </w:r>
      <w:r w:rsidRPr="00734797">
        <w:rPr>
          <w:noProof/>
        </w:rPr>
        <w:fldChar w:fldCharType="end"/>
      </w:r>
    </w:p>
    <w:p w14:paraId="7050AD40" w14:textId="3E94906C"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7.8</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Změny rozpočtu</w:t>
      </w:r>
      <w:r w:rsidRPr="00734797">
        <w:rPr>
          <w:noProof/>
        </w:rPr>
        <w:tab/>
      </w:r>
      <w:r w:rsidRPr="00734797">
        <w:rPr>
          <w:noProof/>
        </w:rPr>
        <w:fldChar w:fldCharType="begin"/>
      </w:r>
      <w:r w:rsidRPr="00734797">
        <w:rPr>
          <w:noProof/>
        </w:rPr>
        <w:instrText xml:space="preserve"> PAGEREF _Toc117270012 \h </w:instrText>
      </w:r>
      <w:r w:rsidRPr="00734797">
        <w:rPr>
          <w:noProof/>
        </w:rPr>
      </w:r>
      <w:r w:rsidRPr="00734797">
        <w:rPr>
          <w:noProof/>
        </w:rPr>
        <w:fldChar w:fldCharType="separate"/>
      </w:r>
      <w:r w:rsidR="003D4569">
        <w:rPr>
          <w:noProof/>
        </w:rPr>
        <w:t>74</w:t>
      </w:r>
      <w:r w:rsidRPr="00734797">
        <w:rPr>
          <w:noProof/>
        </w:rPr>
        <w:fldChar w:fldCharType="end"/>
      </w:r>
    </w:p>
    <w:p w14:paraId="621351A8" w14:textId="020CE06D"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lastRenderedPageBreak/>
        <w:t>8</w:t>
      </w:r>
      <w:r w:rsidRPr="00734797">
        <w:rPr>
          <w:rFonts w:asciiTheme="minorHAnsi" w:eastAsiaTheme="minorEastAsia" w:hAnsiTheme="minorHAnsi" w:cstheme="minorBidi"/>
          <w:b w:val="0"/>
          <w:bCs w:val="0"/>
          <w:noProof/>
          <w:sz w:val="22"/>
          <w:szCs w:val="22"/>
        </w:rPr>
        <w:tab/>
      </w:r>
      <w:r w:rsidRPr="00734797">
        <w:rPr>
          <w:noProof/>
        </w:rPr>
        <w:t>Strategická práce a čtvrtá fáze rozpočtového procesu: zpracování a schválení závěrečného účtu</w:t>
      </w:r>
      <w:r w:rsidRPr="00734797">
        <w:rPr>
          <w:noProof/>
        </w:rPr>
        <w:tab/>
      </w:r>
      <w:r w:rsidRPr="00734797">
        <w:rPr>
          <w:noProof/>
        </w:rPr>
        <w:fldChar w:fldCharType="begin"/>
      </w:r>
      <w:r w:rsidRPr="00734797">
        <w:rPr>
          <w:noProof/>
        </w:rPr>
        <w:instrText xml:space="preserve"> PAGEREF _Toc117270013 \h </w:instrText>
      </w:r>
      <w:r w:rsidRPr="00734797">
        <w:rPr>
          <w:noProof/>
        </w:rPr>
      </w:r>
      <w:r w:rsidRPr="00734797">
        <w:rPr>
          <w:noProof/>
        </w:rPr>
        <w:fldChar w:fldCharType="separate"/>
      </w:r>
      <w:r w:rsidR="003D4569">
        <w:rPr>
          <w:noProof/>
        </w:rPr>
        <w:t>76</w:t>
      </w:r>
      <w:r w:rsidRPr="00734797">
        <w:rPr>
          <w:noProof/>
        </w:rPr>
        <w:fldChar w:fldCharType="end"/>
      </w:r>
    </w:p>
    <w:p w14:paraId="1A3078F8" w14:textId="03003D7A"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9</w:t>
      </w:r>
      <w:r w:rsidRPr="00734797">
        <w:rPr>
          <w:rFonts w:asciiTheme="minorHAnsi" w:eastAsiaTheme="minorEastAsia" w:hAnsiTheme="minorHAnsi" w:cstheme="minorBidi"/>
          <w:b w:val="0"/>
          <w:bCs w:val="0"/>
          <w:noProof/>
          <w:sz w:val="22"/>
          <w:szCs w:val="22"/>
        </w:rPr>
        <w:tab/>
      </w:r>
      <w:r w:rsidRPr="00734797">
        <w:rPr>
          <w:noProof/>
        </w:rPr>
        <w:t>Zásady zdravého (udržitelného) finančního řízení</w:t>
      </w:r>
      <w:r w:rsidRPr="00734797">
        <w:rPr>
          <w:noProof/>
        </w:rPr>
        <w:tab/>
      </w:r>
      <w:r w:rsidRPr="00734797">
        <w:rPr>
          <w:noProof/>
        </w:rPr>
        <w:fldChar w:fldCharType="begin"/>
      </w:r>
      <w:r w:rsidRPr="00734797">
        <w:rPr>
          <w:noProof/>
        </w:rPr>
        <w:instrText xml:space="preserve"> PAGEREF _Toc117270014 \h </w:instrText>
      </w:r>
      <w:r w:rsidRPr="00734797">
        <w:rPr>
          <w:noProof/>
        </w:rPr>
      </w:r>
      <w:r w:rsidRPr="00734797">
        <w:rPr>
          <w:noProof/>
        </w:rPr>
        <w:fldChar w:fldCharType="separate"/>
      </w:r>
      <w:r w:rsidR="003D4569">
        <w:rPr>
          <w:noProof/>
        </w:rPr>
        <w:t>78</w:t>
      </w:r>
      <w:r w:rsidRPr="00734797">
        <w:rPr>
          <w:noProof/>
        </w:rPr>
        <w:fldChar w:fldCharType="end"/>
      </w:r>
    </w:p>
    <w:p w14:paraId="509D7AE4" w14:textId="174F75A9"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9.1</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Sedm zásad zdravého finančního řízení pro samosprávy (obce)</w:t>
      </w:r>
      <w:r w:rsidRPr="00734797">
        <w:rPr>
          <w:noProof/>
        </w:rPr>
        <w:tab/>
      </w:r>
      <w:r w:rsidRPr="00734797">
        <w:rPr>
          <w:noProof/>
        </w:rPr>
        <w:fldChar w:fldCharType="begin"/>
      </w:r>
      <w:r w:rsidRPr="00734797">
        <w:rPr>
          <w:noProof/>
        </w:rPr>
        <w:instrText xml:space="preserve"> PAGEREF _Toc117270015 \h </w:instrText>
      </w:r>
      <w:r w:rsidRPr="00734797">
        <w:rPr>
          <w:noProof/>
        </w:rPr>
      </w:r>
      <w:r w:rsidRPr="00734797">
        <w:rPr>
          <w:noProof/>
        </w:rPr>
        <w:fldChar w:fldCharType="separate"/>
      </w:r>
      <w:r w:rsidR="003D4569">
        <w:rPr>
          <w:noProof/>
        </w:rPr>
        <w:t>78</w:t>
      </w:r>
      <w:r w:rsidRPr="00734797">
        <w:rPr>
          <w:noProof/>
        </w:rPr>
        <w:fldChar w:fldCharType="end"/>
      </w:r>
    </w:p>
    <w:p w14:paraId="44804A87" w14:textId="60F66D0A" w:rsidR="00734797" w:rsidRPr="00734797" w:rsidRDefault="00734797" w:rsidP="00734797">
      <w:pPr>
        <w:pStyle w:val="Obsah2"/>
        <w:tabs>
          <w:tab w:val="left" w:pos="72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9.2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Alternativně: Zásady zdravého finančního řízení – obecně veřejný sektor</w:t>
      </w:r>
      <w:r w:rsidRPr="00734797">
        <w:rPr>
          <w:noProof/>
        </w:rPr>
        <w:tab/>
      </w:r>
      <w:r w:rsidRPr="00734797">
        <w:rPr>
          <w:noProof/>
        </w:rPr>
        <w:fldChar w:fldCharType="begin"/>
      </w:r>
      <w:r w:rsidRPr="00734797">
        <w:rPr>
          <w:noProof/>
        </w:rPr>
        <w:instrText xml:space="preserve"> PAGEREF _Toc117270016 \h </w:instrText>
      </w:r>
      <w:r w:rsidRPr="00734797">
        <w:rPr>
          <w:noProof/>
        </w:rPr>
      </w:r>
      <w:r w:rsidRPr="00734797">
        <w:rPr>
          <w:noProof/>
        </w:rPr>
        <w:fldChar w:fldCharType="separate"/>
      </w:r>
      <w:r w:rsidR="003D4569">
        <w:rPr>
          <w:noProof/>
        </w:rPr>
        <w:t>82</w:t>
      </w:r>
      <w:r w:rsidRPr="00734797">
        <w:rPr>
          <w:noProof/>
        </w:rPr>
        <w:fldChar w:fldCharType="end"/>
      </w:r>
    </w:p>
    <w:p w14:paraId="08B804BF" w14:textId="7870A4B9"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10</w:t>
      </w:r>
      <w:r w:rsidRPr="00734797">
        <w:rPr>
          <w:rFonts w:asciiTheme="minorHAnsi" w:eastAsiaTheme="minorEastAsia" w:hAnsiTheme="minorHAnsi" w:cstheme="minorBidi"/>
          <w:b w:val="0"/>
          <w:bCs w:val="0"/>
          <w:noProof/>
          <w:sz w:val="22"/>
          <w:szCs w:val="22"/>
        </w:rPr>
        <w:tab/>
      </w:r>
      <w:r w:rsidRPr="00734797">
        <w:rPr>
          <w:noProof/>
        </w:rPr>
        <w:t>Příklady a případové studie</w:t>
      </w:r>
      <w:r w:rsidRPr="00734797">
        <w:rPr>
          <w:noProof/>
        </w:rPr>
        <w:tab/>
      </w:r>
      <w:r w:rsidRPr="00734797">
        <w:rPr>
          <w:noProof/>
        </w:rPr>
        <w:fldChar w:fldCharType="begin"/>
      </w:r>
      <w:r w:rsidRPr="00734797">
        <w:rPr>
          <w:noProof/>
        </w:rPr>
        <w:instrText xml:space="preserve"> PAGEREF _Toc117270017 \h </w:instrText>
      </w:r>
      <w:r w:rsidRPr="00734797">
        <w:rPr>
          <w:noProof/>
        </w:rPr>
      </w:r>
      <w:r w:rsidRPr="00734797">
        <w:rPr>
          <w:noProof/>
        </w:rPr>
        <w:fldChar w:fldCharType="separate"/>
      </w:r>
      <w:r w:rsidR="003D4569">
        <w:rPr>
          <w:noProof/>
        </w:rPr>
        <w:t>88</w:t>
      </w:r>
      <w:r w:rsidRPr="00734797">
        <w:rPr>
          <w:noProof/>
        </w:rPr>
        <w:fldChar w:fldCharType="end"/>
      </w:r>
    </w:p>
    <w:p w14:paraId="169AD5DA" w14:textId="184A5942"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 řešení vazby mezi rozpočtem a strategi</w:t>
      </w:r>
      <w:r w:rsidR="00766292">
        <w:rPr>
          <w:rFonts w:asciiTheme="minorHAnsi" w:hAnsiTheme="minorHAnsi" w:cstheme="minorHAnsi"/>
          <w:noProof/>
        </w:rPr>
        <w:t>í</w:t>
      </w:r>
      <w:r w:rsidRPr="00734797">
        <w:rPr>
          <w:rFonts w:asciiTheme="minorHAnsi" w:hAnsiTheme="minorHAnsi" w:cstheme="minorHAnsi"/>
          <w:noProof/>
        </w:rPr>
        <w:t xml:space="preserve"> pomocí akčního plánu</w:t>
      </w:r>
      <w:r w:rsidRPr="00734797">
        <w:rPr>
          <w:noProof/>
        </w:rPr>
        <w:tab/>
      </w:r>
      <w:r w:rsidRPr="00734797">
        <w:rPr>
          <w:noProof/>
        </w:rPr>
        <w:fldChar w:fldCharType="begin"/>
      </w:r>
      <w:r w:rsidRPr="00734797">
        <w:rPr>
          <w:noProof/>
        </w:rPr>
        <w:instrText xml:space="preserve"> PAGEREF _Toc117270018 \h </w:instrText>
      </w:r>
      <w:r w:rsidRPr="00734797">
        <w:rPr>
          <w:noProof/>
        </w:rPr>
      </w:r>
      <w:r w:rsidRPr="00734797">
        <w:rPr>
          <w:noProof/>
        </w:rPr>
        <w:fldChar w:fldCharType="separate"/>
      </w:r>
      <w:r w:rsidR="003D4569">
        <w:rPr>
          <w:noProof/>
        </w:rPr>
        <w:t>88</w:t>
      </w:r>
      <w:r w:rsidRPr="00734797">
        <w:rPr>
          <w:noProof/>
        </w:rPr>
        <w:fldChar w:fldCharType="end"/>
      </w:r>
    </w:p>
    <w:p w14:paraId="4D0AC417" w14:textId="2C41B3C0"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Příklady dobré praxe identifikované v rámci analýzy strategických dokumentů</w:t>
      </w:r>
      <w:r w:rsidRPr="00734797">
        <w:rPr>
          <w:noProof/>
        </w:rPr>
        <w:tab/>
      </w:r>
      <w:r w:rsidRPr="00734797">
        <w:rPr>
          <w:noProof/>
        </w:rPr>
        <w:fldChar w:fldCharType="begin"/>
      </w:r>
      <w:r w:rsidRPr="00734797">
        <w:rPr>
          <w:noProof/>
        </w:rPr>
        <w:instrText xml:space="preserve"> PAGEREF _Toc117270019 \h </w:instrText>
      </w:r>
      <w:r w:rsidRPr="00734797">
        <w:rPr>
          <w:noProof/>
        </w:rPr>
      </w:r>
      <w:r w:rsidRPr="00734797">
        <w:rPr>
          <w:noProof/>
        </w:rPr>
        <w:fldChar w:fldCharType="separate"/>
      </w:r>
      <w:r w:rsidR="003D4569">
        <w:rPr>
          <w:noProof/>
        </w:rPr>
        <w:t>90</w:t>
      </w:r>
      <w:r w:rsidRPr="00734797">
        <w:rPr>
          <w:noProof/>
        </w:rPr>
        <w:fldChar w:fldCharType="end"/>
      </w:r>
    </w:p>
    <w:p w14:paraId="31119387" w14:textId="72C155BC"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10.3</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 harmonogramu přípravy a projednávání rozpočtu města</w:t>
      </w:r>
      <w:r w:rsidRPr="00734797">
        <w:rPr>
          <w:noProof/>
        </w:rPr>
        <w:tab/>
      </w:r>
      <w:r w:rsidRPr="00734797">
        <w:rPr>
          <w:noProof/>
        </w:rPr>
        <w:fldChar w:fldCharType="begin"/>
      </w:r>
      <w:r w:rsidRPr="00734797">
        <w:rPr>
          <w:noProof/>
        </w:rPr>
        <w:instrText xml:space="preserve"> PAGEREF _Toc117270020 \h </w:instrText>
      </w:r>
      <w:r w:rsidRPr="00734797">
        <w:rPr>
          <w:noProof/>
        </w:rPr>
      </w:r>
      <w:r w:rsidRPr="00734797">
        <w:rPr>
          <w:noProof/>
        </w:rPr>
        <w:fldChar w:fldCharType="separate"/>
      </w:r>
      <w:r w:rsidR="003D4569">
        <w:rPr>
          <w:noProof/>
        </w:rPr>
        <w:t>92</w:t>
      </w:r>
      <w:r w:rsidRPr="00734797">
        <w:rPr>
          <w:noProof/>
        </w:rPr>
        <w:fldChar w:fldCharType="end"/>
      </w:r>
    </w:p>
    <w:p w14:paraId="0A556E79" w14:textId="53EAD31C"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10.4</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Příklady rozpočtu projektu</w:t>
      </w:r>
      <w:r w:rsidRPr="00734797">
        <w:rPr>
          <w:noProof/>
        </w:rPr>
        <w:tab/>
      </w:r>
      <w:r w:rsidRPr="00734797">
        <w:rPr>
          <w:noProof/>
        </w:rPr>
        <w:fldChar w:fldCharType="begin"/>
      </w:r>
      <w:r w:rsidRPr="00734797">
        <w:rPr>
          <w:noProof/>
        </w:rPr>
        <w:instrText xml:space="preserve"> PAGEREF _Toc117270021 \h </w:instrText>
      </w:r>
      <w:r w:rsidRPr="00734797">
        <w:rPr>
          <w:noProof/>
        </w:rPr>
      </w:r>
      <w:r w:rsidRPr="00734797">
        <w:rPr>
          <w:noProof/>
        </w:rPr>
        <w:fldChar w:fldCharType="separate"/>
      </w:r>
      <w:r w:rsidR="003D4569">
        <w:rPr>
          <w:noProof/>
        </w:rPr>
        <w:t>94</w:t>
      </w:r>
      <w:r w:rsidRPr="00734797">
        <w:rPr>
          <w:noProof/>
        </w:rPr>
        <w:fldChar w:fldCharType="end"/>
      </w:r>
    </w:p>
    <w:p w14:paraId="0A7BD5ED" w14:textId="29F3204F"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10.5</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Pravidla pro zadlužování města Chrudim</w:t>
      </w:r>
      <w:r w:rsidRPr="00734797">
        <w:rPr>
          <w:noProof/>
        </w:rPr>
        <w:tab/>
      </w:r>
      <w:r w:rsidRPr="00734797">
        <w:rPr>
          <w:noProof/>
        </w:rPr>
        <w:fldChar w:fldCharType="begin"/>
      </w:r>
      <w:r w:rsidRPr="00734797">
        <w:rPr>
          <w:noProof/>
        </w:rPr>
        <w:instrText xml:space="preserve"> PAGEREF _Toc117270022 \h </w:instrText>
      </w:r>
      <w:r w:rsidRPr="00734797">
        <w:rPr>
          <w:noProof/>
        </w:rPr>
      </w:r>
      <w:r w:rsidRPr="00734797">
        <w:rPr>
          <w:noProof/>
        </w:rPr>
        <w:fldChar w:fldCharType="separate"/>
      </w:r>
      <w:r w:rsidR="003D4569">
        <w:rPr>
          <w:noProof/>
        </w:rPr>
        <w:t>96</w:t>
      </w:r>
      <w:r w:rsidRPr="00734797">
        <w:rPr>
          <w:noProof/>
        </w:rPr>
        <w:fldChar w:fldCharType="end"/>
      </w:r>
    </w:p>
    <w:p w14:paraId="4BCAA0E4" w14:textId="6B281687"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10.6</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Příklady prověření 3E</w:t>
      </w:r>
      <w:r w:rsidRPr="00734797">
        <w:rPr>
          <w:noProof/>
        </w:rPr>
        <w:tab/>
      </w:r>
      <w:r w:rsidRPr="00734797">
        <w:rPr>
          <w:noProof/>
        </w:rPr>
        <w:fldChar w:fldCharType="begin"/>
      </w:r>
      <w:r w:rsidRPr="00734797">
        <w:rPr>
          <w:noProof/>
        </w:rPr>
        <w:instrText xml:space="preserve"> PAGEREF _Toc117270023 \h </w:instrText>
      </w:r>
      <w:r w:rsidRPr="00734797">
        <w:rPr>
          <w:noProof/>
        </w:rPr>
      </w:r>
      <w:r w:rsidRPr="00734797">
        <w:rPr>
          <w:noProof/>
        </w:rPr>
        <w:fldChar w:fldCharType="separate"/>
      </w:r>
      <w:r w:rsidR="003D4569">
        <w:rPr>
          <w:noProof/>
        </w:rPr>
        <w:t>97</w:t>
      </w:r>
      <w:r w:rsidRPr="00734797">
        <w:rPr>
          <w:noProof/>
        </w:rPr>
        <w:fldChar w:fldCharType="end"/>
      </w:r>
    </w:p>
    <w:p w14:paraId="378B22B8" w14:textId="07351392"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noProof/>
        </w:rPr>
        <w:t>10.7</w:t>
      </w:r>
      <w:r w:rsidRPr="00734797">
        <w:rPr>
          <w:rFonts w:asciiTheme="minorHAnsi" w:eastAsiaTheme="minorEastAsia" w:hAnsiTheme="minorHAnsi" w:cstheme="minorBidi"/>
          <w:i w:val="0"/>
          <w:iCs w:val="0"/>
          <w:noProof/>
          <w:sz w:val="22"/>
          <w:szCs w:val="22"/>
        </w:rPr>
        <w:tab/>
      </w:r>
      <w:r w:rsidRPr="00734797">
        <w:rPr>
          <w:noProof/>
        </w:rPr>
        <w:t>Příklad postupu (workflow) v rámci předběžné finanční kontroly</w:t>
      </w:r>
      <w:r w:rsidRPr="00734797">
        <w:rPr>
          <w:noProof/>
        </w:rPr>
        <w:tab/>
      </w:r>
      <w:r w:rsidRPr="00734797">
        <w:rPr>
          <w:noProof/>
        </w:rPr>
        <w:fldChar w:fldCharType="begin"/>
      </w:r>
      <w:r w:rsidRPr="00734797">
        <w:rPr>
          <w:noProof/>
        </w:rPr>
        <w:instrText xml:space="preserve"> PAGEREF _Toc117270024 \h </w:instrText>
      </w:r>
      <w:r w:rsidRPr="00734797">
        <w:rPr>
          <w:noProof/>
        </w:rPr>
      </w:r>
      <w:r w:rsidRPr="00734797">
        <w:rPr>
          <w:noProof/>
        </w:rPr>
        <w:fldChar w:fldCharType="separate"/>
      </w:r>
      <w:r w:rsidR="003D4569">
        <w:rPr>
          <w:noProof/>
        </w:rPr>
        <w:t>101</w:t>
      </w:r>
      <w:r w:rsidRPr="00734797">
        <w:rPr>
          <w:noProof/>
        </w:rPr>
        <w:fldChar w:fldCharType="end"/>
      </w:r>
    </w:p>
    <w:p w14:paraId="6FBFC927" w14:textId="1F832FCC"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noProof/>
        </w:rPr>
        <w:t>10.8</w:t>
      </w:r>
      <w:r w:rsidRPr="00734797">
        <w:rPr>
          <w:rFonts w:asciiTheme="minorHAnsi" w:eastAsiaTheme="minorEastAsia" w:hAnsiTheme="minorHAnsi" w:cstheme="minorBidi"/>
          <w:i w:val="0"/>
          <w:iCs w:val="0"/>
          <w:noProof/>
          <w:sz w:val="22"/>
          <w:szCs w:val="22"/>
        </w:rPr>
        <w:tab/>
      </w:r>
      <w:r w:rsidRPr="00734797">
        <w:rPr>
          <w:noProof/>
        </w:rPr>
        <w:t>Příklad vyhodnocení rizik v rámci strategie rozvoje města</w:t>
      </w:r>
      <w:r w:rsidRPr="00734797">
        <w:rPr>
          <w:noProof/>
        </w:rPr>
        <w:tab/>
      </w:r>
      <w:r w:rsidRPr="00734797">
        <w:rPr>
          <w:noProof/>
        </w:rPr>
        <w:fldChar w:fldCharType="begin"/>
      </w:r>
      <w:r w:rsidRPr="00734797">
        <w:rPr>
          <w:noProof/>
        </w:rPr>
        <w:instrText xml:space="preserve"> PAGEREF _Toc117270025 \h </w:instrText>
      </w:r>
      <w:r w:rsidRPr="00734797">
        <w:rPr>
          <w:noProof/>
        </w:rPr>
      </w:r>
      <w:r w:rsidRPr="00734797">
        <w:rPr>
          <w:noProof/>
        </w:rPr>
        <w:fldChar w:fldCharType="separate"/>
      </w:r>
      <w:r w:rsidR="003D4569">
        <w:rPr>
          <w:noProof/>
        </w:rPr>
        <w:t>105</w:t>
      </w:r>
      <w:r w:rsidRPr="00734797">
        <w:rPr>
          <w:noProof/>
        </w:rPr>
        <w:fldChar w:fldCharType="end"/>
      </w:r>
    </w:p>
    <w:p w14:paraId="2B94D4FB" w14:textId="10E2EC1D"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10.9</w:t>
      </w:r>
      <w:r w:rsidRPr="00734797">
        <w:rPr>
          <w:rFonts w:asciiTheme="minorHAnsi" w:eastAsiaTheme="minorEastAsia" w:hAnsiTheme="minorHAnsi" w:cstheme="minorBidi"/>
          <w:i w:val="0"/>
          <w:iCs w:val="0"/>
          <w:noProof/>
          <w:sz w:val="22"/>
          <w:szCs w:val="22"/>
        </w:rPr>
        <w:tab/>
      </w:r>
      <w:r w:rsidRPr="00734797">
        <w:rPr>
          <w:noProof/>
        </w:rPr>
        <w:t>Příklad vyhodnocení rizik v rámci finanční kontroly</w:t>
      </w:r>
      <w:r w:rsidRPr="00734797">
        <w:rPr>
          <w:noProof/>
        </w:rPr>
        <w:tab/>
      </w:r>
      <w:r w:rsidRPr="00734797">
        <w:rPr>
          <w:noProof/>
        </w:rPr>
        <w:fldChar w:fldCharType="begin"/>
      </w:r>
      <w:r w:rsidRPr="00734797">
        <w:rPr>
          <w:noProof/>
        </w:rPr>
        <w:instrText xml:space="preserve"> PAGEREF _Toc117270026 \h </w:instrText>
      </w:r>
      <w:r w:rsidRPr="00734797">
        <w:rPr>
          <w:noProof/>
        </w:rPr>
      </w:r>
      <w:r w:rsidRPr="00734797">
        <w:rPr>
          <w:noProof/>
        </w:rPr>
        <w:fldChar w:fldCharType="separate"/>
      </w:r>
      <w:r w:rsidR="003D4569">
        <w:rPr>
          <w:noProof/>
        </w:rPr>
        <w:t>106</w:t>
      </w:r>
      <w:r w:rsidRPr="00734797">
        <w:rPr>
          <w:noProof/>
        </w:rPr>
        <w:fldChar w:fldCharType="end"/>
      </w:r>
    </w:p>
    <w:p w14:paraId="07BB65BF" w14:textId="56796C3E"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noProof/>
        </w:rPr>
        <w:t>10.10</w:t>
      </w:r>
      <w:r w:rsidRPr="00734797">
        <w:rPr>
          <w:rFonts w:asciiTheme="minorHAnsi" w:eastAsiaTheme="minorEastAsia" w:hAnsiTheme="minorHAnsi" w:cstheme="minorBidi"/>
          <w:i w:val="0"/>
          <w:iCs w:val="0"/>
          <w:noProof/>
          <w:sz w:val="22"/>
          <w:szCs w:val="22"/>
        </w:rPr>
        <w:tab/>
      </w:r>
      <w:r w:rsidRPr="00734797">
        <w:rPr>
          <w:noProof/>
        </w:rPr>
        <w:t>Hodnocení rizika korupce nebo podvodu pomocí metody FMEA</w:t>
      </w:r>
      <w:r w:rsidRPr="00734797">
        <w:rPr>
          <w:noProof/>
        </w:rPr>
        <w:tab/>
      </w:r>
      <w:r w:rsidRPr="00734797">
        <w:rPr>
          <w:noProof/>
        </w:rPr>
        <w:fldChar w:fldCharType="begin"/>
      </w:r>
      <w:r w:rsidRPr="00734797">
        <w:rPr>
          <w:noProof/>
        </w:rPr>
        <w:instrText xml:space="preserve"> PAGEREF _Toc117270027 \h </w:instrText>
      </w:r>
      <w:r w:rsidRPr="00734797">
        <w:rPr>
          <w:noProof/>
        </w:rPr>
      </w:r>
      <w:r w:rsidRPr="00734797">
        <w:rPr>
          <w:noProof/>
        </w:rPr>
        <w:fldChar w:fldCharType="separate"/>
      </w:r>
      <w:r w:rsidR="003D4569">
        <w:rPr>
          <w:noProof/>
        </w:rPr>
        <w:t>108</w:t>
      </w:r>
      <w:r w:rsidRPr="00734797">
        <w:rPr>
          <w:noProof/>
        </w:rPr>
        <w:fldChar w:fldCharType="end"/>
      </w:r>
    </w:p>
    <w:p w14:paraId="3B3B0B95" w14:textId="5CCB7C36"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noProof/>
        </w:rPr>
        <w:t>10.11</w:t>
      </w:r>
      <w:r w:rsidRPr="00734797">
        <w:rPr>
          <w:rFonts w:asciiTheme="minorHAnsi" w:eastAsiaTheme="minorEastAsia" w:hAnsiTheme="minorHAnsi" w:cstheme="minorBidi"/>
          <w:i w:val="0"/>
          <w:iCs w:val="0"/>
          <w:noProof/>
          <w:sz w:val="22"/>
          <w:szCs w:val="22"/>
        </w:rPr>
        <w:tab/>
      </w:r>
      <w:r w:rsidRPr="00734797">
        <w:rPr>
          <w:noProof/>
        </w:rPr>
        <w:t>Příklad vyhodnocení finančních příležitostí</w:t>
      </w:r>
      <w:r w:rsidRPr="00734797">
        <w:rPr>
          <w:noProof/>
        </w:rPr>
        <w:tab/>
      </w:r>
      <w:r w:rsidRPr="00734797">
        <w:rPr>
          <w:noProof/>
        </w:rPr>
        <w:fldChar w:fldCharType="begin"/>
      </w:r>
      <w:r w:rsidRPr="00734797">
        <w:rPr>
          <w:noProof/>
        </w:rPr>
        <w:instrText xml:space="preserve"> PAGEREF _Toc117270028 \h </w:instrText>
      </w:r>
      <w:r w:rsidRPr="00734797">
        <w:rPr>
          <w:noProof/>
        </w:rPr>
      </w:r>
      <w:r w:rsidRPr="00734797">
        <w:rPr>
          <w:noProof/>
        </w:rPr>
        <w:fldChar w:fldCharType="separate"/>
      </w:r>
      <w:r w:rsidR="003D4569">
        <w:rPr>
          <w:noProof/>
        </w:rPr>
        <w:t>110</w:t>
      </w:r>
      <w:r w:rsidRPr="00734797">
        <w:rPr>
          <w:noProof/>
        </w:rPr>
        <w:fldChar w:fldCharType="end"/>
      </w:r>
    </w:p>
    <w:p w14:paraId="633819A2" w14:textId="281AFFD1"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10.12</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 výpočtu nákladů obětované příležitosti – doba návratnosti investice</w:t>
      </w:r>
      <w:r w:rsidRPr="00734797">
        <w:rPr>
          <w:noProof/>
        </w:rPr>
        <w:tab/>
      </w:r>
      <w:r w:rsidRPr="00734797">
        <w:rPr>
          <w:noProof/>
        </w:rPr>
        <w:fldChar w:fldCharType="begin"/>
      </w:r>
      <w:r w:rsidRPr="00734797">
        <w:rPr>
          <w:noProof/>
        </w:rPr>
        <w:instrText xml:space="preserve"> PAGEREF _Toc117270029 \h </w:instrText>
      </w:r>
      <w:r w:rsidRPr="00734797">
        <w:rPr>
          <w:noProof/>
        </w:rPr>
      </w:r>
      <w:r w:rsidRPr="00734797">
        <w:rPr>
          <w:noProof/>
        </w:rPr>
        <w:fldChar w:fldCharType="separate"/>
      </w:r>
      <w:r w:rsidR="003D4569">
        <w:rPr>
          <w:noProof/>
        </w:rPr>
        <w:t>111</w:t>
      </w:r>
      <w:r w:rsidRPr="00734797">
        <w:rPr>
          <w:noProof/>
        </w:rPr>
        <w:fldChar w:fldCharType="end"/>
      </w:r>
    </w:p>
    <w:p w14:paraId="7A3C5921" w14:textId="306CBC29"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10.13</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 podkladů pro audit ztrát (plýtvání)</w:t>
      </w:r>
      <w:r w:rsidRPr="00734797">
        <w:rPr>
          <w:noProof/>
        </w:rPr>
        <w:tab/>
      </w:r>
      <w:r w:rsidRPr="00734797">
        <w:rPr>
          <w:noProof/>
        </w:rPr>
        <w:fldChar w:fldCharType="begin"/>
      </w:r>
      <w:r w:rsidRPr="00734797">
        <w:rPr>
          <w:noProof/>
        </w:rPr>
        <w:instrText xml:space="preserve"> PAGEREF _Toc117270030 \h </w:instrText>
      </w:r>
      <w:r w:rsidRPr="00734797">
        <w:rPr>
          <w:noProof/>
        </w:rPr>
      </w:r>
      <w:r w:rsidRPr="00734797">
        <w:rPr>
          <w:noProof/>
        </w:rPr>
        <w:fldChar w:fldCharType="separate"/>
      </w:r>
      <w:r w:rsidR="003D4569">
        <w:rPr>
          <w:noProof/>
        </w:rPr>
        <w:t>113</w:t>
      </w:r>
      <w:r w:rsidRPr="00734797">
        <w:rPr>
          <w:noProof/>
        </w:rPr>
        <w:fldChar w:fldCharType="end"/>
      </w:r>
    </w:p>
    <w:p w14:paraId="78343BCC" w14:textId="4E9951E3"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10.14</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Energetické úspory města Litoměřice</w:t>
      </w:r>
      <w:r w:rsidRPr="00734797">
        <w:rPr>
          <w:noProof/>
        </w:rPr>
        <w:tab/>
      </w:r>
      <w:r w:rsidRPr="00734797">
        <w:rPr>
          <w:noProof/>
        </w:rPr>
        <w:fldChar w:fldCharType="begin"/>
      </w:r>
      <w:r w:rsidRPr="00734797">
        <w:rPr>
          <w:noProof/>
        </w:rPr>
        <w:instrText xml:space="preserve"> PAGEREF _Toc117270031 \h </w:instrText>
      </w:r>
      <w:r w:rsidRPr="00734797">
        <w:rPr>
          <w:noProof/>
        </w:rPr>
      </w:r>
      <w:r w:rsidRPr="00734797">
        <w:rPr>
          <w:noProof/>
        </w:rPr>
        <w:fldChar w:fldCharType="separate"/>
      </w:r>
      <w:r w:rsidR="003D4569">
        <w:rPr>
          <w:noProof/>
        </w:rPr>
        <w:t>118</w:t>
      </w:r>
      <w:r w:rsidRPr="00734797">
        <w:rPr>
          <w:noProof/>
        </w:rPr>
        <w:fldChar w:fldCharType="end"/>
      </w:r>
    </w:p>
    <w:p w14:paraId="06E70835" w14:textId="48DBA301"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10.15</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Příklady benchmarkingu obcí</w:t>
      </w:r>
      <w:r w:rsidRPr="00734797">
        <w:rPr>
          <w:noProof/>
        </w:rPr>
        <w:tab/>
      </w:r>
      <w:r w:rsidRPr="00734797">
        <w:rPr>
          <w:noProof/>
        </w:rPr>
        <w:fldChar w:fldCharType="begin"/>
      </w:r>
      <w:r w:rsidRPr="00734797">
        <w:rPr>
          <w:noProof/>
        </w:rPr>
        <w:instrText xml:space="preserve"> PAGEREF _Toc117270032 \h </w:instrText>
      </w:r>
      <w:r w:rsidRPr="00734797">
        <w:rPr>
          <w:noProof/>
        </w:rPr>
      </w:r>
      <w:r w:rsidRPr="00734797">
        <w:rPr>
          <w:noProof/>
        </w:rPr>
        <w:fldChar w:fldCharType="separate"/>
      </w:r>
      <w:r w:rsidR="003D4569">
        <w:rPr>
          <w:noProof/>
        </w:rPr>
        <w:t>120</w:t>
      </w:r>
      <w:r w:rsidRPr="00734797">
        <w:rPr>
          <w:noProof/>
        </w:rPr>
        <w:fldChar w:fldCharType="end"/>
      </w:r>
    </w:p>
    <w:p w14:paraId="68329FE9" w14:textId="55FF12E8"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10.16</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Databáze veřejných strategií z hlediska finančních zdrojů</w:t>
      </w:r>
      <w:r w:rsidRPr="00734797">
        <w:rPr>
          <w:noProof/>
        </w:rPr>
        <w:tab/>
      </w:r>
      <w:r w:rsidRPr="00734797">
        <w:rPr>
          <w:noProof/>
        </w:rPr>
        <w:fldChar w:fldCharType="begin"/>
      </w:r>
      <w:r w:rsidRPr="00734797">
        <w:rPr>
          <w:noProof/>
        </w:rPr>
        <w:instrText xml:space="preserve"> PAGEREF _Toc117270033 \h </w:instrText>
      </w:r>
      <w:r w:rsidRPr="00734797">
        <w:rPr>
          <w:noProof/>
        </w:rPr>
      </w:r>
      <w:r w:rsidRPr="00734797">
        <w:rPr>
          <w:noProof/>
        </w:rPr>
        <w:fldChar w:fldCharType="separate"/>
      </w:r>
      <w:r w:rsidR="003D4569">
        <w:rPr>
          <w:noProof/>
        </w:rPr>
        <w:t>121</w:t>
      </w:r>
      <w:r w:rsidRPr="00734797">
        <w:rPr>
          <w:noProof/>
        </w:rPr>
        <w:fldChar w:fldCharType="end"/>
      </w:r>
    </w:p>
    <w:p w14:paraId="792D927F" w14:textId="511336EA"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10.17</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 Ishikawova diagramu – problém s překračováním výdajů</w:t>
      </w:r>
      <w:r w:rsidRPr="00734797">
        <w:rPr>
          <w:noProof/>
        </w:rPr>
        <w:tab/>
      </w:r>
      <w:r w:rsidRPr="00734797">
        <w:rPr>
          <w:noProof/>
        </w:rPr>
        <w:fldChar w:fldCharType="begin"/>
      </w:r>
      <w:r w:rsidRPr="00734797">
        <w:rPr>
          <w:noProof/>
        </w:rPr>
        <w:instrText xml:space="preserve"> PAGEREF _Toc117270034 \h </w:instrText>
      </w:r>
      <w:r w:rsidRPr="00734797">
        <w:rPr>
          <w:noProof/>
        </w:rPr>
      </w:r>
      <w:r w:rsidRPr="00734797">
        <w:rPr>
          <w:noProof/>
        </w:rPr>
        <w:fldChar w:fldCharType="separate"/>
      </w:r>
      <w:r w:rsidR="003D4569">
        <w:rPr>
          <w:noProof/>
        </w:rPr>
        <w:t>122</w:t>
      </w:r>
      <w:r w:rsidRPr="00734797">
        <w:rPr>
          <w:noProof/>
        </w:rPr>
        <w:fldChar w:fldCharType="end"/>
      </w:r>
    </w:p>
    <w:p w14:paraId="6459FEB5" w14:textId="3B27A8C7" w:rsidR="00734797" w:rsidRPr="00734797" w:rsidRDefault="00734797" w:rsidP="00734797">
      <w:pPr>
        <w:pStyle w:val="Obsah2"/>
        <w:tabs>
          <w:tab w:val="left" w:pos="960"/>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10.18</w:t>
      </w:r>
      <w:r w:rsidRPr="00734797">
        <w:rPr>
          <w:rFonts w:asciiTheme="minorHAnsi" w:eastAsiaTheme="minorEastAsia" w:hAnsiTheme="minorHAnsi" w:cstheme="minorBidi"/>
          <w:i w:val="0"/>
          <w:iCs w:val="0"/>
          <w:noProof/>
          <w:sz w:val="22"/>
          <w:szCs w:val="22"/>
        </w:rPr>
        <w:tab/>
      </w:r>
      <w:r w:rsidRPr="00734797">
        <w:rPr>
          <w:rFonts w:asciiTheme="minorHAnsi" w:hAnsiTheme="minorHAnsi" w:cstheme="minorHAnsi"/>
          <w:noProof/>
        </w:rPr>
        <w:t>Příklad indikátorů pomocí metody BSC</w:t>
      </w:r>
      <w:r w:rsidRPr="00734797">
        <w:rPr>
          <w:noProof/>
        </w:rPr>
        <w:tab/>
      </w:r>
      <w:r w:rsidRPr="00734797">
        <w:rPr>
          <w:noProof/>
        </w:rPr>
        <w:fldChar w:fldCharType="begin"/>
      </w:r>
      <w:r w:rsidRPr="00734797">
        <w:rPr>
          <w:noProof/>
        </w:rPr>
        <w:instrText xml:space="preserve"> PAGEREF _Toc117270035 \h </w:instrText>
      </w:r>
      <w:r w:rsidRPr="00734797">
        <w:rPr>
          <w:noProof/>
        </w:rPr>
      </w:r>
      <w:r w:rsidRPr="00734797">
        <w:rPr>
          <w:noProof/>
        </w:rPr>
        <w:fldChar w:fldCharType="separate"/>
      </w:r>
      <w:r w:rsidR="003D4569">
        <w:rPr>
          <w:noProof/>
        </w:rPr>
        <w:t>124</w:t>
      </w:r>
      <w:r w:rsidRPr="00734797">
        <w:rPr>
          <w:noProof/>
        </w:rPr>
        <w:fldChar w:fldCharType="end"/>
      </w:r>
    </w:p>
    <w:p w14:paraId="6B8D473C" w14:textId="5FEF11E7"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11</w:t>
      </w:r>
      <w:r w:rsidRPr="00734797">
        <w:rPr>
          <w:rFonts w:asciiTheme="minorHAnsi" w:eastAsiaTheme="minorEastAsia" w:hAnsiTheme="minorHAnsi" w:cstheme="minorBidi"/>
          <w:b w:val="0"/>
          <w:bCs w:val="0"/>
          <w:noProof/>
          <w:sz w:val="22"/>
          <w:szCs w:val="22"/>
        </w:rPr>
        <w:tab/>
      </w:r>
      <w:r w:rsidRPr="00734797">
        <w:rPr>
          <w:noProof/>
        </w:rPr>
        <w:t>Vybraná doporučení / omezení</w:t>
      </w:r>
      <w:r w:rsidRPr="00734797">
        <w:rPr>
          <w:noProof/>
        </w:rPr>
        <w:tab/>
      </w:r>
      <w:r w:rsidRPr="00734797">
        <w:rPr>
          <w:noProof/>
        </w:rPr>
        <w:fldChar w:fldCharType="begin"/>
      </w:r>
      <w:r w:rsidRPr="00734797">
        <w:rPr>
          <w:noProof/>
        </w:rPr>
        <w:instrText xml:space="preserve"> PAGEREF _Toc117270036 \h </w:instrText>
      </w:r>
      <w:r w:rsidRPr="00734797">
        <w:rPr>
          <w:noProof/>
        </w:rPr>
      </w:r>
      <w:r w:rsidRPr="00734797">
        <w:rPr>
          <w:noProof/>
        </w:rPr>
        <w:fldChar w:fldCharType="separate"/>
      </w:r>
      <w:r w:rsidR="003D4569">
        <w:rPr>
          <w:noProof/>
        </w:rPr>
        <w:t>126</w:t>
      </w:r>
      <w:r w:rsidRPr="00734797">
        <w:rPr>
          <w:noProof/>
        </w:rPr>
        <w:fldChar w:fldCharType="end"/>
      </w:r>
    </w:p>
    <w:p w14:paraId="25F2AEB4" w14:textId="0989EA2F" w:rsidR="00734797" w:rsidRPr="00734797" w:rsidRDefault="00734797" w:rsidP="00734797">
      <w:pPr>
        <w:pStyle w:val="Obsah1"/>
        <w:tabs>
          <w:tab w:val="left" w:pos="480"/>
          <w:tab w:val="right" w:pos="9062"/>
        </w:tabs>
        <w:spacing w:before="0" w:after="0"/>
        <w:rPr>
          <w:rFonts w:asciiTheme="minorHAnsi" w:eastAsiaTheme="minorEastAsia" w:hAnsiTheme="minorHAnsi" w:cstheme="minorBidi"/>
          <w:b w:val="0"/>
          <w:bCs w:val="0"/>
          <w:noProof/>
          <w:sz w:val="22"/>
          <w:szCs w:val="22"/>
        </w:rPr>
      </w:pPr>
      <w:r w:rsidRPr="00734797">
        <w:rPr>
          <w:rFonts w:asciiTheme="minorHAnsi" w:hAnsiTheme="minorHAnsi" w:cstheme="minorHAnsi"/>
          <w:noProof/>
        </w:rPr>
        <w:t>12</w:t>
      </w:r>
      <w:r w:rsidRPr="00734797">
        <w:rPr>
          <w:rFonts w:asciiTheme="minorHAnsi" w:eastAsiaTheme="minorEastAsia" w:hAnsiTheme="minorHAnsi" w:cstheme="minorBidi"/>
          <w:b w:val="0"/>
          <w:bCs w:val="0"/>
          <w:noProof/>
          <w:sz w:val="22"/>
          <w:szCs w:val="22"/>
        </w:rPr>
        <w:tab/>
      </w:r>
      <w:r w:rsidRPr="00734797">
        <w:rPr>
          <w:noProof/>
        </w:rPr>
        <w:t>Závěr</w:t>
      </w:r>
      <w:r w:rsidRPr="00734797">
        <w:rPr>
          <w:noProof/>
        </w:rPr>
        <w:tab/>
      </w:r>
      <w:r w:rsidRPr="00734797">
        <w:rPr>
          <w:noProof/>
        </w:rPr>
        <w:fldChar w:fldCharType="begin"/>
      </w:r>
      <w:r w:rsidRPr="00734797">
        <w:rPr>
          <w:noProof/>
        </w:rPr>
        <w:instrText xml:space="preserve"> PAGEREF _Toc117270037 \h </w:instrText>
      </w:r>
      <w:r w:rsidRPr="00734797">
        <w:rPr>
          <w:noProof/>
        </w:rPr>
      </w:r>
      <w:r w:rsidRPr="00734797">
        <w:rPr>
          <w:noProof/>
        </w:rPr>
        <w:fldChar w:fldCharType="separate"/>
      </w:r>
      <w:r w:rsidR="003D4569">
        <w:rPr>
          <w:noProof/>
        </w:rPr>
        <w:t>129</w:t>
      </w:r>
      <w:r w:rsidRPr="00734797">
        <w:rPr>
          <w:noProof/>
        </w:rPr>
        <w:fldChar w:fldCharType="end"/>
      </w:r>
    </w:p>
    <w:p w14:paraId="6A24E410" w14:textId="46CB9907" w:rsidR="00734797" w:rsidRPr="00734797" w:rsidRDefault="00734797" w:rsidP="00734797">
      <w:pPr>
        <w:pStyle w:val="Obsah1"/>
        <w:tabs>
          <w:tab w:val="right" w:pos="9062"/>
        </w:tabs>
        <w:spacing w:before="0" w:after="0"/>
        <w:rPr>
          <w:rFonts w:asciiTheme="minorHAnsi" w:eastAsiaTheme="minorEastAsia" w:hAnsiTheme="minorHAnsi" w:cstheme="minorBidi"/>
          <w:b w:val="0"/>
          <w:bCs w:val="0"/>
          <w:noProof/>
          <w:sz w:val="22"/>
          <w:szCs w:val="22"/>
        </w:rPr>
      </w:pPr>
      <w:r w:rsidRPr="00734797">
        <w:rPr>
          <w:rFonts w:cs="Calibri"/>
          <w:caps/>
          <w:noProof/>
        </w:rPr>
        <w:t>Přílohy</w:t>
      </w:r>
      <w:r w:rsidRPr="00734797">
        <w:rPr>
          <w:noProof/>
        </w:rPr>
        <w:tab/>
      </w:r>
      <w:r w:rsidRPr="00734797">
        <w:rPr>
          <w:noProof/>
        </w:rPr>
        <w:fldChar w:fldCharType="begin"/>
      </w:r>
      <w:r w:rsidRPr="00734797">
        <w:rPr>
          <w:noProof/>
        </w:rPr>
        <w:instrText xml:space="preserve"> PAGEREF _Toc117270038 \h </w:instrText>
      </w:r>
      <w:r w:rsidRPr="00734797">
        <w:rPr>
          <w:noProof/>
        </w:rPr>
      </w:r>
      <w:r w:rsidRPr="00734797">
        <w:rPr>
          <w:noProof/>
        </w:rPr>
        <w:fldChar w:fldCharType="separate"/>
      </w:r>
      <w:r w:rsidR="003D4569">
        <w:rPr>
          <w:noProof/>
        </w:rPr>
        <w:t>130</w:t>
      </w:r>
      <w:r w:rsidRPr="00734797">
        <w:rPr>
          <w:noProof/>
        </w:rPr>
        <w:fldChar w:fldCharType="end"/>
      </w:r>
    </w:p>
    <w:p w14:paraId="244E2E41" w14:textId="0F01CEE9" w:rsidR="00734797" w:rsidRPr="00734797" w:rsidRDefault="00734797" w:rsidP="00734797">
      <w:pPr>
        <w:pStyle w:val="Obsah2"/>
        <w:tabs>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Příloha č. 1: Prezentace: Zdravé finanční řízení ve vazbě na strategickou práci</w:t>
      </w:r>
      <w:r w:rsidRPr="00734797">
        <w:rPr>
          <w:noProof/>
        </w:rPr>
        <w:tab/>
      </w:r>
      <w:r w:rsidRPr="00734797">
        <w:rPr>
          <w:noProof/>
        </w:rPr>
        <w:fldChar w:fldCharType="begin"/>
      </w:r>
      <w:r w:rsidRPr="00734797">
        <w:rPr>
          <w:noProof/>
        </w:rPr>
        <w:instrText xml:space="preserve"> PAGEREF _Toc117270039 \h </w:instrText>
      </w:r>
      <w:r w:rsidRPr="00734797">
        <w:rPr>
          <w:noProof/>
        </w:rPr>
      </w:r>
      <w:r w:rsidRPr="00734797">
        <w:rPr>
          <w:noProof/>
        </w:rPr>
        <w:fldChar w:fldCharType="separate"/>
      </w:r>
      <w:r w:rsidR="003D4569">
        <w:rPr>
          <w:noProof/>
        </w:rPr>
        <w:t>130</w:t>
      </w:r>
      <w:r w:rsidRPr="00734797">
        <w:rPr>
          <w:noProof/>
        </w:rPr>
        <w:fldChar w:fldCharType="end"/>
      </w:r>
    </w:p>
    <w:p w14:paraId="6651316D" w14:textId="5DE508D4" w:rsidR="00734797" w:rsidRPr="00734797" w:rsidRDefault="00734797" w:rsidP="00734797">
      <w:pPr>
        <w:pStyle w:val="Obsah2"/>
        <w:tabs>
          <w:tab w:val="right" w:pos="9062"/>
        </w:tabs>
        <w:spacing w:before="0"/>
        <w:rPr>
          <w:rFonts w:asciiTheme="minorHAnsi" w:eastAsiaTheme="minorEastAsia" w:hAnsiTheme="minorHAnsi" w:cstheme="minorBidi"/>
          <w:i w:val="0"/>
          <w:iCs w:val="0"/>
          <w:noProof/>
          <w:sz w:val="22"/>
          <w:szCs w:val="22"/>
        </w:rPr>
      </w:pPr>
      <w:r w:rsidRPr="00734797">
        <w:rPr>
          <w:rFonts w:asciiTheme="minorHAnsi" w:hAnsiTheme="minorHAnsi" w:cstheme="minorHAnsi"/>
          <w:noProof/>
        </w:rPr>
        <w:t>Příloha č. 2: Video přednáška: Zdravé finanční řízení ve vazbě na strategickou práci</w:t>
      </w:r>
      <w:r w:rsidRPr="00734797">
        <w:rPr>
          <w:noProof/>
        </w:rPr>
        <w:tab/>
      </w:r>
      <w:r w:rsidRPr="00734797">
        <w:rPr>
          <w:noProof/>
        </w:rPr>
        <w:fldChar w:fldCharType="begin"/>
      </w:r>
      <w:r w:rsidRPr="00734797">
        <w:rPr>
          <w:noProof/>
        </w:rPr>
        <w:instrText xml:space="preserve"> PAGEREF _Toc117270040 \h </w:instrText>
      </w:r>
      <w:r w:rsidRPr="00734797">
        <w:rPr>
          <w:noProof/>
        </w:rPr>
      </w:r>
      <w:r w:rsidRPr="00734797">
        <w:rPr>
          <w:noProof/>
        </w:rPr>
        <w:fldChar w:fldCharType="separate"/>
      </w:r>
      <w:r w:rsidR="003D4569">
        <w:rPr>
          <w:noProof/>
        </w:rPr>
        <w:t>130</w:t>
      </w:r>
      <w:r w:rsidRPr="00734797">
        <w:rPr>
          <w:noProof/>
        </w:rPr>
        <w:fldChar w:fldCharType="end"/>
      </w:r>
    </w:p>
    <w:p w14:paraId="53E21D2E" w14:textId="61479497" w:rsidR="00734797" w:rsidRPr="00734797" w:rsidRDefault="00734797" w:rsidP="00734797">
      <w:pPr>
        <w:pStyle w:val="Obsah1"/>
        <w:tabs>
          <w:tab w:val="right" w:pos="9062"/>
        </w:tabs>
        <w:spacing w:before="0" w:after="0"/>
        <w:rPr>
          <w:rFonts w:asciiTheme="minorHAnsi" w:eastAsiaTheme="minorEastAsia" w:hAnsiTheme="minorHAnsi" w:cstheme="minorBidi"/>
          <w:b w:val="0"/>
          <w:bCs w:val="0"/>
          <w:noProof/>
          <w:sz w:val="22"/>
          <w:szCs w:val="22"/>
        </w:rPr>
      </w:pPr>
      <w:r w:rsidRPr="00734797">
        <w:rPr>
          <w:rFonts w:cs="Calibri"/>
          <w:caps/>
          <w:noProof/>
        </w:rPr>
        <w:t>Použitá literatura</w:t>
      </w:r>
      <w:r w:rsidRPr="00734797">
        <w:rPr>
          <w:noProof/>
        </w:rPr>
        <w:tab/>
      </w:r>
      <w:r w:rsidRPr="00734797">
        <w:rPr>
          <w:noProof/>
        </w:rPr>
        <w:fldChar w:fldCharType="begin"/>
      </w:r>
      <w:r w:rsidRPr="00734797">
        <w:rPr>
          <w:noProof/>
        </w:rPr>
        <w:instrText xml:space="preserve"> PAGEREF _Toc117270041 \h </w:instrText>
      </w:r>
      <w:r w:rsidRPr="00734797">
        <w:rPr>
          <w:noProof/>
        </w:rPr>
      </w:r>
      <w:r w:rsidRPr="00734797">
        <w:rPr>
          <w:noProof/>
        </w:rPr>
        <w:fldChar w:fldCharType="separate"/>
      </w:r>
      <w:r w:rsidR="003D4569">
        <w:rPr>
          <w:noProof/>
        </w:rPr>
        <w:t>130</w:t>
      </w:r>
      <w:r w:rsidRPr="00734797">
        <w:rPr>
          <w:noProof/>
        </w:rPr>
        <w:fldChar w:fldCharType="end"/>
      </w:r>
    </w:p>
    <w:p w14:paraId="5A1C2FE4" w14:textId="3F861F49" w:rsidR="00167AF3" w:rsidRPr="00772F2D" w:rsidRDefault="00167AF3" w:rsidP="00734797">
      <w:pPr>
        <w:spacing w:line="240" w:lineRule="auto"/>
        <w:rPr>
          <w:rFonts w:ascii="Calibri" w:hAnsi="Calibri"/>
        </w:rPr>
        <w:sectPr w:rsidR="00167AF3" w:rsidRPr="00772F2D" w:rsidSect="007B78D9">
          <w:headerReference w:type="default" r:id="rId11"/>
          <w:footerReference w:type="default" r:id="rId12"/>
          <w:pgSz w:w="11906" w:h="16838"/>
          <w:pgMar w:top="1417" w:right="1417" w:bottom="1417" w:left="1417" w:header="708" w:footer="708" w:gutter="0"/>
          <w:cols w:space="708"/>
          <w:titlePg/>
          <w:docGrid w:linePitch="360"/>
        </w:sectPr>
      </w:pPr>
      <w:r w:rsidRPr="00734797">
        <w:rPr>
          <w:rFonts w:asciiTheme="minorHAnsi" w:hAnsiTheme="minorHAnsi" w:cstheme="minorHAnsi"/>
          <w:b/>
          <w:bCs/>
          <w:sz w:val="28"/>
          <w:szCs w:val="20"/>
        </w:rPr>
        <w:fldChar w:fldCharType="end"/>
      </w:r>
    </w:p>
    <w:p w14:paraId="2C187DE9" w14:textId="77777777" w:rsidR="00EC1596" w:rsidRPr="007C575A" w:rsidRDefault="00EC1596" w:rsidP="00EC1596">
      <w:pPr>
        <w:pStyle w:val="Nadpis1"/>
        <w:numPr>
          <w:ilvl w:val="0"/>
          <w:numId w:val="0"/>
        </w:numPr>
        <w:spacing w:before="240" w:after="120"/>
        <w:ind w:left="432" w:hanging="432"/>
        <w:rPr>
          <w:rFonts w:ascii="Calibri" w:hAnsi="Calibri"/>
          <w:color w:val="7493B0"/>
          <w:sz w:val="32"/>
          <w:lang w:val="cs-CZ"/>
        </w:rPr>
      </w:pPr>
      <w:bookmarkStart w:id="0" w:name="_Toc114912148"/>
      <w:bookmarkStart w:id="1" w:name="_Toc117269976"/>
      <w:r w:rsidRPr="00C04FFE">
        <w:rPr>
          <w:rFonts w:ascii="Calibri" w:hAnsi="Calibri"/>
          <w:color w:val="7493B0"/>
          <w:sz w:val="32"/>
          <w:lang w:val="cs-CZ"/>
        </w:rPr>
        <w:lastRenderedPageBreak/>
        <w:t>Souhrn</w:t>
      </w:r>
      <w:bookmarkEnd w:id="0"/>
      <w:bookmarkEnd w:id="1"/>
    </w:p>
    <w:p w14:paraId="42A30FAA" w14:textId="18B4CAAE" w:rsidR="00EC1596" w:rsidRDefault="00EC1596" w:rsidP="00EC1596">
      <w:pPr>
        <w:jc w:val="both"/>
        <w:rPr>
          <w:rFonts w:asciiTheme="minorHAnsi" w:hAnsiTheme="minorHAnsi" w:cstheme="minorHAnsi"/>
        </w:rPr>
      </w:pPr>
      <w:r>
        <w:rPr>
          <w:rFonts w:ascii="Calibri" w:hAnsi="Calibri" w:cs="Calibri"/>
        </w:rPr>
        <w:t xml:space="preserve">Text se zabývá problematikou zdravého finančního řízení ve vazbě na strategickou práci. </w:t>
      </w:r>
      <w:r>
        <w:rPr>
          <w:rFonts w:asciiTheme="minorHAnsi" w:hAnsiTheme="minorHAnsi" w:cstheme="minorHAnsi"/>
        </w:rPr>
        <w:t>Problematika rozpočtu veřejné strategie není v zákoně o rozpočtových pravidlech a navazujících předpisech řešena. V samotných strategiích se obvykle nazývá jako „financování“, „finanční zdroje“ a podobně, ale v podmínkách ČR v řadě strategií ne</w:t>
      </w:r>
      <w:r w:rsidR="00A075A0">
        <w:rPr>
          <w:rFonts w:asciiTheme="minorHAnsi" w:hAnsiTheme="minorHAnsi" w:cstheme="minorHAnsi"/>
        </w:rPr>
        <w:t>jsou financování, ani finanční zdroje v dostatečné míře konkretizovány</w:t>
      </w:r>
      <w:r>
        <w:rPr>
          <w:rFonts w:asciiTheme="minorHAnsi" w:hAnsiTheme="minorHAnsi" w:cstheme="minorHAnsi"/>
        </w:rPr>
        <w:t>. To platí zejména pro vládní strategie, u samospráv je situace z tohoto hlediska lepší. Je třeba brát v úvahu, že rozpočet strategie musí být součástí rozpočtu instituce, která strategii zpracovala. Problémem je, že stát a jeho organizace připravují rozpočet na následující rok plus dva další roky. Samosprávy připravují rozpočet na následující rok s využitím svého rozpočtového výhledu, který se sestavuje na 2 až 5 let. Z tohoto hlediska je problémem časový faktor – veřejné strategie se obvykle schvalují na delší období, než je sestavován rozpočet nebo rozpočtový výhled. Pro strategickou práci je významné též finanční řízení klíčových projektů.</w:t>
      </w:r>
    </w:p>
    <w:p w14:paraId="049CB332" w14:textId="77777777" w:rsidR="00EC1596" w:rsidRDefault="00EC1596" w:rsidP="00EC1596">
      <w:pPr>
        <w:jc w:val="both"/>
        <w:rPr>
          <w:rFonts w:asciiTheme="minorHAnsi" w:hAnsiTheme="minorHAnsi" w:cstheme="minorHAnsi"/>
        </w:rPr>
      </w:pPr>
    </w:p>
    <w:p w14:paraId="0A932EC1" w14:textId="134BDDE9" w:rsidR="00EC1596" w:rsidRDefault="00EC1596" w:rsidP="00EC1596">
      <w:pPr>
        <w:jc w:val="both"/>
        <w:rPr>
          <w:rFonts w:ascii="Calibri" w:hAnsi="Calibri" w:cs="Calibri"/>
        </w:rPr>
      </w:pPr>
      <w:r>
        <w:rPr>
          <w:rFonts w:asciiTheme="minorHAnsi" w:hAnsiTheme="minorHAnsi" w:cstheme="minorHAnsi"/>
        </w:rPr>
        <w:t xml:space="preserve">V kapitole 2 jsou uvedeny výsledky analýzy propojení strategických dokumentů s finančními zdroji. Kapitola 3 řeší strategickou práci ve vazbě na zákon o rozpočtové odpovědnosti a zákon o finanční kontrole (zejména problematika řízení rizik a 3E). Kapitola 4 je úvodem do rozpočtování a finančního řízení. Kapitola 5 až 8 popisuje čtyři fáze rozpočtového procesu – analýzy a přípravu rozpočtu (kapitola 5), projednávání a schvalování (kapitola 6), hospodaření dle schváleného rozpočtu (kapitola 7) a zpracování závěrečného účtu (kapitola 8). V kapitole 9 jsou uvedeny zásady zdravého finančního řízení. </w:t>
      </w:r>
      <w:r w:rsidR="00A075A0">
        <w:rPr>
          <w:rFonts w:asciiTheme="minorHAnsi" w:hAnsiTheme="minorHAnsi" w:cstheme="minorHAnsi"/>
        </w:rPr>
        <w:t>D</w:t>
      </w:r>
      <w:r>
        <w:rPr>
          <w:rFonts w:asciiTheme="minorHAnsi" w:hAnsiTheme="minorHAnsi" w:cstheme="minorHAnsi"/>
        </w:rPr>
        <w:t>ůležit</w:t>
      </w:r>
      <w:r w:rsidR="00A075A0">
        <w:rPr>
          <w:rFonts w:asciiTheme="minorHAnsi" w:hAnsiTheme="minorHAnsi" w:cstheme="minorHAnsi"/>
        </w:rPr>
        <w:t>ou</w:t>
      </w:r>
      <w:r>
        <w:rPr>
          <w:rFonts w:asciiTheme="minorHAnsi" w:hAnsiTheme="minorHAnsi" w:cstheme="minorHAnsi"/>
        </w:rPr>
        <w:t xml:space="preserve"> kapitolou jsou příklady a případové studie, které jsou v kapitole 10. V kapitole 11 jsou uvedena doporučení a omezení. Poslední kapitola je závěr. K textu je též zpracovaná video přednáška, která shrnuje nejdůležitější poznatky.</w:t>
      </w:r>
    </w:p>
    <w:p w14:paraId="4B754E52" w14:textId="77777777" w:rsidR="00EC1596" w:rsidRDefault="00EC1596" w:rsidP="00EC1596">
      <w:pPr>
        <w:jc w:val="both"/>
        <w:rPr>
          <w:rFonts w:ascii="Calibri" w:hAnsi="Calibri" w:cs="Calibri"/>
        </w:rPr>
      </w:pPr>
    </w:p>
    <w:p w14:paraId="3B201C0A" w14:textId="77777777" w:rsidR="00EC1596" w:rsidRDefault="00EC1596" w:rsidP="00EC1596">
      <w:pPr>
        <w:spacing w:after="160" w:line="259" w:lineRule="auto"/>
        <w:rPr>
          <w:rFonts w:ascii="Calibri" w:hAnsi="Calibri"/>
          <w:b/>
          <w:bCs/>
          <w:color w:val="7493B0"/>
          <w:sz w:val="32"/>
          <w:szCs w:val="28"/>
        </w:rPr>
      </w:pPr>
    </w:p>
    <w:p w14:paraId="59E07BE1" w14:textId="77777777" w:rsidR="00EC1596" w:rsidRDefault="00EC1596" w:rsidP="00EC1596">
      <w:pPr>
        <w:spacing w:after="160" w:line="259" w:lineRule="auto"/>
        <w:rPr>
          <w:rFonts w:ascii="Calibri" w:hAnsi="Calibri"/>
          <w:b/>
          <w:bCs/>
          <w:color w:val="7493B0"/>
          <w:sz w:val="32"/>
          <w:szCs w:val="28"/>
        </w:rPr>
      </w:pPr>
      <w:r>
        <w:rPr>
          <w:rFonts w:ascii="Calibri" w:hAnsi="Calibri"/>
          <w:color w:val="7493B0"/>
          <w:sz w:val="32"/>
        </w:rPr>
        <w:br w:type="page"/>
      </w:r>
    </w:p>
    <w:p w14:paraId="13FD5530" w14:textId="77777777" w:rsidR="00EC1596" w:rsidRPr="00313DF2" w:rsidRDefault="00EC1596" w:rsidP="00EC1596">
      <w:pPr>
        <w:pStyle w:val="Nadpis1"/>
        <w:numPr>
          <w:ilvl w:val="0"/>
          <w:numId w:val="0"/>
        </w:numPr>
        <w:spacing w:before="240" w:after="120"/>
        <w:ind w:left="432" w:hanging="432"/>
        <w:rPr>
          <w:rFonts w:ascii="Calibri" w:hAnsi="Calibri"/>
          <w:color w:val="7493B0"/>
          <w:sz w:val="32"/>
          <w:lang w:val="cs-CZ"/>
        </w:rPr>
      </w:pPr>
      <w:bookmarkStart w:id="2" w:name="_Toc114912149"/>
      <w:bookmarkStart w:id="3" w:name="_Toc117269977"/>
      <w:r w:rsidRPr="00C04FFE">
        <w:rPr>
          <w:rFonts w:ascii="Calibri" w:hAnsi="Calibri"/>
          <w:color w:val="7493B0"/>
          <w:sz w:val="32"/>
          <w:lang w:val="cs-CZ"/>
        </w:rPr>
        <w:lastRenderedPageBreak/>
        <w:t>Summary</w:t>
      </w:r>
      <w:bookmarkEnd w:id="2"/>
      <w:bookmarkEnd w:id="3"/>
    </w:p>
    <w:p w14:paraId="2FB713D6" w14:textId="77777777" w:rsidR="00EE4AE7" w:rsidRPr="00114EF0" w:rsidRDefault="00EE4AE7" w:rsidP="00EE4AE7">
      <w:pPr>
        <w:tabs>
          <w:tab w:val="left" w:pos="4014"/>
        </w:tabs>
        <w:jc w:val="both"/>
        <w:rPr>
          <w:rFonts w:asciiTheme="minorHAnsi" w:hAnsiTheme="minorHAnsi" w:cstheme="minorHAnsi"/>
          <w:lang w:val="en-US"/>
        </w:rPr>
      </w:pPr>
      <w:r w:rsidRPr="00114EF0">
        <w:rPr>
          <w:rFonts w:asciiTheme="minorHAnsi" w:hAnsiTheme="minorHAnsi" w:cstheme="minorHAnsi"/>
          <w:lang w:val="en-US"/>
        </w:rPr>
        <w:t>The text deals with the issue of sound financial management in relation to strategic work. Both the Act on Budgetary Rules and Related Regulations do not address the public strategy budget. The strategies are usually called "financing", "financial resources", and the like. Still, in the conditions of the Czech Republic, funding and financial resources are not sufficiently specified in several strategies. This is especially true for government strategies, as the situation is better for municipalities from this point of view. It should be considered that the strategy budget must be part of the budget of the institution that developed the strategy. The problem is that the state and its organizations are preparing the budget for the following year plus two more years. Municipalities prepare the budget for the following year using their budget outlook, which is drawn up for 2 to 5 years. From this point of view, the problem is the time factor – public strategies are usually approved for a longer period than the budget or budget outlook is drawn up. Financial management of key projects is also important for strategic work.</w:t>
      </w:r>
    </w:p>
    <w:p w14:paraId="1D80C612" w14:textId="77777777" w:rsidR="00EE4AE7" w:rsidRDefault="00EE4AE7" w:rsidP="00EE4AE7">
      <w:pPr>
        <w:tabs>
          <w:tab w:val="left" w:pos="4014"/>
        </w:tabs>
        <w:jc w:val="both"/>
        <w:rPr>
          <w:rFonts w:asciiTheme="minorHAnsi" w:hAnsiTheme="minorHAnsi" w:cstheme="minorHAnsi"/>
          <w:lang w:val="en-US"/>
        </w:rPr>
      </w:pPr>
    </w:p>
    <w:p w14:paraId="703B6565" w14:textId="77777777" w:rsidR="00EE4AE7" w:rsidRPr="00114EF0" w:rsidRDefault="00EE4AE7" w:rsidP="00EE4AE7">
      <w:pPr>
        <w:tabs>
          <w:tab w:val="left" w:pos="4014"/>
        </w:tabs>
        <w:jc w:val="both"/>
        <w:rPr>
          <w:rFonts w:asciiTheme="minorHAnsi" w:hAnsiTheme="minorHAnsi" w:cstheme="minorHAnsi"/>
          <w:lang w:val="en-US"/>
        </w:rPr>
      </w:pPr>
      <w:r w:rsidRPr="00114EF0">
        <w:rPr>
          <w:rFonts w:asciiTheme="minorHAnsi" w:hAnsiTheme="minorHAnsi" w:cstheme="minorHAnsi"/>
          <w:lang w:val="en-US"/>
        </w:rPr>
        <w:t>Chapter 2 presents the results of the analysis of the connection of strategic documents with financial resources. Chapter 3 deals with strategic work in relation to the Act on Budgetary Responsibility and the Act on Financial Control (especially risk management and 3E issues). Chapter 4 is an introduction to budgeting and financial management. Chapters 5 to 8 describe the four phases of the budget process – analysis and preparation of the budget (chapter 5), discussion and approval (chapter 6), management according to the approved budget (chapter 7) and processing of the final account (chapter 8). Chapter 9 presents the principles of sound financial management. An important chapter is the examples and case studies that are in Chapter 10. In Chapter 11, recommendations and limitations are presented. The last chapter is the conclusion. A video lecture that summarizes the most important findings accompanies the text.</w:t>
      </w:r>
    </w:p>
    <w:p w14:paraId="31ADD11F" w14:textId="77777777" w:rsidR="00EE4AE7" w:rsidRPr="00313DF2" w:rsidRDefault="00EE4AE7" w:rsidP="00EE4AE7"/>
    <w:p w14:paraId="08694503" w14:textId="77777777" w:rsidR="00EC1596" w:rsidRPr="00313DF2" w:rsidRDefault="00EC1596" w:rsidP="00EC1596"/>
    <w:p w14:paraId="303C1B4C" w14:textId="49894640" w:rsidR="00167AF3" w:rsidRPr="00DC7F02" w:rsidRDefault="00EC1596" w:rsidP="00EC1596">
      <w:pPr>
        <w:pStyle w:val="Nadpis1"/>
        <w:spacing w:before="240" w:after="120"/>
        <w:ind w:left="431" w:hanging="431"/>
        <w:rPr>
          <w:rFonts w:ascii="Calibri" w:hAnsi="Calibri"/>
          <w:color w:val="7493B0"/>
          <w:sz w:val="32"/>
          <w:lang w:val="cs-CZ"/>
        </w:rPr>
      </w:pPr>
      <w:r>
        <w:rPr>
          <w:rFonts w:ascii="Calibri" w:hAnsi="Calibri"/>
          <w:color w:val="7493B0"/>
          <w:sz w:val="32"/>
        </w:rPr>
        <w:br w:type="page"/>
      </w:r>
      <w:bookmarkStart w:id="4" w:name="_Toc117269978"/>
      <w:r w:rsidR="001A0326" w:rsidRPr="00DC7F02">
        <w:rPr>
          <w:rFonts w:ascii="Calibri" w:hAnsi="Calibri"/>
          <w:color w:val="7493B0"/>
          <w:sz w:val="32"/>
          <w:lang w:val="cs-CZ"/>
        </w:rPr>
        <w:lastRenderedPageBreak/>
        <w:t>Úvod</w:t>
      </w:r>
      <w:bookmarkEnd w:id="4"/>
      <w:r w:rsidR="000A4999" w:rsidRPr="00DC7F02">
        <w:rPr>
          <w:rFonts w:ascii="Calibri" w:hAnsi="Calibri"/>
          <w:color w:val="7493B0"/>
          <w:sz w:val="32"/>
          <w:lang w:val="cs-CZ"/>
        </w:rPr>
        <w:t xml:space="preserve"> </w:t>
      </w:r>
    </w:p>
    <w:p w14:paraId="16A48A08" w14:textId="3F06E4DD" w:rsidR="00E50109" w:rsidRPr="009F1F6A" w:rsidRDefault="00CF5C76" w:rsidP="00E50109">
      <w:pPr>
        <w:spacing w:after="120"/>
        <w:jc w:val="both"/>
        <w:rPr>
          <w:rFonts w:ascii="Calibri" w:hAnsi="Calibri"/>
          <w:szCs w:val="22"/>
        </w:rPr>
      </w:pPr>
      <w:r>
        <w:rPr>
          <w:rFonts w:ascii="Calibri" w:hAnsi="Calibri"/>
          <w:szCs w:val="22"/>
        </w:rPr>
        <w:t>V zemích EU se c</w:t>
      </w:r>
      <w:r w:rsidRPr="00454DA6">
        <w:rPr>
          <w:rFonts w:ascii="Calibri" w:hAnsi="Calibri"/>
          <w:szCs w:val="22"/>
        </w:rPr>
        <w:t xml:space="preserve">elkové </w:t>
      </w:r>
      <w:r w:rsidRPr="00812745">
        <w:rPr>
          <w:rFonts w:ascii="Calibri" w:hAnsi="Calibri"/>
          <w:szCs w:val="22"/>
        </w:rPr>
        <w:t>vládní výdaje každoročně pohybují přibližně ve výši 50 % hrubého domácího produktu (dále jen HDP)</w:t>
      </w:r>
      <w:r>
        <w:rPr>
          <w:rFonts w:ascii="Calibri" w:hAnsi="Calibri"/>
          <w:szCs w:val="22"/>
        </w:rPr>
        <w:t>. Z těchto prostředků se v EU</w:t>
      </w:r>
      <w:r w:rsidRPr="009E5A57">
        <w:rPr>
          <w:rFonts w:ascii="Calibri" w:hAnsi="Calibri"/>
          <w:szCs w:val="22"/>
        </w:rPr>
        <w:t xml:space="preserve"> každoročně vynaloží přibližně 14 % HDP na veřejné zakázky.</w:t>
      </w:r>
      <w:r>
        <w:rPr>
          <w:rFonts w:ascii="Calibri" w:hAnsi="Calibri"/>
          <w:szCs w:val="22"/>
        </w:rPr>
        <w:t xml:space="preserve"> </w:t>
      </w:r>
      <w:r w:rsidRPr="00C65B6C">
        <w:rPr>
          <w:rFonts w:ascii="Calibri" w:hAnsi="Calibri"/>
          <w:szCs w:val="22"/>
        </w:rPr>
        <w:t>V </w:t>
      </w:r>
      <w:r>
        <w:rPr>
          <w:rFonts w:ascii="Calibri" w:hAnsi="Calibri"/>
          <w:szCs w:val="22"/>
        </w:rPr>
        <w:t>ČR</w:t>
      </w:r>
      <w:r w:rsidRPr="00C65B6C">
        <w:rPr>
          <w:rFonts w:ascii="Calibri" w:hAnsi="Calibri"/>
          <w:szCs w:val="22"/>
        </w:rPr>
        <w:t xml:space="preserve"> </w:t>
      </w:r>
      <w:r>
        <w:rPr>
          <w:rFonts w:ascii="Calibri" w:hAnsi="Calibri"/>
          <w:szCs w:val="22"/>
        </w:rPr>
        <w:t xml:space="preserve">jsou </w:t>
      </w:r>
      <w:r w:rsidRPr="00C65B6C">
        <w:rPr>
          <w:rFonts w:ascii="Calibri" w:hAnsi="Calibri"/>
          <w:szCs w:val="22"/>
        </w:rPr>
        <w:t xml:space="preserve">celkové vládní výdaje </w:t>
      </w:r>
      <w:r>
        <w:rPr>
          <w:rFonts w:ascii="Calibri" w:hAnsi="Calibri"/>
          <w:szCs w:val="22"/>
        </w:rPr>
        <w:t>cca 45</w:t>
      </w:r>
      <w:r w:rsidRPr="00C65B6C">
        <w:rPr>
          <w:rFonts w:ascii="Calibri" w:hAnsi="Calibri"/>
          <w:szCs w:val="22"/>
        </w:rPr>
        <w:t xml:space="preserve"> % HDP. </w:t>
      </w:r>
      <w:r w:rsidR="00812745">
        <w:rPr>
          <w:rFonts w:ascii="Calibri" w:hAnsi="Calibri"/>
          <w:szCs w:val="22"/>
        </w:rPr>
        <w:t xml:space="preserve">Zdroje </w:t>
      </w:r>
      <w:r w:rsidR="00812745">
        <w:rPr>
          <w:rFonts w:asciiTheme="minorHAnsi" w:hAnsiTheme="minorHAnsi" w:cstheme="minorHAnsi"/>
        </w:rPr>
        <w:t xml:space="preserve">potřebné k naplňování </w:t>
      </w:r>
      <w:r w:rsidR="005F1674">
        <w:rPr>
          <w:rFonts w:asciiTheme="minorHAnsi" w:hAnsiTheme="minorHAnsi" w:cstheme="minorHAnsi"/>
        </w:rPr>
        <w:t xml:space="preserve">společenské potřeby, </w:t>
      </w:r>
      <w:r w:rsidR="00812745">
        <w:rPr>
          <w:rFonts w:asciiTheme="minorHAnsi" w:hAnsiTheme="minorHAnsi" w:cstheme="minorHAnsi"/>
        </w:rPr>
        <w:t xml:space="preserve">poslání a </w:t>
      </w:r>
      <w:r w:rsidR="00812745" w:rsidRPr="00B96C0F">
        <w:rPr>
          <w:rFonts w:asciiTheme="minorHAnsi" w:hAnsiTheme="minorHAnsi" w:cstheme="minorHAnsi"/>
        </w:rPr>
        <w:t xml:space="preserve">cílů </w:t>
      </w:r>
      <w:r w:rsidR="00812745">
        <w:rPr>
          <w:rFonts w:ascii="Calibri" w:hAnsi="Calibri"/>
          <w:szCs w:val="22"/>
        </w:rPr>
        <w:t>je nezbytné v souladu se zákonem o finan</w:t>
      </w:r>
      <w:r w:rsidR="005516E7">
        <w:rPr>
          <w:rFonts w:ascii="Calibri" w:hAnsi="Calibri"/>
          <w:szCs w:val="22"/>
        </w:rPr>
        <w:t>čn</w:t>
      </w:r>
      <w:r w:rsidR="00812745">
        <w:rPr>
          <w:rFonts w:ascii="Calibri" w:hAnsi="Calibri"/>
          <w:szCs w:val="22"/>
        </w:rPr>
        <w:t>í kontrole a zákonem o pravidlech rozpočtové odpovědnosti v</w:t>
      </w:r>
      <w:r w:rsidRPr="00B96C0F">
        <w:rPr>
          <w:rFonts w:asciiTheme="minorHAnsi" w:hAnsiTheme="minorHAnsi" w:cstheme="minorHAnsi"/>
        </w:rPr>
        <w:t>ynakládat hospodárně, efektivně a účelně (</w:t>
      </w:r>
      <w:r w:rsidR="00812745">
        <w:rPr>
          <w:rFonts w:asciiTheme="minorHAnsi" w:hAnsiTheme="minorHAnsi" w:cstheme="minorHAnsi"/>
        </w:rPr>
        <w:t>jde o ekonomicky racionální alokaci</w:t>
      </w:r>
      <w:r w:rsidRPr="00B96C0F">
        <w:rPr>
          <w:rFonts w:asciiTheme="minorHAnsi" w:hAnsiTheme="minorHAnsi" w:cstheme="minorHAnsi"/>
        </w:rPr>
        <w:t xml:space="preserve"> zdrojů). </w:t>
      </w:r>
      <w:r w:rsidR="0013328E" w:rsidRPr="001A3A71">
        <w:rPr>
          <w:rFonts w:asciiTheme="minorHAnsi" w:hAnsiTheme="minorHAnsi" w:cstheme="minorHAnsi"/>
          <w:b/>
        </w:rPr>
        <w:t xml:space="preserve">Výdaje státního rozpočtu můžeme rozdělit na (a) mandatorní (povinné) výdaje, (b) quasi-mandatorní výdaje, (c) ostatní (nemandatorní, nepovinné) výdaje. </w:t>
      </w:r>
      <w:r w:rsidR="0013328E">
        <w:rPr>
          <w:rFonts w:asciiTheme="minorHAnsi" w:hAnsiTheme="minorHAnsi" w:cstheme="minorHAnsi"/>
        </w:rPr>
        <w:t xml:space="preserve">Rozdělení uvádí následující obrázek. </w:t>
      </w:r>
      <w:r w:rsidR="00812745">
        <w:rPr>
          <w:rFonts w:asciiTheme="minorHAnsi" w:hAnsiTheme="minorHAnsi" w:cstheme="minorHAnsi"/>
        </w:rPr>
        <w:t>Velká část výdajů v ČR m</w:t>
      </w:r>
      <w:r w:rsidR="005516E7">
        <w:rPr>
          <w:rFonts w:asciiTheme="minorHAnsi" w:hAnsiTheme="minorHAnsi" w:cstheme="minorHAnsi"/>
        </w:rPr>
        <w:t>á</w:t>
      </w:r>
      <w:r w:rsidR="00812745">
        <w:rPr>
          <w:rFonts w:asciiTheme="minorHAnsi" w:hAnsiTheme="minorHAnsi" w:cstheme="minorHAnsi"/>
        </w:rPr>
        <w:t xml:space="preserve"> charakter mandatorních</w:t>
      </w:r>
      <w:r w:rsidR="00562EB4">
        <w:rPr>
          <w:rFonts w:asciiTheme="minorHAnsi" w:hAnsiTheme="minorHAnsi" w:cstheme="minorHAnsi"/>
        </w:rPr>
        <w:t xml:space="preserve"> výdajů – jsou povinné ze zákona</w:t>
      </w:r>
      <w:r w:rsidR="00812745">
        <w:rPr>
          <w:rFonts w:asciiTheme="minorHAnsi" w:hAnsiTheme="minorHAnsi" w:cstheme="minorHAnsi"/>
        </w:rPr>
        <w:t>. J</w:t>
      </w:r>
      <w:r w:rsidR="00812745" w:rsidRPr="00812745">
        <w:rPr>
          <w:rFonts w:ascii="Calibri" w:hAnsi="Calibri"/>
          <w:szCs w:val="22"/>
        </w:rPr>
        <w:t>de o povinné prostředky, které musí být ze strany vlády (</w:t>
      </w:r>
      <w:r w:rsidR="00812745">
        <w:rPr>
          <w:rFonts w:ascii="Calibri" w:hAnsi="Calibri"/>
          <w:szCs w:val="22"/>
        </w:rPr>
        <w:t xml:space="preserve">případně </w:t>
      </w:r>
      <w:r w:rsidR="00812745" w:rsidRPr="00812745">
        <w:rPr>
          <w:rFonts w:ascii="Calibri" w:hAnsi="Calibri"/>
          <w:szCs w:val="22"/>
        </w:rPr>
        <w:t>samosprávy) vynaloženy ze zákona či jiných závazků. Mandatorní výdaje snižují prostor vlády (a obdobn</w:t>
      </w:r>
      <w:r w:rsidR="008D0D87">
        <w:rPr>
          <w:rFonts w:ascii="Calibri" w:hAnsi="Calibri"/>
          <w:szCs w:val="22"/>
        </w:rPr>
        <w:t xml:space="preserve">ě též krajů a obcí) pro rozvoj, </w:t>
      </w:r>
      <w:r w:rsidR="00812745" w:rsidRPr="00812745">
        <w:rPr>
          <w:rFonts w:ascii="Calibri" w:hAnsi="Calibri"/>
          <w:szCs w:val="22"/>
        </w:rPr>
        <w:t xml:space="preserve">například </w:t>
      </w:r>
      <w:r w:rsidR="00812745">
        <w:rPr>
          <w:rFonts w:ascii="Calibri" w:hAnsi="Calibri"/>
          <w:szCs w:val="22"/>
        </w:rPr>
        <w:t xml:space="preserve">pro </w:t>
      </w:r>
      <w:r w:rsidR="00812745" w:rsidRPr="00812745">
        <w:rPr>
          <w:rFonts w:ascii="Calibri" w:hAnsi="Calibri"/>
          <w:szCs w:val="22"/>
        </w:rPr>
        <w:t xml:space="preserve">investice. </w:t>
      </w:r>
      <w:r w:rsidR="009F1F6A" w:rsidRPr="009F1F6A">
        <w:rPr>
          <w:rFonts w:ascii="Calibri" w:hAnsi="Calibri"/>
          <w:b/>
          <w:szCs w:val="22"/>
        </w:rPr>
        <w:t>V souvislosti s tématem strategické práce je potřeba uvést, že k</w:t>
      </w:r>
      <w:r w:rsidR="00E50109" w:rsidRPr="009F1F6A">
        <w:rPr>
          <w:rFonts w:asciiTheme="minorHAnsi" w:hAnsiTheme="minorHAnsi" w:cstheme="minorHAnsi"/>
          <w:b/>
          <w:bCs/>
        </w:rPr>
        <w:t>aždá veřejná strategie by měla mít vyčleněné finanční prostředky ke své realizaci</w:t>
      </w:r>
      <w:r w:rsidR="00E50109">
        <w:rPr>
          <w:rFonts w:asciiTheme="minorHAnsi" w:hAnsiTheme="minorHAnsi" w:cstheme="minorHAnsi"/>
          <w:bCs/>
        </w:rPr>
        <w:t xml:space="preserve">. Žel v podmínkách ČR většina veřejných strategií na úrovni státu finanční zdroje </w:t>
      </w:r>
      <w:r w:rsidR="009F1F6A">
        <w:rPr>
          <w:rFonts w:asciiTheme="minorHAnsi" w:hAnsiTheme="minorHAnsi" w:cstheme="minorHAnsi"/>
          <w:bCs/>
        </w:rPr>
        <w:t xml:space="preserve">sice </w:t>
      </w:r>
      <w:r w:rsidR="00E50109">
        <w:rPr>
          <w:rFonts w:asciiTheme="minorHAnsi" w:hAnsiTheme="minorHAnsi" w:cstheme="minorHAnsi"/>
          <w:bCs/>
        </w:rPr>
        <w:t>řeší</w:t>
      </w:r>
      <w:r w:rsidR="006A3505">
        <w:rPr>
          <w:rFonts w:asciiTheme="minorHAnsi" w:hAnsiTheme="minorHAnsi" w:cstheme="minorHAnsi"/>
          <w:bCs/>
        </w:rPr>
        <w:t xml:space="preserve">, ale bez uvedení konkrétních </w:t>
      </w:r>
      <w:r w:rsidR="00B13D07">
        <w:rPr>
          <w:rFonts w:asciiTheme="minorHAnsi" w:hAnsiTheme="minorHAnsi" w:cstheme="minorHAnsi"/>
          <w:bCs/>
        </w:rPr>
        <w:t>finančních prostředků</w:t>
      </w:r>
      <w:r w:rsidR="00E50109">
        <w:rPr>
          <w:rFonts w:asciiTheme="minorHAnsi" w:hAnsiTheme="minorHAnsi" w:cstheme="minorHAnsi"/>
          <w:bCs/>
        </w:rPr>
        <w:t xml:space="preserve">. Mnohem lepší je z tohoto hlediska situace na úrovni samospráv, zde obvykle </w:t>
      </w:r>
      <w:r w:rsidR="009F1F6A">
        <w:rPr>
          <w:rFonts w:asciiTheme="minorHAnsi" w:hAnsiTheme="minorHAnsi" w:cstheme="minorHAnsi"/>
          <w:bCs/>
        </w:rPr>
        <w:t>prostředky</w:t>
      </w:r>
      <w:r w:rsidR="00E50109">
        <w:rPr>
          <w:rFonts w:asciiTheme="minorHAnsi" w:hAnsiTheme="minorHAnsi" w:cstheme="minorHAnsi"/>
          <w:bCs/>
        </w:rPr>
        <w:t xml:space="preserve"> řešeny jsou</w:t>
      </w:r>
      <w:r w:rsidR="00B13D07">
        <w:rPr>
          <w:rFonts w:asciiTheme="minorHAnsi" w:hAnsiTheme="minorHAnsi" w:cstheme="minorHAnsi"/>
          <w:bCs/>
        </w:rPr>
        <w:t>, a to často včetně finančních částek</w:t>
      </w:r>
      <w:r w:rsidR="00E50109">
        <w:rPr>
          <w:rFonts w:asciiTheme="minorHAnsi" w:hAnsiTheme="minorHAnsi" w:cstheme="minorHAnsi"/>
          <w:bCs/>
        </w:rPr>
        <w:t xml:space="preserve">. </w:t>
      </w:r>
    </w:p>
    <w:p w14:paraId="2791AC1C" w14:textId="4AD05D24" w:rsidR="00837E60" w:rsidRDefault="002B237F" w:rsidP="00837E60">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mc:AlternateContent>
          <mc:Choice Requires="wpg">
            <w:drawing>
              <wp:anchor distT="0" distB="0" distL="114300" distR="114300" simplePos="0" relativeHeight="251534848" behindDoc="0" locked="0" layoutInCell="1" allowOverlap="1" wp14:anchorId="63629D31" wp14:editId="6E76F753">
                <wp:simplePos x="0" y="0"/>
                <wp:positionH relativeFrom="column">
                  <wp:posOffset>76200</wp:posOffset>
                </wp:positionH>
                <wp:positionV relativeFrom="paragraph">
                  <wp:posOffset>217805</wp:posOffset>
                </wp:positionV>
                <wp:extent cx="5729605" cy="3119844"/>
                <wp:effectExtent l="0" t="0" r="23495" b="23495"/>
                <wp:wrapNone/>
                <wp:docPr id="23976" name="Skupina 23976"/>
                <wp:cNvGraphicFramePr/>
                <a:graphic xmlns:a="http://schemas.openxmlformats.org/drawingml/2006/main">
                  <a:graphicData uri="http://schemas.microsoft.com/office/word/2010/wordprocessingGroup">
                    <wpg:wgp>
                      <wpg:cNvGrpSpPr/>
                      <wpg:grpSpPr>
                        <a:xfrm>
                          <a:off x="0" y="0"/>
                          <a:ext cx="5729605" cy="3119844"/>
                          <a:chOff x="53340" y="80304"/>
                          <a:chExt cx="5729930" cy="3119845"/>
                        </a:xfrm>
                      </wpg:grpSpPr>
                      <wps:wsp>
                        <wps:cNvPr id="23975" name="Textové pole 2"/>
                        <wps:cNvSpPr txBox="1">
                          <a:spLocks noChangeArrowheads="1"/>
                        </wps:cNvSpPr>
                        <wps:spPr bwMode="auto">
                          <a:xfrm>
                            <a:off x="1594360" y="2391977"/>
                            <a:ext cx="4188493" cy="808172"/>
                          </a:xfrm>
                          <a:prstGeom prst="rect">
                            <a:avLst/>
                          </a:prstGeom>
                          <a:solidFill>
                            <a:schemeClr val="bg1"/>
                          </a:solidFill>
                          <a:ln w="3175">
                            <a:solidFill>
                              <a:srgbClr val="0070C0"/>
                            </a:solidFill>
                            <a:prstDash val="solid"/>
                            <a:miter lim="800000"/>
                            <a:headEnd/>
                            <a:tailEnd/>
                          </a:ln>
                        </wps:spPr>
                        <wps:txbx>
                          <w:txbxContent>
                            <w:p w14:paraId="58EC440E" w14:textId="192452CD" w:rsidR="00511D9B" w:rsidRDefault="00511D9B" w:rsidP="009470A9">
                              <w:pPr>
                                <w:spacing w:line="180" w:lineRule="auto"/>
                                <w:rPr>
                                  <w:rFonts w:asciiTheme="minorHAnsi" w:hAnsiTheme="minorHAnsi" w:cstheme="minorHAnsi"/>
                                  <w:b/>
                                  <w:sz w:val="22"/>
                                  <w:szCs w:val="20"/>
                                </w:rPr>
                              </w:pPr>
                              <w:r>
                                <w:rPr>
                                  <w:rFonts w:asciiTheme="minorHAnsi" w:hAnsiTheme="minorHAnsi" w:cstheme="minorHAnsi"/>
                                  <w:b/>
                                  <w:sz w:val="22"/>
                                  <w:szCs w:val="20"/>
                                </w:rPr>
                                <w:t>Nem</w:t>
                              </w:r>
                              <w:r w:rsidRPr="00E20C04">
                                <w:rPr>
                                  <w:rFonts w:asciiTheme="minorHAnsi" w:hAnsiTheme="minorHAnsi" w:cstheme="minorHAnsi"/>
                                  <w:b/>
                                  <w:sz w:val="22"/>
                                  <w:szCs w:val="20"/>
                                </w:rPr>
                                <w:t>andatorní výdaje</w:t>
                              </w:r>
                              <w:r>
                                <w:rPr>
                                  <w:rFonts w:asciiTheme="minorHAnsi" w:hAnsiTheme="minorHAnsi" w:cstheme="minorHAnsi"/>
                                  <w:b/>
                                  <w:sz w:val="22"/>
                                  <w:szCs w:val="20"/>
                                </w:rPr>
                                <w:t xml:space="preserve"> (cca 25% výdajů)</w:t>
                              </w:r>
                              <w:r w:rsidRPr="00E20C04">
                                <w:rPr>
                                  <w:rFonts w:asciiTheme="minorHAnsi" w:hAnsiTheme="minorHAnsi" w:cstheme="minorHAnsi"/>
                                  <w:b/>
                                  <w:sz w:val="22"/>
                                  <w:szCs w:val="20"/>
                                </w:rPr>
                                <w:t xml:space="preserve">: </w:t>
                              </w:r>
                            </w:p>
                            <w:p w14:paraId="607CAAC7" w14:textId="4946051D" w:rsidR="00511D9B" w:rsidRDefault="00511D9B" w:rsidP="001F38A5">
                              <w:pPr>
                                <w:spacing w:line="180" w:lineRule="auto"/>
                                <w:rPr>
                                  <w:rFonts w:asciiTheme="minorHAnsi" w:hAnsiTheme="minorHAnsi" w:cstheme="minorHAnsi"/>
                                  <w:sz w:val="20"/>
                                  <w:szCs w:val="20"/>
                                </w:rPr>
                              </w:pPr>
                              <w:r>
                                <w:rPr>
                                  <w:rFonts w:asciiTheme="minorHAnsi" w:hAnsiTheme="minorHAnsi" w:cstheme="minorHAnsi"/>
                                  <w:sz w:val="20"/>
                                  <w:szCs w:val="20"/>
                                </w:rPr>
                                <w:t xml:space="preserve">Jde o ostatní výdaje - </w:t>
                              </w:r>
                              <w:r w:rsidRPr="00566507">
                                <w:rPr>
                                  <w:rFonts w:asciiTheme="minorHAnsi" w:hAnsiTheme="minorHAnsi" w:cstheme="minorHAnsi"/>
                                  <w:sz w:val="20"/>
                                  <w:szCs w:val="20"/>
                                </w:rPr>
                                <w:t xml:space="preserve">umožňují vládě reagovat na hospodářský vývoj a směřovat jimi rozvoj </w:t>
                              </w:r>
                              <w:r>
                                <w:rPr>
                                  <w:rFonts w:asciiTheme="minorHAnsi" w:hAnsiTheme="minorHAnsi" w:cstheme="minorHAnsi"/>
                                  <w:sz w:val="20"/>
                                  <w:szCs w:val="20"/>
                                </w:rPr>
                                <w:t xml:space="preserve">do budoucna </w:t>
                              </w:r>
                              <w:r w:rsidRPr="00566507">
                                <w:rPr>
                                  <w:rFonts w:asciiTheme="minorHAnsi" w:hAnsiTheme="minorHAnsi" w:cstheme="minorHAnsi"/>
                                  <w:sz w:val="20"/>
                                  <w:szCs w:val="20"/>
                                </w:rPr>
                                <w:t>(</w:t>
                              </w:r>
                              <w:r>
                                <w:rPr>
                                  <w:rFonts w:asciiTheme="minorHAnsi" w:hAnsiTheme="minorHAnsi" w:cstheme="minorHAnsi"/>
                                  <w:sz w:val="20"/>
                                  <w:szCs w:val="20"/>
                                </w:rPr>
                                <w:t xml:space="preserve">např. výdaje na </w:t>
                              </w:r>
                              <w:r w:rsidRPr="00566507">
                                <w:rPr>
                                  <w:rFonts w:asciiTheme="minorHAnsi" w:hAnsiTheme="minorHAnsi" w:cstheme="minorHAnsi"/>
                                  <w:sz w:val="20"/>
                                  <w:szCs w:val="20"/>
                                </w:rPr>
                                <w:t>dopravní infra</w:t>
                              </w:r>
                              <w:r>
                                <w:rPr>
                                  <w:rFonts w:asciiTheme="minorHAnsi" w:hAnsiTheme="minorHAnsi" w:cstheme="minorHAnsi"/>
                                  <w:sz w:val="20"/>
                                  <w:szCs w:val="20"/>
                                </w:rPr>
                                <w:t>strukturu, školství, sport</w:t>
                              </w:r>
                              <w:r w:rsidRPr="00566507">
                                <w:rPr>
                                  <w:rFonts w:asciiTheme="minorHAnsi" w:hAnsiTheme="minorHAnsi" w:cstheme="minorHAnsi"/>
                                  <w:sz w:val="20"/>
                                  <w:szCs w:val="20"/>
                                </w:rPr>
                                <w:t>)</w:t>
                              </w:r>
                              <w:r>
                                <w:rPr>
                                  <w:rFonts w:asciiTheme="minorHAnsi" w:hAnsiTheme="minorHAnsi" w:cstheme="minorHAnsi"/>
                                  <w:sz w:val="20"/>
                                  <w:szCs w:val="20"/>
                                </w:rPr>
                                <w:t xml:space="preserve">. V rozpočtu 2022 </w:t>
                              </w:r>
                              <w:r w:rsidRPr="00566507">
                                <w:rPr>
                                  <w:rFonts w:asciiTheme="minorHAnsi" w:hAnsiTheme="minorHAnsi" w:cstheme="minorHAnsi"/>
                                  <w:sz w:val="20"/>
                                  <w:szCs w:val="20"/>
                                </w:rPr>
                                <w:t xml:space="preserve">představují cca 469,2 mld. Kč </w:t>
                              </w:r>
                              <w:r>
                                <w:rPr>
                                  <w:rFonts w:asciiTheme="minorHAnsi" w:hAnsiTheme="minorHAnsi" w:cstheme="minorHAnsi"/>
                                  <w:sz w:val="20"/>
                                  <w:szCs w:val="20"/>
                                </w:rPr>
                                <w:t>(</w:t>
                              </w:r>
                              <w:r w:rsidRPr="00566507">
                                <w:rPr>
                                  <w:rFonts w:asciiTheme="minorHAnsi" w:hAnsiTheme="minorHAnsi" w:cstheme="minorHAnsi"/>
                                  <w:sz w:val="20"/>
                                  <w:szCs w:val="20"/>
                                </w:rPr>
                                <w:t xml:space="preserve">24,8 </w:t>
                              </w:r>
                              <w:r>
                                <w:rPr>
                                  <w:rFonts w:asciiTheme="minorHAnsi" w:hAnsiTheme="minorHAnsi" w:cstheme="minorHAnsi"/>
                                  <w:sz w:val="20"/>
                                  <w:szCs w:val="20"/>
                                </w:rPr>
                                <w:t>%)</w:t>
                              </w:r>
                              <w:r w:rsidRPr="00566507">
                                <w:rPr>
                                  <w:rFonts w:asciiTheme="minorHAnsi" w:hAnsiTheme="minorHAnsi" w:cstheme="minorHAnsi"/>
                                  <w:sz w:val="20"/>
                                  <w:szCs w:val="20"/>
                                </w:rPr>
                                <w:t>.</w:t>
                              </w:r>
                            </w:p>
                            <w:p w14:paraId="29B06F55" w14:textId="043DD22D" w:rsidR="00511D9B" w:rsidRDefault="00511D9B" w:rsidP="001F38A5">
                              <w:pPr>
                                <w:spacing w:line="180" w:lineRule="auto"/>
                                <w:rPr>
                                  <w:rFonts w:asciiTheme="minorHAnsi" w:hAnsiTheme="minorHAnsi" w:cstheme="minorHAnsi"/>
                                  <w:sz w:val="20"/>
                                  <w:szCs w:val="20"/>
                                </w:rPr>
                              </w:pPr>
                              <w:r w:rsidRPr="007E4CB7">
                                <w:rPr>
                                  <w:rFonts w:asciiTheme="minorHAnsi" w:hAnsiTheme="minorHAnsi" w:cstheme="minorHAnsi"/>
                                  <w:b/>
                                  <w:sz w:val="20"/>
                                  <w:szCs w:val="20"/>
                                </w:rPr>
                                <w:t>Vztah k veřejným strategiím</w:t>
                              </w:r>
                              <w:r>
                                <w:rPr>
                                  <w:rFonts w:asciiTheme="minorHAnsi" w:hAnsiTheme="minorHAnsi" w:cstheme="minorHAnsi"/>
                                  <w:sz w:val="20"/>
                                  <w:szCs w:val="20"/>
                                </w:rPr>
                                <w:t>: Je možné tyto výdaje ve veřejných strategiích plánovat, přesto se to často neděje – schází politická vůle nebo neznalost.</w:t>
                              </w:r>
                            </w:p>
                            <w:p w14:paraId="70ABDDF4" w14:textId="77777777" w:rsidR="00511D9B" w:rsidRPr="00576CB4" w:rsidRDefault="00511D9B" w:rsidP="001F38A5">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582" name="Textové pole 2"/>
                        <wps:cNvSpPr txBox="1">
                          <a:spLocks noChangeArrowheads="1"/>
                        </wps:cNvSpPr>
                        <wps:spPr bwMode="auto">
                          <a:xfrm>
                            <a:off x="1594360" y="80304"/>
                            <a:ext cx="4188910" cy="1314157"/>
                          </a:xfrm>
                          <a:prstGeom prst="rect">
                            <a:avLst/>
                          </a:prstGeom>
                          <a:solidFill>
                            <a:schemeClr val="bg1"/>
                          </a:solidFill>
                          <a:ln w="3175">
                            <a:solidFill>
                              <a:srgbClr val="0070C0"/>
                            </a:solidFill>
                            <a:prstDash val="solid"/>
                            <a:miter lim="800000"/>
                            <a:headEnd/>
                            <a:tailEnd/>
                          </a:ln>
                        </wps:spPr>
                        <wps:txbx>
                          <w:txbxContent>
                            <w:p w14:paraId="47F884C6" w14:textId="4BD29F3F" w:rsidR="00511D9B" w:rsidRDefault="00511D9B" w:rsidP="00E20C04">
                              <w:pPr>
                                <w:spacing w:line="180" w:lineRule="auto"/>
                                <w:rPr>
                                  <w:rFonts w:asciiTheme="minorHAnsi" w:hAnsiTheme="minorHAnsi" w:cstheme="minorHAnsi"/>
                                  <w:b/>
                                  <w:sz w:val="22"/>
                                  <w:szCs w:val="20"/>
                                </w:rPr>
                              </w:pPr>
                              <w:r w:rsidRPr="00E20C04">
                                <w:rPr>
                                  <w:rFonts w:asciiTheme="minorHAnsi" w:hAnsiTheme="minorHAnsi" w:cstheme="minorHAnsi"/>
                                  <w:b/>
                                  <w:sz w:val="22"/>
                                  <w:szCs w:val="20"/>
                                </w:rPr>
                                <w:t>Mandatorní výdaje</w:t>
                              </w:r>
                              <w:r>
                                <w:rPr>
                                  <w:rFonts w:asciiTheme="minorHAnsi" w:hAnsiTheme="minorHAnsi" w:cstheme="minorHAnsi"/>
                                  <w:b/>
                                  <w:sz w:val="22"/>
                                  <w:szCs w:val="20"/>
                                </w:rPr>
                                <w:t xml:space="preserve"> (cca 55% výdajů)</w:t>
                              </w:r>
                              <w:r w:rsidRPr="00E20C04">
                                <w:rPr>
                                  <w:rFonts w:asciiTheme="minorHAnsi" w:hAnsiTheme="minorHAnsi" w:cstheme="minorHAnsi"/>
                                  <w:b/>
                                  <w:sz w:val="22"/>
                                  <w:szCs w:val="20"/>
                                </w:rPr>
                                <w:t xml:space="preserve">: </w:t>
                              </w:r>
                            </w:p>
                            <w:p w14:paraId="63CF6C54" w14:textId="0628F13C" w:rsidR="00511D9B" w:rsidRDefault="00511D9B" w:rsidP="00E20C04">
                              <w:pPr>
                                <w:spacing w:line="180" w:lineRule="auto"/>
                                <w:rPr>
                                  <w:rFonts w:asciiTheme="minorHAnsi" w:hAnsiTheme="minorHAnsi" w:cstheme="minorHAnsi"/>
                                  <w:sz w:val="20"/>
                                  <w:szCs w:val="20"/>
                                </w:rPr>
                              </w:pPr>
                              <w:r>
                                <w:rPr>
                                  <w:rFonts w:asciiTheme="minorHAnsi" w:hAnsiTheme="minorHAnsi" w:cstheme="minorHAnsi"/>
                                  <w:sz w:val="20"/>
                                  <w:szCs w:val="20"/>
                                </w:rPr>
                                <w:t>P</w:t>
                              </w:r>
                              <w:r w:rsidRPr="00E20C04">
                                <w:rPr>
                                  <w:rFonts w:asciiTheme="minorHAnsi" w:hAnsiTheme="minorHAnsi" w:cstheme="minorHAnsi"/>
                                  <w:sz w:val="20"/>
                                  <w:szCs w:val="20"/>
                                </w:rPr>
                                <w:t xml:space="preserve">ovinné prostředky, které musí být </w:t>
                              </w:r>
                              <w:r>
                                <w:rPr>
                                  <w:rFonts w:asciiTheme="minorHAnsi" w:hAnsiTheme="minorHAnsi" w:cstheme="minorHAnsi"/>
                                  <w:sz w:val="20"/>
                                  <w:szCs w:val="20"/>
                                </w:rPr>
                                <w:t>v</w:t>
                              </w:r>
                              <w:r w:rsidRPr="00E20C04">
                                <w:rPr>
                                  <w:rFonts w:asciiTheme="minorHAnsi" w:hAnsiTheme="minorHAnsi" w:cstheme="minorHAnsi"/>
                                  <w:sz w:val="20"/>
                                  <w:szCs w:val="20"/>
                                </w:rPr>
                                <w:t>ynaloženy</w:t>
                              </w:r>
                              <w:r>
                                <w:rPr>
                                  <w:rFonts w:asciiTheme="minorHAnsi" w:hAnsiTheme="minorHAnsi" w:cstheme="minorHAnsi"/>
                                  <w:sz w:val="20"/>
                                  <w:szCs w:val="20"/>
                                </w:rPr>
                                <w:t xml:space="preserve"> ze zákonů (jde např. o dávky důchodového nebo </w:t>
                              </w:r>
                              <w:r w:rsidRPr="00566507">
                                <w:rPr>
                                  <w:rFonts w:asciiTheme="minorHAnsi" w:hAnsiTheme="minorHAnsi" w:cstheme="minorHAnsi"/>
                                  <w:sz w:val="20"/>
                                  <w:szCs w:val="20"/>
                                </w:rPr>
                                <w:t>nemocenského po</w:t>
                              </w:r>
                              <w:r>
                                <w:rPr>
                                  <w:rFonts w:asciiTheme="minorHAnsi" w:hAnsiTheme="minorHAnsi" w:cstheme="minorHAnsi"/>
                                  <w:sz w:val="20"/>
                                  <w:szCs w:val="20"/>
                                </w:rPr>
                                <w:t xml:space="preserve">jištění, sociální dávky, zdravotní </w:t>
                              </w:r>
                              <w:r w:rsidRPr="00566507">
                                <w:rPr>
                                  <w:rFonts w:asciiTheme="minorHAnsi" w:hAnsiTheme="minorHAnsi" w:cstheme="minorHAnsi"/>
                                  <w:sz w:val="20"/>
                                  <w:szCs w:val="20"/>
                                </w:rPr>
                                <w:t>pojištění, podpory v nezaměstnano</w:t>
                              </w:r>
                              <w:r>
                                <w:rPr>
                                  <w:rFonts w:asciiTheme="minorHAnsi" w:hAnsiTheme="minorHAnsi" w:cstheme="minorHAnsi"/>
                                  <w:sz w:val="20"/>
                                  <w:szCs w:val="20"/>
                                </w:rPr>
                                <w:t>sti, výdaje na dluhovou službu</w:t>
                              </w:r>
                              <w:r w:rsidRPr="00566507">
                                <w:rPr>
                                  <w:rFonts w:asciiTheme="minorHAnsi" w:hAnsiTheme="minorHAnsi" w:cstheme="minorHAnsi"/>
                                  <w:sz w:val="20"/>
                                  <w:szCs w:val="20"/>
                                </w:rPr>
                                <w:t xml:space="preserve">) nebo </w:t>
                              </w:r>
                              <w:r>
                                <w:rPr>
                                  <w:rFonts w:asciiTheme="minorHAnsi" w:hAnsiTheme="minorHAnsi" w:cstheme="minorHAnsi"/>
                                  <w:sz w:val="20"/>
                                  <w:szCs w:val="20"/>
                                </w:rPr>
                                <w:t>jiných právních</w:t>
                              </w:r>
                              <w:r w:rsidRPr="00566507">
                                <w:rPr>
                                  <w:rFonts w:asciiTheme="minorHAnsi" w:hAnsiTheme="minorHAnsi" w:cstheme="minorHAnsi"/>
                                  <w:sz w:val="20"/>
                                  <w:szCs w:val="20"/>
                                </w:rPr>
                                <w:t xml:space="preserve"> nor</w:t>
                              </w:r>
                              <w:r>
                                <w:rPr>
                                  <w:rFonts w:asciiTheme="minorHAnsi" w:hAnsiTheme="minorHAnsi" w:cstheme="minorHAnsi"/>
                                  <w:sz w:val="20"/>
                                  <w:szCs w:val="20"/>
                                </w:rPr>
                                <w:t>e</w:t>
                              </w:r>
                              <w:r w:rsidRPr="00566507">
                                <w:rPr>
                                  <w:rFonts w:asciiTheme="minorHAnsi" w:hAnsiTheme="minorHAnsi" w:cstheme="minorHAnsi"/>
                                  <w:sz w:val="20"/>
                                  <w:szCs w:val="20"/>
                                </w:rPr>
                                <w:t>m</w:t>
                              </w:r>
                              <w:r>
                                <w:rPr>
                                  <w:rFonts w:asciiTheme="minorHAnsi" w:hAnsiTheme="minorHAnsi" w:cstheme="minorHAnsi"/>
                                  <w:sz w:val="20"/>
                                  <w:szCs w:val="20"/>
                                </w:rPr>
                                <w:t xml:space="preserve"> či smluvních</w:t>
                              </w:r>
                              <w:r w:rsidRPr="00566507">
                                <w:rPr>
                                  <w:rFonts w:asciiTheme="minorHAnsi" w:hAnsiTheme="minorHAnsi" w:cstheme="minorHAnsi"/>
                                  <w:sz w:val="20"/>
                                  <w:szCs w:val="20"/>
                                </w:rPr>
                                <w:t xml:space="preserve"> závazk</w:t>
                              </w:r>
                              <w:r>
                                <w:rPr>
                                  <w:rFonts w:asciiTheme="minorHAnsi" w:hAnsiTheme="minorHAnsi" w:cstheme="minorHAnsi"/>
                                  <w:sz w:val="20"/>
                                  <w:szCs w:val="20"/>
                                </w:rPr>
                                <w:t>ů</w:t>
                              </w:r>
                              <w:r w:rsidRPr="00566507">
                                <w:rPr>
                                  <w:rFonts w:asciiTheme="minorHAnsi" w:hAnsiTheme="minorHAnsi" w:cstheme="minorHAnsi"/>
                                  <w:sz w:val="20"/>
                                  <w:szCs w:val="20"/>
                                </w:rPr>
                                <w:t xml:space="preserve"> (odvody do rozpočtu EU a mezinárodních organizací, státní záruky, </w:t>
                              </w:r>
                              <w:r>
                                <w:rPr>
                                  <w:rFonts w:asciiTheme="minorHAnsi" w:hAnsiTheme="minorHAnsi" w:cstheme="minorHAnsi"/>
                                  <w:sz w:val="20"/>
                                  <w:szCs w:val="20"/>
                                </w:rPr>
                                <w:t>dotace na obnovitelné zdroje</w:t>
                              </w:r>
                              <w:r w:rsidRPr="00566507">
                                <w:rPr>
                                  <w:rFonts w:asciiTheme="minorHAnsi" w:hAnsiTheme="minorHAnsi" w:cstheme="minorHAnsi"/>
                                  <w:sz w:val="20"/>
                                  <w:szCs w:val="20"/>
                                </w:rPr>
                                <w:t xml:space="preserve">). </w:t>
                              </w:r>
                              <w:r>
                                <w:rPr>
                                  <w:rFonts w:asciiTheme="minorHAnsi" w:hAnsiTheme="minorHAnsi" w:cstheme="minorHAnsi"/>
                                  <w:sz w:val="20"/>
                                  <w:szCs w:val="20"/>
                                </w:rPr>
                                <w:t xml:space="preserve">V rozpočtu 2022 </w:t>
                              </w:r>
                              <w:r w:rsidRPr="00566507">
                                <w:rPr>
                                  <w:rFonts w:asciiTheme="minorHAnsi" w:hAnsiTheme="minorHAnsi" w:cstheme="minorHAnsi"/>
                                  <w:sz w:val="20"/>
                                  <w:szCs w:val="20"/>
                                </w:rPr>
                                <w:t xml:space="preserve">představují 1032,8 mld. Kč </w:t>
                              </w:r>
                              <w:r>
                                <w:rPr>
                                  <w:rFonts w:asciiTheme="minorHAnsi" w:hAnsiTheme="minorHAnsi" w:cstheme="minorHAnsi"/>
                                  <w:sz w:val="20"/>
                                  <w:szCs w:val="20"/>
                                </w:rPr>
                                <w:t>(54,6 %)</w:t>
                              </w:r>
                              <w:r w:rsidRPr="00566507">
                                <w:rPr>
                                  <w:rFonts w:asciiTheme="minorHAnsi" w:hAnsiTheme="minorHAnsi" w:cstheme="minorHAnsi"/>
                                  <w:sz w:val="20"/>
                                  <w:szCs w:val="20"/>
                                </w:rPr>
                                <w:t>.</w:t>
                              </w:r>
                            </w:p>
                            <w:p w14:paraId="0A4F8564" w14:textId="58DDD9FF" w:rsidR="00511D9B" w:rsidRDefault="00511D9B" w:rsidP="00E20C04">
                              <w:pPr>
                                <w:spacing w:line="180" w:lineRule="auto"/>
                                <w:rPr>
                                  <w:rFonts w:asciiTheme="minorHAnsi" w:hAnsiTheme="minorHAnsi" w:cstheme="minorHAnsi"/>
                                  <w:sz w:val="20"/>
                                  <w:szCs w:val="20"/>
                                </w:rPr>
                              </w:pPr>
                              <w:r w:rsidRPr="007E4CB7">
                                <w:rPr>
                                  <w:rFonts w:asciiTheme="minorHAnsi" w:hAnsiTheme="minorHAnsi" w:cstheme="minorHAnsi"/>
                                  <w:b/>
                                  <w:sz w:val="20"/>
                                  <w:szCs w:val="20"/>
                                </w:rPr>
                                <w:t>Vztah k veřejným strategiím</w:t>
                              </w:r>
                              <w:r>
                                <w:rPr>
                                  <w:rFonts w:asciiTheme="minorHAnsi" w:hAnsiTheme="minorHAnsi" w:cstheme="minorHAnsi"/>
                                  <w:sz w:val="20"/>
                                  <w:szCs w:val="20"/>
                                </w:rPr>
                                <w:t>: Jde o povinné prostředky, dokud nedojde ke změně legislativy. V rámci veřejné strategie je však možné do budoucna plánovat změny legislativy, a tím také rozsah těchto výdajů.</w:t>
                              </w:r>
                            </w:p>
                            <w:p w14:paraId="12B0D10A" w14:textId="77777777" w:rsidR="00511D9B" w:rsidRPr="00576CB4" w:rsidRDefault="00511D9B" w:rsidP="00E20C04">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583" name="Přímá spojnice se šipkou 23583"/>
                        <wps:cNvCnPr>
                          <a:stCxn id="23580" idx="3"/>
                          <a:endCxn id="23582" idx="1"/>
                        </wps:cNvCnPr>
                        <wps:spPr>
                          <a:xfrm flipV="1">
                            <a:off x="1135785" y="737364"/>
                            <a:ext cx="458575" cy="1034106"/>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580" name="Textové pole 2"/>
                        <wps:cNvSpPr txBox="1">
                          <a:spLocks noChangeArrowheads="1"/>
                        </wps:cNvSpPr>
                        <wps:spPr bwMode="auto">
                          <a:xfrm>
                            <a:off x="53340" y="1531354"/>
                            <a:ext cx="1082445" cy="480327"/>
                          </a:xfrm>
                          <a:prstGeom prst="rect">
                            <a:avLst/>
                          </a:prstGeom>
                          <a:noFill/>
                          <a:ln w="3175">
                            <a:solidFill>
                              <a:srgbClr val="0070C0"/>
                            </a:solidFill>
                            <a:prstDash val="solid"/>
                            <a:miter lim="800000"/>
                            <a:headEnd/>
                            <a:tailEnd/>
                          </a:ln>
                        </wps:spPr>
                        <wps:txbx>
                          <w:txbxContent>
                            <w:p w14:paraId="39339DA0" w14:textId="7CFDE5FB" w:rsidR="00511D9B" w:rsidRPr="00E20C04" w:rsidRDefault="00511D9B" w:rsidP="00837E60">
                              <w:pPr>
                                <w:spacing w:line="180" w:lineRule="auto"/>
                                <w:jc w:val="center"/>
                                <w:rPr>
                                  <w:rFonts w:asciiTheme="minorHAnsi" w:hAnsiTheme="minorHAnsi" w:cstheme="minorHAnsi"/>
                                  <w:b/>
                                  <w:sz w:val="32"/>
                                </w:rPr>
                              </w:pPr>
                              <w:r w:rsidRPr="00E20C04">
                                <w:rPr>
                                  <w:rFonts w:asciiTheme="minorHAnsi" w:hAnsiTheme="minorHAnsi" w:cstheme="minorHAnsi"/>
                                  <w:b/>
                                  <w:sz w:val="32"/>
                                </w:rPr>
                                <w:t>Výdaje státu v ČR</w:t>
                              </w:r>
                            </w:p>
                            <w:p w14:paraId="0C32D6C9" w14:textId="77777777" w:rsidR="00511D9B" w:rsidRPr="00576CB4" w:rsidRDefault="00511D9B" w:rsidP="00837E60">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968" name="Přímá spojnice se šipkou 23968"/>
                        <wps:cNvCnPr>
                          <a:stCxn id="23580" idx="3"/>
                          <a:endCxn id="23975" idx="1"/>
                        </wps:cNvCnPr>
                        <wps:spPr>
                          <a:xfrm>
                            <a:off x="1135785" y="1771519"/>
                            <a:ext cx="458575" cy="1024500"/>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969" name="Přímá spojnice se šipkou 23969"/>
                        <wps:cNvCnPr>
                          <a:stCxn id="23580" idx="3"/>
                          <a:endCxn id="23974" idx="1"/>
                        </wps:cNvCnPr>
                        <wps:spPr>
                          <a:xfrm>
                            <a:off x="1135785" y="1771519"/>
                            <a:ext cx="458575" cy="118044"/>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974" name="Textové pole 2"/>
                        <wps:cNvSpPr txBox="1">
                          <a:spLocks noChangeArrowheads="1"/>
                        </wps:cNvSpPr>
                        <wps:spPr bwMode="auto">
                          <a:xfrm>
                            <a:off x="1594360" y="1432412"/>
                            <a:ext cx="4188585" cy="914400"/>
                          </a:xfrm>
                          <a:prstGeom prst="rect">
                            <a:avLst/>
                          </a:prstGeom>
                          <a:solidFill>
                            <a:schemeClr val="bg1"/>
                          </a:solidFill>
                          <a:ln w="3175">
                            <a:solidFill>
                              <a:srgbClr val="0070C0"/>
                            </a:solidFill>
                            <a:prstDash val="solid"/>
                            <a:miter lim="800000"/>
                            <a:headEnd/>
                            <a:tailEnd/>
                          </a:ln>
                        </wps:spPr>
                        <wps:txbx>
                          <w:txbxContent>
                            <w:p w14:paraId="5720566B" w14:textId="65A5D3F4" w:rsidR="00511D9B" w:rsidRDefault="00511D9B" w:rsidP="007E4CB7">
                              <w:pPr>
                                <w:spacing w:line="180" w:lineRule="auto"/>
                                <w:rPr>
                                  <w:rFonts w:asciiTheme="minorHAnsi" w:hAnsiTheme="minorHAnsi" w:cstheme="minorHAnsi"/>
                                  <w:b/>
                                  <w:sz w:val="22"/>
                                  <w:szCs w:val="20"/>
                                </w:rPr>
                              </w:pPr>
                              <w:r>
                                <w:rPr>
                                  <w:rFonts w:asciiTheme="minorHAnsi" w:hAnsiTheme="minorHAnsi" w:cstheme="minorHAnsi"/>
                                  <w:b/>
                                  <w:sz w:val="22"/>
                                  <w:szCs w:val="20"/>
                                </w:rPr>
                                <w:t>Quasi-m</w:t>
                              </w:r>
                              <w:r w:rsidRPr="00E20C04">
                                <w:rPr>
                                  <w:rFonts w:asciiTheme="minorHAnsi" w:hAnsiTheme="minorHAnsi" w:cstheme="minorHAnsi"/>
                                  <w:b/>
                                  <w:sz w:val="22"/>
                                  <w:szCs w:val="20"/>
                                </w:rPr>
                                <w:t>andatorní výdaje</w:t>
                              </w:r>
                              <w:r>
                                <w:rPr>
                                  <w:rFonts w:asciiTheme="minorHAnsi" w:hAnsiTheme="minorHAnsi" w:cstheme="minorHAnsi"/>
                                  <w:b/>
                                  <w:sz w:val="22"/>
                                  <w:szCs w:val="20"/>
                                </w:rPr>
                                <w:t xml:space="preserve"> (cca 20% výdajů)</w:t>
                              </w:r>
                              <w:r w:rsidRPr="00E20C04">
                                <w:rPr>
                                  <w:rFonts w:asciiTheme="minorHAnsi" w:hAnsiTheme="minorHAnsi" w:cstheme="minorHAnsi"/>
                                  <w:b/>
                                  <w:sz w:val="22"/>
                                  <w:szCs w:val="20"/>
                                </w:rPr>
                                <w:t xml:space="preserve">: </w:t>
                              </w:r>
                            </w:p>
                            <w:p w14:paraId="388D350C" w14:textId="39DE856D" w:rsidR="00511D9B" w:rsidRDefault="00511D9B" w:rsidP="001F38A5">
                              <w:pPr>
                                <w:spacing w:line="180" w:lineRule="auto"/>
                                <w:rPr>
                                  <w:rFonts w:asciiTheme="minorHAnsi" w:hAnsiTheme="minorHAnsi" w:cstheme="minorHAnsi"/>
                                  <w:sz w:val="20"/>
                                  <w:szCs w:val="20"/>
                                </w:rPr>
                              </w:pPr>
                              <w:r>
                                <w:rPr>
                                  <w:rFonts w:asciiTheme="minorHAnsi" w:hAnsiTheme="minorHAnsi" w:cstheme="minorHAnsi"/>
                                  <w:sz w:val="20"/>
                                  <w:szCs w:val="20"/>
                                </w:rPr>
                                <w:t>N</w:t>
                              </w:r>
                              <w:r w:rsidRPr="00566507">
                                <w:rPr>
                                  <w:rFonts w:asciiTheme="minorHAnsi" w:hAnsiTheme="minorHAnsi" w:cstheme="minorHAnsi"/>
                                  <w:sz w:val="20"/>
                                  <w:szCs w:val="20"/>
                                </w:rPr>
                                <w:t xml:space="preserve">ejsou přímo stanoveny zákonem, ale jsou </w:t>
                              </w:r>
                              <w:r>
                                <w:rPr>
                                  <w:rFonts w:asciiTheme="minorHAnsi" w:hAnsiTheme="minorHAnsi" w:cstheme="minorHAnsi"/>
                                  <w:sz w:val="20"/>
                                  <w:szCs w:val="20"/>
                                </w:rPr>
                                <w:t xml:space="preserve">nezbytné pro chod státu (např. </w:t>
                              </w:r>
                              <w:r w:rsidRPr="00566507">
                                <w:rPr>
                                  <w:rFonts w:asciiTheme="minorHAnsi" w:hAnsiTheme="minorHAnsi" w:cstheme="minorHAnsi"/>
                                  <w:sz w:val="20"/>
                                  <w:szCs w:val="20"/>
                                </w:rPr>
                                <w:t xml:space="preserve">platy </w:t>
                              </w:r>
                              <w:r>
                                <w:rPr>
                                  <w:rFonts w:asciiTheme="minorHAnsi" w:hAnsiTheme="minorHAnsi" w:cstheme="minorHAnsi"/>
                                  <w:sz w:val="20"/>
                                  <w:szCs w:val="20"/>
                                </w:rPr>
                                <w:t>ve veřejné správě</w:t>
                              </w:r>
                              <w:r w:rsidRPr="00566507">
                                <w:rPr>
                                  <w:rFonts w:asciiTheme="minorHAnsi" w:hAnsiTheme="minorHAnsi" w:cstheme="minorHAnsi"/>
                                  <w:sz w:val="20"/>
                                  <w:szCs w:val="20"/>
                                </w:rPr>
                                <w:t>, výdaje na obranu</w:t>
                              </w:r>
                              <w:r>
                                <w:rPr>
                                  <w:rFonts w:asciiTheme="minorHAnsi" w:hAnsiTheme="minorHAnsi" w:cstheme="minorHAnsi"/>
                                  <w:sz w:val="20"/>
                                  <w:szCs w:val="20"/>
                                </w:rPr>
                                <w:t>)</w:t>
                              </w:r>
                              <w:r w:rsidRPr="00566507">
                                <w:rPr>
                                  <w:rFonts w:asciiTheme="minorHAnsi" w:hAnsiTheme="minorHAnsi" w:cstheme="minorHAnsi"/>
                                  <w:sz w:val="20"/>
                                  <w:szCs w:val="20"/>
                                </w:rPr>
                                <w:t xml:space="preserve">. </w:t>
                              </w:r>
                              <w:r>
                                <w:rPr>
                                  <w:rFonts w:asciiTheme="minorHAnsi" w:hAnsiTheme="minorHAnsi" w:cstheme="minorHAnsi"/>
                                  <w:sz w:val="20"/>
                                  <w:szCs w:val="20"/>
                                </w:rPr>
                                <w:t xml:space="preserve">V rozpočtu 2022 </w:t>
                              </w:r>
                              <w:r w:rsidRPr="00566507">
                                <w:rPr>
                                  <w:rFonts w:asciiTheme="minorHAnsi" w:hAnsiTheme="minorHAnsi" w:cstheme="minorHAnsi"/>
                                  <w:sz w:val="20"/>
                                  <w:szCs w:val="20"/>
                                </w:rPr>
                                <w:t xml:space="preserve">představují cca 391,2 mld. Kč </w:t>
                              </w:r>
                              <w:r>
                                <w:rPr>
                                  <w:rFonts w:asciiTheme="minorHAnsi" w:hAnsiTheme="minorHAnsi" w:cstheme="minorHAnsi"/>
                                  <w:sz w:val="20"/>
                                  <w:szCs w:val="20"/>
                                </w:rPr>
                                <w:t>(</w:t>
                              </w:r>
                              <w:r w:rsidRPr="00566507">
                                <w:rPr>
                                  <w:rFonts w:asciiTheme="minorHAnsi" w:hAnsiTheme="minorHAnsi" w:cstheme="minorHAnsi"/>
                                  <w:sz w:val="20"/>
                                  <w:szCs w:val="20"/>
                                </w:rPr>
                                <w:t xml:space="preserve">20,7 </w:t>
                              </w:r>
                              <w:r>
                                <w:rPr>
                                  <w:rFonts w:asciiTheme="minorHAnsi" w:hAnsiTheme="minorHAnsi" w:cstheme="minorHAnsi"/>
                                  <w:sz w:val="20"/>
                                  <w:szCs w:val="20"/>
                                </w:rPr>
                                <w:t>%)</w:t>
                              </w:r>
                              <w:r w:rsidRPr="00566507">
                                <w:rPr>
                                  <w:rFonts w:asciiTheme="minorHAnsi" w:hAnsiTheme="minorHAnsi" w:cstheme="minorHAnsi"/>
                                  <w:sz w:val="20"/>
                                  <w:szCs w:val="20"/>
                                </w:rPr>
                                <w:t>.</w:t>
                              </w:r>
                            </w:p>
                            <w:p w14:paraId="310DCC8A" w14:textId="5BD59F64" w:rsidR="00511D9B" w:rsidRDefault="00511D9B" w:rsidP="007E4CB7">
                              <w:pPr>
                                <w:spacing w:line="180" w:lineRule="auto"/>
                                <w:rPr>
                                  <w:rFonts w:asciiTheme="minorHAnsi" w:hAnsiTheme="minorHAnsi" w:cstheme="minorHAnsi"/>
                                  <w:sz w:val="20"/>
                                  <w:szCs w:val="20"/>
                                </w:rPr>
                              </w:pPr>
                              <w:r w:rsidRPr="007E4CB7">
                                <w:rPr>
                                  <w:rFonts w:asciiTheme="minorHAnsi" w:hAnsiTheme="minorHAnsi" w:cstheme="minorHAnsi"/>
                                  <w:b/>
                                  <w:sz w:val="20"/>
                                  <w:szCs w:val="20"/>
                                </w:rPr>
                                <w:t>Vztah k veřejným strategiím</w:t>
                              </w:r>
                              <w:r>
                                <w:rPr>
                                  <w:rFonts w:asciiTheme="minorHAnsi" w:hAnsiTheme="minorHAnsi" w:cstheme="minorHAnsi"/>
                                  <w:sz w:val="20"/>
                                  <w:szCs w:val="20"/>
                                </w:rPr>
                                <w:t>: Ve veřejných strategiích je možné do budoucna plánovat změny těchto výdajů – jde zejména o počty zaměstnanců. Změny však mohou významně ovlivnit standardy poskytovaných veřejných služeb.</w:t>
                              </w:r>
                            </w:p>
                            <w:p w14:paraId="796C9642" w14:textId="77777777" w:rsidR="00511D9B" w:rsidRPr="00576CB4" w:rsidRDefault="00511D9B" w:rsidP="007E4CB7">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629D31" id="Skupina 23976" o:spid="_x0000_s1026" style="position:absolute;left:0;text-align:left;margin-left:6pt;margin-top:17.15pt;width:451.15pt;height:245.65pt;z-index:251534848;mso-width-relative:margin;mso-height-relative:margin" coordorigin="533,803" coordsize="57299,3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aGuswQAAFcXAAAOAAAAZHJzL2Uyb0RvYy54bWzsWM1u3DYQvhfoOxC61yuupJW08DpI14lR&#10;IG2NOu2dK1ESa4lUSa617pv0mGMPeQoj75UhKWll1wYMGzHcxD6sRXE4nN9vRnP4atfU6IJKxQRf&#10;efjA9xDlmcgZL1fe7+/f/pB4SGnCc1ILTlfeJVXeq6Pvvzvs2iWdi0rUOZUImHC17NqVV2ndLmcz&#10;lVW0IepAtJTDZiFkQzQsZTnLJemAe1PP5r6/mHVC5q0UGVUK3h67Te/I8i8Kmulfi0JRjeqVB7Jp&#10;+yvt78b8zo4OybKUpK1Y1otBHiBFQxiHS0dWx0QTtJXsP6walkmhRKEPMtHMRFGwjFodQBvs39Dm&#10;RIpta3Upl13ZjmYC096w04PZZr9cnErE8pU3D9J44SFOGnDT2fm2ZZwg9xKM1LXlEmhPZHvWnsr+&#10;RelWRu9dIRvzHzRCO2vey9G8dKdRBi+jeJ4u/MhDGewFGKdJGDoHZBV4yZyLgiAEN8F+4gf+uPtm&#10;wiENgGDPITIcZoMAMyPnKFbXQlCpvd3U4+x2VpGWWncoY4uJ3UAnZ7f3oKu4uPoXtaKmaG5kM0IA&#10;tTEb0rsfBWiJbaio9p3IzhXiYl0RXtLXUoquoiQHMbHVanLU8VGGyab7WeTgI7LVwjK6YXscpWGw&#10;cFYE/+E0jp2VBz+EOEnCNHBWTPwEx1bQ0Yhk2UqlT6hokHlYeRLSyN5ELt4p7ew9kBinK1Gz/C2r&#10;a7swqUvXtUQXBJJuUzpdblDVHHUmCOLI2eIaB1luxvO+H/trm6cg37WLjATHRFXuHrvl9GyYBkyp&#10;WWOiyPy518a0b3gO4pOlJqx2z8C15hBBxtbGvM7QerfZ9b7biPwSrC6Fww7AOniohPzbQx3gxspT&#10;f22JpB6qf+LguRSHJoK1XYQQ8rCQ053NdIfwDFitPO0h97jWFpyMjFy8Bg8XzBrciOck6WWFuHai&#10;PkGAR8n8uQb4BCam4Z3iHiRwgEMc2QR4ie/r8W1R3ybnPri+8TAHTHQ4fvrpn6uPzdUHpFrxJ4ca&#10;jRRFnz6w9lxsoShGSWAwpcfnNTewAeik1zve19IogQBkOYC9pSRLyvPpLiSU3b0G9I7RHolcVUNF&#10;zdo/hqrRF1iMgyhOoO5AqYyDOFj0tXJMgiiJAFttocR+EGJ/YSS+OweUloSVlV4LzgHuhXRF6g7E&#10;N5BJlj2iIn3ZQj3i0OABJq68huaAhhT6QfM0xdueUksGBa++g/p2RFb6sqbm0pr/RovBeNbs1wtO&#10;fj4UHEtpKAooTeMh3xWcuw71tOYYtf3jfQ+O1PZGwfV4sGFcyNtu1btB1MLRD3XI6bpPS+M5s3pa&#10;0IcIfj5dzb4zxFEAwX8j3rGfzMOwD/gQqsL8kZjPhWlobPD+D3oVhzoDJr20LEG6gA/Pe2G5oQQ3&#10;PxjLUwOz98Vygw23IDiOYxzh1GHl7RA+DyPXyH5JCBfQsr9AOC2+EghPF+m9k8AG3yOSIHyCJMCJ&#10;7yYGXzIHXtoYaP+gd/laciCGyHw+bcx0OIPDYB5iO3uBZrMfcZnhDPTurnO3w4Rh+DGMeYbJyzc9&#10;nLENz/gR9pwbHjuShOmt/fjqJ81mPDxd2/Z+Pw8/+gwAAP//AwBQSwMEFAAGAAgAAAAhAMH74dff&#10;AAAACQEAAA8AAABkcnMvZG93bnJldi54bWxMj09Lw0AQxe+C32EZwZvd/DFFYzalFPVUBFtBvE2z&#10;0yQ0uxuy2yT99k5PepvHe7z5vWI1m06MNPjWWQXxIgJBtnK6tbWCr/3bwxMIH9Bq7JwlBRfysCpv&#10;bwrMtZvsJ427UAsusT5HBU0IfS6lrxoy6BeuJ8ve0Q0GA8uhlnrAictNJ5MoWkqDreUPDfa0aag6&#10;7c5GwfuE0zqNX8ft6bi5/Oyzj+9tTErd383rFxCB5vAXhis+o0PJTAd3ttqLjnXCU4KC9DEFwf5z&#10;fD0OCrIkW4IsC/l/QfkLAAD//wMAUEsBAi0AFAAGAAgAAAAhALaDOJL+AAAA4QEAABMAAAAAAAAA&#10;AAAAAAAAAAAAAFtDb250ZW50X1R5cGVzXS54bWxQSwECLQAUAAYACAAAACEAOP0h/9YAAACUAQAA&#10;CwAAAAAAAAAAAAAAAAAvAQAAX3JlbHMvLnJlbHNQSwECLQAUAAYACAAAACEAvDWhrrMEAABXFwAA&#10;DgAAAAAAAAAAAAAAAAAuAgAAZHJzL2Uyb0RvYy54bWxQSwECLQAUAAYACAAAACEAwfvh198AAAAJ&#10;AQAADwAAAAAAAAAAAAAAAAANBwAAZHJzL2Rvd25yZXYueG1sUEsFBgAAAAAEAAQA8wAAABkIAAAA&#10;AA==&#10;">
                <v:shapetype id="_x0000_t202" coordsize="21600,21600" o:spt="202" path="m,l,21600r21600,l21600,xe">
                  <v:stroke joinstyle="miter"/>
                  <v:path gradientshapeok="t" o:connecttype="rect"/>
                </v:shapetype>
                <v:shape id="_x0000_s1027" type="#_x0000_t202" style="position:absolute;left:15943;top:23919;width:41885;height:8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h9xgAAAN4AAAAPAAAAZHJzL2Rvd25yZXYueG1sRI9Pi8Iw&#10;FMTvC36H8ARva6rirq1GKYJ/YE+rgh4fzbMtNi+libV+eyMs7HGYmd8wi1VnKtFS40rLCkbDCARx&#10;ZnXJuYLTcfM5A+E8ssbKMil4koPVsvexwETbB/9Se/C5CBB2CSoovK8TKV1WkEE3tDVx8K62MeiD&#10;bHKpG3wEuKnkOIq+pMGSw0KBNa0Lym6Hu1GAlzjdUjptf+rTfWRu7Tnebc5KDfpdOgfhqfP/4b/2&#10;XisYT+LvKbzvhCsgly8AAAD//wMAUEsBAi0AFAAGAAgAAAAhANvh9svuAAAAhQEAABMAAAAAAAAA&#10;AAAAAAAAAAAAAFtDb250ZW50X1R5cGVzXS54bWxQSwECLQAUAAYACAAAACEAWvQsW78AAAAVAQAA&#10;CwAAAAAAAAAAAAAAAAAfAQAAX3JlbHMvLnJlbHNQSwECLQAUAAYACAAAACEAy2WYfcYAAADeAAAA&#10;DwAAAAAAAAAAAAAAAAAHAgAAZHJzL2Rvd25yZXYueG1sUEsFBgAAAAADAAMAtwAAAPoCAAAAAA==&#10;" fillcolor="white [3212]" strokecolor="#0070c0" strokeweight=".25pt">
                  <v:textbox>
                    <w:txbxContent>
                      <w:p w14:paraId="58EC440E" w14:textId="192452CD" w:rsidR="00511D9B" w:rsidRDefault="00511D9B" w:rsidP="009470A9">
                        <w:pPr>
                          <w:spacing w:line="180" w:lineRule="auto"/>
                          <w:rPr>
                            <w:rFonts w:asciiTheme="minorHAnsi" w:hAnsiTheme="minorHAnsi" w:cstheme="minorHAnsi"/>
                            <w:b/>
                            <w:sz w:val="22"/>
                            <w:szCs w:val="20"/>
                          </w:rPr>
                        </w:pPr>
                        <w:r>
                          <w:rPr>
                            <w:rFonts w:asciiTheme="minorHAnsi" w:hAnsiTheme="minorHAnsi" w:cstheme="minorHAnsi"/>
                            <w:b/>
                            <w:sz w:val="22"/>
                            <w:szCs w:val="20"/>
                          </w:rPr>
                          <w:t>Nem</w:t>
                        </w:r>
                        <w:r w:rsidRPr="00E20C04">
                          <w:rPr>
                            <w:rFonts w:asciiTheme="minorHAnsi" w:hAnsiTheme="minorHAnsi" w:cstheme="minorHAnsi"/>
                            <w:b/>
                            <w:sz w:val="22"/>
                            <w:szCs w:val="20"/>
                          </w:rPr>
                          <w:t>andatorní výdaje</w:t>
                        </w:r>
                        <w:r>
                          <w:rPr>
                            <w:rFonts w:asciiTheme="minorHAnsi" w:hAnsiTheme="minorHAnsi" w:cstheme="minorHAnsi"/>
                            <w:b/>
                            <w:sz w:val="22"/>
                            <w:szCs w:val="20"/>
                          </w:rPr>
                          <w:t xml:space="preserve"> (cca 25% výdajů)</w:t>
                        </w:r>
                        <w:r w:rsidRPr="00E20C04">
                          <w:rPr>
                            <w:rFonts w:asciiTheme="minorHAnsi" w:hAnsiTheme="minorHAnsi" w:cstheme="minorHAnsi"/>
                            <w:b/>
                            <w:sz w:val="22"/>
                            <w:szCs w:val="20"/>
                          </w:rPr>
                          <w:t xml:space="preserve">: </w:t>
                        </w:r>
                      </w:p>
                      <w:p w14:paraId="607CAAC7" w14:textId="4946051D" w:rsidR="00511D9B" w:rsidRDefault="00511D9B" w:rsidP="001F38A5">
                        <w:pPr>
                          <w:spacing w:line="180" w:lineRule="auto"/>
                          <w:rPr>
                            <w:rFonts w:asciiTheme="minorHAnsi" w:hAnsiTheme="minorHAnsi" w:cstheme="minorHAnsi"/>
                            <w:sz w:val="20"/>
                            <w:szCs w:val="20"/>
                          </w:rPr>
                        </w:pPr>
                        <w:r>
                          <w:rPr>
                            <w:rFonts w:asciiTheme="minorHAnsi" w:hAnsiTheme="minorHAnsi" w:cstheme="minorHAnsi"/>
                            <w:sz w:val="20"/>
                            <w:szCs w:val="20"/>
                          </w:rPr>
                          <w:t xml:space="preserve">Jde o ostatní výdaje - </w:t>
                        </w:r>
                        <w:r w:rsidRPr="00566507">
                          <w:rPr>
                            <w:rFonts w:asciiTheme="minorHAnsi" w:hAnsiTheme="minorHAnsi" w:cstheme="minorHAnsi"/>
                            <w:sz w:val="20"/>
                            <w:szCs w:val="20"/>
                          </w:rPr>
                          <w:t xml:space="preserve">umožňují vládě reagovat na hospodářský vývoj a směřovat jimi rozvoj </w:t>
                        </w:r>
                        <w:r>
                          <w:rPr>
                            <w:rFonts w:asciiTheme="minorHAnsi" w:hAnsiTheme="minorHAnsi" w:cstheme="minorHAnsi"/>
                            <w:sz w:val="20"/>
                            <w:szCs w:val="20"/>
                          </w:rPr>
                          <w:t xml:space="preserve">do budoucna </w:t>
                        </w:r>
                        <w:r w:rsidRPr="00566507">
                          <w:rPr>
                            <w:rFonts w:asciiTheme="minorHAnsi" w:hAnsiTheme="minorHAnsi" w:cstheme="minorHAnsi"/>
                            <w:sz w:val="20"/>
                            <w:szCs w:val="20"/>
                          </w:rPr>
                          <w:t>(</w:t>
                        </w:r>
                        <w:r>
                          <w:rPr>
                            <w:rFonts w:asciiTheme="minorHAnsi" w:hAnsiTheme="minorHAnsi" w:cstheme="minorHAnsi"/>
                            <w:sz w:val="20"/>
                            <w:szCs w:val="20"/>
                          </w:rPr>
                          <w:t xml:space="preserve">např. výdaje na </w:t>
                        </w:r>
                        <w:r w:rsidRPr="00566507">
                          <w:rPr>
                            <w:rFonts w:asciiTheme="minorHAnsi" w:hAnsiTheme="minorHAnsi" w:cstheme="minorHAnsi"/>
                            <w:sz w:val="20"/>
                            <w:szCs w:val="20"/>
                          </w:rPr>
                          <w:t>dopravní infra</w:t>
                        </w:r>
                        <w:r>
                          <w:rPr>
                            <w:rFonts w:asciiTheme="minorHAnsi" w:hAnsiTheme="minorHAnsi" w:cstheme="minorHAnsi"/>
                            <w:sz w:val="20"/>
                            <w:szCs w:val="20"/>
                          </w:rPr>
                          <w:t>strukturu, školství, sport</w:t>
                        </w:r>
                        <w:r w:rsidRPr="00566507">
                          <w:rPr>
                            <w:rFonts w:asciiTheme="minorHAnsi" w:hAnsiTheme="minorHAnsi" w:cstheme="minorHAnsi"/>
                            <w:sz w:val="20"/>
                            <w:szCs w:val="20"/>
                          </w:rPr>
                          <w:t>)</w:t>
                        </w:r>
                        <w:r>
                          <w:rPr>
                            <w:rFonts w:asciiTheme="minorHAnsi" w:hAnsiTheme="minorHAnsi" w:cstheme="minorHAnsi"/>
                            <w:sz w:val="20"/>
                            <w:szCs w:val="20"/>
                          </w:rPr>
                          <w:t xml:space="preserve">. V rozpočtu 2022 </w:t>
                        </w:r>
                        <w:r w:rsidRPr="00566507">
                          <w:rPr>
                            <w:rFonts w:asciiTheme="minorHAnsi" w:hAnsiTheme="minorHAnsi" w:cstheme="minorHAnsi"/>
                            <w:sz w:val="20"/>
                            <w:szCs w:val="20"/>
                          </w:rPr>
                          <w:t xml:space="preserve">představují cca 469,2 mld. Kč </w:t>
                        </w:r>
                        <w:r>
                          <w:rPr>
                            <w:rFonts w:asciiTheme="minorHAnsi" w:hAnsiTheme="minorHAnsi" w:cstheme="minorHAnsi"/>
                            <w:sz w:val="20"/>
                            <w:szCs w:val="20"/>
                          </w:rPr>
                          <w:t>(</w:t>
                        </w:r>
                        <w:r w:rsidRPr="00566507">
                          <w:rPr>
                            <w:rFonts w:asciiTheme="minorHAnsi" w:hAnsiTheme="minorHAnsi" w:cstheme="minorHAnsi"/>
                            <w:sz w:val="20"/>
                            <w:szCs w:val="20"/>
                          </w:rPr>
                          <w:t xml:space="preserve">24,8 </w:t>
                        </w:r>
                        <w:r>
                          <w:rPr>
                            <w:rFonts w:asciiTheme="minorHAnsi" w:hAnsiTheme="minorHAnsi" w:cstheme="minorHAnsi"/>
                            <w:sz w:val="20"/>
                            <w:szCs w:val="20"/>
                          </w:rPr>
                          <w:t>%)</w:t>
                        </w:r>
                        <w:r w:rsidRPr="00566507">
                          <w:rPr>
                            <w:rFonts w:asciiTheme="minorHAnsi" w:hAnsiTheme="minorHAnsi" w:cstheme="minorHAnsi"/>
                            <w:sz w:val="20"/>
                            <w:szCs w:val="20"/>
                          </w:rPr>
                          <w:t>.</w:t>
                        </w:r>
                      </w:p>
                      <w:p w14:paraId="29B06F55" w14:textId="043DD22D" w:rsidR="00511D9B" w:rsidRDefault="00511D9B" w:rsidP="001F38A5">
                        <w:pPr>
                          <w:spacing w:line="180" w:lineRule="auto"/>
                          <w:rPr>
                            <w:rFonts w:asciiTheme="minorHAnsi" w:hAnsiTheme="minorHAnsi" w:cstheme="minorHAnsi"/>
                            <w:sz w:val="20"/>
                            <w:szCs w:val="20"/>
                          </w:rPr>
                        </w:pPr>
                        <w:r w:rsidRPr="007E4CB7">
                          <w:rPr>
                            <w:rFonts w:asciiTheme="minorHAnsi" w:hAnsiTheme="minorHAnsi" w:cstheme="minorHAnsi"/>
                            <w:b/>
                            <w:sz w:val="20"/>
                            <w:szCs w:val="20"/>
                          </w:rPr>
                          <w:t>Vztah k veřejným strategiím</w:t>
                        </w:r>
                        <w:r>
                          <w:rPr>
                            <w:rFonts w:asciiTheme="minorHAnsi" w:hAnsiTheme="minorHAnsi" w:cstheme="minorHAnsi"/>
                            <w:sz w:val="20"/>
                            <w:szCs w:val="20"/>
                          </w:rPr>
                          <w:t>: Je možné tyto výdaje ve veřejných strategiích plánovat, přesto se to často neděje – schází politická vůle nebo neznalost.</w:t>
                        </w:r>
                      </w:p>
                      <w:p w14:paraId="70ABDDF4" w14:textId="77777777" w:rsidR="00511D9B" w:rsidRPr="00576CB4" w:rsidRDefault="00511D9B" w:rsidP="001F38A5">
                        <w:pPr>
                          <w:spacing w:line="180" w:lineRule="auto"/>
                          <w:rPr>
                            <w:rFonts w:asciiTheme="minorHAnsi" w:hAnsiTheme="minorHAnsi" w:cstheme="minorHAnsi"/>
                            <w:b/>
                            <w:sz w:val="20"/>
                          </w:rPr>
                        </w:pPr>
                      </w:p>
                    </w:txbxContent>
                  </v:textbox>
                </v:shape>
                <v:shape id="_x0000_s1028" type="#_x0000_t202" style="position:absolute;left:15943;top:803;width:41889;height:1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UExgAAAN4AAAAPAAAAZHJzL2Rvd25yZXYueG1sRI9Pi8Iw&#10;FMTvwn6H8Ba8aWpF0a5RiuAf2JNV0OOjedsWm5fSxFq/vVlY2OMwM79hVpve1KKj1lWWFUzGEQji&#10;3OqKCwWX8260AOE8ssbaMil4kYPN+mOwwkTbJ5+oy3whAoRdggpK75tESpeXZNCNbUMcvB/bGvRB&#10;toXULT4D3NQyjqK5NFhxWCixoW1J+T17GAV4W6Z7Smfdd3N5TMy9uy4Pu6tSw88+/QLhqff/4b/2&#10;USuIp7NFDL93whWQ6zcAAAD//wMAUEsBAi0AFAAGAAgAAAAhANvh9svuAAAAhQEAABMAAAAAAAAA&#10;AAAAAAAAAAAAAFtDb250ZW50X1R5cGVzXS54bWxQSwECLQAUAAYACAAAACEAWvQsW78AAAAVAQAA&#10;CwAAAAAAAAAAAAAAAAAfAQAAX3JlbHMvLnJlbHNQSwECLQAUAAYACAAAACEAXMiFBMYAAADeAAAA&#10;DwAAAAAAAAAAAAAAAAAHAgAAZHJzL2Rvd25yZXYueG1sUEsFBgAAAAADAAMAtwAAAPoCAAAAAA==&#10;" fillcolor="white [3212]" strokecolor="#0070c0" strokeweight=".25pt">
                  <v:textbox>
                    <w:txbxContent>
                      <w:p w14:paraId="47F884C6" w14:textId="4BD29F3F" w:rsidR="00511D9B" w:rsidRDefault="00511D9B" w:rsidP="00E20C04">
                        <w:pPr>
                          <w:spacing w:line="180" w:lineRule="auto"/>
                          <w:rPr>
                            <w:rFonts w:asciiTheme="minorHAnsi" w:hAnsiTheme="minorHAnsi" w:cstheme="minorHAnsi"/>
                            <w:b/>
                            <w:sz w:val="22"/>
                            <w:szCs w:val="20"/>
                          </w:rPr>
                        </w:pPr>
                        <w:r w:rsidRPr="00E20C04">
                          <w:rPr>
                            <w:rFonts w:asciiTheme="minorHAnsi" w:hAnsiTheme="minorHAnsi" w:cstheme="minorHAnsi"/>
                            <w:b/>
                            <w:sz w:val="22"/>
                            <w:szCs w:val="20"/>
                          </w:rPr>
                          <w:t>Mandatorní výdaje</w:t>
                        </w:r>
                        <w:r>
                          <w:rPr>
                            <w:rFonts w:asciiTheme="minorHAnsi" w:hAnsiTheme="minorHAnsi" w:cstheme="minorHAnsi"/>
                            <w:b/>
                            <w:sz w:val="22"/>
                            <w:szCs w:val="20"/>
                          </w:rPr>
                          <w:t xml:space="preserve"> (cca 55% výdajů)</w:t>
                        </w:r>
                        <w:r w:rsidRPr="00E20C04">
                          <w:rPr>
                            <w:rFonts w:asciiTheme="minorHAnsi" w:hAnsiTheme="minorHAnsi" w:cstheme="minorHAnsi"/>
                            <w:b/>
                            <w:sz w:val="22"/>
                            <w:szCs w:val="20"/>
                          </w:rPr>
                          <w:t xml:space="preserve">: </w:t>
                        </w:r>
                      </w:p>
                      <w:p w14:paraId="63CF6C54" w14:textId="0628F13C" w:rsidR="00511D9B" w:rsidRDefault="00511D9B" w:rsidP="00E20C04">
                        <w:pPr>
                          <w:spacing w:line="180" w:lineRule="auto"/>
                          <w:rPr>
                            <w:rFonts w:asciiTheme="minorHAnsi" w:hAnsiTheme="minorHAnsi" w:cstheme="minorHAnsi"/>
                            <w:sz w:val="20"/>
                            <w:szCs w:val="20"/>
                          </w:rPr>
                        </w:pPr>
                        <w:r>
                          <w:rPr>
                            <w:rFonts w:asciiTheme="minorHAnsi" w:hAnsiTheme="minorHAnsi" w:cstheme="minorHAnsi"/>
                            <w:sz w:val="20"/>
                            <w:szCs w:val="20"/>
                          </w:rPr>
                          <w:t>P</w:t>
                        </w:r>
                        <w:r w:rsidRPr="00E20C04">
                          <w:rPr>
                            <w:rFonts w:asciiTheme="minorHAnsi" w:hAnsiTheme="minorHAnsi" w:cstheme="minorHAnsi"/>
                            <w:sz w:val="20"/>
                            <w:szCs w:val="20"/>
                          </w:rPr>
                          <w:t xml:space="preserve">ovinné prostředky, které musí být </w:t>
                        </w:r>
                        <w:r>
                          <w:rPr>
                            <w:rFonts w:asciiTheme="minorHAnsi" w:hAnsiTheme="minorHAnsi" w:cstheme="minorHAnsi"/>
                            <w:sz w:val="20"/>
                            <w:szCs w:val="20"/>
                          </w:rPr>
                          <w:t>v</w:t>
                        </w:r>
                        <w:r w:rsidRPr="00E20C04">
                          <w:rPr>
                            <w:rFonts w:asciiTheme="minorHAnsi" w:hAnsiTheme="minorHAnsi" w:cstheme="minorHAnsi"/>
                            <w:sz w:val="20"/>
                            <w:szCs w:val="20"/>
                          </w:rPr>
                          <w:t>ynaloženy</w:t>
                        </w:r>
                        <w:r>
                          <w:rPr>
                            <w:rFonts w:asciiTheme="minorHAnsi" w:hAnsiTheme="minorHAnsi" w:cstheme="minorHAnsi"/>
                            <w:sz w:val="20"/>
                            <w:szCs w:val="20"/>
                          </w:rPr>
                          <w:t xml:space="preserve"> ze zákonů (jde např. o dávky důchodového nebo </w:t>
                        </w:r>
                        <w:r w:rsidRPr="00566507">
                          <w:rPr>
                            <w:rFonts w:asciiTheme="minorHAnsi" w:hAnsiTheme="minorHAnsi" w:cstheme="minorHAnsi"/>
                            <w:sz w:val="20"/>
                            <w:szCs w:val="20"/>
                          </w:rPr>
                          <w:t>nemocenského po</w:t>
                        </w:r>
                        <w:r>
                          <w:rPr>
                            <w:rFonts w:asciiTheme="minorHAnsi" w:hAnsiTheme="minorHAnsi" w:cstheme="minorHAnsi"/>
                            <w:sz w:val="20"/>
                            <w:szCs w:val="20"/>
                          </w:rPr>
                          <w:t xml:space="preserve">jištění, sociální dávky, zdravotní </w:t>
                        </w:r>
                        <w:r w:rsidRPr="00566507">
                          <w:rPr>
                            <w:rFonts w:asciiTheme="minorHAnsi" w:hAnsiTheme="minorHAnsi" w:cstheme="minorHAnsi"/>
                            <w:sz w:val="20"/>
                            <w:szCs w:val="20"/>
                          </w:rPr>
                          <w:t>pojištění, podpory v nezaměstnano</w:t>
                        </w:r>
                        <w:r>
                          <w:rPr>
                            <w:rFonts w:asciiTheme="minorHAnsi" w:hAnsiTheme="minorHAnsi" w:cstheme="minorHAnsi"/>
                            <w:sz w:val="20"/>
                            <w:szCs w:val="20"/>
                          </w:rPr>
                          <w:t>sti, výdaje na dluhovou službu</w:t>
                        </w:r>
                        <w:r w:rsidRPr="00566507">
                          <w:rPr>
                            <w:rFonts w:asciiTheme="minorHAnsi" w:hAnsiTheme="minorHAnsi" w:cstheme="minorHAnsi"/>
                            <w:sz w:val="20"/>
                            <w:szCs w:val="20"/>
                          </w:rPr>
                          <w:t xml:space="preserve">) nebo </w:t>
                        </w:r>
                        <w:r>
                          <w:rPr>
                            <w:rFonts w:asciiTheme="minorHAnsi" w:hAnsiTheme="minorHAnsi" w:cstheme="minorHAnsi"/>
                            <w:sz w:val="20"/>
                            <w:szCs w:val="20"/>
                          </w:rPr>
                          <w:t>jiných právních</w:t>
                        </w:r>
                        <w:r w:rsidRPr="00566507">
                          <w:rPr>
                            <w:rFonts w:asciiTheme="minorHAnsi" w:hAnsiTheme="minorHAnsi" w:cstheme="minorHAnsi"/>
                            <w:sz w:val="20"/>
                            <w:szCs w:val="20"/>
                          </w:rPr>
                          <w:t xml:space="preserve"> nor</w:t>
                        </w:r>
                        <w:r>
                          <w:rPr>
                            <w:rFonts w:asciiTheme="minorHAnsi" w:hAnsiTheme="minorHAnsi" w:cstheme="minorHAnsi"/>
                            <w:sz w:val="20"/>
                            <w:szCs w:val="20"/>
                          </w:rPr>
                          <w:t>e</w:t>
                        </w:r>
                        <w:r w:rsidRPr="00566507">
                          <w:rPr>
                            <w:rFonts w:asciiTheme="minorHAnsi" w:hAnsiTheme="minorHAnsi" w:cstheme="minorHAnsi"/>
                            <w:sz w:val="20"/>
                            <w:szCs w:val="20"/>
                          </w:rPr>
                          <w:t>m</w:t>
                        </w:r>
                        <w:r>
                          <w:rPr>
                            <w:rFonts w:asciiTheme="minorHAnsi" w:hAnsiTheme="minorHAnsi" w:cstheme="minorHAnsi"/>
                            <w:sz w:val="20"/>
                            <w:szCs w:val="20"/>
                          </w:rPr>
                          <w:t xml:space="preserve"> či smluvních</w:t>
                        </w:r>
                        <w:r w:rsidRPr="00566507">
                          <w:rPr>
                            <w:rFonts w:asciiTheme="minorHAnsi" w:hAnsiTheme="minorHAnsi" w:cstheme="minorHAnsi"/>
                            <w:sz w:val="20"/>
                            <w:szCs w:val="20"/>
                          </w:rPr>
                          <w:t xml:space="preserve"> závazk</w:t>
                        </w:r>
                        <w:r>
                          <w:rPr>
                            <w:rFonts w:asciiTheme="minorHAnsi" w:hAnsiTheme="minorHAnsi" w:cstheme="minorHAnsi"/>
                            <w:sz w:val="20"/>
                            <w:szCs w:val="20"/>
                          </w:rPr>
                          <w:t>ů</w:t>
                        </w:r>
                        <w:r w:rsidRPr="00566507">
                          <w:rPr>
                            <w:rFonts w:asciiTheme="minorHAnsi" w:hAnsiTheme="minorHAnsi" w:cstheme="minorHAnsi"/>
                            <w:sz w:val="20"/>
                            <w:szCs w:val="20"/>
                          </w:rPr>
                          <w:t xml:space="preserve"> (odvody do rozpočtu EU a mezinárodních organizací, státní záruky, </w:t>
                        </w:r>
                        <w:r>
                          <w:rPr>
                            <w:rFonts w:asciiTheme="minorHAnsi" w:hAnsiTheme="minorHAnsi" w:cstheme="minorHAnsi"/>
                            <w:sz w:val="20"/>
                            <w:szCs w:val="20"/>
                          </w:rPr>
                          <w:t>dotace na obnovitelné zdroje</w:t>
                        </w:r>
                        <w:r w:rsidRPr="00566507">
                          <w:rPr>
                            <w:rFonts w:asciiTheme="minorHAnsi" w:hAnsiTheme="minorHAnsi" w:cstheme="minorHAnsi"/>
                            <w:sz w:val="20"/>
                            <w:szCs w:val="20"/>
                          </w:rPr>
                          <w:t xml:space="preserve">). </w:t>
                        </w:r>
                        <w:r>
                          <w:rPr>
                            <w:rFonts w:asciiTheme="minorHAnsi" w:hAnsiTheme="minorHAnsi" w:cstheme="minorHAnsi"/>
                            <w:sz w:val="20"/>
                            <w:szCs w:val="20"/>
                          </w:rPr>
                          <w:t xml:space="preserve">V rozpočtu 2022 </w:t>
                        </w:r>
                        <w:r w:rsidRPr="00566507">
                          <w:rPr>
                            <w:rFonts w:asciiTheme="minorHAnsi" w:hAnsiTheme="minorHAnsi" w:cstheme="minorHAnsi"/>
                            <w:sz w:val="20"/>
                            <w:szCs w:val="20"/>
                          </w:rPr>
                          <w:t xml:space="preserve">představují 1032,8 mld. Kč </w:t>
                        </w:r>
                        <w:r>
                          <w:rPr>
                            <w:rFonts w:asciiTheme="minorHAnsi" w:hAnsiTheme="minorHAnsi" w:cstheme="minorHAnsi"/>
                            <w:sz w:val="20"/>
                            <w:szCs w:val="20"/>
                          </w:rPr>
                          <w:t>(54,6 %)</w:t>
                        </w:r>
                        <w:r w:rsidRPr="00566507">
                          <w:rPr>
                            <w:rFonts w:asciiTheme="minorHAnsi" w:hAnsiTheme="minorHAnsi" w:cstheme="minorHAnsi"/>
                            <w:sz w:val="20"/>
                            <w:szCs w:val="20"/>
                          </w:rPr>
                          <w:t>.</w:t>
                        </w:r>
                      </w:p>
                      <w:p w14:paraId="0A4F8564" w14:textId="58DDD9FF" w:rsidR="00511D9B" w:rsidRDefault="00511D9B" w:rsidP="00E20C04">
                        <w:pPr>
                          <w:spacing w:line="180" w:lineRule="auto"/>
                          <w:rPr>
                            <w:rFonts w:asciiTheme="minorHAnsi" w:hAnsiTheme="minorHAnsi" w:cstheme="minorHAnsi"/>
                            <w:sz w:val="20"/>
                            <w:szCs w:val="20"/>
                          </w:rPr>
                        </w:pPr>
                        <w:r w:rsidRPr="007E4CB7">
                          <w:rPr>
                            <w:rFonts w:asciiTheme="minorHAnsi" w:hAnsiTheme="minorHAnsi" w:cstheme="minorHAnsi"/>
                            <w:b/>
                            <w:sz w:val="20"/>
                            <w:szCs w:val="20"/>
                          </w:rPr>
                          <w:t>Vztah k veřejným strategiím</w:t>
                        </w:r>
                        <w:r>
                          <w:rPr>
                            <w:rFonts w:asciiTheme="minorHAnsi" w:hAnsiTheme="minorHAnsi" w:cstheme="minorHAnsi"/>
                            <w:sz w:val="20"/>
                            <w:szCs w:val="20"/>
                          </w:rPr>
                          <w:t>: Jde o povinné prostředky, dokud nedojde ke změně legislativy. V rámci veřejné strategie je však možné do budoucna plánovat změny legislativy, a tím také rozsah těchto výdajů.</w:t>
                        </w:r>
                      </w:p>
                      <w:p w14:paraId="12B0D10A" w14:textId="77777777" w:rsidR="00511D9B" w:rsidRPr="00576CB4" w:rsidRDefault="00511D9B" w:rsidP="00E20C04">
                        <w:pPr>
                          <w:spacing w:line="180" w:lineRule="auto"/>
                          <w:rPr>
                            <w:rFonts w:asciiTheme="minorHAnsi" w:hAnsiTheme="minorHAnsi" w:cstheme="minorHAnsi"/>
                            <w:b/>
                            <w:sz w:val="20"/>
                          </w:rPr>
                        </w:pPr>
                      </w:p>
                    </w:txbxContent>
                  </v:textbox>
                </v:shape>
                <v:shapetype id="_x0000_t32" coordsize="21600,21600" o:spt="32" o:oned="t" path="m,l21600,21600e" filled="f">
                  <v:path arrowok="t" fillok="f" o:connecttype="none"/>
                  <o:lock v:ext="edit" shapetype="t"/>
                </v:shapetype>
                <v:shape id="Přímá spojnice se šipkou 23583" o:spid="_x0000_s1029" type="#_x0000_t32" style="position:absolute;left:11357;top:7373;width:4586;height:103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wnxgAAAN4AAAAPAAAAZHJzL2Rvd25yZXYueG1sRI9BS8NA&#10;FITvgv9heYIXaTdmay2x2yKK2GvTInp7Zp9JMPs25K1t/PddoeBxmJlvmOV69J060CBtYAu30wwU&#10;cRVcy7WF/e5lsgAlEdlhF5gs/JLAenV5scTChSNv6VDGWiUIS4EWmhj7QmupGvIo09ATJ+8rDB5j&#10;kkOt3YDHBPedzrNsrj22nBYa7Ompoeq7/PEWTJxJvp2930v5UX/euGdj5O3V2uur8fEBVKQx/ofP&#10;7Y2zkJu7hYG/O+kK6NUJAAD//wMAUEsBAi0AFAAGAAgAAAAhANvh9svuAAAAhQEAABMAAAAAAAAA&#10;AAAAAAAAAAAAAFtDb250ZW50X1R5cGVzXS54bWxQSwECLQAUAAYACAAAACEAWvQsW78AAAAVAQAA&#10;CwAAAAAAAAAAAAAAAAAfAQAAX3JlbHMvLnJlbHNQSwECLQAUAAYACAAAACEA4zqcJ8YAAADeAAAA&#10;DwAAAAAAAAAAAAAAAAAHAgAAZHJzL2Rvd25yZXYueG1sUEsFBgAAAAADAAMAtwAAAPoCAAAAAA==&#10;" strokecolor="black [3200]" strokeweight=".5pt">
                  <v:stroke endarrow="block" joinstyle="miter"/>
                </v:shape>
                <v:shape id="_x0000_s1030" type="#_x0000_t202" style="position:absolute;left:533;top:15313;width:10824;height:4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lLxgAAAN4AAAAPAAAAZHJzL2Rvd25yZXYueG1sRI/NasJA&#10;FIX3Bd9huEI3xUwSa5DoGLS04Kq0Kri9ZK5J2sydkBl1+vadRaHLw/njW1fB9OJGo+ssK8iSFARx&#10;bXXHjYLT8W22BOE8ssbeMin4IQfVZvKwxlLbO3/S7eAbEUfYlaig9X4opXR1SwZdYgfi6F3saNBH&#10;OTZSj3iP46aXeZoW0mDH8aHFgV5aqr8PV6Pg47rYP1P4Cq9PRV+b8y7T7/NMqcdp2K5AeAr+P/zX&#10;3msF+XyxjAARJ6KA3PwCAAD//wMAUEsBAi0AFAAGAAgAAAAhANvh9svuAAAAhQEAABMAAAAAAAAA&#10;AAAAAAAAAAAAAFtDb250ZW50X1R5cGVzXS54bWxQSwECLQAUAAYACAAAACEAWvQsW78AAAAVAQAA&#10;CwAAAAAAAAAAAAAAAAAfAQAAX3JlbHMvLnJlbHNQSwECLQAUAAYACAAAACEA0AE5S8YAAADeAAAA&#10;DwAAAAAAAAAAAAAAAAAHAgAAZHJzL2Rvd25yZXYueG1sUEsFBgAAAAADAAMAtwAAAPoCAAAAAA==&#10;" filled="f" strokecolor="#0070c0" strokeweight=".25pt">
                  <v:textbox>
                    <w:txbxContent>
                      <w:p w14:paraId="39339DA0" w14:textId="7CFDE5FB" w:rsidR="00511D9B" w:rsidRPr="00E20C04" w:rsidRDefault="00511D9B" w:rsidP="00837E60">
                        <w:pPr>
                          <w:spacing w:line="180" w:lineRule="auto"/>
                          <w:jc w:val="center"/>
                          <w:rPr>
                            <w:rFonts w:asciiTheme="minorHAnsi" w:hAnsiTheme="minorHAnsi" w:cstheme="minorHAnsi"/>
                            <w:b/>
                            <w:sz w:val="32"/>
                          </w:rPr>
                        </w:pPr>
                        <w:r w:rsidRPr="00E20C04">
                          <w:rPr>
                            <w:rFonts w:asciiTheme="minorHAnsi" w:hAnsiTheme="minorHAnsi" w:cstheme="minorHAnsi"/>
                            <w:b/>
                            <w:sz w:val="32"/>
                          </w:rPr>
                          <w:t>Výdaje státu v ČR</w:t>
                        </w:r>
                      </w:p>
                      <w:p w14:paraId="0C32D6C9" w14:textId="77777777" w:rsidR="00511D9B" w:rsidRPr="00576CB4" w:rsidRDefault="00511D9B" w:rsidP="00837E60">
                        <w:pPr>
                          <w:spacing w:line="180" w:lineRule="auto"/>
                          <w:jc w:val="center"/>
                          <w:rPr>
                            <w:rFonts w:asciiTheme="minorHAnsi" w:hAnsiTheme="minorHAnsi" w:cstheme="minorHAnsi"/>
                            <w:b/>
                            <w:sz w:val="20"/>
                          </w:rPr>
                        </w:pPr>
                      </w:p>
                    </w:txbxContent>
                  </v:textbox>
                </v:shape>
                <v:shape id="Přímá spojnice se šipkou 23968" o:spid="_x0000_s1031" type="#_x0000_t32" style="position:absolute;left:11357;top:17715;width:4586;height:10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WHLxQAAAN4AAAAPAAAAZHJzL2Rvd25yZXYueG1sRE/LagIx&#10;FN0L/YdwC25EM1oQnU5GRFoRigttKXR3O7nzaCc3QxLH6d83C8Hl4byzzWBa0ZPzjWUF81kCgriw&#10;uuFKwcf763QFwgdkja1lUvBHHjb5wyjDVNsrn6g/h0rEEPYpKqhD6FIpfVGTQT+zHXHkSusMhghd&#10;JbXDaww3rVwkyVIabDg21NjRrqbi93wxCobv09vXZIt9uceXo/nR8lO6Uqnx47B9BhFoCHfxzX3Q&#10;ChZP62XcG+/EKyDzfwAAAP//AwBQSwECLQAUAAYACAAAACEA2+H2y+4AAACFAQAAEwAAAAAAAAAA&#10;AAAAAAAAAAAAW0NvbnRlbnRfVHlwZXNdLnhtbFBLAQItABQABgAIAAAAIQBa9CxbvwAAABUBAAAL&#10;AAAAAAAAAAAAAAAAAB8BAABfcmVscy8ucmVsc1BLAQItABQABgAIAAAAIQA6BWHLxQAAAN4AAAAP&#10;AAAAAAAAAAAAAAAAAAcCAABkcnMvZG93bnJldi54bWxQSwUGAAAAAAMAAwC3AAAA+QIAAAAA&#10;" strokecolor="black [3200]" strokeweight=".5pt">
                  <v:stroke startarrow="oval" endarrow="block" joinstyle="miter"/>
                </v:shape>
                <v:shape id="Přímá spojnice se šipkou 23969" o:spid="_x0000_s1032" type="#_x0000_t32" style="position:absolute;left:11357;top:17715;width:4586;height:1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1UxgAAAN4AAAAPAAAAZHJzL2Rvd25yZXYueG1sRI9Ba8JA&#10;FITvBf/D8oTe6kZLQ5O6SowItreq9PzIvibB7Nskuybx33cLhR6HmfmGWW8n04iBeldbVrBcRCCI&#10;C6trLhVczoenVxDOI2tsLJOCOznYbmYPa0y1HfmThpMvRYCwS1FB5X2bSumKigy6hW2Jg/dte4M+&#10;yL6UuscxwE0jV1EUS4M1h4UKW8orKq6nm1Ewov9KdlnZ5bv9+3F6abr4fPlQ6nE+ZW8gPE3+P/zX&#10;PmoFq+ckTuD3TrgCcvMDAAD//wMAUEsBAi0AFAAGAAgAAAAhANvh9svuAAAAhQEAABMAAAAAAAAA&#10;AAAAAAAAAAAAAFtDb250ZW50X1R5cGVzXS54bWxQSwECLQAUAAYACAAAACEAWvQsW78AAAAVAQAA&#10;CwAAAAAAAAAAAAAAAAAfAQAAX3JlbHMvLnJlbHNQSwECLQAUAAYACAAAACEAGwrtVMYAAADeAAAA&#10;DwAAAAAAAAAAAAAAAAAHAgAAZHJzL2Rvd25yZXYueG1sUEsFBgAAAAADAAMAtwAAAPoCAAAAAA==&#10;" strokecolor="black [3200]" strokeweight=".5pt">
                  <v:stroke endarrow="block" joinstyle="miter"/>
                </v:shape>
                <v:shape id="_x0000_s1033" type="#_x0000_t202" style="position:absolute;left:15943;top:14324;width:4188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3mxwAAAN4AAAAPAAAAZHJzL2Rvd25yZXYueG1sRI9Ba8JA&#10;FITvQv/D8gq91Y22VpO6SiikFTyZCnp8ZJ9JMPs2ZNck/ffdQsHjMDPfMOvtaBrRU+dqywpm0wgE&#10;cWF1zaWC43f2vALhPLLGxjIp+CEH283DZI2JtgMfqM99KQKEXYIKKu/bREpXVGTQTW1LHLyL7Qz6&#10;ILtS6g6HADeNnEfRmzRYc1iosKWPioprfjMK8Bynn5Qu+n17vM3MtT/FX9lJqafHMX0H4Wn09/B/&#10;e6cVzF/i5Sv83QlXQG5+AQAA//8DAFBLAQItABQABgAIAAAAIQDb4fbL7gAAAIUBAAATAAAAAAAA&#10;AAAAAAAAAAAAAABbQ29udGVudF9UeXBlc10ueG1sUEsBAi0AFAAGAAgAAAAhAFr0LFu/AAAAFQEA&#10;AAsAAAAAAAAAAAAAAAAAHwEAAF9yZWxzLy5yZWxzUEsBAi0AFAAGAAgAAAAhAKQpPebHAAAA3gAA&#10;AA8AAAAAAAAAAAAAAAAABwIAAGRycy9kb3ducmV2LnhtbFBLBQYAAAAAAwADALcAAAD7AgAAAAA=&#10;" fillcolor="white [3212]" strokecolor="#0070c0" strokeweight=".25pt">
                  <v:textbox>
                    <w:txbxContent>
                      <w:p w14:paraId="5720566B" w14:textId="65A5D3F4" w:rsidR="00511D9B" w:rsidRDefault="00511D9B" w:rsidP="007E4CB7">
                        <w:pPr>
                          <w:spacing w:line="180" w:lineRule="auto"/>
                          <w:rPr>
                            <w:rFonts w:asciiTheme="minorHAnsi" w:hAnsiTheme="minorHAnsi" w:cstheme="minorHAnsi"/>
                            <w:b/>
                            <w:sz w:val="22"/>
                            <w:szCs w:val="20"/>
                          </w:rPr>
                        </w:pPr>
                        <w:r>
                          <w:rPr>
                            <w:rFonts w:asciiTheme="minorHAnsi" w:hAnsiTheme="minorHAnsi" w:cstheme="minorHAnsi"/>
                            <w:b/>
                            <w:sz w:val="22"/>
                            <w:szCs w:val="20"/>
                          </w:rPr>
                          <w:t>Quasi-m</w:t>
                        </w:r>
                        <w:r w:rsidRPr="00E20C04">
                          <w:rPr>
                            <w:rFonts w:asciiTheme="minorHAnsi" w:hAnsiTheme="minorHAnsi" w:cstheme="minorHAnsi"/>
                            <w:b/>
                            <w:sz w:val="22"/>
                            <w:szCs w:val="20"/>
                          </w:rPr>
                          <w:t>andatorní výdaje</w:t>
                        </w:r>
                        <w:r>
                          <w:rPr>
                            <w:rFonts w:asciiTheme="minorHAnsi" w:hAnsiTheme="minorHAnsi" w:cstheme="minorHAnsi"/>
                            <w:b/>
                            <w:sz w:val="22"/>
                            <w:szCs w:val="20"/>
                          </w:rPr>
                          <w:t xml:space="preserve"> (cca 20% výdajů)</w:t>
                        </w:r>
                        <w:r w:rsidRPr="00E20C04">
                          <w:rPr>
                            <w:rFonts w:asciiTheme="minorHAnsi" w:hAnsiTheme="minorHAnsi" w:cstheme="minorHAnsi"/>
                            <w:b/>
                            <w:sz w:val="22"/>
                            <w:szCs w:val="20"/>
                          </w:rPr>
                          <w:t xml:space="preserve">: </w:t>
                        </w:r>
                      </w:p>
                      <w:p w14:paraId="388D350C" w14:textId="39DE856D" w:rsidR="00511D9B" w:rsidRDefault="00511D9B" w:rsidP="001F38A5">
                        <w:pPr>
                          <w:spacing w:line="180" w:lineRule="auto"/>
                          <w:rPr>
                            <w:rFonts w:asciiTheme="minorHAnsi" w:hAnsiTheme="minorHAnsi" w:cstheme="minorHAnsi"/>
                            <w:sz w:val="20"/>
                            <w:szCs w:val="20"/>
                          </w:rPr>
                        </w:pPr>
                        <w:r>
                          <w:rPr>
                            <w:rFonts w:asciiTheme="minorHAnsi" w:hAnsiTheme="minorHAnsi" w:cstheme="minorHAnsi"/>
                            <w:sz w:val="20"/>
                            <w:szCs w:val="20"/>
                          </w:rPr>
                          <w:t>N</w:t>
                        </w:r>
                        <w:r w:rsidRPr="00566507">
                          <w:rPr>
                            <w:rFonts w:asciiTheme="minorHAnsi" w:hAnsiTheme="minorHAnsi" w:cstheme="minorHAnsi"/>
                            <w:sz w:val="20"/>
                            <w:szCs w:val="20"/>
                          </w:rPr>
                          <w:t xml:space="preserve">ejsou přímo stanoveny zákonem, ale jsou </w:t>
                        </w:r>
                        <w:r>
                          <w:rPr>
                            <w:rFonts w:asciiTheme="minorHAnsi" w:hAnsiTheme="minorHAnsi" w:cstheme="minorHAnsi"/>
                            <w:sz w:val="20"/>
                            <w:szCs w:val="20"/>
                          </w:rPr>
                          <w:t xml:space="preserve">nezbytné pro chod státu (např. </w:t>
                        </w:r>
                        <w:r w:rsidRPr="00566507">
                          <w:rPr>
                            <w:rFonts w:asciiTheme="minorHAnsi" w:hAnsiTheme="minorHAnsi" w:cstheme="minorHAnsi"/>
                            <w:sz w:val="20"/>
                            <w:szCs w:val="20"/>
                          </w:rPr>
                          <w:t xml:space="preserve">platy </w:t>
                        </w:r>
                        <w:r>
                          <w:rPr>
                            <w:rFonts w:asciiTheme="minorHAnsi" w:hAnsiTheme="minorHAnsi" w:cstheme="minorHAnsi"/>
                            <w:sz w:val="20"/>
                            <w:szCs w:val="20"/>
                          </w:rPr>
                          <w:t>ve veřejné správě</w:t>
                        </w:r>
                        <w:r w:rsidRPr="00566507">
                          <w:rPr>
                            <w:rFonts w:asciiTheme="minorHAnsi" w:hAnsiTheme="minorHAnsi" w:cstheme="minorHAnsi"/>
                            <w:sz w:val="20"/>
                            <w:szCs w:val="20"/>
                          </w:rPr>
                          <w:t>, výdaje na obranu</w:t>
                        </w:r>
                        <w:r>
                          <w:rPr>
                            <w:rFonts w:asciiTheme="minorHAnsi" w:hAnsiTheme="minorHAnsi" w:cstheme="minorHAnsi"/>
                            <w:sz w:val="20"/>
                            <w:szCs w:val="20"/>
                          </w:rPr>
                          <w:t>)</w:t>
                        </w:r>
                        <w:r w:rsidRPr="00566507">
                          <w:rPr>
                            <w:rFonts w:asciiTheme="minorHAnsi" w:hAnsiTheme="minorHAnsi" w:cstheme="minorHAnsi"/>
                            <w:sz w:val="20"/>
                            <w:szCs w:val="20"/>
                          </w:rPr>
                          <w:t xml:space="preserve">. </w:t>
                        </w:r>
                        <w:r>
                          <w:rPr>
                            <w:rFonts w:asciiTheme="minorHAnsi" w:hAnsiTheme="minorHAnsi" w:cstheme="minorHAnsi"/>
                            <w:sz w:val="20"/>
                            <w:szCs w:val="20"/>
                          </w:rPr>
                          <w:t xml:space="preserve">V rozpočtu 2022 </w:t>
                        </w:r>
                        <w:r w:rsidRPr="00566507">
                          <w:rPr>
                            <w:rFonts w:asciiTheme="minorHAnsi" w:hAnsiTheme="minorHAnsi" w:cstheme="minorHAnsi"/>
                            <w:sz w:val="20"/>
                            <w:szCs w:val="20"/>
                          </w:rPr>
                          <w:t xml:space="preserve">představují cca 391,2 mld. Kč </w:t>
                        </w:r>
                        <w:r>
                          <w:rPr>
                            <w:rFonts w:asciiTheme="minorHAnsi" w:hAnsiTheme="minorHAnsi" w:cstheme="minorHAnsi"/>
                            <w:sz w:val="20"/>
                            <w:szCs w:val="20"/>
                          </w:rPr>
                          <w:t>(</w:t>
                        </w:r>
                        <w:r w:rsidRPr="00566507">
                          <w:rPr>
                            <w:rFonts w:asciiTheme="minorHAnsi" w:hAnsiTheme="minorHAnsi" w:cstheme="minorHAnsi"/>
                            <w:sz w:val="20"/>
                            <w:szCs w:val="20"/>
                          </w:rPr>
                          <w:t xml:space="preserve">20,7 </w:t>
                        </w:r>
                        <w:r>
                          <w:rPr>
                            <w:rFonts w:asciiTheme="minorHAnsi" w:hAnsiTheme="minorHAnsi" w:cstheme="minorHAnsi"/>
                            <w:sz w:val="20"/>
                            <w:szCs w:val="20"/>
                          </w:rPr>
                          <w:t>%)</w:t>
                        </w:r>
                        <w:r w:rsidRPr="00566507">
                          <w:rPr>
                            <w:rFonts w:asciiTheme="minorHAnsi" w:hAnsiTheme="minorHAnsi" w:cstheme="minorHAnsi"/>
                            <w:sz w:val="20"/>
                            <w:szCs w:val="20"/>
                          </w:rPr>
                          <w:t>.</w:t>
                        </w:r>
                      </w:p>
                      <w:p w14:paraId="310DCC8A" w14:textId="5BD59F64" w:rsidR="00511D9B" w:rsidRDefault="00511D9B" w:rsidP="007E4CB7">
                        <w:pPr>
                          <w:spacing w:line="180" w:lineRule="auto"/>
                          <w:rPr>
                            <w:rFonts w:asciiTheme="minorHAnsi" w:hAnsiTheme="minorHAnsi" w:cstheme="minorHAnsi"/>
                            <w:sz w:val="20"/>
                            <w:szCs w:val="20"/>
                          </w:rPr>
                        </w:pPr>
                        <w:r w:rsidRPr="007E4CB7">
                          <w:rPr>
                            <w:rFonts w:asciiTheme="minorHAnsi" w:hAnsiTheme="minorHAnsi" w:cstheme="minorHAnsi"/>
                            <w:b/>
                            <w:sz w:val="20"/>
                            <w:szCs w:val="20"/>
                          </w:rPr>
                          <w:t>Vztah k veřejným strategiím</w:t>
                        </w:r>
                        <w:r>
                          <w:rPr>
                            <w:rFonts w:asciiTheme="minorHAnsi" w:hAnsiTheme="minorHAnsi" w:cstheme="minorHAnsi"/>
                            <w:sz w:val="20"/>
                            <w:szCs w:val="20"/>
                          </w:rPr>
                          <w:t>: Ve veřejných strategiích je možné do budoucna plánovat změny těchto výdajů – jde zejména o počty zaměstnanců. Změny však mohou významně ovlivnit standardy poskytovaných veřejných služeb.</w:t>
                        </w:r>
                      </w:p>
                      <w:p w14:paraId="796C9642" w14:textId="77777777" w:rsidR="00511D9B" w:rsidRPr="00576CB4" w:rsidRDefault="00511D9B" w:rsidP="007E4CB7">
                        <w:pPr>
                          <w:spacing w:line="180" w:lineRule="auto"/>
                          <w:rPr>
                            <w:rFonts w:asciiTheme="minorHAnsi" w:hAnsiTheme="minorHAnsi" w:cstheme="minorHAnsi"/>
                            <w:b/>
                            <w:sz w:val="20"/>
                          </w:rPr>
                        </w:pPr>
                      </w:p>
                    </w:txbxContent>
                  </v:textbox>
                </v:shape>
              </v:group>
            </w:pict>
          </mc:Fallback>
        </mc:AlternateContent>
      </w:r>
      <w:r w:rsidR="00837E60" w:rsidRPr="006E498E">
        <w:rPr>
          <w:rFonts w:asciiTheme="minorHAnsi" w:eastAsia="Calibri" w:hAnsiTheme="minorHAnsi" w:cstheme="minorHAnsi"/>
          <w:i/>
          <w:iCs/>
          <w:sz w:val="24"/>
          <w:szCs w:val="24"/>
        </w:rPr>
        <w:t xml:space="preserve">Obr. </w:t>
      </w:r>
      <w:r w:rsidR="00C8509D">
        <w:rPr>
          <w:rFonts w:asciiTheme="minorHAnsi" w:eastAsia="Calibri" w:hAnsiTheme="minorHAnsi" w:cstheme="minorHAnsi"/>
          <w:i/>
          <w:iCs/>
          <w:sz w:val="24"/>
          <w:szCs w:val="24"/>
        </w:rPr>
        <w:t>1</w:t>
      </w:r>
      <w:r w:rsidR="00837E60">
        <w:rPr>
          <w:rFonts w:asciiTheme="minorHAnsi" w:eastAsia="Calibri" w:hAnsiTheme="minorHAnsi" w:cstheme="minorHAnsi"/>
          <w:i/>
          <w:iCs/>
          <w:sz w:val="24"/>
          <w:szCs w:val="24"/>
        </w:rPr>
        <w:t xml:space="preserve"> Mandatorní, qu</w:t>
      </w:r>
      <w:r w:rsidR="00E20C04">
        <w:rPr>
          <w:rFonts w:asciiTheme="minorHAnsi" w:eastAsia="Calibri" w:hAnsiTheme="minorHAnsi" w:cstheme="minorHAnsi"/>
          <w:i/>
          <w:iCs/>
          <w:sz w:val="24"/>
          <w:szCs w:val="24"/>
        </w:rPr>
        <w:t>a</w:t>
      </w:r>
      <w:r w:rsidR="00837E60">
        <w:rPr>
          <w:rFonts w:asciiTheme="minorHAnsi" w:eastAsia="Calibri" w:hAnsiTheme="minorHAnsi" w:cstheme="minorHAnsi"/>
          <w:i/>
          <w:iCs/>
          <w:sz w:val="24"/>
          <w:szCs w:val="24"/>
        </w:rPr>
        <w:t>si</w:t>
      </w:r>
      <w:r w:rsidR="00E20C04">
        <w:rPr>
          <w:rFonts w:asciiTheme="minorHAnsi" w:eastAsia="Calibri" w:hAnsiTheme="minorHAnsi" w:cstheme="minorHAnsi"/>
          <w:i/>
          <w:iCs/>
          <w:sz w:val="24"/>
          <w:szCs w:val="24"/>
        </w:rPr>
        <w:t>-</w:t>
      </w:r>
      <w:r w:rsidR="00837E60">
        <w:rPr>
          <w:rFonts w:asciiTheme="minorHAnsi" w:eastAsia="Calibri" w:hAnsiTheme="minorHAnsi" w:cstheme="minorHAnsi"/>
          <w:i/>
          <w:iCs/>
          <w:sz w:val="24"/>
          <w:szCs w:val="24"/>
        </w:rPr>
        <w:t>mandatorní, ostatní výdaje</w:t>
      </w:r>
      <w:r w:rsidR="00837E60" w:rsidRPr="006E498E">
        <w:rPr>
          <w:rFonts w:asciiTheme="minorHAnsi" w:eastAsia="Calibri" w:hAnsiTheme="minorHAnsi" w:cstheme="minorHAnsi"/>
          <w:i/>
          <w:iCs/>
          <w:sz w:val="24"/>
          <w:szCs w:val="24"/>
        </w:rPr>
        <w:t xml:space="preserve"> </w:t>
      </w:r>
      <w:r w:rsidR="00B60B77">
        <w:rPr>
          <w:rFonts w:asciiTheme="minorHAnsi" w:eastAsia="Calibri" w:hAnsiTheme="minorHAnsi" w:cstheme="minorHAnsi"/>
          <w:i/>
          <w:iCs/>
          <w:sz w:val="24"/>
          <w:szCs w:val="24"/>
        </w:rPr>
        <w:t>– vztah k veřejným strategiím</w:t>
      </w:r>
    </w:p>
    <w:p w14:paraId="78EFEDCE" w14:textId="5D28993A" w:rsidR="00E20C04" w:rsidRDefault="00E20C04" w:rsidP="00837E60">
      <w:pPr>
        <w:pStyle w:val="Zkladntext3"/>
        <w:spacing w:after="0" w:line="360" w:lineRule="auto"/>
        <w:jc w:val="both"/>
        <w:rPr>
          <w:rFonts w:asciiTheme="minorHAnsi" w:eastAsia="Calibri" w:hAnsiTheme="minorHAnsi" w:cstheme="minorHAnsi"/>
          <w:i/>
          <w:iCs/>
          <w:sz w:val="24"/>
          <w:szCs w:val="24"/>
        </w:rPr>
      </w:pPr>
    </w:p>
    <w:p w14:paraId="656594F0" w14:textId="7036FDC1" w:rsidR="00E20C04" w:rsidRDefault="00E20C04" w:rsidP="00837E60">
      <w:pPr>
        <w:pStyle w:val="Zkladntext3"/>
        <w:spacing w:after="0" w:line="360" w:lineRule="auto"/>
        <w:jc w:val="both"/>
        <w:rPr>
          <w:rFonts w:asciiTheme="minorHAnsi" w:eastAsia="Calibri" w:hAnsiTheme="minorHAnsi" w:cstheme="minorHAnsi"/>
          <w:i/>
          <w:iCs/>
          <w:sz w:val="24"/>
          <w:szCs w:val="24"/>
        </w:rPr>
      </w:pPr>
    </w:p>
    <w:p w14:paraId="1A84695E" w14:textId="528E2364" w:rsidR="00837E60" w:rsidRDefault="00837E60" w:rsidP="00837E60">
      <w:pPr>
        <w:tabs>
          <w:tab w:val="num" w:pos="720"/>
        </w:tabs>
        <w:jc w:val="both"/>
        <w:rPr>
          <w:rFonts w:ascii="Calibri" w:hAnsi="Calibri" w:cs="Calibri"/>
        </w:rPr>
      </w:pPr>
    </w:p>
    <w:p w14:paraId="64CB01A7" w14:textId="77777777" w:rsidR="00837E60" w:rsidRDefault="00837E60" w:rsidP="00837E60">
      <w:pPr>
        <w:tabs>
          <w:tab w:val="num" w:pos="720"/>
        </w:tabs>
        <w:jc w:val="both"/>
        <w:rPr>
          <w:rFonts w:ascii="Calibri" w:hAnsi="Calibri" w:cs="Calibri"/>
        </w:rPr>
      </w:pPr>
    </w:p>
    <w:p w14:paraId="5B0B60F2" w14:textId="004FE628" w:rsidR="00837E60" w:rsidRDefault="00837E60" w:rsidP="00837E60">
      <w:pPr>
        <w:tabs>
          <w:tab w:val="num" w:pos="720"/>
        </w:tabs>
        <w:jc w:val="both"/>
        <w:rPr>
          <w:rFonts w:asciiTheme="minorHAnsi" w:hAnsiTheme="minorHAnsi" w:cstheme="minorHAnsi"/>
        </w:rPr>
      </w:pPr>
    </w:p>
    <w:p w14:paraId="5E9318BA" w14:textId="4C155F68" w:rsidR="00837E60" w:rsidRDefault="00837E60" w:rsidP="00837E60">
      <w:pPr>
        <w:pStyle w:val="Zkladntext3"/>
        <w:spacing w:after="0" w:line="360" w:lineRule="auto"/>
        <w:ind w:left="66" w:firstLine="294"/>
        <w:jc w:val="both"/>
        <w:rPr>
          <w:rFonts w:asciiTheme="minorHAnsi" w:eastAsia="Calibri" w:hAnsiTheme="minorHAnsi" w:cstheme="minorHAnsi"/>
          <w:i/>
          <w:iCs/>
          <w:sz w:val="24"/>
          <w:szCs w:val="24"/>
        </w:rPr>
      </w:pPr>
    </w:p>
    <w:p w14:paraId="4C28783A" w14:textId="2E7F958F" w:rsidR="00837E60" w:rsidRDefault="00837E60" w:rsidP="00837E60">
      <w:pPr>
        <w:pStyle w:val="Zkladntext3"/>
        <w:spacing w:after="0" w:line="360" w:lineRule="auto"/>
        <w:ind w:left="66" w:firstLine="294"/>
        <w:jc w:val="both"/>
        <w:rPr>
          <w:rFonts w:asciiTheme="minorHAnsi" w:eastAsia="Calibri" w:hAnsiTheme="minorHAnsi" w:cstheme="minorHAnsi"/>
          <w:i/>
          <w:iCs/>
          <w:sz w:val="24"/>
          <w:szCs w:val="24"/>
        </w:rPr>
      </w:pPr>
    </w:p>
    <w:p w14:paraId="1AA96D56" w14:textId="77777777" w:rsidR="00E20C04" w:rsidRDefault="00E20C04" w:rsidP="00837E60">
      <w:pPr>
        <w:pStyle w:val="Zkladntext3"/>
        <w:spacing w:after="0" w:line="360" w:lineRule="auto"/>
        <w:jc w:val="both"/>
        <w:rPr>
          <w:rFonts w:asciiTheme="minorHAnsi" w:eastAsia="Calibri" w:hAnsiTheme="minorHAnsi" w:cstheme="minorHAnsi"/>
          <w:i/>
          <w:iCs/>
          <w:sz w:val="24"/>
          <w:szCs w:val="24"/>
        </w:rPr>
      </w:pPr>
    </w:p>
    <w:p w14:paraId="43BDA1DB" w14:textId="77777777" w:rsidR="002B237F" w:rsidRDefault="002B237F" w:rsidP="00837E60">
      <w:pPr>
        <w:pStyle w:val="Zkladntext3"/>
        <w:spacing w:after="0" w:line="360" w:lineRule="auto"/>
        <w:jc w:val="both"/>
        <w:rPr>
          <w:rFonts w:asciiTheme="minorHAnsi" w:eastAsia="Calibri" w:hAnsiTheme="minorHAnsi" w:cstheme="minorHAnsi"/>
          <w:i/>
          <w:iCs/>
          <w:sz w:val="24"/>
          <w:szCs w:val="24"/>
        </w:rPr>
      </w:pPr>
    </w:p>
    <w:p w14:paraId="2C2B0B69" w14:textId="77777777" w:rsidR="002B237F" w:rsidRDefault="002B237F" w:rsidP="00837E60">
      <w:pPr>
        <w:pStyle w:val="Zkladntext3"/>
        <w:spacing w:after="0" w:line="360" w:lineRule="auto"/>
        <w:jc w:val="both"/>
        <w:rPr>
          <w:rFonts w:asciiTheme="minorHAnsi" w:eastAsia="Calibri" w:hAnsiTheme="minorHAnsi" w:cstheme="minorHAnsi"/>
          <w:i/>
          <w:iCs/>
          <w:sz w:val="24"/>
          <w:szCs w:val="24"/>
        </w:rPr>
      </w:pPr>
    </w:p>
    <w:p w14:paraId="1D58383E" w14:textId="77777777" w:rsidR="002B237F" w:rsidRDefault="002B237F" w:rsidP="00837E60">
      <w:pPr>
        <w:pStyle w:val="Zkladntext3"/>
        <w:spacing w:after="0" w:line="360" w:lineRule="auto"/>
        <w:jc w:val="both"/>
        <w:rPr>
          <w:rFonts w:asciiTheme="minorHAnsi" w:eastAsia="Calibri" w:hAnsiTheme="minorHAnsi" w:cstheme="minorHAnsi"/>
          <w:i/>
          <w:iCs/>
          <w:sz w:val="24"/>
          <w:szCs w:val="24"/>
        </w:rPr>
      </w:pPr>
    </w:p>
    <w:p w14:paraId="47992F0C" w14:textId="7A8D6492" w:rsidR="00837E60" w:rsidRPr="00A06E6A" w:rsidRDefault="00837E60" w:rsidP="00837E60">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414AE474" w14:textId="77777777" w:rsidR="00441214" w:rsidRDefault="00441214" w:rsidP="00052AF9">
      <w:pPr>
        <w:pStyle w:val="A1-text"/>
        <w:spacing w:after="0"/>
        <w:rPr>
          <w:rFonts w:asciiTheme="minorHAnsi" w:hAnsiTheme="minorHAnsi" w:cstheme="minorHAnsi"/>
          <w:lang w:val="cs-CZ"/>
        </w:rPr>
      </w:pPr>
    </w:p>
    <w:p w14:paraId="0C69F09C" w14:textId="3BD6FA3E" w:rsidR="00052AF9" w:rsidRDefault="00052AF9" w:rsidP="00052AF9">
      <w:pPr>
        <w:pStyle w:val="A1-text"/>
        <w:spacing w:after="0"/>
        <w:rPr>
          <w:rFonts w:asciiTheme="minorHAnsi" w:hAnsiTheme="minorHAnsi" w:cstheme="minorHAnsi"/>
          <w:lang w:val="cs-CZ"/>
        </w:rPr>
      </w:pPr>
      <w:r>
        <w:rPr>
          <w:rFonts w:asciiTheme="minorHAnsi" w:hAnsiTheme="minorHAnsi" w:cstheme="minorHAnsi"/>
          <w:lang w:val="cs-CZ"/>
        </w:rPr>
        <w:lastRenderedPageBreak/>
        <w:t>Na následujícím obrázku j</w:t>
      </w:r>
      <w:r w:rsidR="00593DA0">
        <w:rPr>
          <w:rFonts w:asciiTheme="minorHAnsi" w:hAnsiTheme="minorHAnsi" w:cstheme="minorHAnsi"/>
          <w:lang w:val="cs-CZ"/>
        </w:rPr>
        <w:t>e</w:t>
      </w:r>
      <w:r>
        <w:rPr>
          <w:rFonts w:asciiTheme="minorHAnsi" w:hAnsiTheme="minorHAnsi" w:cstheme="minorHAnsi"/>
          <w:lang w:val="cs-CZ"/>
        </w:rPr>
        <w:t xml:space="preserve"> zobrazena </w:t>
      </w:r>
      <w:r w:rsidRPr="001A3A71">
        <w:rPr>
          <w:rFonts w:asciiTheme="minorHAnsi" w:hAnsiTheme="minorHAnsi" w:cstheme="minorHAnsi"/>
          <w:b/>
          <w:lang w:val="cs-CZ"/>
        </w:rPr>
        <w:t>problematika rozpočtování ve vazbě na strategickou práci</w:t>
      </w:r>
      <w:r>
        <w:rPr>
          <w:rFonts w:asciiTheme="minorHAnsi" w:hAnsiTheme="minorHAnsi" w:cstheme="minorHAnsi"/>
          <w:lang w:val="cs-CZ"/>
        </w:rPr>
        <w:t>. Důležitý je:</w:t>
      </w:r>
    </w:p>
    <w:p w14:paraId="57404DE3" w14:textId="0A6F5D02" w:rsidR="00052AF9" w:rsidRDefault="00593DA0" w:rsidP="0065698B">
      <w:pPr>
        <w:pStyle w:val="A1-text"/>
        <w:numPr>
          <w:ilvl w:val="0"/>
          <w:numId w:val="19"/>
        </w:numPr>
        <w:tabs>
          <w:tab w:val="clear" w:pos="284"/>
          <w:tab w:val="left" w:pos="0"/>
        </w:tabs>
        <w:spacing w:after="0"/>
        <w:rPr>
          <w:rFonts w:asciiTheme="minorHAnsi" w:hAnsiTheme="minorHAnsi" w:cstheme="minorHAnsi"/>
          <w:lang w:val="cs-CZ"/>
        </w:rPr>
      </w:pPr>
      <w:r>
        <w:rPr>
          <w:rFonts w:asciiTheme="minorHAnsi" w:hAnsiTheme="minorHAnsi" w:cstheme="minorHAnsi"/>
          <w:lang w:val="cs-CZ"/>
        </w:rPr>
        <w:t>r</w:t>
      </w:r>
      <w:r w:rsidR="00F60AEE">
        <w:rPr>
          <w:rFonts w:asciiTheme="minorHAnsi" w:hAnsiTheme="minorHAnsi" w:cstheme="minorHAnsi"/>
          <w:lang w:val="cs-CZ"/>
        </w:rPr>
        <w:t>ozpočet instituce, která</w:t>
      </w:r>
      <w:r w:rsidR="00052AF9">
        <w:rPr>
          <w:rFonts w:asciiTheme="minorHAnsi" w:hAnsiTheme="minorHAnsi" w:cstheme="minorHAnsi"/>
          <w:lang w:val="cs-CZ"/>
        </w:rPr>
        <w:t xml:space="preserve"> strategii připravuje nebo se na ní podílí</w:t>
      </w:r>
    </w:p>
    <w:p w14:paraId="7B30EC0B" w14:textId="77777777" w:rsidR="009F1F6A" w:rsidRDefault="009F1F6A" w:rsidP="009F1F6A">
      <w:pPr>
        <w:pStyle w:val="A1-text"/>
        <w:numPr>
          <w:ilvl w:val="0"/>
          <w:numId w:val="19"/>
        </w:numPr>
        <w:tabs>
          <w:tab w:val="clear" w:pos="284"/>
          <w:tab w:val="left" w:pos="0"/>
        </w:tabs>
        <w:spacing w:after="0"/>
        <w:rPr>
          <w:rFonts w:asciiTheme="minorHAnsi" w:hAnsiTheme="minorHAnsi" w:cstheme="minorHAnsi"/>
          <w:lang w:val="cs-CZ"/>
        </w:rPr>
      </w:pPr>
      <w:r>
        <w:rPr>
          <w:rFonts w:asciiTheme="minorHAnsi" w:hAnsiTheme="minorHAnsi" w:cstheme="minorHAnsi"/>
          <w:lang w:val="cs-CZ"/>
        </w:rPr>
        <w:t xml:space="preserve">rozpočet veřejné strategie zahrnující jak rozpočet tvorby strategie, tak rozpočet na její implementaci. </w:t>
      </w:r>
    </w:p>
    <w:p w14:paraId="58F8E6AA" w14:textId="2D50A8FA" w:rsidR="00052AF9" w:rsidRDefault="00593DA0" w:rsidP="0065698B">
      <w:pPr>
        <w:pStyle w:val="A1-text"/>
        <w:numPr>
          <w:ilvl w:val="0"/>
          <w:numId w:val="19"/>
        </w:numPr>
        <w:tabs>
          <w:tab w:val="clear" w:pos="284"/>
          <w:tab w:val="left" w:pos="0"/>
          <w:tab w:val="left" w:pos="426"/>
        </w:tabs>
        <w:spacing w:after="0"/>
        <w:rPr>
          <w:rFonts w:asciiTheme="minorHAnsi" w:hAnsiTheme="minorHAnsi" w:cstheme="minorHAnsi"/>
          <w:lang w:val="cs-CZ"/>
        </w:rPr>
      </w:pPr>
      <w:r>
        <w:rPr>
          <w:rFonts w:asciiTheme="minorHAnsi" w:hAnsiTheme="minorHAnsi" w:cstheme="minorHAnsi"/>
          <w:lang w:val="cs-CZ"/>
        </w:rPr>
        <w:t>r</w:t>
      </w:r>
      <w:r w:rsidR="00052AF9">
        <w:rPr>
          <w:rFonts w:asciiTheme="minorHAnsi" w:hAnsiTheme="minorHAnsi" w:cstheme="minorHAnsi"/>
          <w:lang w:val="cs-CZ"/>
        </w:rPr>
        <w:t>ozpočet konkrétních projektů (zejména investičních) nebo případně též dalších aktivit či činností důležitých pro strategickou práci</w:t>
      </w:r>
    </w:p>
    <w:p w14:paraId="5423A944" w14:textId="77777777" w:rsidR="00CA151C" w:rsidRDefault="00CA151C" w:rsidP="00D50C48">
      <w:pPr>
        <w:pStyle w:val="Zkladntext3"/>
        <w:spacing w:after="0" w:line="360" w:lineRule="auto"/>
        <w:jc w:val="both"/>
        <w:rPr>
          <w:rFonts w:asciiTheme="minorHAnsi" w:eastAsia="Calibri" w:hAnsiTheme="minorHAnsi" w:cstheme="minorHAnsi"/>
          <w:i/>
          <w:iCs/>
          <w:sz w:val="24"/>
          <w:szCs w:val="24"/>
        </w:rPr>
      </w:pPr>
      <w:r w:rsidRPr="006E498E">
        <w:rPr>
          <w:rFonts w:asciiTheme="minorHAnsi" w:eastAsia="Calibri" w:hAnsiTheme="minorHAnsi" w:cstheme="minorHAnsi"/>
          <w:i/>
          <w:iCs/>
          <w:sz w:val="24"/>
          <w:szCs w:val="24"/>
        </w:rPr>
        <w:t xml:space="preserve">Obr. </w:t>
      </w:r>
      <w:r>
        <w:rPr>
          <w:rFonts w:asciiTheme="minorHAnsi" w:eastAsia="Calibri" w:hAnsiTheme="minorHAnsi" w:cstheme="minorHAnsi"/>
          <w:i/>
          <w:iCs/>
          <w:sz w:val="24"/>
          <w:szCs w:val="24"/>
        </w:rPr>
        <w:t>2 Vazby rozpočtu instituce, projektu, veřejné strategie</w:t>
      </w:r>
    </w:p>
    <w:p w14:paraId="772179F4" w14:textId="77777777" w:rsidR="00CA151C" w:rsidRDefault="00CA151C" w:rsidP="001A3A71">
      <w:pPr>
        <w:pStyle w:val="Zkladntext3"/>
        <w:spacing w:after="0" w:line="360" w:lineRule="auto"/>
        <w:ind w:left="360"/>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mc:AlternateContent>
          <mc:Choice Requires="wpg">
            <w:drawing>
              <wp:anchor distT="0" distB="0" distL="114300" distR="114300" simplePos="0" relativeHeight="251632128" behindDoc="0" locked="0" layoutInCell="1" allowOverlap="1" wp14:anchorId="5E5F3EE3" wp14:editId="64FB238F">
                <wp:simplePos x="0" y="0"/>
                <wp:positionH relativeFrom="column">
                  <wp:posOffset>572494</wp:posOffset>
                </wp:positionH>
                <wp:positionV relativeFrom="paragraph">
                  <wp:posOffset>40944</wp:posOffset>
                </wp:positionV>
                <wp:extent cx="4724134" cy="2798445"/>
                <wp:effectExtent l="0" t="0" r="19685" b="20955"/>
                <wp:wrapNone/>
                <wp:docPr id="46" name="Skupina 46"/>
                <wp:cNvGraphicFramePr/>
                <a:graphic xmlns:a="http://schemas.openxmlformats.org/drawingml/2006/main">
                  <a:graphicData uri="http://schemas.microsoft.com/office/word/2010/wordprocessingGroup">
                    <wpg:wgp>
                      <wpg:cNvGrpSpPr/>
                      <wpg:grpSpPr>
                        <a:xfrm>
                          <a:off x="0" y="0"/>
                          <a:ext cx="4724134" cy="2798445"/>
                          <a:chOff x="0" y="57150"/>
                          <a:chExt cx="4724134" cy="2798445"/>
                        </a:xfrm>
                      </wpg:grpSpPr>
                      <wps:wsp>
                        <wps:cNvPr id="4112" name="Textové pole 2"/>
                        <wps:cNvSpPr txBox="1">
                          <a:spLocks noChangeArrowheads="1"/>
                        </wps:cNvSpPr>
                        <wps:spPr bwMode="auto">
                          <a:xfrm>
                            <a:off x="1361969" y="57150"/>
                            <a:ext cx="1895475" cy="504825"/>
                          </a:xfrm>
                          <a:prstGeom prst="rect">
                            <a:avLst/>
                          </a:prstGeom>
                          <a:solidFill>
                            <a:schemeClr val="bg1">
                              <a:lumMod val="95000"/>
                            </a:schemeClr>
                          </a:solidFill>
                          <a:ln w="3175">
                            <a:solidFill>
                              <a:srgbClr val="0070C0"/>
                            </a:solidFill>
                            <a:prstDash val="solid"/>
                            <a:miter lim="800000"/>
                            <a:headEnd/>
                            <a:tailEnd/>
                          </a:ln>
                        </wps:spPr>
                        <wps:txbx>
                          <w:txbxContent>
                            <w:p w14:paraId="16EDF6AA" w14:textId="77777777" w:rsidR="00511D9B" w:rsidRPr="00E20C04" w:rsidRDefault="00511D9B" w:rsidP="00CA151C">
                              <w:pPr>
                                <w:spacing w:line="180" w:lineRule="auto"/>
                                <w:jc w:val="center"/>
                                <w:rPr>
                                  <w:rFonts w:asciiTheme="minorHAnsi" w:hAnsiTheme="minorHAnsi" w:cstheme="minorHAnsi"/>
                                  <w:b/>
                                  <w:sz w:val="32"/>
                                </w:rPr>
                              </w:pPr>
                              <w:r>
                                <w:rPr>
                                  <w:rFonts w:asciiTheme="minorHAnsi" w:hAnsiTheme="minorHAnsi" w:cstheme="minorHAnsi"/>
                                  <w:b/>
                                  <w:sz w:val="32"/>
                                </w:rPr>
                                <w:t>Rozpočtování a strategická práce</w:t>
                              </w:r>
                            </w:p>
                            <w:p w14:paraId="421C9978" w14:textId="77777777" w:rsidR="00511D9B" w:rsidRPr="00576CB4" w:rsidRDefault="00511D9B" w:rsidP="00CA151C">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4114" name="Přímá spojnice se šipkou 4114"/>
                        <wps:cNvCnPr>
                          <a:stCxn id="4112" idx="2"/>
                        </wps:cNvCnPr>
                        <wps:spPr>
                          <a:xfrm flipH="1">
                            <a:off x="580981" y="561975"/>
                            <a:ext cx="1728546" cy="314325"/>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121" name="Textové pole 2"/>
                        <wps:cNvSpPr txBox="1">
                          <a:spLocks noChangeArrowheads="1"/>
                        </wps:cNvSpPr>
                        <wps:spPr bwMode="auto">
                          <a:xfrm>
                            <a:off x="3362325" y="885825"/>
                            <a:ext cx="1361809" cy="1074421"/>
                          </a:xfrm>
                          <a:prstGeom prst="rect">
                            <a:avLst/>
                          </a:prstGeom>
                          <a:solidFill>
                            <a:schemeClr val="bg1">
                              <a:lumMod val="95000"/>
                            </a:schemeClr>
                          </a:solidFill>
                          <a:ln w="3175">
                            <a:solidFill>
                              <a:srgbClr val="0070C0"/>
                            </a:solidFill>
                            <a:prstDash val="solid"/>
                            <a:miter lim="800000"/>
                            <a:headEnd/>
                            <a:tailEnd/>
                          </a:ln>
                        </wps:spPr>
                        <wps:txbx>
                          <w:txbxContent>
                            <w:p w14:paraId="370FC236" w14:textId="77777777" w:rsidR="00511D9B" w:rsidRDefault="00511D9B" w:rsidP="00CA151C">
                              <w:pPr>
                                <w:spacing w:line="180" w:lineRule="auto"/>
                                <w:jc w:val="center"/>
                                <w:rPr>
                                  <w:rFonts w:asciiTheme="minorHAnsi" w:hAnsiTheme="minorHAnsi" w:cstheme="minorHAnsi"/>
                                  <w:b/>
                                  <w:sz w:val="28"/>
                                  <w:szCs w:val="20"/>
                                </w:rPr>
                              </w:pPr>
                              <w:r w:rsidRPr="00A269CC">
                                <w:rPr>
                                  <w:rFonts w:asciiTheme="minorHAnsi" w:hAnsiTheme="minorHAnsi" w:cstheme="minorHAnsi"/>
                                  <w:b/>
                                  <w:sz w:val="28"/>
                                  <w:szCs w:val="20"/>
                                </w:rPr>
                                <w:t xml:space="preserve">Rozpočet instituce </w:t>
                              </w:r>
                            </w:p>
                            <w:p w14:paraId="729A5A4B" w14:textId="77777777" w:rsidR="00511D9B" w:rsidRPr="00A269CC" w:rsidRDefault="00511D9B" w:rsidP="00CA151C">
                              <w:pPr>
                                <w:spacing w:line="180" w:lineRule="auto"/>
                                <w:jc w:val="center"/>
                                <w:rPr>
                                  <w:rFonts w:asciiTheme="minorHAnsi" w:hAnsiTheme="minorHAnsi" w:cstheme="minorHAnsi"/>
                                  <w:sz w:val="22"/>
                                  <w:szCs w:val="20"/>
                                </w:rPr>
                              </w:pPr>
                              <w:r w:rsidRPr="00A269CC">
                                <w:rPr>
                                  <w:rFonts w:asciiTheme="minorHAnsi" w:hAnsiTheme="minorHAnsi" w:cstheme="minorHAnsi"/>
                                  <w:sz w:val="22"/>
                                  <w:szCs w:val="20"/>
                                </w:rPr>
                                <w:t>(např</w:t>
                              </w:r>
                              <w:r>
                                <w:rPr>
                                  <w:rFonts w:asciiTheme="minorHAnsi" w:hAnsiTheme="minorHAnsi" w:cstheme="minorHAnsi"/>
                                  <w:sz w:val="22"/>
                                  <w:szCs w:val="20"/>
                                </w:rPr>
                                <w:t>.</w:t>
                              </w:r>
                              <w:r w:rsidRPr="00A269CC">
                                <w:rPr>
                                  <w:rFonts w:asciiTheme="minorHAnsi" w:hAnsiTheme="minorHAnsi" w:cstheme="minorHAnsi"/>
                                  <w:sz w:val="22"/>
                                  <w:szCs w:val="20"/>
                                </w:rPr>
                                <w:t xml:space="preserve"> ministerstva či jiného úřadu, obce, kraje, příspěvkové organizace)</w:t>
                              </w:r>
                            </w:p>
                            <w:p w14:paraId="2686F6CB" w14:textId="77777777" w:rsidR="00511D9B" w:rsidRPr="00A269CC" w:rsidRDefault="00511D9B" w:rsidP="00CA151C">
                              <w:pPr>
                                <w:spacing w:line="180" w:lineRule="auto"/>
                                <w:rPr>
                                  <w:rFonts w:asciiTheme="minorHAnsi" w:hAnsiTheme="minorHAnsi" w:cstheme="minorHAnsi"/>
                                  <w:sz w:val="22"/>
                                  <w:szCs w:val="20"/>
                                </w:rPr>
                              </w:pPr>
                            </w:p>
                          </w:txbxContent>
                        </wps:txbx>
                        <wps:bodyPr rot="0" vert="horz" wrap="square" lIns="91440" tIns="45720" rIns="91440" bIns="45720" anchor="t" anchorCtr="0">
                          <a:noAutofit/>
                        </wps:bodyPr>
                      </wps:wsp>
                      <wps:wsp>
                        <wps:cNvPr id="4122" name="Textové pole 2"/>
                        <wps:cNvSpPr txBox="1">
                          <a:spLocks noChangeArrowheads="1"/>
                        </wps:cNvSpPr>
                        <wps:spPr bwMode="auto">
                          <a:xfrm>
                            <a:off x="0" y="876299"/>
                            <a:ext cx="1314450" cy="1200481"/>
                          </a:xfrm>
                          <a:prstGeom prst="rect">
                            <a:avLst/>
                          </a:prstGeom>
                          <a:solidFill>
                            <a:schemeClr val="bg1"/>
                          </a:solidFill>
                          <a:ln w="3175">
                            <a:solidFill>
                              <a:srgbClr val="0070C0"/>
                            </a:solidFill>
                            <a:prstDash val="solid"/>
                            <a:miter lim="800000"/>
                            <a:headEnd/>
                            <a:tailEnd/>
                          </a:ln>
                        </wps:spPr>
                        <wps:txbx>
                          <w:txbxContent>
                            <w:p w14:paraId="5152DE52" w14:textId="31691C39" w:rsidR="00511D9B" w:rsidRPr="00F46863" w:rsidRDefault="00511D9B" w:rsidP="00CA151C">
                              <w:pPr>
                                <w:spacing w:line="180" w:lineRule="auto"/>
                                <w:jc w:val="center"/>
                                <w:rPr>
                                  <w:rFonts w:asciiTheme="minorHAnsi" w:hAnsiTheme="minorHAnsi" w:cstheme="minorHAnsi"/>
                                  <w:sz w:val="20"/>
                                  <w:szCs w:val="20"/>
                                </w:rPr>
                              </w:pPr>
                              <w:r w:rsidRPr="00A269CC">
                                <w:rPr>
                                  <w:rFonts w:asciiTheme="minorHAnsi" w:hAnsiTheme="minorHAnsi" w:cstheme="minorHAnsi"/>
                                  <w:b/>
                                  <w:sz w:val="28"/>
                                  <w:szCs w:val="20"/>
                                </w:rPr>
                                <w:t>Rozpočet strategie</w:t>
                              </w:r>
                              <w:r w:rsidRPr="00F46863">
                                <w:rPr>
                                  <w:rFonts w:asciiTheme="minorHAnsi" w:hAnsiTheme="minorHAnsi" w:cstheme="minorHAnsi"/>
                                  <w:b/>
                                  <w:szCs w:val="20"/>
                                </w:rPr>
                                <w:t xml:space="preserve"> </w:t>
                              </w:r>
                              <w:r w:rsidRPr="00F46863">
                                <w:rPr>
                                  <w:rFonts w:asciiTheme="minorHAnsi" w:hAnsiTheme="minorHAnsi" w:cstheme="minorHAnsi"/>
                                  <w:sz w:val="22"/>
                                  <w:szCs w:val="20"/>
                                </w:rPr>
                                <w:t>(případně rozpočet implementační</w:t>
                              </w:r>
                              <w:r>
                                <w:rPr>
                                  <w:rFonts w:asciiTheme="minorHAnsi" w:hAnsiTheme="minorHAnsi" w:cstheme="minorHAnsi"/>
                                  <w:sz w:val="22"/>
                                  <w:szCs w:val="20"/>
                                </w:rPr>
                                <w:t>ho</w:t>
                              </w:r>
                              <w:r w:rsidRPr="00F46863">
                                <w:rPr>
                                  <w:rFonts w:asciiTheme="minorHAnsi" w:hAnsiTheme="minorHAnsi" w:cstheme="minorHAnsi"/>
                                  <w:sz w:val="22"/>
                                  <w:szCs w:val="20"/>
                                </w:rPr>
                                <w:t xml:space="preserve"> </w:t>
                              </w:r>
                              <w:r>
                                <w:rPr>
                                  <w:rFonts w:asciiTheme="minorHAnsi" w:hAnsiTheme="minorHAnsi" w:cstheme="minorHAnsi"/>
                                  <w:sz w:val="22"/>
                                  <w:szCs w:val="20"/>
                                </w:rPr>
                                <w:t xml:space="preserve"> dokumentu</w:t>
                              </w:r>
                              <w:r w:rsidRPr="00F46863">
                                <w:rPr>
                                  <w:rFonts w:asciiTheme="minorHAnsi" w:hAnsiTheme="minorHAnsi" w:cstheme="minorHAnsi"/>
                                  <w:sz w:val="22"/>
                                  <w:szCs w:val="20"/>
                                </w:rPr>
                                <w:t xml:space="preserve"> nebo akčního plánu ve vazbě na strategii)</w:t>
                              </w:r>
                            </w:p>
                            <w:p w14:paraId="7327DE9B" w14:textId="77777777" w:rsidR="00511D9B" w:rsidRPr="00F46863" w:rsidRDefault="00511D9B" w:rsidP="00CA151C">
                              <w:pPr>
                                <w:spacing w:line="180" w:lineRule="auto"/>
                                <w:rPr>
                                  <w:rFonts w:asciiTheme="minorHAnsi" w:hAnsiTheme="minorHAnsi" w:cstheme="minorHAnsi"/>
                                  <w:sz w:val="20"/>
                                </w:rPr>
                              </w:pPr>
                            </w:p>
                          </w:txbxContent>
                        </wps:txbx>
                        <wps:bodyPr rot="0" vert="horz" wrap="square" lIns="91440" tIns="45720" rIns="91440" bIns="45720" anchor="t" anchorCtr="0">
                          <a:noAutofit/>
                        </wps:bodyPr>
                      </wps:wsp>
                      <wps:wsp>
                        <wps:cNvPr id="4123" name="Textové pole 2"/>
                        <wps:cNvSpPr txBox="1">
                          <a:spLocks noChangeArrowheads="1"/>
                        </wps:cNvSpPr>
                        <wps:spPr bwMode="auto">
                          <a:xfrm>
                            <a:off x="1628775" y="1781175"/>
                            <a:ext cx="1361440" cy="1074420"/>
                          </a:xfrm>
                          <a:prstGeom prst="rect">
                            <a:avLst/>
                          </a:prstGeom>
                          <a:solidFill>
                            <a:schemeClr val="bg1"/>
                          </a:solidFill>
                          <a:ln w="3175">
                            <a:solidFill>
                              <a:srgbClr val="0070C0"/>
                            </a:solidFill>
                            <a:prstDash val="solid"/>
                            <a:miter lim="800000"/>
                            <a:headEnd/>
                            <a:tailEnd/>
                          </a:ln>
                        </wps:spPr>
                        <wps:txbx>
                          <w:txbxContent>
                            <w:p w14:paraId="51108AD2" w14:textId="77777777" w:rsidR="00511D9B" w:rsidRPr="00DF303F" w:rsidRDefault="00511D9B" w:rsidP="00CA151C">
                              <w:pPr>
                                <w:spacing w:line="180" w:lineRule="auto"/>
                                <w:jc w:val="center"/>
                                <w:rPr>
                                  <w:rFonts w:asciiTheme="minorHAnsi" w:hAnsiTheme="minorHAnsi" w:cstheme="minorHAnsi"/>
                                  <w:b/>
                                  <w:szCs w:val="20"/>
                                </w:rPr>
                              </w:pPr>
                              <w:r w:rsidRPr="00A269CC">
                                <w:rPr>
                                  <w:rFonts w:asciiTheme="minorHAnsi" w:hAnsiTheme="minorHAnsi" w:cstheme="minorHAnsi"/>
                                  <w:b/>
                                  <w:sz w:val="28"/>
                                  <w:szCs w:val="20"/>
                                </w:rPr>
                                <w:t xml:space="preserve">Rozpočet </w:t>
                              </w:r>
                              <w:r>
                                <w:rPr>
                                  <w:rFonts w:asciiTheme="minorHAnsi" w:hAnsiTheme="minorHAnsi" w:cstheme="minorHAnsi"/>
                                  <w:b/>
                                  <w:sz w:val="28"/>
                                  <w:szCs w:val="20"/>
                                </w:rPr>
                                <w:t>konkrétních projektů</w:t>
                              </w:r>
                              <w:r w:rsidRPr="00A269CC">
                                <w:rPr>
                                  <w:rFonts w:asciiTheme="minorHAnsi" w:hAnsiTheme="minorHAnsi" w:cstheme="minorHAnsi"/>
                                  <w:b/>
                                  <w:sz w:val="28"/>
                                  <w:szCs w:val="20"/>
                                </w:rPr>
                                <w:t xml:space="preserve"> </w:t>
                              </w:r>
                              <w:r w:rsidRPr="00DF303F">
                                <w:rPr>
                                  <w:rFonts w:asciiTheme="minorHAnsi" w:hAnsiTheme="minorHAnsi" w:cstheme="minorHAnsi"/>
                                  <w:b/>
                                  <w:szCs w:val="20"/>
                                </w:rPr>
                                <w:t>(případně opatření, aktivit</w:t>
                              </w:r>
                              <w:r>
                                <w:rPr>
                                  <w:rFonts w:asciiTheme="minorHAnsi" w:hAnsiTheme="minorHAnsi" w:cstheme="minorHAnsi"/>
                                  <w:b/>
                                  <w:szCs w:val="20"/>
                                </w:rPr>
                                <w:t xml:space="preserve">, činností </w:t>
                              </w:r>
                              <w:r w:rsidRPr="00DF303F">
                                <w:rPr>
                                  <w:rFonts w:asciiTheme="minorHAnsi" w:hAnsiTheme="minorHAnsi" w:cstheme="minorHAnsi"/>
                                  <w:b/>
                                  <w:szCs w:val="20"/>
                                </w:rPr>
                                <w:t>atd.)</w:t>
                              </w:r>
                            </w:p>
                            <w:p w14:paraId="02AA6C44" w14:textId="77777777" w:rsidR="00511D9B" w:rsidRPr="00A269CC" w:rsidRDefault="00511D9B" w:rsidP="00CA151C">
                              <w:pPr>
                                <w:spacing w:line="180" w:lineRule="auto"/>
                                <w:rPr>
                                  <w:rFonts w:asciiTheme="minorHAnsi" w:hAnsiTheme="minorHAnsi" w:cstheme="minorHAnsi"/>
                                  <w:sz w:val="22"/>
                                  <w:szCs w:val="20"/>
                                </w:rPr>
                              </w:pPr>
                            </w:p>
                          </w:txbxContent>
                        </wps:txbx>
                        <wps:bodyPr rot="0" vert="horz" wrap="square" lIns="91440" tIns="45720" rIns="91440" bIns="45720" anchor="t" anchorCtr="0">
                          <a:noAutofit/>
                        </wps:bodyPr>
                      </wps:wsp>
                      <wps:wsp>
                        <wps:cNvPr id="4124" name="Přímá spojnice se šipkou 4124"/>
                        <wps:cNvCnPr>
                          <a:stCxn id="4112" idx="2"/>
                          <a:endCxn id="4123" idx="0"/>
                        </wps:cNvCnPr>
                        <wps:spPr>
                          <a:xfrm flipH="1">
                            <a:off x="2309495" y="561975"/>
                            <a:ext cx="212" cy="1219200"/>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125" name="Přímá spojnice se šipkou 4125"/>
                        <wps:cNvCnPr>
                          <a:endCxn id="4121" idx="0"/>
                        </wps:cNvCnPr>
                        <wps:spPr>
                          <a:xfrm>
                            <a:off x="2304870" y="561975"/>
                            <a:ext cx="1738044" cy="323850"/>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126" name="Přímá spojnice se šipkou 4126"/>
                        <wps:cNvCnPr>
                          <a:stCxn id="4121" idx="1"/>
                          <a:endCxn id="4122" idx="3"/>
                        </wps:cNvCnPr>
                        <wps:spPr>
                          <a:xfrm flipH="1">
                            <a:off x="1314347" y="1423036"/>
                            <a:ext cx="2047978" cy="53504"/>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27" name="Přímá spojnice se šipkou 4127"/>
                        <wps:cNvCnPr>
                          <a:stCxn id="4123" idx="1"/>
                          <a:endCxn id="4122" idx="3"/>
                        </wps:cNvCnPr>
                        <wps:spPr>
                          <a:xfrm flipH="1" flipV="1">
                            <a:off x="1314347" y="1476540"/>
                            <a:ext cx="314428" cy="841845"/>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20" name="Přímá spojnice se šipkou 23620"/>
                        <wps:cNvCnPr>
                          <a:stCxn id="4121" idx="1"/>
                          <a:endCxn id="4123" idx="3"/>
                        </wps:cNvCnPr>
                        <wps:spPr>
                          <a:xfrm flipH="1">
                            <a:off x="2990215" y="1423036"/>
                            <a:ext cx="372110" cy="895349"/>
                          </a:xfrm>
                          <a:prstGeom prst="straightConnector1">
                            <a:avLst/>
                          </a:prstGeom>
                          <a:ln>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E5F3EE3" id="Skupina 46" o:spid="_x0000_s1034" style="position:absolute;left:0;text-align:left;margin-left:45.1pt;margin-top:3.2pt;width:372pt;height:220.35pt;z-index:251632128;mso-height-relative:margin" coordorigin=",571" coordsize="47241,2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QFwAUAANYgAAAOAAAAZHJzL2Uyb0RvYy54bWzsWsty2zYU3Xem/4DhvhEBgiKpiZxJlUc7&#10;k7aZJu0eIkGJNQmwAGTJ/ZMus+yiX5HJf/UCIClLUWzVeYyTaCPzgcfFveccXFz6/oNNU6MLrnQl&#10;xTTA98IAcZHLohKLafDbyyffpQHShomC1VLwaXDJdfDg7Ntv7q/bCSdyKeuCKwSDCD1Zt9NgaUw7&#10;GY10vuQN0/dkywW8LKVqmIFbtRgViq1h9KYekTAcj9ZSFa2SOdcanj7yL4MzN35Z8tz8UpaaG1RP&#10;A7DNuF/lfuf2d3R2n00WirXLKu/MYLewomGVgEmHoR4xw9BKVW8N1VS5klqW5l4um5Esyyrnbg2w&#10;GhzureapkqvWrWUxWS/awU3g2j0/3XrY/OeL5wpVxTSg4wAJ1kCMXpyv2kowBE/APet2MYFWT1X7&#10;on2uugcLf2dXvClVY//CWtDGOfZycCzfGJTDQ5oQiiMaoBzekSRLKY296/MlxGfbL05w3AUlXz6+&#10;ofeon3xkbRxMWrcAJb31ln4/b71Yspa7IGjrh95bGJPeXy9hmfLi9T+olTVHxDvNNbYeQ2bzvQQf&#10;YIcP3T6T+blGQs6WTCz4Q6XkeslZAVZi2xPWMnS1ztcTbQeZr3+SBcSGrYx0A+25HUdjnI2zAIGD&#10;rzixDwBOs5gmsQ9AHNKUOP8PHmSTVmnzlMsG2YtpoIA5bh528Uwba9e2iY22lnVVPKnq2t1YtvJZ&#10;rdAFA57NF36t9aoBo/2zLA5DF1gYx5HbNnej7oxUC7SeBhEGU9+eRS3mwxxhmISzYcCrxlj7HzG9&#10;9PO60T3UmsqA1NRVMw1SMMabwybW+Y9FAUtkE8Oq2l+DmbXoomED4ENhNvONJ0sf5LksLiE8Snpl&#10;ASWEi6VUfwVoDaoyDfSfK6Z4gOofBYQ4w5RaGXI3NE4I3Kirb+ZX3zCRw1DTwATIX86Mky5rqpAP&#10;AQpl5WJjYeIt6UwG/HuLPwURgNdeOJ6/+fv1v83rV0i38g8ByoY0R29eVe25XCGKMe29BjyaCetU&#10;AIOZbYT3qaNUVQBXHId6JviWPRNsH4t9VNZV+0NPq0584jTMUuxJAHwAFLmwDixISBpbnbMyFGEa&#10;3cQCbRSrFkszk0IAIaTywH4HJyxgBjwhc9kCXyUwAqAwDRpeAAg4bJL26iraupZGVSAINUDlUOvD&#10;eNTmsuZ20lr8ykvw4lZndilZnHtx6VraLiWQd+gUerq9q1PX1nbjblM9tuPQ2s0ohRk6NpWQ6tCs&#10;ZtObWvr2PQv9WrdQt6Jk7z4l1gmAy2P9Loh+FI2JxbAV/TSNO1GHGHUbp90UgBEe7zhMKAX7rdv6&#10;jXOr6SfZd1vAYZoNsu/0ZIvAr1r2yZ3Kf2AftSRIxiTL9kQfhJ5CUulEH8OZgcIO8VFJ4Af/LPOa&#10;LuPvs4mvG+DRXdJ6PCZpYjN4gDlOUmxTZADarti75NImN17s+/y4Pyt84Bz/M8Z5Yn13EnJ77Mfk&#10;2PwdGnZeOyp/B2iKYpvcE6CTS1A9Kq3zh2HsjT9lXZPckyjMaOYZEB/I7ok9kTvwE5yBzl8v8qfU&#10;3tP3lNp3h0+bRx91jPWHxh387kMdTgnHQt1KeHd6BYDTNPGZzCGA4yRKQwpsdcdXEqW+VPbubP6E&#10;8RPGd2qWZKjx3lCqgYbXS709CHflBmi4j38QYvcychq8Q5WjpB7b4gxNfLJDgReRs2eb7JCQJlkC&#10;3xYsFeIIKpofW+2vL88MpcNPUcxhec6F6Q8xrvTjyis3FnR2O/5P5d/t/MUVdgBsx6n/kDoO2ctu&#10;EXPIc1yAPggzXK3z971a5y5HknEMhWVPxa76Y8+9pKNISnHqP7l8zN3ixJEdZn5ZHCFQbITc5AiS&#10;+Jbvs3/0R4Xb7h9QBAoJ7g7Lh/aPKCEYdzUh+DQWUVc0OnFjKM8f/CCwuwV8HvuH+zYMH89d1bv7&#10;0G+/zl+9dx8Stv+OcPYfAAAA//8DAFBLAwQUAAYACAAAACEATEe4Xd8AAAAIAQAADwAAAGRycy9k&#10;b3ducmV2LnhtbEyPQWvCQBSE74X+h+UVequbaGptmo2ItD2JUC2ItzX7TILZtyG7JvHf9/XUHocZ&#10;Zr7JlqNtRI+drx0piCcRCKTCmZpKBd/7j6cFCB80Gd04QgU39LDM7+8ynRo30Bf2u1AKLiGfagVV&#10;CG0qpS8qtNpPXIvE3tl1VgeWXSlNpwcut42cRtFcWl0TL1S6xXWFxWV3tQo+Bz2sZvF7v7mc17fj&#10;/nl72MSo1OPDuHoDEXAMf2H4xWd0yJnp5K5kvGgUvEZTTiqYJyDYXswS1icFSfISg8wz+f9A/gMA&#10;AP//AwBQSwECLQAUAAYACAAAACEAtoM4kv4AAADhAQAAEwAAAAAAAAAAAAAAAAAAAAAAW0NvbnRl&#10;bnRfVHlwZXNdLnhtbFBLAQItABQABgAIAAAAIQA4/SH/1gAAAJQBAAALAAAAAAAAAAAAAAAAAC8B&#10;AABfcmVscy8ucmVsc1BLAQItABQABgAIAAAAIQB9fvQFwAUAANYgAAAOAAAAAAAAAAAAAAAAAC4C&#10;AABkcnMvZTJvRG9jLnhtbFBLAQItABQABgAIAAAAIQBMR7hd3wAAAAgBAAAPAAAAAAAAAAAAAAAA&#10;ABoIAABkcnMvZG93bnJldi54bWxQSwUGAAAAAAQABADzAAAAJgkAAAAA&#10;">
                <v:shape id="_x0000_s1035" type="#_x0000_t202" style="position:absolute;left:13619;top:571;width:1895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QpxwAAAN0AAAAPAAAAZHJzL2Rvd25yZXYueG1sRI9Pa8JA&#10;FMTvhX6H5RW8lLqJSJHoKlX801trLHh9Zp/J1uzbkF1N/PbdQqHHYWZ+w8wWva3FjVpvHCtIhwkI&#10;4sJpw6WCr8PmZQLCB2SNtWNScCcPi/njwwwz7Tre0y0PpYgQ9hkqqEJoMil9UZFFP3QNcfTOrrUY&#10;omxLqVvsItzWcpQkr9Ki4bhQYUOriopLfrUKds/Xe7fen5bm+zP/6EyTbPl4UWrw1L9NQQTqw3/4&#10;r/2uFYzTdAS/b+ITkPMfAAAA//8DAFBLAQItABQABgAIAAAAIQDb4fbL7gAAAIUBAAATAAAAAAAA&#10;AAAAAAAAAAAAAABbQ29udGVudF9UeXBlc10ueG1sUEsBAi0AFAAGAAgAAAAhAFr0LFu/AAAAFQEA&#10;AAsAAAAAAAAAAAAAAAAAHwEAAF9yZWxzLy5yZWxzUEsBAi0AFAAGAAgAAAAhAJYdhCnHAAAA3QAA&#10;AA8AAAAAAAAAAAAAAAAABwIAAGRycy9kb3ducmV2LnhtbFBLBQYAAAAAAwADALcAAAD7AgAAAAA=&#10;" fillcolor="#f2f2f2 [3052]" strokecolor="#0070c0" strokeweight=".25pt">
                  <v:textbox>
                    <w:txbxContent>
                      <w:p w14:paraId="16EDF6AA" w14:textId="77777777" w:rsidR="00511D9B" w:rsidRPr="00E20C04" w:rsidRDefault="00511D9B" w:rsidP="00CA151C">
                        <w:pPr>
                          <w:spacing w:line="180" w:lineRule="auto"/>
                          <w:jc w:val="center"/>
                          <w:rPr>
                            <w:rFonts w:asciiTheme="minorHAnsi" w:hAnsiTheme="minorHAnsi" w:cstheme="minorHAnsi"/>
                            <w:b/>
                            <w:sz w:val="32"/>
                          </w:rPr>
                        </w:pPr>
                        <w:r>
                          <w:rPr>
                            <w:rFonts w:asciiTheme="minorHAnsi" w:hAnsiTheme="minorHAnsi" w:cstheme="minorHAnsi"/>
                            <w:b/>
                            <w:sz w:val="32"/>
                          </w:rPr>
                          <w:t>Rozpočtování a strategická práce</w:t>
                        </w:r>
                      </w:p>
                      <w:p w14:paraId="421C9978" w14:textId="77777777" w:rsidR="00511D9B" w:rsidRPr="00576CB4" w:rsidRDefault="00511D9B" w:rsidP="00CA151C">
                        <w:pPr>
                          <w:spacing w:line="180" w:lineRule="auto"/>
                          <w:jc w:val="center"/>
                          <w:rPr>
                            <w:rFonts w:asciiTheme="minorHAnsi" w:hAnsiTheme="minorHAnsi" w:cstheme="minorHAnsi"/>
                            <w:b/>
                            <w:sz w:val="20"/>
                          </w:rPr>
                        </w:pPr>
                      </w:p>
                    </w:txbxContent>
                  </v:textbox>
                </v:shape>
                <v:shape id="Přímá spojnice se šipkou 4114" o:spid="_x0000_s1036" type="#_x0000_t32" style="position:absolute;left:5809;top:5619;width:17286;height:31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qxxwAAAN0AAAAPAAAAZHJzL2Rvd25yZXYueG1sRI9Ba8JA&#10;FITvhf6H5RW86SYaS5u6SqkGSu2lKjk/ss9s2uzbkF01/vtuQehxmJlvmMVqsK04U+8bxwrSSQKC&#10;uHK64VrBYV+Mn0D4gKyxdUwKruRhtby/W2Cu3YW/6LwLtYgQ9jkqMCF0uZS+MmTRT1xHHL2j6y2G&#10;KPta6h4vEW5bOU2SR2mx4bhgsKM3Q9XP7mQVfE+zzXNhyo/ZukyOZZFt55/1VqnRw/D6AiLQEP7D&#10;t/a7VpClaQZ/b+ITkMtfAAAA//8DAFBLAQItABQABgAIAAAAIQDb4fbL7gAAAIUBAAATAAAAAAAA&#10;AAAAAAAAAAAAAABbQ29udGVudF9UeXBlc10ueG1sUEsBAi0AFAAGAAgAAAAhAFr0LFu/AAAAFQEA&#10;AAsAAAAAAAAAAAAAAAAAHwEAAF9yZWxzLy5yZWxzUEsBAi0AFAAGAAgAAAAhABZVWrHHAAAA3QAA&#10;AA8AAAAAAAAAAAAAAAAABwIAAGRycy9kb3ducmV2LnhtbFBLBQYAAAAAAwADALcAAAD7AgAAAAA=&#10;" strokecolor="black [3200]" strokeweight=".5pt">
                  <v:stroke startarrow="oval" endarrow="block" joinstyle="miter"/>
                </v:shape>
                <v:shape id="_x0000_s1037" type="#_x0000_t202" style="position:absolute;left:33623;top:8858;width:13618;height:10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9DjxwAAAN0AAAAPAAAAZHJzL2Rvd25yZXYueG1sRI9Pa8JA&#10;FMTvhX6H5RW8lLqJSJHoKlX801trLHh9Zp/J1uzbkF1N/PbdQqHHYWZ+w8wWva3FjVpvHCtIhwkI&#10;4sJpw6WCr8PmZQLCB2SNtWNScCcPi/njwwwz7Tre0y0PpYgQ9hkqqEJoMil9UZFFP3QNcfTOrrUY&#10;omxLqVvsItzWcpQkr9Ki4bhQYUOriopLfrUKds/Xe7fen5bm+zP/6EyTbPl4UWrw1L9NQQTqw3/4&#10;r/2uFYzTUQq/b+ITkPMfAAAA//8DAFBLAQItABQABgAIAAAAIQDb4fbL7gAAAIUBAAATAAAAAAAA&#10;AAAAAAAAAAAAAABbQ29udGVudF9UeXBlc10ueG1sUEsBAi0AFAAGAAgAAAAhAFr0LFu/AAAAFQEA&#10;AAsAAAAAAAAAAAAAAAAAHwEAAF9yZWxzLy5yZWxzUEsBAi0AFAAGAAgAAAAhAKij0OPHAAAA3QAA&#10;AA8AAAAAAAAAAAAAAAAABwIAAGRycy9kb3ducmV2LnhtbFBLBQYAAAAAAwADALcAAAD7AgAAAAA=&#10;" fillcolor="#f2f2f2 [3052]" strokecolor="#0070c0" strokeweight=".25pt">
                  <v:textbox>
                    <w:txbxContent>
                      <w:p w14:paraId="370FC236" w14:textId="77777777" w:rsidR="00511D9B" w:rsidRDefault="00511D9B" w:rsidP="00CA151C">
                        <w:pPr>
                          <w:spacing w:line="180" w:lineRule="auto"/>
                          <w:jc w:val="center"/>
                          <w:rPr>
                            <w:rFonts w:asciiTheme="minorHAnsi" w:hAnsiTheme="minorHAnsi" w:cstheme="minorHAnsi"/>
                            <w:b/>
                            <w:sz w:val="28"/>
                            <w:szCs w:val="20"/>
                          </w:rPr>
                        </w:pPr>
                        <w:r w:rsidRPr="00A269CC">
                          <w:rPr>
                            <w:rFonts w:asciiTheme="minorHAnsi" w:hAnsiTheme="minorHAnsi" w:cstheme="minorHAnsi"/>
                            <w:b/>
                            <w:sz w:val="28"/>
                            <w:szCs w:val="20"/>
                          </w:rPr>
                          <w:t xml:space="preserve">Rozpočet instituce </w:t>
                        </w:r>
                      </w:p>
                      <w:p w14:paraId="729A5A4B" w14:textId="77777777" w:rsidR="00511D9B" w:rsidRPr="00A269CC" w:rsidRDefault="00511D9B" w:rsidP="00CA151C">
                        <w:pPr>
                          <w:spacing w:line="180" w:lineRule="auto"/>
                          <w:jc w:val="center"/>
                          <w:rPr>
                            <w:rFonts w:asciiTheme="minorHAnsi" w:hAnsiTheme="minorHAnsi" w:cstheme="minorHAnsi"/>
                            <w:sz w:val="22"/>
                            <w:szCs w:val="20"/>
                          </w:rPr>
                        </w:pPr>
                        <w:r w:rsidRPr="00A269CC">
                          <w:rPr>
                            <w:rFonts w:asciiTheme="minorHAnsi" w:hAnsiTheme="minorHAnsi" w:cstheme="minorHAnsi"/>
                            <w:sz w:val="22"/>
                            <w:szCs w:val="20"/>
                          </w:rPr>
                          <w:t>(např</w:t>
                        </w:r>
                        <w:r>
                          <w:rPr>
                            <w:rFonts w:asciiTheme="minorHAnsi" w:hAnsiTheme="minorHAnsi" w:cstheme="minorHAnsi"/>
                            <w:sz w:val="22"/>
                            <w:szCs w:val="20"/>
                          </w:rPr>
                          <w:t>.</w:t>
                        </w:r>
                        <w:r w:rsidRPr="00A269CC">
                          <w:rPr>
                            <w:rFonts w:asciiTheme="minorHAnsi" w:hAnsiTheme="minorHAnsi" w:cstheme="minorHAnsi"/>
                            <w:sz w:val="22"/>
                            <w:szCs w:val="20"/>
                          </w:rPr>
                          <w:t xml:space="preserve"> ministerstva či jiného úřadu, obce, kraje, příspěvkové organizace)</w:t>
                        </w:r>
                      </w:p>
                      <w:p w14:paraId="2686F6CB" w14:textId="77777777" w:rsidR="00511D9B" w:rsidRPr="00A269CC" w:rsidRDefault="00511D9B" w:rsidP="00CA151C">
                        <w:pPr>
                          <w:spacing w:line="180" w:lineRule="auto"/>
                          <w:rPr>
                            <w:rFonts w:asciiTheme="minorHAnsi" w:hAnsiTheme="minorHAnsi" w:cstheme="minorHAnsi"/>
                            <w:sz w:val="22"/>
                            <w:szCs w:val="20"/>
                          </w:rPr>
                        </w:pPr>
                      </w:p>
                    </w:txbxContent>
                  </v:textbox>
                </v:shape>
                <v:shape id="_x0000_s1038" type="#_x0000_t202" style="position:absolute;top:8762;width:13144;height:1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D5hxQAAAN0AAAAPAAAAZHJzL2Rvd25yZXYueG1sRI9Ba4NA&#10;FITvhf6H5RV6a1alDY3NKlKwLeSUNJAeH+6riu5bcTfG/PtsIJDjMDPfMOt8Nr2YaHStZQXxIgJB&#10;XFndcq1g/1u+vINwHlljb5kUnMlBnj0+rDHV9sRbmna+FgHCLkUFjfdDKqWrGjLoFnYgDt6/HQ36&#10;IMda6hFPAW56mUTRUhpsOSw0ONBnQ1W3OxoF+Lcqvqh4mzbD/hibbjqsvsuDUs9Pc/EBwtPs7+Fb&#10;+0creI2TBK5vwhOQ2QUAAP//AwBQSwECLQAUAAYACAAAACEA2+H2y+4AAACFAQAAEwAAAAAAAAAA&#10;AAAAAAAAAAAAW0NvbnRlbnRfVHlwZXNdLnhtbFBLAQItABQABgAIAAAAIQBa9CxbvwAAABUBAAAL&#10;AAAAAAAAAAAAAAAAAB8BAABfcmVscy8ucmVsc1BLAQItABQABgAIAAAAIQB3fD5hxQAAAN0AAAAP&#10;AAAAAAAAAAAAAAAAAAcCAABkcnMvZG93bnJldi54bWxQSwUGAAAAAAMAAwC3AAAA+QIAAAAA&#10;" fillcolor="white [3212]" strokecolor="#0070c0" strokeweight=".25pt">
                  <v:textbox>
                    <w:txbxContent>
                      <w:p w14:paraId="5152DE52" w14:textId="31691C39" w:rsidR="00511D9B" w:rsidRPr="00F46863" w:rsidRDefault="00511D9B" w:rsidP="00CA151C">
                        <w:pPr>
                          <w:spacing w:line="180" w:lineRule="auto"/>
                          <w:jc w:val="center"/>
                          <w:rPr>
                            <w:rFonts w:asciiTheme="minorHAnsi" w:hAnsiTheme="minorHAnsi" w:cstheme="minorHAnsi"/>
                            <w:sz w:val="20"/>
                            <w:szCs w:val="20"/>
                          </w:rPr>
                        </w:pPr>
                        <w:r w:rsidRPr="00A269CC">
                          <w:rPr>
                            <w:rFonts w:asciiTheme="minorHAnsi" w:hAnsiTheme="minorHAnsi" w:cstheme="minorHAnsi"/>
                            <w:b/>
                            <w:sz w:val="28"/>
                            <w:szCs w:val="20"/>
                          </w:rPr>
                          <w:t>Rozpočet strategie</w:t>
                        </w:r>
                        <w:r w:rsidRPr="00F46863">
                          <w:rPr>
                            <w:rFonts w:asciiTheme="minorHAnsi" w:hAnsiTheme="minorHAnsi" w:cstheme="minorHAnsi"/>
                            <w:b/>
                            <w:szCs w:val="20"/>
                          </w:rPr>
                          <w:t xml:space="preserve"> </w:t>
                        </w:r>
                        <w:r w:rsidRPr="00F46863">
                          <w:rPr>
                            <w:rFonts w:asciiTheme="minorHAnsi" w:hAnsiTheme="minorHAnsi" w:cstheme="minorHAnsi"/>
                            <w:sz w:val="22"/>
                            <w:szCs w:val="20"/>
                          </w:rPr>
                          <w:t>(případně rozpočet implementační</w:t>
                        </w:r>
                        <w:r>
                          <w:rPr>
                            <w:rFonts w:asciiTheme="minorHAnsi" w:hAnsiTheme="minorHAnsi" w:cstheme="minorHAnsi"/>
                            <w:sz w:val="22"/>
                            <w:szCs w:val="20"/>
                          </w:rPr>
                          <w:t>ho</w:t>
                        </w:r>
                        <w:r w:rsidRPr="00F46863">
                          <w:rPr>
                            <w:rFonts w:asciiTheme="minorHAnsi" w:hAnsiTheme="minorHAnsi" w:cstheme="minorHAnsi"/>
                            <w:sz w:val="22"/>
                            <w:szCs w:val="20"/>
                          </w:rPr>
                          <w:t xml:space="preserve"> </w:t>
                        </w:r>
                        <w:r>
                          <w:rPr>
                            <w:rFonts w:asciiTheme="minorHAnsi" w:hAnsiTheme="minorHAnsi" w:cstheme="minorHAnsi"/>
                            <w:sz w:val="22"/>
                            <w:szCs w:val="20"/>
                          </w:rPr>
                          <w:t xml:space="preserve"> dokumentu</w:t>
                        </w:r>
                        <w:r w:rsidRPr="00F46863">
                          <w:rPr>
                            <w:rFonts w:asciiTheme="minorHAnsi" w:hAnsiTheme="minorHAnsi" w:cstheme="minorHAnsi"/>
                            <w:sz w:val="22"/>
                            <w:szCs w:val="20"/>
                          </w:rPr>
                          <w:t xml:space="preserve"> nebo akčního plánu ve vazbě na strategii)</w:t>
                        </w:r>
                      </w:p>
                      <w:p w14:paraId="7327DE9B" w14:textId="77777777" w:rsidR="00511D9B" w:rsidRPr="00F46863" w:rsidRDefault="00511D9B" w:rsidP="00CA151C">
                        <w:pPr>
                          <w:spacing w:line="180" w:lineRule="auto"/>
                          <w:rPr>
                            <w:rFonts w:asciiTheme="minorHAnsi" w:hAnsiTheme="minorHAnsi" w:cstheme="minorHAnsi"/>
                            <w:sz w:val="20"/>
                          </w:rPr>
                        </w:pPr>
                      </w:p>
                    </w:txbxContent>
                  </v:textbox>
                </v:shape>
                <v:shape id="_x0000_s1039" type="#_x0000_t202" style="position:absolute;left:16287;top:17811;width:13615;height:10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v6xgAAAN0AAAAPAAAAZHJzL2Rvd25yZXYueG1sRI9Ba8JA&#10;FITvBf/D8oTezCZaS01dJQhphZ5MBXt8ZF+TYPZtyG5i+u+7QqHHYWa+Ybb7ybRipN41lhUkUQyC&#10;uLS64UrB+TNfvIBwHllja5kU/JCD/W72sMVU2xufaCx8JQKEXYoKau+7VEpX1mTQRbYjDt637Q36&#10;IPtK6h5vAW5auYzjZ2mw4bBQY0eHmsprMRgF+LXJ3ihbjx/deUjMdbxs3vOLUo/zKXsF4Wny/+G/&#10;9lEreEqWK7i/CU9A7n4BAAD//wMAUEsBAi0AFAAGAAgAAAAhANvh9svuAAAAhQEAABMAAAAAAAAA&#10;AAAAAAAAAAAAAFtDb250ZW50X1R5cGVzXS54bWxQSwECLQAUAAYACAAAACEAWvQsW78AAAAVAQAA&#10;CwAAAAAAAAAAAAAAAAAfAQAAX3JlbHMvLnJlbHNQSwECLQAUAAYACAAAACEAGDCb+sYAAADdAAAA&#10;DwAAAAAAAAAAAAAAAAAHAgAAZHJzL2Rvd25yZXYueG1sUEsFBgAAAAADAAMAtwAAAPoCAAAAAA==&#10;" fillcolor="white [3212]" strokecolor="#0070c0" strokeweight=".25pt">
                  <v:textbox>
                    <w:txbxContent>
                      <w:p w14:paraId="51108AD2" w14:textId="77777777" w:rsidR="00511D9B" w:rsidRPr="00DF303F" w:rsidRDefault="00511D9B" w:rsidP="00CA151C">
                        <w:pPr>
                          <w:spacing w:line="180" w:lineRule="auto"/>
                          <w:jc w:val="center"/>
                          <w:rPr>
                            <w:rFonts w:asciiTheme="minorHAnsi" w:hAnsiTheme="minorHAnsi" w:cstheme="minorHAnsi"/>
                            <w:b/>
                            <w:szCs w:val="20"/>
                          </w:rPr>
                        </w:pPr>
                        <w:r w:rsidRPr="00A269CC">
                          <w:rPr>
                            <w:rFonts w:asciiTheme="minorHAnsi" w:hAnsiTheme="minorHAnsi" w:cstheme="minorHAnsi"/>
                            <w:b/>
                            <w:sz w:val="28"/>
                            <w:szCs w:val="20"/>
                          </w:rPr>
                          <w:t xml:space="preserve">Rozpočet </w:t>
                        </w:r>
                        <w:r>
                          <w:rPr>
                            <w:rFonts w:asciiTheme="minorHAnsi" w:hAnsiTheme="minorHAnsi" w:cstheme="minorHAnsi"/>
                            <w:b/>
                            <w:sz w:val="28"/>
                            <w:szCs w:val="20"/>
                          </w:rPr>
                          <w:t>konkrétních projektů</w:t>
                        </w:r>
                        <w:r w:rsidRPr="00A269CC">
                          <w:rPr>
                            <w:rFonts w:asciiTheme="minorHAnsi" w:hAnsiTheme="minorHAnsi" w:cstheme="minorHAnsi"/>
                            <w:b/>
                            <w:sz w:val="28"/>
                            <w:szCs w:val="20"/>
                          </w:rPr>
                          <w:t xml:space="preserve"> </w:t>
                        </w:r>
                        <w:r w:rsidRPr="00DF303F">
                          <w:rPr>
                            <w:rFonts w:asciiTheme="minorHAnsi" w:hAnsiTheme="minorHAnsi" w:cstheme="minorHAnsi"/>
                            <w:b/>
                            <w:szCs w:val="20"/>
                          </w:rPr>
                          <w:t>(případně opatření, aktivit</w:t>
                        </w:r>
                        <w:r>
                          <w:rPr>
                            <w:rFonts w:asciiTheme="minorHAnsi" w:hAnsiTheme="minorHAnsi" w:cstheme="minorHAnsi"/>
                            <w:b/>
                            <w:szCs w:val="20"/>
                          </w:rPr>
                          <w:t xml:space="preserve">, činností </w:t>
                        </w:r>
                        <w:r w:rsidRPr="00DF303F">
                          <w:rPr>
                            <w:rFonts w:asciiTheme="minorHAnsi" w:hAnsiTheme="minorHAnsi" w:cstheme="minorHAnsi"/>
                            <w:b/>
                            <w:szCs w:val="20"/>
                          </w:rPr>
                          <w:t>atd.)</w:t>
                        </w:r>
                      </w:p>
                      <w:p w14:paraId="02AA6C44" w14:textId="77777777" w:rsidR="00511D9B" w:rsidRPr="00A269CC" w:rsidRDefault="00511D9B" w:rsidP="00CA151C">
                        <w:pPr>
                          <w:spacing w:line="180" w:lineRule="auto"/>
                          <w:rPr>
                            <w:rFonts w:asciiTheme="minorHAnsi" w:hAnsiTheme="minorHAnsi" w:cstheme="minorHAnsi"/>
                            <w:sz w:val="22"/>
                            <w:szCs w:val="20"/>
                          </w:rPr>
                        </w:pPr>
                      </w:p>
                    </w:txbxContent>
                  </v:textbox>
                </v:shape>
                <v:shape id="Přímá spojnice se šipkou 4124" o:spid="_x0000_s1040" type="#_x0000_t32" style="position:absolute;left:23094;top:5619;width:3;height:121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AMxwAAAN0AAAAPAAAAZHJzL2Rvd25yZXYueG1sRI9Ba8JA&#10;FITvhf6H5RV6040xljZ1FdEGivZSlZwf2Wc2bfZtyG41/fddQehxmJlvmPlysK04U+8bxwom4wQE&#10;ceV0w7WC46EYPYPwAVlj65gU/JKH5eL+bo65dhf+pPM+1CJC2OeowITQ5VL6ypBFP3YdcfROrrcY&#10;ouxrqXu8RLhtZZokT9Jiw3HBYEdrQ9X3/scq+Eqzt5fClNvppkxOZZHtZh/1TqnHh2H1CiLQEP7D&#10;t/a7VpBN0gyub+ITkIs/AAAA//8DAFBLAQItABQABgAIAAAAIQDb4fbL7gAAAIUBAAATAAAAAAAA&#10;AAAAAAAAAAAAAABbQ29udGVudF9UeXBlc10ueG1sUEsBAi0AFAAGAAgAAAAhAFr0LFu/AAAAFQEA&#10;AAsAAAAAAAAAAAAAAAAAHwEAAF9yZWxzLy5yZWxzUEsBAi0AFAAGAAgAAAAhANg5kAzHAAAA3QAA&#10;AA8AAAAAAAAAAAAAAAAABwIAAGRycy9kb3ducmV2LnhtbFBLBQYAAAAAAwADALcAAAD7AgAAAAA=&#10;" strokecolor="black [3200]" strokeweight=".5pt">
                  <v:stroke startarrow="oval" endarrow="block" joinstyle="miter"/>
                </v:shape>
                <v:shape id="Přímá spojnice se šipkou 4125" o:spid="_x0000_s1041" type="#_x0000_t32" style="position:absolute;left:23048;top:5619;width:17381;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NraxgAAAN0AAAAPAAAAZHJzL2Rvd25yZXYueG1sRI9bawIx&#10;FITfC/0P4RT6UjSraJHVKFLaIogPXhB8O27OXtrNyZKk6/rvjSD0cZiZb5jZojO1aMn5yrKCQT8B&#10;QZxZXXGh4LD/6k1A+ICssbZMCq7kYTF/fpphqu2Ft9TuQiEihH2KCsoQmlRKn5Vk0PdtQxy93DqD&#10;IUpXSO3wEuGmlsMkeZcGK44LJTb0UVL2u/szCrrzdn16W2Kbf+PnxvxoeZQuV+r1pVtOQQTqwn/4&#10;0V5pBaPBcAz3N/EJyPkNAAD//wMAUEsBAi0AFAAGAAgAAAAhANvh9svuAAAAhQEAABMAAAAAAAAA&#10;AAAAAAAAAAAAAFtDb250ZW50X1R5cGVzXS54bWxQSwECLQAUAAYACAAAACEAWvQsW78AAAAVAQAA&#10;CwAAAAAAAAAAAAAAAAAfAQAAX3JlbHMvLnJlbHNQSwECLQAUAAYACAAAACEAr1ja2sYAAADdAAAA&#10;DwAAAAAAAAAAAAAAAAAHAgAAZHJzL2Rvd25yZXYueG1sUEsFBgAAAAADAAMAtwAAAPoCAAAAAA==&#10;" strokecolor="black [3200]" strokeweight=".5pt">
                  <v:stroke startarrow="oval" endarrow="block" joinstyle="miter"/>
                </v:shape>
                <v:shape id="Přímá spojnice se šipkou 4126" o:spid="_x0000_s1042" type="#_x0000_t32" style="position:absolute;left:13143;top:14230;width:20480;height:5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7EhxgAAAN0AAAAPAAAAZHJzL2Rvd25yZXYueG1sRI/dagIx&#10;FITvhb5DOIXeaVYpalej6BbBi4J/fYDD5rhZ3ZxsN1HXt28EwcthZr5hpvPWVuJKjS8dK+j3EhDE&#10;udMlFwp+D6vuGIQPyBorx6TgTh7ms7fOFFPtbryj6z4UIkLYp6jAhFCnUvrckEXfczVx9I6usRii&#10;bAqpG7xFuK3kIEmG0mLJccFgTZmh/Ly/WAWuPq/GXxvz95Odvu+HbLRd6tNWqY/3djEBEagNr/Cz&#10;vdYKPvuDITzexCcgZ/8AAAD//wMAUEsBAi0AFAAGAAgAAAAhANvh9svuAAAAhQEAABMAAAAAAAAA&#10;AAAAAAAAAAAAAFtDb250ZW50X1R5cGVzXS54bWxQSwECLQAUAAYACAAAACEAWvQsW78AAAAVAQAA&#10;CwAAAAAAAAAAAAAAAAAfAQAAX3JlbHMvLnJlbHNQSwECLQAUAAYACAAAACEAuQexIcYAAADdAAAA&#10;DwAAAAAAAAAAAAAAAAAHAgAAZHJzL2Rvd25yZXYueG1sUEsFBgAAAAADAAMAtwAAAPoCAAAAAA==&#10;" strokecolor="#4472c4 [3204]" strokeweight=".5pt">
                  <v:stroke startarrow="block" endarrow="block" joinstyle="miter"/>
                </v:shape>
                <v:shape id="Přímá spojnice se šipkou 4127" o:spid="_x0000_s1043" type="#_x0000_t32" style="position:absolute;left:13143;top:14765;width:3144;height:84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v9xAAAAN0AAAAPAAAAZHJzL2Rvd25yZXYueG1sRI9Bi8Iw&#10;FITvwv6H8Ba8aaqILl2jiFDxtqiVZW+P5tkWm5eSxFr//UYQPA4z8w2zXPemER05X1tWMBknIIgL&#10;q2suFeSnbPQFwgdkjY1lUvAgD+vVx2CJqbZ3PlB3DKWIEPYpKqhCaFMpfVGRQT+2LXH0LtYZDFG6&#10;UmqH9wg3jZwmyVwarDkuVNjStqLierwZBaf5b+4OV8cuS/522e0n67ryrNTws998gwjUh3f41d5r&#10;BbPJdAHPN/EJyNU/AAAA//8DAFBLAQItABQABgAIAAAAIQDb4fbL7gAAAIUBAAATAAAAAAAAAAAA&#10;AAAAAAAAAABbQ29udGVudF9UeXBlc10ueG1sUEsBAi0AFAAGAAgAAAAhAFr0LFu/AAAAFQEAAAsA&#10;AAAAAAAAAAAAAAAAHwEAAF9yZWxzLy5yZWxzUEsBAi0AFAAGAAgAAAAhAJZJO/3EAAAA3QAAAA8A&#10;AAAAAAAAAAAAAAAABwIAAGRycy9kb3ducmV2LnhtbFBLBQYAAAAAAwADALcAAAD4AgAAAAA=&#10;" strokecolor="#4472c4 [3204]" strokeweight=".5pt">
                  <v:stroke startarrow="block" endarrow="block" joinstyle="miter"/>
                </v:shape>
                <v:shape id="Přímá spojnice se šipkou 23620" o:spid="_x0000_s1044" type="#_x0000_t32" style="position:absolute;left:29902;top:14230;width:3721;height:8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USxQAAAN4AAAAPAAAAZHJzL2Rvd25yZXYueG1sRI/fasIw&#10;FMbvB75DOIJ3M7WC02oUVxG8GMypD3Bojk21OemaqPXtzcVglx/fP36LVWdrcafWV44VjIYJCOLC&#10;6YpLBafj9n0KwgdkjbVjUvAkD6tl722BmXYP/qH7IZQijrDPUIEJocmk9IUhi37oGuLonV1rMUTZ&#10;llK3+IjjtpZpkkykxYrjg8GGckPF9XCzClxz3U5n3+b3K79snsf8Y/+pL3ulBv1uPQcRqAv/4b/2&#10;TitIx5M0AkSciAJy+QIAAP//AwBQSwECLQAUAAYACAAAACEA2+H2y+4AAACFAQAAEwAAAAAAAAAA&#10;AAAAAAAAAAAAW0NvbnRlbnRfVHlwZXNdLnhtbFBLAQItABQABgAIAAAAIQBa9CxbvwAAABUBAAAL&#10;AAAAAAAAAAAAAAAAAB8BAABfcmVscy8ucmVsc1BLAQItABQABgAIAAAAIQBkH6USxQAAAN4AAAAP&#10;AAAAAAAAAAAAAAAAAAcCAABkcnMvZG93bnJldi54bWxQSwUGAAAAAAMAAwC3AAAA+QIAAAAA&#10;" strokecolor="#4472c4 [3204]" strokeweight=".5pt">
                  <v:stroke startarrow="block" endarrow="block" joinstyle="miter"/>
                </v:shape>
              </v:group>
            </w:pict>
          </mc:Fallback>
        </mc:AlternateContent>
      </w:r>
    </w:p>
    <w:p w14:paraId="5A508731" w14:textId="77777777" w:rsidR="00CA151C" w:rsidRDefault="00CA151C" w:rsidP="001A3A71">
      <w:pPr>
        <w:pStyle w:val="Zkladntext3"/>
        <w:spacing w:after="0" w:line="360" w:lineRule="auto"/>
        <w:ind w:left="360"/>
        <w:jc w:val="both"/>
        <w:rPr>
          <w:rFonts w:asciiTheme="minorHAnsi" w:eastAsia="Calibri" w:hAnsiTheme="minorHAnsi" w:cstheme="minorHAnsi"/>
          <w:i/>
          <w:iCs/>
          <w:sz w:val="24"/>
          <w:szCs w:val="24"/>
        </w:rPr>
      </w:pPr>
    </w:p>
    <w:p w14:paraId="1CFCA65D" w14:textId="77777777" w:rsidR="00CA151C" w:rsidRDefault="00CA151C" w:rsidP="00052AF9">
      <w:pPr>
        <w:pStyle w:val="A1-text"/>
        <w:spacing w:after="0"/>
        <w:rPr>
          <w:rFonts w:asciiTheme="minorHAnsi" w:hAnsiTheme="minorHAnsi" w:cstheme="minorHAnsi"/>
          <w:lang w:val="cs-CZ"/>
        </w:rPr>
      </w:pPr>
    </w:p>
    <w:p w14:paraId="2386F0E3" w14:textId="77777777" w:rsidR="00CA151C" w:rsidRDefault="00CA151C" w:rsidP="00052AF9">
      <w:pPr>
        <w:pStyle w:val="A1-text"/>
        <w:spacing w:after="0"/>
        <w:rPr>
          <w:rFonts w:asciiTheme="minorHAnsi" w:hAnsiTheme="minorHAnsi" w:cstheme="minorHAnsi"/>
          <w:lang w:val="cs-CZ"/>
        </w:rPr>
      </w:pPr>
    </w:p>
    <w:p w14:paraId="0AD409A9" w14:textId="77777777" w:rsidR="00CA151C" w:rsidRDefault="00CA151C" w:rsidP="00052AF9">
      <w:pPr>
        <w:pStyle w:val="A1-text"/>
        <w:spacing w:after="0"/>
        <w:rPr>
          <w:rFonts w:asciiTheme="minorHAnsi" w:hAnsiTheme="minorHAnsi" w:cstheme="minorHAnsi"/>
          <w:lang w:val="cs-CZ"/>
        </w:rPr>
      </w:pPr>
    </w:p>
    <w:p w14:paraId="03836008" w14:textId="77777777" w:rsidR="00CA151C" w:rsidRDefault="00CA151C" w:rsidP="00052AF9">
      <w:pPr>
        <w:pStyle w:val="A1-text"/>
        <w:spacing w:after="0"/>
        <w:rPr>
          <w:rFonts w:asciiTheme="minorHAnsi" w:hAnsiTheme="minorHAnsi" w:cstheme="minorHAnsi"/>
          <w:lang w:val="cs-CZ"/>
        </w:rPr>
      </w:pPr>
    </w:p>
    <w:p w14:paraId="6207B8E5" w14:textId="77777777" w:rsidR="00CA151C" w:rsidRDefault="00CA151C" w:rsidP="00052AF9">
      <w:pPr>
        <w:pStyle w:val="A1-text"/>
        <w:spacing w:after="0"/>
        <w:rPr>
          <w:rFonts w:asciiTheme="minorHAnsi" w:hAnsiTheme="minorHAnsi" w:cstheme="minorHAnsi"/>
          <w:lang w:val="cs-CZ"/>
        </w:rPr>
      </w:pPr>
    </w:p>
    <w:p w14:paraId="5D4D068D" w14:textId="77777777" w:rsidR="00CA151C" w:rsidRDefault="00CA151C" w:rsidP="00052AF9">
      <w:pPr>
        <w:pStyle w:val="A1-text"/>
        <w:spacing w:after="0"/>
        <w:rPr>
          <w:rFonts w:asciiTheme="minorHAnsi" w:hAnsiTheme="minorHAnsi" w:cstheme="minorHAnsi"/>
          <w:lang w:val="cs-CZ"/>
        </w:rPr>
      </w:pPr>
    </w:p>
    <w:p w14:paraId="6F01357F" w14:textId="77777777" w:rsidR="00CA151C" w:rsidRDefault="00CA151C" w:rsidP="00052AF9">
      <w:pPr>
        <w:pStyle w:val="A1-text"/>
        <w:spacing w:after="0"/>
        <w:rPr>
          <w:rFonts w:asciiTheme="minorHAnsi" w:hAnsiTheme="minorHAnsi" w:cstheme="minorHAnsi"/>
          <w:lang w:val="cs-CZ"/>
        </w:rPr>
      </w:pPr>
    </w:p>
    <w:p w14:paraId="1C6E4705" w14:textId="77777777" w:rsidR="00CA151C" w:rsidRDefault="00CA151C" w:rsidP="00052AF9">
      <w:pPr>
        <w:pStyle w:val="A1-text"/>
        <w:spacing w:after="0"/>
        <w:rPr>
          <w:rFonts w:asciiTheme="minorHAnsi" w:hAnsiTheme="minorHAnsi" w:cstheme="minorHAnsi"/>
          <w:lang w:val="cs-CZ"/>
        </w:rPr>
      </w:pPr>
    </w:p>
    <w:p w14:paraId="5E330066" w14:textId="77777777" w:rsidR="001A3A71" w:rsidRDefault="001A3A71" w:rsidP="001A3A71">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5FBEFAB3" w14:textId="5F8ACDEC" w:rsidR="00052AF9" w:rsidRDefault="00052AF9" w:rsidP="00052AF9">
      <w:pPr>
        <w:pStyle w:val="A1-text"/>
        <w:spacing w:after="0"/>
        <w:rPr>
          <w:rFonts w:asciiTheme="minorHAnsi" w:hAnsiTheme="minorHAnsi" w:cstheme="minorHAnsi"/>
          <w:lang w:val="cs-CZ"/>
        </w:rPr>
      </w:pPr>
      <w:r>
        <w:rPr>
          <w:rFonts w:asciiTheme="minorHAnsi" w:hAnsiTheme="minorHAnsi" w:cstheme="minorHAnsi"/>
          <w:lang w:val="cs-CZ"/>
        </w:rPr>
        <w:t xml:space="preserve">Problematika rozpočtu veřejné strategie není v rozpočtových pravidlech řešena. V samotných strategiích se obvykle nazývá jako „financování“, „finanční zdroje“ a podobně.  Rozpočet strategie je součástí rozpočtu instituce. Stát a jeho organizace připravují rozpočet na následující rok plus dva další roky. Samosprávy připravují rozpočet na následující rok s využitím svého rozpočtového výhledu, který se sestavuje na 2 až 5 let. </w:t>
      </w:r>
      <w:r w:rsidR="009E5F75">
        <w:rPr>
          <w:rFonts w:asciiTheme="minorHAnsi" w:hAnsiTheme="minorHAnsi" w:cstheme="minorHAnsi"/>
          <w:lang w:val="cs-CZ"/>
        </w:rPr>
        <w:t>P</w:t>
      </w:r>
      <w:r>
        <w:rPr>
          <w:rFonts w:asciiTheme="minorHAnsi" w:hAnsiTheme="minorHAnsi" w:cstheme="minorHAnsi"/>
          <w:lang w:val="cs-CZ"/>
        </w:rPr>
        <w:t xml:space="preserve">ro doplnění uvádíme, že Evropská unie sestavuje rozpočet na následující rok, a to podle sedmiletého rozpočtového rámce. Problémem tak často je </w:t>
      </w:r>
      <w:r w:rsidRPr="001A3A71">
        <w:rPr>
          <w:rFonts w:asciiTheme="minorHAnsi" w:hAnsiTheme="minorHAnsi" w:cstheme="minorHAnsi"/>
          <w:b/>
          <w:lang w:val="cs-CZ"/>
        </w:rPr>
        <w:t>časový faktor</w:t>
      </w:r>
      <w:r>
        <w:rPr>
          <w:rFonts w:asciiTheme="minorHAnsi" w:hAnsiTheme="minorHAnsi" w:cstheme="minorHAnsi"/>
          <w:lang w:val="cs-CZ"/>
        </w:rPr>
        <w:t xml:space="preserve"> – veřejné strategie se obvykle schvalují na delší období, než je sestavován rozpočet nebo rozpočtový výhled. Pro strategickou práci jsou významné též vyčleněné prostředky na konkrétní projekty, opatření nebo aktivity. V obrázku jsou nazvány jako „Rozpočet konkrétních projektů“. Ty samozřejmě jsou též součástí rozpočtu dané instituce. Z popisu je jasné, že pro rozpočty veřejných strategií je klíčový rozpočet instituce, která strategii připravuje nebo se na ní podílí. Proto rozpočtu instituce věnujeme v tomto textu velkou pozornost.</w:t>
      </w:r>
    </w:p>
    <w:p w14:paraId="1609B25D" w14:textId="21286B77" w:rsidR="00164AB8" w:rsidRPr="00511D9B" w:rsidRDefault="005363B4" w:rsidP="00052AF9">
      <w:pPr>
        <w:pStyle w:val="A1-text"/>
        <w:spacing w:after="0"/>
        <w:rPr>
          <w:rFonts w:asciiTheme="minorHAnsi" w:hAnsiTheme="minorHAnsi" w:cstheme="minorHAnsi"/>
          <w:lang w:val="cs-CZ"/>
        </w:rPr>
      </w:pPr>
      <w:r w:rsidRPr="00511D9B">
        <w:rPr>
          <w:rFonts w:asciiTheme="minorHAnsi" w:hAnsiTheme="minorHAnsi" w:cstheme="minorHAnsi"/>
        </w:rPr>
        <w:lastRenderedPageBreak/>
        <w:t>Je třeba uvést, že pokud jde o vztah strategie a rozpočtu, můžeme se na tento vztah dívat ze dvou možných zorných úhlů</w:t>
      </w:r>
      <w:r w:rsidRPr="00511D9B">
        <w:rPr>
          <w:rFonts w:asciiTheme="minorHAnsi" w:hAnsiTheme="minorHAnsi" w:cstheme="minorHAnsi"/>
          <w:lang w:val="cs-CZ"/>
        </w:rPr>
        <w:t xml:space="preserve"> (viz následující obrázek)</w:t>
      </w:r>
      <w:r w:rsidRPr="00511D9B">
        <w:rPr>
          <w:rFonts w:asciiTheme="minorHAnsi" w:hAnsiTheme="minorHAnsi" w:cstheme="minorHAnsi"/>
        </w:rPr>
        <w:t>.</w:t>
      </w:r>
    </w:p>
    <w:p w14:paraId="1EA0D300" w14:textId="41EDB9E4" w:rsidR="00164AB8" w:rsidRPr="00511D9B" w:rsidRDefault="00704386" w:rsidP="00164AB8">
      <w:pPr>
        <w:pStyle w:val="Zkladntext3"/>
        <w:spacing w:after="0" w:line="360" w:lineRule="auto"/>
        <w:jc w:val="both"/>
        <w:rPr>
          <w:rFonts w:asciiTheme="minorHAnsi" w:eastAsia="Calibri" w:hAnsiTheme="minorHAnsi" w:cstheme="minorHAnsi"/>
          <w:i/>
          <w:iCs/>
          <w:sz w:val="24"/>
          <w:szCs w:val="24"/>
        </w:rPr>
      </w:pPr>
      <w:r w:rsidRPr="00511D9B">
        <w:rPr>
          <w:rFonts w:asciiTheme="minorHAnsi" w:eastAsia="Calibri" w:hAnsiTheme="minorHAnsi" w:cstheme="minorHAnsi"/>
          <w:i/>
          <w:iCs/>
          <w:noProof/>
          <w:sz w:val="24"/>
          <w:szCs w:val="24"/>
        </w:rPr>
        <mc:AlternateContent>
          <mc:Choice Requires="wpg">
            <w:drawing>
              <wp:anchor distT="0" distB="0" distL="114300" distR="114300" simplePos="0" relativeHeight="251695616" behindDoc="0" locked="0" layoutInCell="1" allowOverlap="1" wp14:anchorId="4E120237" wp14:editId="11902142">
                <wp:simplePos x="0" y="0"/>
                <wp:positionH relativeFrom="column">
                  <wp:posOffset>53340</wp:posOffset>
                </wp:positionH>
                <wp:positionV relativeFrom="paragraph">
                  <wp:posOffset>194310</wp:posOffset>
                </wp:positionV>
                <wp:extent cx="5692140" cy="678180"/>
                <wp:effectExtent l="0" t="0" r="22860" b="26670"/>
                <wp:wrapNone/>
                <wp:docPr id="23672" name="Skupina 23672"/>
                <wp:cNvGraphicFramePr/>
                <a:graphic xmlns:a="http://schemas.openxmlformats.org/drawingml/2006/main">
                  <a:graphicData uri="http://schemas.microsoft.com/office/word/2010/wordprocessingGroup">
                    <wpg:wgp>
                      <wpg:cNvGrpSpPr/>
                      <wpg:grpSpPr>
                        <a:xfrm>
                          <a:off x="0" y="0"/>
                          <a:ext cx="5692140" cy="678180"/>
                          <a:chOff x="0" y="0"/>
                          <a:chExt cx="5692140" cy="678180"/>
                        </a:xfrm>
                      </wpg:grpSpPr>
                      <wps:wsp>
                        <wps:cNvPr id="3939" name="Textové pole 2"/>
                        <wps:cNvSpPr txBox="1">
                          <a:spLocks noChangeArrowheads="1"/>
                        </wps:cNvSpPr>
                        <wps:spPr bwMode="auto">
                          <a:xfrm>
                            <a:off x="0" y="0"/>
                            <a:ext cx="3375660" cy="259080"/>
                          </a:xfrm>
                          <a:prstGeom prst="rect">
                            <a:avLst/>
                          </a:prstGeom>
                          <a:solidFill>
                            <a:schemeClr val="bg1"/>
                          </a:solidFill>
                          <a:ln w="3175">
                            <a:noFill/>
                            <a:prstDash val="solid"/>
                            <a:miter lim="800000"/>
                            <a:headEnd/>
                            <a:tailEnd/>
                          </a:ln>
                        </wps:spPr>
                        <wps:txbx>
                          <w:txbxContent>
                            <w:p w14:paraId="688BC72D" w14:textId="7C9FE010" w:rsidR="00511D9B" w:rsidRPr="007830DA" w:rsidRDefault="00511D9B" w:rsidP="007830DA">
                              <w:pPr>
                                <w:spacing w:line="180" w:lineRule="auto"/>
                                <w:rPr>
                                  <w:rFonts w:asciiTheme="minorHAnsi" w:hAnsiTheme="minorHAnsi" w:cstheme="minorHAnsi"/>
                                  <w:b/>
                                  <w:i/>
                                </w:rPr>
                              </w:pPr>
                              <w:r w:rsidRPr="007830DA">
                                <w:rPr>
                                  <w:rFonts w:asciiTheme="minorHAnsi" w:hAnsiTheme="minorHAnsi" w:cstheme="minorHAnsi"/>
                                  <w:b/>
                                  <w:i/>
                                </w:rPr>
                                <w:t>Převažuje pohled expertů na strategické řízení</w:t>
                              </w:r>
                            </w:p>
                            <w:p w14:paraId="5564FEFC" w14:textId="77777777" w:rsidR="00511D9B" w:rsidRPr="00A269CC" w:rsidRDefault="00511D9B" w:rsidP="00164AB8">
                              <w:pPr>
                                <w:spacing w:line="180" w:lineRule="auto"/>
                                <w:rPr>
                                  <w:rFonts w:asciiTheme="minorHAnsi" w:hAnsiTheme="minorHAnsi" w:cstheme="minorHAnsi"/>
                                  <w:sz w:val="22"/>
                                  <w:szCs w:val="20"/>
                                </w:rPr>
                              </w:pPr>
                            </w:p>
                          </w:txbxContent>
                        </wps:txbx>
                        <wps:bodyPr rot="0" vert="horz" wrap="square" lIns="91440" tIns="45720" rIns="91440" bIns="45720" anchor="t" anchorCtr="0">
                          <a:noAutofit/>
                        </wps:bodyPr>
                      </wps:wsp>
                      <wps:wsp>
                        <wps:cNvPr id="3786" name="Textové pole 2"/>
                        <wps:cNvSpPr txBox="1">
                          <a:spLocks noChangeArrowheads="1"/>
                        </wps:cNvSpPr>
                        <wps:spPr bwMode="auto">
                          <a:xfrm>
                            <a:off x="0" y="281940"/>
                            <a:ext cx="2567940" cy="388620"/>
                          </a:xfrm>
                          <a:prstGeom prst="rect">
                            <a:avLst/>
                          </a:prstGeom>
                          <a:solidFill>
                            <a:schemeClr val="bg1">
                              <a:lumMod val="95000"/>
                            </a:schemeClr>
                          </a:solidFill>
                          <a:ln w="3175">
                            <a:solidFill>
                              <a:srgbClr val="0070C0"/>
                            </a:solidFill>
                            <a:prstDash val="solid"/>
                            <a:miter lim="800000"/>
                            <a:headEnd/>
                            <a:tailEnd/>
                          </a:ln>
                        </wps:spPr>
                        <wps:txbx>
                          <w:txbxContent>
                            <w:p w14:paraId="5CE55ADF" w14:textId="3040D830" w:rsidR="00511D9B" w:rsidRPr="00164AB8" w:rsidRDefault="00511D9B" w:rsidP="00164AB8">
                              <w:pPr>
                                <w:spacing w:line="180" w:lineRule="auto"/>
                                <w:jc w:val="center"/>
                                <w:rPr>
                                  <w:rFonts w:asciiTheme="minorHAnsi" w:hAnsiTheme="minorHAnsi" w:cstheme="minorHAnsi"/>
                                  <w:b/>
                                </w:rPr>
                              </w:pPr>
                              <w:r>
                                <w:rPr>
                                  <w:rFonts w:asciiTheme="minorHAnsi" w:hAnsiTheme="minorHAnsi" w:cstheme="minorHAnsi"/>
                                  <w:b/>
                                </w:rPr>
                                <w:t>Potřeby</w:t>
                              </w:r>
                              <w:r w:rsidRPr="00164AB8">
                                <w:rPr>
                                  <w:rFonts w:asciiTheme="minorHAnsi" w:hAnsiTheme="minorHAnsi" w:cstheme="minorHAnsi"/>
                                  <w:b/>
                                </w:rPr>
                                <w:t xml:space="preserve"> (nároky) strategie </w:t>
                              </w:r>
                              <w:r>
                                <w:rPr>
                                  <w:rFonts w:asciiTheme="minorHAnsi" w:hAnsiTheme="minorHAnsi" w:cstheme="minorHAnsi"/>
                                  <w:b/>
                                </w:rPr>
                                <w:t>vůči rozpočtu</w:t>
                              </w:r>
                            </w:p>
                            <w:p w14:paraId="65DBF4C0" w14:textId="77777777" w:rsidR="00511D9B" w:rsidRPr="00576CB4" w:rsidRDefault="00511D9B" w:rsidP="00164AB8">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670" name="Textové pole 2"/>
                        <wps:cNvSpPr txBox="1">
                          <a:spLocks noChangeArrowheads="1"/>
                        </wps:cNvSpPr>
                        <wps:spPr bwMode="auto">
                          <a:xfrm>
                            <a:off x="3124200" y="281940"/>
                            <a:ext cx="2567940" cy="396240"/>
                          </a:xfrm>
                          <a:prstGeom prst="rect">
                            <a:avLst/>
                          </a:prstGeom>
                          <a:solidFill>
                            <a:schemeClr val="bg1">
                              <a:lumMod val="95000"/>
                            </a:schemeClr>
                          </a:solidFill>
                          <a:ln w="3175">
                            <a:solidFill>
                              <a:srgbClr val="0070C0"/>
                            </a:solidFill>
                            <a:prstDash val="solid"/>
                            <a:miter lim="800000"/>
                            <a:headEnd/>
                            <a:tailEnd/>
                          </a:ln>
                        </wps:spPr>
                        <wps:txbx>
                          <w:txbxContent>
                            <w:p w14:paraId="125DF4CE" w14:textId="3241EB16" w:rsidR="00511D9B" w:rsidRPr="007830DA" w:rsidRDefault="00511D9B" w:rsidP="007830DA">
                              <w:pPr>
                                <w:spacing w:line="180" w:lineRule="auto"/>
                                <w:jc w:val="center"/>
                                <w:rPr>
                                  <w:rFonts w:asciiTheme="minorHAnsi" w:hAnsiTheme="minorHAnsi" w:cstheme="minorHAnsi"/>
                                  <w:sz w:val="22"/>
                                </w:rPr>
                              </w:pPr>
                              <w:r>
                                <w:rPr>
                                  <w:rFonts w:asciiTheme="minorHAnsi" w:hAnsiTheme="minorHAnsi" w:cstheme="minorHAnsi"/>
                                  <w:b/>
                                </w:rPr>
                                <w:t xml:space="preserve">Možnosti rozpočtu </w:t>
                              </w:r>
                              <w:r w:rsidRPr="007830DA">
                                <w:rPr>
                                  <w:rFonts w:asciiTheme="minorHAnsi" w:hAnsiTheme="minorHAnsi" w:cstheme="minorHAnsi"/>
                                  <w:sz w:val="22"/>
                                </w:rPr>
                                <w:t>(finanční omezení daná zvolenou rozpočtovou politik</w:t>
                              </w:r>
                              <w:r>
                                <w:rPr>
                                  <w:rFonts w:asciiTheme="minorHAnsi" w:hAnsiTheme="minorHAnsi" w:cstheme="minorHAnsi"/>
                                  <w:sz w:val="22"/>
                                </w:rPr>
                                <w:t>ou)</w:t>
                              </w:r>
                            </w:p>
                            <w:p w14:paraId="398533FD" w14:textId="77777777" w:rsidR="00511D9B" w:rsidRPr="007830DA" w:rsidRDefault="00511D9B" w:rsidP="007830DA">
                              <w:pPr>
                                <w:spacing w:line="180" w:lineRule="auto"/>
                                <w:jc w:val="center"/>
                                <w:rPr>
                                  <w:rFonts w:asciiTheme="minorHAnsi" w:hAnsiTheme="minorHAnsi" w:cstheme="minorHAnsi"/>
                                  <w:sz w:val="18"/>
                                </w:rPr>
                              </w:pPr>
                            </w:p>
                          </w:txbxContent>
                        </wps:txbx>
                        <wps:bodyPr rot="0" vert="horz" wrap="square" lIns="91440" tIns="45720" rIns="91440" bIns="45720" anchor="t" anchorCtr="0">
                          <a:noAutofit/>
                        </wps:bodyPr>
                      </wps:wsp>
                      <wps:wsp>
                        <wps:cNvPr id="3944" name="Přímá spojnice se šipkou 3944"/>
                        <wps:cNvCnPr>
                          <a:stCxn id="3786" idx="3"/>
                          <a:endCxn id="23670" idx="1"/>
                        </wps:cNvCnPr>
                        <wps:spPr>
                          <a:xfrm>
                            <a:off x="2567940" y="476250"/>
                            <a:ext cx="556260" cy="3810"/>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E120237" id="Skupina 23672" o:spid="_x0000_s1045" style="position:absolute;left:0;text-align:left;margin-left:4.2pt;margin-top:15.3pt;width:448.2pt;height:53.4pt;z-index:251695616" coordsize="56921,6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lqIwQAAIgOAAAOAAAAZHJzL2Uyb0RvYy54bWzsV91u2zYUvh+wdyB4v1g/tiwZUYrOaYMB&#10;3Ros3QPQEiVxkUiOpCN7b7LLXu5iTxH0vXpISnLsplvRLUCxLReOKJ5zdM7H8/Px/Nmua9EdVZoJ&#10;nuPwLMCI8kKUjNc5/unNy29SjLQhvCSt4DTHe6rxs4uvvzrv5YpGohFtSRUCI1yvepnjxhi5ms10&#10;0dCO6DMhKYfNSqiOGFiqelYq0oP1rp1FQZDMeqFKqURBtYa3l34TXzj7VUUL87qqNDWozTH4Ztyv&#10;cr8b+zu7OCerWhHZsGJwg3yGFx1hHD46mbokhqCtYh+Y6lihhBaVOStENxNVxQrqYoBowuAkmisl&#10;ttLFUq/6Wk4wAbQnOH222eKHu2uFWJnjKE6WEUacdHBMN7dbyThB/iWA1Mt6BbJXSt7IazW8qP3K&#10;xr2rVGf/Q0Ro5+DdT/DSnUEFvFwkWRTO4RQK2EuWaZgO+BcNHNIHakXz4s8VZ+NnZ9a7yZleQirp&#10;A1r676F10xBJ3SFoi8CAVpzF2QjWGwhQ3N3/jqRoKYpsTlkfQNhihczuWwHRhy4/tHwliluNuFg3&#10;hNf0uVKibygpwcvQakIsk6q3o62RTf+9KOFgyNYIZ+hTAI/j5SJJBsCjRRZ4wCfcyEoqba6o6JB9&#10;yLGCenHWyd0rbaw3BxF7ulq0rHzJ2tYtbI3SdavQHYHq2tTe/xOplqM+x3G4XDjDXFh1sOwNXxLd&#10;eHVn2pdjxwz0hJZ1OU4D++dfW5Re8NLpGsJa/wwetnyAzSLlMTO7zc5ldTqexkaUe8BRCd8CoGXB&#10;QyPUrxj1UP451r9siaIYtd9xOIssnNtMNW4xXywjWKiHO5uHO4QXYCrHBiP/uDaux9gwuXgOZ1Yx&#10;B6c9XO/J4DIkqvf46TN2mSZfXsZGaZgB0O5Qxz4RLZKlfen6RJymCYDvc3FM+n84be0xtdsOKszn&#10;YrYYkg6Sy00im+WuGI4K4CS1j/a0qjdTaQTBMliPMRyJ2UCevAay/2tg6Np2nEFe+Rn3JbTtOIzm&#10;QGMwgon416WQJZGvlafr4P/yUghdFR668H95HmTz+VgK1+9+u/+ju3+LtBQ/c6CkSFP07i2Tt2KL&#10;YisI/XcgJmtuhyw0RrPecTdjYzdZWAkkJx46OS/HzaHk3O4RwfF2rFE/tkcyN3HIaQxAbcyXSbQ4&#10;GROLRRKN5CZO/cl+vDC0UYTVjVkLzoHlCOX52EeIjqUUZDUwDmT2EqiXAJoDZCHHHS2BJlC479in&#10;h3xkkDSKAbdrgUw8Jv04Y9Fm31JXffxHWgGuB8p4zLPK25FntVbSqlRAqSalwPGsaWz5iXZQGmSt&#10;GnX3o09VnKTdFwU3k2LHuFCPfdXsRlcrLz/yNB/roQztdLcrx4Ycm4frjhu4w9XM3qcerp384QJ5&#10;8R4AAP//AwBQSwMEFAAGAAgAAAAhAHn3fFPfAAAACAEAAA8AAABkcnMvZG93bnJldi54bWxMj0FL&#10;w0AQhe+C/2EZwZvdjYm1jdmUUtRTEWwF6W2aTJPQ7G7IbpP03zue9Di8jzffy1aTacVAvW+c1RDN&#10;FAiyhSsbW2n42r89LED4gLbE1lnScCUPq/z2JsO0dKP9pGEXKsEl1qeooQ6hS6X0RU0G/cx1ZDk7&#10;ud5g4LOvZNnjyOWmlY9KzaXBxvKHGjva1FScdxej4X3EcR1Hr8P2fNpcD/unj+9tRFrf303rFxCB&#10;pvAHw68+q0POTkd3saUXrYZFwqCGWM1BcLxUCS85Mhc/JyDzTP4fkP8AAAD//wMAUEsBAi0AFAAG&#10;AAgAAAAhALaDOJL+AAAA4QEAABMAAAAAAAAAAAAAAAAAAAAAAFtDb250ZW50X1R5cGVzXS54bWxQ&#10;SwECLQAUAAYACAAAACEAOP0h/9YAAACUAQAACwAAAAAAAAAAAAAAAAAvAQAAX3JlbHMvLnJlbHNQ&#10;SwECLQAUAAYACAAAACEAnGPJaiMEAACIDgAADgAAAAAAAAAAAAAAAAAuAgAAZHJzL2Uyb0RvYy54&#10;bWxQSwECLQAUAAYACAAAACEAefd8U98AAAAIAQAADwAAAAAAAAAAAAAAAAB9BgAAZHJzL2Rvd25y&#10;ZXYueG1sUEsFBgAAAAAEAAQA8wAAAIkHAAAAAA==&#10;">
                <v:shape id="_x0000_s1046" type="#_x0000_t202" style="position:absolute;width:33756;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27xQAAAN0AAAAPAAAAZHJzL2Rvd25yZXYueG1sRI/RasJA&#10;FETfC/7DcgVfSt0YaTGpqwRRKPSp1g+4zV6zabJ3Q3aN8e+7BcHHYWbOMOvtaFsxUO9rxwoW8wQE&#10;cel0zZWC0/fhZQXCB2SNrWNScCMP283kaY25dlf+ouEYKhEh7HNUYELocil9aciin7uOOHpn11sM&#10;UfaV1D1eI9y2Mk2SN2mx5rhgsKOdobI5XqyCn9e9vlH6OxZNdi6eGz+Yz3RQajYdi3cQgcbwCN/b&#10;H1rBMltm8P8mPgG5+QMAAP//AwBQSwECLQAUAAYACAAAACEA2+H2y+4AAACFAQAAEwAAAAAAAAAA&#10;AAAAAAAAAAAAW0NvbnRlbnRfVHlwZXNdLnhtbFBLAQItABQABgAIAAAAIQBa9CxbvwAAABUBAAAL&#10;AAAAAAAAAAAAAAAAAB8BAABfcmVscy8ucmVsc1BLAQItABQABgAIAAAAIQBgdm27xQAAAN0AAAAP&#10;AAAAAAAAAAAAAAAAAAcCAABkcnMvZG93bnJldi54bWxQSwUGAAAAAAMAAwC3AAAA+QIAAAAA&#10;" fillcolor="white [3212]" stroked="f" strokeweight=".25pt">
                  <v:textbox>
                    <w:txbxContent>
                      <w:p w14:paraId="688BC72D" w14:textId="7C9FE010" w:rsidR="00511D9B" w:rsidRPr="007830DA" w:rsidRDefault="00511D9B" w:rsidP="007830DA">
                        <w:pPr>
                          <w:spacing w:line="180" w:lineRule="auto"/>
                          <w:rPr>
                            <w:rFonts w:asciiTheme="minorHAnsi" w:hAnsiTheme="minorHAnsi" w:cstheme="minorHAnsi"/>
                            <w:b/>
                            <w:i/>
                          </w:rPr>
                        </w:pPr>
                        <w:r w:rsidRPr="007830DA">
                          <w:rPr>
                            <w:rFonts w:asciiTheme="minorHAnsi" w:hAnsiTheme="minorHAnsi" w:cstheme="minorHAnsi"/>
                            <w:b/>
                            <w:i/>
                          </w:rPr>
                          <w:t>Převažuje pohled expertů na strategické řízení</w:t>
                        </w:r>
                      </w:p>
                      <w:p w14:paraId="5564FEFC" w14:textId="77777777" w:rsidR="00511D9B" w:rsidRPr="00A269CC" w:rsidRDefault="00511D9B" w:rsidP="00164AB8">
                        <w:pPr>
                          <w:spacing w:line="180" w:lineRule="auto"/>
                          <w:rPr>
                            <w:rFonts w:asciiTheme="minorHAnsi" w:hAnsiTheme="minorHAnsi" w:cstheme="minorHAnsi"/>
                            <w:sz w:val="22"/>
                            <w:szCs w:val="20"/>
                          </w:rPr>
                        </w:pPr>
                      </w:p>
                    </w:txbxContent>
                  </v:textbox>
                </v:shape>
                <v:shape id="_x0000_s1047" type="#_x0000_t202" style="position:absolute;top:2819;width:2567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TOxgAAAN0AAAAPAAAAZHJzL2Rvd25yZXYueG1sRI9Ba8JA&#10;FITvQv/D8gQvpW5sQSW6Siu17U1NBa/P7DPZmn0bsquJ/75bKHgcZuYbZr7sbCWu1HjjWMFomIAg&#10;zp02XCjYf6+fpiB8QNZYOSYFN/KwXDz05phq1/KOrlkoRISwT1FBGUKdSunzkiz6oauJo3dyjcUQ&#10;ZVNI3WAb4baSz0kylhYNx4USa1qVlJ+zi1Xw+Xi5te+745v52Wab1tTJBx/OSg363esMRKAu3MP/&#10;7S+t4GUyHcPfm/gE5OIXAAD//wMAUEsBAi0AFAAGAAgAAAAhANvh9svuAAAAhQEAABMAAAAAAAAA&#10;AAAAAAAAAAAAAFtDb250ZW50X1R5cGVzXS54bWxQSwECLQAUAAYACAAAACEAWvQsW78AAAAVAQAA&#10;CwAAAAAAAAAAAAAAAAAfAQAAX3JlbHMvLnJlbHNQSwECLQAUAAYACAAAACEArWjUzsYAAADdAAAA&#10;DwAAAAAAAAAAAAAAAAAHAgAAZHJzL2Rvd25yZXYueG1sUEsFBgAAAAADAAMAtwAAAPoCAAAAAA==&#10;" fillcolor="#f2f2f2 [3052]" strokecolor="#0070c0" strokeweight=".25pt">
                  <v:textbox>
                    <w:txbxContent>
                      <w:p w14:paraId="5CE55ADF" w14:textId="3040D830" w:rsidR="00511D9B" w:rsidRPr="00164AB8" w:rsidRDefault="00511D9B" w:rsidP="00164AB8">
                        <w:pPr>
                          <w:spacing w:line="180" w:lineRule="auto"/>
                          <w:jc w:val="center"/>
                          <w:rPr>
                            <w:rFonts w:asciiTheme="minorHAnsi" w:hAnsiTheme="minorHAnsi" w:cstheme="minorHAnsi"/>
                            <w:b/>
                          </w:rPr>
                        </w:pPr>
                        <w:r>
                          <w:rPr>
                            <w:rFonts w:asciiTheme="minorHAnsi" w:hAnsiTheme="minorHAnsi" w:cstheme="minorHAnsi"/>
                            <w:b/>
                          </w:rPr>
                          <w:t>Potřeby</w:t>
                        </w:r>
                        <w:r w:rsidRPr="00164AB8">
                          <w:rPr>
                            <w:rFonts w:asciiTheme="minorHAnsi" w:hAnsiTheme="minorHAnsi" w:cstheme="minorHAnsi"/>
                            <w:b/>
                          </w:rPr>
                          <w:t xml:space="preserve"> (nároky) strategie </w:t>
                        </w:r>
                        <w:r>
                          <w:rPr>
                            <w:rFonts w:asciiTheme="minorHAnsi" w:hAnsiTheme="minorHAnsi" w:cstheme="minorHAnsi"/>
                            <w:b/>
                          </w:rPr>
                          <w:t>vůči rozpočtu</w:t>
                        </w:r>
                      </w:p>
                      <w:p w14:paraId="65DBF4C0" w14:textId="77777777" w:rsidR="00511D9B" w:rsidRPr="00576CB4" w:rsidRDefault="00511D9B" w:rsidP="00164AB8">
                        <w:pPr>
                          <w:spacing w:line="180" w:lineRule="auto"/>
                          <w:jc w:val="center"/>
                          <w:rPr>
                            <w:rFonts w:asciiTheme="minorHAnsi" w:hAnsiTheme="minorHAnsi" w:cstheme="minorHAnsi"/>
                            <w:b/>
                            <w:sz w:val="20"/>
                          </w:rPr>
                        </w:pPr>
                      </w:p>
                    </w:txbxContent>
                  </v:textbox>
                </v:shape>
                <v:shape id="_x0000_s1048" type="#_x0000_t202" style="position:absolute;left:31242;top:2819;width:2567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4sYxgAAAN4AAAAPAAAAZHJzL2Rvd25yZXYueG1sRI/NasJA&#10;FIX3hb7DcIVupE5qwZboKFqqdadJC91eM9dkauZOyIwmvr2zELo8nD++2aK3tbhQ641jBS+jBARx&#10;4bThUsHP9/r5HYQPyBprx6TgSh4W88eHGabadZzRJQ+liCPsU1RQhdCkUvqiIot+5Bri6B1dazFE&#10;2ZZSt9jFcVvLcZJMpEXD8aHChj4qKk752Sr4Gp6v3Wd2WJm/fb7rTJNs+Pek1NOgX05BBOrDf/je&#10;3moF49fJWwSIOBEF5PwGAAD//wMAUEsBAi0AFAAGAAgAAAAhANvh9svuAAAAhQEAABMAAAAAAAAA&#10;AAAAAAAAAAAAAFtDb250ZW50X1R5cGVzXS54bWxQSwECLQAUAAYACAAAACEAWvQsW78AAAAVAQAA&#10;CwAAAAAAAAAAAAAAAAAfAQAAX3JlbHMvLnJlbHNQSwECLQAUAAYACAAAACEAeeuLGMYAAADeAAAA&#10;DwAAAAAAAAAAAAAAAAAHAgAAZHJzL2Rvd25yZXYueG1sUEsFBgAAAAADAAMAtwAAAPoCAAAAAA==&#10;" fillcolor="#f2f2f2 [3052]" strokecolor="#0070c0" strokeweight=".25pt">
                  <v:textbox>
                    <w:txbxContent>
                      <w:p w14:paraId="125DF4CE" w14:textId="3241EB16" w:rsidR="00511D9B" w:rsidRPr="007830DA" w:rsidRDefault="00511D9B" w:rsidP="007830DA">
                        <w:pPr>
                          <w:spacing w:line="180" w:lineRule="auto"/>
                          <w:jc w:val="center"/>
                          <w:rPr>
                            <w:rFonts w:asciiTheme="minorHAnsi" w:hAnsiTheme="minorHAnsi" w:cstheme="minorHAnsi"/>
                            <w:sz w:val="22"/>
                          </w:rPr>
                        </w:pPr>
                        <w:r>
                          <w:rPr>
                            <w:rFonts w:asciiTheme="minorHAnsi" w:hAnsiTheme="minorHAnsi" w:cstheme="minorHAnsi"/>
                            <w:b/>
                          </w:rPr>
                          <w:t xml:space="preserve">Možnosti rozpočtu </w:t>
                        </w:r>
                        <w:r w:rsidRPr="007830DA">
                          <w:rPr>
                            <w:rFonts w:asciiTheme="minorHAnsi" w:hAnsiTheme="minorHAnsi" w:cstheme="minorHAnsi"/>
                            <w:sz w:val="22"/>
                          </w:rPr>
                          <w:t>(finanční omezení daná zvolenou rozpočtovou politik</w:t>
                        </w:r>
                        <w:r>
                          <w:rPr>
                            <w:rFonts w:asciiTheme="minorHAnsi" w:hAnsiTheme="minorHAnsi" w:cstheme="minorHAnsi"/>
                            <w:sz w:val="22"/>
                          </w:rPr>
                          <w:t>ou)</w:t>
                        </w:r>
                      </w:p>
                      <w:p w14:paraId="398533FD" w14:textId="77777777" w:rsidR="00511D9B" w:rsidRPr="007830DA" w:rsidRDefault="00511D9B" w:rsidP="007830DA">
                        <w:pPr>
                          <w:spacing w:line="180" w:lineRule="auto"/>
                          <w:jc w:val="center"/>
                          <w:rPr>
                            <w:rFonts w:asciiTheme="minorHAnsi" w:hAnsiTheme="minorHAnsi" w:cstheme="minorHAnsi"/>
                            <w:sz w:val="18"/>
                          </w:rPr>
                        </w:pPr>
                      </w:p>
                    </w:txbxContent>
                  </v:textbox>
                </v:shape>
                <v:shape id="Přímá spojnice se šipkou 3944" o:spid="_x0000_s1049" type="#_x0000_t32" style="position:absolute;left:25679;top:4762;width:5563;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sJJxwAAAN0AAAAPAAAAZHJzL2Rvd25yZXYueG1sRI9bawIx&#10;FITfhf6HcAq+iGZrpejWKCK2FMQHLwh9O92cvbSbkyVJ1+2/N4LQx2FmvmHmy87UoiXnK8sKnkYJ&#10;COLM6ooLBafj23AKwgdkjbVlUvBHHpaLh94cU20vvKf2EAoRIexTVFCG0KRS+qwkg35kG+Lo5dYZ&#10;DFG6QmqHlwg3tRwnyYs0WHFcKLGhdUnZz+HXKOi+9tvPwQrb/B03O/Ot5Vm6XKn+Y7d6BRGoC//h&#10;e/tDK3ieTSZwexOfgFxcAQAA//8DAFBLAQItABQABgAIAAAAIQDb4fbL7gAAAIUBAAATAAAAAAAA&#10;AAAAAAAAAAAAAABbQ29udGVudF9UeXBlc10ueG1sUEsBAi0AFAAGAAgAAAAhAFr0LFu/AAAAFQEA&#10;AAsAAAAAAAAAAAAAAAAAHwEAAF9yZWxzLy5yZWxzUEsBAi0AFAAGAAgAAAAhADHawknHAAAA3QAA&#10;AA8AAAAAAAAAAAAAAAAABwIAAGRycy9kb3ducmV2LnhtbFBLBQYAAAAAAwADALcAAAD7AgAAAAA=&#10;" strokecolor="black [3200]" strokeweight=".5pt">
                  <v:stroke startarrow="oval" endarrow="block" joinstyle="miter"/>
                </v:shape>
              </v:group>
            </w:pict>
          </mc:Fallback>
        </mc:AlternateContent>
      </w:r>
      <w:r w:rsidR="00164AB8" w:rsidRPr="00511D9B">
        <w:rPr>
          <w:rFonts w:asciiTheme="minorHAnsi" w:eastAsia="Calibri" w:hAnsiTheme="minorHAnsi" w:cstheme="minorHAnsi"/>
          <w:i/>
          <w:iCs/>
          <w:sz w:val="24"/>
          <w:szCs w:val="24"/>
        </w:rPr>
        <w:t xml:space="preserve">Obr. </w:t>
      </w:r>
      <w:r w:rsidR="00632801" w:rsidRPr="00511D9B">
        <w:rPr>
          <w:rFonts w:asciiTheme="minorHAnsi" w:eastAsia="Calibri" w:hAnsiTheme="minorHAnsi" w:cstheme="minorHAnsi"/>
          <w:i/>
          <w:iCs/>
          <w:sz w:val="24"/>
          <w:szCs w:val="24"/>
        </w:rPr>
        <w:t>3</w:t>
      </w:r>
      <w:r w:rsidR="00164AB8" w:rsidRPr="00511D9B">
        <w:rPr>
          <w:rFonts w:asciiTheme="minorHAnsi" w:eastAsia="Calibri" w:hAnsiTheme="minorHAnsi" w:cstheme="minorHAnsi"/>
          <w:i/>
          <w:iCs/>
          <w:sz w:val="24"/>
          <w:szCs w:val="24"/>
        </w:rPr>
        <w:t xml:space="preserve"> </w:t>
      </w:r>
      <w:r w:rsidR="00632801" w:rsidRPr="00511D9B">
        <w:rPr>
          <w:rFonts w:asciiTheme="minorHAnsi" w:eastAsia="Calibri" w:hAnsiTheme="minorHAnsi" w:cstheme="minorHAnsi"/>
          <w:i/>
          <w:iCs/>
          <w:sz w:val="24"/>
          <w:szCs w:val="24"/>
        </w:rPr>
        <w:t>Dva různé pohledy na v</w:t>
      </w:r>
      <w:r w:rsidR="00164AB8" w:rsidRPr="00511D9B">
        <w:rPr>
          <w:rFonts w:asciiTheme="minorHAnsi" w:eastAsia="Calibri" w:hAnsiTheme="minorHAnsi" w:cstheme="minorHAnsi"/>
          <w:i/>
          <w:iCs/>
          <w:sz w:val="24"/>
          <w:szCs w:val="24"/>
        </w:rPr>
        <w:t>azb</w:t>
      </w:r>
      <w:r w:rsidR="00632801" w:rsidRPr="00511D9B">
        <w:rPr>
          <w:rFonts w:asciiTheme="minorHAnsi" w:eastAsia="Calibri" w:hAnsiTheme="minorHAnsi" w:cstheme="minorHAnsi"/>
          <w:i/>
          <w:iCs/>
          <w:sz w:val="24"/>
          <w:szCs w:val="24"/>
        </w:rPr>
        <w:t>u</w:t>
      </w:r>
      <w:r w:rsidR="00164AB8" w:rsidRPr="00511D9B">
        <w:rPr>
          <w:rFonts w:asciiTheme="minorHAnsi" w:eastAsia="Calibri" w:hAnsiTheme="minorHAnsi" w:cstheme="minorHAnsi"/>
          <w:i/>
          <w:iCs/>
          <w:sz w:val="24"/>
          <w:szCs w:val="24"/>
        </w:rPr>
        <w:t xml:space="preserve"> mezi strategií a rozpočtem</w:t>
      </w:r>
    </w:p>
    <w:p w14:paraId="2D186D55" w14:textId="3E4CEC02" w:rsidR="00164AB8" w:rsidRPr="00511D9B" w:rsidRDefault="00164AB8" w:rsidP="00164AB8">
      <w:pPr>
        <w:pStyle w:val="Zkladntext3"/>
        <w:spacing w:after="0" w:line="360" w:lineRule="auto"/>
        <w:jc w:val="both"/>
        <w:rPr>
          <w:rFonts w:asciiTheme="minorHAnsi" w:eastAsia="Calibri" w:hAnsiTheme="minorHAnsi" w:cstheme="minorHAnsi"/>
          <w:i/>
          <w:iCs/>
          <w:sz w:val="24"/>
          <w:szCs w:val="24"/>
        </w:rPr>
      </w:pPr>
    </w:p>
    <w:p w14:paraId="1ACB66C4" w14:textId="40988501" w:rsidR="00164AB8" w:rsidRPr="00511D9B" w:rsidRDefault="00164AB8" w:rsidP="00164AB8">
      <w:pPr>
        <w:pStyle w:val="Zkladntext3"/>
        <w:spacing w:after="0" w:line="360" w:lineRule="auto"/>
        <w:ind w:left="360"/>
        <w:jc w:val="both"/>
        <w:rPr>
          <w:rFonts w:asciiTheme="minorHAnsi" w:eastAsia="Calibri" w:hAnsiTheme="minorHAnsi" w:cstheme="minorHAnsi"/>
          <w:i/>
          <w:iCs/>
          <w:sz w:val="24"/>
          <w:szCs w:val="24"/>
        </w:rPr>
      </w:pPr>
    </w:p>
    <w:p w14:paraId="083236C9" w14:textId="68B7531B" w:rsidR="00164AB8" w:rsidRPr="00511D9B" w:rsidRDefault="00704386" w:rsidP="00164AB8">
      <w:pPr>
        <w:pStyle w:val="Zkladntext3"/>
        <w:spacing w:after="0" w:line="360" w:lineRule="auto"/>
        <w:ind w:left="360"/>
        <w:jc w:val="both"/>
        <w:rPr>
          <w:rFonts w:asciiTheme="minorHAnsi" w:eastAsia="Calibri" w:hAnsiTheme="minorHAnsi" w:cstheme="minorHAnsi"/>
          <w:i/>
          <w:iCs/>
          <w:sz w:val="24"/>
          <w:szCs w:val="24"/>
        </w:rPr>
      </w:pPr>
      <w:r w:rsidRPr="00511D9B">
        <w:rPr>
          <w:rFonts w:asciiTheme="minorHAnsi" w:eastAsia="Calibri" w:hAnsiTheme="minorHAnsi" w:cstheme="minorHAnsi"/>
          <w:i/>
          <w:iCs/>
          <w:noProof/>
          <w:sz w:val="24"/>
          <w:szCs w:val="24"/>
        </w:rPr>
        <mc:AlternateContent>
          <mc:Choice Requires="wpg">
            <w:drawing>
              <wp:anchor distT="0" distB="0" distL="114300" distR="114300" simplePos="0" relativeHeight="251697664" behindDoc="0" locked="0" layoutInCell="1" allowOverlap="1" wp14:anchorId="7BA5A2AD" wp14:editId="6158A190">
                <wp:simplePos x="0" y="0"/>
                <wp:positionH relativeFrom="column">
                  <wp:posOffset>60960</wp:posOffset>
                </wp:positionH>
                <wp:positionV relativeFrom="paragraph">
                  <wp:posOffset>32385</wp:posOffset>
                </wp:positionV>
                <wp:extent cx="5692140" cy="678180"/>
                <wp:effectExtent l="0" t="0" r="22860" b="26670"/>
                <wp:wrapNone/>
                <wp:docPr id="23673" name="Skupina 23673"/>
                <wp:cNvGraphicFramePr/>
                <a:graphic xmlns:a="http://schemas.openxmlformats.org/drawingml/2006/main">
                  <a:graphicData uri="http://schemas.microsoft.com/office/word/2010/wordprocessingGroup">
                    <wpg:wgp>
                      <wpg:cNvGrpSpPr/>
                      <wpg:grpSpPr>
                        <a:xfrm>
                          <a:off x="0" y="0"/>
                          <a:ext cx="5692140" cy="678180"/>
                          <a:chOff x="0" y="0"/>
                          <a:chExt cx="5692140" cy="678180"/>
                        </a:xfrm>
                      </wpg:grpSpPr>
                      <wps:wsp>
                        <wps:cNvPr id="23840" name="Textové pole 2"/>
                        <wps:cNvSpPr txBox="1">
                          <a:spLocks noChangeArrowheads="1"/>
                        </wps:cNvSpPr>
                        <wps:spPr bwMode="auto">
                          <a:xfrm>
                            <a:off x="0" y="0"/>
                            <a:ext cx="3375660" cy="259080"/>
                          </a:xfrm>
                          <a:prstGeom prst="rect">
                            <a:avLst/>
                          </a:prstGeom>
                          <a:noFill/>
                          <a:ln w="3175">
                            <a:noFill/>
                            <a:prstDash val="solid"/>
                            <a:miter lim="800000"/>
                            <a:headEnd/>
                            <a:tailEnd/>
                          </a:ln>
                        </wps:spPr>
                        <wps:txbx>
                          <w:txbxContent>
                            <w:p w14:paraId="26BFCFD4" w14:textId="2C825E87" w:rsidR="00511D9B" w:rsidRPr="007830DA" w:rsidRDefault="00511D9B" w:rsidP="007830DA">
                              <w:pPr>
                                <w:spacing w:line="180" w:lineRule="auto"/>
                                <w:rPr>
                                  <w:rFonts w:asciiTheme="minorHAnsi" w:hAnsiTheme="minorHAnsi" w:cstheme="minorHAnsi"/>
                                  <w:b/>
                                  <w:i/>
                                </w:rPr>
                              </w:pPr>
                              <w:r w:rsidRPr="007830DA">
                                <w:rPr>
                                  <w:rFonts w:asciiTheme="minorHAnsi" w:hAnsiTheme="minorHAnsi" w:cstheme="minorHAnsi"/>
                                  <w:b/>
                                  <w:i/>
                                </w:rPr>
                                <w:t xml:space="preserve">Převažuje pohled expertů </w:t>
                              </w:r>
                              <w:r>
                                <w:rPr>
                                  <w:rFonts w:asciiTheme="minorHAnsi" w:hAnsiTheme="minorHAnsi" w:cstheme="minorHAnsi"/>
                                  <w:b/>
                                  <w:i/>
                                </w:rPr>
                                <w:t>na rozpočet</w:t>
                              </w:r>
                            </w:p>
                            <w:p w14:paraId="2794B41C" w14:textId="77777777" w:rsidR="00511D9B" w:rsidRPr="00A269CC" w:rsidRDefault="00511D9B" w:rsidP="007830DA">
                              <w:pPr>
                                <w:spacing w:line="180" w:lineRule="auto"/>
                                <w:rPr>
                                  <w:rFonts w:asciiTheme="minorHAnsi" w:hAnsiTheme="minorHAnsi" w:cstheme="minorHAnsi"/>
                                  <w:sz w:val="22"/>
                                  <w:szCs w:val="20"/>
                                </w:rPr>
                              </w:pPr>
                            </w:p>
                          </w:txbxContent>
                        </wps:txbx>
                        <wps:bodyPr rot="0" vert="horz" wrap="square" lIns="91440" tIns="45720" rIns="91440" bIns="45720" anchor="t" anchorCtr="0">
                          <a:noAutofit/>
                        </wps:bodyPr>
                      </wps:wsp>
                      <wps:wsp>
                        <wps:cNvPr id="23841" name="Textové pole 2"/>
                        <wps:cNvSpPr txBox="1">
                          <a:spLocks noChangeArrowheads="1"/>
                        </wps:cNvSpPr>
                        <wps:spPr bwMode="auto">
                          <a:xfrm>
                            <a:off x="0" y="281940"/>
                            <a:ext cx="2567940" cy="388620"/>
                          </a:xfrm>
                          <a:prstGeom prst="rect">
                            <a:avLst/>
                          </a:prstGeom>
                          <a:solidFill>
                            <a:schemeClr val="bg1">
                              <a:lumMod val="95000"/>
                            </a:schemeClr>
                          </a:solidFill>
                          <a:ln w="3175">
                            <a:solidFill>
                              <a:srgbClr val="0070C0"/>
                            </a:solidFill>
                            <a:prstDash val="solid"/>
                            <a:miter lim="800000"/>
                            <a:headEnd/>
                            <a:tailEnd/>
                          </a:ln>
                        </wps:spPr>
                        <wps:txbx>
                          <w:txbxContent>
                            <w:p w14:paraId="1B7A3BF1" w14:textId="77777777" w:rsidR="00511D9B" w:rsidRPr="007830DA" w:rsidRDefault="00511D9B" w:rsidP="005363B4">
                              <w:pPr>
                                <w:spacing w:line="180" w:lineRule="auto"/>
                                <w:jc w:val="center"/>
                                <w:rPr>
                                  <w:rFonts w:asciiTheme="minorHAnsi" w:hAnsiTheme="minorHAnsi" w:cstheme="minorHAnsi"/>
                                  <w:sz w:val="22"/>
                                </w:rPr>
                              </w:pPr>
                              <w:r>
                                <w:rPr>
                                  <w:rFonts w:asciiTheme="minorHAnsi" w:hAnsiTheme="minorHAnsi" w:cstheme="minorHAnsi"/>
                                  <w:b/>
                                </w:rPr>
                                <w:t xml:space="preserve">Možnosti rozpočtu </w:t>
                              </w:r>
                              <w:r w:rsidRPr="007830DA">
                                <w:rPr>
                                  <w:rFonts w:asciiTheme="minorHAnsi" w:hAnsiTheme="minorHAnsi" w:cstheme="minorHAnsi"/>
                                  <w:sz w:val="22"/>
                                </w:rPr>
                                <w:t>(finanční omezení daná zvolenou rozpočtovou politik</w:t>
                              </w:r>
                              <w:r>
                                <w:rPr>
                                  <w:rFonts w:asciiTheme="minorHAnsi" w:hAnsiTheme="minorHAnsi" w:cstheme="minorHAnsi"/>
                                  <w:sz w:val="22"/>
                                </w:rPr>
                                <w:t>ou)</w:t>
                              </w:r>
                            </w:p>
                            <w:p w14:paraId="1ECECA3B" w14:textId="77777777" w:rsidR="00511D9B" w:rsidRPr="00576CB4" w:rsidRDefault="00511D9B" w:rsidP="007830DA">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842" name="Textové pole 2"/>
                        <wps:cNvSpPr txBox="1">
                          <a:spLocks noChangeArrowheads="1"/>
                        </wps:cNvSpPr>
                        <wps:spPr bwMode="auto">
                          <a:xfrm>
                            <a:off x="3124200" y="281940"/>
                            <a:ext cx="2567940" cy="396240"/>
                          </a:xfrm>
                          <a:prstGeom prst="rect">
                            <a:avLst/>
                          </a:prstGeom>
                          <a:solidFill>
                            <a:schemeClr val="bg1">
                              <a:lumMod val="95000"/>
                            </a:schemeClr>
                          </a:solidFill>
                          <a:ln w="3175">
                            <a:solidFill>
                              <a:srgbClr val="0070C0"/>
                            </a:solidFill>
                            <a:prstDash val="solid"/>
                            <a:miter lim="800000"/>
                            <a:headEnd/>
                            <a:tailEnd/>
                          </a:ln>
                        </wps:spPr>
                        <wps:txbx>
                          <w:txbxContent>
                            <w:p w14:paraId="24C6385C" w14:textId="77777777" w:rsidR="00511D9B" w:rsidRPr="00164AB8" w:rsidRDefault="00511D9B" w:rsidP="005363B4">
                              <w:pPr>
                                <w:spacing w:line="180" w:lineRule="auto"/>
                                <w:jc w:val="center"/>
                                <w:rPr>
                                  <w:rFonts w:asciiTheme="minorHAnsi" w:hAnsiTheme="minorHAnsi" w:cstheme="minorHAnsi"/>
                                  <w:b/>
                                </w:rPr>
                              </w:pPr>
                              <w:r>
                                <w:rPr>
                                  <w:rFonts w:asciiTheme="minorHAnsi" w:hAnsiTheme="minorHAnsi" w:cstheme="minorHAnsi"/>
                                  <w:b/>
                                </w:rPr>
                                <w:t>Potřeby</w:t>
                              </w:r>
                              <w:r w:rsidRPr="00164AB8">
                                <w:rPr>
                                  <w:rFonts w:asciiTheme="minorHAnsi" w:hAnsiTheme="minorHAnsi" w:cstheme="minorHAnsi"/>
                                  <w:b/>
                                </w:rPr>
                                <w:t xml:space="preserve"> (nároky) strategie </w:t>
                              </w:r>
                              <w:r>
                                <w:rPr>
                                  <w:rFonts w:asciiTheme="minorHAnsi" w:hAnsiTheme="minorHAnsi" w:cstheme="minorHAnsi"/>
                                  <w:b/>
                                </w:rPr>
                                <w:t>vůči rozpočtu</w:t>
                              </w:r>
                            </w:p>
                            <w:p w14:paraId="3AB4C200" w14:textId="77777777" w:rsidR="00511D9B" w:rsidRPr="007830DA" w:rsidRDefault="00511D9B" w:rsidP="007830DA">
                              <w:pPr>
                                <w:spacing w:line="180" w:lineRule="auto"/>
                                <w:jc w:val="center"/>
                                <w:rPr>
                                  <w:rFonts w:asciiTheme="minorHAnsi" w:hAnsiTheme="minorHAnsi" w:cstheme="minorHAnsi"/>
                                  <w:sz w:val="18"/>
                                </w:rPr>
                              </w:pPr>
                            </w:p>
                          </w:txbxContent>
                        </wps:txbx>
                        <wps:bodyPr rot="0" vert="horz" wrap="square" lIns="91440" tIns="45720" rIns="91440" bIns="45720" anchor="t" anchorCtr="0">
                          <a:noAutofit/>
                        </wps:bodyPr>
                      </wps:wsp>
                      <wps:wsp>
                        <wps:cNvPr id="23843" name="Přímá spojnice se šipkou 23843"/>
                        <wps:cNvCnPr/>
                        <wps:spPr>
                          <a:xfrm>
                            <a:off x="2567940" y="476250"/>
                            <a:ext cx="556260" cy="3810"/>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BA5A2AD" id="Skupina 23673" o:spid="_x0000_s1050" style="position:absolute;left:0;text-align:left;margin-left:4.8pt;margin-top:2.55pt;width:448.2pt;height:53.4pt;z-index:251697664" coordsize="56921,6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yK/wMAAB8OAAAOAAAAZHJzL2Uyb0RvYy54bWzsV81u3DYQvhfoOxC816uflVYrWA7SdWIU&#10;SBujTh+AK1ESa4lkSa612zfpMcce+hRG3itDUqtdb5w2dYEgQOrDWiRnhjMfZ4Yfz59t+w7dUaWZ&#10;4AUOzwKMKC9FxXhT4F/evPwuw0gbwivSCU4LvKMaP7v49pvzQeY0Eq3oKqoQGOE6H2SBW2NkPpvp&#10;sqU90WdCUg6LtVA9MTBUzaxSZADrfTeLgiCdDUJVUomSag2zl34RXzj7dU1L87quNTWoKzD4Ztyv&#10;cr9r+zu7OCd5o4hsWTm6QZ7gRU8Yh00nU5fEELRR7ANTPSuV0KI2Z6XoZ6KuWUldDBBNGJxEc6XE&#10;RrpYmnxo5AQTQHuC05PNlj/dXSvEqgJHcbqIMeKkh2O6ud1IxgnykwDSIJscZK+UvJHXapxo/MjG&#10;va1Vb/9DRGjr4N1N8NKtQSVMJukyCudwCiWspYsszEb8yxYO6QO1sn3x94qz/bYz693kzCAhlfQB&#10;Lf3f0LppiaTuELRFYEIrs5F4tN5AhOLu/k8kRUdRZJPKOgHSFixktt8LCD90CaLlK1HeasTFqiW8&#10;oc+VEkNLSQVuhlYTgplUvR1tjayHH0UFJ0M2RjhDn4J4HC+SNB0Rj5Jl4BGfgCO5VNpcUdEj+1Fg&#10;BQXjrJO7V9pYbw4i9ni5eMm6DuZJ3nE0FDgOF4lTOFqxpi6JbtEdgarTomOVr7OeGSj2jvUFzgL7&#10;56dt9C945awawjr/DTt3fITDIuCxMNv11qVr6MCyWK1FtQOAlPDFDc0IPlqhfsdogMIGD37bEEUx&#10;6n7gAPIynNuTM24wTxYRDNTxyvp4hfASTBXYYOQ/V8Z1Dw/GcziMmjmcDp6MPkMKepc/Sy6GX14u&#10;Rlm4BKTdse5bQJSkCzvpWkCcZSmg77Nsn87/MiFddtmctAfibg266pTPvHXjS67b9FA7fm6ZjGkH&#10;6TWJuzR/YOkkuR+sadWspz2CYBGs9jE8EPs8VTA1m/+rIM7m0ZdUBXEYzYGiYAS33T/XwjKNfLE8&#10;vTk/SL8pub+eWohtKzn04a/8Rpi43PW7P+7/6u/fIi3Frxz4JtIUvXvL5K3YAMHL5hNuQFhWfGR3&#10;OveX7p5jTdRuauGQ1vNFGiUnLT5J0mhPOeIs3PfGj/R3bRRhTWtWgnPgHkL5lv0R+mEJAclHvoDM&#10;TgIhEsAy4KYvcE8ruOMpPEPs1zGbGCWNYsC4OmACj0k/zje02XXU052faQ3M40Dk7BPlcNlUt569&#10;WdYCklalhmtpUgocSzqpyoPSKGvVqHu2fKriJO12FNxMij3jQj22q9nuXa29/J5l+VgPFWRvZjty&#10;VMaRbHiFuMtyfDHZZ87x2Mkf3nUX7wEAAP//AwBQSwMEFAAGAAgAAAAhAEYRTbndAAAABwEAAA8A&#10;AABkcnMvZG93bnJldi54bWxMj0FLw0AQhe+C/2EZwZvdrNJgYjalFPVUBFtBvG2z0yQ0Oxuy2yT9&#10;944nexzex3vfFKvZdWLEIbSeNKhFAgKp8ralWsPX/u3hGUSIhqzpPKGGCwZYlbc3hcmtn+gTx12s&#10;BZdQyI2GJsY+lzJUDToTFr5H4uzoB2cin0Mt7WAmLnedfEySVDrTEi80psdNg9Vpd3Ya3iczrZ/U&#10;67g9HTeXn/3y43urUOv7u3n9AiLiHP9h+NNndSjZ6eDPZIPoNGQpgxqWCgSnWZLyZwfGlMpAloW8&#10;9i9/AQAA//8DAFBLAQItABQABgAIAAAAIQC2gziS/gAAAOEBAAATAAAAAAAAAAAAAAAAAAAAAABb&#10;Q29udGVudF9UeXBlc10ueG1sUEsBAi0AFAAGAAgAAAAhADj9If/WAAAAlAEAAAsAAAAAAAAAAAAA&#10;AAAALwEAAF9yZWxzLy5yZWxzUEsBAi0AFAAGAAgAAAAhAI+J3Ir/AwAAHw4AAA4AAAAAAAAAAAAA&#10;AAAALgIAAGRycy9lMm9Eb2MueG1sUEsBAi0AFAAGAAgAAAAhAEYRTbndAAAABwEAAA8AAAAAAAAA&#10;AAAAAAAAWQYAAGRycy9kb3ducmV2LnhtbFBLBQYAAAAABAAEAPMAAABjBwAAAAA=&#10;">
                <v:shape id="_x0000_s1051" type="#_x0000_t202" style="position:absolute;width:33756;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V4xgAAAN4AAAAPAAAAZHJzL2Rvd25yZXYueG1sRI9Na8JA&#10;EIbvhf6HZQq91U21iE2zkaIIhZ5qPNTbkB2T0OxszK4m+us7B8Hjy/vFky1H16oz9aHxbOB1koAi&#10;Lr1tuDKwKzYvC1AhIltsPZOBCwVY5o8PGabWD/xD522slIxwSNFAHWOXah3KmhyGie+IxTv43mEU&#10;2Vfa9jjIuGv1NEnm2mHD8lBjR6uayr/tycnvOu433fupOY7l4fu3HYp5sb8a8/w0fn6AijTGe/jW&#10;/rIGprPFmwAIjqCAzv8BAAD//wMAUEsBAi0AFAAGAAgAAAAhANvh9svuAAAAhQEAABMAAAAAAAAA&#10;AAAAAAAAAAAAAFtDb250ZW50X1R5cGVzXS54bWxQSwECLQAUAAYACAAAACEAWvQsW78AAAAVAQAA&#10;CwAAAAAAAAAAAAAAAAAfAQAAX3JlbHMvLnJlbHNQSwECLQAUAAYACAAAACEA4kbFeMYAAADeAAAA&#10;DwAAAAAAAAAAAAAAAAAHAgAAZHJzL2Rvd25yZXYueG1sUEsFBgAAAAADAAMAtwAAAPoCAAAAAA==&#10;" filled="f" stroked="f" strokeweight=".25pt">
                  <v:textbox>
                    <w:txbxContent>
                      <w:p w14:paraId="26BFCFD4" w14:textId="2C825E87" w:rsidR="00511D9B" w:rsidRPr="007830DA" w:rsidRDefault="00511D9B" w:rsidP="007830DA">
                        <w:pPr>
                          <w:spacing w:line="180" w:lineRule="auto"/>
                          <w:rPr>
                            <w:rFonts w:asciiTheme="minorHAnsi" w:hAnsiTheme="minorHAnsi" w:cstheme="minorHAnsi"/>
                            <w:b/>
                            <w:i/>
                          </w:rPr>
                        </w:pPr>
                        <w:r w:rsidRPr="007830DA">
                          <w:rPr>
                            <w:rFonts w:asciiTheme="minorHAnsi" w:hAnsiTheme="minorHAnsi" w:cstheme="minorHAnsi"/>
                            <w:b/>
                            <w:i/>
                          </w:rPr>
                          <w:t xml:space="preserve">Převažuje pohled expertů </w:t>
                        </w:r>
                        <w:r>
                          <w:rPr>
                            <w:rFonts w:asciiTheme="minorHAnsi" w:hAnsiTheme="minorHAnsi" w:cstheme="minorHAnsi"/>
                            <w:b/>
                            <w:i/>
                          </w:rPr>
                          <w:t>na rozpočet</w:t>
                        </w:r>
                      </w:p>
                      <w:p w14:paraId="2794B41C" w14:textId="77777777" w:rsidR="00511D9B" w:rsidRPr="00A269CC" w:rsidRDefault="00511D9B" w:rsidP="007830DA">
                        <w:pPr>
                          <w:spacing w:line="180" w:lineRule="auto"/>
                          <w:rPr>
                            <w:rFonts w:asciiTheme="minorHAnsi" w:hAnsiTheme="minorHAnsi" w:cstheme="minorHAnsi"/>
                            <w:sz w:val="22"/>
                            <w:szCs w:val="20"/>
                          </w:rPr>
                        </w:pPr>
                      </w:p>
                    </w:txbxContent>
                  </v:textbox>
                </v:shape>
                <v:shape id="_x0000_s1052" type="#_x0000_t202" style="position:absolute;top:2819;width:2567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n/1xwAAAN4AAAAPAAAAZHJzL2Rvd25yZXYueG1sRI9Ba8JA&#10;FITvgv9heUIvRTfaIhJdpUq13lrTgtfX7GuyNfs2ZFcT/71bKHgcZuYbZrHqbCUu1HjjWMF4lIAg&#10;zp02XCj4+twOZyB8QNZYOSYFV/KwWvZ7C0y1a/lAlywUIkLYp6igDKFOpfR5SRb9yNXE0ftxjcUQ&#10;ZVNI3WAb4baSkySZSouG40KJNW1Kyk/Z2Sp4ezxf29fD99r8fmTvramTHR9PSj0Mupc5iEBduIf/&#10;23utYPI0ex7D3514BeTyBgAA//8DAFBLAQItABQABgAIAAAAIQDb4fbL7gAAAIUBAAATAAAAAAAA&#10;AAAAAAAAAAAAAABbQ29udGVudF9UeXBlc10ueG1sUEsBAi0AFAAGAAgAAAAhAFr0LFu/AAAAFQEA&#10;AAsAAAAAAAAAAAAAAAAAHwEAAF9yZWxzLy5yZWxzUEsBAi0AFAAGAAgAAAAhAFief/XHAAAA3gAA&#10;AA8AAAAAAAAAAAAAAAAABwIAAGRycy9kb3ducmV2LnhtbFBLBQYAAAAAAwADALcAAAD7AgAAAAA=&#10;" fillcolor="#f2f2f2 [3052]" strokecolor="#0070c0" strokeweight=".25pt">
                  <v:textbox>
                    <w:txbxContent>
                      <w:p w14:paraId="1B7A3BF1" w14:textId="77777777" w:rsidR="00511D9B" w:rsidRPr="007830DA" w:rsidRDefault="00511D9B" w:rsidP="005363B4">
                        <w:pPr>
                          <w:spacing w:line="180" w:lineRule="auto"/>
                          <w:jc w:val="center"/>
                          <w:rPr>
                            <w:rFonts w:asciiTheme="minorHAnsi" w:hAnsiTheme="minorHAnsi" w:cstheme="minorHAnsi"/>
                            <w:sz w:val="22"/>
                          </w:rPr>
                        </w:pPr>
                        <w:r>
                          <w:rPr>
                            <w:rFonts w:asciiTheme="minorHAnsi" w:hAnsiTheme="minorHAnsi" w:cstheme="minorHAnsi"/>
                            <w:b/>
                          </w:rPr>
                          <w:t xml:space="preserve">Možnosti rozpočtu </w:t>
                        </w:r>
                        <w:r w:rsidRPr="007830DA">
                          <w:rPr>
                            <w:rFonts w:asciiTheme="minorHAnsi" w:hAnsiTheme="minorHAnsi" w:cstheme="minorHAnsi"/>
                            <w:sz w:val="22"/>
                          </w:rPr>
                          <w:t>(finanční omezení daná zvolenou rozpočtovou politik</w:t>
                        </w:r>
                        <w:r>
                          <w:rPr>
                            <w:rFonts w:asciiTheme="minorHAnsi" w:hAnsiTheme="minorHAnsi" w:cstheme="minorHAnsi"/>
                            <w:sz w:val="22"/>
                          </w:rPr>
                          <w:t>ou)</w:t>
                        </w:r>
                      </w:p>
                      <w:p w14:paraId="1ECECA3B" w14:textId="77777777" w:rsidR="00511D9B" w:rsidRPr="00576CB4" w:rsidRDefault="00511D9B" w:rsidP="007830DA">
                        <w:pPr>
                          <w:spacing w:line="180" w:lineRule="auto"/>
                          <w:jc w:val="center"/>
                          <w:rPr>
                            <w:rFonts w:asciiTheme="minorHAnsi" w:hAnsiTheme="minorHAnsi" w:cstheme="minorHAnsi"/>
                            <w:b/>
                            <w:sz w:val="20"/>
                          </w:rPr>
                        </w:pPr>
                      </w:p>
                    </w:txbxContent>
                  </v:textbox>
                </v:shape>
                <v:shape id="_x0000_s1053" type="#_x0000_t202" style="position:absolute;left:31242;top:2819;width:2567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GCyAAAAN4AAAAPAAAAZHJzL2Rvd25yZXYueG1sRI9Pa8JA&#10;FMTvBb/D8gq9FN00LSKpq2jpH29qFLy+Zl+T1ezbkF1N/PZuodDjMDO/Yabz3tbiQq03jhU8jRIQ&#10;xIXThksF+93HcALCB2SNtWNScCUP89ngboqZdh1v6ZKHUkQI+wwVVCE0mZS+qMiiH7mGOHo/rrUY&#10;omxLqVvsItzWMk2SsbRoOC5U2NBbRcUpP1sFX4/na/e+/V6a4yZfd6ZJPvlwUurhvl+8ggjUh//w&#10;X3ulFaTPk5cUfu/EKyBnNwAAAP//AwBQSwECLQAUAAYACAAAACEA2+H2y+4AAACFAQAAEwAAAAAA&#10;AAAAAAAAAAAAAAAAW0NvbnRlbnRfVHlwZXNdLnhtbFBLAQItABQABgAIAAAAIQBa9CxbvwAAABUB&#10;AAALAAAAAAAAAAAAAAAAAB8BAABfcmVscy8ucmVsc1BLAQItABQABgAIAAAAIQCoTOGCyAAAAN4A&#10;AAAPAAAAAAAAAAAAAAAAAAcCAABkcnMvZG93bnJldi54bWxQSwUGAAAAAAMAAwC3AAAA/AIAAAAA&#10;" fillcolor="#f2f2f2 [3052]" strokecolor="#0070c0" strokeweight=".25pt">
                  <v:textbox>
                    <w:txbxContent>
                      <w:p w14:paraId="24C6385C" w14:textId="77777777" w:rsidR="00511D9B" w:rsidRPr="00164AB8" w:rsidRDefault="00511D9B" w:rsidP="005363B4">
                        <w:pPr>
                          <w:spacing w:line="180" w:lineRule="auto"/>
                          <w:jc w:val="center"/>
                          <w:rPr>
                            <w:rFonts w:asciiTheme="minorHAnsi" w:hAnsiTheme="minorHAnsi" w:cstheme="minorHAnsi"/>
                            <w:b/>
                          </w:rPr>
                        </w:pPr>
                        <w:r>
                          <w:rPr>
                            <w:rFonts w:asciiTheme="minorHAnsi" w:hAnsiTheme="minorHAnsi" w:cstheme="minorHAnsi"/>
                            <w:b/>
                          </w:rPr>
                          <w:t>Potřeby</w:t>
                        </w:r>
                        <w:r w:rsidRPr="00164AB8">
                          <w:rPr>
                            <w:rFonts w:asciiTheme="minorHAnsi" w:hAnsiTheme="minorHAnsi" w:cstheme="minorHAnsi"/>
                            <w:b/>
                          </w:rPr>
                          <w:t xml:space="preserve"> (nároky) strategie </w:t>
                        </w:r>
                        <w:r>
                          <w:rPr>
                            <w:rFonts w:asciiTheme="minorHAnsi" w:hAnsiTheme="minorHAnsi" w:cstheme="minorHAnsi"/>
                            <w:b/>
                          </w:rPr>
                          <w:t>vůči rozpočtu</w:t>
                        </w:r>
                      </w:p>
                      <w:p w14:paraId="3AB4C200" w14:textId="77777777" w:rsidR="00511D9B" w:rsidRPr="007830DA" w:rsidRDefault="00511D9B" w:rsidP="007830DA">
                        <w:pPr>
                          <w:spacing w:line="180" w:lineRule="auto"/>
                          <w:jc w:val="center"/>
                          <w:rPr>
                            <w:rFonts w:asciiTheme="minorHAnsi" w:hAnsiTheme="minorHAnsi" w:cstheme="minorHAnsi"/>
                            <w:sz w:val="18"/>
                          </w:rPr>
                        </w:pPr>
                      </w:p>
                    </w:txbxContent>
                  </v:textbox>
                </v:shape>
                <v:shape id="Přímá spojnice se šipkou 23843" o:spid="_x0000_s1054" type="#_x0000_t32" style="position:absolute;left:25679;top:4762;width:5563;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aBHxwAAAN4AAAAPAAAAZHJzL2Rvd25yZXYueG1sRI9PawIx&#10;FMTvhX6H8ApeSs2qpSxbo4ioCNKDthR6e928/dNuXpYkruu3N4LgcZiZ3zDTeW8a0ZHztWUFo2EC&#10;gji3uuZSwdfn+iUF4QOyxsYyKTiTh/ns8WGKmbYn3lN3CKWIEPYZKqhCaDMpfV6RQT+0LXH0CusM&#10;hihdKbXDU4SbRo6T5E0arDkuVNjSsqL8/3A0Cvrf/e7neYFdscHVh/nT8lu6QqnBU794BxGoD/fw&#10;rb3VCsaT9HUC1zvxCsjZBQAA//8DAFBLAQItABQABgAIAAAAIQDb4fbL7gAAAIUBAAATAAAAAAAA&#10;AAAAAAAAAAAAAABbQ29udGVudF9UeXBlc10ueG1sUEsBAi0AFAAGAAgAAAAhAFr0LFu/AAAAFQEA&#10;AAsAAAAAAAAAAAAAAAAAHwEAAF9yZWxzLy5yZWxzUEsBAi0AFAAGAAgAAAAhAAn1oEfHAAAA3gAA&#10;AA8AAAAAAAAAAAAAAAAABwIAAGRycy9kb3ducmV2LnhtbFBLBQYAAAAAAwADALcAAAD7AgAAAAA=&#10;" strokecolor="black [3200]" strokeweight=".5pt">
                  <v:stroke startarrow="oval" endarrow="block" joinstyle="miter"/>
                </v:shape>
              </v:group>
            </w:pict>
          </mc:Fallback>
        </mc:AlternateContent>
      </w:r>
    </w:p>
    <w:p w14:paraId="096C7EBC" w14:textId="40DC9119" w:rsidR="00164AB8" w:rsidRPr="00511D9B" w:rsidRDefault="00164AB8" w:rsidP="00164AB8">
      <w:pPr>
        <w:pStyle w:val="A1-text"/>
        <w:spacing w:after="0"/>
        <w:rPr>
          <w:rFonts w:asciiTheme="minorHAnsi" w:hAnsiTheme="minorHAnsi" w:cstheme="minorHAnsi"/>
          <w:lang w:val="cs-CZ"/>
        </w:rPr>
      </w:pPr>
    </w:p>
    <w:p w14:paraId="2246B13D" w14:textId="705F1B5C" w:rsidR="00164AB8" w:rsidRPr="00511D9B" w:rsidRDefault="00164AB8" w:rsidP="00164AB8">
      <w:pPr>
        <w:pStyle w:val="A1-text"/>
        <w:spacing w:after="0"/>
        <w:rPr>
          <w:rFonts w:asciiTheme="minorHAnsi" w:hAnsiTheme="minorHAnsi" w:cstheme="minorHAnsi"/>
          <w:lang w:val="cs-CZ"/>
        </w:rPr>
      </w:pPr>
    </w:p>
    <w:p w14:paraId="6C4239E1" w14:textId="77777777" w:rsidR="00164AB8" w:rsidRPr="00511D9B" w:rsidRDefault="00164AB8" w:rsidP="00164AB8">
      <w:pPr>
        <w:pStyle w:val="Zkladntext3"/>
        <w:spacing w:after="0" w:line="360" w:lineRule="auto"/>
        <w:jc w:val="both"/>
        <w:rPr>
          <w:rFonts w:asciiTheme="minorHAnsi" w:eastAsia="Calibri" w:hAnsiTheme="minorHAnsi" w:cstheme="minorHAnsi"/>
          <w:i/>
          <w:iCs/>
          <w:sz w:val="24"/>
          <w:szCs w:val="24"/>
        </w:rPr>
      </w:pPr>
      <w:r w:rsidRPr="00511D9B">
        <w:rPr>
          <w:rFonts w:asciiTheme="minorHAnsi" w:eastAsia="Calibri" w:hAnsiTheme="minorHAnsi" w:cstheme="minorHAnsi"/>
          <w:i/>
          <w:iCs/>
          <w:sz w:val="24"/>
          <w:szCs w:val="24"/>
        </w:rPr>
        <w:t>Zdroj: autoři</w:t>
      </w:r>
    </w:p>
    <w:p w14:paraId="63748B1D" w14:textId="29071F43" w:rsidR="00A61663" w:rsidRPr="00511D9B" w:rsidRDefault="00A61663" w:rsidP="00A61663">
      <w:pPr>
        <w:tabs>
          <w:tab w:val="left" w:pos="4014"/>
        </w:tabs>
        <w:jc w:val="both"/>
        <w:rPr>
          <w:rFonts w:asciiTheme="minorHAnsi" w:hAnsiTheme="minorHAnsi" w:cstheme="minorHAnsi"/>
          <w:lang w:eastAsia="x-none"/>
        </w:rPr>
      </w:pPr>
      <w:r w:rsidRPr="00511D9B">
        <w:rPr>
          <w:rFonts w:asciiTheme="minorHAnsi" w:hAnsiTheme="minorHAnsi" w:cstheme="minorHAnsi"/>
          <w:lang w:eastAsia="x-none"/>
        </w:rPr>
        <w:t>E</w:t>
      </w:r>
      <w:r w:rsidR="005363B4" w:rsidRPr="00511D9B">
        <w:rPr>
          <w:rFonts w:asciiTheme="minorHAnsi" w:hAnsiTheme="minorHAnsi" w:cstheme="minorHAnsi"/>
          <w:lang w:eastAsia="x-none"/>
        </w:rPr>
        <w:t xml:space="preserve">xperti na strategické řízení </w:t>
      </w:r>
      <w:r w:rsidRPr="00511D9B">
        <w:rPr>
          <w:rFonts w:asciiTheme="minorHAnsi" w:hAnsiTheme="minorHAnsi" w:cstheme="minorHAnsi"/>
          <w:lang w:eastAsia="x-none"/>
        </w:rPr>
        <w:t xml:space="preserve">obvykle tento vztah posuzují z hlediska finančních potřeb (nároků) nutných na realizaci strategie, jejích cílů nebo opatření. </w:t>
      </w:r>
      <w:r w:rsidR="005363B4" w:rsidRPr="00511D9B">
        <w:rPr>
          <w:rFonts w:asciiTheme="minorHAnsi" w:hAnsiTheme="minorHAnsi" w:cstheme="minorHAnsi"/>
          <w:lang w:eastAsia="x-none"/>
        </w:rPr>
        <w:t xml:space="preserve">Svoje požadavky (nároky strategie na rozpočet) považují za určující a domnívají se, že experti na rozpočtování by jim měli vyjít vstříc. Nicméně zdroje jsou a budou omezené. </w:t>
      </w:r>
      <w:r w:rsidRPr="00511D9B">
        <w:rPr>
          <w:rFonts w:asciiTheme="minorHAnsi" w:hAnsiTheme="minorHAnsi" w:cstheme="minorHAnsi"/>
          <w:lang w:eastAsia="x-none"/>
        </w:rPr>
        <w:t xml:space="preserve">Je třeba brát v úvahu, že osoby odpovědné za rozpočtování však </w:t>
      </w:r>
      <w:r w:rsidR="00164AB8" w:rsidRPr="00511D9B">
        <w:rPr>
          <w:rFonts w:asciiTheme="minorHAnsi" w:hAnsiTheme="minorHAnsi" w:cstheme="minorHAnsi"/>
          <w:lang w:eastAsia="x-none"/>
        </w:rPr>
        <w:t>obvykle</w:t>
      </w:r>
      <w:r w:rsidRPr="00511D9B">
        <w:rPr>
          <w:rFonts w:asciiTheme="minorHAnsi" w:hAnsiTheme="minorHAnsi" w:cstheme="minorHAnsi"/>
          <w:lang w:eastAsia="x-none"/>
        </w:rPr>
        <w:t xml:space="preserve"> sledují cíle dané rozpočtovou politikou (např. v podobě snahy o </w:t>
      </w:r>
      <w:r w:rsidR="005363B4" w:rsidRPr="00511D9B">
        <w:rPr>
          <w:rFonts w:asciiTheme="minorHAnsi" w:hAnsiTheme="minorHAnsi" w:cstheme="minorHAnsi"/>
          <w:lang w:eastAsia="x-none"/>
        </w:rPr>
        <w:t>vyrovnané hospodaření) a ty ze svého hlediska považují za určující.</w:t>
      </w:r>
      <w:r w:rsidRPr="00511D9B">
        <w:rPr>
          <w:rFonts w:asciiTheme="minorHAnsi" w:hAnsiTheme="minorHAnsi" w:cstheme="minorHAnsi"/>
          <w:lang w:eastAsia="x-none"/>
        </w:rPr>
        <w:t xml:space="preserve"> </w:t>
      </w:r>
      <w:r w:rsidR="00164AB8" w:rsidRPr="00511D9B">
        <w:rPr>
          <w:rFonts w:asciiTheme="minorHAnsi" w:hAnsiTheme="minorHAnsi" w:cstheme="minorHAnsi"/>
          <w:lang w:eastAsia="x-none"/>
        </w:rPr>
        <w:t xml:space="preserve">Experti na strategické </w:t>
      </w:r>
      <w:r w:rsidR="00632801" w:rsidRPr="00511D9B">
        <w:rPr>
          <w:rFonts w:asciiTheme="minorHAnsi" w:hAnsiTheme="minorHAnsi" w:cstheme="minorHAnsi"/>
          <w:lang w:eastAsia="x-none"/>
        </w:rPr>
        <w:t>řízení</w:t>
      </w:r>
      <w:r w:rsidR="00164AB8" w:rsidRPr="00511D9B">
        <w:rPr>
          <w:rFonts w:asciiTheme="minorHAnsi" w:hAnsiTheme="minorHAnsi" w:cstheme="minorHAnsi"/>
          <w:lang w:eastAsia="x-none"/>
        </w:rPr>
        <w:t xml:space="preserve"> </w:t>
      </w:r>
      <w:r w:rsidR="005363B4" w:rsidRPr="00511D9B">
        <w:rPr>
          <w:rFonts w:asciiTheme="minorHAnsi" w:hAnsiTheme="minorHAnsi" w:cstheme="minorHAnsi"/>
          <w:lang w:eastAsia="x-none"/>
        </w:rPr>
        <w:t>to posuzují ze svého hlediska a</w:t>
      </w:r>
      <w:r w:rsidR="00164AB8" w:rsidRPr="00511D9B">
        <w:rPr>
          <w:rFonts w:asciiTheme="minorHAnsi" w:hAnsiTheme="minorHAnsi" w:cstheme="minorHAnsi"/>
          <w:lang w:eastAsia="x-none"/>
        </w:rPr>
        <w:t xml:space="preserve"> často neberou při tvorbě, realizaci nebo úpravách strategie v úvahu finanční omezení, respektive</w:t>
      </w:r>
      <w:r w:rsidRPr="00511D9B">
        <w:rPr>
          <w:rFonts w:asciiTheme="minorHAnsi" w:hAnsiTheme="minorHAnsi" w:cstheme="minorHAnsi"/>
          <w:lang w:eastAsia="x-none"/>
        </w:rPr>
        <w:t xml:space="preserve"> omezující vliv rozpočtu na příprav</w:t>
      </w:r>
      <w:r w:rsidR="00164AB8" w:rsidRPr="00511D9B">
        <w:rPr>
          <w:rFonts w:asciiTheme="minorHAnsi" w:hAnsiTheme="minorHAnsi" w:cstheme="minorHAnsi"/>
          <w:lang w:eastAsia="x-none"/>
        </w:rPr>
        <w:t>u a realizaci strategie</w:t>
      </w:r>
      <w:r w:rsidRPr="00511D9B">
        <w:rPr>
          <w:rFonts w:asciiTheme="minorHAnsi" w:hAnsiTheme="minorHAnsi" w:cstheme="minorHAnsi"/>
          <w:lang w:eastAsia="x-none"/>
        </w:rPr>
        <w:t xml:space="preserve">. </w:t>
      </w:r>
      <w:r w:rsidR="00B771F7" w:rsidRPr="00511D9B">
        <w:rPr>
          <w:rFonts w:asciiTheme="minorHAnsi" w:hAnsiTheme="minorHAnsi" w:cstheme="minorHAnsi"/>
          <w:lang w:eastAsia="x-none"/>
        </w:rPr>
        <w:t>Problematika financování strategie se tak často v praxi stává významnou bariérou pro účinnou strategickou práci. Také ve snaze přispět ke snížení této bariéry vznikl tento text. Je třeba brát v úvahu, že n</w:t>
      </w:r>
      <w:r w:rsidRPr="00511D9B">
        <w:rPr>
          <w:rFonts w:asciiTheme="minorHAnsi" w:hAnsiTheme="minorHAnsi" w:cstheme="minorHAnsi"/>
          <w:lang w:eastAsia="x-none"/>
        </w:rPr>
        <w:t xml:space="preserve">a jedné straně rozpočet omezuje veřejnou strategii svou strukturou (mandatorní výdaje, quazi mandatorní výdaje, příjmy) ale i dluhovým zatížením, na druhé straně veřejná strategie může vyvolat v rozpočtu potřebu </w:t>
      </w:r>
      <w:r w:rsidR="00B771F7" w:rsidRPr="00511D9B">
        <w:rPr>
          <w:rFonts w:asciiTheme="minorHAnsi" w:hAnsiTheme="minorHAnsi" w:cstheme="minorHAnsi"/>
          <w:lang w:eastAsia="x-none"/>
        </w:rPr>
        <w:t xml:space="preserve">jinak výdaje strukturovat nebo získat </w:t>
      </w:r>
      <w:r w:rsidRPr="00511D9B">
        <w:rPr>
          <w:rFonts w:asciiTheme="minorHAnsi" w:hAnsiTheme="minorHAnsi" w:cstheme="minorHAnsi"/>
          <w:lang w:eastAsia="x-none"/>
        </w:rPr>
        <w:t>dotace a půjčky (ú</w:t>
      </w:r>
      <w:r w:rsidR="005363B4" w:rsidRPr="00511D9B">
        <w:rPr>
          <w:rFonts w:asciiTheme="minorHAnsi" w:hAnsiTheme="minorHAnsi" w:cstheme="minorHAnsi"/>
          <w:lang w:eastAsia="x-none"/>
        </w:rPr>
        <w:t>věry)</w:t>
      </w:r>
      <w:r w:rsidR="00B771F7" w:rsidRPr="00511D9B">
        <w:rPr>
          <w:rFonts w:asciiTheme="minorHAnsi" w:hAnsiTheme="minorHAnsi" w:cstheme="minorHAnsi"/>
          <w:lang w:eastAsia="x-none"/>
        </w:rPr>
        <w:t>,</w:t>
      </w:r>
      <w:r w:rsidR="005363B4" w:rsidRPr="00511D9B">
        <w:rPr>
          <w:rFonts w:asciiTheme="minorHAnsi" w:hAnsiTheme="minorHAnsi" w:cstheme="minorHAnsi"/>
          <w:lang w:eastAsia="x-none"/>
        </w:rPr>
        <w:t xml:space="preserve"> popř</w:t>
      </w:r>
      <w:r w:rsidR="00B771F7" w:rsidRPr="00511D9B">
        <w:rPr>
          <w:rFonts w:asciiTheme="minorHAnsi" w:hAnsiTheme="minorHAnsi" w:cstheme="minorHAnsi"/>
          <w:lang w:eastAsia="x-none"/>
        </w:rPr>
        <w:t>ípadě</w:t>
      </w:r>
      <w:r w:rsidR="005363B4" w:rsidRPr="00511D9B">
        <w:rPr>
          <w:rFonts w:asciiTheme="minorHAnsi" w:hAnsiTheme="minorHAnsi" w:cstheme="minorHAnsi"/>
          <w:lang w:eastAsia="x-none"/>
        </w:rPr>
        <w:t xml:space="preserve"> </w:t>
      </w:r>
      <w:r w:rsidR="00B771F7" w:rsidRPr="00511D9B">
        <w:rPr>
          <w:rFonts w:asciiTheme="minorHAnsi" w:hAnsiTheme="minorHAnsi" w:cstheme="minorHAnsi"/>
          <w:lang w:eastAsia="x-none"/>
        </w:rPr>
        <w:t>změnit nebo generovat nové</w:t>
      </w:r>
      <w:r w:rsidR="005363B4" w:rsidRPr="00511D9B">
        <w:rPr>
          <w:rFonts w:asciiTheme="minorHAnsi" w:hAnsiTheme="minorHAnsi" w:cstheme="minorHAnsi"/>
          <w:lang w:eastAsia="x-none"/>
        </w:rPr>
        <w:t xml:space="preserve"> příjmy.  </w:t>
      </w:r>
    </w:p>
    <w:p w14:paraId="5375B466" w14:textId="77777777" w:rsidR="00704386" w:rsidRPr="00511D9B" w:rsidRDefault="00704386" w:rsidP="00A61663">
      <w:pPr>
        <w:tabs>
          <w:tab w:val="left" w:pos="4014"/>
        </w:tabs>
        <w:jc w:val="both"/>
        <w:rPr>
          <w:rFonts w:asciiTheme="minorHAnsi" w:hAnsiTheme="minorHAnsi" w:cstheme="minorHAnsi"/>
          <w:lang w:eastAsia="x-none"/>
        </w:rPr>
      </w:pPr>
    </w:p>
    <w:p w14:paraId="0CC6311F" w14:textId="23CEE6B7" w:rsidR="00704386" w:rsidRPr="00511D9B" w:rsidRDefault="00704386" w:rsidP="00A61663">
      <w:pPr>
        <w:tabs>
          <w:tab w:val="left" w:pos="4014"/>
        </w:tabs>
        <w:jc w:val="both"/>
        <w:rPr>
          <w:rFonts w:asciiTheme="minorHAnsi" w:hAnsiTheme="minorHAnsi" w:cstheme="minorHAnsi"/>
          <w:lang w:eastAsia="x-none"/>
        </w:rPr>
      </w:pPr>
      <w:r w:rsidRPr="00511D9B">
        <w:rPr>
          <w:rFonts w:asciiTheme="minorHAnsi" w:hAnsiTheme="minorHAnsi" w:cstheme="minorHAnsi"/>
          <w:lang w:eastAsia="x-none"/>
        </w:rPr>
        <w:t>Na následujícím obrázku jsou do vztahu strategie a rozpočtu doplněny další důležité prvky.</w:t>
      </w:r>
    </w:p>
    <w:p w14:paraId="4C68119B" w14:textId="3D6050F7" w:rsidR="00CE13A0" w:rsidRPr="00511D9B" w:rsidRDefault="00511D9B" w:rsidP="00704386">
      <w:pPr>
        <w:pStyle w:val="Zkladntext3"/>
        <w:spacing w:after="0" w:line="360" w:lineRule="auto"/>
        <w:jc w:val="both"/>
        <w:rPr>
          <w:rFonts w:asciiTheme="minorHAnsi" w:hAnsiTheme="minorHAnsi" w:cstheme="minorHAnsi"/>
          <w:lang w:eastAsia="x-none"/>
        </w:rPr>
      </w:pPr>
      <w:r w:rsidRPr="00511D9B">
        <w:rPr>
          <w:rFonts w:asciiTheme="minorHAnsi" w:hAnsiTheme="minorHAnsi" w:cstheme="minorHAnsi"/>
          <w:noProof/>
        </w:rPr>
        <mc:AlternateContent>
          <mc:Choice Requires="wpg">
            <w:drawing>
              <wp:anchor distT="0" distB="0" distL="114300" distR="114300" simplePos="0" relativeHeight="251768320" behindDoc="0" locked="0" layoutInCell="1" allowOverlap="1" wp14:anchorId="7104C216" wp14:editId="21F02748">
                <wp:simplePos x="0" y="0"/>
                <wp:positionH relativeFrom="column">
                  <wp:posOffset>-60960</wp:posOffset>
                </wp:positionH>
                <wp:positionV relativeFrom="paragraph">
                  <wp:posOffset>240030</wp:posOffset>
                </wp:positionV>
                <wp:extent cx="5584190" cy="1409700"/>
                <wp:effectExtent l="0" t="0" r="16510" b="19050"/>
                <wp:wrapNone/>
                <wp:docPr id="224" name="Skupina 224"/>
                <wp:cNvGraphicFramePr/>
                <a:graphic xmlns:a="http://schemas.openxmlformats.org/drawingml/2006/main">
                  <a:graphicData uri="http://schemas.microsoft.com/office/word/2010/wordprocessingGroup">
                    <wpg:wgp>
                      <wpg:cNvGrpSpPr/>
                      <wpg:grpSpPr>
                        <a:xfrm>
                          <a:off x="0" y="0"/>
                          <a:ext cx="5584190" cy="1409700"/>
                          <a:chOff x="83833" y="175307"/>
                          <a:chExt cx="5584812" cy="1410211"/>
                        </a:xfrm>
                      </wpg:grpSpPr>
                      <wps:wsp>
                        <wps:cNvPr id="23848" name="Přímá spojnice se šipkou 23848"/>
                        <wps:cNvCnPr>
                          <a:stCxn id="23846" idx="3"/>
                          <a:endCxn id="23868" idx="1"/>
                        </wps:cNvCnPr>
                        <wps:spPr>
                          <a:xfrm flipV="1">
                            <a:off x="1066800" y="411504"/>
                            <a:ext cx="205740" cy="441604"/>
                          </a:xfrm>
                          <a:prstGeom prst="straightConnector1">
                            <a:avLst/>
                          </a:prstGeom>
                          <a:ln w="3175">
                            <a:headEnd type="oval" w="sm" len="sm"/>
                            <a:tailEnd type="triangle" w="sm" len="sm"/>
                          </a:ln>
                        </wps:spPr>
                        <wps:style>
                          <a:lnRef idx="1">
                            <a:schemeClr val="dk1"/>
                          </a:lnRef>
                          <a:fillRef idx="0">
                            <a:schemeClr val="dk1"/>
                          </a:fillRef>
                          <a:effectRef idx="0">
                            <a:schemeClr val="dk1"/>
                          </a:effectRef>
                          <a:fontRef idx="minor">
                            <a:schemeClr val="tx1"/>
                          </a:fontRef>
                        </wps:style>
                        <wps:bodyPr/>
                      </wps:wsp>
                      <wps:wsp>
                        <wps:cNvPr id="23908" name="Přímá spojnice se šipkou 23908"/>
                        <wps:cNvCnPr>
                          <a:stCxn id="23871" idx="3"/>
                          <a:endCxn id="23904" idx="1"/>
                        </wps:cNvCnPr>
                        <wps:spPr>
                          <a:xfrm flipV="1">
                            <a:off x="4599638" y="870975"/>
                            <a:ext cx="215675" cy="3596"/>
                          </a:xfrm>
                          <a:prstGeom prst="straightConnector1">
                            <a:avLst/>
                          </a:prstGeom>
                          <a:ln>
                            <a:headEnd type="oval" w="sm" len="sm"/>
                            <a:tailEnd type="triangle" w="sm" len="sm"/>
                          </a:ln>
                        </wps:spPr>
                        <wps:style>
                          <a:lnRef idx="1">
                            <a:schemeClr val="dk1"/>
                          </a:lnRef>
                          <a:fillRef idx="0">
                            <a:schemeClr val="dk1"/>
                          </a:fillRef>
                          <a:effectRef idx="0">
                            <a:schemeClr val="dk1"/>
                          </a:effectRef>
                          <a:fontRef idx="minor">
                            <a:schemeClr val="tx1"/>
                          </a:fontRef>
                        </wps:style>
                        <wps:bodyPr/>
                      </wps:wsp>
                      <wps:wsp>
                        <wps:cNvPr id="23868" name="Textové pole 2"/>
                        <wps:cNvSpPr txBox="1">
                          <a:spLocks noChangeArrowheads="1"/>
                        </wps:cNvSpPr>
                        <wps:spPr bwMode="auto">
                          <a:xfrm>
                            <a:off x="1272540" y="175307"/>
                            <a:ext cx="952488" cy="472393"/>
                          </a:xfrm>
                          <a:prstGeom prst="rect">
                            <a:avLst/>
                          </a:prstGeom>
                          <a:solidFill>
                            <a:schemeClr val="bg1">
                              <a:lumMod val="95000"/>
                            </a:schemeClr>
                          </a:solidFill>
                          <a:ln w="3175">
                            <a:solidFill>
                              <a:srgbClr val="0070C0"/>
                            </a:solidFill>
                            <a:prstDash val="solid"/>
                            <a:miter lim="800000"/>
                            <a:headEnd/>
                            <a:tailEnd/>
                          </a:ln>
                        </wps:spPr>
                        <wps:txbx>
                          <w:txbxContent>
                            <w:p w14:paraId="06045AE8" w14:textId="671A3973" w:rsidR="00511D9B" w:rsidRDefault="00511D9B" w:rsidP="00511D9B">
                              <w:pPr>
                                <w:spacing w:line="180" w:lineRule="auto"/>
                                <w:ind w:left="-113" w:right="-113"/>
                                <w:jc w:val="center"/>
                                <w:rPr>
                                  <w:rFonts w:asciiTheme="minorHAnsi" w:hAnsiTheme="minorHAnsi" w:cstheme="minorHAnsi"/>
                                  <w:b/>
                                </w:rPr>
                              </w:pPr>
                              <w:r>
                                <w:rPr>
                                  <w:rFonts w:asciiTheme="minorHAnsi" w:hAnsiTheme="minorHAnsi" w:cstheme="minorHAnsi"/>
                                  <w:b/>
                                </w:rPr>
                                <w:t>Strategie</w:t>
                              </w:r>
                            </w:p>
                            <w:p w14:paraId="1DEBBDC5" w14:textId="2518ACD0" w:rsidR="00511D9B" w:rsidRPr="00576CB4" w:rsidRDefault="00511D9B" w:rsidP="00527FBE">
                              <w:pPr>
                                <w:spacing w:line="180" w:lineRule="auto"/>
                                <w:jc w:val="center"/>
                                <w:rPr>
                                  <w:rFonts w:asciiTheme="minorHAnsi" w:hAnsiTheme="minorHAnsi" w:cstheme="minorHAnsi"/>
                                  <w:b/>
                                  <w:sz w:val="20"/>
                                </w:rPr>
                              </w:pPr>
                              <w:r>
                                <w:rPr>
                                  <w:rFonts w:asciiTheme="minorHAnsi" w:hAnsiTheme="minorHAnsi" w:cstheme="minorHAnsi"/>
                                  <w:b/>
                                  <w:sz w:val="20"/>
                                </w:rPr>
                                <w:t>nebo její změna</w:t>
                              </w:r>
                            </w:p>
                          </w:txbxContent>
                        </wps:txbx>
                        <wps:bodyPr rot="0" vert="horz" wrap="square" lIns="91440" tIns="45720" rIns="91440" bIns="45720" anchor="t" anchorCtr="0">
                          <a:noAutofit/>
                        </wps:bodyPr>
                      </wps:wsp>
                      <wps:wsp>
                        <wps:cNvPr id="23870" name="Textové pole 2"/>
                        <wps:cNvSpPr txBox="1">
                          <a:spLocks noChangeArrowheads="1"/>
                        </wps:cNvSpPr>
                        <wps:spPr bwMode="auto">
                          <a:xfrm>
                            <a:off x="2620997" y="586459"/>
                            <a:ext cx="853736" cy="556260"/>
                          </a:xfrm>
                          <a:prstGeom prst="rect">
                            <a:avLst/>
                          </a:prstGeom>
                          <a:solidFill>
                            <a:schemeClr val="bg1">
                              <a:lumMod val="95000"/>
                            </a:schemeClr>
                          </a:solidFill>
                          <a:ln w="3175">
                            <a:solidFill>
                              <a:srgbClr val="0070C0"/>
                            </a:solidFill>
                            <a:prstDash val="solid"/>
                            <a:miter lim="800000"/>
                            <a:headEnd/>
                            <a:tailEnd/>
                          </a:ln>
                        </wps:spPr>
                        <wps:txbx>
                          <w:txbxContent>
                            <w:p w14:paraId="130B9E8D" w14:textId="0F910778" w:rsidR="00511D9B" w:rsidRDefault="00511D9B" w:rsidP="00527FBE">
                              <w:pPr>
                                <w:spacing w:before="120" w:line="180" w:lineRule="auto"/>
                                <w:ind w:left="-57" w:right="-57"/>
                                <w:jc w:val="center"/>
                                <w:rPr>
                                  <w:rFonts w:asciiTheme="minorHAnsi" w:hAnsiTheme="minorHAnsi" w:cstheme="minorHAnsi"/>
                                  <w:b/>
                                </w:rPr>
                              </w:pPr>
                              <w:r>
                                <w:rPr>
                                  <w:rFonts w:asciiTheme="minorHAnsi" w:hAnsiTheme="minorHAnsi" w:cstheme="minorHAnsi"/>
                                  <w:b/>
                                </w:rPr>
                                <w:t xml:space="preserve">Finanční kontrola </w:t>
                              </w:r>
                            </w:p>
                            <w:p w14:paraId="64C5E12C" w14:textId="77777777" w:rsidR="00511D9B" w:rsidRPr="00576CB4" w:rsidRDefault="00511D9B" w:rsidP="00527FBE">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871" name="Textové pole 2"/>
                        <wps:cNvSpPr txBox="1">
                          <a:spLocks noChangeArrowheads="1"/>
                        </wps:cNvSpPr>
                        <wps:spPr bwMode="auto">
                          <a:xfrm>
                            <a:off x="3703333" y="593320"/>
                            <a:ext cx="896808" cy="563102"/>
                          </a:xfrm>
                          <a:prstGeom prst="rect">
                            <a:avLst/>
                          </a:prstGeom>
                          <a:solidFill>
                            <a:schemeClr val="bg1">
                              <a:lumMod val="95000"/>
                            </a:schemeClr>
                          </a:solidFill>
                          <a:ln w="3175">
                            <a:solidFill>
                              <a:srgbClr val="0070C0"/>
                            </a:solidFill>
                            <a:prstDash val="solid"/>
                            <a:miter lim="800000"/>
                            <a:headEnd/>
                            <a:tailEnd/>
                          </a:ln>
                        </wps:spPr>
                        <wps:txbx>
                          <w:txbxContent>
                            <w:p w14:paraId="2413D682" w14:textId="68DC3FD8" w:rsidR="00511D9B" w:rsidRDefault="00511D9B" w:rsidP="00527FBE">
                              <w:pPr>
                                <w:spacing w:before="120" w:line="180" w:lineRule="auto"/>
                                <w:ind w:left="-113" w:right="-113"/>
                                <w:jc w:val="center"/>
                                <w:rPr>
                                  <w:rFonts w:asciiTheme="minorHAnsi" w:hAnsiTheme="minorHAnsi" w:cstheme="minorHAnsi"/>
                                  <w:b/>
                                </w:rPr>
                              </w:pPr>
                              <w:r>
                                <w:rPr>
                                  <w:rFonts w:asciiTheme="minorHAnsi" w:hAnsiTheme="minorHAnsi" w:cstheme="minorHAnsi"/>
                                  <w:b/>
                                </w:rPr>
                                <w:t>Hospodaření dle rozpočtu</w:t>
                              </w:r>
                            </w:p>
                            <w:p w14:paraId="62B2DF3A" w14:textId="77777777" w:rsidR="00511D9B" w:rsidRPr="00576CB4" w:rsidRDefault="00511D9B" w:rsidP="00527FBE">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904" name="Textové pole 2"/>
                        <wps:cNvSpPr txBox="1">
                          <a:spLocks noChangeArrowheads="1"/>
                        </wps:cNvSpPr>
                        <wps:spPr bwMode="auto">
                          <a:xfrm>
                            <a:off x="4815840" y="585524"/>
                            <a:ext cx="852805" cy="571500"/>
                          </a:xfrm>
                          <a:prstGeom prst="rect">
                            <a:avLst/>
                          </a:prstGeom>
                          <a:solidFill>
                            <a:schemeClr val="bg1">
                              <a:lumMod val="95000"/>
                            </a:schemeClr>
                          </a:solidFill>
                          <a:ln w="3175">
                            <a:solidFill>
                              <a:srgbClr val="0070C0"/>
                            </a:solidFill>
                            <a:prstDash val="solid"/>
                            <a:miter lim="800000"/>
                            <a:headEnd/>
                            <a:tailEnd/>
                          </a:ln>
                        </wps:spPr>
                        <wps:txbx>
                          <w:txbxContent>
                            <w:p w14:paraId="7120276C" w14:textId="3E60DEB5" w:rsidR="00511D9B" w:rsidRPr="00397A20" w:rsidRDefault="00511D9B" w:rsidP="00397A20">
                              <w:pPr>
                                <w:spacing w:line="156" w:lineRule="auto"/>
                                <w:ind w:left="-57" w:right="-57"/>
                                <w:jc w:val="center"/>
                                <w:rPr>
                                  <w:rFonts w:asciiTheme="minorHAnsi" w:hAnsiTheme="minorHAnsi" w:cstheme="minorHAnsi"/>
                                  <w:b/>
                                  <w:sz w:val="22"/>
                                </w:rPr>
                              </w:pPr>
                              <w:r w:rsidRPr="00397A20">
                                <w:rPr>
                                  <w:rFonts w:asciiTheme="minorHAnsi" w:hAnsiTheme="minorHAnsi" w:cstheme="minorHAnsi"/>
                                  <w:b/>
                                  <w:sz w:val="22"/>
                                </w:rPr>
                                <w:t>Závěrečný účet a hodnocení strategie</w:t>
                              </w:r>
                            </w:p>
                            <w:p w14:paraId="79955A0F" w14:textId="77777777" w:rsidR="00511D9B" w:rsidRPr="00397A20" w:rsidRDefault="00511D9B" w:rsidP="00397A20">
                              <w:pPr>
                                <w:spacing w:line="156" w:lineRule="auto"/>
                                <w:jc w:val="center"/>
                                <w:rPr>
                                  <w:rFonts w:asciiTheme="minorHAnsi" w:hAnsiTheme="minorHAnsi" w:cstheme="minorHAnsi"/>
                                  <w:b/>
                                  <w:sz w:val="18"/>
                                </w:rPr>
                              </w:pPr>
                            </w:p>
                          </w:txbxContent>
                        </wps:txbx>
                        <wps:bodyPr rot="0" vert="horz" wrap="square" lIns="91440" tIns="45720" rIns="91440" bIns="45720" anchor="t" anchorCtr="0">
                          <a:noAutofit/>
                        </wps:bodyPr>
                      </wps:wsp>
                      <wps:wsp>
                        <wps:cNvPr id="23846" name="Textové pole 2"/>
                        <wps:cNvSpPr txBox="1">
                          <a:spLocks noChangeArrowheads="1"/>
                        </wps:cNvSpPr>
                        <wps:spPr bwMode="auto">
                          <a:xfrm>
                            <a:off x="83833" y="586725"/>
                            <a:ext cx="982967" cy="532765"/>
                          </a:xfrm>
                          <a:prstGeom prst="rect">
                            <a:avLst/>
                          </a:prstGeom>
                          <a:solidFill>
                            <a:schemeClr val="bg1">
                              <a:lumMod val="95000"/>
                            </a:schemeClr>
                          </a:solidFill>
                          <a:ln w="3175">
                            <a:solidFill>
                              <a:srgbClr val="0070C0"/>
                            </a:solidFill>
                            <a:prstDash val="solid"/>
                            <a:miter lim="800000"/>
                            <a:headEnd/>
                            <a:tailEnd/>
                          </a:ln>
                        </wps:spPr>
                        <wps:txbx>
                          <w:txbxContent>
                            <w:p w14:paraId="2D624883" w14:textId="77777777" w:rsidR="00511D9B" w:rsidRDefault="00511D9B" w:rsidP="00527FBE">
                              <w:pPr>
                                <w:spacing w:line="180" w:lineRule="auto"/>
                                <w:ind w:left="-113" w:right="-113"/>
                                <w:jc w:val="center"/>
                                <w:rPr>
                                  <w:rFonts w:asciiTheme="minorHAnsi" w:hAnsiTheme="minorHAnsi" w:cstheme="minorHAnsi"/>
                                  <w:b/>
                                </w:rPr>
                              </w:pPr>
                              <w:r>
                                <w:rPr>
                                  <w:rFonts w:asciiTheme="minorHAnsi" w:hAnsiTheme="minorHAnsi" w:cstheme="minorHAnsi"/>
                                  <w:b/>
                                </w:rPr>
                                <w:t xml:space="preserve">Společenská potřeba </w:t>
                              </w:r>
                            </w:p>
                            <w:p w14:paraId="0BE05CD0" w14:textId="78BAB297" w:rsidR="00511D9B" w:rsidRPr="00441214" w:rsidRDefault="00511D9B" w:rsidP="00527FBE">
                              <w:pPr>
                                <w:spacing w:line="180" w:lineRule="auto"/>
                                <w:ind w:left="-113" w:right="-113"/>
                                <w:jc w:val="center"/>
                                <w:rPr>
                                  <w:rFonts w:asciiTheme="minorHAnsi" w:hAnsiTheme="minorHAnsi" w:cstheme="minorHAnsi"/>
                                  <w:sz w:val="18"/>
                                </w:rPr>
                              </w:pPr>
                              <w:r w:rsidRPr="00CE13A0">
                                <w:rPr>
                                  <w:rFonts w:asciiTheme="minorHAnsi" w:hAnsiTheme="minorHAnsi" w:cstheme="minorHAnsi"/>
                                </w:rPr>
                                <w:t>(</w:t>
                              </w:r>
                              <w:r w:rsidRPr="00441214">
                                <w:rPr>
                                  <w:rFonts w:asciiTheme="minorHAnsi" w:hAnsiTheme="minorHAnsi" w:cstheme="minorHAnsi"/>
                                  <w:sz w:val="20"/>
                                </w:rPr>
                                <w:t>nebo její změna)</w:t>
                              </w:r>
                            </w:p>
                            <w:p w14:paraId="39555D3F" w14:textId="77777777" w:rsidR="00511D9B" w:rsidRPr="00576CB4" w:rsidRDefault="00511D9B" w:rsidP="00CE13A0">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912" name="Textové pole 2"/>
                        <wps:cNvSpPr txBox="1">
                          <a:spLocks noChangeArrowheads="1"/>
                        </wps:cNvSpPr>
                        <wps:spPr bwMode="auto">
                          <a:xfrm>
                            <a:off x="1264917" y="1097261"/>
                            <a:ext cx="982967" cy="488257"/>
                          </a:xfrm>
                          <a:prstGeom prst="rect">
                            <a:avLst/>
                          </a:prstGeom>
                          <a:solidFill>
                            <a:schemeClr val="bg1">
                              <a:lumMod val="95000"/>
                            </a:schemeClr>
                          </a:solidFill>
                          <a:ln w="3175">
                            <a:solidFill>
                              <a:srgbClr val="0070C0"/>
                            </a:solidFill>
                            <a:prstDash val="solid"/>
                            <a:miter lim="800000"/>
                            <a:headEnd/>
                            <a:tailEnd/>
                          </a:ln>
                        </wps:spPr>
                        <wps:txbx>
                          <w:txbxContent>
                            <w:p w14:paraId="6B56CE5D" w14:textId="57C4C67D" w:rsidR="00511D9B" w:rsidRPr="00576CB4" w:rsidRDefault="00511D9B" w:rsidP="00511D9B">
                              <w:pPr>
                                <w:spacing w:line="180" w:lineRule="auto"/>
                                <w:ind w:left="-113" w:right="-113"/>
                                <w:jc w:val="center"/>
                                <w:rPr>
                                  <w:rFonts w:asciiTheme="minorHAnsi" w:hAnsiTheme="minorHAnsi" w:cstheme="minorHAnsi"/>
                                  <w:b/>
                                  <w:sz w:val="20"/>
                                </w:rPr>
                              </w:pPr>
                              <w:r>
                                <w:rPr>
                                  <w:rFonts w:asciiTheme="minorHAnsi" w:hAnsiTheme="minorHAnsi" w:cstheme="minorHAnsi"/>
                                  <w:b/>
                                </w:rPr>
                                <w:t xml:space="preserve">Rozpočet instituce </w:t>
                              </w:r>
                              <w:r>
                                <w:rPr>
                                  <w:rFonts w:asciiTheme="minorHAnsi" w:hAnsiTheme="minorHAnsi" w:cstheme="minorHAnsi"/>
                                  <w:b/>
                                  <w:sz w:val="20"/>
                                </w:rPr>
                                <w:t>nebo jeho změna</w:t>
                              </w:r>
                            </w:p>
                          </w:txbxContent>
                        </wps:txbx>
                        <wps:bodyPr rot="0" vert="horz" wrap="square" lIns="91440" tIns="45720" rIns="91440" bIns="45720" anchor="t" anchorCtr="0">
                          <a:noAutofit/>
                        </wps:bodyPr>
                      </wps:wsp>
                      <wps:wsp>
                        <wps:cNvPr id="23916" name="Přímá spojnice se šipkou 23916"/>
                        <wps:cNvCnPr>
                          <a:stCxn id="23912" idx="3"/>
                          <a:endCxn id="23870" idx="1"/>
                        </wps:cNvCnPr>
                        <wps:spPr>
                          <a:xfrm flipV="1">
                            <a:off x="2247884" y="864589"/>
                            <a:ext cx="373113" cy="476801"/>
                          </a:xfrm>
                          <a:prstGeom prst="straightConnector1">
                            <a:avLst/>
                          </a:prstGeom>
                          <a:ln w="3175">
                            <a:headEnd type="oval" w="sm" len="sm"/>
                            <a:tailEnd type="triangle" w="sm" len="sm"/>
                          </a:ln>
                        </wps:spPr>
                        <wps:style>
                          <a:lnRef idx="1">
                            <a:schemeClr val="dk1"/>
                          </a:lnRef>
                          <a:fillRef idx="0">
                            <a:schemeClr val="dk1"/>
                          </a:fillRef>
                          <a:effectRef idx="0">
                            <a:schemeClr val="dk1"/>
                          </a:effectRef>
                          <a:fontRef idx="minor">
                            <a:schemeClr val="tx1"/>
                          </a:fontRef>
                        </wps:style>
                        <wps:bodyPr/>
                      </wps:wsp>
                      <wps:wsp>
                        <wps:cNvPr id="23905" name="Přímá spojnice se šipkou 23905"/>
                        <wps:cNvCnPr>
                          <a:stCxn id="23846" idx="3"/>
                          <a:endCxn id="23912" idx="1"/>
                        </wps:cNvCnPr>
                        <wps:spPr>
                          <a:xfrm>
                            <a:off x="1066800" y="853108"/>
                            <a:ext cx="198116" cy="488282"/>
                          </a:xfrm>
                          <a:prstGeom prst="straightConnector1">
                            <a:avLst/>
                          </a:prstGeom>
                          <a:ln w="3175">
                            <a:headEnd type="oval" w="sm" len="sm"/>
                            <a:tailEnd type="triangle" w="sm" len="sm"/>
                          </a:ln>
                        </wps:spPr>
                        <wps:style>
                          <a:lnRef idx="1">
                            <a:schemeClr val="dk1"/>
                          </a:lnRef>
                          <a:fillRef idx="0">
                            <a:schemeClr val="dk1"/>
                          </a:fillRef>
                          <a:effectRef idx="0">
                            <a:schemeClr val="dk1"/>
                          </a:effectRef>
                          <a:fontRef idx="minor">
                            <a:schemeClr val="tx1"/>
                          </a:fontRef>
                        </wps:style>
                        <wps:bodyPr/>
                      </wps:wsp>
                      <wps:wsp>
                        <wps:cNvPr id="3" name="Přímá spojnice se šipkou 3"/>
                        <wps:cNvCnPr>
                          <a:stCxn id="23868" idx="2"/>
                          <a:endCxn id="23912" idx="0"/>
                        </wps:cNvCnPr>
                        <wps:spPr>
                          <a:xfrm>
                            <a:off x="1748784" y="647700"/>
                            <a:ext cx="7616" cy="44956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788" name="Přímá spojnice se šipkou 3788"/>
                        <wps:cNvCnPr>
                          <a:stCxn id="23870" idx="3"/>
                          <a:endCxn id="23871" idx="1"/>
                        </wps:cNvCnPr>
                        <wps:spPr>
                          <a:xfrm>
                            <a:off x="3474355" y="864292"/>
                            <a:ext cx="228575" cy="1027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3906" name="Přímá spojnice se šipkou 23906"/>
                        <wps:cNvCnPr>
                          <a:stCxn id="23868" idx="3"/>
                          <a:endCxn id="23870" idx="1"/>
                        </wps:cNvCnPr>
                        <wps:spPr>
                          <a:xfrm>
                            <a:off x="2225028" y="411504"/>
                            <a:ext cx="395968" cy="453085"/>
                          </a:xfrm>
                          <a:prstGeom prst="straightConnector1">
                            <a:avLst/>
                          </a:prstGeom>
                          <a:ln w="3175">
                            <a:headEnd type="oval" w="sm" len="sm"/>
                            <a:tailEnd type="triangle" w="sm" len="sm"/>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04C216" id="Skupina 224" o:spid="_x0000_s1055" style="position:absolute;left:0;text-align:left;margin-left:-4.8pt;margin-top:18.9pt;width:439.7pt;height:111pt;z-index:251768320;mso-width-relative:margin;mso-height-relative:margin" coordorigin="838,1753" coordsize="55848,1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6ewYAAAQqAAAOAAAAZHJzL2Uyb0RvYy54bWzsWsuO2zYU3RfoPxDaN5aotxFPkDoPFOhj&#10;0KTdy7JkqyORKkWPPf2TLrPsol8R5L96SEqy7HqeKQaDRrPwSCJFkffec+7lvXz+YleV5DITTcHZ&#10;zHKe2RbJWMqXBVvNrF/ev/kmskgjE7ZMSs6ymXWVNdaLs6+/er6tpxnla14uM0EwCGum23pmraWs&#10;p5NJk66zKmme8TpjaMy5qBKJW7GaLEWyxehVOaG2HUy2XCxrwdOsafD0lWm0zvT4eZ6l8qc8bzJJ&#10;ypmFuUn9K/TvQv1Ozp4n05VI6nWRttNIHjCLKikYPtoP9SqRCdmI4l9DVUUqeMNz+Szl1YTneZFm&#10;eg1YjWMfreat4Jtar2U13a7qXkwQ7ZGcHjxs+uPluSDFcmZR6lmEJRWU9O5iUxcsIeoRBLStV1P0&#10;eyvqd/W5aB+szJ1a8y4XlfqP1ZCdFu1VL9psJ0mKh74feU4MDaRoczw7Du1W+OkaGlLvRW7kuhZR&#10;7aHv2qHRTbp+PRgicmg3hGNTx1F9Jt0MJmqi/by2NSyq2Qut+TyhvVsndaZ10ShhdEJzIw8WbsR2&#10;/unPj39XHz+Qpua/MSiWNBn59KGoL/iGUN1TC08PMGfnQgmtkfMdMwpAj8DCJWThmsVnbDloDfAl&#10;3WqWrRaImZiB1E0D7XT6IHlZ1L9ClJhyrxnHDoIIclcy9hzHt7V6k2mnJGr7odfqyPOcwLT38k2m&#10;tWjk24xXRF3MrEaKpFit5ZwzBqRxYb6WXH7fSKOY7gU1iZKRLVYG5eo5rbNk+ZotibyqYXL8Mikt&#10;1d5UFikzcAkuMEYylUlR7vtJUSRsVWan+mKiJYM97GWhr+RVmZnv/5zlnQDVA00y2bwUBB+fWcuL&#10;zpxKhp6qR16UZf+Srad97UttX/Vaponnri/2vfUXOZP9i1XBuDj1Vbnrppqb/t2qzVrVshd8eaXB&#10;qsUBICgcPwoiYvuuiFA9b0FE6NyAiBgG2ilU2Zta4P0Q4flxHLiYLxARhWAlvwVeyznU8QM806zl&#10;+nGgWv87PCiFjzBoZfp/g0Gk6No4hvcgWH758S9S8zIjdGDzyqESufuWg/MNeTb19zy9aAjj8zWY&#10;LnspBN8qI4H/OuB99arBtOJ9stj+wJcg0mQjuaaMI6/s0JD6ityP/GvH/bFPvQgzVv7ZC6kbaxd0&#10;va0LEL7+zjVs3/CyWL4BfyojPyLNxcqstdxUmLRh39i3TUSAT/bdNdgORjpyIgdtjVgteja37dCe&#10;6xBDDTicjPJJr5Jmbb6rmwzoq0IiFi2LClyAyXQBSovQoTMyLHDC2cjdYgdGgqrayKkjYiK4iT0R&#10;K+NizcUfcGGIO+Hoft8kAg6t/I5Bx7HjKS1JfeP5IcWNGLYshi0JSzHUzJIWMZdzqYNbJXTGX8IW&#10;8kK74r1LaHnyMT0CmPUpQYEG1I7jUEPBjwL4AKP/DgqR74YuIjEFBd8PaNCZUQepLqppw6ARCqfi&#10;rj0UtE/dG+AXDgUENE/HK7ih7eLPQCF2XbCN5rkeCjE2DK1X8AMXey7VPnqFPm67p1fQAeQIBThI&#10;RBgqen86UPAiBzkKEyD5kY9w6AgKPo3sdivgh9g8j16hJYuHBUg6vzNCQUNBJ36eDhT2mTiER9g2&#10;HAIhjmgcIHrS4ZFLw0C3jz7hoT6hz4GYlM0XHR7FKr/7dIDg0MCLHbNTcJAdooHegu8zpkMsYPtM&#10;fc1qIxYeigW9ExudgomPHOxBDRZuqSzE6IlAVMmtT38i6TGoLGhcXV9ZUPvzz6osoFIURhHiOZVH&#10;xY46OtpSY0PtONhmmOwS9hRd/vqaLfVYWRiUI8bKgk6pqR0D4u+7IQI9b0bEzbW2PV4Ocq6na20q&#10;2dbWPocVNqSRHFPg2PsLJ44cBWuNA/iL6Jb99IiDEQc9sbc1Z9DoHTCg0/c3eARdntCcr00QJjqs&#10;Ne/t3+xyDwZSN8Na89D+Qy8KWz8QeGFf5O/ySWHQW78X+yaauj5auq/1q4kc1tP6cvEwT9OWnIdt&#10;mMOJbH4zlo51xfiRSscuQoi72bbqeAu99yHNyaMUfVn5fvTueqHn+nBCJsyhcYedrlxMI78rFyNX&#10;GuooaLTvMYDpA5g7h/T2bSH9nsBPW/g9QvoBgVNKfZsChqoMfOKIkBvjFERXJsYpreiW5M99KXw8&#10;InTqQNKjnY3QR+hw1FDXeNpjkeos4/BeF5D3hzfP/gEAAP//AwBQSwMEFAAGAAgAAAAhAEN+Qmzf&#10;AAAACQEAAA8AAABkcnMvZG93bnJldi54bWxMj0FrwkAQhe+F/odlCr3pJoqpxmxEpO1JCtVC8TZm&#10;xySY3Q3ZNYn/vtNTe3vDe7z5XrYZTSN66nztrIJ4GoEgWzhd21LB1/FtsgThA1qNjbOk4E4eNvnj&#10;Q4apdoP9pP4QSsEl1qeooAqhTaX0RUUG/dS1ZNm7uM5g4LMrpe5w4HLTyFkUJdJgbflDhS3tKiqu&#10;h5tR8D7gsJ3Hr/3+etndT8fFx/c+JqWen8btGkSgMfyF4Ref0SFnprO7We1Fo2CySjipYP7CC9hf&#10;JisWZwWzBQuZZ/L/gvwHAAD//wMAUEsBAi0AFAAGAAgAAAAhALaDOJL+AAAA4QEAABMAAAAAAAAA&#10;AAAAAAAAAAAAAFtDb250ZW50X1R5cGVzXS54bWxQSwECLQAUAAYACAAAACEAOP0h/9YAAACUAQAA&#10;CwAAAAAAAAAAAAAAAAAvAQAAX3JlbHMvLnJlbHNQSwECLQAUAAYACAAAACEACf70OnsGAAAEKgAA&#10;DgAAAAAAAAAAAAAAAAAuAgAAZHJzL2Uyb0RvYy54bWxQSwECLQAUAAYACAAAACEAQ35CbN8AAAAJ&#10;AQAADwAAAAAAAAAAAAAAAADVCAAAZHJzL2Rvd25yZXYueG1sUEsFBgAAAAAEAAQA8wAAAOEJAAAA&#10;AA==&#10;">
                <v:shape id="Přímá spojnice se šipkou 23848" o:spid="_x0000_s1056" type="#_x0000_t32" style="position:absolute;left:10668;top:4115;width:2057;height:44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vJAwwAAAN4AAAAPAAAAZHJzL2Rvd25yZXYueG1sRE9Ni8Iw&#10;EL0L+x/CLOxN06qIVGMRYWHBw2It6HFsxrbYTEoStf77zWHB4+N9r/PBdOJBzreWFaSTBARxZXXL&#10;tYLy+D1egvABWWNnmRS8yEO++RitMdP2yQd6FKEWMYR9hgqaEPpMSl81ZNBPbE8cuat1BkOErpba&#10;4TOGm05Ok2QhDbYcGxrsaddQdSvuRsGh3P8ei0t1P6eu7tqdO81fBSv19TlsVyACDeEt/nf/aAXT&#10;2XIe98Y78QrIzR8AAAD//wMAUEsBAi0AFAAGAAgAAAAhANvh9svuAAAAhQEAABMAAAAAAAAAAAAA&#10;AAAAAAAAAFtDb250ZW50X1R5cGVzXS54bWxQSwECLQAUAAYACAAAACEAWvQsW78AAAAVAQAACwAA&#10;AAAAAAAAAAAAAAAfAQAAX3JlbHMvLnJlbHNQSwECLQAUAAYACAAAACEAqmbyQMMAAADeAAAADwAA&#10;AAAAAAAAAAAAAAAHAgAAZHJzL2Rvd25yZXYueG1sUEsFBgAAAAADAAMAtwAAAPcCAAAAAA==&#10;" strokecolor="black [3200]" strokeweight=".25pt">
                  <v:stroke startarrow="oval" startarrowwidth="narrow" startarrowlength="short" endarrow="block" endarrowwidth="narrow" endarrowlength="short" joinstyle="miter"/>
                </v:shape>
                <v:shape id="Přímá spojnice se šipkou 23908" o:spid="_x0000_s1057" type="#_x0000_t32" style="position:absolute;left:45996;top:8709;width:2157;height: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viwgAAAN4AAAAPAAAAZHJzL2Rvd25yZXYueG1sRE/LisIw&#10;FN0P+A/hCrMbEzs4aDWKKIIDMuALXF6a2wc2N6WJ2vl7sxBcHs57tuhsLe7U+sqxhuFAgSDOnKm4&#10;0HA6br7GIHxANlg7Jg3/5GEx733MMDXuwXu6H0IhYgj7FDWUITSplD4ryaIfuIY4crlrLYYI20Ka&#10;Fh8x3NYyUepHWqw4NpTY0Kqk7Hq4WQ3Byov7G+3G2+Xv5JyodZ6PZK71Z79bTkEE6sJb/HJvjYbk&#10;e6Li3ngnXgE5fwIAAP//AwBQSwECLQAUAAYACAAAACEA2+H2y+4AAACFAQAAEwAAAAAAAAAAAAAA&#10;AAAAAAAAW0NvbnRlbnRfVHlwZXNdLnhtbFBLAQItABQABgAIAAAAIQBa9CxbvwAAABUBAAALAAAA&#10;AAAAAAAAAAAAAB8BAABfcmVscy8ucmVsc1BLAQItABQABgAIAAAAIQBHcvviwgAAAN4AAAAPAAAA&#10;AAAAAAAAAAAAAAcCAABkcnMvZG93bnJldi54bWxQSwUGAAAAAAMAAwC3AAAA9gIAAAAA&#10;" strokecolor="black [3200]" strokeweight=".5pt">
                  <v:stroke startarrow="oval" startarrowwidth="narrow" startarrowlength="short" endarrow="block" endarrowwidth="narrow" endarrowlength="short" joinstyle="miter"/>
                </v:shape>
                <v:shape id="_x0000_s1058" type="#_x0000_t202" style="position:absolute;left:12725;top:1753;width:9525;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oIxAAAAN4AAAAPAAAAZHJzL2Rvd25yZXYueG1sRE/Pa8Iw&#10;FL4L/g/hDbyIplMQ6Ywyx6a7qXWw61vzbKPNS2mirf/9chA8fny/F6vOVuJGjTeOFbyOExDEudOG&#10;CwU/x6/RHIQPyBorx6TgTh5Wy35vgal2LR/oloVCxBD2KSooQ6hTKX1ekkU/djVx5E6usRgibAqp&#10;G2xjuK3kJElm0qLh2FBiTR8l5ZfsahVsh9d7+3n4W5vzPtu1pk42/HtRavDSvb+BCNSFp/jh/tYK&#10;JtP5LO6Nd+IVkMt/AAAA//8DAFBLAQItABQABgAIAAAAIQDb4fbL7gAAAIUBAAATAAAAAAAAAAAA&#10;AAAAAAAAAABbQ29udGVudF9UeXBlc10ueG1sUEsBAi0AFAAGAAgAAAAhAFr0LFu/AAAAFQEAAAsA&#10;AAAAAAAAAAAAAAAAHwEAAF9yZWxzLy5yZWxzUEsBAi0AFAAGAAgAAAAhAIIRigjEAAAA3gAAAA8A&#10;AAAAAAAAAAAAAAAABwIAAGRycy9kb3ducmV2LnhtbFBLBQYAAAAAAwADALcAAAD4AgAAAAA=&#10;" fillcolor="#f2f2f2 [3052]" strokecolor="#0070c0" strokeweight=".25pt">
                  <v:textbox>
                    <w:txbxContent>
                      <w:p w14:paraId="06045AE8" w14:textId="671A3973" w:rsidR="00511D9B" w:rsidRDefault="00511D9B" w:rsidP="00511D9B">
                        <w:pPr>
                          <w:spacing w:line="180" w:lineRule="auto"/>
                          <w:ind w:left="-113" w:right="-113"/>
                          <w:jc w:val="center"/>
                          <w:rPr>
                            <w:rFonts w:asciiTheme="minorHAnsi" w:hAnsiTheme="minorHAnsi" w:cstheme="minorHAnsi"/>
                            <w:b/>
                          </w:rPr>
                        </w:pPr>
                        <w:r>
                          <w:rPr>
                            <w:rFonts w:asciiTheme="minorHAnsi" w:hAnsiTheme="minorHAnsi" w:cstheme="minorHAnsi"/>
                            <w:b/>
                          </w:rPr>
                          <w:t>Strategie</w:t>
                        </w:r>
                      </w:p>
                      <w:p w14:paraId="1DEBBDC5" w14:textId="2518ACD0" w:rsidR="00511D9B" w:rsidRPr="00576CB4" w:rsidRDefault="00511D9B" w:rsidP="00527FBE">
                        <w:pPr>
                          <w:spacing w:line="180" w:lineRule="auto"/>
                          <w:jc w:val="center"/>
                          <w:rPr>
                            <w:rFonts w:asciiTheme="minorHAnsi" w:hAnsiTheme="minorHAnsi" w:cstheme="minorHAnsi"/>
                            <w:b/>
                            <w:sz w:val="20"/>
                          </w:rPr>
                        </w:pPr>
                        <w:r>
                          <w:rPr>
                            <w:rFonts w:asciiTheme="minorHAnsi" w:hAnsiTheme="minorHAnsi" w:cstheme="minorHAnsi"/>
                            <w:b/>
                            <w:sz w:val="20"/>
                          </w:rPr>
                          <w:t>nebo její změna</w:t>
                        </w:r>
                      </w:p>
                    </w:txbxContent>
                  </v:textbox>
                </v:shape>
                <v:shape id="_x0000_s1059" type="#_x0000_t202" style="position:absolute;left:26209;top:5864;width:8538;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hDTxgAAAN4AAAAPAAAAZHJzL2Rvd25yZXYueG1sRI/NasJA&#10;FIX3Bd9huIKbopMqqKSOYkWtu9a00O01c01GM3dCZjTx7TuLQpeH88e3WHW2EndqvHGs4GWUgCDO&#10;nTZcKPj+2g3nIHxA1lg5JgUP8rBa9p4WmGrX8pHuWShEHGGfooIyhDqV0uclWfQjVxNH7+waiyHK&#10;ppC6wTaO20qOk2QqLRqODyXWtCkpv2Y3q+D9+fZot8fTm7l8Zh+tqZM9/1yVGvS79SuIQF34D/+1&#10;D1rBeDKfRYCIE1FALn8BAAD//wMAUEsBAi0AFAAGAAgAAAAhANvh9svuAAAAhQEAABMAAAAAAAAA&#10;AAAAAAAAAAAAAFtDb250ZW50X1R5cGVzXS54bWxQSwECLQAUAAYACAAAACEAWvQsW78AAAAVAQAA&#10;CwAAAAAAAAAAAAAAAAAfAQAAX3JlbHMvLnJlbHNQSwECLQAUAAYACAAAACEA+b4Q08YAAADeAAAA&#10;DwAAAAAAAAAAAAAAAAAHAgAAZHJzL2Rvd25yZXYueG1sUEsFBgAAAAADAAMAtwAAAPoCAAAAAA==&#10;" fillcolor="#f2f2f2 [3052]" strokecolor="#0070c0" strokeweight=".25pt">
                  <v:textbox>
                    <w:txbxContent>
                      <w:p w14:paraId="130B9E8D" w14:textId="0F910778" w:rsidR="00511D9B" w:rsidRDefault="00511D9B" w:rsidP="00527FBE">
                        <w:pPr>
                          <w:spacing w:before="120" w:line="180" w:lineRule="auto"/>
                          <w:ind w:left="-57" w:right="-57"/>
                          <w:jc w:val="center"/>
                          <w:rPr>
                            <w:rFonts w:asciiTheme="minorHAnsi" w:hAnsiTheme="minorHAnsi" w:cstheme="minorHAnsi"/>
                            <w:b/>
                          </w:rPr>
                        </w:pPr>
                        <w:r>
                          <w:rPr>
                            <w:rFonts w:asciiTheme="minorHAnsi" w:hAnsiTheme="minorHAnsi" w:cstheme="minorHAnsi"/>
                            <w:b/>
                          </w:rPr>
                          <w:t xml:space="preserve">Finanční kontrola </w:t>
                        </w:r>
                      </w:p>
                      <w:p w14:paraId="64C5E12C" w14:textId="77777777" w:rsidR="00511D9B" w:rsidRPr="00576CB4" w:rsidRDefault="00511D9B" w:rsidP="00527FBE">
                        <w:pPr>
                          <w:spacing w:line="180" w:lineRule="auto"/>
                          <w:jc w:val="center"/>
                          <w:rPr>
                            <w:rFonts w:asciiTheme="minorHAnsi" w:hAnsiTheme="minorHAnsi" w:cstheme="minorHAnsi"/>
                            <w:b/>
                            <w:sz w:val="20"/>
                          </w:rPr>
                        </w:pPr>
                      </w:p>
                    </w:txbxContent>
                  </v:textbox>
                </v:shape>
                <v:shape id="_x0000_s1060" type="#_x0000_t202" style="position:absolute;left:37033;top:5933;width:8968;height:5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rVIxwAAAN4AAAAPAAAAZHJzL2Rvd25yZXYueG1sRI9Ba8JA&#10;FITvgv9heUIvRTdaqBJdpUq13lrTgtfX7GuyNfs2ZFcT/71bKHgcZuYbZrHqbCUu1HjjWMF4lIAg&#10;zp02XCj4+twOZyB8QNZYOSYFV/KwWvZ7C0y1a/lAlywUIkLYp6igDKFOpfR5SRb9yNXE0ftxjcUQ&#10;ZVNI3WAb4baSkyR5lhYNx4USa9qUlJ+ys1Xw9ni+tq+H77X5/cjeW1MnOz6elHoYdC9zEIG6cA//&#10;t/daweRpNh3D3514BeTyBgAA//8DAFBLAQItABQABgAIAAAAIQDb4fbL7gAAAIUBAAATAAAAAAAA&#10;AAAAAAAAAAAAAABbQ29udGVudF9UeXBlc10ueG1sUEsBAi0AFAAGAAgAAAAhAFr0LFu/AAAAFQEA&#10;AAsAAAAAAAAAAAAAAAAAHwEAAF9yZWxzLy5yZWxzUEsBAi0AFAAGAAgAAAAhAJbytUjHAAAA3gAA&#10;AA8AAAAAAAAAAAAAAAAABwIAAGRycy9kb3ducmV2LnhtbFBLBQYAAAAAAwADALcAAAD7AgAAAAA=&#10;" fillcolor="#f2f2f2 [3052]" strokecolor="#0070c0" strokeweight=".25pt">
                  <v:textbox>
                    <w:txbxContent>
                      <w:p w14:paraId="2413D682" w14:textId="68DC3FD8" w:rsidR="00511D9B" w:rsidRDefault="00511D9B" w:rsidP="00527FBE">
                        <w:pPr>
                          <w:spacing w:before="120" w:line="180" w:lineRule="auto"/>
                          <w:ind w:left="-113" w:right="-113"/>
                          <w:jc w:val="center"/>
                          <w:rPr>
                            <w:rFonts w:asciiTheme="minorHAnsi" w:hAnsiTheme="minorHAnsi" w:cstheme="minorHAnsi"/>
                            <w:b/>
                          </w:rPr>
                        </w:pPr>
                        <w:r>
                          <w:rPr>
                            <w:rFonts w:asciiTheme="minorHAnsi" w:hAnsiTheme="minorHAnsi" w:cstheme="minorHAnsi"/>
                            <w:b/>
                          </w:rPr>
                          <w:t>Hospodaření dle rozpočtu</w:t>
                        </w:r>
                      </w:p>
                      <w:p w14:paraId="62B2DF3A" w14:textId="77777777" w:rsidR="00511D9B" w:rsidRPr="00576CB4" w:rsidRDefault="00511D9B" w:rsidP="00527FBE">
                        <w:pPr>
                          <w:spacing w:line="180" w:lineRule="auto"/>
                          <w:jc w:val="center"/>
                          <w:rPr>
                            <w:rFonts w:asciiTheme="minorHAnsi" w:hAnsiTheme="minorHAnsi" w:cstheme="minorHAnsi"/>
                            <w:b/>
                            <w:sz w:val="20"/>
                          </w:rPr>
                        </w:pPr>
                      </w:p>
                    </w:txbxContent>
                  </v:textbox>
                </v:shape>
                <v:shape id="_x0000_s1061" type="#_x0000_t202" style="position:absolute;left:48158;top:5855;width:852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owyAAAAN4AAAAPAAAAZHJzL2Rvd25yZXYueG1sRI9BTwIx&#10;FITvJv6H5plwMdCKxsBKIUpAuQkLidfn9rlb2b5utoVd/r01MfE4mZlvMrNF72pxpjZYzxruRgoE&#10;ceGN5VLDYb8eTkCEiGyw9kwaLhRgMb++mmFmfMc7OuexFAnCIUMNVYxNJmUoKnIYRr4hTt6Xbx3G&#10;JNtSmha7BHe1HCv1KB1aTgsVNrSsqDjmJ6fh7fZ06Va7zxf7vc3fO9uoV/44aj246Z+fQETq43/4&#10;r70xGsb3U/UAv3fSFZDzHwAAAP//AwBQSwECLQAUAAYACAAAACEA2+H2y+4AAACFAQAAEwAAAAAA&#10;AAAAAAAAAAAAAAAAW0NvbnRlbnRfVHlwZXNdLnhtbFBLAQItABQABgAIAAAAIQBa9CxbvwAAABUB&#10;AAALAAAAAAAAAAAAAAAAAB8BAABfcmVscy8ucmVsc1BLAQItABQABgAIAAAAIQCoYmowyAAAAN4A&#10;AAAPAAAAAAAAAAAAAAAAAAcCAABkcnMvZG93bnJldi54bWxQSwUGAAAAAAMAAwC3AAAA/AIAAAAA&#10;" fillcolor="#f2f2f2 [3052]" strokecolor="#0070c0" strokeweight=".25pt">
                  <v:textbox>
                    <w:txbxContent>
                      <w:p w14:paraId="7120276C" w14:textId="3E60DEB5" w:rsidR="00511D9B" w:rsidRPr="00397A20" w:rsidRDefault="00511D9B" w:rsidP="00397A20">
                        <w:pPr>
                          <w:spacing w:line="156" w:lineRule="auto"/>
                          <w:ind w:left="-57" w:right="-57"/>
                          <w:jc w:val="center"/>
                          <w:rPr>
                            <w:rFonts w:asciiTheme="minorHAnsi" w:hAnsiTheme="minorHAnsi" w:cstheme="minorHAnsi"/>
                            <w:b/>
                            <w:sz w:val="22"/>
                          </w:rPr>
                        </w:pPr>
                        <w:r w:rsidRPr="00397A20">
                          <w:rPr>
                            <w:rFonts w:asciiTheme="minorHAnsi" w:hAnsiTheme="minorHAnsi" w:cstheme="minorHAnsi"/>
                            <w:b/>
                            <w:sz w:val="22"/>
                          </w:rPr>
                          <w:t>Závěrečný účet a hodnocení strategie</w:t>
                        </w:r>
                      </w:p>
                      <w:p w14:paraId="79955A0F" w14:textId="77777777" w:rsidR="00511D9B" w:rsidRPr="00397A20" w:rsidRDefault="00511D9B" w:rsidP="00397A20">
                        <w:pPr>
                          <w:spacing w:line="156" w:lineRule="auto"/>
                          <w:jc w:val="center"/>
                          <w:rPr>
                            <w:rFonts w:asciiTheme="minorHAnsi" w:hAnsiTheme="minorHAnsi" w:cstheme="minorHAnsi"/>
                            <w:b/>
                            <w:sz w:val="18"/>
                          </w:rPr>
                        </w:pPr>
                      </w:p>
                    </w:txbxContent>
                  </v:textbox>
                </v:shape>
                <v:shape id="_x0000_s1062" type="#_x0000_t202" style="position:absolute;left:838;top:5867;width:9830;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BxwAAAN4AAAAPAAAAZHJzL2Rvd25yZXYueG1sRI9Ba8JA&#10;FITvQv/D8gpepG5qi0h0lVa07c0aBa/P7DPZmn0bsquJ/75bKHgcZuYbZrbobCWu1HjjWMHzMAFB&#10;nDttuFCw362fJiB8QNZYOSYFN/KwmD/0Zphq1/KWrlkoRISwT1FBGUKdSunzkiz6oauJo3dyjcUQ&#10;ZVNI3WAb4baSoyQZS4uG40KJNS1Lys/ZxSr4HFxu7Wp7fDc/39mmNXXywYezUv3H7m0KIlAX7uH/&#10;9pdWMHqZvI7h7068AnL+CwAA//8DAFBLAQItABQABgAIAAAAIQDb4fbL7gAAAIUBAAATAAAAAAAA&#10;AAAAAAAAAAAAAABbQ29udGVudF9UeXBlc10ueG1sUEsBAi0AFAAGAAgAAAAhAFr0LFu/AAAAFQEA&#10;AAsAAAAAAAAAAAAAAAAAHwEAAF9yZWxzLy5yZWxzUEsBAi0AFAAGAAgAAAAhANd354HHAAAA3gAA&#10;AA8AAAAAAAAAAAAAAAAABwIAAGRycy9kb3ducmV2LnhtbFBLBQYAAAAAAwADALcAAAD7AgAAAAA=&#10;" fillcolor="#f2f2f2 [3052]" strokecolor="#0070c0" strokeweight=".25pt">
                  <v:textbox>
                    <w:txbxContent>
                      <w:p w14:paraId="2D624883" w14:textId="77777777" w:rsidR="00511D9B" w:rsidRDefault="00511D9B" w:rsidP="00527FBE">
                        <w:pPr>
                          <w:spacing w:line="180" w:lineRule="auto"/>
                          <w:ind w:left="-113" w:right="-113"/>
                          <w:jc w:val="center"/>
                          <w:rPr>
                            <w:rFonts w:asciiTheme="minorHAnsi" w:hAnsiTheme="minorHAnsi" w:cstheme="minorHAnsi"/>
                            <w:b/>
                          </w:rPr>
                        </w:pPr>
                        <w:r>
                          <w:rPr>
                            <w:rFonts w:asciiTheme="minorHAnsi" w:hAnsiTheme="minorHAnsi" w:cstheme="minorHAnsi"/>
                            <w:b/>
                          </w:rPr>
                          <w:t xml:space="preserve">Společenská potřeba </w:t>
                        </w:r>
                      </w:p>
                      <w:p w14:paraId="0BE05CD0" w14:textId="78BAB297" w:rsidR="00511D9B" w:rsidRPr="00441214" w:rsidRDefault="00511D9B" w:rsidP="00527FBE">
                        <w:pPr>
                          <w:spacing w:line="180" w:lineRule="auto"/>
                          <w:ind w:left="-113" w:right="-113"/>
                          <w:jc w:val="center"/>
                          <w:rPr>
                            <w:rFonts w:asciiTheme="minorHAnsi" w:hAnsiTheme="minorHAnsi" w:cstheme="minorHAnsi"/>
                            <w:sz w:val="18"/>
                          </w:rPr>
                        </w:pPr>
                        <w:r w:rsidRPr="00CE13A0">
                          <w:rPr>
                            <w:rFonts w:asciiTheme="minorHAnsi" w:hAnsiTheme="minorHAnsi" w:cstheme="minorHAnsi"/>
                          </w:rPr>
                          <w:t>(</w:t>
                        </w:r>
                        <w:r w:rsidRPr="00441214">
                          <w:rPr>
                            <w:rFonts w:asciiTheme="minorHAnsi" w:hAnsiTheme="minorHAnsi" w:cstheme="minorHAnsi"/>
                            <w:sz w:val="20"/>
                          </w:rPr>
                          <w:t>nebo její změna)</w:t>
                        </w:r>
                      </w:p>
                      <w:p w14:paraId="39555D3F" w14:textId="77777777" w:rsidR="00511D9B" w:rsidRPr="00576CB4" w:rsidRDefault="00511D9B" w:rsidP="00CE13A0">
                        <w:pPr>
                          <w:spacing w:line="180" w:lineRule="auto"/>
                          <w:jc w:val="center"/>
                          <w:rPr>
                            <w:rFonts w:asciiTheme="minorHAnsi" w:hAnsiTheme="minorHAnsi" w:cstheme="minorHAnsi"/>
                            <w:b/>
                            <w:sz w:val="20"/>
                          </w:rPr>
                        </w:pPr>
                      </w:p>
                    </w:txbxContent>
                  </v:textbox>
                </v:shape>
                <v:shape id="_x0000_s1063" type="#_x0000_t202" style="position:absolute;left:12649;top:10972;width:9829;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ECyAAAAN4AAAAPAAAAZHJzL2Rvd25yZXYueG1sRI9Ba8JA&#10;FITvgv9heUIvpW5MobSpq6hU682aFnp9zb4mq9m3Ibua+O/dQsHjMDPfMNN5b2txptYbxwom4wQE&#10;ceG04VLB1+f64RmED8gaa8ek4EIe5rPhYIqZdh3v6ZyHUkQI+wwVVCE0mZS+qMiiH7uGOHq/rrUY&#10;omxLqVvsItzWMk2SJ2nRcFyosKFVRcUxP1kF7/enS/e2/1maw0e+60yTbPj7qNTdqF+8ggjUh1v4&#10;v73VCtLHl0kKf3fiFZCzKwAAAP//AwBQSwECLQAUAAYACAAAACEA2+H2y+4AAACFAQAAEwAAAAAA&#10;AAAAAAAAAAAAAAAAW0NvbnRlbnRfVHlwZXNdLnhtbFBLAQItABQABgAIAAAAIQBa9CxbvwAAABUB&#10;AAALAAAAAAAAAAAAAAAAAB8BAABfcmVscy8ucmVsc1BLAQItABQABgAIAAAAIQDNHsECyAAAAN4A&#10;AAAPAAAAAAAAAAAAAAAAAAcCAABkcnMvZG93bnJldi54bWxQSwUGAAAAAAMAAwC3AAAA/AIAAAAA&#10;" fillcolor="#f2f2f2 [3052]" strokecolor="#0070c0" strokeweight=".25pt">
                  <v:textbox>
                    <w:txbxContent>
                      <w:p w14:paraId="6B56CE5D" w14:textId="57C4C67D" w:rsidR="00511D9B" w:rsidRPr="00576CB4" w:rsidRDefault="00511D9B" w:rsidP="00511D9B">
                        <w:pPr>
                          <w:spacing w:line="180" w:lineRule="auto"/>
                          <w:ind w:left="-113" w:right="-113"/>
                          <w:jc w:val="center"/>
                          <w:rPr>
                            <w:rFonts w:asciiTheme="minorHAnsi" w:hAnsiTheme="minorHAnsi" w:cstheme="minorHAnsi"/>
                            <w:b/>
                            <w:sz w:val="20"/>
                          </w:rPr>
                        </w:pPr>
                        <w:r>
                          <w:rPr>
                            <w:rFonts w:asciiTheme="minorHAnsi" w:hAnsiTheme="minorHAnsi" w:cstheme="minorHAnsi"/>
                            <w:b/>
                          </w:rPr>
                          <w:t xml:space="preserve">Rozpočet instituce </w:t>
                        </w:r>
                        <w:r>
                          <w:rPr>
                            <w:rFonts w:asciiTheme="minorHAnsi" w:hAnsiTheme="minorHAnsi" w:cstheme="minorHAnsi"/>
                            <w:b/>
                            <w:sz w:val="20"/>
                          </w:rPr>
                          <w:t>nebo jeho změna</w:t>
                        </w:r>
                      </w:p>
                    </w:txbxContent>
                  </v:textbox>
                </v:shape>
                <v:shape id="Přímá spojnice se šipkou 23916" o:spid="_x0000_s1064" type="#_x0000_t32" style="position:absolute;left:22478;top:8645;width:3731;height:47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pxQAAAN4AAAAPAAAAZHJzL2Rvd25yZXYueG1sRI9Bi8Iw&#10;FITvwv6H8Ba8aVoV0WqURVgQPCxWQY/P5tkWm5eSRK3/fiMs7HGYmW+Y5bozjXiQ87VlBekwAUFc&#10;WF1zqeB4+B7MQPiArLGxTApe5GG9+ugtMdP2yXt65KEUEcI+QwVVCG0mpS8qMuiHtiWO3tU6gyFK&#10;V0rt8BnhppGjJJlKgzXHhQpb2lRU3PK7UbA/7n4O+aW4n1NXNvXGnSavnJXqf3ZfCxCBuvAf/mtv&#10;tYLReJ5O4X0nXgG5+gUAAP//AwBQSwECLQAUAAYACAAAACEA2+H2y+4AAACFAQAAEwAAAAAAAAAA&#10;AAAAAAAAAAAAW0NvbnRlbnRfVHlwZXNdLnhtbFBLAQItABQABgAIAAAAIQBa9CxbvwAAABUBAAAL&#10;AAAAAAAAAAAAAAAAAB8BAABfcmVscy8ucmVsc1BLAQItABQABgAIAAAAIQDR5+MpxQAAAN4AAAAP&#10;AAAAAAAAAAAAAAAAAAcCAABkcnMvZG93bnJldi54bWxQSwUGAAAAAAMAAwC3AAAA+QIAAAAA&#10;" strokecolor="black [3200]" strokeweight=".25pt">
                  <v:stroke startarrow="oval" startarrowwidth="narrow" startarrowlength="short" endarrow="block" endarrowwidth="narrow" endarrowlength="short" joinstyle="miter"/>
                </v:shape>
                <v:shape id="Přímá spojnice se šipkou 23905" o:spid="_x0000_s1065" type="#_x0000_t32" style="position:absolute;left:10668;top:8531;width:1981;height:48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Mm0xwAAAN4AAAAPAAAAZHJzL2Rvd25yZXYueG1sRI9Ba8JA&#10;FITvQv/D8gredFOLYlNXKYWCeJA2ycXba/Z1E5p9G3bXmPbXu4WCx2FmvmE2u9F2YiAfWscKHuYZ&#10;COLa6ZaNgqp8m61BhIissXNMCn4owG57N9lgrt2FP2goohEJwiFHBU2MfS5lqBuyGOauJ07el/MW&#10;Y5LeSO3xkuC2k4ssW0mLLaeFBnt6baj+Ls5WQVH9rvyh3OuzPprqfSiXZD5PSk3vx5dnEJHGeAv/&#10;t/daweLxKVvC3510BeT2CgAA//8DAFBLAQItABQABgAIAAAAIQDb4fbL7gAAAIUBAAATAAAAAAAA&#10;AAAAAAAAAAAAAABbQ29udGVudF9UeXBlc10ueG1sUEsBAi0AFAAGAAgAAAAhAFr0LFu/AAAAFQEA&#10;AAsAAAAAAAAAAAAAAAAAHwEAAF9yZWxzLy5yZWxzUEsBAi0AFAAGAAgAAAAhAGXwybTHAAAA3gAA&#10;AA8AAAAAAAAAAAAAAAAABwIAAGRycy9kb3ducmV2LnhtbFBLBQYAAAAAAwADALcAAAD7AgAAAAA=&#10;" strokecolor="black [3200]" strokeweight=".25pt">
                  <v:stroke startarrow="oval" startarrowwidth="narrow" startarrowlength="short" endarrow="block" endarrowwidth="narrow" endarrowlength="short" joinstyle="miter"/>
                </v:shape>
                <v:shape id="Přímá spojnice se šipkou 3" o:spid="_x0000_s1066" type="#_x0000_t32" style="position:absolute;left:17487;top:6477;width:77;height:4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4YzwgAAANoAAAAPAAAAZHJzL2Rvd25yZXYueG1sRI9Bi8Iw&#10;FITvC/6H8IS9LJpaQbQaRQRxT4q1eH40z7bYvJQm1q6/fiMs7HGYmW+Y1aY3teiodZVlBZNxBII4&#10;t7riQkF22Y/mIJxH1lhbJgU/5GCzHnysMNH2yWfqUl+IAGGXoILS+yaR0uUlGXRj2xAH72Zbgz7I&#10;tpC6xWeAm1rGUTSTBisOCyU2tCspv6cPoyDOsKtPX9X5+sr0cRFPDtlrxkp9DvvtEoSn3v+H/9rf&#10;WsEU3lfCDZDrXwAAAP//AwBQSwECLQAUAAYACAAAACEA2+H2y+4AAACFAQAAEwAAAAAAAAAAAAAA&#10;AAAAAAAAW0NvbnRlbnRfVHlwZXNdLnhtbFBLAQItABQABgAIAAAAIQBa9CxbvwAAABUBAAALAAAA&#10;AAAAAAAAAAAAAB8BAABfcmVscy8ucmVsc1BLAQItABQABgAIAAAAIQDFW4YzwgAAANoAAAAPAAAA&#10;AAAAAAAAAAAAAAcCAABkcnMvZG93bnJldi54bWxQSwUGAAAAAAMAAwC3AAAA9gIAAAAA&#10;" strokecolor="black [3200]" strokeweight=".5pt">
                  <v:stroke startarrow="block" endarrow="block" joinstyle="miter"/>
                </v:shape>
                <v:shape id="Přímá spojnice se šipkou 3788" o:spid="_x0000_s1067" type="#_x0000_t32" style="position:absolute;left:34743;top:8642;width:2286;height: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N8SwwAAAN0AAAAPAAAAZHJzL2Rvd25yZXYueG1sRE9Na8JA&#10;EL0L/odlhF5EN6aQpqmriCDtqWIaPA/ZaRKanQ3ZNab59d1DwePjfW/3o2nFQL1rLCvYrCMQxKXV&#10;DVcKiq/TKgXhPLLG1jIp+CUH+918tsVM2ztfaMh9JUIIuwwV1N53mZSurMmgW9uOOHDftjfoA+wr&#10;qXu8h3DTyjiKEmmw4dBQY0fHmsqf/GYUxAUO7XnZXK5ToT9f4817MSWs1NNiPLyB8DT6h/jf/aEV&#10;PL+kYW54E56A3P0BAAD//wMAUEsBAi0AFAAGAAgAAAAhANvh9svuAAAAhQEAABMAAAAAAAAAAAAA&#10;AAAAAAAAAFtDb250ZW50X1R5cGVzXS54bWxQSwECLQAUAAYACAAAACEAWvQsW78AAAAVAQAACwAA&#10;AAAAAAAAAAAAAAAfAQAAX3JlbHMvLnJlbHNQSwECLQAUAAYACAAAACEAatzfEsMAAADdAAAADwAA&#10;AAAAAAAAAAAAAAAHAgAAZHJzL2Rvd25yZXYueG1sUEsFBgAAAAADAAMAtwAAAPcCAAAAAA==&#10;" strokecolor="black [3200]" strokeweight=".5pt">
                  <v:stroke startarrow="block" endarrow="block" joinstyle="miter"/>
                </v:shape>
                <v:shape id="Přímá spojnice se šipkou 23906" o:spid="_x0000_s1068" type="#_x0000_t32" style="position:absolute;left:22250;top:4115;width:3959;height:4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fDxwAAAN4AAAAPAAAAZHJzL2Rvd25yZXYueG1sRI9BS8NA&#10;FITvgv9heYI3u7HSoGm3RQSheJCa5OLtNfu6Cc2+DbvbNPrruwXB4zAz3zCrzWR7MZIPnWMFj7MM&#10;BHHjdMdGQV29PzyDCBFZY++YFPxQgM369maFhXZn/qKxjEYkCIcCFbQxDoWUoWnJYpi5gTh5B+ct&#10;xiS9kdrjOcFtL+dZlkuLHaeFFgd6a6k5lieroKx/c/9RbfVJf5p6N1YLMvtvpe7vptcliEhT/A//&#10;tbdawfzpJcvheiddAbm+AAAA//8DAFBLAQItABQABgAIAAAAIQDb4fbL7gAAAIUBAAATAAAAAAAA&#10;AAAAAAAAAAAAAABbQ29udGVudF9UeXBlc10ueG1sUEsBAi0AFAAGAAgAAAAhAFr0LFu/AAAAFQEA&#10;AAsAAAAAAAAAAAAAAAAAHwEAAF9yZWxzLy5yZWxzUEsBAi0AFAAGAAgAAAAhAJUiV8PHAAAA3gAA&#10;AA8AAAAAAAAAAAAAAAAABwIAAGRycy9kb3ducmV2LnhtbFBLBQYAAAAAAwADALcAAAD7AgAAAAA=&#10;" strokecolor="black [3200]" strokeweight=".25pt">
                  <v:stroke startarrow="oval" startarrowwidth="narrow" startarrowlength="short" endarrow="block" endarrowwidth="narrow" endarrowlength="short" joinstyle="miter"/>
                </v:shape>
              </v:group>
            </w:pict>
          </mc:Fallback>
        </mc:AlternateContent>
      </w:r>
      <w:r w:rsidR="00704386" w:rsidRPr="00511D9B">
        <w:rPr>
          <w:rFonts w:asciiTheme="minorHAnsi" w:eastAsia="Calibri" w:hAnsiTheme="minorHAnsi" w:cstheme="minorHAnsi"/>
          <w:i/>
          <w:iCs/>
          <w:sz w:val="24"/>
          <w:szCs w:val="24"/>
        </w:rPr>
        <w:t xml:space="preserve">Obr. </w:t>
      </w:r>
      <w:r w:rsidR="00632801" w:rsidRPr="00511D9B">
        <w:rPr>
          <w:rFonts w:asciiTheme="minorHAnsi" w:eastAsia="Calibri" w:hAnsiTheme="minorHAnsi" w:cstheme="minorHAnsi"/>
          <w:i/>
          <w:iCs/>
          <w:sz w:val="24"/>
          <w:szCs w:val="24"/>
        </w:rPr>
        <w:t>4</w:t>
      </w:r>
      <w:r w:rsidR="00704386" w:rsidRPr="00511D9B">
        <w:rPr>
          <w:rFonts w:asciiTheme="minorHAnsi" w:eastAsia="Calibri" w:hAnsiTheme="minorHAnsi" w:cstheme="minorHAnsi"/>
          <w:i/>
          <w:iCs/>
          <w:sz w:val="24"/>
          <w:szCs w:val="24"/>
        </w:rPr>
        <w:t xml:space="preserve"> Vazby mezi strategií a rozpočtem instituce</w:t>
      </w:r>
    </w:p>
    <w:p w14:paraId="1683FFFF" w14:textId="3A07193F" w:rsidR="00B301B0" w:rsidRPr="00511D9B" w:rsidRDefault="00B301B0" w:rsidP="00511D9B">
      <w:pPr>
        <w:tabs>
          <w:tab w:val="left" w:pos="4014"/>
        </w:tabs>
        <w:jc w:val="both"/>
        <w:rPr>
          <w:rFonts w:asciiTheme="minorHAnsi" w:eastAsia="Calibri" w:hAnsiTheme="minorHAnsi" w:cstheme="minorHAnsi"/>
          <w:i/>
          <w:iCs/>
        </w:rPr>
      </w:pPr>
    </w:p>
    <w:p w14:paraId="61009102" w14:textId="331B6A43" w:rsidR="00B301B0" w:rsidRPr="00511D9B" w:rsidRDefault="00B301B0" w:rsidP="00704386">
      <w:pPr>
        <w:pStyle w:val="Zkladntext3"/>
        <w:spacing w:after="0" w:line="360" w:lineRule="auto"/>
        <w:jc w:val="both"/>
        <w:rPr>
          <w:rFonts w:asciiTheme="minorHAnsi" w:eastAsia="Calibri" w:hAnsiTheme="minorHAnsi" w:cstheme="minorHAnsi"/>
          <w:i/>
          <w:iCs/>
          <w:sz w:val="24"/>
          <w:szCs w:val="24"/>
        </w:rPr>
      </w:pPr>
    </w:p>
    <w:p w14:paraId="6DC7DC7B" w14:textId="77777777" w:rsidR="00B301B0" w:rsidRPr="00511D9B" w:rsidRDefault="00B301B0" w:rsidP="00704386">
      <w:pPr>
        <w:pStyle w:val="Zkladntext3"/>
        <w:spacing w:after="0" w:line="360" w:lineRule="auto"/>
        <w:jc w:val="both"/>
        <w:rPr>
          <w:rFonts w:asciiTheme="minorHAnsi" w:eastAsia="Calibri" w:hAnsiTheme="minorHAnsi" w:cstheme="minorHAnsi"/>
          <w:i/>
          <w:iCs/>
          <w:sz w:val="24"/>
          <w:szCs w:val="24"/>
        </w:rPr>
      </w:pPr>
    </w:p>
    <w:p w14:paraId="276243F6" w14:textId="77777777" w:rsidR="00B301B0" w:rsidRPr="00511D9B" w:rsidRDefault="00B301B0" w:rsidP="00704386">
      <w:pPr>
        <w:pStyle w:val="Zkladntext3"/>
        <w:spacing w:after="0" w:line="360" w:lineRule="auto"/>
        <w:jc w:val="both"/>
        <w:rPr>
          <w:rFonts w:asciiTheme="minorHAnsi" w:eastAsia="Calibri" w:hAnsiTheme="minorHAnsi" w:cstheme="minorHAnsi"/>
          <w:i/>
          <w:iCs/>
          <w:sz w:val="24"/>
          <w:szCs w:val="24"/>
        </w:rPr>
      </w:pPr>
    </w:p>
    <w:p w14:paraId="7FD5EFC8" w14:textId="77777777" w:rsidR="00B301B0" w:rsidRPr="00511D9B" w:rsidRDefault="00B301B0" w:rsidP="00704386">
      <w:pPr>
        <w:pStyle w:val="Zkladntext3"/>
        <w:spacing w:after="0" w:line="360" w:lineRule="auto"/>
        <w:jc w:val="both"/>
        <w:rPr>
          <w:rFonts w:asciiTheme="minorHAnsi" w:eastAsia="Calibri" w:hAnsiTheme="minorHAnsi" w:cstheme="minorHAnsi"/>
          <w:i/>
          <w:iCs/>
          <w:sz w:val="24"/>
          <w:szCs w:val="24"/>
        </w:rPr>
      </w:pPr>
    </w:p>
    <w:p w14:paraId="6E090DC4" w14:textId="3E8D433C" w:rsidR="00704386" w:rsidRPr="00511D9B" w:rsidRDefault="00704386" w:rsidP="00704386">
      <w:pPr>
        <w:pStyle w:val="Zkladntext3"/>
        <w:spacing w:after="0" w:line="360" w:lineRule="auto"/>
        <w:jc w:val="both"/>
        <w:rPr>
          <w:rFonts w:asciiTheme="minorHAnsi" w:eastAsia="Calibri" w:hAnsiTheme="minorHAnsi" w:cstheme="minorHAnsi"/>
          <w:i/>
          <w:iCs/>
          <w:sz w:val="24"/>
          <w:szCs w:val="24"/>
        </w:rPr>
      </w:pPr>
      <w:r w:rsidRPr="00511D9B">
        <w:rPr>
          <w:rFonts w:asciiTheme="minorHAnsi" w:eastAsia="Calibri" w:hAnsiTheme="minorHAnsi" w:cstheme="minorHAnsi"/>
          <w:i/>
          <w:iCs/>
          <w:sz w:val="24"/>
          <w:szCs w:val="24"/>
        </w:rPr>
        <w:t>Zdroj: autoři</w:t>
      </w:r>
    </w:p>
    <w:p w14:paraId="1307A4EB" w14:textId="5C06C0F8" w:rsidR="00704386" w:rsidRDefault="00704386" w:rsidP="00A03F50">
      <w:pPr>
        <w:tabs>
          <w:tab w:val="left" w:pos="4014"/>
        </w:tabs>
        <w:jc w:val="both"/>
        <w:rPr>
          <w:rFonts w:asciiTheme="minorHAnsi" w:hAnsiTheme="minorHAnsi" w:cstheme="minorHAnsi"/>
        </w:rPr>
      </w:pPr>
      <w:r w:rsidRPr="00511D9B">
        <w:rPr>
          <w:rFonts w:asciiTheme="minorHAnsi" w:hAnsiTheme="minorHAnsi" w:cstheme="minorHAnsi"/>
        </w:rPr>
        <w:lastRenderedPageBreak/>
        <w:t xml:space="preserve">Potřebu vytvořit nebo změnit strategii vyvolává společenská potřeba nebo její změna. </w:t>
      </w:r>
      <w:r w:rsidR="00BB5D95" w:rsidRPr="00511D9B">
        <w:rPr>
          <w:rFonts w:asciiTheme="minorHAnsi" w:hAnsiTheme="minorHAnsi" w:cstheme="minorHAnsi"/>
        </w:rPr>
        <w:t xml:space="preserve">Zároveň se v závislosti </w:t>
      </w:r>
      <w:r w:rsidR="00214546" w:rsidRPr="00511D9B">
        <w:rPr>
          <w:rFonts w:asciiTheme="minorHAnsi" w:hAnsiTheme="minorHAnsi" w:cstheme="minorHAnsi"/>
        </w:rPr>
        <w:t>na společenské</w:t>
      </w:r>
      <w:r w:rsidR="00BB5D95" w:rsidRPr="00511D9B">
        <w:rPr>
          <w:rFonts w:asciiTheme="minorHAnsi" w:hAnsiTheme="minorHAnsi" w:cstheme="minorHAnsi"/>
        </w:rPr>
        <w:t xml:space="preserve"> potřebě a dané legislativě sestaví rozpočet instituce</w:t>
      </w:r>
      <w:r w:rsidR="00214546" w:rsidRPr="00511D9B">
        <w:rPr>
          <w:rFonts w:asciiTheme="minorHAnsi" w:hAnsiTheme="minorHAnsi" w:cstheme="minorHAnsi"/>
        </w:rPr>
        <w:t xml:space="preserve">. </w:t>
      </w:r>
      <w:r w:rsidRPr="00511D9B">
        <w:rPr>
          <w:rFonts w:asciiTheme="minorHAnsi" w:hAnsiTheme="minorHAnsi" w:cstheme="minorHAnsi"/>
        </w:rPr>
        <w:t>Zda se pře</w:t>
      </w:r>
      <w:r w:rsidR="00632801" w:rsidRPr="00511D9B">
        <w:rPr>
          <w:rFonts w:asciiTheme="minorHAnsi" w:hAnsiTheme="minorHAnsi" w:cstheme="minorHAnsi"/>
        </w:rPr>
        <w:t>d</w:t>
      </w:r>
      <w:r w:rsidRPr="00511D9B">
        <w:rPr>
          <w:rFonts w:asciiTheme="minorHAnsi" w:hAnsiTheme="minorHAnsi" w:cstheme="minorHAnsi"/>
        </w:rPr>
        <w:t xml:space="preserve"> zahájením přípravy tvorby strategie vymezí omezení (v našem případě se věnujeme rozpočtovým omezením) záleží na dané situaci. Strategie </w:t>
      </w:r>
      <w:r w:rsidR="00214546" w:rsidRPr="00511D9B">
        <w:rPr>
          <w:rFonts w:asciiTheme="minorHAnsi" w:hAnsiTheme="minorHAnsi" w:cstheme="minorHAnsi"/>
        </w:rPr>
        <w:t>klade nárok</w:t>
      </w:r>
      <w:r w:rsidR="008A44C9">
        <w:rPr>
          <w:rFonts w:asciiTheme="minorHAnsi" w:hAnsiTheme="minorHAnsi" w:cstheme="minorHAnsi"/>
        </w:rPr>
        <w:t xml:space="preserve">y na rozpočet instituce, přitom </w:t>
      </w:r>
      <w:r w:rsidR="00214546" w:rsidRPr="00511D9B">
        <w:rPr>
          <w:rFonts w:asciiTheme="minorHAnsi" w:hAnsiTheme="minorHAnsi" w:cstheme="minorHAnsi"/>
        </w:rPr>
        <w:t>r</w:t>
      </w:r>
      <w:r w:rsidRPr="00511D9B">
        <w:rPr>
          <w:rFonts w:asciiTheme="minorHAnsi" w:hAnsiTheme="minorHAnsi" w:cstheme="minorHAnsi"/>
        </w:rPr>
        <w:t>ozsah promítnutí potřeb strategie do rozpočtu záleží na rozpočtových omezeních. Hospodaření pak p</w:t>
      </w:r>
      <w:r w:rsidR="00632801" w:rsidRPr="00511D9B">
        <w:rPr>
          <w:rFonts w:asciiTheme="minorHAnsi" w:hAnsiTheme="minorHAnsi" w:cstheme="minorHAnsi"/>
        </w:rPr>
        <w:t>robíhá dle schváleného rozpočtu, přičemž</w:t>
      </w:r>
      <w:r w:rsidRPr="00511D9B">
        <w:rPr>
          <w:rFonts w:asciiTheme="minorHAnsi" w:hAnsiTheme="minorHAnsi" w:cstheme="minorHAnsi"/>
        </w:rPr>
        <w:t xml:space="preserve"> před každým příjmem, výdajem nebo jiným nakládání s veřejnými prostředky musí proběhnout finanční kontrola. Strategie je obvykle hodnocena ve vazbě na rozpočet</w:t>
      </w:r>
      <w:r w:rsidR="00397A20" w:rsidRPr="00511D9B">
        <w:rPr>
          <w:rFonts w:asciiTheme="minorHAnsi" w:hAnsiTheme="minorHAnsi" w:cstheme="minorHAnsi"/>
        </w:rPr>
        <w:t xml:space="preserve"> (roční závěrečný účet rozpočtu)</w:t>
      </w:r>
      <w:r w:rsidR="00632801" w:rsidRPr="00511D9B">
        <w:rPr>
          <w:rFonts w:asciiTheme="minorHAnsi" w:hAnsiTheme="minorHAnsi" w:cstheme="minorHAnsi"/>
        </w:rPr>
        <w:t xml:space="preserve"> nebo dle stanovených termínů</w:t>
      </w:r>
      <w:r w:rsidRPr="00511D9B">
        <w:rPr>
          <w:rFonts w:asciiTheme="minorHAnsi" w:hAnsiTheme="minorHAnsi" w:cstheme="minorHAnsi"/>
        </w:rPr>
        <w:t>.</w:t>
      </w:r>
    </w:p>
    <w:p w14:paraId="3BF05919" w14:textId="77777777" w:rsidR="00704386" w:rsidRDefault="00704386" w:rsidP="00A03F50">
      <w:pPr>
        <w:tabs>
          <w:tab w:val="left" w:pos="4014"/>
        </w:tabs>
        <w:jc w:val="both"/>
        <w:rPr>
          <w:rFonts w:asciiTheme="minorHAnsi" w:hAnsiTheme="minorHAnsi" w:cstheme="minorHAnsi"/>
        </w:rPr>
      </w:pPr>
    </w:p>
    <w:p w14:paraId="2996FD67" w14:textId="2E66E1C7" w:rsidR="001D6ECB" w:rsidRDefault="001D6ECB" w:rsidP="00A03F50">
      <w:pPr>
        <w:tabs>
          <w:tab w:val="left" w:pos="4014"/>
        </w:tabs>
        <w:jc w:val="both"/>
        <w:rPr>
          <w:rFonts w:asciiTheme="minorHAnsi" w:hAnsiTheme="minorHAnsi" w:cstheme="minorHAnsi"/>
        </w:rPr>
      </w:pPr>
      <w:r>
        <w:rPr>
          <w:rFonts w:asciiTheme="minorHAnsi" w:hAnsiTheme="minorHAnsi" w:cstheme="minorHAnsi"/>
        </w:rPr>
        <w:t>Pro přípravu, tvorbu a schvalování veřejných strategií je na národní úrovni schválena „</w:t>
      </w:r>
      <w:r w:rsidRPr="001D6ECB">
        <w:rPr>
          <w:rFonts w:asciiTheme="minorHAnsi" w:hAnsiTheme="minorHAnsi" w:cstheme="minorHAnsi"/>
          <w:b/>
        </w:rPr>
        <w:t xml:space="preserve">Metodika </w:t>
      </w:r>
      <w:r w:rsidR="00382A05">
        <w:rPr>
          <w:rFonts w:asciiTheme="minorHAnsi" w:hAnsiTheme="minorHAnsi" w:cstheme="minorHAnsi"/>
          <w:b/>
        </w:rPr>
        <w:t>přípravy v</w:t>
      </w:r>
      <w:r w:rsidRPr="001D6ECB">
        <w:rPr>
          <w:rFonts w:asciiTheme="minorHAnsi" w:hAnsiTheme="minorHAnsi" w:cstheme="minorHAnsi"/>
          <w:b/>
        </w:rPr>
        <w:t>eřejných strategií</w:t>
      </w:r>
      <w:r>
        <w:rPr>
          <w:rFonts w:asciiTheme="minorHAnsi" w:hAnsiTheme="minorHAnsi" w:cstheme="minorHAnsi"/>
        </w:rPr>
        <w:t>“</w:t>
      </w:r>
      <w:r>
        <w:rPr>
          <w:rStyle w:val="Znakapoznpodarou"/>
          <w:rFonts w:asciiTheme="minorHAnsi" w:hAnsiTheme="minorHAnsi" w:cstheme="minorHAnsi"/>
        </w:rPr>
        <w:footnoteReference w:id="1"/>
      </w:r>
      <w:r>
        <w:rPr>
          <w:rFonts w:asciiTheme="minorHAnsi" w:hAnsiTheme="minorHAnsi" w:cstheme="minorHAnsi"/>
        </w:rPr>
        <w:t>. Problematika rozpočtování veřejné strategie</w:t>
      </w:r>
      <w:r w:rsidR="00CF4F2C">
        <w:rPr>
          <w:rFonts w:asciiTheme="minorHAnsi" w:hAnsiTheme="minorHAnsi" w:cstheme="minorHAnsi"/>
        </w:rPr>
        <w:t xml:space="preserve"> </w:t>
      </w:r>
      <w:r w:rsidR="00D10DC3">
        <w:rPr>
          <w:rFonts w:asciiTheme="minorHAnsi" w:hAnsiTheme="minorHAnsi" w:cstheme="minorHAnsi"/>
        </w:rPr>
        <w:t xml:space="preserve">je v metodice součástí </w:t>
      </w:r>
      <w:r w:rsidR="00227F17">
        <w:rPr>
          <w:rFonts w:asciiTheme="minorHAnsi" w:hAnsiTheme="minorHAnsi" w:cstheme="minorHAnsi"/>
        </w:rPr>
        <w:t>zejména druhé fáze přípravy veřejné strategie (</w:t>
      </w:r>
      <w:r w:rsidR="00227F17" w:rsidRPr="001A3A71">
        <w:rPr>
          <w:rFonts w:asciiTheme="minorHAnsi" w:hAnsiTheme="minorHAnsi" w:cstheme="minorHAnsi"/>
          <w:b/>
        </w:rPr>
        <w:t>rozpočet tvorby strategie</w:t>
      </w:r>
      <w:r w:rsidR="00227F17">
        <w:rPr>
          <w:rFonts w:asciiTheme="minorHAnsi" w:hAnsiTheme="minorHAnsi" w:cstheme="minorHAnsi"/>
        </w:rPr>
        <w:t xml:space="preserve">) a </w:t>
      </w:r>
      <w:r w:rsidR="00D10DC3">
        <w:rPr>
          <w:rFonts w:asciiTheme="minorHAnsi" w:hAnsiTheme="minorHAnsi" w:cstheme="minorHAnsi"/>
        </w:rPr>
        <w:t>šesté fáze přípravy veřejné strategie</w:t>
      </w:r>
      <w:r w:rsidR="00227F17">
        <w:rPr>
          <w:rFonts w:asciiTheme="minorHAnsi" w:hAnsiTheme="minorHAnsi" w:cstheme="minorHAnsi"/>
        </w:rPr>
        <w:t xml:space="preserve"> (</w:t>
      </w:r>
      <w:r w:rsidR="00227F17" w:rsidRPr="001A3A71">
        <w:rPr>
          <w:rFonts w:asciiTheme="minorHAnsi" w:hAnsiTheme="minorHAnsi" w:cstheme="minorHAnsi"/>
          <w:b/>
        </w:rPr>
        <w:t>rozpočet implementace strategie</w:t>
      </w:r>
      <w:r w:rsidR="00227F17">
        <w:rPr>
          <w:rFonts w:asciiTheme="minorHAnsi" w:hAnsiTheme="minorHAnsi" w:cstheme="minorHAnsi"/>
        </w:rPr>
        <w:t>)</w:t>
      </w:r>
      <w:r w:rsidR="00257CAD">
        <w:rPr>
          <w:rFonts w:asciiTheme="minorHAnsi" w:hAnsiTheme="minorHAnsi" w:cstheme="minorHAnsi"/>
        </w:rPr>
        <w:t xml:space="preserve">. </w:t>
      </w:r>
      <w:r w:rsidR="00227F17">
        <w:rPr>
          <w:rFonts w:asciiTheme="minorHAnsi" w:hAnsiTheme="minorHAnsi" w:cstheme="minorHAnsi"/>
        </w:rPr>
        <w:t>V</w:t>
      </w:r>
      <w:r w:rsidR="00D10DC3">
        <w:rPr>
          <w:rFonts w:asciiTheme="minorHAnsi" w:hAnsiTheme="minorHAnsi" w:cstheme="minorHAnsi"/>
        </w:rPr>
        <w:t xml:space="preserve"> tomto textu je </w:t>
      </w:r>
      <w:r w:rsidR="00227F17">
        <w:rPr>
          <w:rFonts w:asciiTheme="minorHAnsi" w:hAnsiTheme="minorHAnsi" w:cstheme="minorHAnsi"/>
        </w:rPr>
        <w:t xml:space="preserve">rozpočtování veřejné strategie podrobněji popsáno </w:t>
      </w:r>
      <w:r>
        <w:rPr>
          <w:rFonts w:asciiTheme="minorHAnsi" w:hAnsiTheme="minorHAnsi" w:cstheme="minorHAnsi"/>
        </w:rPr>
        <w:t xml:space="preserve"> v kapitole 4.2. </w:t>
      </w:r>
      <w:r w:rsidR="001B4082">
        <w:rPr>
          <w:rFonts w:asciiTheme="minorHAnsi" w:hAnsiTheme="minorHAnsi" w:cstheme="minorHAnsi"/>
        </w:rPr>
        <w:t xml:space="preserve">V metodice </w:t>
      </w:r>
      <w:r>
        <w:rPr>
          <w:rFonts w:asciiTheme="minorHAnsi" w:hAnsiTheme="minorHAnsi" w:cstheme="minorHAnsi"/>
        </w:rPr>
        <w:t xml:space="preserve">jsou </w:t>
      </w:r>
      <w:r w:rsidR="00D10DC3">
        <w:rPr>
          <w:rFonts w:asciiTheme="minorHAnsi" w:hAnsiTheme="minorHAnsi" w:cstheme="minorHAnsi"/>
        </w:rPr>
        <w:t xml:space="preserve">také </w:t>
      </w:r>
      <w:r>
        <w:rPr>
          <w:rFonts w:asciiTheme="minorHAnsi" w:hAnsiTheme="minorHAnsi" w:cstheme="minorHAnsi"/>
        </w:rPr>
        <w:t>popsány „</w:t>
      </w:r>
      <w:r w:rsidRPr="001D6ECB">
        <w:rPr>
          <w:rFonts w:asciiTheme="minorHAnsi" w:hAnsiTheme="minorHAnsi" w:cstheme="minorHAnsi"/>
        </w:rPr>
        <w:t>Základní principy tvorby strategií</w:t>
      </w:r>
      <w:r>
        <w:rPr>
          <w:rFonts w:asciiTheme="minorHAnsi" w:hAnsiTheme="minorHAnsi" w:cstheme="minorHAnsi"/>
        </w:rPr>
        <w:t>“</w:t>
      </w:r>
      <w:r w:rsidR="001B4082">
        <w:rPr>
          <w:rFonts w:asciiTheme="minorHAnsi" w:hAnsiTheme="minorHAnsi" w:cstheme="minorHAnsi"/>
        </w:rPr>
        <w:t>, jeden ze 14 principů se týká financování (MMR, 2019, s. 15): „</w:t>
      </w:r>
      <w:r w:rsidRPr="001B4082">
        <w:rPr>
          <w:rFonts w:asciiTheme="minorHAnsi" w:hAnsiTheme="minorHAnsi" w:cstheme="minorHAnsi"/>
          <w:i/>
        </w:rPr>
        <w:t>Vznikající strategie mají jasně definovaný způsob financování jejich implementace, realizace přijatých strategií je pravidelně promítána do rozpočtu (státního rozpočtu a ostatních veřejných rozpočtů, respektive rozpočtu dané instituce). Strategie by měly být při řešení daných problémů co nejvíce efektivní, zároveň by jejich negativní (nezamýšlený) dopad měl být minimalizován</w:t>
      </w:r>
      <w:r w:rsidR="001B4082">
        <w:rPr>
          <w:rFonts w:asciiTheme="minorHAnsi" w:hAnsiTheme="minorHAnsi" w:cstheme="minorHAnsi"/>
        </w:rPr>
        <w:t xml:space="preserve">.“ </w:t>
      </w:r>
    </w:p>
    <w:p w14:paraId="68662FE9" w14:textId="77777777" w:rsidR="001D6ECB" w:rsidRDefault="001D6ECB" w:rsidP="00A03F50">
      <w:pPr>
        <w:tabs>
          <w:tab w:val="left" w:pos="4014"/>
        </w:tabs>
        <w:jc w:val="both"/>
        <w:rPr>
          <w:rFonts w:asciiTheme="minorHAnsi" w:hAnsiTheme="minorHAnsi" w:cstheme="minorHAnsi"/>
        </w:rPr>
      </w:pPr>
    </w:p>
    <w:p w14:paraId="3F1E6CC3" w14:textId="07127D8E" w:rsidR="00A03F50" w:rsidRDefault="00A03F50" w:rsidP="00A03F50">
      <w:pPr>
        <w:tabs>
          <w:tab w:val="left" w:pos="4014"/>
        </w:tabs>
        <w:jc w:val="both"/>
        <w:rPr>
          <w:rFonts w:ascii="Calibri" w:hAnsi="Calibri"/>
        </w:rPr>
      </w:pPr>
      <w:r>
        <w:rPr>
          <w:rFonts w:asciiTheme="minorHAnsi" w:hAnsiTheme="minorHAnsi" w:cstheme="minorHAnsi"/>
        </w:rPr>
        <w:t xml:space="preserve">Tento text </w:t>
      </w:r>
      <w:r w:rsidR="00F60AEE">
        <w:rPr>
          <w:rFonts w:asciiTheme="minorHAnsi" w:hAnsiTheme="minorHAnsi" w:cstheme="minorHAnsi"/>
        </w:rPr>
        <w:t xml:space="preserve">je využitelný pro celý veřejný sektor, ale </w:t>
      </w:r>
      <w:r>
        <w:rPr>
          <w:rFonts w:asciiTheme="minorHAnsi" w:hAnsiTheme="minorHAnsi" w:cstheme="minorHAnsi"/>
        </w:rPr>
        <w:t xml:space="preserve">týká </w:t>
      </w:r>
      <w:r w:rsidR="00F60AEE">
        <w:rPr>
          <w:rFonts w:asciiTheme="minorHAnsi" w:hAnsiTheme="minorHAnsi" w:cstheme="minorHAnsi"/>
        </w:rPr>
        <w:t xml:space="preserve">se </w:t>
      </w:r>
      <w:r>
        <w:rPr>
          <w:rFonts w:asciiTheme="minorHAnsi" w:hAnsiTheme="minorHAnsi" w:cstheme="minorHAnsi"/>
        </w:rPr>
        <w:t xml:space="preserve">zejména samospráv. </w:t>
      </w:r>
      <w:r w:rsidR="00574834">
        <w:rPr>
          <w:rFonts w:asciiTheme="minorHAnsi" w:hAnsiTheme="minorHAnsi" w:cstheme="minorHAnsi"/>
        </w:rPr>
        <w:t xml:space="preserve">Obec a obdobně též kraj má následující </w:t>
      </w:r>
      <w:r w:rsidR="00781FEA">
        <w:rPr>
          <w:rFonts w:asciiTheme="minorHAnsi" w:hAnsiTheme="minorHAnsi" w:cstheme="minorHAnsi"/>
        </w:rPr>
        <w:t xml:space="preserve"> </w:t>
      </w:r>
      <w:r w:rsidR="00781FEA" w:rsidRPr="00257CAD">
        <w:rPr>
          <w:rFonts w:asciiTheme="minorHAnsi" w:hAnsiTheme="minorHAnsi" w:cstheme="minorHAnsi"/>
          <w:b/>
        </w:rPr>
        <w:t xml:space="preserve">čtyři </w:t>
      </w:r>
      <w:r w:rsidR="00574834" w:rsidRPr="00257CAD">
        <w:rPr>
          <w:rFonts w:asciiTheme="minorHAnsi" w:hAnsiTheme="minorHAnsi" w:cstheme="minorHAnsi"/>
          <w:b/>
        </w:rPr>
        <w:t xml:space="preserve"> charakteristiky</w:t>
      </w:r>
      <w:r w:rsidR="00574834">
        <w:rPr>
          <w:rFonts w:asciiTheme="minorHAnsi" w:hAnsiTheme="minorHAnsi" w:cstheme="minorHAnsi"/>
        </w:rPr>
        <w:t xml:space="preserve"> (text se věnuje čtvrtému znaku)</w:t>
      </w:r>
      <w:r>
        <w:rPr>
          <w:rFonts w:ascii="Calibri" w:hAnsi="Calibri"/>
        </w:rPr>
        <w:t xml:space="preserve">: </w:t>
      </w:r>
      <w:r w:rsidR="00257CAD">
        <w:rPr>
          <w:rFonts w:ascii="Calibri" w:hAnsi="Calibri"/>
        </w:rPr>
        <w:t xml:space="preserve">            </w:t>
      </w:r>
      <w:r>
        <w:rPr>
          <w:rFonts w:ascii="Calibri" w:hAnsi="Calibri"/>
        </w:rPr>
        <w:t xml:space="preserve">(1) </w:t>
      </w:r>
      <w:r w:rsidRPr="000F16CD">
        <w:rPr>
          <w:rFonts w:ascii="Calibri" w:hAnsi="Calibri"/>
        </w:rPr>
        <w:t xml:space="preserve">vlastní území - </w:t>
      </w:r>
      <w:r w:rsidRPr="000F16CD">
        <w:rPr>
          <w:rFonts w:ascii="Calibri" w:hAnsi="Calibri"/>
          <w:b/>
        </w:rPr>
        <w:t>územní základ</w:t>
      </w:r>
      <w:r w:rsidRPr="000F16CD">
        <w:rPr>
          <w:rFonts w:ascii="Calibri" w:hAnsi="Calibri"/>
        </w:rPr>
        <w:t xml:space="preserve">, který je </w:t>
      </w:r>
      <w:r w:rsidR="00257CAD">
        <w:rPr>
          <w:rFonts w:ascii="Calibri" w:hAnsi="Calibri"/>
        </w:rPr>
        <w:t xml:space="preserve">u obcí </w:t>
      </w:r>
      <w:r w:rsidRPr="000F16CD">
        <w:rPr>
          <w:rFonts w:ascii="Calibri" w:hAnsi="Calibri"/>
        </w:rPr>
        <w:t>tvořen jedním nebo</w:t>
      </w:r>
      <w:r w:rsidR="00574834">
        <w:rPr>
          <w:rFonts w:ascii="Calibri" w:hAnsi="Calibri"/>
        </w:rPr>
        <w:t xml:space="preserve"> více katastrálními územími</w:t>
      </w:r>
      <w:r w:rsidRPr="000F16CD">
        <w:rPr>
          <w:rFonts w:ascii="Calibri" w:hAnsi="Calibri"/>
        </w:rPr>
        <w:t>,</w:t>
      </w:r>
      <w:r>
        <w:rPr>
          <w:rFonts w:ascii="Calibri" w:hAnsi="Calibri"/>
        </w:rPr>
        <w:t xml:space="preserve"> (2) </w:t>
      </w:r>
      <w:r w:rsidRPr="009024AE">
        <w:rPr>
          <w:rFonts w:ascii="Calibri" w:hAnsi="Calibri"/>
        </w:rPr>
        <w:t xml:space="preserve">obyvatelstvo - </w:t>
      </w:r>
      <w:r w:rsidR="00574834">
        <w:rPr>
          <w:rFonts w:ascii="Calibri" w:hAnsi="Calibri"/>
          <w:b/>
        </w:rPr>
        <w:t>personální základ</w:t>
      </w:r>
      <w:r w:rsidRPr="009024AE">
        <w:rPr>
          <w:rFonts w:ascii="Calibri" w:hAnsi="Calibri"/>
        </w:rPr>
        <w:t>, každá obec</w:t>
      </w:r>
      <w:r>
        <w:rPr>
          <w:rFonts w:ascii="Calibri" w:hAnsi="Calibri"/>
        </w:rPr>
        <w:t xml:space="preserve"> musí být trvale obývána lidmi, (3) </w:t>
      </w:r>
      <w:r w:rsidRPr="009024AE">
        <w:rPr>
          <w:rFonts w:ascii="Calibri" w:hAnsi="Calibri"/>
        </w:rPr>
        <w:t xml:space="preserve">vystupování v právních vztazích </w:t>
      </w:r>
      <w:r>
        <w:rPr>
          <w:rFonts w:ascii="Calibri" w:hAnsi="Calibri"/>
        </w:rPr>
        <w:t>svým</w:t>
      </w:r>
      <w:r w:rsidRPr="009024AE">
        <w:rPr>
          <w:rFonts w:ascii="Calibri" w:hAnsi="Calibri"/>
        </w:rPr>
        <w:t xml:space="preserve"> jménem - právní subjektivita, </w:t>
      </w:r>
      <w:r w:rsidR="00574834">
        <w:rPr>
          <w:rFonts w:ascii="Calibri" w:hAnsi="Calibri"/>
          <w:b/>
        </w:rPr>
        <w:t>právní základ</w:t>
      </w:r>
      <w:r w:rsidRPr="009024AE">
        <w:rPr>
          <w:rFonts w:ascii="Calibri" w:hAnsi="Calibri"/>
        </w:rPr>
        <w:t xml:space="preserve">, </w:t>
      </w:r>
      <w:r>
        <w:rPr>
          <w:rFonts w:ascii="Calibri" w:hAnsi="Calibri"/>
        </w:rPr>
        <w:t xml:space="preserve">(4) </w:t>
      </w:r>
      <w:r w:rsidRPr="00321874">
        <w:rPr>
          <w:rFonts w:ascii="Calibri" w:hAnsi="Calibri"/>
        </w:rPr>
        <w:t>vlastní majetek a hospodaření podle vlastního rozpočtu (</w:t>
      </w:r>
      <w:r w:rsidR="00574834">
        <w:rPr>
          <w:rFonts w:ascii="Calibri" w:hAnsi="Calibri"/>
          <w:b/>
        </w:rPr>
        <w:t>ekonomický základ</w:t>
      </w:r>
      <w:r w:rsidRPr="00321874">
        <w:rPr>
          <w:rFonts w:ascii="Calibri" w:hAnsi="Calibri"/>
        </w:rPr>
        <w:t>).</w:t>
      </w:r>
    </w:p>
    <w:p w14:paraId="228BEAD3" w14:textId="4543D3C5" w:rsidR="00C14739" w:rsidRDefault="00C14739" w:rsidP="00A03F50">
      <w:pPr>
        <w:tabs>
          <w:tab w:val="left" w:pos="4014"/>
        </w:tabs>
        <w:jc w:val="both"/>
        <w:rPr>
          <w:rFonts w:ascii="Calibri" w:hAnsi="Calibri"/>
        </w:rPr>
      </w:pPr>
    </w:p>
    <w:p w14:paraId="5D1FF552" w14:textId="5F784682" w:rsidR="00CE13A0" w:rsidRDefault="00C14739" w:rsidP="00397A20">
      <w:pPr>
        <w:pStyle w:val="A1-text"/>
        <w:spacing w:after="0"/>
        <w:rPr>
          <w:rFonts w:asciiTheme="minorHAnsi" w:eastAsia="Calibri" w:hAnsiTheme="minorHAnsi" w:cstheme="minorHAnsi"/>
          <w:i/>
          <w:iCs/>
        </w:rPr>
      </w:pPr>
      <w:r w:rsidRPr="00024FF5">
        <w:rPr>
          <w:rFonts w:ascii="Calibri" w:hAnsi="Calibri" w:cs="Calibri"/>
        </w:rPr>
        <w:lastRenderedPageBreak/>
        <w:t>Na následu</w:t>
      </w:r>
      <w:r>
        <w:rPr>
          <w:rFonts w:ascii="Calibri" w:hAnsi="Calibri" w:cs="Calibri"/>
        </w:rPr>
        <w:t xml:space="preserve">jícím obrázku jsou zachyceny vazby mezi nástroji strategické práce, které jsou </w:t>
      </w:r>
      <w:r>
        <w:rPr>
          <w:rFonts w:ascii="Calibri" w:hAnsi="Calibri" w:cs="Calibri"/>
          <w:lang w:val="cs-CZ"/>
        </w:rPr>
        <w:t>postupně zveřejňovány na portálu strategické práce</w:t>
      </w:r>
      <w:r>
        <w:rPr>
          <w:rFonts w:ascii="Calibri" w:hAnsi="Calibri" w:cs="Calibri"/>
        </w:rPr>
        <w:t xml:space="preserve">. </w:t>
      </w:r>
    </w:p>
    <w:p w14:paraId="69E50989" w14:textId="71BDC9D4" w:rsidR="00C14739" w:rsidRPr="00DF7074" w:rsidRDefault="00257449" w:rsidP="00C14739">
      <w:pPr>
        <w:pStyle w:val="Zkladntext3"/>
        <w:spacing w:after="0"/>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Obr. 5</w:t>
      </w:r>
      <w:r w:rsidR="00C14739">
        <w:rPr>
          <w:rFonts w:asciiTheme="minorHAnsi" w:eastAsia="Calibri" w:hAnsiTheme="minorHAnsi" w:cstheme="minorHAnsi"/>
          <w:i/>
          <w:iCs/>
          <w:sz w:val="24"/>
          <w:szCs w:val="24"/>
        </w:rPr>
        <w:t xml:space="preserve"> </w:t>
      </w:r>
      <w:r w:rsidR="00C14739" w:rsidRPr="00DF7074">
        <w:rPr>
          <w:rFonts w:asciiTheme="minorHAnsi" w:eastAsia="Calibri" w:hAnsiTheme="minorHAnsi" w:cstheme="minorHAnsi"/>
          <w:i/>
          <w:iCs/>
          <w:sz w:val="24"/>
          <w:szCs w:val="24"/>
        </w:rPr>
        <w:t xml:space="preserve">Vazby na ostatní nástroje zpracovávané </w:t>
      </w:r>
      <w:r w:rsidR="003B2C4E">
        <w:rPr>
          <w:rFonts w:asciiTheme="minorHAnsi" w:eastAsia="Calibri" w:hAnsiTheme="minorHAnsi" w:cstheme="minorHAnsi"/>
          <w:i/>
          <w:iCs/>
          <w:sz w:val="24"/>
          <w:szCs w:val="24"/>
        </w:rPr>
        <w:t>v rámci projektu</w:t>
      </w:r>
    </w:p>
    <w:p w14:paraId="12ABB8D2" w14:textId="50161A76" w:rsidR="00C14739" w:rsidRDefault="00D41288" w:rsidP="00C14739">
      <w:pPr>
        <w:spacing w:after="120"/>
        <w:jc w:val="both"/>
        <w:rPr>
          <w:rFonts w:ascii="Calibri" w:hAnsi="Calibri" w:cs="Calibri"/>
        </w:rPr>
      </w:pPr>
      <w:r>
        <w:rPr>
          <w:rFonts w:ascii="Calibri" w:hAnsi="Calibri" w:cs="Calibri"/>
          <w:noProof/>
        </w:rPr>
        <mc:AlternateContent>
          <mc:Choice Requires="wpg">
            <w:drawing>
              <wp:anchor distT="0" distB="0" distL="114300" distR="114300" simplePos="0" relativeHeight="251676160" behindDoc="0" locked="0" layoutInCell="1" allowOverlap="1" wp14:anchorId="7B02020C" wp14:editId="12A922D2">
                <wp:simplePos x="0" y="0"/>
                <wp:positionH relativeFrom="column">
                  <wp:posOffset>190500</wp:posOffset>
                </wp:positionH>
                <wp:positionV relativeFrom="paragraph">
                  <wp:posOffset>187325</wp:posOffset>
                </wp:positionV>
                <wp:extent cx="5522550" cy="4005249"/>
                <wp:effectExtent l="0" t="19050" r="21590" b="14605"/>
                <wp:wrapNone/>
                <wp:docPr id="3785" name="Skupina 3785"/>
                <wp:cNvGraphicFramePr/>
                <a:graphic xmlns:a="http://schemas.openxmlformats.org/drawingml/2006/main">
                  <a:graphicData uri="http://schemas.microsoft.com/office/word/2010/wordprocessingGroup">
                    <wpg:wgp>
                      <wpg:cNvGrpSpPr/>
                      <wpg:grpSpPr>
                        <a:xfrm>
                          <a:off x="0" y="0"/>
                          <a:ext cx="5522550" cy="4005249"/>
                          <a:chOff x="0" y="0"/>
                          <a:chExt cx="5522550" cy="4005249"/>
                        </a:xfrm>
                      </wpg:grpSpPr>
                      <wps:wsp>
                        <wps:cNvPr id="8" name="Zakřivená spojnice 50"/>
                        <wps:cNvCnPr/>
                        <wps:spPr>
                          <a:xfrm rot="16200000" flipV="1">
                            <a:off x="3223260" y="563880"/>
                            <a:ext cx="428788" cy="229527"/>
                          </a:xfrm>
                          <a:prstGeom prst="curvedConnector3">
                            <a:avLst>
                              <a:gd name="adj1" fmla="val 50000"/>
                            </a:avLst>
                          </a:prstGeom>
                          <a:ln w="28575">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 name="Textové pole 22"/>
                        <wps:cNvSpPr txBox="1"/>
                        <wps:spPr>
                          <a:xfrm>
                            <a:off x="2948940" y="7620"/>
                            <a:ext cx="755845" cy="448253"/>
                          </a:xfrm>
                          <a:prstGeom prst="roundRect">
                            <a:avLst>
                              <a:gd name="adj" fmla="val 25598"/>
                            </a:avLst>
                          </a:prstGeom>
                          <a:solidFill>
                            <a:schemeClr val="accent4">
                              <a:lumMod val="20000"/>
                              <a:lumOff val="80000"/>
                            </a:schemeClr>
                          </a:solidFill>
                          <a:ln w="38100">
                            <a:solidFill>
                              <a:prstClr val="black"/>
                            </a:solidFill>
                          </a:ln>
                        </wps:spPr>
                        <wps:txbx>
                          <w:txbxContent>
                            <w:p w14:paraId="54EBF374" w14:textId="77777777" w:rsidR="00511D9B" w:rsidRPr="000E0BBC" w:rsidRDefault="00511D9B" w:rsidP="00C14739">
                              <w:pPr>
                                <w:pStyle w:val="Normlnweb"/>
                                <w:spacing w:line="180" w:lineRule="auto"/>
                                <w:jc w:val="center"/>
                                <w:rPr>
                                  <w:sz w:val="16"/>
                                </w:rPr>
                              </w:pPr>
                              <w:r w:rsidRPr="000E0BBC">
                                <w:rPr>
                                  <w:rFonts w:ascii="Calibri" w:eastAsia="Calibri" w:hAnsi="Calibri"/>
                                  <w:b/>
                                  <w:bCs/>
                                  <w:color w:val="000000" w:themeColor="text1"/>
                                  <w:kern w:val="24"/>
                                  <w:sz w:val="20"/>
                                  <w:szCs w:val="32"/>
                                </w:rPr>
                                <w:t>SWOT analýza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ové pole 22"/>
                        <wps:cNvSpPr txBox="1"/>
                        <wps:spPr>
                          <a:xfrm>
                            <a:off x="4572000" y="0"/>
                            <a:ext cx="857494" cy="533294"/>
                          </a:xfrm>
                          <a:prstGeom prst="roundRect">
                            <a:avLst>
                              <a:gd name="adj" fmla="val 13199"/>
                            </a:avLst>
                          </a:prstGeom>
                          <a:solidFill>
                            <a:schemeClr val="accent4">
                              <a:lumMod val="20000"/>
                              <a:lumOff val="80000"/>
                            </a:schemeClr>
                          </a:solidFill>
                          <a:ln w="38100">
                            <a:solidFill>
                              <a:prstClr val="black"/>
                            </a:solidFill>
                          </a:ln>
                        </wps:spPr>
                        <wps:txbx>
                          <w:txbxContent>
                            <w:p w14:paraId="7AE78094" w14:textId="77777777" w:rsidR="00511D9B" w:rsidRPr="000E0BBC" w:rsidRDefault="00511D9B" w:rsidP="00C14739">
                              <w:pPr>
                                <w:pStyle w:val="Normlnweb"/>
                                <w:spacing w:line="180" w:lineRule="auto"/>
                                <w:jc w:val="center"/>
                                <w:rPr>
                                  <w:sz w:val="16"/>
                                </w:rPr>
                              </w:pPr>
                              <w:r w:rsidRPr="000E0BBC">
                                <w:rPr>
                                  <w:rFonts w:ascii="Calibri" w:eastAsia="Calibri" w:hAnsi="Calibri"/>
                                  <w:b/>
                                  <w:bCs/>
                                  <w:color w:val="000000" w:themeColor="text1"/>
                                  <w:kern w:val="24"/>
                                  <w:sz w:val="20"/>
                                  <w:szCs w:val="32"/>
                                </w:rPr>
                                <w:t xml:space="preserve">Analýza, řízení a registr rizik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Zakřivená spojnice 42"/>
                        <wps:cNvCnPr/>
                        <wps:spPr>
                          <a:xfrm rot="5400000" flipH="1" flipV="1">
                            <a:off x="3752850" y="49530"/>
                            <a:ext cx="650045" cy="1015949"/>
                          </a:xfrm>
                          <a:prstGeom prst="curvedConnector2">
                            <a:avLst/>
                          </a:prstGeom>
                          <a:ln w="28575">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 name="Zakřivená spojnice 45"/>
                        <wps:cNvCnPr/>
                        <wps:spPr>
                          <a:xfrm rot="5400000" flipH="1" flipV="1">
                            <a:off x="4023360" y="373380"/>
                            <a:ext cx="51278" cy="987598"/>
                          </a:xfrm>
                          <a:prstGeom prst="curvedConnector2">
                            <a:avLst/>
                          </a:prstGeom>
                          <a:ln w="28575">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 name="Textové pole 22"/>
                        <wps:cNvSpPr txBox="1"/>
                        <wps:spPr>
                          <a:xfrm>
                            <a:off x="4533900" y="617220"/>
                            <a:ext cx="860461" cy="447897"/>
                          </a:xfrm>
                          <a:prstGeom prst="roundRect">
                            <a:avLst>
                              <a:gd name="adj" fmla="val 16408"/>
                            </a:avLst>
                          </a:prstGeom>
                          <a:solidFill>
                            <a:schemeClr val="accent4">
                              <a:lumMod val="20000"/>
                              <a:lumOff val="80000"/>
                            </a:schemeClr>
                          </a:solidFill>
                          <a:ln w="38100">
                            <a:solidFill>
                              <a:prstClr val="black"/>
                            </a:solidFill>
                          </a:ln>
                        </wps:spPr>
                        <wps:txbx>
                          <w:txbxContent>
                            <w:p w14:paraId="1E3CACFF"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Využívání příležitostí</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Textové pole 22"/>
                        <wps:cNvSpPr txBox="1"/>
                        <wps:spPr>
                          <a:xfrm>
                            <a:off x="3101340" y="899160"/>
                            <a:ext cx="903230" cy="693677"/>
                          </a:xfrm>
                          <a:prstGeom prst="roundRect">
                            <a:avLst>
                              <a:gd name="adj" fmla="val 16717"/>
                            </a:avLst>
                          </a:prstGeom>
                          <a:solidFill>
                            <a:schemeClr val="bg1"/>
                          </a:solidFill>
                          <a:ln w="38100">
                            <a:solidFill>
                              <a:prstClr val="black"/>
                            </a:solidFill>
                          </a:ln>
                        </wps:spPr>
                        <wps:txbx>
                          <w:txbxContent>
                            <w:p w14:paraId="537CE3C3" w14:textId="77777777" w:rsidR="00511D9B" w:rsidRDefault="00511D9B" w:rsidP="00C14739">
                              <w:pPr>
                                <w:pStyle w:val="Normlnweb"/>
                                <w:spacing w:line="180" w:lineRule="auto"/>
                                <w:jc w:val="center"/>
                                <w:rPr>
                                  <w:rFonts w:ascii="Calibri" w:eastAsia="Calibri" w:hAnsi="Calibri"/>
                                  <w:b/>
                                  <w:bCs/>
                                  <w:color w:val="000000" w:themeColor="text1"/>
                                  <w:kern w:val="24"/>
                                  <w:sz w:val="20"/>
                                  <w:szCs w:val="20"/>
                                </w:rPr>
                              </w:pPr>
                              <w:r w:rsidRPr="00E30ED1">
                                <w:rPr>
                                  <w:rFonts w:ascii="Calibri" w:eastAsia="Calibri" w:hAnsi="Calibri"/>
                                  <w:b/>
                                  <w:bCs/>
                                  <w:color w:val="000000" w:themeColor="text1"/>
                                  <w:kern w:val="24"/>
                                  <w:sz w:val="20"/>
                                  <w:szCs w:val="20"/>
                                </w:rPr>
                                <w:t xml:space="preserve">Analýzy </w:t>
                              </w:r>
                            </w:p>
                            <w:p w14:paraId="793A8422" w14:textId="77777777" w:rsidR="00511D9B" w:rsidRPr="00E30ED1" w:rsidRDefault="00511D9B" w:rsidP="00C14739">
                              <w:pPr>
                                <w:pStyle w:val="Normlnweb"/>
                                <w:spacing w:line="180" w:lineRule="auto"/>
                                <w:jc w:val="center"/>
                                <w:rPr>
                                  <w:sz w:val="20"/>
                                  <w:szCs w:val="20"/>
                                </w:rPr>
                              </w:pPr>
                              <w:r w:rsidRPr="00E30ED1">
                                <w:rPr>
                                  <w:rFonts w:ascii="Calibri" w:eastAsia="Calibri" w:hAnsi="Calibri"/>
                                  <w:b/>
                                  <w:bCs/>
                                  <w:color w:val="000000" w:themeColor="text1"/>
                                  <w:kern w:val="24"/>
                                  <w:sz w:val="20"/>
                                  <w:szCs w:val="20"/>
                                </w:rPr>
                                <w:t>v rámci strategické práce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Zakřivená spojnice 113"/>
                        <wps:cNvCnPr/>
                        <wps:spPr>
                          <a:xfrm rot="5400000" flipH="1" flipV="1">
                            <a:off x="2415540" y="1432560"/>
                            <a:ext cx="880641" cy="505921"/>
                          </a:xfrm>
                          <a:prstGeom prst="curvedConnector2">
                            <a:avLst/>
                          </a:prstGeom>
                          <a:ln w="57150">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 name="Textové pole 22"/>
                        <wps:cNvSpPr txBox="1"/>
                        <wps:spPr>
                          <a:xfrm>
                            <a:off x="4663440" y="1524000"/>
                            <a:ext cx="859110" cy="541085"/>
                          </a:xfrm>
                          <a:prstGeom prst="roundRect">
                            <a:avLst>
                              <a:gd name="adj" fmla="val 25598"/>
                            </a:avLst>
                          </a:prstGeom>
                          <a:solidFill>
                            <a:schemeClr val="accent4">
                              <a:lumMod val="20000"/>
                              <a:lumOff val="80000"/>
                            </a:schemeClr>
                          </a:solidFill>
                          <a:ln w="38100">
                            <a:solidFill>
                              <a:prstClr val="black"/>
                            </a:solidFill>
                          </a:ln>
                        </wps:spPr>
                        <wps:txbx>
                          <w:txbxContent>
                            <w:p w14:paraId="654ACEC6"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Metody získávání dat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 name="Zakřivená spojnice 63"/>
                        <wps:cNvCnPr/>
                        <wps:spPr>
                          <a:xfrm flipV="1">
                            <a:off x="3246120" y="1790700"/>
                            <a:ext cx="1427086" cy="836421"/>
                          </a:xfrm>
                          <a:prstGeom prst="curvedConnector3">
                            <a:avLst>
                              <a:gd name="adj1" fmla="val 50000"/>
                            </a:avLst>
                          </a:prstGeom>
                          <a:ln w="57150">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 name="Zakřivená spojnice 84"/>
                        <wps:cNvCnPr/>
                        <wps:spPr>
                          <a:xfrm rot="16200000" flipV="1">
                            <a:off x="4408170" y="842010"/>
                            <a:ext cx="278423" cy="1085269"/>
                          </a:xfrm>
                          <a:prstGeom prst="curvedConnector2">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4" name="Textové pole 18"/>
                        <wps:cNvSpPr txBox="1"/>
                        <wps:spPr>
                          <a:xfrm>
                            <a:off x="1965960" y="2125980"/>
                            <a:ext cx="1275562" cy="1009496"/>
                          </a:xfrm>
                          <a:prstGeom prst="roundRect">
                            <a:avLst>
                              <a:gd name="adj" fmla="val 24273"/>
                            </a:avLst>
                          </a:prstGeom>
                          <a:solidFill>
                            <a:schemeClr val="accent2">
                              <a:lumMod val="20000"/>
                              <a:lumOff val="80000"/>
                            </a:schemeClr>
                          </a:solidFill>
                          <a:ln w="76200">
                            <a:solidFill>
                              <a:prstClr val="black"/>
                            </a:solidFill>
                          </a:ln>
                        </wps:spPr>
                        <wps:txbx>
                          <w:txbxContent>
                            <w:p w14:paraId="42E12CB5" w14:textId="77777777" w:rsidR="00511D9B" w:rsidRPr="004653F9" w:rsidRDefault="00511D9B" w:rsidP="00C14739">
                              <w:pPr>
                                <w:pStyle w:val="Normlnweb"/>
                                <w:spacing w:line="192" w:lineRule="auto"/>
                                <w:jc w:val="center"/>
                                <w:rPr>
                                  <w:sz w:val="28"/>
                                  <w:szCs w:val="28"/>
                                </w:rPr>
                              </w:pPr>
                              <w:r w:rsidRPr="00856BA7">
                                <w:rPr>
                                  <w:rFonts w:ascii="Calibri" w:eastAsia="Calibri" w:hAnsi="Calibri"/>
                                  <w:b/>
                                  <w:bCs/>
                                  <w:color w:val="000000" w:themeColor="text1"/>
                                  <w:kern w:val="24"/>
                                  <w:sz w:val="28"/>
                                  <w:szCs w:val="28"/>
                                </w:rPr>
                                <w:t>Vybrané nástroje strategické práce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Zakřivená spojnice 128"/>
                        <wps:cNvCnPr/>
                        <wps:spPr>
                          <a:xfrm rot="16200000" flipV="1">
                            <a:off x="3707130" y="1764030"/>
                            <a:ext cx="834603" cy="487627"/>
                          </a:xfrm>
                          <a:prstGeom prst="curvedConnector3">
                            <a:avLst>
                              <a:gd name="adj1" fmla="val 50000"/>
                            </a:avLst>
                          </a:prstGeom>
                          <a:ln>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7" name="Textové pole 22"/>
                        <wps:cNvSpPr txBox="1"/>
                        <wps:spPr>
                          <a:xfrm>
                            <a:off x="1440180" y="1082040"/>
                            <a:ext cx="742356" cy="403010"/>
                          </a:xfrm>
                          <a:prstGeom prst="roundRect">
                            <a:avLst>
                              <a:gd name="adj" fmla="val 17428"/>
                            </a:avLst>
                          </a:prstGeom>
                          <a:solidFill>
                            <a:schemeClr val="bg1"/>
                          </a:solidFill>
                          <a:ln w="19050">
                            <a:solidFill>
                              <a:prstClr val="black"/>
                            </a:solidFill>
                            <a:prstDash val="sysDash"/>
                          </a:ln>
                        </wps:spPr>
                        <wps:txbx>
                          <w:txbxContent>
                            <w:p w14:paraId="01EB6C8F" w14:textId="3F533AA5" w:rsidR="00511D9B" w:rsidRPr="004653F9" w:rsidRDefault="00511D9B" w:rsidP="00C14739">
                              <w:pPr>
                                <w:pStyle w:val="Normlnweb"/>
                                <w:spacing w:line="180" w:lineRule="auto"/>
                                <w:ind w:left="-113" w:right="-113"/>
                                <w:jc w:val="center"/>
                                <w:rPr>
                                  <w:sz w:val="20"/>
                                  <w:szCs w:val="20"/>
                                </w:rPr>
                              </w:pPr>
                              <w:r>
                                <w:rPr>
                                  <w:rFonts w:ascii="Calibri" w:eastAsia="Calibri" w:hAnsi="Calibri"/>
                                  <w:b/>
                                  <w:bCs/>
                                  <w:color w:val="000000" w:themeColor="text1"/>
                                  <w:kern w:val="24"/>
                                  <w:sz w:val="20"/>
                                  <w:szCs w:val="20"/>
                                </w:rPr>
                                <w:t>Další</w:t>
                              </w:r>
                              <w:r w:rsidRPr="004653F9">
                                <w:rPr>
                                  <w:rFonts w:ascii="Calibri" w:eastAsia="Calibri" w:hAnsi="Calibri"/>
                                  <w:b/>
                                  <w:bCs/>
                                  <w:color w:val="000000" w:themeColor="text1"/>
                                  <w:kern w:val="24"/>
                                  <w:sz w:val="20"/>
                                  <w:szCs w:val="20"/>
                                </w:rPr>
                                <w:t xml:space="preserve"> nástroje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Textové pole 22"/>
                        <wps:cNvSpPr txBox="1"/>
                        <wps:spPr>
                          <a:xfrm>
                            <a:off x="502920" y="0"/>
                            <a:ext cx="1038624" cy="701115"/>
                          </a:xfrm>
                          <a:prstGeom prst="roundRect">
                            <a:avLst>
                              <a:gd name="adj" fmla="val 25598"/>
                            </a:avLst>
                          </a:prstGeom>
                          <a:solidFill>
                            <a:schemeClr val="bg1"/>
                          </a:solidFill>
                          <a:ln w="19050">
                            <a:solidFill>
                              <a:prstClr val="black"/>
                            </a:solidFill>
                            <a:prstDash val="sysDash"/>
                          </a:ln>
                        </wps:spPr>
                        <wps:txbx>
                          <w:txbxContent>
                            <w:p w14:paraId="3FB04945" w14:textId="77777777" w:rsidR="00511D9B" w:rsidRPr="004653F9" w:rsidRDefault="00511D9B" w:rsidP="00C14739">
                              <w:pPr>
                                <w:pStyle w:val="Normlnweb"/>
                                <w:spacing w:line="180" w:lineRule="auto"/>
                                <w:jc w:val="center"/>
                                <w:rPr>
                                  <w:sz w:val="20"/>
                                  <w:szCs w:val="22"/>
                                </w:rPr>
                              </w:pPr>
                              <w:r w:rsidRPr="004653F9">
                                <w:rPr>
                                  <w:rFonts w:ascii="Calibri" w:eastAsia="Calibri" w:hAnsi="Calibri"/>
                                  <w:b/>
                                  <w:bCs/>
                                  <w:color w:val="000000" w:themeColor="text1"/>
                                  <w:kern w:val="24"/>
                                  <w:sz w:val="20"/>
                                  <w:szCs w:val="22"/>
                                </w:rPr>
                                <w:t xml:space="preserve">Nástroje </w:t>
                              </w:r>
                            </w:p>
                            <w:p w14:paraId="68F7B30F" w14:textId="77777777" w:rsidR="00511D9B" w:rsidRPr="004653F9" w:rsidRDefault="00511D9B" w:rsidP="00C14739">
                              <w:pPr>
                                <w:pStyle w:val="Normlnweb"/>
                                <w:spacing w:line="180" w:lineRule="auto"/>
                                <w:jc w:val="center"/>
                                <w:rPr>
                                  <w:sz w:val="20"/>
                                  <w:szCs w:val="22"/>
                                </w:rPr>
                              </w:pPr>
                              <w:r w:rsidRPr="004653F9">
                                <w:rPr>
                                  <w:rFonts w:ascii="Calibri" w:eastAsia="Calibri" w:hAnsi="Calibri"/>
                                  <w:b/>
                                  <w:bCs/>
                                  <w:color w:val="000000" w:themeColor="text1"/>
                                  <w:kern w:val="24"/>
                                  <w:sz w:val="20"/>
                                  <w:szCs w:val="22"/>
                                </w:rPr>
                                <w:t xml:space="preserve">ke </w:t>
                              </w:r>
                              <w:r w:rsidRPr="004653F9">
                                <w:rPr>
                                  <w:rFonts w:ascii="Calibri" w:eastAsia="Calibri" w:hAnsi="Calibri"/>
                                  <w:b/>
                                  <w:bCs/>
                                  <w:color w:val="000000" w:themeColor="text1"/>
                                  <w:kern w:val="24"/>
                                  <w:sz w:val="20"/>
                                  <w:szCs w:val="22"/>
                                  <w:lang w:val="en-US"/>
                                </w:rPr>
                                <w:t xml:space="preserve">Smart </w:t>
                              </w:r>
                              <w:r w:rsidRPr="004653F9">
                                <w:rPr>
                                  <w:rFonts w:ascii="Calibri" w:eastAsia="Calibri" w:hAnsi="Calibri"/>
                                  <w:b/>
                                  <w:bCs/>
                                  <w:color w:val="000000" w:themeColor="text1"/>
                                  <w:kern w:val="24"/>
                                  <w:sz w:val="20"/>
                                  <w:szCs w:val="22"/>
                                </w:rPr>
                                <w:t>Cities</w:t>
                              </w:r>
                              <w:r w:rsidRPr="004653F9">
                                <w:rPr>
                                  <w:rFonts w:ascii="Calibri" w:eastAsia="Calibri" w:hAnsi="Calibri"/>
                                  <w:b/>
                                  <w:bCs/>
                                  <w:color w:val="000000" w:themeColor="text1"/>
                                  <w:kern w:val="24"/>
                                  <w:sz w:val="20"/>
                                  <w:szCs w:val="22"/>
                                  <w:lang w:val="en-US"/>
                                </w:rPr>
                                <w:t xml:space="preserve"> Management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Textové pole 22"/>
                        <wps:cNvSpPr txBox="1"/>
                        <wps:spPr>
                          <a:xfrm>
                            <a:off x="0" y="769620"/>
                            <a:ext cx="1019152" cy="790763"/>
                          </a:xfrm>
                          <a:prstGeom prst="roundRect">
                            <a:avLst>
                              <a:gd name="adj" fmla="val 19890"/>
                            </a:avLst>
                          </a:prstGeom>
                          <a:solidFill>
                            <a:schemeClr val="bg1"/>
                          </a:solidFill>
                          <a:ln w="19050">
                            <a:solidFill>
                              <a:prstClr val="black"/>
                            </a:solidFill>
                            <a:prstDash val="sysDash"/>
                          </a:ln>
                        </wps:spPr>
                        <wps:txbx>
                          <w:txbxContent>
                            <w:p w14:paraId="019D32E0" w14:textId="77777777" w:rsidR="00511D9B" w:rsidRPr="00592B4A" w:rsidRDefault="00511D9B" w:rsidP="00C14739">
                              <w:pPr>
                                <w:spacing w:line="180" w:lineRule="auto"/>
                                <w:contextualSpacing/>
                                <w:jc w:val="center"/>
                                <w:rPr>
                                  <w:b/>
                                  <w:sz w:val="20"/>
                                  <w:szCs w:val="22"/>
                                </w:rPr>
                              </w:pPr>
                              <w:r w:rsidRPr="00592B4A">
                                <w:rPr>
                                  <w:rFonts w:ascii="Calibri" w:eastAsia="Calibri" w:hAnsi="Calibri"/>
                                  <w:b/>
                                  <w:color w:val="000000" w:themeColor="text1"/>
                                  <w:kern w:val="24"/>
                                  <w:sz w:val="20"/>
                                  <w:szCs w:val="22"/>
                                </w:rPr>
                                <w:t>Plánování a řízení času ve vazbě na strategickou práci</w:t>
                              </w:r>
                            </w:p>
                            <w:p w14:paraId="06B5687C" w14:textId="77777777" w:rsidR="00511D9B" w:rsidRPr="004653F9" w:rsidRDefault="00511D9B" w:rsidP="00C14739">
                              <w:pPr>
                                <w:pStyle w:val="Normlnweb"/>
                                <w:spacing w:line="180" w:lineRule="auto"/>
                                <w:jc w:val="center"/>
                                <w:rPr>
                                  <w:sz w:val="20"/>
                                  <w:szCs w:val="22"/>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 name="Zakřivená spojnice 150"/>
                        <wps:cNvCnPr/>
                        <wps:spPr>
                          <a:xfrm rot="10800000">
                            <a:off x="1249680" y="701040"/>
                            <a:ext cx="191755" cy="600960"/>
                          </a:xfrm>
                          <a:prstGeom prst="curvedConnector2">
                            <a:avLst/>
                          </a:prstGeom>
                          <a:ln w="28575">
                            <a:prstDash val="sys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2" name="Zakřivená spojnice 153"/>
                        <wps:cNvCnPr/>
                        <wps:spPr>
                          <a:xfrm rot="10800000">
                            <a:off x="1021080" y="1188720"/>
                            <a:ext cx="422921" cy="113694"/>
                          </a:xfrm>
                          <a:prstGeom prst="curvedConnector3">
                            <a:avLst>
                              <a:gd name="adj1" fmla="val 50000"/>
                            </a:avLst>
                          </a:prstGeom>
                          <a:ln w="28575">
                            <a:prstDash val="sys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4" name="Zakřivená spojnice 44"/>
                        <wps:cNvCnPr/>
                        <wps:spPr>
                          <a:xfrm rot="10800000" flipV="1">
                            <a:off x="3710940" y="22860"/>
                            <a:ext cx="868146" cy="142110"/>
                          </a:xfrm>
                          <a:prstGeom prst="curvedConnector3">
                            <a:avLst>
                              <a:gd name="adj1" fmla="val 50000"/>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45" name="Zakřivená spojnice 40"/>
                        <wps:cNvCnPr/>
                        <wps:spPr>
                          <a:xfrm rot="10800000">
                            <a:off x="3703320" y="251460"/>
                            <a:ext cx="839159" cy="454258"/>
                          </a:xfrm>
                          <a:prstGeom prst="curvedConnector3">
                            <a:avLst>
                              <a:gd name="adj1" fmla="val 50000"/>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8" name="Zakřivená spojnice 141"/>
                        <wps:cNvCnPr/>
                        <wps:spPr>
                          <a:xfrm rot="16200000" flipV="1">
                            <a:off x="1996440" y="1478280"/>
                            <a:ext cx="800314" cy="419442"/>
                          </a:xfrm>
                          <a:prstGeom prst="curvedConnector2">
                            <a:avLst/>
                          </a:prstGeom>
                          <a:ln w="57150">
                            <a:prstDash val="sysDot"/>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3" name="Zakřivená spojnice 156"/>
                        <wps:cNvCnPr/>
                        <wps:spPr>
                          <a:xfrm rot="10800000" flipV="1">
                            <a:off x="830580" y="1303020"/>
                            <a:ext cx="606664" cy="764054"/>
                          </a:xfrm>
                          <a:prstGeom prst="curvedConnector2">
                            <a:avLst/>
                          </a:prstGeom>
                          <a:ln w="28575">
                            <a:prstDash val="sys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 name="Textové pole 22"/>
                        <wps:cNvSpPr txBox="1"/>
                        <wps:spPr>
                          <a:xfrm>
                            <a:off x="0" y="2011680"/>
                            <a:ext cx="1669679" cy="1780889"/>
                          </a:xfrm>
                          <a:prstGeom prst="roundRect">
                            <a:avLst>
                              <a:gd name="adj" fmla="val 10318"/>
                            </a:avLst>
                          </a:prstGeom>
                          <a:solidFill>
                            <a:schemeClr val="bg1"/>
                          </a:solidFill>
                          <a:ln w="19050">
                            <a:solidFill>
                              <a:prstClr val="black"/>
                            </a:solidFill>
                            <a:prstDash val="sysDash"/>
                          </a:ln>
                        </wps:spPr>
                        <wps:txbx>
                          <w:txbxContent>
                            <w:p w14:paraId="78761DDC" w14:textId="77777777" w:rsidR="00511D9B" w:rsidRPr="004653F9" w:rsidRDefault="00511D9B" w:rsidP="00C14739">
                              <w:pPr>
                                <w:pStyle w:val="Normlnweb"/>
                                <w:spacing w:line="180" w:lineRule="auto"/>
                                <w:jc w:val="center"/>
                                <w:rPr>
                                  <w:sz w:val="20"/>
                                  <w:szCs w:val="22"/>
                                </w:rPr>
                              </w:pPr>
                              <w:r>
                                <w:rPr>
                                  <w:rFonts w:ascii="Calibri" w:eastAsia="Calibri" w:hAnsi="Calibri"/>
                                  <w:b/>
                                  <w:bCs/>
                                  <w:color w:val="000000" w:themeColor="text1"/>
                                  <w:kern w:val="24"/>
                                  <w:sz w:val="20"/>
                                  <w:szCs w:val="22"/>
                                </w:rPr>
                                <w:t>Další témata</w:t>
                              </w:r>
                              <w:r w:rsidRPr="004653F9">
                                <w:rPr>
                                  <w:rFonts w:ascii="Calibri" w:eastAsia="Calibri" w:hAnsi="Calibri"/>
                                  <w:b/>
                                  <w:bCs/>
                                  <w:color w:val="000000" w:themeColor="text1"/>
                                  <w:kern w:val="24"/>
                                  <w:sz w:val="20"/>
                                  <w:szCs w:val="22"/>
                                </w:rPr>
                                <w:t>:</w:t>
                              </w:r>
                            </w:p>
                            <w:p w14:paraId="66646AD5"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4653F9">
                                <w:rPr>
                                  <w:rFonts w:ascii="Calibri" w:eastAsia="Calibri" w:hAnsi="Calibri"/>
                                  <w:color w:val="000000" w:themeColor="text1"/>
                                  <w:kern w:val="24"/>
                                  <w:sz w:val="20"/>
                                  <w:szCs w:val="22"/>
                                </w:rPr>
                                <w:t>Řízení projektů v rámci strategické práce</w:t>
                              </w:r>
                            </w:p>
                            <w:p w14:paraId="356350CF" w14:textId="77777777" w:rsidR="00511D9B" w:rsidRPr="004653F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4653F9">
                                <w:rPr>
                                  <w:rFonts w:ascii="Calibri" w:eastAsia="Calibri" w:hAnsi="Calibri"/>
                                  <w:color w:val="000000" w:themeColor="text1"/>
                                  <w:kern w:val="24"/>
                                  <w:sz w:val="20"/>
                                  <w:szCs w:val="22"/>
                                </w:rPr>
                                <w:t>Využití procesního přístupu v rámci strategické práce</w:t>
                              </w:r>
                            </w:p>
                            <w:p w14:paraId="3E1FF076"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4653F9">
                                <w:rPr>
                                  <w:rFonts w:ascii="Calibri" w:eastAsia="Calibri" w:hAnsi="Calibri"/>
                                  <w:color w:val="000000" w:themeColor="text1"/>
                                  <w:kern w:val="24"/>
                                  <w:sz w:val="20"/>
                                  <w:szCs w:val="22"/>
                                </w:rPr>
                                <w:t>Monitoring, hodnocení, aktualizace, evaluace strategie</w:t>
                              </w:r>
                            </w:p>
                            <w:p w14:paraId="6A58C1D8"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D95809">
                                <w:rPr>
                                  <w:rFonts w:ascii="Calibri" w:eastAsia="Calibri" w:hAnsi="Calibri"/>
                                  <w:color w:val="000000" w:themeColor="text1"/>
                                  <w:kern w:val="24"/>
                                  <w:sz w:val="20"/>
                                  <w:szCs w:val="22"/>
                                </w:rPr>
                                <w:t xml:space="preserve">Ex ante spolupráce se zpracovatelem SEA </w:t>
                              </w:r>
                            </w:p>
                            <w:p w14:paraId="6A1179A5"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D95809">
                                <w:rPr>
                                  <w:rFonts w:ascii="Calibri" w:eastAsia="Calibri" w:hAnsi="Calibri"/>
                                  <w:color w:val="000000" w:themeColor="text1"/>
                                  <w:kern w:val="24"/>
                                  <w:sz w:val="20"/>
                                  <w:szCs w:val="22"/>
                                </w:rPr>
                                <w:t>Facilitace v rámci strategické práce</w:t>
                              </w:r>
                            </w:p>
                            <w:p w14:paraId="3B74AAA6" w14:textId="77777777" w:rsidR="00511D9B" w:rsidRDefault="00511D9B" w:rsidP="00C14739"/>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Textové pole 22"/>
                        <wps:cNvSpPr txBox="1"/>
                        <wps:spPr>
                          <a:xfrm>
                            <a:off x="3878580" y="2415540"/>
                            <a:ext cx="980401" cy="805577"/>
                          </a:xfrm>
                          <a:prstGeom prst="roundRect">
                            <a:avLst>
                              <a:gd name="adj" fmla="val 13875"/>
                            </a:avLst>
                          </a:prstGeom>
                          <a:solidFill>
                            <a:schemeClr val="accent4">
                              <a:lumMod val="20000"/>
                              <a:lumOff val="80000"/>
                            </a:schemeClr>
                          </a:solidFill>
                          <a:ln w="38100">
                            <a:solidFill>
                              <a:prstClr val="black"/>
                            </a:solidFill>
                          </a:ln>
                        </wps:spPr>
                        <wps:txbx>
                          <w:txbxContent>
                            <w:p w14:paraId="6A639BC1"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 xml:space="preserve">Komunikace, participace a marketing </w:t>
                              </w:r>
                            </w:p>
                            <w:p w14:paraId="0A5B2298"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strategií a projektů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 name="Zakřivená spojnice 64"/>
                        <wps:cNvCnPr/>
                        <wps:spPr>
                          <a:xfrm>
                            <a:off x="3246120" y="2636520"/>
                            <a:ext cx="633561" cy="192083"/>
                          </a:xfrm>
                          <a:prstGeom prst="curvedConnector3">
                            <a:avLst>
                              <a:gd name="adj1" fmla="val 63304"/>
                            </a:avLst>
                          </a:prstGeom>
                          <a:ln w="57150">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 name="Zakřivená spojnice 65"/>
                        <wps:cNvCnPr/>
                        <wps:spPr>
                          <a:xfrm>
                            <a:off x="3246120" y="2636520"/>
                            <a:ext cx="577381" cy="837007"/>
                          </a:xfrm>
                          <a:prstGeom prst="curvedConnector2">
                            <a:avLst/>
                          </a:prstGeom>
                          <a:ln w="57150">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2" name="Zakřivená spojnice 88"/>
                        <wps:cNvCnPr/>
                        <wps:spPr>
                          <a:xfrm rot="5400000">
                            <a:off x="4613910" y="2312670"/>
                            <a:ext cx="759230" cy="240619"/>
                          </a:xfrm>
                          <a:prstGeom prst="curvedConnector2">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3" name="Zakřivená spojnice 91"/>
                        <wps:cNvCnPr/>
                        <wps:spPr>
                          <a:xfrm rot="5400000">
                            <a:off x="4015740" y="2392680"/>
                            <a:ext cx="1667358" cy="1000572"/>
                          </a:xfrm>
                          <a:prstGeom prst="curvedConnector2">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47" name="Zakřivená spojnice 91"/>
                        <wps:cNvCnPr/>
                        <wps:spPr>
                          <a:xfrm rot="5400000" flipV="1">
                            <a:off x="2674620" y="2476500"/>
                            <a:ext cx="1824622" cy="51565"/>
                          </a:xfrm>
                          <a:prstGeom prst="curvedConnector2">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5" name="Zakřivená spojnice 131"/>
                        <wps:cNvCnPr/>
                        <wps:spPr>
                          <a:xfrm rot="5400000" flipH="1" flipV="1">
                            <a:off x="4191000" y="3253740"/>
                            <a:ext cx="208238" cy="123824"/>
                          </a:xfrm>
                          <a:prstGeom prst="curvedConnector3">
                            <a:avLst>
                              <a:gd name="adj1" fmla="val 50000"/>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15" name="Textové pole 22"/>
                        <wps:cNvSpPr txBox="1"/>
                        <wps:spPr>
                          <a:xfrm>
                            <a:off x="3284220" y="3429000"/>
                            <a:ext cx="1060445" cy="576249"/>
                          </a:xfrm>
                          <a:prstGeom prst="roundRect">
                            <a:avLst>
                              <a:gd name="adj" fmla="val 25598"/>
                            </a:avLst>
                          </a:prstGeom>
                          <a:solidFill>
                            <a:schemeClr val="accent4">
                              <a:lumMod val="20000"/>
                              <a:lumOff val="80000"/>
                            </a:schemeClr>
                          </a:solidFill>
                          <a:ln w="38100">
                            <a:solidFill>
                              <a:prstClr val="black"/>
                            </a:solidFill>
                          </a:ln>
                        </wps:spPr>
                        <wps:txbx>
                          <w:txbxContent>
                            <w:p w14:paraId="18C57699"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Rozhodování a strategický přístup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65" name="Textové pole 22"/>
                        <wps:cNvSpPr txBox="1"/>
                        <wps:spPr>
                          <a:xfrm>
                            <a:off x="1760220" y="22860"/>
                            <a:ext cx="1107440" cy="677009"/>
                          </a:xfrm>
                          <a:prstGeom prst="roundRect">
                            <a:avLst>
                              <a:gd name="adj" fmla="val 16138"/>
                            </a:avLst>
                          </a:prstGeom>
                          <a:solidFill>
                            <a:srgbClr val="FFC000"/>
                          </a:solidFill>
                          <a:ln w="38100">
                            <a:solidFill>
                              <a:prstClr val="black"/>
                            </a:solidFill>
                            <a:prstDash val="solid"/>
                          </a:ln>
                        </wps:spPr>
                        <wps:txbx>
                          <w:txbxContent>
                            <w:p w14:paraId="05C377E0" w14:textId="77777777" w:rsidR="00511D9B" w:rsidRPr="004653F9" w:rsidRDefault="00511D9B" w:rsidP="00C14739">
                              <w:pPr>
                                <w:pStyle w:val="Normlnweb"/>
                                <w:spacing w:line="180" w:lineRule="auto"/>
                                <w:jc w:val="center"/>
                                <w:rPr>
                                  <w:sz w:val="20"/>
                                  <w:szCs w:val="22"/>
                                </w:rPr>
                              </w:pPr>
                              <w:r w:rsidRPr="004653F9">
                                <w:rPr>
                                  <w:rFonts w:ascii="Calibri" w:eastAsia="Calibri" w:hAnsi="Calibri"/>
                                  <w:b/>
                                  <w:bCs/>
                                  <w:color w:val="000000" w:themeColor="text1"/>
                                  <w:kern w:val="24"/>
                                  <w:sz w:val="20"/>
                                  <w:szCs w:val="22"/>
                                </w:rPr>
                                <w:t>Zdravé finanční řízení ve vazbě na strategick</w:t>
                              </w:r>
                              <w:r>
                                <w:rPr>
                                  <w:rFonts w:ascii="Calibri" w:eastAsia="Calibri" w:hAnsi="Calibri"/>
                                  <w:b/>
                                  <w:bCs/>
                                  <w:color w:val="000000" w:themeColor="text1"/>
                                  <w:kern w:val="24"/>
                                  <w:sz w:val="20"/>
                                  <w:szCs w:val="22"/>
                                </w:rPr>
                                <w:t>ou</w:t>
                              </w:r>
                              <w:r w:rsidRPr="004653F9">
                                <w:rPr>
                                  <w:rFonts w:ascii="Calibri" w:eastAsia="Calibri" w:hAnsi="Calibri"/>
                                  <w:b/>
                                  <w:bCs/>
                                  <w:color w:val="000000" w:themeColor="text1"/>
                                  <w:kern w:val="24"/>
                                  <w:sz w:val="20"/>
                                  <w:szCs w:val="22"/>
                                </w:rPr>
                                <w:t xml:space="preserve"> </w:t>
                              </w:r>
                              <w:r>
                                <w:rPr>
                                  <w:rFonts w:ascii="Calibri" w:eastAsia="Calibri" w:hAnsi="Calibri"/>
                                  <w:b/>
                                  <w:bCs/>
                                  <w:color w:val="000000" w:themeColor="text1"/>
                                  <w:kern w:val="24"/>
                                  <w:sz w:val="20"/>
                                  <w:szCs w:val="22"/>
                                </w:rPr>
                                <w:t>práci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66" name="Zakřivená spojnice 113"/>
                        <wps:cNvCnPr/>
                        <wps:spPr>
                          <a:xfrm rot="5400000" flipH="1" flipV="1">
                            <a:off x="1920240" y="1386840"/>
                            <a:ext cx="1419543" cy="45719"/>
                          </a:xfrm>
                          <a:prstGeom prst="curvedConnector2">
                            <a:avLst/>
                          </a:prstGeom>
                          <a:ln w="57150">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7" name="Zakřivená spojnice 128"/>
                        <wps:cNvCnPr/>
                        <wps:spPr>
                          <a:xfrm rot="16200000" flipV="1">
                            <a:off x="2918460" y="480060"/>
                            <a:ext cx="349304" cy="453881"/>
                          </a:xfrm>
                          <a:prstGeom prst="curvedConnector3">
                            <a:avLst>
                              <a:gd name="adj1" fmla="val 50000"/>
                            </a:avLst>
                          </a:prstGeom>
                          <a:ln>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3782" name="Zakřivená spojnice 128"/>
                        <wps:cNvCnPr/>
                        <wps:spPr>
                          <a:xfrm rot="16200000" flipV="1">
                            <a:off x="2548890" y="956310"/>
                            <a:ext cx="1734821" cy="1219835"/>
                          </a:xfrm>
                          <a:prstGeom prst="curvedConnector3">
                            <a:avLst>
                              <a:gd name="adj1" fmla="val 30053"/>
                            </a:avLst>
                          </a:prstGeom>
                          <a:ln>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3784" name="Zakřivená spojnice 128"/>
                        <wps:cNvCnPr/>
                        <wps:spPr>
                          <a:xfrm rot="16200000" flipV="1">
                            <a:off x="1744980" y="1684020"/>
                            <a:ext cx="2731036" cy="765176"/>
                          </a:xfrm>
                          <a:prstGeom prst="curvedConnector3">
                            <a:avLst>
                              <a:gd name="adj1" fmla="val 55370"/>
                            </a:avLst>
                          </a:prstGeom>
                          <a:ln>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3779" name="Zakřivená spojnice 128"/>
                        <wps:cNvCnPr>
                          <a:stCxn id="27" idx="0"/>
                          <a:endCxn id="3965" idx="2"/>
                        </wps:cNvCnPr>
                        <wps:spPr>
                          <a:xfrm rot="5400000" flipH="1" flipV="1">
                            <a:off x="1871564" y="639664"/>
                            <a:ext cx="382171" cy="502582"/>
                          </a:xfrm>
                          <a:prstGeom prst="curvedConnector3">
                            <a:avLst>
                              <a:gd name="adj1" fmla="val 50000"/>
                            </a:avLst>
                          </a:prstGeom>
                          <a:ln>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7B02020C" id="Skupina 3785" o:spid="_x0000_s1069" style="position:absolute;left:0;text-align:left;margin-left:15pt;margin-top:14.75pt;width:434.85pt;height:315.35pt;z-index:251676160" coordsize="55225,4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v2IAwAAPR0AAAOAAAAZHJzL2Uyb0RvYy54bWzsXduSm9gVfU9V/oHSe9ycG5cut6ec9rST&#10;KmfiGjuZqrzREurWGAEB+pY/yWMe8x1T+a+sc0MSopHowTMaCT+0JQEHOOzbWnufzetvHpeJcx8X&#10;5SJLLybklTtx4nSazRbpzcXkb5+v/hBMnLKK0lmUZGl8MXmKy8k3b37/u9cP+XlMs9ssmcWFg0HS&#10;8vwhv5jcVlV+fnZWTm/jZVS+yvI4xcZ5ViyjCl+Lm7NZET1g9GVyRl3XO3vIilleZNO4LPHrO71x&#10;8kaNP5/H0+qv83kZV05yMcG1Vepvof5ey79nb15H5zdFlN8upuYyohdcxTJapDhpPdS7qIqcu2Kx&#10;NdRyMS2yMptXr6bZ8iybzxfTWN0D7oa4jbt5X2R3ubqXm/OHm7yeJkxtY55ePOz0u/uPhbOYXUyY&#10;H4iJk0ZLPKVPX+7yRRo56jdM0UN+c4493xf5p/xjYX640d/kXT/Oi6X8H/fjPKrJfaonN36snCl+&#10;FIJSIfAMptjGXVdQHurpn97iGW0dN739dseRZ/bEZ/L66st5yCFK5Wq2yp83W59uozxWD6GUc2Bm&#10;C2Ktp+of0Zf//XtxH6c//ccp8+zHFA/UwW2qSVJHXKZmysrzErNn58spMkgj8SDF+Ddx5ski/zt+&#10;UGJkJpJRyqiHjZgy4bEgMAJr55TTwA9wKXJKKQ0F9eV563mJzvOirN7H2dKRHy4m07viPp5dZmkK&#10;xcgKps4V3X8oKyW7M3NP0exHggtaJlCF+yjB7cgr1CObvXEOO7Y8NEmdB1xCIHyhxryNo9m36cyp&#10;nnKIU4ZBJnKHZTybOEkMSyE/YcDovIoWyWrPqlhE6U0St++NkyYp7k8+YT2V6lP1lMT6Ir6P55Bl&#10;CJueRWVF4sukcHABF5NoOo3TipgbSVLsLQ+bL5KkPtBVl995oNlfHhorC9Pn4PoIdeYsreqDl4s0&#10;K9rOXj3aS57r/e0M6PuWU3CdzZ6UkKmpgfBLlf0FtIBANLUafIZIZvc//dfJsyR2KJWTLC8BGiNN&#10;hlM9/jFTz8X8vq4JciqMwNOQByHXAu9DNbSMWHH3hQg4jJSyIDyggplnae2PFUkj7jCf6ex7iPrz&#10;cr4u5jBPYWBGbBfzMksWsyvIi7zkViHh6lTJ3fIv2UxLndJvfR/4WVo6JYzBmk7VIynd3TiJViwW&#10;ECigOun6FcjbraX7OommX8zVrw3RrjPV4/Wjsvp6ilcypK0SHkCZT68WGP9DVFYfowKWAD/C0cOK&#10;3GbFv6CgcJoXk/Kfd1EBdU3+nMLOhoTLh1epL1z4GN0p1rdcr29J75aXGfQStgZnUx/l/lViP86L&#10;bPkD/PtbeVZsitIpzn0xqezHy0q7csQH0/jtW7UT/GoeVR/ST/nU2gE5T58ff4iK3AhGBYn6LrOW&#10;PTpXT1vbt9W+crrT7O1dlc0Xldy4miXz5RdUNMzRoIqmHo50O9uOGkach1xrmWAMKjmolhFGQuX4&#10;IZkno2XKgq/kZ9SyWiMPSsuY1bLWqI6ve7XOqE4gvpUhkwrq/qQsXGt45wuETFoJeShYw915iLus&#10;uyMuEaEOmKE3z/i7RnhHV25vZdtkNCjnfIzYZJy4R7h3ZBEbDHsHcIG4mQANgdsQIs5dyphBMMxn&#10;rIlgBKG+ATBh4K/ir1HCR0yyix6x8ZvBGQaZE2olfCBMwhEEhSZU8ohPEdRCRwD+DD0ReC73EJ9p&#10;VOIH4Q4Q3hOVEI+7J4dKak+rke0YLx1kvOQPrGkMUQ4z6D8IQwK/saFpocsogiSlaV7IPH9oTfOJ&#10;HbE/Mrm+sTTNGvq2cdZXBPCKAxmhBTjMVZCrwf4hQYvQqkorsiCkfooDxV2UEwEUovA94YyKpi6B&#10;S/a48VrCFSG10jtY5CV8AmwjH8LIBtcs3SYHfWTYYmh/wD2PKUIRJBVBvkhC6g2HEIiQSA5ahl6C&#10;ExcZLG0EnhHinqHXSRLCiu0b/cmB+xPSnYD09vEnrZQUBZaRtL1UOT90/abKEU59N/C0zgXM4z0d&#10;x9A5x9HLSA9bZ5DaMp3H5WUgb10MVlDbr12RVHfqHX4nIL5WhIDL4oxN1wPailPwxdL1SMdDPZvU&#10;eMb39CNnDzxsUvhcpRZ7JtHtgS9KotuDj0uga0Z2k6+ChUcsY7itPjl0EnoiNJQrJRScakN0QbkK&#10;4YEm07LrIq/gDRs3wUfY1Hx/IK1DZJ28GDqRLmsKvlIivWbOR8pKlTEcZiKd1trWDsTputZ1JkC6&#10;3QfzXZ9IrkrFUaBwm8m9gHHPNf6DB5BLyzzt5z6GDKO2fU13GdavULRlLX/voi174Ohv6tJFSNqw&#10;tSSy6IfAyShZdwPqgnfagOk+IiVhIIPUBB1LPZ/H7gnTCcZ/eYakk7cloWs4rA1Sd5/CK10g+S4q&#10;b3VMXj6V8otxtC11jKuaLOWNRwh+4BCc1pzuZuD24uJH4dLQQO+GAhGXBZ50XTJi811CyCERXQeo&#10;QcqZjhp04Bok46NBqxq1D/K9cKt0GJnFEBSy0SDwWpohG84HhUGolBYj9oc8B6hBdRw8wpkDhjMy&#10;g9dRziUTcCsSoRvOuKoiXYNjU41PsETHM4EdvM5WXAeVApOgdcpzXUk6dKZf+lFgmytKZMjVGkyN&#10;6cXlc0tcjownqwu72qG7Xg1iCLP+su5S0LgGxJAgkGsXNkAMxwIryT0r0owwb1dZfEPYhwTso2bA&#10;y74I0dsihyPTjG5Si++fErFOoH01ok/AFWsVoRRlj5sKEngB4QblI0soE/N9vMGQCrLNaB3UEkRL&#10;So1sVp/V0O3lvnKBREcEpKmolzoFsLhYAGUkXkC6myLPACpAA0ifwAWnwtJQh0DijiJfWUU7LnMP&#10;srNL5AlAwb5Bf+fqc6zT8+ryK+4HtJlIBGJgxLBSnIRcL5B6HlM3QqI91ietqju24/+s0v5nrC48&#10;iepC3r04jyDBsK/Ud0Y5AXOFxQEMyYomDvBcz/MsFYvEnlDR1ZBCv2qjsC30JoMwgt5TAb0IPr4C&#10;RYp6JiKZnQ2ESzwQp74JZ4gfuEGwo6apb6IO7sJGSEdBkqrpGdMMB55mIAClg+oQQ9cd6yPsQosN&#10;TULJFVLiGhcErhBDL1TCBdgEYH890vVVv7VGJbp+ZtS1Q9e1OineStIicNoZpEnypu5/tapGpx7z&#10;xFYwxlBYYklZJM8DW3Y4LAD3GHNtmNeucLqdwgqujKDkJECJ5IY62CevLgp9vhi9j7jDkWAlqfEr&#10;IKfcfkWDvQD3KMGnIcHdWTV0F9xpsPXqfNvzZk2eYbxBkBr6lBHqYT3FRpyEhh/1gm4s7/PIDrzR&#10;j0AaswBootrMDR8pJdpNDoV7M6JtUozWS75Ne7GQtuFmn4H6t+spXDS+k3I+FCc0yvHJyDGva7Nb&#10;w+f+ctyayIUh5rJCThZsU+7LPmObdpkEWAaKOlYl0QLUqkWb+4XVO+KMUZ5PRp5pd3YWvSD7hhc7&#10;WuohDYVWqVq00fWCScO9EXIAI1JmbTU+oaq6j6keqxRMh+WOznnW+b2oQscefFwpW9TrD0xBUiw/&#10;NiaccYr+ZA05Jy7aktnukQLry3Y1j+zJ5Z9ib4yVtRqLog+4KJphAfTA6kZ8z7Xq1lL6hlo3X1VK&#10;yEIgtCVDLXS3V+mpbARAuk/irLi5rsmLq6tLYxyARzZWsf3s3uJbS9xkc3Jz410L3Jgy8iOXf+Bc&#10;PvSozpy1wpHh25YRcPgggvRSUqx5C5rhG4qbQiFLQXTJnT8sYyQLq0cOX+KzE2ooAzHvRt1kqKYA&#10;NCSBrCGVuJujeK5ZTsp4KPNMRrbxuhdbrr4f7P662GTsCaBeH3Oc+AQveurOAwynA4KjrEjrQIh3&#10;GjX7KhGf4c0uNqVLSRiwfuTTvlrA8Aoqmy1+Lqe7zVSNWnDcWtC9kmYwLUDLCi77MqmWGTLKaRY2&#10;oIESFv2b1TRgaAFAuhFFIzW2rxYIUGSKOQA4GLVAvQ+sZp70q8T2ILrqI6S9MC/p0gf/Fl/qxXxZ&#10;A9pR1bCtBSpirC4fU/1OKYRT6i1slpJKZ3aThuZqo3akaytzdLOz9ReDbSaWdzC/JEC/YVmYLSG4&#10;hC6K2F216QfVS3zjV9BpQ8DhHQ7xO7qVX8etqDdH4tWais0yrwGV7+5c/47P6y8rffN/AAAA//8D&#10;AFBLAwQUAAYACAAAACEAjl0CIuEAAAAJAQAADwAAAGRycy9kb3ducmV2LnhtbEyPQWvCQBSE74X+&#10;h+UJvdXdRExNzEZE2p6koBZKb2v2mQSzb0N2TeK/7/bUHocZZr7JN5Np2YC9ayxJiOYCGFJpdUOV&#10;hM/T2/MKmPOKtGotoYQ7OtgUjw+5yrQd6YDD0VcslJDLlITa+y7j3JU1GuXmtkMK3sX2Rvkg+4rr&#10;Xo2h3LQ8FiLhRjUUFmrV4a7G8nq8GQnvoxq3i+h12F8vu/v3afnxtY9QyqfZtF0D8zj5vzD84gd0&#10;KALT2d5IO9ZKWIhwxUuI0yWw4K/S9AXYWUKSiBh4kfP/D4ofAAAA//8DAFBLAQItABQABgAIAAAA&#10;IQC2gziS/gAAAOEBAAATAAAAAAAAAAAAAAAAAAAAAABbQ29udGVudF9UeXBlc10ueG1sUEsBAi0A&#10;FAAGAAgAAAAhADj9If/WAAAAlAEAAAsAAAAAAAAAAAAAAAAALwEAAF9yZWxzLy5yZWxzUEsBAi0A&#10;FAAGAAgAAAAhAHnHe/YgDAAA9HQAAA4AAAAAAAAAAAAAAAAALgIAAGRycy9lMm9Eb2MueG1sUEsB&#10;Ai0AFAAGAAgAAAAhAI5dAiLhAAAACQEAAA8AAAAAAAAAAAAAAAAAeg4AAGRycy9kb3ducmV2Lnht&#10;bFBLBQYAAAAABAAEAPMAAACIDw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Zakřivená spojnice 50" o:spid="_x0000_s1070" type="#_x0000_t38" style="position:absolute;left:32232;top:5638;width:4288;height:2296;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fUvAAAANoAAAAPAAAAZHJzL2Rvd25yZXYueG1sRE+9CsIw&#10;EN4F3yGc4KapDqLVKCIIgihUu7gdzdkWm0ttYq1vbwbB8eP7X206U4mWGldaVjAZRyCIM6tLzhWk&#10;1/1oDsJ5ZI2VZVLwIQebdb+3wljbNyfUXnwuQgi7GBUU3texlC4ryKAb25o4cHfbGPQBNrnUDb5D&#10;uKnkNIpm0mDJoaHAmnYFZY/LyygwuLOnx/S4ePpDckvb4yupkrNSw0G3XYLw1Pm/+Oc+aAVha7gS&#10;boBcfwEAAP//AwBQSwECLQAUAAYACAAAACEA2+H2y+4AAACFAQAAEwAAAAAAAAAAAAAAAAAAAAAA&#10;W0NvbnRlbnRfVHlwZXNdLnhtbFBLAQItABQABgAIAAAAIQBa9CxbvwAAABUBAAALAAAAAAAAAAAA&#10;AAAAAB8BAABfcmVscy8ucmVsc1BLAQItABQABgAIAAAAIQBjgpfUvAAAANoAAAAPAAAAAAAAAAAA&#10;AAAAAAcCAABkcnMvZG93bnJldi54bWxQSwUGAAAAAAMAAwC3AAAA8AIAAAAA&#10;" adj="10800" strokecolor="#4472c4 [3204]" strokeweight="2.25pt">
                  <v:stroke startarrow="oval" endarrow="block" joinstyle="miter"/>
                </v:shape>
                <v:roundrect id="Textové pole 22" o:spid="_x0000_s1071" style="position:absolute;left:29489;top:76;width:7558;height:4482;visibility:visible;mso-wrap-style:square;v-text-anchor:top" arcsize="167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JxQAAANsAAAAPAAAAZHJzL2Rvd25yZXYueG1sRI8xb8JA&#10;DIX3SvyHk5G6VHCBgUYpBypIFR3o0IDE6ubcJJDzRblrCP++HpDYbL3n9z4v14NrVE9dqD0bmE0T&#10;UMSFtzWXBo6Hj0kKKkRki41nMnCjAOvV6GmJmfVX/qY+j6WSEA4ZGqhibDOtQ1GRwzD1LbFov75z&#10;GGXtSm07vEq4a/Q8SRbaYc3SUGFL24qKS/7nDLBefL3u07Td5C+H0+5nc+4v8WzM83h4fwMVaYgP&#10;8/360wq+0MsvMoBe/QMAAP//AwBQSwECLQAUAAYACAAAACEA2+H2y+4AAACFAQAAEwAAAAAAAAAA&#10;AAAAAAAAAAAAW0NvbnRlbnRfVHlwZXNdLnhtbFBLAQItABQABgAIAAAAIQBa9CxbvwAAABUBAAAL&#10;AAAAAAAAAAAAAAAAAB8BAABfcmVscy8ucmVsc1BLAQItABQABgAIAAAAIQBC/tmJxQAAANsAAAAP&#10;AAAAAAAAAAAAAAAAAAcCAABkcnMvZG93bnJldi54bWxQSwUGAAAAAAMAAwC3AAAA+QIAAAAA&#10;" fillcolor="#fff2cc [663]" strokeweight="3pt">
                  <v:textbox>
                    <w:txbxContent>
                      <w:p w14:paraId="54EBF374" w14:textId="77777777" w:rsidR="00511D9B" w:rsidRPr="000E0BBC" w:rsidRDefault="00511D9B" w:rsidP="00C14739">
                        <w:pPr>
                          <w:pStyle w:val="Normlnweb"/>
                          <w:spacing w:line="180" w:lineRule="auto"/>
                          <w:jc w:val="center"/>
                          <w:rPr>
                            <w:sz w:val="16"/>
                          </w:rPr>
                        </w:pPr>
                        <w:r w:rsidRPr="000E0BBC">
                          <w:rPr>
                            <w:rFonts w:ascii="Calibri" w:eastAsia="Calibri" w:hAnsi="Calibri"/>
                            <w:b/>
                            <w:bCs/>
                            <w:color w:val="000000" w:themeColor="text1"/>
                            <w:kern w:val="24"/>
                            <w:sz w:val="20"/>
                            <w:szCs w:val="32"/>
                          </w:rPr>
                          <w:t>SWOT analýza</w:t>
                        </w:r>
                      </w:p>
                    </w:txbxContent>
                  </v:textbox>
                </v:roundrect>
                <v:roundrect id="Textové pole 22" o:spid="_x0000_s1072" style="position:absolute;left:45720;width:8574;height:5332;visibility:visible;mso-wrap-style:square;v-text-anchor:top"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arhwAAAANsAAAAPAAAAZHJzL2Rvd25yZXYueG1sRE9Ni8Iw&#10;EL0L/ocwgjdNFZFuNYqIgociqyueh2Zsi82kNNF299ebBcHbPN7nLNedqcSTGldaVjAZRyCIM6tL&#10;zhVcfvajGITzyBory6TglxysV/3eEhNtWz7R8+xzEULYJaig8L5OpHRZQQbd2NbEgbvZxqAPsMml&#10;brAN4aaS0yiaS4Mlh4YCa9oWlN3PD6Pg0cbX6m9GMv06zu/fZRpnp12q1HDQbRYgPHX+I367DzrM&#10;n8D/L+EAuXoBAAD//wMAUEsBAi0AFAAGAAgAAAAhANvh9svuAAAAhQEAABMAAAAAAAAAAAAAAAAA&#10;AAAAAFtDb250ZW50X1R5cGVzXS54bWxQSwECLQAUAAYACAAAACEAWvQsW78AAAAVAQAACwAAAAAA&#10;AAAAAAAAAAAfAQAAX3JlbHMvLnJlbHNQSwECLQAUAAYACAAAACEAka2q4cAAAADbAAAADwAAAAAA&#10;AAAAAAAAAAAHAgAAZHJzL2Rvd25yZXYueG1sUEsFBgAAAAADAAMAtwAAAPQCAAAAAA==&#10;" fillcolor="#fff2cc [663]" strokeweight="3pt">
                  <v:textbox>
                    <w:txbxContent>
                      <w:p w14:paraId="7AE78094" w14:textId="77777777" w:rsidR="00511D9B" w:rsidRPr="000E0BBC" w:rsidRDefault="00511D9B" w:rsidP="00C14739">
                        <w:pPr>
                          <w:pStyle w:val="Normlnweb"/>
                          <w:spacing w:line="180" w:lineRule="auto"/>
                          <w:jc w:val="center"/>
                          <w:rPr>
                            <w:sz w:val="16"/>
                          </w:rPr>
                        </w:pPr>
                        <w:r w:rsidRPr="000E0BBC">
                          <w:rPr>
                            <w:rFonts w:ascii="Calibri" w:eastAsia="Calibri" w:hAnsi="Calibri"/>
                            <w:b/>
                            <w:bCs/>
                            <w:color w:val="000000" w:themeColor="text1"/>
                            <w:kern w:val="24"/>
                            <w:sz w:val="20"/>
                            <w:szCs w:val="32"/>
                          </w:rPr>
                          <w:t xml:space="preserve">Analýza, řízení a registr rizik </w:t>
                        </w:r>
                      </w:p>
                    </w:txbxContent>
                  </v:textbox>
                </v:roundrect>
                <v:shapetype id="_x0000_t37" coordsize="21600,21600" o:spt="37" o:oned="t" path="m,c10800,,21600,10800,21600,21600e" filled="f">
                  <v:path arrowok="t" fillok="f" o:connecttype="none"/>
                  <o:lock v:ext="edit" shapetype="t"/>
                </v:shapetype>
                <v:shape id="Zakřivená spojnice 42" o:spid="_x0000_s1073" type="#_x0000_t37" style="position:absolute;left:37527;top:495;width:6501;height:10160;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7FBwgAAANsAAAAPAAAAZHJzL2Rvd25yZXYueG1sRE9Na8JA&#10;EL0X/A/LCL3VTS0UiW5CFQu5FIyx0OOQHZNodjbsbk36791Cobd5vM/Z5JPpxY2c7ywreF4kIIhr&#10;qztuFJyq96cVCB+QNfaWScEPeciz2cMGU21HLul2DI2IIexTVNCGMKRS+rolg35hB+LIna0zGCJ0&#10;jdQOxxhuerlMkldpsOPY0OJAu5bq6/HbKCjGS1muPmm5/Ro+9pV1ZZEctko9zqe3NYhAU/gX/7kL&#10;Hee/wO8v8QCZ3QEAAP//AwBQSwECLQAUAAYACAAAACEA2+H2y+4AAACFAQAAEwAAAAAAAAAAAAAA&#10;AAAAAAAAW0NvbnRlbnRfVHlwZXNdLnhtbFBLAQItABQABgAIAAAAIQBa9CxbvwAAABUBAAALAAAA&#10;AAAAAAAAAAAAAB8BAABfcmVscy8ucmVsc1BLAQItABQABgAIAAAAIQAkD7FBwgAAANsAAAAPAAAA&#10;AAAAAAAAAAAAAAcCAABkcnMvZG93bnJldi54bWxQSwUGAAAAAAMAAwC3AAAA9gIAAAAA&#10;" strokecolor="#4472c4 [3204]" strokeweight="2.25pt">
                  <v:stroke startarrow="oval" endarrow="block" joinstyle="miter"/>
                </v:shape>
                <v:shape id="Zakřivená spojnice 45" o:spid="_x0000_s1074" type="#_x0000_t37" style="position:absolute;left:40233;top:3734;width:513;height:9875;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ik1wgAAANsAAAAPAAAAZHJzL2Rvd25yZXYueG1sRE9Na8JA&#10;EL0X/A/LCL3VTaUUiW5CFQu5FIyx0OOQHZNodjbsbk36791Cobd5vM/Z5JPpxY2c7ywreF4kIIhr&#10;qztuFJyq96cVCB+QNfaWScEPeciz2cMGU21HLul2DI2IIexTVNCGMKRS+rolg35hB+LIna0zGCJ0&#10;jdQOxxhuerlMkldpsOPY0OJAu5bq6/HbKCjGS1muPmm5/Ro+9pV1ZZEctko9zqe3NYhAU/gX/7kL&#10;Hee/wO8v8QCZ3QEAAP//AwBQSwECLQAUAAYACAAAACEA2+H2y+4AAACFAQAAEwAAAAAAAAAAAAAA&#10;AAAAAAAAW0NvbnRlbnRfVHlwZXNdLnhtbFBLAQItABQABgAIAAAAIQBa9CxbvwAAABUBAAALAAAA&#10;AAAAAAAAAAAAAB8BAABfcmVscy8ucmVsc1BLAQItABQABgAIAAAAIQCr5ik1wgAAANsAAAAPAAAA&#10;AAAAAAAAAAAAAAcCAABkcnMvZG93bnJldi54bWxQSwUGAAAAAAMAAwC3AAAA9gIAAAAA&#10;" strokecolor="#4472c4 [3204]" strokeweight="2.25pt">
                  <v:stroke startarrow="oval" endarrow="block" joinstyle="miter"/>
                </v:shape>
                <v:roundrect id="Textové pole 22" o:spid="_x0000_s1075" style="position:absolute;left:45339;top:6172;width:8604;height:4479;visibility:visible;mso-wrap-style:square;v-text-anchor:top" arcsize="1075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6cQwgAAANsAAAAPAAAAZHJzL2Rvd25yZXYueG1sRE9La8JA&#10;EL4X+h+WKXjTTXMQm7qKtCp6sdYHXofdMQnNzobsauK/dwWht/n4njOedrYSV2p86VjB+yABQayd&#10;KTlXcNgv+iMQPiAbrByTght5mE5eX8aYGdfyL113IRcxhH2GCooQ6kxKrwuy6AeuJo7c2TUWQ4RN&#10;Lk2DbQy3lUyTZCgtlhwbCqzpqyD9t7tYBcvTYn1Jf9Zat+3m+1juk4/Tdq5U762bfYII1IV/8dO9&#10;MnF+Co9f4gFycgcAAP//AwBQSwECLQAUAAYACAAAACEA2+H2y+4AAACFAQAAEwAAAAAAAAAAAAAA&#10;AAAAAAAAW0NvbnRlbnRfVHlwZXNdLnhtbFBLAQItABQABgAIAAAAIQBa9CxbvwAAABUBAAALAAAA&#10;AAAAAAAAAAAAAB8BAABfcmVscy8ucmVsc1BLAQItABQABgAIAAAAIQCKX6cQwgAAANsAAAAPAAAA&#10;AAAAAAAAAAAAAAcCAABkcnMvZG93bnJldi54bWxQSwUGAAAAAAMAAwC3AAAA9gIAAAAA&#10;" fillcolor="#fff2cc [663]" strokeweight="3pt">
                  <v:textbox>
                    <w:txbxContent>
                      <w:p w14:paraId="1E3CACFF"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Využívání příležitostí</w:t>
                        </w:r>
                      </w:p>
                    </w:txbxContent>
                  </v:textbox>
                </v:roundrect>
                <v:roundrect id="Textové pole 22" o:spid="_x0000_s1076" style="position:absolute;left:31013;top:8991;width:9032;height:6937;visibility:visible;mso-wrap-style:square;v-text-anchor:top" arcsize="1095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JnxAAAANoAAAAPAAAAZHJzL2Rvd25yZXYueG1sRI9Ba8JA&#10;FITvhf6H5RV6qxstVo3ZiGgLpT3FCl4f2WcSzL4N2Y1J/PXdQsHjMDPfMMlmMLW4UusqywqmkwgE&#10;cW51xYWC48/HyxKE88gaa8ukYCQHm/TxIcFY254zuh58IQKEXYwKSu+bWEqXl2TQTWxDHLyzbQ36&#10;INtC6hb7ADe1nEXRmzRYcVgosaFdSfnl0BkF2e57LvfjTb+fXr/2o++6Rb/qlHp+GrZrEJ4Gfw//&#10;tz+1ggX8XQk3QKa/AAAA//8DAFBLAQItABQABgAIAAAAIQDb4fbL7gAAAIUBAAATAAAAAAAAAAAA&#10;AAAAAAAAAABbQ29udGVudF9UeXBlc10ueG1sUEsBAi0AFAAGAAgAAAAhAFr0LFu/AAAAFQEAAAsA&#10;AAAAAAAAAAAAAAAAHwEAAF9yZWxzLy5yZWxzUEsBAi0AFAAGAAgAAAAhAPoFwmfEAAAA2gAAAA8A&#10;AAAAAAAAAAAAAAAABwIAAGRycy9kb3ducmV2LnhtbFBLBQYAAAAAAwADALcAAAD4AgAAAAA=&#10;" fillcolor="white [3212]" strokeweight="3pt">
                  <v:textbox>
                    <w:txbxContent>
                      <w:p w14:paraId="537CE3C3" w14:textId="77777777" w:rsidR="00511D9B" w:rsidRDefault="00511D9B" w:rsidP="00C14739">
                        <w:pPr>
                          <w:pStyle w:val="Normlnweb"/>
                          <w:spacing w:line="180" w:lineRule="auto"/>
                          <w:jc w:val="center"/>
                          <w:rPr>
                            <w:rFonts w:ascii="Calibri" w:eastAsia="Calibri" w:hAnsi="Calibri"/>
                            <w:b/>
                            <w:bCs/>
                            <w:color w:val="000000" w:themeColor="text1"/>
                            <w:kern w:val="24"/>
                            <w:sz w:val="20"/>
                            <w:szCs w:val="20"/>
                          </w:rPr>
                        </w:pPr>
                        <w:r w:rsidRPr="00E30ED1">
                          <w:rPr>
                            <w:rFonts w:ascii="Calibri" w:eastAsia="Calibri" w:hAnsi="Calibri"/>
                            <w:b/>
                            <w:bCs/>
                            <w:color w:val="000000" w:themeColor="text1"/>
                            <w:kern w:val="24"/>
                            <w:sz w:val="20"/>
                            <w:szCs w:val="20"/>
                          </w:rPr>
                          <w:t xml:space="preserve">Analýzy </w:t>
                        </w:r>
                      </w:p>
                      <w:p w14:paraId="793A8422" w14:textId="77777777" w:rsidR="00511D9B" w:rsidRPr="00E30ED1" w:rsidRDefault="00511D9B" w:rsidP="00C14739">
                        <w:pPr>
                          <w:pStyle w:val="Normlnweb"/>
                          <w:spacing w:line="180" w:lineRule="auto"/>
                          <w:jc w:val="center"/>
                          <w:rPr>
                            <w:sz w:val="20"/>
                            <w:szCs w:val="20"/>
                          </w:rPr>
                        </w:pPr>
                        <w:r w:rsidRPr="00E30ED1">
                          <w:rPr>
                            <w:rFonts w:ascii="Calibri" w:eastAsia="Calibri" w:hAnsi="Calibri"/>
                            <w:b/>
                            <w:bCs/>
                            <w:color w:val="000000" w:themeColor="text1"/>
                            <w:kern w:val="24"/>
                            <w:sz w:val="20"/>
                            <w:szCs w:val="20"/>
                          </w:rPr>
                          <w:t>v rámci strategické práce</w:t>
                        </w:r>
                      </w:p>
                    </w:txbxContent>
                  </v:textbox>
                </v:roundrect>
                <v:shape id="Zakřivená spojnice 113" o:spid="_x0000_s1077" type="#_x0000_t37" style="position:absolute;left:24156;top:14325;width:8806;height:5059;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puxAAAANoAAAAPAAAAZHJzL2Rvd25yZXYueG1sRI9Pa8JA&#10;FMTvBb/D8gQvpW60RdPoKqUq7bVGaI6P7GsSzL4N2TV/vn1XKPQ4zMxvmO1+MLXoqHWVZQWLeQSC&#10;OLe64kLBJT09xSCcR9ZYWyYFIznY7yYPW0y07fmLurMvRICwS1BB6X2TSOnykgy6uW2Ig/djW4M+&#10;yLaQusU+wE0tl1G0kgYrDgslNvReUn4934yC61oWY3fInjPz8v2YHpvDJf5IlZpNh7cNCE+D/w//&#10;tT+1gle4Xwk3QO5+AQAA//8DAFBLAQItABQABgAIAAAAIQDb4fbL7gAAAIUBAAATAAAAAAAAAAAA&#10;AAAAAAAAAABbQ29udGVudF9UeXBlc10ueG1sUEsBAi0AFAAGAAgAAAAhAFr0LFu/AAAAFQEAAAsA&#10;AAAAAAAAAAAAAAAAHwEAAF9yZWxzLy5yZWxzUEsBAi0AFAAGAAgAAAAhAJwpum7EAAAA2gAAAA8A&#10;AAAAAAAAAAAAAAAABwIAAGRycy9kb3ducmV2LnhtbFBLBQYAAAAAAwADALcAAAD4AgAAAAA=&#10;" strokecolor="#4472c4 [3204]" strokeweight="4.5pt">
                  <v:stroke startarrow="oval" endarrow="block" joinstyle="miter"/>
                </v:shape>
                <v:roundrect id="Textové pole 22" o:spid="_x0000_s1078" style="position:absolute;left:46634;top:15240;width:8591;height:5410;visibility:visible;mso-wrap-style:square;v-text-anchor:top" arcsize="167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0H9wwAAANsAAAAPAAAAZHJzL2Rvd25yZXYueG1sRE9Na8JA&#10;EL0X/A/LCL0Us2kPMURXUaG0h/bQRPA6Zsckmp0N2W2S/vtuoeBtHu9z1tvJtGKg3jWWFTxHMQji&#10;0uqGKwXH4nWRgnAeWWNrmRT8kIPtZvawxkzbkb9oyH0lQgi7DBXU3neZlK6syaCLbEccuIvtDfoA&#10;+0rqHscQblr5EseJNNhwaKixo0NN5S3/NgpYJp/LjzTt9vlTcXo776/DzV+VepxPuxUIT5O/i//d&#10;7zrMX8LfL+EAufkFAAD//wMAUEsBAi0AFAAGAAgAAAAhANvh9svuAAAAhQEAABMAAAAAAAAAAAAA&#10;AAAAAAAAAFtDb250ZW50X1R5cGVzXS54bWxQSwECLQAUAAYACAAAACEAWvQsW78AAAAVAQAACwAA&#10;AAAAAAAAAAAAAAAfAQAAX3JlbHMvLnJlbHNQSwECLQAUAAYACAAAACEAzRdB/cMAAADbAAAADwAA&#10;AAAAAAAAAAAAAAAHAgAAZHJzL2Rvd25yZXYueG1sUEsFBgAAAAADAAMAtwAAAPcCAAAAAA==&#10;" fillcolor="#fff2cc [663]" strokeweight="3pt">
                  <v:textbox>
                    <w:txbxContent>
                      <w:p w14:paraId="654ACEC6"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Metody získávání dat</w:t>
                        </w:r>
                      </w:p>
                    </w:txbxContent>
                  </v:textbox>
                </v:roundrect>
                <v:shape id="Zakřivená spojnice 63" o:spid="_x0000_s1079" type="#_x0000_t38" style="position:absolute;left:32461;top:17907;width:14271;height:836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f9wQAAANsAAAAPAAAAZHJzL2Rvd25yZXYueG1sRI/NbsIw&#10;DMfvk3iHyEhcEKTjwFAhoII0tBPS2B7Aakxb0TglCaW8PT5M2s2W/x8/b3aDa1VPITaeDbzPM1DE&#10;pbcNVwZ+fz5nK1AxIVtsPZOBJ0XYbUdvG8ytf/A39edUKQnhmKOBOqUu1zqWNTmMc98Ry+3ig8Mk&#10;a6i0DfiQcNfqRZYttcOGpaHGjg41ldfz3UnJ8Xbc9/cpf3QFF7dQnlq9nxozGQ/FGlSiIf2L/9xf&#10;VvAFVn6RAfT2BQAA//8DAFBLAQItABQABgAIAAAAIQDb4fbL7gAAAIUBAAATAAAAAAAAAAAAAAAA&#10;AAAAAABbQ29udGVudF9UeXBlc10ueG1sUEsBAi0AFAAGAAgAAAAhAFr0LFu/AAAAFQEAAAsAAAAA&#10;AAAAAAAAAAAAHwEAAF9yZWxzLy5yZWxzUEsBAi0AFAAGAAgAAAAhAIy+d/3BAAAA2wAAAA8AAAAA&#10;AAAAAAAAAAAABwIAAGRycy9kb3ducmV2LnhtbFBLBQYAAAAAAwADALcAAAD1AgAAAAA=&#10;" adj="10800" strokecolor="#4472c4 [3204]" strokeweight="4.5pt">
                  <v:stroke startarrow="oval" endarrow="block" joinstyle="miter"/>
                </v:shape>
                <v:shape id="Zakřivená spojnice 84" o:spid="_x0000_s1080" type="#_x0000_t37" style="position:absolute;left:44082;top:8419;width:2784;height:10853;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65AwwAAANsAAAAPAAAAZHJzL2Rvd25yZXYueG1sRI9Ba8JA&#10;FITvQv/D8gq9mY0RpY3ZiLSUevFgLD0/ss8kNPs23d2a9N93BcHjMDPfMMV2Mr24kPOdZQWLJAVB&#10;XFvdcaPg8/Q+fwbhA7LG3jIp+CMP2/JhVmCu7chHulShERHCPkcFbQhDLqWvWzLoEzsQR+9sncEQ&#10;pWukdjhGuOlllqZrabDjuNDiQK8t1d/Vr1FgMh531Quar9Wb8777WVaHj6VST4/TbgMi0BTu4Vt7&#10;rxVkC7h+iT9Alv8AAAD//wMAUEsBAi0AFAAGAAgAAAAhANvh9svuAAAAhQEAABMAAAAAAAAAAAAA&#10;AAAAAAAAAFtDb250ZW50X1R5cGVzXS54bWxQSwECLQAUAAYACAAAACEAWvQsW78AAAAVAQAACwAA&#10;AAAAAAAAAAAAAAAfAQAAX3JlbHMvLnJlbHNQSwECLQAUAAYACAAAACEASG+uQMMAAADbAAAADwAA&#10;AAAAAAAAAAAAAAAHAgAAZHJzL2Rvd25yZXYueG1sUEsFBgAAAAADAAMAtwAAAPcCAAAAAA==&#10;" strokecolor="#ed7d31 [3205]" strokeweight=".5pt">
                  <v:stroke startarrow="oval" endarrow="block" joinstyle="miter"/>
                </v:shape>
                <v:roundrect id="Textové pole 18" o:spid="_x0000_s1081" style="position:absolute;left:19659;top:21259;width:12756;height:10095;visibility:visible;mso-wrap-style:square;v-text-anchor:top" arcsize="159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7XOwQAAANoAAAAPAAAAZHJzL2Rvd25yZXYueG1sRI/BasMw&#10;EETvgf6D2EJvsZyQhuJaMaa0JZBTnX7AIm1tJ9bKWIqj/n0UKPQ4zMwbpqyiHcRMk+8dK1hlOQhi&#10;7UzPrYLv48fyBYQPyAYHx6TglzxUu4dFiYVxV/6iuQmtSBD2BSroQhgLKb3uyKLP3EicvB83WQxJ&#10;Tq00E14T3A5ynedbabHntNDhSG8d6XNzsQqec31+N4dPPZ82tI2WGlvHXqmnx1i/gggUw3/4r703&#10;CjZwv5JugNzdAAAA//8DAFBLAQItABQABgAIAAAAIQDb4fbL7gAAAIUBAAATAAAAAAAAAAAAAAAA&#10;AAAAAABbQ29udGVudF9UeXBlc10ueG1sUEsBAi0AFAAGAAgAAAAhAFr0LFu/AAAAFQEAAAsAAAAA&#10;AAAAAAAAAAAAHwEAAF9yZWxzLy5yZWxzUEsBAi0AFAAGAAgAAAAhAPbjtc7BAAAA2gAAAA8AAAAA&#10;AAAAAAAAAAAABwIAAGRycy9kb3ducmV2LnhtbFBLBQYAAAAAAwADALcAAAD1AgAAAAA=&#10;" fillcolor="#fbe4d5 [661]" strokeweight="6pt">
                  <v:textbox>
                    <w:txbxContent>
                      <w:p w14:paraId="42E12CB5" w14:textId="77777777" w:rsidR="00511D9B" w:rsidRPr="004653F9" w:rsidRDefault="00511D9B" w:rsidP="00C14739">
                        <w:pPr>
                          <w:pStyle w:val="Normlnweb"/>
                          <w:spacing w:line="192" w:lineRule="auto"/>
                          <w:jc w:val="center"/>
                          <w:rPr>
                            <w:sz w:val="28"/>
                            <w:szCs w:val="28"/>
                          </w:rPr>
                        </w:pPr>
                        <w:r w:rsidRPr="00856BA7">
                          <w:rPr>
                            <w:rFonts w:ascii="Calibri" w:eastAsia="Calibri" w:hAnsi="Calibri"/>
                            <w:b/>
                            <w:bCs/>
                            <w:color w:val="000000" w:themeColor="text1"/>
                            <w:kern w:val="24"/>
                            <w:sz w:val="28"/>
                            <w:szCs w:val="28"/>
                          </w:rPr>
                          <w:t>Vybrané nástroje strategické práce</w:t>
                        </w:r>
                      </w:p>
                    </w:txbxContent>
                  </v:textbox>
                </v:roundrect>
                <v:shape id="Zakřivená spojnice 128" o:spid="_x0000_s1082" type="#_x0000_t38" style="position:absolute;left:37071;top:17640;width:8346;height:4876;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QOwwAAANsAAAAPAAAAZHJzL2Rvd25yZXYueG1sRI9Ba8JA&#10;FITvQv/D8gpepG4SRCR1lVYpxJOohdLbY/c1CWbfhuw2xn/vCoLHYWa+YZbrwTaip87XjhWk0wQE&#10;sXam5lLB9+nrbQHCB2SDjWNScCUP69XLaIm5cRc+UH8MpYgQ9jkqqEJocym9rsiin7qWOHp/rrMY&#10;ouxKaTq8RLhtZJYkc2mx5rhQYUubivT5+G8V6HRH7rf4SSfzs/vcDnpfYNYrNX4dPt5BBBrCM/xo&#10;F0ZBNoP7l/gD5OoGAAD//wMAUEsBAi0AFAAGAAgAAAAhANvh9svuAAAAhQEAABMAAAAAAAAAAAAA&#10;AAAAAAAAAFtDb250ZW50X1R5cGVzXS54bWxQSwECLQAUAAYACAAAACEAWvQsW78AAAAVAQAACwAA&#10;AAAAAAAAAAAAAAAfAQAAX3JlbHMvLnJlbHNQSwECLQAUAAYACAAAACEAzRX0DsMAAADbAAAADwAA&#10;AAAAAAAAAAAAAAAHAgAAZHJzL2Rvd25yZXYueG1sUEsFBgAAAAADAAMAtwAAAPcCAAAAAA==&#10;" adj="10800" strokecolor="#ed7d31 [3205]" strokeweight=".5pt">
                  <v:stroke startarrow="block" endarrow="block" joinstyle="miter"/>
                </v:shape>
                <v:roundrect id="Textové pole 22" o:spid="_x0000_s1083" style="position:absolute;left:14401;top:10820;width:7424;height:4030;visibility:visible;mso-wrap-style:square;v-text-anchor:top" arcsize="114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wrxQAAANsAAAAPAAAAZHJzL2Rvd25yZXYueG1sRI9Ba8JA&#10;FITvhf6H5RW81Y1WVFJXEbEqBQ9GL94e2WeSJvs27K4a/71bKPQ4zMw3zGzRmUbcyPnKsoJBPwFB&#10;nFtdcaHgdPx6n4LwAVljY5kUPMjDYv76MsNU2zsf6JaFQkQI+xQVlCG0qZQ+L8mg79uWOHoX6wyG&#10;KF0htcN7hJtGDpNkLA1WHBdKbGlVUl5nV6Ngk49H++33wNXZenWpr2f7M/nYKdV765afIAJ14T/8&#10;195pBcMJ/H6JP0DOnwAAAP//AwBQSwECLQAUAAYACAAAACEA2+H2y+4AAACFAQAAEwAAAAAAAAAA&#10;AAAAAAAAAAAAW0NvbnRlbnRfVHlwZXNdLnhtbFBLAQItABQABgAIAAAAIQBa9CxbvwAAABUBAAAL&#10;AAAAAAAAAAAAAAAAAB8BAABfcmVscy8ucmVsc1BLAQItABQABgAIAAAAIQBeuWwrxQAAANsAAAAP&#10;AAAAAAAAAAAAAAAAAAcCAABkcnMvZG93bnJldi54bWxQSwUGAAAAAAMAAwC3AAAA+QIAAAAA&#10;" fillcolor="white [3212]" strokeweight="1.5pt">
                  <v:stroke dashstyle="3 1"/>
                  <v:textbox>
                    <w:txbxContent>
                      <w:p w14:paraId="01EB6C8F" w14:textId="3F533AA5" w:rsidR="00511D9B" w:rsidRPr="004653F9" w:rsidRDefault="00511D9B" w:rsidP="00C14739">
                        <w:pPr>
                          <w:pStyle w:val="Normlnweb"/>
                          <w:spacing w:line="180" w:lineRule="auto"/>
                          <w:ind w:left="-113" w:right="-113"/>
                          <w:jc w:val="center"/>
                          <w:rPr>
                            <w:sz w:val="20"/>
                            <w:szCs w:val="20"/>
                          </w:rPr>
                        </w:pPr>
                        <w:r>
                          <w:rPr>
                            <w:rFonts w:ascii="Calibri" w:eastAsia="Calibri" w:hAnsi="Calibri"/>
                            <w:b/>
                            <w:bCs/>
                            <w:color w:val="000000" w:themeColor="text1"/>
                            <w:kern w:val="24"/>
                            <w:sz w:val="20"/>
                            <w:szCs w:val="20"/>
                          </w:rPr>
                          <w:t>Další</w:t>
                        </w:r>
                        <w:r w:rsidRPr="004653F9">
                          <w:rPr>
                            <w:rFonts w:ascii="Calibri" w:eastAsia="Calibri" w:hAnsi="Calibri"/>
                            <w:b/>
                            <w:bCs/>
                            <w:color w:val="000000" w:themeColor="text1"/>
                            <w:kern w:val="24"/>
                            <w:sz w:val="20"/>
                            <w:szCs w:val="20"/>
                          </w:rPr>
                          <w:t xml:space="preserve"> nástroje </w:t>
                        </w:r>
                      </w:p>
                    </w:txbxContent>
                  </v:textbox>
                </v:roundrect>
                <v:roundrect id="Textové pole 22" o:spid="_x0000_s1084" style="position:absolute;left:5029;width:10386;height:7011;visibility:visible;mso-wrap-style:square;v-text-anchor:top" arcsize="167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u1ZxAAAANsAAAAPAAAAZHJzL2Rvd25yZXYueG1sRI/NasMw&#10;EITvgb6D2EJvidwcQupaNkkh1JTmECeHHhdr/UOslZGU2H37qlDocZiZb5ismM0g7uR8b1nB8yoB&#10;QVxb3XOr4HI+LLcgfEDWOFgmBd/kocgfFhmm2k58onsVWhEh7FNU0IUwplL6uiODfmVH4ug11hkM&#10;UbpWaodThJtBrpNkIw32HBc6HOmto/pa3YyCyp3RN9X+453D8fS1OZaf26tV6ulx3r2CCDSH//Bf&#10;u9QK1i/w+yX+AJn/AAAA//8DAFBLAQItABQABgAIAAAAIQDb4fbL7gAAAIUBAAATAAAAAAAAAAAA&#10;AAAAAAAAAABbQ29udGVudF9UeXBlc10ueG1sUEsBAi0AFAAGAAgAAAAhAFr0LFu/AAAAFQEAAAsA&#10;AAAAAAAAAAAAAAAAHwEAAF9yZWxzLy5yZWxzUEsBAi0AFAAGAAgAAAAhAOny7VnEAAAA2wAAAA8A&#10;AAAAAAAAAAAAAAAABwIAAGRycy9kb3ducmV2LnhtbFBLBQYAAAAAAwADALcAAAD4AgAAAAA=&#10;" fillcolor="white [3212]" strokeweight="1.5pt">
                  <v:stroke dashstyle="3 1"/>
                  <v:textbox>
                    <w:txbxContent>
                      <w:p w14:paraId="3FB04945" w14:textId="77777777" w:rsidR="00511D9B" w:rsidRPr="004653F9" w:rsidRDefault="00511D9B" w:rsidP="00C14739">
                        <w:pPr>
                          <w:pStyle w:val="Normlnweb"/>
                          <w:spacing w:line="180" w:lineRule="auto"/>
                          <w:jc w:val="center"/>
                          <w:rPr>
                            <w:sz w:val="20"/>
                            <w:szCs w:val="22"/>
                          </w:rPr>
                        </w:pPr>
                        <w:r w:rsidRPr="004653F9">
                          <w:rPr>
                            <w:rFonts w:ascii="Calibri" w:eastAsia="Calibri" w:hAnsi="Calibri"/>
                            <w:b/>
                            <w:bCs/>
                            <w:color w:val="000000" w:themeColor="text1"/>
                            <w:kern w:val="24"/>
                            <w:sz w:val="20"/>
                            <w:szCs w:val="22"/>
                          </w:rPr>
                          <w:t xml:space="preserve">Nástroje </w:t>
                        </w:r>
                      </w:p>
                      <w:p w14:paraId="68F7B30F" w14:textId="77777777" w:rsidR="00511D9B" w:rsidRPr="004653F9" w:rsidRDefault="00511D9B" w:rsidP="00C14739">
                        <w:pPr>
                          <w:pStyle w:val="Normlnweb"/>
                          <w:spacing w:line="180" w:lineRule="auto"/>
                          <w:jc w:val="center"/>
                          <w:rPr>
                            <w:sz w:val="20"/>
                            <w:szCs w:val="22"/>
                          </w:rPr>
                        </w:pPr>
                        <w:r w:rsidRPr="004653F9">
                          <w:rPr>
                            <w:rFonts w:ascii="Calibri" w:eastAsia="Calibri" w:hAnsi="Calibri"/>
                            <w:b/>
                            <w:bCs/>
                            <w:color w:val="000000" w:themeColor="text1"/>
                            <w:kern w:val="24"/>
                            <w:sz w:val="20"/>
                            <w:szCs w:val="22"/>
                          </w:rPr>
                          <w:t xml:space="preserve">ke </w:t>
                        </w:r>
                        <w:r w:rsidRPr="004653F9">
                          <w:rPr>
                            <w:rFonts w:ascii="Calibri" w:eastAsia="Calibri" w:hAnsi="Calibri"/>
                            <w:b/>
                            <w:bCs/>
                            <w:color w:val="000000" w:themeColor="text1"/>
                            <w:kern w:val="24"/>
                            <w:sz w:val="20"/>
                            <w:szCs w:val="22"/>
                            <w:lang w:val="en-US"/>
                          </w:rPr>
                          <w:t xml:space="preserve">Smart </w:t>
                        </w:r>
                        <w:r w:rsidRPr="004653F9">
                          <w:rPr>
                            <w:rFonts w:ascii="Calibri" w:eastAsia="Calibri" w:hAnsi="Calibri"/>
                            <w:b/>
                            <w:bCs/>
                            <w:color w:val="000000" w:themeColor="text1"/>
                            <w:kern w:val="24"/>
                            <w:sz w:val="20"/>
                            <w:szCs w:val="22"/>
                          </w:rPr>
                          <w:t>Cities</w:t>
                        </w:r>
                        <w:r w:rsidRPr="004653F9">
                          <w:rPr>
                            <w:rFonts w:ascii="Calibri" w:eastAsia="Calibri" w:hAnsi="Calibri"/>
                            <w:b/>
                            <w:bCs/>
                            <w:color w:val="000000" w:themeColor="text1"/>
                            <w:kern w:val="24"/>
                            <w:sz w:val="20"/>
                            <w:szCs w:val="22"/>
                            <w:lang w:val="en-US"/>
                          </w:rPr>
                          <w:t xml:space="preserve"> Management</w:t>
                        </w:r>
                      </w:p>
                    </w:txbxContent>
                  </v:textbox>
                </v:roundrect>
                <v:roundrect id="Textové pole 22" o:spid="_x0000_s1085" style="position:absolute;top:7696;width:10191;height:7907;visibility:visible;mso-wrap-style:square;v-text-anchor:top" arcsize="130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BCFwwAAANsAAAAPAAAAZHJzL2Rvd25yZXYueG1sRE9Ni8Iw&#10;EL0v+B/CCF4WTa1s0WoUERQPe9EVxNvYjG2xmdQmat1fbw4Le3y879miNZV4UONKywqGgwgEcWZ1&#10;ybmCw8+6PwbhPLLGyjIpeJGDxbzzMcNU2yfv6LH3uQgh7FJUUHhfp1K6rCCDbmBr4sBdbGPQB9jk&#10;Ujf4DOGmknEUJdJgyaGhwJpWBWXX/d0oSM7DePPtDqPl5XiKz6/Pye/XTSvV67bLKQhPrf8X/7m3&#10;WsEorA9fwg+Q8zcAAAD//wMAUEsBAi0AFAAGAAgAAAAhANvh9svuAAAAhQEAABMAAAAAAAAAAAAA&#10;AAAAAAAAAFtDb250ZW50X1R5cGVzXS54bWxQSwECLQAUAAYACAAAACEAWvQsW78AAAAVAQAACwAA&#10;AAAAAAAAAAAAAAAfAQAAX3JlbHMvLnJlbHNQSwECLQAUAAYACAAAACEAu0QQhcMAAADbAAAADwAA&#10;AAAAAAAAAAAAAAAHAgAAZHJzL2Rvd25yZXYueG1sUEsFBgAAAAADAAMAtwAAAPcCAAAAAA==&#10;" fillcolor="white [3212]" strokeweight="1.5pt">
                  <v:stroke dashstyle="3 1"/>
                  <v:textbox>
                    <w:txbxContent>
                      <w:p w14:paraId="019D32E0" w14:textId="77777777" w:rsidR="00511D9B" w:rsidRPr="00592B4A" w:rsidRDefault="00511D9B" w:rsidP="00C14739">
                        <w:pPr>
                          <w:spacing w:line="180" w:lineRule="auto"/>
                          <w:contextualSpacing/>
                          <w:jc w:val="center"/>
                          <w:rPr>
                            <w:b/>
                            <w:sz w:val="20"/>
                            <w:szCs w:val="22"/>
                          </w:rPr>
                        </w:pPr>
                        <w:r w:rsidRPr="00592B4A">
                          <w:rPr>
                            <w:rFonts w:ascii="Calibri" w:eastAsia="Calibri" w:hAnsi="Calibri"/>
                            <w:b/>
                            <w:color w:val="000000" w:themeColor="text1"/>
                            <w:kern w:val="24"/>
                            <w:sz w:val="20"/>
                            <w:szCs w:val="22"/>
                          </w:rPr>
                          <w:t>Plánování a řízení času ve vazbě na strategickou práci</w:t>
                        </w:r>
                      </w:p>
                      <w:p w14:paraId="06B5687C" w14:textId="77777777" w:rsidR="00511D9B" w:rsidRPr="004653F9" w:rsidRDefault="00511D9B" w:rsidP="00C14739">
                        <w:pPr>
                          <w:pStyle w:val="Normlnweb"/>
                          <w:spacing w:line="180" w:lineRule="auto"/>
                          <w:jc w:val="center"/>
                          <w:rPr>
                            <w:sz w:val="20"/>
                            <w:szCs w:val="22"/>
                          </w:rPr>
                        </w:pPr>
                      </w:p>
                    </w:txbxContent>
                  </v:textbox>
                </v:roundrect>
                <v:shape id="Zakřivená spojnice 150" o:spid="_x0000_s1086" type="#_x0000_t37" style="position:absolute;left:12496;top:7010;width:1918;height:6010;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M3xQAAANsAAAAPAAAAZHJzL2Rvd25yZXYueG1sRI9BawIx&#10;FITvBf9DeAUvpWbV0srWKMWq9Li1WvD22LxuFjcvSxJ19debQqHHYWa+YabzzjbiRD7UjhUMBxkI&#10;4tLpmisF26/V4wREiMgaG8ek4EIB5rPe3RRz7c78SadNrESCcMhRgYmxzaUMpSGLYeBa4uT9OG8x&#10;JukrqT2eE9w2cpRlz9JizWnBYEsLQ+Vhc7QKFn4ZigdTTIrdezHev7jv63pvlerfd2+vICJ18T/8&#10;1/7QCp6G8Psl/QA5uwEAAP//AwBQSwECLQAUAAYACAAAACEA2+H2y+4AAACFAQAAEwAAAAAAAAAA&#10;AAAAAAAAAAAAW0NvbnRlbnRfVHlwZXNdLnhtbFBLAQItABQABgAIAAAAIQBa9CxbvwAAABUBAAAL&#10;AAAAAAAAAAAAAAAAAB8BAABfcmVscy8ucmVsc1BLAQItABQABgAIAAAAIQCoQFM3xQAAANsAAAAP&#10;AAAAAAAAAAAAAAAAAAcCAABkcnMvZG93bnJldi54bWxQSwUGAAAAAAMAAwC3AAAA+QIAAAAA&#10;" strokecolor="#4472c4 [3204]" strokeweight="2.25pt">
                  <v:stroke dashstyle="3 1" startarrow="oval" endarrow="block" joinstyle="miter"/>
                </v:shape>
                <v:shape id="Zakřivená spojnice 153" o:spid="_x0000_s1087" type="#_x0000_t38" style="position:absolute;left:10210;top:11887;width:4230;height:113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HTBwQAAANsAAAAPAAAAZHJzL2Rvd25yZXYueG1sRI9BawIx&#10;FITvgv8hPMGbZisiZWuUKlhqb9r2/tg8N7tuXpYkauyvbwpCj8PMfMMs18l24ko+NI4VPE0LEMSV&#10;0w3XCr4+d5NnECEia+wck4I7BVivhoMlltrd+EDXY6xFhnAoUYGJsS+lDJUhi2HqeuLsnZy3GLP0&#10;tdQebxluOzkrioW02HBeMNjT1lB1Pl6sAvL2/Hb6wNb8JLtI7eZ7v2l3So1H6fUFRKQU/8OP9rtW&#10;MJ/B35f8A+TqFwAA//8DAFBLAQItABQABgAIAAAAIQDb4fbL7gAAAIUBAAATAAAAAAAAAAAAAAAA&#10;AAAAAABbQ29udGVudF9UeXBlc10ueG1sUEsBAi0AFAAGAAgAAAAhAFr0LFu/AAAAFQEAAAsAAAAA&#10;AAAAAAAAAAAAHwEAAF9yZWxzLy5yZWxzUEsBAi0AFAAGAAgAAAAhADTMdMHBAAAA2wAAAA8AAAAA&#10;AAAAAAAAAAAABwIAAGRycy9kb3ducmV2LnhtbFBLBQYAAAAAAwADALcAAAD1AgAAAAA=&#10;" adj="10800" strokecolor="#4472c4 [3204]" strokeweight="2.25pt">
                  <v:stroke dashstyle="3 1" startarrow="oval" endarrow="block" joinstyle="miter"/>
                </v:shape>
                <v:shape id="Zakřivená spojnice 44" o:spid="_x0000_s1088" type="#_x0000_t38" style="position:absolute;left:37109;top:228;width:8681;height:1421;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DowwAAANsAAAAPAAAAZHJzL2Rvd25yZXYueG1sRI9Ba8JA&#10;FITvQv/D8gpexGwqQWx0lVIoeKs1gvT2yD6T1ezbkF1j+u9doeBxmJlvmNVmsI3oqfPGsYK3JAVB&#10;XDptuFJwKL6mCxA+IGtsHJOCP/KwWb+MVphrd+Mf6vehEhHCPkcFdQhtLqUva7LoE9cSR+/kOosh&#10;yq6SusNbhNtGztJ0Li0ajgs1tvRZU3nZX62C/lRMrj47746/VBbSbs3u+90oNX4dPpYgAg3hGf5v&#10;b7WCLIPHl/gD5PoOAAD//wMAUEsBAi0AFAAGAAgAAAAhANvh9svuAAAAhQEAABMAAAAAAAAAAAAA&#10;AAAAAAAAAFtDb250ZW50X1R5cGVzXS54bWxQSwECLQAUAAYACAAAACEAWvQsW78AAAAVAQAACwAA&#10;AAAAAAAAAAAAAAAfAQAAX3JlbHMvLnJlbHNQSwECLQAUAAYACAAAACEAVXIg6MMAAADbAAAADwAA&#10;AAAAAAAAAAAAAAAHAgAAZHJzL2Rvd25yZXYueG1sUEsFBgAAAAADAAMAtwAAAPcCAAAAAA==&#10;" adj="10800" strokecolor="#ed7d31 [3205]" strokeweight=".5pt">
                  <v:stroke startarrow="oval" endarrow="block" joinstyle="miter"/>
                </v:shape>
                <v:shape id="Zakřivená spojnice 40" o:spid="_x0000_s1089" type="#_x0000_t38" style="position:absolute;left:37033;top:2514;width:8391;height:4543;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lNzwwAAANsAAAAPAAAAZHJzL2Rvd25yZXYueG1sRI9Li8JA&#10;EITvC/6HoQVv68THqkRHEUERWQQfB49Npk1iMj0hM2r8946wsMeiqr6iZovGlOJBtcstK+h1IxDE&#10;idU5pwrOp/X3BITzyBpLy6TgRQ4W89bXDGNtn3ygx9GnIkDYxagg876KpXRJRgZd11bEwbva2qAP&#10;sk6lrvEZ4KaU/SgaSYM5h4UMK1pllBTHu1Hg9uvBbTku2PY2kSl2v4dqd2mU6rSb5RSEp8b/h//a&#10;W61g+AOfL+EHyPkbAAD//wMAUEsBAi0AFAAGAAgAAAAhANvh9svuAAAAhQEAABMAAAAAAAAAAAAA&#10;AAAAAAAAAFtDb250ZW50X1R5cGVzXS54bWxQSwECLQAUAAYACAAAACEAWvQsW78AAAAVAQAACwAA&#10;AAAAAAAAAAAAAAAfAQAAX3JlbHMvLnJlbHNQSwECLQAUAAYACAAAACEARXpTc8MAAADbAAAADwAA&#10;AAAAAAAAAAAAAAAHAgAAZHJzL2Rvd25yZXYueG1sUEsFBgAAAAADAAMAtwAAAPcCAAAAAA==&#10;" adj="10800" strokecolor="#ed7d31 [3205]" strokeweight=".5pt">
                  <v:stroke startarrow="oval" endarrow="block" joinstyle="miter"/>
                </v:shape>
                <v:shape id="Zakřivená spojnice 141" o:spid="_x0000_s1090" type="#_x0000_t37" style="position:absolute;left:19964;top:14782;width:8003;height:4195;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3civgAAANsAAAAPAAAAZHJzL2Rvd25yZXYueG1sRE9Ni8Iw&#10;EL0L/ocwwt403SIiXaPIgqC3XZXicbYZm2IzqUnU7r83B8Hj430vVr1txZ18aBwr+JxkIIgrpxuu&#10;FRwPm/EcRIjIGlvHpOCfAqyWw8ECC+0e/Ev3faxFCuFQoAITY1dIGSpDFsPEdcSJOztvMSboa6k9&#10;PlK4bWWeZTNpseHUYLCjb0PVZX+zCqY33IWy8vWhND/XPzPN3emcK/Ux6tdfICL18S1+ubdaQZ7G&#10;pi/pB8jlEwAA//8DAFBLAQItABQABgAIAAAAIQDb4fbL7gAAAIUBAAATAAAAAAAAAAAAAAAAAAAA&#10;AABbQ29udGVudF9UeXBlc10ueG1sUEsBAi0AFAAGAAgAAAAhAFr0LFu/AAAAFQEAAAsAAAAAAAAA&#10;AAAAAAAAHwEAAF9yZWxzLy5yZWxzUEsBAi0AFAAGAAgAAAAhAG3PdyK+AAAA2wAAAA8AAAAAAAAA&#10;AAAAAAAABwIAAGRycy9kb3ducmV2LnhtbFBLBQYAAAAAAwADALcAAADyAgAAAAA=&#10;" strokecolor="#4472c4 [3204]" strokeweight="4.5pt">
                  <v:stroke dashstyle="1 1" startarrow="oval" endarrow="block" joinstyle="miter"/>
                </v:shape>
                <v:shape id="Zakřivená spojnice 156" o:spid="_x0000_s1091" type="#_x0000_t37" style="position:absolute;left:8305;top:13030;width:6067;height:7640;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BxQAAANsAAAAPAAAAZHJzL2Rvd25yZXYueG1sRI9fS8NA&#10;EMTfhX6HYwXf7CVttSX2WkRaqA8q9h/4tuTWJDS3F+7WNn57TxB8HGbmN8x82btWnSnExrOBfJiB&#10;Ii69bbgysN+tb2egoiBbbD2TgW+KsFwMruZYWH/hdzpvpVIJwrFAA7VIV2gdy5ocxqHviJP36YND&#10;STJU2ga8JLhr9SjL7rXDhtNCjR091VSetl/OwMtHPtKHsA7Hu1fx7erNPk9zMebmun98ACXUy3/4&#10;r72xBiZj+P2SfoBe/AAAAP//AwBQSwECLQAUAAYACAAAACEA2+H2y+4AAACFAQAAEwAAAAAAAAAA&#10;AAAAAAAAAAAAW0NvbnRlbnRfVHlwZXNdLnhtbFBLAQItABQABgAIAAAAIQBa9CxbvwAAABUBAAAL&#10;AAAAAAAAAAAAAAAAAB8BAABfcmVscy8ucmVsc1BLAQItABQABgAIAAAAIQA6f+JBxQAAANsAAAAP&#10;AAAAAAAAAAAAAAAAAAcCAABkcnMvZG93bnJldi54bWxQSwUGAAAAAAMAAwC3AAAA+QIAAAAA&#10;" strokecolor="#4472c4 [3204]" strokeweight="2.25pt">
                  <v:stroke dashstyle="3 1" startarrow="oval" endarrow="block" joinstyle="miter"/>
                </v:shape>
                <v:roundrect id="Textové pole 22" o:spid="_x0000_s1092" style="position:absolute;top:20116;width:16696;height:17809;visibility:visible;mso-wrap-style:square;v-text-anchor:top" arcsize="67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5smwAAAANsAAAAPAAAAZHJzL2Rvd25yZXYueG1sRE/Pa4Mw&#10;FL4X9j+EN9itRsfohjMtpSCU3qYb7vgwr8bOvIhJq/vvm8Ngx4/vd7Fb7CBuNPnesYIsSUEQt073&#10;3Cn4rMv1GwgfkDUOjknBL3nYbR9WBebazfxBtyp0Ioawz1GBCWHMpfStIYs+cSNx5M5ushginDqp&#10;J5xjuB3kc5pupMWeY4PBkQ6G2p/qahUcs0PWLK+XyjSmHnBffp3S71Kpp8dl/w4i0BL+xX/uo1bw&#10;EtfHL/EHyO0dAAD//wMAUEsBAi0AFAAGAAgAAAAhANvh9svuAAAAhQEAABMAAAAAAAAAAAAAAAAA&#10;AAAAAFtDb250ZW50X1R5cGVzXS54bWxQSwECLQAUAAYACAAAACEAWvQsW78AAAAVAQAACwAAAAAA&#10;AAAAAAAAAAAfAQAAX3JlbHMvLnJlbHNQSwECLQAUAAYACAAAACEA5kubJsAAAADbAAAADwAAAAAA&#10;AAAAAAAAAAAHAgAAZHJzL2Rvd25yZXYueG1sUEsFBgAAAAADAAMAtwAAAPQCAAAAAA==&#10;" fillcolor="white [3212]" strokeweight="1.5pt">
                  <v:stroke dashstyle="3 1"/>
                  <v:textbox>
                    <w:txbxContent>
                      <w:p w14:paraId="78761DDC" w14:textId="77777777" w:rsidR="00511D9B" w:rsidRPr="004653F9" w:rsidRDefault="00511D9B" w:rsidP="00C14739">
                        <w:pPr>
                          <w:pStyle w:val="Normlnweb"/>
                          <w:spacing w:line="180" w:lineRule="auto"/>
                          <w:jc w:val="center"/>
                          <w:rPr>
                            <w:sz w:val="20"/>
                            <w:szCs w:val="22"/>
                          </w:rPr>
                        </w:pPr>
                        <w:r>
                          <w:rPr>
                            <w:rFonts w:ascii="Calibri" w:eastAsia="Calibri" w:hAnsi="Calibri"/>
                            <w:b/>
                            <w:bCs/>
                            <w:color w:val="000000" w:themeColor="text1"/>
                            <w:kern w:val="24"/>
                            <w:sz w:val="20"/>
                            <w:szCs w:val="22"/>
                          </w:rPr>
                          <w:t>Další témata</w:t>
                        </w:r>
                        <w:r w:rsidRPr="004653F9">
                          <w:rPr>
                            <w:rFonts w:ascii="Calibri" w:eastAsia="Calibri" w:hAnsi="Calibri"/>
                            <w:b/>
                            <w:bCs/>
                            <w:color w:val="000000" w:themeColor="text1"/>
                            <w:kern w:val="24"/>
                            <w:sz w:val="20"/>
                            <w:szCs w:val="22"/>
                          </w:rPr>
                          <w:t>:</w:t>
                        </w:r>
                      </w:p>
                      <w:p w14:paraId="66646AD5"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4653F9">
                          <w:rPr>
                            <w:rFonts w:ascii="Calibri" w:eastAsia="Calibri" w:hAnsi="Calibri"/>
                            <w:color w:val="000000" w:themeColor="text1"/>
                            <w:kern w:val="24"/>
                            <w:sz w:val="20"/>
                            <w:szCs w:val="22"/>
                          </w:rPr>
                          <w:t>Řízení projektů v rámci strategické práce</w:t>
                        </w:r>
                      </w:p>
                      <w:p w14:paraId="356350CF" w14:textId="77777777" w:rsidR="00511D9B" w:rsidRPr="004653F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4653F9">
                          <w:rPr>
                            <w:rFonts w:ascii="Calibri" w:eastAsia="Calibri" w:hAnsi="Calibri"/>
                            <w:color w:val="000000" w:themeColor="text1"/>
                            <w:kern w:val="24"/>
                            <w:sz w:val="20"/>
                            <w:szCs w:val="22"/>
                          </w:rPr>
                          <w:t>Využití procesního přístupu v rámci strategické práce</w:t>
                        </w:r>
                      </w:p>
                      <w:p w14:paraId="3E1FF076"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4653F9">
                          <w:rPr>
                            <w:rFonts w:ascii="Calibri" w:eastAsia="Calibri" w:hAnsi="Calibri"/>
                            <w:color w:val="000000" w:themeColor="text1"/>
                            <w:kern w:val="24"/>
                            <w:sz w:val="20"/>
                            <w:szCs w:val="22"/>
                          </w:rPr>
                          <w:t>Monitoring, hodnocení, aktualizace, evaluace strategie</w:t>
                        </w:r>
                      </w:p>
                      <w:p w14:paraId="6A58C1D8"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D95809">
                          <w:rPr>
                            <w:rFonts w:ascii="Calibri" w:eastAsia="Calibri" w:hAnsi="Calibri"/>
                            <w:color w:val="000000" w:themeColor="text1"/>
                            <w:kern w:val="24"/>
                            <w:sz w:val="20"/>
                            <w:szCs w:val="22"/>
                          </w:rPr>
                          <w:t xml:space="preserve">Ex ante spolupráce se zpracovatelem SEA </w:t>
                        </w:r>
                      </w:p>
                      <w:p w14:paraId="6A1179A5" w14:textId="77777777" w:rsidR="00511D9B" w:rsidRPr="00D95809" w:rsidRDefault="00511D9B" w:rsidP="00C14739">
                        <w:pPr>
                          <w:pStyle w:val="Odstavecseseznamem"/>
                          <w:numPr>
                            <w:ilvl w:val="0"/>
                            <w:numId w:val="9"/>
                          </w:numPr>
                          <w:tabs>
                            <w:tab w:val="clear" w:pos="720"/>
                          </w:tabs>
                          <w:spacing w:line="180" w:lineRule="auto"/>
                          <w:ind w:left="142" w:hanging="284"/>
                          <w:contextualSpacing/>
                          <w:jc w:val="center"/>
                          <w:rPr>
                            <w:sz w:val="20"/>
                            <w:szCs w:val="22"/>
                          </w:rPr>
                        </w:pPr>
                        <w:r w:rsidRPr="00D95809">
                          <w:rPr>
                            <w:rFonts w:ascii="Calibri" w:eastAsia="Calibri" w:hAnsi="Calibri"/>
                            <w:color w:val="000000" w:themeColor="text1"/>
                            <w:kern w:val="24"/>
                            <w:sz w:val="20"/>
                            <w:szCs w:val="22"/>
                          </w:rPr>
                          <w:t>Facilitace v rámci strategické práce</w:t>
                        </w:r>
                      </w:p>
                      <w:p w14:paraId="3B74AAA6" w14:textId="77777777" w:rsidR="00511D9B" w:rsidRDefault="00511D9B" w:rsidP="00C14739"/>
                    </w:txbxContent>
                  </v:textbox>
                </v:roundrect>
                <v:roundrect id="Textové pole 22" o:spid="_x0000_s1093" style="position:absolute;left:38785;top:24155;width:9804;height:8056;visibility:visible;mso-wrap-style:square;v-text-anchor:top" arcsize="90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QlkwAAAANsAAAAPAAAAZHJzL2Rvd25yZXYueG1sRE9Li8Iw&#10;EL4L/ocwgjdNXUWkaxQRKx68+ACvYzM2ZZtJabK2/vvNguBtPr7nLNedrcSTGl86VjAZJyCIc6dL&#10;LhRcL9loAcIHZI2VY1LwIg/rVb+3xFS7lk/0PIdCxBD2KSowIdSplD43ZNGPXU0cuYdrLIYIm0Lq&#10;BtsYbiv5lSRzabHk2GCwpq2h/Of8axXMHtnmtJveb6bdZ/V21i3weDgqNRx0m28QgbrwEb/dBx3n&#10;z+H/l3iAXP0BAAD//wMAUEsBAi0AFAAGAAgAAAAhANvh9svuAAAAhQEAABMAAAAAAAAAAAAAAAAA&#10;AAAAAFtDb250ZW50X1R5cGVzXS54bWxQSwECLQAUAAYACAAAACEAWvQsW78AAAAVAQAACwAAAAAA&#10;AAAAAAAAAAAfAQAAX3JlbHMvLnJlbHNQSwECLQAUAAYACAAAACEASeUJZMAAAADbAAAADwAAAAAA&#10;AAAAAAAAAAAHAgAAZHJzL2Rvd25yZXYueG1sUEsFBgAAAAADAAMAtwAAAPQCAAAAAA==&#10;" fillcolor="#fff2cc [663]" strokeweight="3pt">
                  <v:textbox>
                    <w:txbxContent>
                      <w:p w14:paraId="6A639BC1"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 xml:space="preserve">Komunikace, participace a marketing </w:t>
                        </w:r>
                      </w:p>
                      <w:p w14:paraId="0A5B2298"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strategií a projektů</w:t>
                        </w:r>
                      </w:p>
                    </w:txbxContent>
                  </v:textbox>
                </v:roundrect>
                <v:shape id="Zakřivená spojnice 64" o:spid="_x0000_s1094" type="#_x0000_t38" style="position:absolute;left:32461;top:26365;width:6335;height:1921;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DcwQAAANsAAAAPAAAAZHJzL2Rvd25yZXYueG1sRE89a8Mw&#10;EN0D/Q/iCt1iqYGGxrUcQktKVtsZMl6sq21qnRxLjZ1/HxUK3e7xPi/bzrYXVxp951jDc6JAENfO&#10;dNxoOFb75SsIH5AN9o5Jw408bPOHRYapcRMXdC1DI2II+xQ1tCEMqZS+bsmiT9xAHLkvN1oMEY6N&#10;NCNOMdz2cqXUWlrsODa0ONB7S/V3+WM1XD7rl2K6qFVD55NxaldV+/Ch9dPjvHsDEWgO/+I/98HE&#10;+Rv4/SUeIPM7AAAA//8DAFBLAQItABQABgAIAAAAIQDb4fbL7gAAAIUBAAATAAAAAAAAAAAAAAAA&#10;AAAAAABbQ29udGVudF9UeXBlc10ueG1sUEsBAi0AFAAGAAgAAAAhAFr0LFu/AAAAFQEAAAsAAAAA&#10;AAAAAAAAAAAAHwEAAF9yZWxzLy5yZWxzUEsBAi0AFAAGAAgAAAAhAPSgANzBAAAA2wAAAA8AAAAA&#10;AAAAAAAAAAAABwIAAGRycy9kb3ducmV2LnhtbFBLBQYAAAAAAwADALcAAAD1AgAAAAA=&#10;" adj="13674" strokecolor="#4472c4 [3204]" strokeweight="4.5pt">
                  <v:stroke startarrow="oval" endarrow="block" joinstyle="miter"/>
                </v:shape>
                <v:shape id="Zakřivená spojnice 65" o:spid="_x0000_s1095" type="#_x0000_t37" style="position:absolute;left:32461;top:26365;width:5774;height:837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atSwAAAANsAAAAPAAAAZHJzL2Rvd25yZXYueG1sRE9La8JA&#10;EL4L/odlCr2IbhQibeoqWij06gPb45idJmmysyE7avz37kHw+PG9F6veNepCXag8G5hOElDEubcV&#10;FwYO+6/xG6ggyBYbz2TgRgFWy+FggZn1V97SZSeFiiEcMjRQirSZ1iEvyWGY+JY4cn++cygRdoW2&#10;HV5juGv0LEnm2mHFsaHElj5Lyuvd2RloU/97Y3k/beujnEc/6X6T1v/GvL706w9QQr08xQ/3tzUw&#10;i+vjl/gD9PIOAAD//wMAUEsBAi0AFAAGAAgAAAAhANvh9svuAAAAhQEAABMAAAAAAAAAAAAAAAAA&#10;AAAAAFtDb250ZW50X1R5cGVzXS54bWxQSwECLQAUAAYACAAAACEAWvQsW78AAAAVAQAACwAAAAAA&#10;AAAAAAAAAAAfAQAAX3JlbHMvLnJlbHNQSwECLQAUAAYACAAAACEANFmrUsAAAADbAAAADwAAAAAA&#10;AAAAAAAAAAAHAgAAZHJzL2Rvd25yZXYueG1sUEsFBgAAAAADAAMAtwAAAPQCAAAAAA==&#10;" strokecolor="#4472c4 [3204]" strokeweight="4.5pt">
                  <v:stroke startarrow="oval" endarrow="block" joinstyle="miter"/>
                </v:shape>
                <v:shape id="Zakřivená spojnice 88" o:spid="_x0000_s1096" type="#_x0000_t37" style="position:absolute;left:46139;top:23126;width:7592;height:2406;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COwwAAANsAAAAPAAAAZHJzL2Rvd25yZXYueG1sRI/BasMw&#10;EETvhfyD2EBvjVwfSuNENmlCoCWn2i3kuFhry8RaGUuJ3b+vCoUch5l5w2yL2fbiRqPvHCt4XiUg&#10;iGunO24VfFXHp1cQPiBr7B2Tgh/yUOSLhy1m2k38SbcytCJC2GeowIQwZFL62pBFv3IDcfQaN1oM&#10;UY6t1CNOEW57mSbJi7TYcVwwONDeUH0pr1bBqdLXtTkcTueZyvLje2rcGzVKPS7n3QZEoDncw//t&#10;d60gTeHvS/wBMv8FAAD//wMAUEsBAi0AFAAGAAgAAAAhANvh9svuAAAAhQEAABMAAAAAAAAAAAAA&#10;AAAAAAAAAFtDb250ZW50X1R5cGVzXS54bWxQSwECLQAUAAYACAAAACEAWvQsW78AAAAVAQAACwAA&#10;AAAAAAAAAAAAAAAfAQAAX3JlbHMvLnJlbHNQSwECLQAUAAYACAAAACEA1vJQjsMAAADbAAAADwAA&#10;AAAAAAAAAAAAAAAHAgAAZHJzL2Rvd25yZXYueG1sUEsFBgAAAAADAAMAtwAAAPcCAAAAAA==&#10;" strokecolor="#ed7d31 [3205]" strokeweight=".5pt">
                  <v:stroke startarrow="oval" endarrow="block" joinstyle="miter"/>
                </v:shape>
                <v:shape id="Zakřivená spojnice 91" o:spid="_x0000_s1097" type="#_x0000_t37" style="position:absolute;left:40157;top:23926;width:16674;height:10006;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vUVwwAAANsAAAAPAAAAZHJzL2Rvd25yZXYueG1sRI9Ba8JA&#10;FITvQv/D8gq96aYWikZXsYpQ8WTSgsdH9iUbzL4N2dWk/94tCB6HmfmGWa4H24gbdb52rOB9koAg&#10;LpyuuVLwk+/HMxA+IGtsHJOCP/KwXr2Mlphq1/OJblmoRISwT1GBCaFNpfSFIYt+4lri6JWusxii&#10;7CqpO+wj3DZymiSf0mLNccFgS1tDxSW7WgXHXF/nZrc7ngfKssNvX7ovKpV6ex02CxCBhvAMP9rf&#10;WsH0A/6/xB8gV3cAAAD//wMAUEsBAi0AFAAGAAgAAAAhANvh9svuAAAAhQEAABMAAAAAAAAAAAAA&#10;AAAAAAAAAFtDb250ZW50X1R5cGVzXS54bWxQSwECLQAUAAYACAAAACEAWvQsW78AAAAVAQAACwAA&#10;AAAAAAAAAAAAAAAfAQAAX3JlbHMvLnJlbHNQSwECLQAUAAYACAAAACEAub71FcMAAADbAAAADwAA&#10;AAAAAAAAAAAAAAAHAgAAZHJzL2Rvd25yZXYueG1sUEsFBgAAAAADAAMAtwAAAPcCAAAAAA==&#10;" strokecolor="#ed7d31 [3205]" strokeweight=".5pt">
                  <v:stroke startarrow="oval" endarrow="block" joinstyle="miter"/>
                </v:shape>
                <v:shape id="Zakřivená spojnice 91" o:spid="_x0000_s1098" type="#_x0000_t37" style="position:absolute;left:26746;top:24764;width:18246;height:516;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JaxAAAANsAAAAPAAAAZHJzL2Rvd25yZXYueG1sRI9Ba8JA&#10;FITvQv/D8gq96SZpiRLdSBEsheLBpBSPj+wzCc2+Dburpv++Wyh4HGbmG2azncwgruR8b1lBukhA&#10;EDdW99wq+Kz38xUIH5A1DpZJwQ952JYPsw0W2t74SNcqtCJC2BeooAthLKT0TUcG/cKOxNE7W2cw&#10;ROlaqR3eItwMMkuSXBrsOS50ONKuo+a7uhgFnFb1Hk8fB9u/ZYcsf8Yvl+VKPT1Or2sQgaZwD/+3&#10;37WClyX8fYk/QJa/AAAA//8DAFBLAQItABQABgAIAAAAIQDb4fbL7gAAAIUBAAATAAAAAAAAAAAA&#10;AAAAAAAAAABbQ29udGVudF9UeXBlc10ueG1sUEsBAi0AFAAGAAgAAAAhAFr0LFu/AAAAFQEAAAsA&#10;AAAAAAAAAAAAAAAAHwEAAF9yZWxzLy5yZWxzUEsBAi0AFAAGAAgAAAAhADPrAlrEAAAA2wAAAA8A&#10;AAAAAAAAAAAAAAAABwIAAGRycy9kb3ducmV2LnhtbFBLBQYAAAAAAwADALcAAAD4AgAAAAA=&#10;" strokecolor="#ed7d31 [3205]" strokeweight=".5pt">
                  <v:stroke startarrow="oval" endarrow="block" joinstyle="miter"/>
                </v:shape>
                <v:shape id="Zakřivená spojnice 131" o:spid="_x0000_s1099" type="#_x0000_t38" style="position:absolute;left:41910;top:32537;width:2082;height:1238;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XcwgAAANsAAAAPAAAAZHJzL2Rvd25yZXYueG1sRI/NasMw&#10;EITvhbyD2EJujVxDSnAih9ZQ6CUt+XmAxVrLJtZKSErivH1UKPQ4zMw3zGY72VFcKcTBsYLXRQGC&#10;uHV6YKPgdPx8WYGICVnj6JgU3CnCtp49bbDS7sZ7uh6SERnCsUIFfUq+kjK2PVmMC+eJs9e5YDFl&#10;GYzUAW8ZbkdZFsWbtDhwXujRU9NTez5crAJalc2HicHvdvvu5H/M9yAbUmr+PL2vQSSa0n/4r/2l&#10;FZRL+P2Sf4CsHwAAAP//AwBQSwECLQAUAAYACAAAACEA2+H2y+4AAACFAQAAEwAAAAAAAAAAAAAA&#10;AAAAAAAAW0NvbnRlbnRfVHlwZXNdLnhtbFBLAQItABQABgAIAAAAIQBa9CxbvwAAABUBAAALAAAA&#10;AAAAAAAAAAAAAB8BAABfcmVscy8ucmVsc1BLAQItABQABgAIAAAAIQCEEeXcwgAAANsAAAAPAAAA&#10;AAAAAAAAAAAAAAcCAABkcnMvZG93bnJldi54bWxQSwUGAAAAAAMAAwC3AAAA9gIAAAAA&#10;" adj="10800" strokecolor="#ed7d31 [3205]" strokeweight=".5pt">
                  <v:stroke startarrow="oval" endarrow="block" joinstyle="miter"/>
                </v:shape>
                <v:roundrect id="Textové pole 22" o:spid="_x0000_s1100" style="position:absolute;left:32842;top:34290;width:10604;height:5762;visibility:visible;mso-wrap-style:square;v-text-anchor:top" arcsize="167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oRwwAAANsAAAAPAAAAZHJzL2Rvd25yZXYueG1sRE9La8JA&#10;EL4L/Q/LFLxI3bRQG6IbqYXSHvRgUuh1zE7zMDsbsmtM/70rCN7m43vOaj2aVgzUu9qygud5BIK4&#10;sLrmUsFP/vkUg3AeWWNrmRT8k4N1+jBZYaLtmfc0ZL4UIYRdggoq77tESldUZNDNbUccuD/bG/QB&#10;9qXUPZ5DuGnlSxQtpMGaQ0OFHX1UVByzk1HAcrF728Zxt8lm+e/XYdMMR98oNX0c35cgPI3+Lr65&#10;v3WY/wrXX8IBMr0AAAD//wMAUEsBAi0AFAAGAAgAAAAhANvh9svuAAAAhQEAABMAAAAAAAAAAAAA&#10;AAAAAAAAAFtDb250ZW50X1R5cGVzXS54bWxQSwECLQAUAAYACAAAACEAWvQsW78AAAAVAQAACwAA&#10;AAAAAAAAAAAAAAAfAQAAX3JlbHMvLnJlbHNQSwECLQAUAAYACAAAACEAUol6EcMAAADbAAAADwAA&#10;AAAAAAAAAAAAAAAHAgAAZHJzL2Rvd25yZXYueG1sUEsFBgAAAAADAAMAtwAAAPcCAAAAAA==&#10;" fillcolor="#fff2cc [663]" strokeweight="3pt">
                  <v:textbox>
                    <w:txbxContent>
                      <w:p w14:paraId="18C57699" w14:textId="77777777" w:rsidR="00511D9B" w:rsidRPr="000E0BBC" w:rsidRDefault="00511D9B" w:rsidP="00C14739">
                        <w:pPr>
                          <w:pStyle w:val="Normlnweb"/>
                          <w:spacing w:line="180" w:lineRule="auto"/>
                          <w:jc w:val="center"/>
                          <w:rPr>
                            <w:sz w:val="20"/>
                            <w:szCs w:val="20"/>
                          </w:rPr>
                        </w:pPr>
                        <w:r w:rsidRPr="000E0BBC">
                          <w:rPr>
                            <w:rFonts w:ascii="Calibri" w:eastAsia="Calibri" w:hAnsi="Calibri"/>
                            <w:b/>
                            <w:bCs/>
                            <w:color w:val="000000" w:themeColor="text1"/>
                            <w:kern w:val="24"/>
                            <w:sz w:val="20"/>
                            <w:szCs w:val="20"/>
                          </w:rPr>
                          <w:t>Rozhodování a strategický přístup</w:t>
                        </w:r>
                      </w:p>
                    </w:txbxContent>
                  </v:textbox>
                </v:roundrect>
                <v:roundrect id="Textové pole 22" o:spid="_x0000_s1101" style="position:absolute;left:17602;top:228;width:11074;height:6770;visibility:visible;mso-wrap-style:square;v-text-anchor:top" arcsize="105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6ktxwAAAN0AAAAPAAAAZHJzL2Rvd25yZXYueG1sRI9ba8JA&#10;FITfhf6H5RT6Vje21Et0lSAIte1DvYD4dsgek7TZc0J21fTfdwsFH4eZ+YaZLTpXqwu1vhI2MOgn&#10;oIhzsRUXBva71eMYlA/IFmthMvBDHhbzu94MUytX3tBlGwoVIexTNFCG0KRa+7wkh74vDXH0TtI6&#10;DFG2hbYtXiPc1fopSYbaYcVxocSGliXl39uzM/A1ev9846U066M/ZB/HTFaJFmMe7rtsCipQF27h&#10;//arNfA8Gb7A35v4BPT8FwAA//8DAFBLAQItABQABgAIAAAAIQDb4fbL7gAAAIUBAAATAAAAAAAA&#10;AAAAAAAAAAAAAABbQ29udGVudF9UeXBlc10ueG1sUEsBAi0AFAAGAAgAAAAhAFr0LFu/AAAAFQEA&#10;AAsAAAAAAAAAAAAAAAAAHwEAAF9yZWxzLy5yZWxzUEsBAi0AFAAGAAgAAAAhALyjqS3HAAAA3QAA&#10;AA8AAAAAAAAAAAAAAAAABwIAAGRycy9kb3ducmV2LnhtbFBLBQYAAAAAAwADALcAAAD7AgAAAAA=&#10;" fillcolor="#ffc000" strokeweight="3pt">
                  <v:textbox>
                    <w:txbxContent>
                      <w:p w14:paraId="05C377E0" w14:textId="77777777" w:rsidR="00511D9B" w:rsidRPr="004653F9" w:rsidRDefault="00511D9B" w:rsidP="00C14739">
                        <w:pPr>
                          <w:pStyle w:val="Normlnweb"/>
                          <w:spacing w:line="180" w:lineRule="auto"/>
                          <w:jc w:val="center"/>
                          <w:rPr>
                            <w:sz w:val="20"/>
                            <w:szCs w:val="22"/>
                          </w:rPr>
                        </w:pPr>
                        <w:r w:rsidRPr="004653F9">
                          <w:rPr>
                            <w:rFonts w:ascii="Calibri" w:eastAsia="Calibri" w:hAnsi="Calibri"/>
                            <w:b/>
                            <w:bCs/>
                            <w:color w:val="000000" w:themeColor="text1"/>
                            <w:kern w:val="24"/>
                            <w:sz w:val="20"/>
                            <w:szCs w:val="22"/>
                          </w:rPr>
                          <w:t>Zdravé finanční řízení ve vazbě na strategick</w:t>
                        </w:r>
                        <w:r>
                          <w:rPr>
                            <w:rFonts w:ascii="Calibri" w:eastAsia="Calibri" w:hAnsi="Calibri"/>
                            <w:b/>
                            <w:bCs/>
                            <w:color w:val="000000" w:themeColor="text1"/>
                            <w:kern w:val="24"/>
                            <w:sz w:val="20"/>
                            <w:szCs w:val="22"/>
                          </w:rPr>
                          <w:t>ou</w:t>
                        </w:r>
                        <w:r w:rsidRPr="004653F9">
                          <w:rPr>
                            <w:rFonts w:ascii="Calibri" w:eastAsia="Calibri" w:hAnsi="Calibri"/>
                            <w:b/>
                            <w:bCs/>
                            <w:color w:val="000000" w:themeColor="text1"/>
                            <w:kern w:val="24"/>
                            <w:sz w:val="20"/>
                            <w:szCs w:val="22"/>
                          </w:rPr>
                          <w:t xml:space="preserve"> </w:t>
                        </w:r>
                        <w:r>
                          <w:rPr>
                            <w:rFonts w:ascii="Calibri" w:eastAsia="Calibri" w:hAnsi="Calibri"/>
                            <w:b/>
                            <w:bCs/>
                            <w:color w:val="000000" w:themeColor="text1"/>
                            <w:kern w:val="24"/>
                            <w:sz w:val="20"/>
                            <w:szCs w:val="22"/>
                          </w:rPr>
                          <w:t>práci</w:t>
                        </w:r>
                      </w:p>
                    </w:txbxContent>
                  </v:textbox>
                </v:roundrect>
                <v:shape id="Zakřivená spojnice 113" o:spid="_x0000_s1102" type="#_x0000_t37" style="position:absolute;left:19202;top:13868;width:14195;height:457;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f8xQAAAN0AAAAPAAAAZHJzL2Rvd25yZXYueG1sRI9Ba8JA&#10;FITvhf6H5RW8FN1YS9ToKlKVetUIenxkn0kw+zZk1xj/vSsUehxm5htmvuxMJVpqXGlZwXAQgSDO&#10;rC45V3BMt/0JCOeRNVaWScGDHCwX729zTLS9857ag89FgLBLUEHhfZ1I6bKCDLqBrYmDd7GNQR9k&#10;k0vd4D3ATSW/oiiWBksOCwXW9FNQdj3cjILrWOaPdn0enc336TPd1Ovj5DdVqvfRrWYgPHX+P/zX&#10;3mkFo2kcw+tNeAJy8QQAAP//AwBQSwECLQAUAAYACAAAACEA2+H2y+4AAACFAQAAEwAAAAAAAAAA&#10;AAAAAAAAAAAAW0NvbnRlbnRfVHlwZXNdLnhtbFBLAQItABQABgAIAAAAIQBa9CxbvwAAABUBAAAL&#10;AAAAAAAAAAAAAAAAAB8BAABfcmVscy8ucmVsc1BLAQItABQABgAIAAAAIQDDWZf8xQAAAN0AAAAP&#10;AAAAAAAAAAAAAAAAAAcCAABkcnMvZG93bnJldi54bWxQSwUGAAAAAAMAAwC3AAAA+QIAAAAA&#10;" strokecolor="#4472c4 [3204]" strokeweight="4.5pt">
                  <v:stroke startarrow="oval" endarrow="block" joinstyle="miter"/>
                </v:shape>
                <v:shape id="Zakřivená spojnice 128" o:spid="_x0000_s1103" type="#_x0000_t38" style="position:absolute;left:29184;top:4800;width:3493;height:4539;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QZxgAAAN0AAAAPAAAAZHJzL2Rvd25yZXYueG1sRI9Ba8JA&#10;FITvBf/D8oReSt1EIW1TV9GKEE+iFaS3x+5rEsy+Ddk1pv++KxR6HGbmG2a+HGwjeup87VhBOklA&#10;EGtnai4VnD63z68gfEA22DgmBT/kYbkYPcwxN+7GB+qPoRQRwj5HBVUIbS6l1xVZ9BPXEkfv23UW&#10;Q5RdKU2Htwi3jZwmSSYt1hwXKmzpoyJ9OV6tAp3uyH0V5/Qpu7j1ZtD7Aqe9Uo/jYfUOItAQ/sN/&#10;7cIomL1lL3B/E5+AXPwCAAD//wMAUEsBAi0AFAAGAAgAAAAhANvh9svuAAAAhQEAABMAAAAAAAAA&#10;AAAAAAAAAAAAAFtDb250ZW50X1R5cGVzXS54bWxQSwECLQAUAAYACAAAACEAWvQsW78AAAAVAQAA&#10;CwAAAAAAAAAAAAAAAAAfAQAAX3JlbHMvLnJlbHNQSwECLQAUAAYACAAAACEA4J8kGcYAAADdAAAA&#10;DwAAAAAAAAAAAAAAAAAHAgAAZHJzL2Rvd25yZXYueG1sUEsFBgAAAAADAAMAtwAAAPoCAAAAAA==&#10;" adj="10800" strokecolor="#ed7d31 [3205]" strokeweight=".5pt">
                  <v:stroke startarrow="block" endarrow="block" joinstyle="miter"/>
                </v:shape>
                <v:shape id="Zakřivená spojnice 128" o:spid="_x0000_s1104" type="#_x0000_t38" style="position:absolute;left:25489;top:9562;width:17348;height:12199;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5PxgAAAN0AAAAPAAAAZHJzL2Rvd25yZXYueG1sRI/NasMw&#10;EITvgb6D2EJviVznp8a1EtJCIReTNM0DLNZWNrVWxlIT5e2jQiHHYWa+YapNtL040+g7xwqeZxkI&#10;4sbpjo2C09fHtADhA7LG3jEpuJKHzfphUmGp3YU/6XwMRiQI+xIVtCEMpZS+acmin7mBOHnfbrQY&#10;khyN1CNeEtz2Ms+ylbTYcVpocaD3lpqf469VsK1jvWwW83p5kiFfmf0hvmVGqafHuH0FESiGe/i/&#10;vdMK5i9FDn9v0hOQ6xsAAAD//wMAUEsBAi0AFAAGAAgAAAAhANvh9svuAAAAhQEAABMAAAAAAAAA&#10;AAAAAAAAAAAAAFtDb250ZW50X1R5cGVzXS54bWxQSwECLQAUAAYACAAAACEAWvQsW78AAAAVAQAA&#10;CwAAAAAAAAAAAAAAAAAfAQAAX3JlbHMvLnJlbHNQSwECLQAUAAYACAAAACEAcqTOT8YAAADdAAAA&#10;DwAAAAAAAAAAAAAAAAAHAgAAZHJzL2Rvd25yZXYueG1sUEsFBgAAAAADAAMAtwAAAPoCAAAAAA==&#10;" adj="6491" strokecolor="#ed7d31 [3205]" strokeweight=".5pt">
                  <v:stroke startarrow="block" endarrow="block" joinstyle="miter"/>
                </v:shape>
                <v:shape id="Zakřivená spojnice 128" o:spid="_x0000_s1105" type="#_x0000_t38" style="position:absolute;left:17449;top:16840;width:27311;height:7651;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quwwAAAN0AAAAPAAAAZHJzL2Rvd25yZXYueG1sRI9Ba8JA&#10;FITvBf/D8gRvdVO1GlJXkdKAV6N4fuy+JrHZtyG7xuTfu4VCj8PMfMNs94NtRE+drx0reJsnIIi1&#10;MzWXCi7n/DUF4QOywcYxKRjJw343edliZtyDT9QXoRQRwj5DBVUIbSal1xVZ9HPXEkfv23UWQ5Rd&#10;KU2Hjwi3jVwkyVparDkuVNjSZ0X6p7hbBevVPf863carrm9pbs99od95VGo2HQ4fIAIN4T/81z4a&#10;BctNuoLfN/EJyN0TAAD//wMAUEsBAi0AFAAGAAgAAAAhANvh9svuAAAAhQEAABMAAAAAAAAAAAAA&#10;AAAAAAAAAFtDb250ZW50X1R5cGVzXS54bWxQSwECLQAUAAYACAAAACEAWvQsW78AAAAVAQAACwAA&#10;AAAAAAAAAAAAAAAfAQAAX3JlbHMvLnJlbHNQSwECLQAUAAYACAAAACEAMSW6rsMAAADdAAAADwAA&#10;AAAAAAAAAAAAAAAHAgAAZHJzL2Rvd25yZXYueG1sUEsFBgAAAAADAAMAtwAAAPcCAAAAAA==&#10;" adj="11960" strokecolor="#ed7d31 [3205]" strokeweight=".5pt">
                  <v:stroke startarrow="block" endarrow="block" joinstyle="miter"/>
                </v:shape>
                <v:shape id="Zakřivená spojnice 128" o:spid="_x0000_s1106" type="#_x0000_t38" style="position:absolute;left:18715;top:6396;width:3822;height:5026;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p18xAAAAN0AAAAPAAAAZHJzL2Rvd25yZXYueG1sRI9PawIx&#10;FMTvgt8hPMFbzaqgdTWKimIvFmrb+2Pz9o9uXsIm6vrtG6HgcZiZ3zCLVWtqcaPGV5YVDAcJCOLM&#10;6ooLBT/f+7d3ED4ga6wtk4IHeVgtu50Fptre+Ytup1CICGGfooIyBJdK6bOSDPqBdcTRy21jMETZ&#10;FFI3eI9wU8tRkkykwYrjQomOtiVll9PVKPh1ebKh/NPNzqOzOeyO1cX4h1L9XruegwjUhlf4v/2h&#10;FYyn0xk838QnIJd/AAAA//8DAFBLAQItABQABgAIAAAAIQDb4fbL7gAAAIUBAAATAAAAAAAAAAAA&#10;AAAAAAAAAABbQ29udGVudF9UeXBlc10ueG1sUEsBAi0AFAAGAAgAAAAhAFr0LFu/AAAAFQEAAAsA&#10;AAAAAAAAAAAAAAAAHwEAAF9yZWxzLy5yZWxzUEsBAi0AFAAGAAgAAAAhAJPinXzEAAAA3QAAAA8A&#10;AAAAAAAAAAAAAAAABwIAAGRycy9kb3ducmV2LnhtbFBLBQYAAAAAAwADALcAAAD4AgAAAAA=&#10;" adj="10800" strokecolor="#ed7d31 [3205]" strokeweight=".5pt">
                  <v:stroke startarrow="block" endarrow="block" joinstyle="miter"/>
                </v:shape>
              </v:group>
            </w:pict>
          </mc:Fallback>
        </mc:AlternateContent>
      </w:r>
    </w:p>
    <w:p w14:paraId="60DE00EA" w14:textId="3F58BF4A" w:rsidR="00C14739" w:rsidRDefault="00C14739" w:rsidP="00C14739">
      <w:pPr>
        <w:spacing w:after="120"/>
        <w:jc w:val="both"/>
        <w:rPr>
          <w:rFonts w:ascii="Calibri" w:hAnsi="Calibri" w:cs="Calibri"/>
        </w:rPr>
      </w:pPr>
    </w:p>
    <w:p w14:paraId="3FD60CCA" w14:textId="3BAAB8BE" w:rsidR="00C14739" w:rsidRDefault="00C14739" w:rsidP="00C14739">
      <w:pPr>
        <w:spacing w:after="120"/>
        <w:jc w:val="both"/>
        <w:rPr>
          <w:rFonts w:ascii="Calibri" w:hAnsi="Calibri" w:cs="Calibri"/>
        </w:rPr>
      </w:pPr>
    </w:p>
    <w:p w14:paraId="11B57DEC" w14:textId="12F0419B" w:rsidR="00C14739" w:rsidRDefault="00C14739" w:rsidP="00C14739">
      <w:pPr>
        <w:spacing w:after="120"/>
        <w:jc w:val="both"/>
        <w:rPr>
          <w:rFonts w:ascii="Calibri" w:hAnsi="Calibri" w:cs="Calibri"/>
        </w:rPr>
      </w:pPr>
    </w:p>
    <w:p w14:paraId="7AAC86B8" w14:textId="607C0EA9" w:rsidR="00C14739" w:rsidRDefault="00C14739" w:rsidP="00C14739">
      <w:pPr>
        <w:spacing w:after="120"/>
        <w:jc w:val="both"/>
        <w:rPr>
          <w:rFonts w:ascii="Calibri" w:hAnsi="Calibri" w:cs="Calibri"/>
        </w:rPr>
      </w:pPr>
    </w:p>
    <w:p w14:paraId="47B945B1" w14:textId="3048F45D" w:rsidR="00C14739" w:rsidRDefault="00C14739" w:rsidP="00C14739">
      <w:pPr>
        <w:spacing w:after="120"/>
        <w:jc w:val="both"/>
        <w:rPr>
          <w:rFonts w:ascii="Calibri" w:hAnsi="Calibri" w:cs="Calibri"/>
        </w:rPr>
      </w:pPr>
    </w:p>
    <w:p w14:paraId="29B37317" w14:textId="457B8FDE" w:rsidR="00C14739" w:rsidRDefault="00C14739" w:rsidP="00C14739">
      <w:pPr>
        <w:spacing w:after="120"/>
        <w:jc w:val="both"/>
        <w:rPr>
          <w:rFonts w:ascii="Calibri" w:hAnsi="Calibri" w:cs="Calibri"/>
        </w:rPr>
      </w:pPr>
    </w:p>
    <w:p w14:paraId="64530063" w14:textId="2AA29705" w:rsidR="00C14739" w:rsidRDefault="00C14739" w:rsidP="00C14739">
      <w:pPr>
        <w:spacing w:after="120"/>
        <w:jc w:val="both"/>
        <w:rPr>
          <w:rFonts w:ascii="Calibri" w:hAnsi="Calibri" w:cs="Calibri"/>
        </w:rPr>
      </w:pPr>
    </w:p>
    <w:p w14:paraId="5F42B74C" w14:textId="77777777" w:rsidR="00C14739" w:rsidRDefault="00C14739" w:rsidP="00C14739">
      <w:pPr>
        <w:spacing w:after="120"/>
        <w:jc w:val="both"/>
        <w:rPr>
          <w:rFonts w:ascii="Calibri" w:hAnsi="Calibri" w:cs="Calibri"/>
        </w:rPr>
      </w:pPr>
    </w:p>
    <w:p w14:paraId="1D7EB694" w14:textId="3A9A1ABE" w:rsidR="00C14739" w:rsidRDefault="00C14739" w:rsidP="00C14739">
      <w:pPr>
        <w:spacing w:after="120"/>
        <w:jc w:val="both"/>
        <w:rPr>
          <w:rFonts w:ascii="Calibri" w:hAnsi="Calibri" w:cs="Calibri"/>
        </w:rPr>
      </w:pPr>
    </w:p>
    <w:p w14:paraId="212F08AF" w14:textId="232DA22C" w:rsidR="00C14739" w:rsidRDefault="00C14739" w:rsidP="00C14739">
      <w:pPr>
        <w:spacing w:after="120"/>
        <w:jc w:val="both"/>
        <w:rPr>
          <w:rFonts w:ascii="Calibri" w:hAnsi="Calibri" w:cs="Calibri"/>
        </w:rPr>
      </w:pPr>
    </w:p>
    <w:p w14:paraId="246CEEE7" w14:textId="77777777" w:rsidR="00C14739" w:rsidRDefault="00C14739" w:rsidP="00C14739">
      <w:pPr>
        <w:pStyle w:val="A1-text"/>
        <w:spacing w:after="0"/>
        <w:rPr>
          <w:rFonts w:ascii="Calibri" w:hAnsi="Calibri"/>
          <w:i/>
          <w:iCs/>
          <w:lang w:val="cs-CZ"/>
        </w:rPr>
      </w:pPr>
    </w:p>
    <w:p w14:paraId="0215D8C8" w14:textId="77777777" w:rsidR="00C14739" w:rsidRDefault="00C14739" w:rsidP="00C14739">
      <w:pPr>
        <w:pStyle w:val="A1-text"/>
        <w:spacing w:after="0"/>
        <w:rPr>
          <w:rFonts w:ascii="Calibri" w:hAnsi="Calibri"/>
          <w:i/>
          <w:iCs/>
          <w:lang w:val="cs-CZ"/>
        </w:rPr>
      </w:pPr>
      <w:r w:rsidRPr="00DF7074">
        <w:rPr>
          <w:rFonts w:ascii="Calibri" w:hAnsi="Calibri"/>
          <w:i/>
          <w:iCs/>
          <w:lang w:val="cs-CZ"/>
        </w:rPr>
        <w:t>Zdroj: autoři</w:t>
      </w:r>
    </w:p>
    <w:p w14:paraId="2F93E644" w14:textId="77777777" w:rsidR="005363B4" w:rsidRDefault="005363B4" w:rsidP="005363B4">
      <w:pPr>
        <w:pStyle w:val="A1-text"/>
        <w:spacing w:after="0"/>
        <w:rPr>
          <w:rFonts w:ascii="Calibri" w:hAnsi="Calibri" w:cs="Calibri"/>
          <w:lang w:val="cs-CZ"/>
        </w:rPr>
      </w:pPr>
      <w:r>
        <w:rPr>
          <w:rFonts w:ascii="Calibri" w:hAnsi="Calibri" w:cs="Calibri"/>
          <w:lang w:val="cs-CZ"/>
        </w:rPr>
        <w:t>Nástroj ke zdravému finančnímu řízení má vazbu na všechny nástroje týkající se analýz. V rámci zdravého finančního řízení je nezbytné přijímat správná rozhodnutí a uplatňovat strategický přístup. Též je potřeba v rámci zdravého finančního řízení umět efektivně komunikovat.</w:t>
      </w:r>
    </w:p>
    <w:p w14:paraId="56200774" w14:textId="77777777" w:rsidR="00C14739" w:rsidRPr="00321874" w:rsidRDefault="00C14739" w:rsidP="00A03F50">
      <w:pPr>
        <w:tabs>
          <w:tab w:val="left" w:pos="4014"/>
        </w:tabs>
        <w:jc w:val="both"/>
        <w:rPr>
          <w:rFonts w:ascii="Calibri" w:hAnsi="Calibri"/>
        </w:rPr>
      </w:pPr>
    </w:p>
    <w:p w14:paraId="6E11AE4B" w14:textId="3FE4BC5E" w:rsidR="005363B4" w:rsidRDefault="00372E54" w:rsidP="00511D9B">
      <w:pPr>
        <w:tabs>
          <w:tab w:val="num" w:pos="720"/>
        </w:tabs>
        <w:jc w:val="both"/>
        <w:rPr>
          <w:rFonts w:ascii="Calibri" w:hAnsi="Calibri"/>
          <w:b/>
          <w:bCs/>
          <w:color w:val="7493B0"/>
          <w:sz w:val="32"/>
          <w:szCs w:val="28"/>
        </w:rPr>
      </w:pPr>
      <w:r w:rsidRPr="00F27A03">
        <w:rPr>
          <w:rFonts w:asciiTheme="minorHAnsi" w:hAnsiTheme="minorHAnsi" w:cstheme="minorHAnsi"/>
        </w:rPr>
        <w:t>Text</w:t>
      </w:r>
      <w:r w:rsidR="00AD3744" w:rsidRPr="00F27A03">
        <w:rPr>
          <w:rFonts w:asciiTheme="minorHAnsi" w:hAnsiTheme="minorHAnsi" w:cstheme="minorHAnsi"/>
        </w:rPr>
        <w:t xml:space="preserve"> </w:t>
      </w:r>
      <w:r w:rsidR="00893B13" w:rsidRPr="00F27A03">
        <w:rPr>
          <w:rFonts w:asciiTheme="minorHAnsi" w:hAnsiTheme="minorHAnsi" w:cstheme="minorHAnsi"/>
        </w:rPr>
        <w:t>vychází</w:t>
      </w:r>
      <w:r w:rsidR="00AD3744" w:rsidRPr="00F27A03">
        <w:rPr>
          <w:rFonts w:asciiTheme="minorHAnsi" w:hAnsiTheme="minorHAnsi" w:cstheme="minorHAnsi"/>
        </w:rPr>
        <w:t xml:space="preserve"> z výzkumu</w:t>
      </w:r>
      <w:r w:rsidR="00AD3744" w:rsidRPr="00F27A03">
        <w:rPr>
          <w:rStyle w:val="Znakapoznpodarou"/>
          <w:rFonts w:asciiTheme="minorHAnsi" w:hAnsiTheme="minorHAnsi" w:cstheme="minorHAnsi"/>
        </w:rPr>
        <w:footnoteReference w:id="2"/>
      </w:r>
      <w:r w:rsidR="00AD3744" w:rsidRPr="00F27A03">
        <w:rPr>
          <w:rFonts w:asciiTheme="minorHAnsi" w:hAnsiTheme="minorHAnsi" w:cstheme="minorHAnsi"/>
        </w:rPr>
        <w:t xml:space="preserve"> </w:t>
      </w:r>
      <w:r w:rsidRPr="00F27A03">
        <w:rPr>
          <w:rFonts w:asciiTheme="minorHAnsi" w:hAnsiTheme="minorHAnsi" w:cstheme="minorHAnsi"/>
        </w:rPr>
        <w:t xml:space="preserve">autorů týkající se </w:t>
      </w:r>
      <w:r w:rsidR="005A3A43" w:rsidRPr="00F27A03">
        <w:rPr>
          <w:rFonts w:asciiTheme="minorHAnsi" w:hAnsiTheme="minorHAnsi" w:cstheme="minorHAnsi"/>
        </w:rPr>
        <w:t xml:space="preserve">strategického </w:t>
      </w:r>
      <w:r w:rsidR="005A11F1" w:rsidRPr="00F27A03">
        <w:rPr>
          <w:rFonts w:asciiTheme="minorHAnsi" w:hAnsiTheme="minorHAnsi" w:cstheme="minorHAnsi"/>
        </w:rPr>
        <w:t>řízení</w:t>
      </w:r>
      <w:r w:rsidR="005A3A43" w:rsidRPr="00F27A03">
        <w:rPr>
          <w:rFonts w:asciiTheme="minorHAnsi" w:hAnsiTheme="minorHAnsi" w:cstheme="minorHAnsi"/>
        </w:rPr>
        <w:t xml:space="preserve"> a managementu ve veřejné správě.</w:t>
      </w:r>
      <w:bookmarkStart w:id="5" w:name="_Toc117269979"/>
      <w:r w:rsidR="005363B4">
        <w:rPr>
          <w:rFonts w:ascii="Calibri" w:hAnsi="Calibri"/>
          <w:color w:val="7493B0"/>
          <w:sz w:val="32"/>
        </w:rPr>
        <w:br w:type="page"/>
      </w:r>
    </w:p>
    <w:p w14:paraId="7563847B" w14:textId="312EDE44" w:rsidR="00F85B23" w:rsidRDefault="00F85B23" w:rsidP="00257CAD">
      <w:pPr>
        <w:pStyle w:val="Nadpis1"/>
        <w:spacing w:before="240" w:after="120"/>
        <w:ind w:left="431" w:hanging="431"/>
        <w:rPr>
          <w:rFonts w:ascii="Calibri" w:hAnsi="Calibri"/>
          <w:color w:val="7493B0"/>
          <w:sz w:val="32"/>
          <w:lang w:val="cs-CZ"/>
        </w:rPr>
      </w:pPr>
      <w:r>
        <w:rPr>
          <w:rFonts w:ascii="Calibri" w:hAnsi="Calibri"/>
          <w:color w:val="7493B0"/>
          <w:sz w:val="32"/>
          <w:lang w:val="cs-CZ"/>
        </w:rPr>
        <w:lastRenderedPageBreak/>
        <w:t>Výsledky analýzy</w:t>
      </w:r>
      <w:r w:rsidRPr="00F85B23">
        <w:rPr>
          <w:rFonts w:ascii="Calibri" w:hAnsi="Calibri"/>
          <w:color w:val="7493B0"/>
          <w:sz w:val="32"/>
          <w:lang w:val="cs-CZ"/>
        </w:rPr>
        <w:t xml:space="preserve"> propojení strategických dokumentů s finančními zdroji</w:t>
      </w:r>
      <w:bookmarkEnd w:id="5"/>
    </w:p>
    <w:p w14:paraId="50C717D4" w14:textId="6C6DFC02" w:rsidR="00945C50" w:rsidRDefault="00491680" w:rsidP="00945C50">
      <w:pPr>
        <w:jc w:val="both"/>
        <w:rPr>
          <w:rFonts w:asciiTheme="minorHAnsi" w:hAnsiTheme="minorHAnsi" w:cstheme="minorHAnsi"/>
        </w:rPr>
      </w:pPr>
      <w:r w:rsidRPr="00C447CF">
        <w:rPr>
          <w:rFonts w:asciiTheme="minorHAnsi" w:hAnsiTheme="minorHAnsi" w:cstheme="minorHAnsi"/>
        </w:rPr>
        <w:t>Analýzou celkem</w:t>
      </w:r>
      <w:r w:rsidR="00C47AD3" w:rsidRPr="00C447CF">
        <w:rPr>
          <w:rFonts w:asciiTheme="minorHAnsi" w:hAnsiTheme="minorHAnsi" w:cstheme="minorHAnsi"/>
        </w:rPr>
        <w:t xml:space="preserve"> 25 strategických dokumentů na národní, regionální </w:t>
      </w:r>
      <w:r w:rsidR="00721A56" w:rsidRPr="00C447CF">
        <w:rPr>
          <w:rFonts w:asciiTheme="minorHAnsi" w:hAnsiTheme="minorHAnsi" w:cstheme="minorHAnsi"/>
        </w:rPr>
        <w:t>i</w:t>
      </w:r>
      <w:r w:rsidR="00C47AD3" w:rsidRPr="00C447CF">
        <w:rPr>
          <w:rFonts w:asciiTheme="minorHAnsi" w:hAnsiTheme="minorHAnsi" w:cstheme="minorHAnsi"/>
        </w:rPr>
        <w:t xml:space="preserve"> lokální úrovni</w:t>
      </w:r>
      <w:r w:rsidRPr="00C447CF">
        <w:rPr>
          <w:rFonts w:asciiTheme="minorHAnsi" w:hAnsiTheme="minorHAnsi" w:cstheme="minorHAnsi"/>
        </w:rPr>
        <w:t xml:space="preserve"> byla prokázána n</w:t>
      </w:r>
      <w:r w:rsidR="006427DF" w:rsidRPr="00C447CF">
        <w:rPr>
          <w:rFonts w:asciiTheme="minorHAnsi" w:hAnsiTheme="minorHAnsi" w:cstheme="minorHAnsi"/>
        </w:rPr>
        <w:t>adprůměrná</w:t>
      </w:r>
      <w:r w:rsidR="00C47AD3" w:rsidRPr="00C447CF">
        <w:rPr>
          <w:rFonts w:asciiTheme="minorHAnsi" w:hAnsiTheme="minorHAnsi" w:cstheme="minorHAnsi"/>
        </w:rPr>
        <w:t xml:space="preserve"> propojenost s finančními aspekty </w:t>
      </w:r>
      <w:r w:rsidR="006427DF" w:rsidRPr="00C447CF">
        <w:rPr>
          <w:rFonts w:asciiTheme="minorHAnsi" w:hAnsiTheme="minorHAnsi" w:cstheme="minorHAnsi"/>
        </w:rPr>
        <w:t>u</w:t>
      </w:r>
      <w:r w:rsidR="00C47AD3" w:rsidRPr="00C447CF">
        <w:rPr>
          <w:rFonts w:asciiTheme="minorHAnsi" w:hAnsiTheme="minorHAnsi" w:cstheme="minorHAnsi"/>
        </w:rPr>
        <w:t xml:space="preserve"> strategick</w:t>
      </w:r>
      <w:r w:rsidR="006427DF" w:rsidRPr="00C447CF">
        <w:rPr>
          <w:rFonts w:asciiTheme="minorHAnsi" w:hAnsiTheme="minorHAnsi" w:cstheme="minorHAnsi"/>
        </w:rPr>
        <w:t>ých</w:t>
      </w:r>
      <w:r w:rsidR="00C47AD3" w:rsidRPr="00C447CF">
        <w:rPr>
          <w:rFonts w:asciiTheme="minorHAnsi" w:hAnsiTheme="minorHAnsi" w:cstheme="minorHAnsi"/>
        </w:rPr>
        <w:t xml:space="preserve"> dokument</w:t>
      </w:r>
      <w:r w:rsidR="006427DF" w:rsidRPr="00C447CF">
        <w:rPr>
          <w:rFonts w:asciiTheme="minorHAnsi" w:hAnsiTheme="minorHAnsi" w:cstheme="minorHAnsi"/>
        </w:rPr>
        <w:t xml:space="preserve">ů </w:t>
      </w:r>
      <w:r w:rsidR="00C47AD3" w:rsidRPr="00C447CF">
        <w:rPr>
          <w:rFonts w:asciiTheme="minorHAnsi" w:hAnsiTheme="minorHAnsi" w:cstheme="minorHAnsi"/>
        </w:rPr>
        <w:t>spojen</w:t>
      </w:r>
      <w:r w:rsidR="006427DF" w:rsidRPr="00C447CF">
        <w:rPr>
          <w:rFonts w:asciiTheme="minorHAnsi" w:hAnsiTheme="minorHAnsi" w:cstheme="minorHAnsi"/>
        </w:rPr>
        <w:t>ých</w:t>
      </w:r>
      <w:r w:rsidR="00C47AD3" w:rsidRPr="00C447CF">
        <w:rPr>
          <w:rFonts w:asciiTheme="minorHAnsi" w:hAnsiTheme="minorHAnsi" w:cstheme="minorHAnsi"/>
        </w:rPr>
        <w:t xml:space="preserve"> s určitým specificky vymezeným územím</w:t>
      </w:r>
      <w:r w:rsidR="006427DF" w:rsidRPr="00C447CF">
        <w:rPr>
          <w:rFonts w:asciiTheme="minorHAnsi" w:hAnsiTheme="minorHAnsi" w:cstheme="minorHAnsi"/>
        </w:rPr>
        <w:t>,</w:t>
      </w:r>
      <w:r w:rsidR="00C47AD3" w:rsidRPr="00C447CF">
        <w:rPr>
          <w:rFonts w:asciiTheme="minorHAnsi" w:hAnsiTheme="minorHAnsi" w:cstheme="minorHAnsi"/>
        </w:rPr>
        <w:t xml:space="preserve"> </w:t>
      </w:r>
      <w:r w:rsidR="006427DF" w:rsidRPr="00C447CF">
        <w:rPr>
          <w:rFonts w:asciiTheme="minorHAnsi" w:hAnsiTheme="minorHAnsi" w:cstheme="minorHAnsi"/>
        </w:rPr>
        <w:t>jako je například</w:t>
      </w:r>
      <w:r w:rsidR="00C47AD3" w:rsidRPr="00C447CF">
        <w:rPr>
          <w:rFonts w:asciiTheme="minorHAnsi" w:hAnsiTheme="minorHAnsi" w:cstheme="minorHAnsi"/>
        </w:rPr>
        <w:t xml:space="preserve"> metropolitní oblast, území Místní akční skupiny</w:t>
      </w:r>
      <w:r w:rsidR="006427DF" w:rsidRPr="00C447CF">
        <w:rPr>
          <w:rFonts w:asciiTheme="minorHAnsi" w:hAnsiTheme="minorHAnsi" w:cstheme="minorHAnsi"/>
        </w:rPr>
        <w:t xml:space="preserve"> či</w:t>
      </w:r>
      <w:r w:rsidR="00C47AD3" w:rsidRPr="00C447CF">
        <w:rPr>
          <w:rFonts w:asciiTheme="minorHAnsi" w:hAnsiTheme="minorHAnsi" w:cstheme="minorHAnsi"/>
        </w:rPr>
        <w:t xml:space="preserve"> Evropské seskupení pro územní spolupráci</w:t>
      </w:r>
      <w:r w:rsidRPr="00C447CF">
        <w:rPr>
          <w:rFonts w:asciiTheme="minorHAnsi" w:hAnsiTheme="minorHAnsi" w:cstheme="minorHAnsi"/>
        </w:rPr>
        <w:t xml:space="preserve"> </w:t>
      </w:r>
      <w:r w:rsidRPr="00C447CF">
        <w:rPr>
          <w:rFonts w:asciiTheme="minorHAnsi" w:hAnsiTheme="minorHAnsi" w:cstheme="minorHAnsi"/>
          <w:bCs/>
        </w:rPr>
        <w:t>(</w:t>
      </w:r>
      <w:r w:rsidR="00A2641D" w:rsidRPr="00C447CF">
        <w:rPr>
          <w:rFonts w:asciiTheme="minorHAnsi" w:hAnsiTheme="minorHAnsi" w:cstheme="minorHAnsi"/>
        </w:rPr>
        <w:t>Hruška, L. a kol.,</w:t>
      </w:r>
      <w:r w:rsidRPr="00C447CF">
        <w:rPr>
          <w:rFonts w:asciiTheme="minorHAnsi" w:hAnsiTheme="minorHAnsi" w:cstheme="minorHAnsi"/>
          <w:color w:val="222222"/>
          <w:shd w:val="clear" w:color="auto" w:fill="FFFFFF"/>
        </w:rPr>
        <w:t xml:space="preserve"> 2022a)</w:t>
      </w:r>
      <w:r w:rsidR="00C47AD3" w:rsidRPr="00C447CF">
        <w:rPr>
          <w:rFonts w:asciiTheme="minorHAnsi" w:hAnsiTheme="minorHAnsi" w:cstheme="minorHAnsi"/>
        </w:rPr>
        <w:t xml:space="preserve">. </w:t>
      </w:r>
      <w:r w:rsidR="00C447CF">
        <w:rPr>
          <w:rFonts w:asciiTheme="minorHAnsi" w:hAnsiTheme="minorHAnsi" w:cstheme="minorHAnsi"/>
        </w:rPr>
        <w:t xml:space="preserve">Dokument zahrnující analýzu je dostupný </w:t>
      </w:r>
      <w:r w:rsidR="00BD7F26">
        <w:rPr>
          <w:rFonts w:asciiTheme="minorHAnsi" w:hAnsiTheme="minorHAnsi" w:cstheme="minorHAnsi"/>
        </w:rPr>
        <w:t>na „P</w:t>
      </w:r>
      <w:r w:rsidR="001B4BBD">
        <w:rPr>
          <w:rFonts w:asciiTheme="minorHAnsi" w:hAnsiTheme="minorHAnsi" w:cstheme="minorHAnsi"/>
        </w:rPr>
        <w:t>ortálu strategické práce v</w:t>
      </w:r>
      <w:r w:rsidR="00BD7F26">
        <w:rPr>
          <w:rFonts w:asciiTheme="minorHAnsi" w:hAnsiTheme="minorHAnsi" w:cstheme="minorHAnsi"/>
        </w:rPr>
        <w:t> </w:t>
      </w:r>
      <w:r w:rsidR="001B4BBD">
        <w:rPr>
          <w:rFonts w:asciiTheme="minorHAnsi" w:hAnsiTheme="minorHAnsi" w:cstheme="minorHAnsi"/>
        </w:rPr>
        <w:t>ČR</w:t>
      </w:r>
      <w:r w:rsidR="00BD7F26">
        <w:rPr>
          <w:rFonts w:asciiTheme="minorHAnsi" w:hAnsiTheme="minorHAnsi" w:cstheme="minorHAnsi"/>
        </w:rPr>
        <w:t>“</w:t>
      </w:r>
      <w:r w:rsidR="00C447CF">
        <w:rPr>
          <w:rFonts w:asciiTheme="minorHAnsi" w:hAnsiTheme="minorHAnsi" w:cstheme="minorHAnsi"/>
        </w:rPr>
        <w:t xml:space="preserve"> společně s příklady dobré praxe a metodickým doporučením.</w:t>
      </w:r>
      <w:r w:rsidR="00C447CF">
        <w:rPr>
          <w:rStyle w:val="Znakapoznpodarou"/>
          <w:rFonts w:asciiTheme="minorHAnsi" w:hAnsiTheme="minorHAnsi" w:cstheme="minorHAnsi"/>
        </w:rPr>
        <w:footnoteReference w:id="3"/>
      </w:r>
    </w:p>
    <w:p w14:paraId="5CE0ED8F" w14:textId="77777777" w:rsidR="00C447CF" w:rsidRPr="00C447CF" w:rsidRDefault="00C447CF" w:rsidP="00945C50">
      <w:pPr>
        <w:jc w:val="both"/>
        <w:rPr>
          <w:rFonts w:asciiTheme="minorHAnsi" w:hAnsiTheme="minorHAnsi" w:cstheme="minorHAnsi"/>
        </w:rPr>
      </w:pPr>
    </w:p>
    <w:p w14:paraId="2E92D624" w14:textId="621C9B82" w:rsidR="00C47AD3" w:rsidRPr="00C447CF" w:rsidRDefault="00C47AD3" w:rsidP="008D4D8F">
      <w:pPr>
        <w:jc w:val="both"/>
        <w:rPr>
          <w:rFonts w:asciiTheme="minorHAnsi" w:hAnsiTheme="minorHAnsi" w:cstheme="minorHAnsi"/>
        </w:rPr>
      </w:pPr>
      <w:r w:rsidRPr="00C447CF">
        <w:rPr>
          <w:rFonts w:asciiTheme="minorHAnsi" w:hAnsiTheme="minorHAnsi" w:cstheme="minorHAnsi"/>
        </w:rPr>
        <w:t xml:space="preserve">Hodnocené dokumenty na </w:t>
      </w:r>
      <w:r w:rsidRPr="00C447CF">
        <w:rPr>
          <w:rFonts w:asciiTheme="minorHAnsi" w:hAnsiTheme="minorHAnsi" w:cstheme="minorHAnsi"/>
          <w:b/>
          <w:bCs/>
        </w:rPr>
        <w:t>národní úrovni</w:t>
      </w:r>
      <w:r w:rsidRPr="00C447CF">
        <w:rPr>
          <w:rFonts w:asciiTheme="minorHAnsi" w:hAnsiTheme="minorHAnsi" w:cstheme="minorHAnsi"/>
        </w:rPr>
        <w:t xml:space="preserve"> souhrnně vykazují </w:t>
      </w:r>
      <w:r w:rsidR="00945C50" w:rsidRPr="00C447CF">
        <w:rPr>
          <w:rFonts w:asciiTheme="minorHAnsi" w:hAnsiTheme="minorHAnsi" w:cstheme="minorHAnsi"/>
        </w:rPr>
        <w:t xml:space="preserve">souhrnně </w:t>
      </w:r>
      <w:r w:rsidRPr="00C447CF">
        <w:rPr>
          <w:rFonts w:asciiTheme="minorHAnsi" w:hAnsiTheme="minorHAnsi" w:cstheme="minorHAnsi"/>
        </w:rPr>
        <w:t>průměrnou propojenost s finančními aspekty</w:t>
      </w:r>
      <w:r w:rsidR="00945C50" w:rsidRPr="00C447CF">
        <w:rPr>
          <w:rFonts w:asciiTheme="minorHAnsi" w:hAnsiTheme="minorHAnsi" w:cstheme="minorHAnsi"/>
        </w:rPr>
        <w:t>, hodnocení řady analyzovaných dokumentů této úrovně však</w:t>
      </w:r>
      <w:r w:rsidRPr="00C447CF">
        <w:rPr>
          <w:rFonts w:asciiTheme="minorHAnsi" w:hAnsiTheme="minorHAnsi" w:cstheme="minorHAnsi"/>
        </w:rPr>
        <w:t xml:space="preserve"> bylo nejnižší </w:t>
      </w:r>
      <w:r w:rsidR="006427DF" w:rsidRPr="00C447CF">
        <w:rPr>
          <w:rFonts w:asciiTheme="minorHAnsi" w:hAnsiTheme="minorHAnsi" w:cstheme="minorHAnsi"/>
        </w:rPr>
        <w:t>ve</w:t>
      </w:r>
      <w:r w:rsidRPr="00C447CF">
        <w:rPr>
          <w:rFonts w:asciiTheme="minorHAnsi" w:hAnsiTheme="minorHAnsi" w:cstheme="minorHAnsi"/>
        </w:rPr>
        <w:t xml:space="preserve"> všech hodnocených úrovní</w:t>
      </w:r>
      <w:r w:rsidR="006427DF" w:rsidRPr="00C447CF">
        <w:rPr>
          <w:rFonts w:asciiTheme="minorHAnsi" w:hAnsiTheme="minorHAnsi" w:cstheme="minorHAnsi"/>
        </w:rPr>
        <w:t>ch</w:t>
      </w:r>
      <w:r w:rsidRPr="00C447CF">
        <w:rPr>
          <w:rFonts w:asciiTheme="minorHAnsi" w:hAnsiTheme="minorHAnsi" w:cstheme="minorHAnsi"/>
        </w:rPr>
        <w:t xml:space="preserve">. Zásadním nedostatkem je chybějící finanční aspekt u řady opatření/aktivit v rámci jednotlivých dokumentů, jedná se ale vždy o menší podíl z celkového počtu opatření v dokumentu. Problematická jsou rovněž období, na která jsou finanční náklady stanoveny. Analyzované dokumenty na </w:t>
      </w:r>
      <w:r w:rsidRPr="00C447CF">
        <w:rPr>
          <w:rFonts w:asciiTheme="minorHAnsi" w:hAnsiTheme="minorHAnsi" w:cstheme="minorHAnsi"/>
          <w:b/>
          <w:bCs/>
        </w:rPr>
        <w:t>krajské úrovni</w:t>
      </w:r>
      <w:r w:rsidRPr="00C447CF">
        <w:rPr>
          <w:rFonts w:asciiTheme="minorHAnsi" w:hAnsiTheme="minorHAnsi" w:cstheme="minorHAnsi"/>
        </w:rPr>
        <w:t xml:space="preserve"> obsahují nadprůměrné propojení s finančními aspekty. Nutno však podot</w:t>
      </w:r>
      <w:r w:rsidR="009E5F75">
        <w:rPr>
          <w:rFonts w:asciiTheme="minorHAnsi" w:hAnsiTheme="minorHAnsi" w:cstheme="minorHAnsi"/>
        </w:rPr>
        <w:t>k</w:t>
      </w:r>
      <w:r w:rsidRPr="00C447CF">
        <w:rPr>
          <w:rFonts w:asciiTheme="minorHAnsi" w:hAnsiTheme="minorHAnsi" w:cstheme="minorHAnsi"/>
        </w:rPr>
        <w:t xml:space="preserve">nout, že vybrané dokumenty v podobě plánů rozvoje kraje jsou mezi podobnými krajskými dokumenty spíše výjimkou. U zbylých dokumentů lze zase předpokládat, že vyšší míra finančního propojení je dána tím, že jsou konkrétně zaměřeny na specifické oblasti a umožňují tak relevantnější odhad financí. </w:t>
      </w:r>
      <w:r w:rsidR="00F93C5B" w:rsidRPr="00C447CF">
        <w:rPr>
          <w:rFonts w:asciiTheme="minorHAnsi" w:hAnsiTheme="minorHAnsi" w:cstheme="minorHAnsi"/>
        </w:rPr>
        <w:t xml:space="preserve"> </w:t>
      </w:r>
      <w:r w:rsidRPr="00C447CF">
        <w:rPr>
          <w:rFonts w:asciiTheme="minorHAnsi" w:hAnsiTheme="minorHAnsi" w:cstheme="minorHAnsi"/>
        </w:rPr>
        <w:t xml:space="preserve">Ve skupině dokumentů </w:t>
      </w:r>
      <w:r w:rsidRPr="00C447CF">
        <w:rPr>
          <w:rFonts w:asciiTheme="minorHAnsi" w:hAnsiTheme="minorHAnsi" w:cstheme="minorHAnsi"/>
          <w:b/>
          <w:bCs/>
        </w:rPr>
        <w:t>lokální úrovn</w:t>
      </w:r>
      <w:r w:rsidR="001C7D8A" w:rsidRPr="00C447CF">
        <w:rPr>
          <w:rFonts w:asciiTheme="minorHAnsi" w:hAnsiTheme="minorHAnsi" w:cstheme="minorHAnsi"/>
          <w:b/>
          <w:bCs/>
        </w:rPr>
        <w:t>ě</w:t>
      </w:r>
      <w:r w:rsidRPr="00C447CF">
        <w:rPr>
          <w:rFonts w:asciiTheme="minorHAnsi" w:hAnsiTheme="minorHAnsi" w:cstheme="minorHAnsi"/>
        </w:rPr>
        <w:t xml:space="preserve"> (krajská města, ORP a obce nižšího stupně) </w:t>
      </w:r>
      <w:r w:rsidR="001C7D8A" w:rsidRPr="00C447CF">
        <w:rPr>
          <w:rFonts w:asciiTheme="minorHAnsi" w:hAnsiTheme="minorHAnsi" w:cstheme="minorHAnsi"/>
        </w:rPr>
        <w:t xml:space="preserve">jsou analyzované dokumenty </w:t>
      </w:r>
      <w:r w:rsidR="00316A2F" w:rsidRPr="00C447CF">
        <w:rPr>
          <w:rFonts w:asciiTheme="minorHAnsi" w:hAnsiTheme="minorHAnsi" w:cstheme="minorHAnsi"/>
        </w:rPr>
        <w:t xml:space="preserve">souhrnně </w:t>
      </w:r>
      <w:r w:rsidR="001C7D8A" w:rsidRPr="00C447CF">
        <w:rPr>
          <w:rFonts w:asciiTheme="minorHAnsi" w:hAnsiTheme="minorHAnsi" w:cstheme="minorHAnsi"/>
        </w:rPr>
        <w:t xml:space="preserve">hodnoceny </w:t>
      </w:r>
      <w:r w:rsidRPr="00C447CF">
        <w:rPr>
          <w:rFonts w:asciiTheme="minorHAnsi" w:hAnsiTheme="minorHAnsi" w:cstheme="minorHAnsi"/>
        </w:rPr>
        <w:t>podprůměrnými výsledky. Finanční aspekty jsou v těchto dokumentech řešeny téměř vždy na úrovni akční</w:t>
      </w:r>
      <w:r w:rsidR="009E5F75">
        <w:rPr>
          <w:rFonts w:asciiTheme="minorHAnsi" w:hAnsiTheme="minorHAnsi" w:cstheme="minorHAnsi"/>
        </w:rPr>
        <w:t>ch</w:t>
      </w:r>
      <w:r w:rsidRPr="00C447CF">
        <w:rPr>
          <w:rFonts w:asciiTheme="minorHAnsi" w:hAnsiTheme="minorHAnsi" w:cstheme="minorHAnsi"/>
        </w:rPr>
        <w:t xml:space="preserve"> plánů. V těch se nacházejí konkrétní projekty k realizaci, což výrazně ulehčuje identifikovat finanční aspekt jejich realizace. Definovány jsou i zdroje financí, ale dokument již neuvádí, jaké se očekává rozložení nákladů mezi tyto zdroje. Pro zbytek plánovaných akcí využívají tzv. „zásobníky projektů“, kde jsou uchovávány projekty k realizaci na další období při dostupnosti financí. Z tohoto přístupu však mohou vznikat také problémy. V rámci dokumentů mnohdy nedochází k dlouhodobému plánování financí na celé období jeho platnosti. Zároveň je podmínkou pro fungování tohoto přístupu pravidelné zpracovávání akčních plánu, což se v mnoha případech neděje. Akční </w:t>
      </w:r>
      <w:r w:rsidRPr="00C447CF">
        <w:rPr>
          <w:rFonts w:asciiTheme="minorHAnsi" w:hAnsiTheme="minorHAnsi" w:cstheme="minorHAnsi"/>
        </w:rPr>
        <w:lastRenderedPageBreak/>
        <w:t xml:space="preserve">plány se nejčastěji zpracovávají pouze na první období platnosti </w:t>
      </w:r>
      <w:r w:rsidR="00D8433F">
        <w:rPr>
          <w:rFonts w:asciiTheme="minorHAnsi" w:hAnsiTheme="minorHAnsi" w:cstheme="minorHAnsi"/>
        </w:rPr>
        <w:t>strategie</w:t>
      </w:r>
      <w:r w:rsidRPr="00C447CF">
        <w:rPr>
          <w:rFonts w:asciiTheme="minorHAnsi" w:hAnsiTheme="minorHAnsi" w:cstheme="minorHAnsi"/>
        </w:rPr>
        <w:t>, kdy akční plán tvoří zpracovatel v rámci tvorby samotného strategického dokument</w:t>
      </w:r>
      <w:r w:rsidR="009E5F75">
        <w:rPr>
          <w:rFonts w:asciiTheme="minorHAnsi" w:hAnsiTheme="minorHAnsi" w:cstheme="minorHAnsi"/>
        </w:rPr>
        <w:t>u</w:t>
      </w:r>
      <w:r w:rsidRPr="00C447CF">
        <w:rPr>
          <w:rFonts w:asciiTheme="minorHAnsi" w:hAnsiTheme="minorHAnsi" w:cstheme="minorHAnsi"/>
        </w:rPr>
        <w:t>. V dalších obdobích však zpracování akčního plánu spadá na samotné obce, které často tuto aktivitu neprovedou</w:t>
      </w:r>
      <w:r w:rsidR="006427DF" w:rsidRPr="00C447CF">
        <w:rPr>
          <w:rFonts w:asciiTheme="minorHAnsi" w:hAnsiTheme="minorHAnsi" w:cstheme="minorHAnsi"/>
        </w:rPr>
        <w:t xml:space="preserve"> (</w:t>
      </w:r>
      <w:r w:rsidR="00A2641D" w:rsidRPr="00C447CF">
        <w:rPr>
          <w:rFonts w:asciiTheme="minorHAnsi" w:hAnsiTheme="minorHAnsi" w:cstheme="minorHAnsi"/>
        </w:rPr>
        <w:t>Hruška</w:t>
      </w:r>
      <w:r w:rsidR="0010514F">
        <w:rPr>
          <w:rFonts w:asciiTheme="minorHAnsi" w:hAnsiTheme="minorHAnsi" w:cstheme="minorHAnsi"/>
        </w:rPr>
        <w:t xml:space="preserve"> </w:t>
      </w:r>
      <w:r w:rsidR="0010514F" w:rsidRPr="00C447CF">
        <w:rPr>
          <w:rFonts w:asciiTheme="minorHAnsi" w:hAnsiTheme="minorHAnsi" w:cstheme="minorHAnsi"/>
        </w:rPr>
        <w:t>a kol.</w:t>
      </w:r>
      <w:r w:rsidR="006427DF" w:rsidRPr="00C447CF">
        <w:rPr>
          <w:rFonts w:asciiTheme="minorHAnsi" w:hAnsiTheme="minorHAnsi" w:cstheme="minorHAnsi"/>
          <w:color w:val="222222"/>
          <w:shd w:val="clear" w:color="auto" w:fill="FFFFFF"/>
        </w:rPr>
        <w:t xml:space="preserve"> 2022</w:t>
      </w:r>
      <w:r w:rsidR="007A04F7" w:rsidRPr="00C447CF">
        <w:rPr>
          <w:rFonts w:asciiTheme="minorHAnsi" w:hAnsiTheme="minorHAnsi" w:cstheme="minorHAnsi"/>
          <w:color w:val="222222"/>
          <w:shd w:val="clear" w:color="auto" w:fill="FFFFFF"/>
        </w:rPr>
        <w:t>b</w:t>
      </w:r>
      <w:r w:rsidR="006427DF" w:rsidRPr="00C447CF">
        <w:rPr>
          <w:rFonts w:asciiTheme="minorHAnsi" w:hAnsiTheme="minorHAnsi" w:cstheme="minorHAnsi"/>
          <w:color w:val="222222"/>
          <w:shd w:val="clear" w:color="auto" w:fill="FFFFFF"/>
        </w:rPr>
        <w:t>)</w:t>
      </w:r>
      <w:r w:rsidR="000F4F7F" w:rsidRPr="00C447CF">
        <w:rPr>
          <w:rFonts w:asciiTheme="minorHAnsi" w:hAnsiTheme="minorHAnsi" w:cstheme="minorHAnsi"/>
          <w:color w:val="222222"/>
          <w:shd w:val="clear" w:color="auto" w:fill="FFFFFF"/>
        </w:rPr>
        <w:t>.</w:t>
      </w:r>
    </w:p>
    <w:p w14:paraId="2820E40A" w14:textId="10D915DF" w:rsidR="00C47AD3" w:rsidRPr="00C447CF" w:rsidRDefault="00C47AD3" w:rsidP="008D4D8F">
      <w:pPr>
        <w:spacing w:after="160" w:line="259" w:lineRule="auto"/>
        <w:jc w:val="both"/>
        <w:rPr>
          <w:rFonts w:asciiTheme="minorHAnsi" w:hAnsiTheme="minorHAnsi" w:cstheme="minorHAnsi"/>
          <w:color w:val="FF0000"/>
        </w:rPr>
      </w:pPr>
    </w:p>
    <w:p w14:paraId="7328D55D" w14:textId="27487E52" w:rsidR="00C47AD3" w:rsidRPr="00C447CF" w:rsidRDefault="007A04F7" w:rsidP="007A04F7">
      <w:pPr>
        <w:rPr>
          <w:rFonts w:asciiTheme="minorHAnsi" w:hAnsiTheme="minorHAnsi" w:cstheme="minorHAnsi"/>
        </w:rPr>
      </w:pPr>
      <w:r w:rsidRPr="00C447CF">
        <w:rPr>
          <w:rFonts w:asciiTheme="minorHAnsi" w:hAnsiTheme="minorHAnsi" w:cstheme="minorHAnsi"/>
        </w:rPr>
        <w:t xml:space="preserve">Následující přehled obsahuje </w:t>
      </w:r>
      <w:r w:rsidRPr="00E94AD5">
        <w:rPr>
          <w:rFonts w:asciiTheme="minorHAnsi" w:hAnsiTheme="minorHAnsi" w:cstheme="minorHAnsi"/>
          <w:b/>
        </w:rPr>
        <w:t>hlavní problémy v oblasti propojení dokumentů s finančními aspekty</w:t>
      </w:r>
      <w:r w:rsidRPr="00C447CF">
        <w:rPr>
          <w:rFonts w:asciiTheme="minorHAnsi" w:hAnsiTheme="minorHAnsi" w:cstheme="minorHAnsi"/>
        </w:rPr>
        <w:t>, které byly identifikovány provedenou analýzou vybraných dokumentů (</w:t>
      </w:r>
      <w:r w:rsidR="00E25467" w:rsidRPr="00C447CF">
        <w:rPr>
          <w:rFonts w:asciiTheme="minorHAnsi" w:hAnsiTheme="minorHAnsi" w:cstheme="minorHAnsi"/>
        </w:rPr>
        <w:t>Hruška</w:t>
      </w:r>
      <w:r w:rsidR="0010514F">
        <w:rPr>
          <w:rFonts w:asciiTheme="minorHAnsi" w:hAnsiTheme="minorHAnsi" w:cstheme="minorHAnsi"/>
        </w:rPr>
        <w:t xml:space="preserve"> </w:t>
      </w:r>
      <w:r w:rsidR="00E25467" w:rsidRPr="00C447CF">
        <w:rPr>
          <w:rFonts w:asciiTheme="minorHAnsi" w:hAnsiTheme="minorHAnsi" w:cstheme="minorHAnsi"/>
        </w:rPr>
        <w:t>a kol.</w:t>
      </w:r>
      <w:r w:rsidRPr="00C447CF">
        <w:rPr>
          <w:rFonts w:asciiTheme="minorHAnsi" w:hAnsiTheme="minorHAnsi" w:cstheme="minorHAnsi"/>
        </w:rPr>
        <w:t xml:space="preserve"> 2022c):</w:t>
      </w:r>
    </w:p>
    <w:p w14:paraId="515CACD9" w14:textId="77777777" w:rsidR="00C11359" w:rsidRPr="00C447CF" w:rsidRDefault="00C11359" w:rsidP="00A345DB">
      <w:pPr>
        <w:pStyle w:val="Odstavecseseznamem"/>
        <w:numPr>
          <w:ilvl w:val="0"/>
          <w:numId w:val="55"/>
        </w:numPr>
        <w:spacing w:after="200"/>
        <w:contextualSpacing/>
        <w:jc w:val="both"/>
        <w:rPr>
          <w:rFonts w:asciiTheme="minorHAnsi" w:hAnsiTheme="minorHAnsi" w:cstheme="minorHAnsi"/>
        </w:rPr>
      </w:pPr>
      <w:r w:rsidRPr="00C447CF">
        <w:rPr>
          <w:rFonts w:asciiTheme="minorHAnsi" w:hAnsiTheme="minorHAnsi" w:cstheme="minorHAnsi"/>
        </w:rPr>
        <w:t>Absence identifikace nákladů u části opatření/aktivit/projektů, což vede ke snížené schopnosti finančního plánování.</w:t>
      </w:r>
    </w:p>
    <w:p w14:paraId="6B5FD9B2" w14:textId="77777777" w:rsidR="00C11359" w:rsidRPr="00C447CF" w:rsidRDefault="00C11359" w:rsidP="00A345DB">
      <w:pPr>
        <w:pStyle w:val="Odstavecseseznamem"/>
        <w:numPr>
          <w:ilvl w:val="0"/>
          <w:numId w:val="55"/>
        </w:numPr>
        <w:spacing w:after="200"/>
        <w:contextualSpacing/>
        <w:jc w:val="both"/>
        <w:rPr>
          <w:rFonts w:asciiTheme="minorHAnsi" w:hAnsiTheme="minorHAnsi" w:cstheme="minorHAnsi"/>
        </w:rPr>
      </w:pPr>
      <w:r w:rsidRPr="00C447CF">
        <w:rPr>
          <w:rFonts w:asciiTheme="minorHAnsi" w:hAnsiTheme="minorHAnsi" w:cstheme="minorHAnsi"/>
        </w:rPr>
        <w:t>Nejasný popis zdrojů, ze kterých mají být navržená opatření/aktivity financována. Definování zdrojů prostřednictvím jejich skupin (např. národní zdroje; evropské fondy apod.), kde chybí identifikace konkrétního zdroje v rámci skupiny.</w:t>
      </w:r>
    </w:p>
    <w:p w14:paraId="572F6BD6" w14:textId="77777777" w:rsidR="00C11359" w:rsidRPr="00C447CF" w:rsidRDefault="00C11359" w:rsidP="00A345DB">
      <w:pPr>
        <w:pStyle w:val="Odstavecseseznamem"/>
        <w:numPr>
          <w:ilvl w:val="0"/>
          <w:numId w:val="55"/>
        </w:numPr>
        <w:spacing w:after="200"/>
        <w:contextualSpacing/>
        <w:jc w:val="both"/>
        <w:rPr>
          <w:rFonts w:asciiTheme="minorHAnsi" w:hAnsiTheme="minorHAnsi" w:cstheme="minorHAnsi"/>
        </w:rPr>
      </w:pPr>
      <w:r w:rsidRPr="00C447CF">
        <w:rPr>
          <w:rFonts w:asciiTheme="minorHAnsi" w:hAnsiTheme="minorHAnsi" w:cstheme="minorHAnsi"/>
        </w:rPr>
        <w:t xml:space="preserve">V případě vícezdrojového financování aktivit ve většině případů není identifikováno, jaká část plánovaných nákladů bude financována z jakého zdroje. Chybí tak informace potřebná pro stanovení nároků na jednotlivé zdroje financí. </w:t>
      </w:r>
    </w:p>
    <w:p w14:paraId="5148D96B" w14:textId="77777777" w:rsidR="00C11359" w:rsidRPr="00C447CF" w:rsidRDefault="00C11359" w:rsidP="00A345DB">
      <w:pPr>
        <w:pStyle w:val="Odstavecseseznamem"/>
        <w:numPr>
          <w:ilvl w:val="0"/>
          <w:numId w:val="55"/>
        </w:numPr>
        <w:spacing w:after="200"/>
        <w:contextualSpacing/>
        <w:jc w:val="both"/>
        <w:rPr>
          <w:rFonts w:asciiTheme="minorHAnsi" w:hAnsiTheme="minorHAnsi" w:cstheme="minorHAnsi"/>
        </w:rPr>
      </w:pPr>
      <w:r w:rsidRPr="00C447CF">
        <w:rPr>
          <w:rFonts w:asciiTheme="minorHAnsi" w:hAnsiTheme="minorHAnsi" w:cstheme="minorHAnsi"/>
        </w:rPr>
        <w:t>Nedostatečné časové vymezení nákladů u opatření/aktivit v rámci dokumentů, které může představovat limity pro stanovování například ročních rozpočtů.</w:t>
      </w:r>
    </w:p>
    <w:p w14:paraId="72C9AE31" w14:textId="77777777" w:rsidR="00C11359" w:rsidRPr="00C447CF" w:rsidRDefault="00C11359" w:rsidP="00A345DB">
      <w:pPr>
        <w:pStyle w:val="Odstavecseseznamem"/>
        <w:numPr>
          <w:ilvl w:val="0"/>
          <w:numId w:val="55"/>
        </w:numPr>
        <w:spacing w:after="200"/>
        <w:contextualSpacing/>
        <w:jc w:val="both"/>
        <w:rPr>
          <w:rFonts w:asciiTheme="minorHAnsi" w:hAnsiTheme="minorHAnsi" w:cstheme="minorHAnsi"/>
        </w:rPr>
      </w:pPr>
      <w:r w:rsidRPr="00C447CF">
        <w:rPr>
          <w:rFonts w:asciiTheme="minorHAnsi" w:hAnsiTheme="minorHAnsi" w:cstheme="minorHAnsi"/>
        </w:rPr>
        <w:t>U strategických dokumentů, které k finančním aspektům přistupují prostřednictvím akčních plánů, existuje riziko nezpracování akčních plánů v pokročilých letech platnosti dokumentů, a tím k omezení jeho implementace. Vzniká absence dlouhodobého finančního plánu realizace strategie.</w:t>
      </w:r>
    </w:p>
    <w:p w14:paraId="3E2C8337" w14:textId="77777777" w:rsidR="00C11359" w:rsidRPr="00C447CF" w:rsidRDefault="00C11359" w:rsidP="00A345DB">
      <w:pPr>
        <w:pStyle w:val="Odstavecseseznamem"/>
        <w:numPr>
          <w:ilvl w:val="0"/>
          <w:numId w:val="55"/>
        </w:numPr>
        <w:spacing w:after="200"/>
        <w:contextualSpacing/>
        <w:jc w:val="both"/>
        <w:rPr>
          <w:rFonts w:asciiTheme="minorHAnsi" w:hAnsiTheme="minorHAnsi" w:cstheme="minorHAnsi"/>
        </w:rPr>
      </w:pPr>
      <w:r w:rsidRPr="00C447CF">
        <w:rPr>
          <w:rFonts w:asciiTheme="minorHAnsi" w:hAnsiTheme="minorHAnsi" w:cstheme="minorHAnsi"/>
        </w:rPr>
        <w:t>Nejednotnost postupů při stanovení finančních odhadů u jednotlivých aktivit/projektů. Může vést k nedostatečnému zdůvodnění nákladů při zajišťování finanční na realizaci.</w:t>
      </w:r>
    </w:p>
    <w:p w14:paraId="549AF71F" w14:textId="44F05CA7" w:rsidR="00526FF6" w:rsidRPr="00F93C5B" w:rsidRDefault="007A04F7" w:rsidP="00F93C5B">
      <w:pPr>
        <w:jc w:val="both"/>
        <w:rPr>
          <w:rFonts w:asciiTheme="minorHAnsi" w:hAnsiTheme="minorHAnsi" w:cstheme="minorHAnsi"/>
          <w:highlight w:val="yellow"/>
        </w:rPr>
      </w:pPr>
      <w:r w:rsidRPr="00C447CF">
        <w:rPr>
          <w:rFonts w:asciiTheme="minorHAnsi" w:hAnsiTheme="minorHAnsi" w:cstheme="minorHAnsi"/>
        </w:rPr>
        <w:t>Zmíněné problémy jsou využity společně s identifikovanými příklady dobré praxe pro vytvoření metodického doporučení (</w:t>
      </w:r>
      <w:r w:rsidR="00F93C5B" w:rsidRPr="00C447CF">
        <w:rPr>
          <w:rFonts w:asciiTheme="minorHAnsi" w:hAnsiTheme="minorHAnsi" w:cstheme="minorHAnsi"/>
        </w:rPr>
        <w:t xml:space="preserve">viz </w:t>
      </w:r>
      <w:r w:rsidR="00A2641D" w:rsidRPr="00C447CF">
        <w:rPr>
          <w:rFonts w:asciiTheme="minorHAnsi" w:hAnsiTheme="minorHAnsi" w:cstheme="minorHAnsi"/>
        </w:rPr>
        <w:t>Hrušk</w:t>
      </w:r>
      <w:r w:rsidR="0010514F">
        <w:rPr>
          <w:rFonts w:asciiTheme="minorHAnsi" w:hAnsiTheme="minorHAnsi" w:cstheme="minorHAnsi"/>
        </w:rPr>
        <w:t xml:space="preserve">a </w:t>
      </w:r>
      <w:r w:rsidR="00A2641D" w:rsidRPr="00C447CF">
        <w:rPr>
          <w:rFonts w:asciiTheme="minorHAnsi" w:hAnsiTheme="minorHAnsi" w:cstheme="minorHAnsi"/>
        </w:rPr>
        <w:t>a kol.</w:t>
      </w:r>
      <w:r w:rsidRPr="00C447CF">
        <w:rPr>
          <w:rFonts w:asciiTheme="minorHAnsi" w:hAnsiTheme="minorHAnsi" w:cstheme="minorHAnsi"/>
        </w:rPr>
        <w:t xml:space="preserve"> 2022</w:t>
      </w:r>
      <w:r w:rsidR="00561388" w:rsidRPr="00C447CF">
        <w:rPr>
          <w:rFonts w:asciiTheme="minorHAnsi" w:hAnsiTheme="minorHAnsi" w:cstheme="minorHAnsi"/>
        </w:rPr>
        <w:t>c</w:t>
      </w:r>
      <w:r w:rsidRPr="00C447CF">
        <w:rPr>
          <w:rFonts w:asciiTheme="minorHAnsi" w:hAnsiTheme="minorHAnsi" w:cstheme="minorHAnsi"/>
        </w:rPr>
        <w:t>) jak výše uvedeným problémům předejít, či je alespoň minimalizovat.</w:t>
      </w:r>
      <w:r w:rsidR="00526FF6">
        <w:rPr>
          <w:rFonts w:ascii="Calibri" w:hAnsi="Calibri"/>
          <w:color w:val="7493B0"/>
          <w:sz w:val="32"/>
        </w:rPr>
        <w:br w:type="page"/>
      </w:r>
    </w:p>
    <w:p w14:paraId="3DF41FAE" w14:textId="6AA4F013" w:rsidR="00CE0EAD" w:rsidRDefault="00CE0EAD" w:rsidP="00CE0EAD">
      <w:pPr>
        <w:pStyle w:val="Nadpis1"/>
        <w:spacing w:before="240" w:after="120"/>
        <w:ind w:left="431" w:hanging="431"/>
        <w:rPr>
          <w:rFonts w:ascii="Calibri" w:hAnsi="Calibri"/>
          <w:color w:val="7493B0"/>
          <w:sz w:val="32"/>
          <w:lang w:val="cs-CZ"/>
        </w:rPr>
      </w:pPr>
      <w:bookmarkStart w:id="6" w:name="_Toc117269980"/>
      <w:r>
        <w:rPr>
          <w:rFonts w:ascii="Calibri" w:hAnsi="Calibri"/>
          <w:color w:val="7493B0"/>
          <w:sz w:val="32"/>
          <w:lang w:val="cs-CZ"/>
        </w:rPr>
        <w:lastRenderedPageBreak/>
        <w:t>Strategická práce ve vztahu k rozpočtové</w:t>
      </w:r>
      <w:r w:rsidRPr="00F85B23">
        <w:rPr>
          <w:rFonts w:ascii="Calibri" w:hAnsi="Calibri"/>
          <w:color w:val="7493B0"/>
          <w:sz w:val="32"/>
          <w:lang w:val="cs-CZ"/>
        </w:rPr>
        <w:t xml:space="preserve"> odpovědnost</w:t>
      </w:r>
      <w:r>
        <w:rPr>
          <w:rFonts w:ascii="Calibri" w:hAnsi="Calibri"/>
          <w:color w:val="7493B0"/>
          <w:sz w:val="32"/>
          <w:lang w:val="cs-CZ"/>
        </w:rPr>
        <w:t>i</w:t>
      </w:r>
      <w:r w:rsidRPr="00F85B23">
        <w:rPr>
          <w:rFonts w:ascii="Calibri" w:hAnsi="Calibri"/>
          <w:color w:val="7493B0"/>
          <w:sz w:val="32"/>
          <w:lang w:val="cs-CZ"/>
        </w:rPr>
        <w:t xml:space="preserve"> a 3E</w:t>
      </w:r>
      <w:bookmarkEnd w:id="6"/>
    </w:p>
    <w:p w14:paraId="0F687DDC" w14:textId="276C591A" w:rsidR="00875923" w:rsidRDefault="00875923" w:rsidP="00875923">
      <w:pPr>
        <w:pStyle w:val="Nadpis2"/>
        <w:spacing w:before="240" w:after="120"/>
        <w:ind w:left="578" w:hanging="578"/>
        <w:rPr>
          <w:rFonts w:asciiTheme="minorHAnsi" w:hAnsiTheme="minorHAnsi" w:cstheme="minorHAnsi"/>
          <w:color w:val="7493B0"/>
          <w:sz w:val="24"/>
          <w:szCs w:val="24"/>
          <w:lang w:val="cs-CZ"/>
        </w:rPr>
      </w:pPr>
      <w:bookmarkStart w:id="7" w:name="_Toc117269981"/>
      <w:r w:rsidRPr="00875923">
        <w:rPr>
          <w:rFonts w:asciiTheme="minorHAnsi" w:hAnsiTheme="minorHAnsi" w:cstheme="minorHAnsi"/>
          <w:color w:val="7493B0"/>
          <w:sz w:val="24"/>
          <w:szCs w:val="24"/>
          <w:lang w:val="cs-CZ"/>
        </w:rPr>
        <w:t>Co je rozpočtová odpovědnost</w:t>
      </w:r>
      <w:bookmarkEnd w:id="7"/>
    </w:p>
    <w:p w14:paraId="270FEFC7" w14:textId="1D9D6AF3" w:rsidR="00614BBE" w:rsidRDefault="009F1F6A" w:rsidP="006A669F">
      <w:pPr>
        <w:tabs>
          <w:tab w:val="num" w:pos="720"/>
        </w:tabs>
        <w:jc w:val="both"/>
        <w:rPr>
          <w:rFonts w:asciiTheme="minorHAnsi" w:hAnsiTheme="minorHAnsi" w:cstheme="minorHAnsi"/>
        </w:rPr>
      </w:pPr>
      <w:r>
        <w:rPr>
          <w:rFonts w:asciiTheme="minorHAnsi" w:hAnsiTheme="minorHAnsi" w:cstheme="minorHAnsi"/>
        </w:rPr>
        <w:t>Ze zkušeností plyne, že p</w:t>
      </w:r>
      <w:r w:rsidR="00061E2C">
        <w:rPr>
          <w:rFonts w:asciiTheme="minorHAnsi" w:hAnsiTheme="minorHAnsi" w:cstheme="minorHAnsi"/>
        </w:rPr>
        <w:t xml:space="preserve">ro jakoukoli strategickou práci </w:t>
      </w:r>
      <w:r w:rsidR="00F634F9">
        <w:rPr>
          <w:rFonts w:asciiTheme="minorHAnsi" w:hAnsiTheme="minorHAnsi" w:cstheme="minorHAnsi"/>
        </w:rPr>
        <w:t>je nezbytné respektovat</w:t>
      </w:r>
      <w:r w:rsidR="00061E2C">
        <w:rPr>
          <w:rFonts w:asciiTheme="minorHAnsi" w:hAnsiTheme="minorHAnsi" w:cstheme="minorHAnsi"/>
        </w:rPr>
        <w:t xml:space="preserve"> omezení daná disponibilními zdroji a platnou legislativou. Pro finanční plánování zdrojů v rámci veřejné strategie je zásadní problematika rozpočtové odpovědnosti. Tu </w:t>
      </w:r>
      <w:r w:rsidR="006A669F">
        <w:rPr>
          <w:rFonts w:asciiTheme="minorHAnsi" w:hAnsiTheme="minorHAnsi" w:cstheme="minorHAnsi"/>
        </w:rPr>
        <w:t xml:space="preserve">řeší </w:t>
      </w:r>
      <w:r w:rsidR="006A669F" w:rsidRPr="00E94AD5">
        <w:rPr>
          <w:rFonts w:asciiTheme="minorHAnsi" w:hAnsiTheme="minorHAnsi" w:cstheme="minorHAnsi"/>
          <w:b/>
        </w:rPr>
        <w:t>zákon č. 23/2017 Sb., o pravidlech rozpočtové odpovědnosti</w:t>
      </w:r>
      <w:r w:rsidR="006A669F" w:rsidRPr="00E94AD5">
        <w:rPr>
          <w:rStyle w:val="Znakapoznpodarou"/>
          <w:rFonts w:asciiTheme="minorHAnsi" w:hAnsiTheme="minorHAnsi" w:cstheme="minorHAnsi"/>
        </w:rPr>
        <w:footnoteReference w:id="4"/>
      </w:r>
      <w:r w:rsidR="006A669F">
        <w:rPr>
          <w:rFonts w:asciiTheme="minorHAnsi" w:hAnsiTheme="minorHAnsi" w:cstheme="minorHAnsi"/>
        </w:rPr>
        <w:t xml:space="preserve">. </w:t>
      </w:r>
      <w:r w:rsidR="000C05A7" w:rsidRPr="000C05A7">
        <w:rPr>
          <w:rFonts w:asciiTheme="minorHAnsi" w:hAnsiTheme="minorHAnsi" w:cstheme="minorHAnsi"/>
        </w:rPr>
        <w:t>Ze zákona (</w:t>
      </w:r>
      <w:r w:rsidR="000C05A7">
        <w:rPr>
          <w:rFonts w:asciiTheme="minorHAnsi" w:hAnsiTheme="minorHAnsi" w:cstheme="minorHAnsi"/>
        </w:rPr>
        <w:t xml:space="preserve">viz </w:t>
      </w:r>
      <w:r w:rsidR="000C05A7" w:rsidRPr="000C05A7">
        <w:rPr>
          <w:rFonts w:asciiTheme="minorHAnsi" w:hAnsiTheme="minorHAnsi" w:cstheme="minorHAnsi"/>
        </w:rPr>
        <w:t xml:space="preserve">§2) plyne, že stát a územní samosprávné celky dbají o zdravé a udržitelné veřejné finance, přičemž vhodně podporují hospodářský a společenský rozvoj, zaměstnanost a mezigenerační soudržnost. Při činnosti musí dodržovat pravidla transparentnosti, </w:t>
      </w:r>
      <w:r w:rsidR="000C05A7" w:rsidRPr="005B39BF">
        <w:rPr>
          <w:rFonts w:asciiTheme="minorHAnsi" w:hAnsiTheme="minorHAnsi" w:cstheme="minorHAnsi"/>
          <w:b/>
        </w:rPr>
        <w:t>účelnosti, hospodárnosti a efektivnosti nakládání s veřejnými financemi</w:t>
      </w:r>
      <w:r w:rsidR="00992918">
        <w:rPr>
          <w:rFonts w:asciiTheme="minorHAnsi" w:hAnsiTheme="minorHAnsi" w:cstheme="minorHAnsi"/>
          <w:b/>
        </w:rPr>
        <w:t xml:space="preserve"> </w:t>
      </w:r>
      <w:r w:rsidR="00992918" w:rsidRPr="00992918">
        <w:rPr>
          <w:rFonts w:asciiTheme="minorHAnsi" w:hAnsiTheme="minorHAnsi" w:cstheme="minorHAnsi"/>
        </w:rPr>
        <w:t>(dále též označována jako kritéria 3E)</w:t>
      </w:r>
      <w:r w:rsidR="000C05A7" w:rsidRPr="00992918">
        <w:rPr>
          <w:rFonts w:asciiTheme="minorHAnsi" w:hAnsiTheme="minorHAnsi" w:cstheme="minorHAnsi"/>
        </w:rPr>
        <w:t>.</w:t>
      </w:r>
      <w:r w:rsidR="000C05A7" w:rsidRPr="000C05A7">
        <w:rPr>
          <w:rFonts w:asciiTheme="minorHAnsi" w:hAnsiTheme="minorHAnsi" w:cstheme="minorHAnsi"/>
        </w:rPr>
        <w:t xml:space="preserve"> </w:t>
      </w:r>
      <w:r w:rsidR="00992918">
        <w:rPr>
          <w:rFonts w:asciiTheme="minorHAnsi" w:hAnsiTheme="minorHAnsi" w:cstheme="minorHAnsi"/>
        </w:rPr>
        <w:t>S</w:t>
      </w:r>
      <w:r w:rsidR="00992918" w:rsidRPr="000C05A7">
        <w:rPr>
          <w:rFonts w:asciiTheme="minorHAnsi" w:hAnsiTheme="minorHAnsi" w:cstheme="minorHAnsi"/>
        </w:rPr>
        <w:t xml:space="preserve">tát a územní samosprávné celky </w:t>
      </w:r>
      <w:r w:rsidR="00992918">
        <w:rPr>
          <w:rFonts w:asciiTheme="minorHAnsi" w:hAnsiTheme="minorHAnsi" w:cstheme="minorHAnsi"/>
        </w:rPr>
        <w:t>m</w:t>
      </w:r>
      <w:r w:rsidR="000C05A7" w:rsidRPr="000C05A7">
        <w:rPr>
          <w:rFonts w:asciiTheme="minorHAnsi" w:hAnsiTheme="minorHAnsi" w:cstheme="minorHAnsi"/>
        </w:rPr>
        <w:t xml:space="preserve">usí též dbát o takový </w:t>
      </w:r>
      <w:r w:rsidR="000C05A7" w:rsidRPr="00E94AD5">
        <w:rPr>
          <w:rFonts w:asciiTheme="minorHAnsi" w:hAnsiTheme="minorHAnsi" w:cstheme="minorHAnsi"/>
          <w:b/>
        </w:rPr>
        <w:t>vývoj dluhu</w:t>
      </w:r>
      <w:r w:rsidR="000C05A7" w:rsidRPr="000C05A7">
        <w:rPr>
          <w:rFonts w:asciiTheme="minorHAnsi" w:hAnsiTheme="minorHAnsi" w:cstheme="minorHAnsi"/>
        </w:rPr>
        <w:t>, který nenarušuje dlouhodobě udržitelný stav veřejných financí.</w:t>
      </w:r>
      <w:r w:rsidR="000C05A7">
        <w:rPr>
          <w:rFonts w:asciiTheme="minorHAnsi" w:hAnsiTheme="minorHAnsi" w:cstheme="minorHAnsi"/>
        </w:rPr>
        <w:t xml:space="preserve"> </w:t>
      </w:r>
      <w:r w:rsidR="003249B8">
        <w:rPr>
          <w:rFonts w:asciiTheme="minorHAnsi" w:hAnsiTheme="minorHAnsi" w:cstheme="minorHAnsi"/>
        </w:rPr>
        <w:t>To může strategické plánování významně omezit.</w:t>
      </w:r>
    </w:p>
    <w:p w14:paraId="7C556E33" w14:textId="77777777" w:rsidR="00614BBE" w:rsidRDefault="00614BBE" w:rsidP="006A669F">
      <w:pPr>
        <w:tabs>
          <w:tab w:val="num" w:pos="720"/>
        </w:tabs>
        <w:jc w:val="both"/>
        <w:rPr>
          <w:rFonts w:asciiTheme="minorHAnsi" w:hAnsiTheme="minorHAnsi" w:cstheme="minorHAnsi"/>
        </w:rPr>
      </w:pPr>
    </w:p>
    <w:p w14:paraId="151A818D" w14:textId="5D901A7F" w:rsidR="006A669F" w:rsidRPr="006A669F" w:rsidRDefault="006A669F" w:rsidP="006A669F">
      <w:pPr>
        <w:tabs>
          <w:tab w:val="num" w:pos="720"/>
        </w:tabs>
        <w:jc w:val="both"/>
        <w:rPr>
          <w:rFonts w:asciiTheme="minorHAnsi" w:hAnsiTheme="minorHAnsi" w:cstheme="minorHAnsi"/>
        </w:rPr>
      </w:pPr>
      <w:r>
        <w:rPr>
          <w:rFonts w:asciiTheme="minorHAnsi" w:hAnsiTheme="minorHAnsi" w:cstheme="minorHAnsi"/>
        </w:rPr>
        <w:t>Zákon zavadí důležitá pravidla:</w:t>
      </w:r>
    </w:p>
    <w:p w14:paraId="0AB6FAD2" w14:textId="1A226719" w:rsidR="006A669F" w:rsidRDefault="006A669F" w:rsidP="0065698B">
      <w:pPr>
        <w:pStyle w:val="Odstavecseseznamem"/>
        <w:numPr>
          <w:ilvl w:val="0"/>
          <w:numId w:val="23"/>
        </w:numPr>
        <w:jc w:val="both"/>
        <w:rPr>
          <w:rFonts w:asciiTheme="minorHAnsi" w:hAnsiTheme="minorHAnsi" w:cstheme="minorHAnsi"/>
        </w:rPr>
      </w:pPr>
      <w:r w:rsidRPr="00C514A2">
        <w:rPr>
          <w:rFonts w:asciiTheme="minorHAnsi" w:hAnsiTheme="minorHAnsi" w:cstheme="minorHAnsi"/>
          <w:b/>
        </w:rPr>
        <w:t>Pravidlo výdajů státního rozpočtu a státních fondů</w:t>
      </w:r>
      <w:r w:rsidRPr="00C514A2">
        <w:rPr>
          <w:rFonts w:asciiTheme="minorHAnsi" w:hAnsiTheme="minorHAnsi" w:cstheme="minorHAnsi"/>
        </w:rPr>
        <w:t>. Jde o to, že zákon zavádí nový způsob stanovení výdajových rámců. Vychází z cyklicky očištěných příjmů sektoru vládních institucí, které určují m</w:t>
      </w:r>
      <w:r w:rsidR="00C514A2">
        <w:rPr>
          <w:rFonts w:asciiTheme="minorHAnsi" w:hAnsiTheme="minorHAnsi" w:cstheme="minorHAnsi"/>
        </w:rPr>
        <w:t>aximální objem celkových výdajů.</w:t>
      </w:r>
    </w:p>
    <w:p w14:paraId="3CB46F20" w14:textId="798500A4" w:rsidR="00CF5C76" w:rsidRDefault="00C514A2" w:rsidP="0065698B">
      <w:pPr>
        <w:pStyle w:val="Odstavecseseznamem"/>
        <w:numPr>
          <w:ilvl w:val="0"/>
          <w:numId w:val="23"/>
        </w:numPr>
        <w:jc w:val="both"/>
        <w:rPr>
          <w:rFonts w:asciiTheme="minorHAnsi" w:hAnsiTheme="minorHAnsi" w:cstheme="minorHAnsi"/>
        </w:rPr>
      </w:pPr>
      <w:r w:rsidRPr="00C514A2">
        <w:rPr>
          <w:rFonts w:asciiTheme="minorHAnsi" w:hAnsiTheme="minorHAnsi" w:cstheme="minorHAnsi"/>
          <w:b/>
        </w:rPr>
        <w:t>Dluhová brzda</w:t>
      </w:r>
      <w:r w:rsidRPr="00C514A2">
        <w:rPr>
          <w:rFonts w:asciiTheme="minorHAnsi" w:hAnsiTheme="minorHAnsi" w:cstheme="minorHAnsi"/>
        </w:rPr>
        <w:t>.</w:t>
      </w:r>
      <w:r w:rsidR="00CF5C76" w:rsidRPr="00C514A2">
        <w:rPr>
          <w:rFonts w:asciiTheme="minorHAnsi" w:hAnsiTheme="minorHAnsi" w:cstheme="minorHAnsi"/>
        </w:rPr>
        <w:t xml:space="preserve"> </w:t>
      </w:r>
      <w:r>
        <w:rPr>
          <w:rFonts w:asciiTheme="minorHAnsi" w:hAnsiTheme="minorHAnsi" w:cstheme="minorHAnsi"/>
        </w:rPr>
        <w:t xml:space="preserve">Jde o stanovení </w:t>
      </w:r>
      <w:r w:rsidR="00CF5C76" w:rsidRPr="00C514A2">
        <w:rPr>
          <w:rFonts w:asciiTheme="minorHAnsi" w:hAnsiTheme="minorHAnsi" w:cstheme="minorHAnsi"/>
        </w:rPr>
        <w:t>výše dluhu v poměru k</w:t>
      </w:r>
      <w:r>
        <w:rPr>
          <w:rFonts w:asciiTheme="minorHAnsi" w:hAnsiTheme="minorHAnsi" w:cstheme="minorHAnsi"/>
        </w:rPr>
        <w:t> </w:t>
      </w:r>
      <w:r w:rsidR="00CF5C76" w:rsidRPr="00C514A2">
        <w:rPr>
          <w:rFonts w:asciiTheme="minorHAnsi" w:hAnsiTheme="minorHAnsi" w:cstheme="minorHAnsi"/>
        </w:rPr>
        <w:t>HDP</w:t>
      </w:r>
      <w:r>
        <w:rPr>
          <w:rFonts w:asciiTheme="minorHAnsi" w:hAnsiTheme="minorHAnsi" w:cstheme="minorHAnsi"/>
        </w:rPr>
        <w:t>.</w:t>
      </w:r>
      <w:r w:rsidR="00CF5C76" w:rsidRPr="00C514A2">
        <w:rPr>
          <w:rFonts w:asciiTheme="minorHAnsi" w:hAnsiTheme="minorHAnsi" w:cstheme="minorHAnsi"/>
        </w:rPr>
        <w:t xml:space="preserve"> </w:t>
      </w:r>
      <w:r>
        <w:rPr>
          <w:rFonts w:asciiTheme="minorHAnsi" w:hAnsiTheme="minorHAnsi" w:cstheme="minorHAnsi"/>
        </w:rPr>
        <w:t>P</w:t>
      </w:r>
      <w:r w:rsidR="00CF5C76" w:rsidRPr="00C514A2">
        <w:rPr>
          <w:rFonts w:asciiTheme="minorHAnsi" w:hAnsiTheme="minorHAnsi" w:cstheme="minorHAnsi"/>
        </w:rPr>
        <w:t>okud výše dluhu sektoru vládních institucí</w:t>
      </w:r>
      <w:r>
        <w:rPr>
          <w:rFonts w:asciiTheme="minorHAnsi" w:hAnsiTheme="minorHAnsi" w:cstheme="minorHAnsi"/>
        </w:rPr>
        <w:t xml:space="preserve"> překročí 55 % HDP, </w:t>
      </w:r>
      <w:r w:rsidR="00CF5C76" w:rsidRPr="00C514A2">
        <w:rPr>
          <w:rFonts w:asciiTheme="minorHAnsi" w:hAnsiTheme="minorHAnsi" w:cstheme="minorHAnsi"/>
        </w:rPr>
        <w:t xml:space="preserve">budou mít zákonem určené subjekty sektoru vládních institucí zpřísněné podmínky pro sestavení svých rozpočtů. </w:t>
      </w:r>
      <w:r>
        <w:rPr>
          <w:rFonts w:asciiTheme="minorHAnsi" w:hAnsiTheme="minorHAnsi" w:cstheme="minorHAnsi"/>
        </w:rPr>
        <w:t>To by mělo vést</w:t>
      </w:r>
      <w:r w:rsidR="00CF5C76" w:rsidRPr="00C514A2">
        <w:rPr>
          <w:rFonts w:asciiTheme="minorHAnsi" w:hAnsiTheme="minorHAnsi" w:cstheme="minorHAnsi"/>
        </w:rPr>
        <w:t xml:space="preserve"> k poklesu dluhu a opětovnému zajištění zdravých a udržitelných veřejných financí sektoru vládních institucí. </w:t>
      </w:r>
    </w:p>
    <w:p w14:paraId="5C0372C9" w14:textId="3AB06271" w:rsidR="00C514A2" w:rsidRDefault="00C514A2" w:rsidP="0065698B">
      <w:pPr>
        <w:pStyle w:val="Odstavecseseznamem"/>
        <w:numPr>
          <w:ilvl w:val="0"/>
          <w:numId w:val="23"/>
        </w:numPr>
        <w:shd w:val="clear" w:color="auto" w:fill="FFFFFF"/>
        <w:jc w:val="both"/>
        <w:rPr>
          <w:rFonts w:asciiTheme="minorHAnsi" w:hAnsiTheme="minorHAnsi" w:cstheme="minorHAnsi"/>
        </w:rPr>
      </w:pPr>
      <w:r w:rsidRPr="00C514A2">
        <w:rPr>
          <w:rFonts w:asciiTheme="minorHAnsi" w:hAnsiTheme="minorHAnsi" w:cstheme="minorHAnsi"/>
          <w:b/>
        </w:rPr>
        <w:t>Minimální splátky</w:t>
      </w:r>
      <w:r w:rsidR="00CF5C76" w:rsidRPr="00C514A2">
        <w:rPr>
          <w:rFonts w:asciiTheme="minorHAnsi" w:hAnsiTheme="minorHAnsi" w:cstheme="minorHAnsi"/>
          <w:b/>
        </w:rPr>
        <w:t xml:space="preserve"> dluhu územních samosprávných celků</w:t>
      </w:r>
      <w:r w:rsidRPr="00C514A2">
        <w:rPr>
          <w:rFonts w:asciiTheme="minorHAnsi" w:hAnsiTheme="minorHAnsi" w:cstheme="minorHAnsi"/>
        </w:rPr>
        <w:t>.</w:t>
      </w:r>
      <w:r w:rsidR="00CF5C76" w:rsidRPr="00C514A2">
        <w:rPr>
          <w:rFonts w:asciiTheme="minorHAnsi" w:hAnsiTheme="minorHAnsi" w:cstheme="minorHAnsi"/>
        </w:rPr>
        <w:t xml:space="preserve"> </w:t>
      </w:r>
      <w:r w:rsidRPr="00C514A2">
        <w:rPr>
          <w:rFonts w:asciiTheme="minorHAnsi" w:hAnsiTheme="minorHAnsi" w:cstheme="minorHAnsi"/>
        </w:rPr>
        <w:t>Zákon</w:t>
      </w:r>
      <w:r w:rsidR="00CF5C76" w:rsidRPr="00C514A2">
        <w:rPr>
          <w:rFonts w:asciiTheme="minorHAnsi" w:hAnsiTheme="minorHAnsi" w:cstheme="minorHAnsi"/>
        </w:rPr>
        <w:t xml:space="preserve"> územním samosprávným celkům </w:t>
      </w:r>
      <w:r w:rsidRPr="00C514A2">
        <w:rPr>
          <w:rFonts w:asciiTheme="minorHAnsi" w:hAnsiTheme="minorHAnsi" w:cstheme="minorHAnsi"/>
        </w:rPr>
        <w:t xml:space="preserve">ukládá </w:t>
      </w:r>
      <w:r w:rsidR="00CF5C76" w:rsidRPr="00C514A2">
        <w:rPr>
          <w:rFonts w:asciiTheme="minorHAnsi" w:hAnsiTheme="minorHAnsi" w:cstheme="minorHAnsi"/>
        </w:rPr>
        <w:t xml:space="preserve">při překročení </w:t>
      </w:r>
      <w:r w:rsidRPr="00C514A2">
        <w:rPr>
          <w:rFonts w:asciiTheme="minorHAnsi" w:hAnsiTheme="minorHAnsi" w:cstheme="minorHAnsi"/>
        </w:rPr>
        <w:t>60 % průměru jeho příjmů za poslední 4 rozpočtové roky jej v následujícím kalendářním roce snížit nejméně o 5 % z rozdílu mezi výší svého dluhu a 60 % průměru svých příjmů za poslední 4 rozpočtové roky</w:t>
      </w:r>
      <w:r>
        <w:rPr>
          <w:rFonts w:asciiTheme="minorHAnsi" w:hAnsiTheme="minorHAnsi" w:cstheme="minorHAnsi"/>
        </w:rPr>
        <w:t xml:space="preserve"> (viz § 17 zákona)</w:t>
      </w:r>
      <w:r w:rsidRPr="00C514A2">
        <w:rPr>
          <w:rFonts w:asciiTheme="minorHAnsi" w:hAnsiTheme="minorHAnsi" w:cstheme="minorHAnsi"/>
        </w:rPr>
        <w:t>.</w:t>
      </w:r>
    </w:p>
    <w:p w14:paraId="4E4BB085" w14:textId="3CDB90FA" w:rsidR="007D424A" w:rsidRPr="007D424A" w:rsidRDefault="007D424A" w:rsidP="0065698B">
      <w:pPr>
        <w:pStyle w:val="Odstavecseseznamem"/>
        <w:numPr>
          <w:ilvl w:val="0"/>
          <w:numId w:val="23"/>
        </w:numPr>
        <w:shd w:val="clear" w:color="auto" w:fill="FFFFFF"/>
        <w:jc w:val="both"/>
        <w:rPr>
          <w:rFonts w:asciiTheme="minorHAnsi" w:hAnsiTheme="minorHAnsi" w:cstheme="minorHAnsi"/>
        </w:rPr>
      </w:pPr>
      <w:r w:rsidRPr="007D424A">
        <w:rPr>
          <w:rFonts w:asciiTheme="minorHAnsi" w:hAnsiTheme="minorHAnsi" w:cstheme="minorHAnsi"/>
          <w:b/>
        </w:rPr>
        <w:t>Rozpočtová strategie sektoru veřejných institucí</w:t>
      </w:r>
      <w:r w:rsidRPr="007D424A">
        <w:rPr>
          <w:rFonts w:asciiTheme="minorHAnsi" w:hAnsiTheme="minorHAnsi" w:cstheme="minorHAnsi"/>
        </w:rPr>
        <w:t>. Zákon též zavádí povinnost každoročně zpracovat rozpočtovou strategii sektoru veřejných institucí (§ 9)</w:t>
      </w:r>
      <w:r>
        <w:rPr>
          <w:rFonts w:asciiTheme="minorHAnsi" w:hAnsiTheme="minorHAnsi" w:cstheme="minorHAnsi"/>
        </w:rPr>
        <w:t xml:space="preserve">, která </w:t>
      </w:r>
      <w:r w:rsidRPr="007D424A">
        <w:rPr>
          <w:rFonts w:asciiTheme="minorHAnsi" w:hAnsiTheme="minorHAnsi" w:cstheme="minorHAnsi"/>
        </w:rPr>
        <w:t xml:space="preserve">vychází z </w:t>
      </w:r>
      <w:r w:rsidRPr="007D424A">
        <w:rPr>
          <w:rFonts w:asciiTheme="minorHAnsi" w:hAnsiTheme="minorHAnsi" w:cstheme="minorHAnsi"/>
        </w:rPr>
        <w:lastRenderedPageBreak/>
        <w:t>makroekonomické prognózy</w:t>
      </w:r>
      <w:r w:rsidR="00432729">
        <w:rPr>
          <w:rFonts w:asciiTheme="minorHAnsi" w:hAnsiTheme="minorHAnsi" w:cstheme="minorHAnsi"/>
        </w:rPr>
        <w:t xml:space="preserve"> (predikce)</w:t>
      </w:r>
      <w:r w:rsidR="00432729">
        <w:rPr>
          <w:rStyle w:val="Znakapoznpodarou"/>
          <w:rFonts w:asciiTheme="minorHAnsi" w:hAnsiTheme="minorHAnsi" w:cstheme="minorHAnsi"/>
        </w:rPr>
        <w:footnoteReference w:id="5"/>
      </w:r>
      <w:r w:rsidRPr="007D424A">
        <w:rPr>
          <w:rFonts w:asciiTheme="minorHAnsi" w:hAnsiTheme="minorHAnsi" w:cstheme="minorHAnsi"/>
        </w:rPr>
        <w:t xml:space="preserve"> a fiskální prognózy</w:t>
      </w:r>
      <w:r w:rsidR="00432729">
        <w:rPr>
          <w:rFonts w:asciiTheme="minorHAnsi" w:hAnsiTheme="minorHAnsi" w:cstheme="minorHAnsi"/>
        </w:rPr>
        <w:t xml:space="preserve"> (výhledu)</w:t>
      </w:r>
      <w:r w:rsidR="00432729">
        <w:rPr>
          <w:rStyle w:val="Znakapoznpodarou"/>
          <w:rFonts w:asciiTheme="minorHAnsi" w:hAnsiTheme="minorHAnsi" w:cstheme="minorHAnsi"/>
        </w:rPr>
        <w:footnoteReference w:id="6"/>
      </w:r>
      <w:r w:rsidRPr="007D424A">
        <w:rPr>
          <w:rFonts w:asciiTheme="minorHAnsi" w:hAnsiTheme="minorHAnsi" w:cstheme="minorHAnsi"/>
        </w:rPr>
        <w:t>. Součástí strategie je konvergenční program</w:t>
      </w:r>
      <w:r>
        <w:rPr>
          <w:rStyle w:val="Znakapoznpodarou"/>
          <w:rFonts w:asciiTheme="minorHAnsi" w:hAnsiTheme="minorHAnsi" w:cstheme="minorHAnsi"/>
        </w:rPr>
        <w:footnoteReference w:id="7"/>
      </w:r>
      <w:r w:rsidRPr="007D424A">
        <w:rPr>
          <w:rFonts w:asciiTheme="minorHAnsi" w:hAnsiTheme="minorHAnsi" w:cstheme="minorHAnsi"/>
        </w:rPr>
        <w:t xml:space="preserve">. Strategii vypracuje každoročně ministerstvo </w:t>
      </w:r>
      <w:r>
        <w:rPr>
          <w:rFonts w:asciiTheme="minorHAnsi" w:hAnsiTheme="minorHAnsi" w:cstheme="minorHAnsi"/>
        </w:rPr>
        <w:t xml:space="preserve">financí </w:t>
      </w:r>
      <w:r w:rsidRPr="007D424A">
        <w:rPr>
          <w:rFonts w:asciiTheme="minorHAnsi" w:hAnsiTheme="minorHAnsi" w:cstheme="minorHAnsi"/>
        </w:rPr>
        <w:t>nejméně na období následujících 3 let</w:t>
      </w:r>
      <w:r w:rsidR="00614BBE">
        <w:rPr>
          <w:rStyle w:val="Znakapoznpodarou"/>
          <w:rFonts w:asciiTheme="minorHAnsi" w:hAnsiTheme="minorHAnsi" w:cstheme="minorHAnsi"/>
        </w:rPr>
        <w:footnoteReference w:id="8"/>
      </w:r>
      <w:r w:rsidRPr="007D424A">
        <w:rPr>
          <w:rFonts w:asciiTheme="minorHAnsi" w:hAnsiTheme="minorHAnsi" w:cstheme="minorHAnsi"/>
        </w:rPr>
        <w:t>.</w:t>
      </w:r>
    </w:p>
    <w:p w14:paraId="0FBE9EEC" w14:textId="099EC141" w:rsidR="00CF5C76" w:rsidRDefault="00CF5C76" w:rsidP="0093023B">
      <w:pPr>
        <w:contextualSpacing/>
        <w:jc w:val="both"/>
        <w:rPr>
          <w:rFonts w:ascii="Arial" w:hAnsi="Arial" w:cs="Arial"/>
          <w:color w:val="000000"/>
          <w:sz w:val="20"/>
          <w:szCs w:val="20"/>
          <w:shd w:val="clear" w:color="auto" w:fill="FFFFFF"/>
        </w:rPr>
      </w:pPr>
    </w:p>
    <w:p w14:paraId="2A689F19" w14:textId="77777777" w:rsidR="00197BCF" w:rsidRDefault="00197BCF" w:rsidP="0093023B">
      <w:pPr>
        <w:contextualSpacing/>
        <w:jc w:val="both"/>
        <w:rPr>
          <w:rFonts w:ascii="Arial" w:hAnsi="Arial" w:cs="Arial"/>
          <w:color w:val="000000"/>
          <w:sz w:val="20"/>
          <w:szCs w:val="20"/>
          <w:shd w:val="clear" w:color="auto" w:fill="FFFFFF"/>
        </w:rPr>
      </w:pPr>
    </w:p>
    <w:p w14:paraId="0C1293DF" w14:textId="78909545" w:rsidR="00A6583A" w:rsidRPr="00875923" w:rsidRDefault="00A6583A" w:rsidP="00A6583A">
      <w:pPr>
        <w:pStyle w:val="Nadpis2"/>
        <w:spacing w:before="240" w:after="120"/>
        <w:ind w:left="578" w:hanging="578"/>
        <w:rPr>
          <w:rFonts w:asciiTheme="minorHAnsi" w:hAnsiTheme="minorHAnsi" w:cstheme="minorHAnsi"/>
          <w:color w:val="7493B0"/>
          <w:sz w:val="24"/>
          <w:szCs w:val="24"/>
          <w:lang w:val="cs-CZ"/>
        </w:rPr>
      </w:pPr>
      <w:bookmarkStart w:id="8" w:name="_Toc117269982"/>
      <w:r w:rsidRPr="00A6583A">
        <w:rPr>
          <w:rFonts w:asciiTheme="minorHAnsi" w:hAnsiTheme="minorHAnsi" w:cstheme="minorHAnsi"/>
          <w:color w:val="7493B0"/>
          <w:sz w:val="24"/>
          <w:szCs w:val="24"/>
          <w:lang w:val="cs-CZ"/>
        </w:rPr>
        <w:t xml:space="preserve">Hospodárnost, efektivnost, účelnost </w:t>
      </w:r>
      <w:r>
        <w:rPr>
          <w:rFonts w:asciiTheme="minorHAnsi" w:hAnsiTheme="minorHAnsi" w:cstheme="minorHAnsi"/>
          <w:color w:val="7493B0"/>
          <w:sz w:val="24"/>
          <w:szCs w:val="24"/>
          <w:lang w:val="cs-CZ"/>
        </w:rPr>
        <w:t>– kritéria nakládání s veřejnými prostředky</w:t>
      </w:r>
      <w:bookmarkEnd w:id="8"/>
    </w:p>
    <w:p w14:paraId="130B713B" w14:textId="4A06DCB2" w:rsidR="00132074" w:rsidRDefault="00DE58AE" w:rsidP="00A6583A">
      <w:pPr>
        <w:pStyle w:val="A1-text"/>
        <w:spacing w:after="0"/>
        <w:rPr>
          <w:rFonts w:asciiTheme="minorHAnsi" w:hAnsiTheme="minorHAnsi" w:cstheme="minorHAnsi"/>
          <w:lang w:val="cs-CZ"/>
        </w:rPr>
      </w:pPr>
      <w:r>
        <w:rPr>
          <w:rFonts w:ascii="Calibri" w:hAnsi="Calibri"/>
          <w:lang w:val="cs-CZ"/>
        </w:rPr>
        <w:t xml:space="preserve">Povinnost </w:t>
      </w:r>
      <w:r w:rsidRPr="000C05A7">
        <w:rPr>
          <w:rFonts w:asciiTheme="minorHAnsi" w:hAnsiTheme="minorHAnsi" w:cstheme="minorHAnsi"/>
        </w:rPr>
        <w:t xml:space="preserve">dodržovat pravidla </w:t>
      </w:r>
      <w:r w:rsidRPr="00DE58AE">
        <w:rPr>
          <w:rFonts w:asciiTheme="minorHAnsi" w:hAnsiTheme="minorHAnsi" w:cstheme="minorHAnsi"/>
        </w:rPr>
        <w:t>účelnosti, hospodárnosti a efektivnosti</w:t>
      </w:r>
      <w:r>
        <w:rPr>
          <w:rFonts w:asciiTheme="minorHAnsi" w:hAnsiTheme="minorHAnsi" w:cstheme="minorHAnsi"/>
        </w:rPr>
        <w:t xml:space="preserve"> nakládání s veřejnými prostředky nevyplývá pouze ze zákona o rozpočtové odpovědnosti, ale také je tato povinnost jasně stanovena v </w:t>
      </w:r>
      <w:r w:rsidRPr="00E94AD5">
        <w:rPr>
          <w:rFonts w:asciiTheme="minorHAnsi" w:hAnsiTheme="minorHAnsi" w:cstheme="minorHAnsi"/>
          <w:b/>
        </w:rPr>
        <w:t>zákoně o finanční kontrole</w:t>
      </w:r>
      <w:r>
        <w:rPr>
          <w:rFonts w:asciiTheme="minorHAnsi" w:hAnsiTheme="minorHAnsi" w:cstheme="minorHAnsi"/>
        </w:rPr>
        <w:t xml:space="preserve">. </w:t>
      </w:r>
      <w:r>
        <w:rPr>
          <w:rFonts w:asciiTheme="minorHAnsi" w:hAnsiTheme="minorHAnsi" w:cstheme="minorHAnsi"/>
          <w:lang w:val="cs-CZ"/>
        </w:rPr>
        <w:t xml:space="preserve">Povinnost se vztahuje na každou činnost, strategickou práci nevyjímaje. </w:t>
      </w:r>
      <w:r w:rsidR="00132074">
        <w:rPr>
          <w:rFonts w:asciiTheme="minorHAnsi" w:hAnsiTheme="minorHAnsi" w:cstheme="minorHAnsi"/>
          <w:lang w:val="cs-CZ"/>
        </w:rPr>
        <w:t xml:space="preserve">To zachycuje následující obrázek. </w:t>
      </w:r>
      <w:r w:rsidR="00132074">
        <w:rPr>
          <w:rFonts w:ascii="Calibri" w:hAnsi="Calibri"/>
          <w:lang w:val="cs-CZ"/>
        </w:rPr>
        <w:t>Hospodárnost, efektivnost, účelnost jsou někdy označován</w:t>
      </w:r>
      <w:r w:rsidR="008931EE">
        <w:rPr>
          <w:rFonts w:ascii="Calibri" w:hAnsi="Calibri"/>
          <w:lang w:val="cs-CZ"/>
        </w:rPr>
        <w:t>y</w:t>
      </w:r>
      <w:r w:rsidR="00132074">
        <w:rPr>
          <w:rFonts w:ascii="Calibri" w:hAnsi="Calibri"/>
          <w:lang w:val="cs-CZ"/>
        </w:rPr>
        <w:t xml:space="preserve"> jako kritéria nakládání s veřejnými prostředky</w:t>
      </w:r>
      <w:r w:rsidR="00132074">
        <w:rPr>
          <w:rStyle w:val="Znakapoznpodarou"/>
          <w:rFonts w:ascii="Calibri" w:hAnsi="Calibri"/>
          <w:lang w:val="cs-CZ"/>
        </w:rPr>
        <w:footnoteReference w:id="9"/>
      </w:r>
      <w:r w:rsidR="00132074">
        <w:rPr>
          <w:rFonts w:ascii="Calibri" w:hAnsi="Calibri"/>
          <w:lang w:val="cs-CZ"/>
        </w:rPr>
        <w:t xml:space="preserve"> (respektive se zdroji).</w:t>
      </w:r>
    </w:p>
    <w:p w14:paraId="59155A2F" w14:textId="1DB9E554" w:rsidR="00132074" w:rsidRDefault="002A3AE6" w:rsidP="00132074">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mc:AlternateContent>
          <mc:Choice Requires="wpg">
            <w:drawing>
              <wp:anchor distT="0" distB="0" distL="114300" distR="114300" simplePos="0" relativeHeight="251566592" behindDoc="0" locked="0" layoutInCell="1" allowOverlap="1" wp14:anchorId="3EFD5A81" wp14:editId="7DA99559">
                <wp:simplePos x="0" y="0"/>
                <wp:positionH relativeFrom="column">
                  <wp:posOffset>121920</wp:posOffset>
                </wp:positionH>
                <wp:positionV relativeFrom="paragraph">
                  <wp:posOffset>231140</wp:posOffset>
                </wp:positionV>
                <wp:extent cx="5637530" cy="1838960"/>
                <wp:effectExtent l="0" t="0" r="20320" b="27940"/>
                <wp:wrapNone/>
                <wp:docPr id="238" name="Skupina 238"/>
                <wp:cNvGraphicFramePr/>
                <a:graphic xmlns:a="http://schemas.openxmlformats.org/drawingml/2006/main">
                  <a:graphicData uri="http://schemas.microsoft.com/office/word/2010/wordprocessingGroup">
                    <wpg:wgp>
                      <wpg:cNvGrpSpPr/>
                      <wpg:grpSpPr>
                        <a:xfrm>
                          <a:off x="0" y="0"/>
                          <a:ext cx="5637530" cy="1838960"/>
                          <a:chOff x="0" y="-167658"/>
                          <a:chExt cx="5638164" cy="1839439"/>
                        </a:xfrm>
                      </wpg:grpSpPr>
                      <wps:wsp>
                        <wps:cNvPr id="3780" name="Textové pole 2"/>
                        <wps:cNvSpPr txBox="1">
                          <a:spLocks noChangeArrowheads="1"/>
                        </wps:cNvSpPr>
                        <wps:spPr bwMode="auto">
                          <a:xfrm>
                            <a:off x="1952405" y="-167658"/>
                            <a:ext cx="3685539" cy="548258"/>
                          </a:xfrm>
                          <a:prstGeom prst="rect">
                            <a:avLst/>
                          </a:prstGeom>
                          <a:solidFill>
                            <a:schemeClr val="bg1"/>
                          </a:solidFill>
                          <a:ln w="3175">
                            <a:solidFill>
                              <a:srgbClr val="0070C0"/>
                            </a:solidFill>
                            <a:prstDash val="solid"/>
                            <a:miter lim="800000"/>
                            <a:headEnd/>
                            <a:tailEnd/>
                          </a:ln>
                        </wps:spPr>
                        <wps:txbx>
                          <w:txbxContent>
                            <w:p w14:paraId="783FF41E" w14:textId="1A61A247"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Nakládání s veřejnými prostředky při běžné činnosti útvaru, kde je strategická práce zařazena </w:t>
                              </w:r>
                              <w:r w:rsidRPr="00AC27E2">
                                <w:rPr>
                                  <w:rFonts w:asciiTheme="minorHAnsi" w:hAnsiTheme="minorHAnsi" w:cstheme="minorHAnsi"/>
                                  <w:szCs w:val="22"/>
                                </w:rPr>
                                <w:t>(</w:t>
                              </w:r>
                              <w:r>
                                <w:rPr>
                                  <w:rFonts w:asciiTheme="minorHAnsi" w:hAnsiTheme="minorHAnsi" w:cstheme="minorHAnsi"/>
                                  <w:szCs w:val="22"/>
                                </w:rPr>
                                <w:t xml:space="preserve">výdaje na mzdy, na služební cesty, nákupy </w:t>
                              </w:r>
                              <w:r w:rsidRPr="00D459B5">
                                <w:rPr>
                                  <w:rFonts w:asciiTheme="minorHAnsi" w:hAnsiTheme="minorHAnsi"/>
                                  <w:sz w:val="22"/>
                                  <w:szCs w:val="22"/>
                                </w:rPr>
                                <w:t>atd.)</w:t>
                              </w:r>
                            </w:p>
                            <w:p w14:paraId="48850F3F" w14:textId="77777777" w:rsidR="00511D9B" w:rsidRPr="00D459B5" w:rsidRDefault="00511D9B" w:rsidP="00132074">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3783" name="Zakřivená spojnice 3783"/>
                        <wps:cNvCnPr>
                          <a:stCxn id="3781" idx="3"/>
                          <a:endCxn id="3780" idx="1"/>
                        </wps:cNvCnPr>
                        <wps:spPr>
                          <a:xfrm flipV="1">
                            <a:off x="1516380" y="106471"/>
                            <a:ext cx="436025" cy="699571"/>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81" name="Textové pole 2"/>
                        <wps:cNvSpPr txBox="1">
                          <a:spLocks noChangeArrowheads="1"/>
                        </wps:cNvSpPr>
                        <wps:spPr bwMode="auto">
                          <a:xfrm>
                            <a:off x="0" y="514037"/>
                            <a:ext cx="1516380" cy="584011"/>
                          </a:xfrm>
                          <a:prstGeom prst="rect">
                            <a:avLst/>
                          </a:prstGeom>
                          <a:noFill/>
                          <a:ln w="3175">
                            <a:solidFill>
                              <a:srgbClr val="0070C0"/>
                            </a:solidFill>
                            <a:prstDash val="solid"/>
                            <a:miter lim="800000"/>
                            <a:headEnd/>
                            <a:tailEnd/>
                          </a:ln>
                        </wps:spPr>
                        <wps:txbx>
                          <w:txbxContent>
                            <w:p w14:paraId="33A6B08A" w14:textId="77777777" w:rsidR="00511D9B" w:rsidRPr="002A3AE6" w:rsidRDefault="00511D9B" w:rsidP="00132074">
                              <w:pPr>
                                <w:spacing w:line="180" w:lineRule="auto"/>
                                <w:jc w:val="center"/>
                                <w:rPr>
                                  <w:rFonts w:asciiTheme="minorHAnsi" w:hAnsiTheme="minorHAnsi" w:cstheme="minorHAnsi"/>
                                  <w:b/>
                                  <w:sz w:val="28"/>
                                </w:rPr>
                              </w:pPr>
                              <w:r w:rsidRPr="002A3AE6">
                                <w:rPr>
                                  <w:rFonts w:asciiTheme="minorHAnsi" w:hAnsiTheme="minorHAnsi" w:cstheme="minorHAnsi"/>
                                  <w:b/>
                                  <w:sz w:val="28"/>
                                </w:rPr>
                                <w:t>Prověřování 3E v rámci strategické práce</w:t>
                              </w:r>
                            </w:p>
                            <w:p w14:paraId="1CCF7102" w14:textId="77777777" w:rsidR="00511D9B" w:rsidRPr="00576CB4" w:rsidRDefault="00511D9B" w:rsidP="00132074">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26" name="Textové pole 2"/>
                        <wps:cNvSpPr txBox="1">
                          <a:spLocks noChangeArrowheads="1"/>
                        </wps:cNvSpPr>
                        <wps:spPr bwMode="auto">
                          <a:xfrm>
                            <a:off x="1952625" y="381000"/>
                            <a:ext cx="3685539" cy="418813"/>
                          </a:xfrm>
                          <a:prstGeom prst="rect">
                            <a:avLst/>
                          </a:prstGeom>
                          <a:solidFill>
                            <a:schemeClr val="bg1"/>
                          </a:solidFill>
                          <a:ln w="3175">
                            <a:solidFill>
                              <a:srgbClr val="0070C0"/>
                            </a:solidFill>
                            <a:prstDash val="solid"/>
                            <a:miter lim="800000"/>
                            <a:headEnd/>
                            <a:tailEnd/>
                          </a:ln>
                        </wps:spPr>
                        <wps:txbx>
                          <w:txbxContent>
                            <w:p w14:paraId="5D2F0928" w14:textId="77777777"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Klíčové projekty </w:t>
                              </w:r>
                              <w:r w:rsidRPr="00AC27E2">
                                <w:rPr>
                                  <w:rFonts w:asciiTheme="minorHAnsi" w:hAnsiTheme="minorHAnsi" w:cstheme="minorHAnsi"/>
                                  <w:szCs w:val="22"/>
                                </w:rPr>
                                <w:t>(</w:t>
                              </w:r>
                              <w:r>
                                <w:rPr>
                                  <w:rFonts w:asciiTheme="minorHAnsi" w:hAnsiTheme="minorHAnsi" w:cstheme="minorHAnsi"/>
                                  <w:szCs w:val="22"/>
                                </w:rPr>
                                <w:t xml:space="preserve">dle typu projektu: veřejné zakázky, nákupy, výdaje na mzdy, na služební cesty </w:t>
                              </w:r>
                              <w:r w:rsidRPr="00D459B5">
                                <w:rPr>
                                  <w:rFonts w:asciiTheme="minorHAnsi" w:hAnsiTheme="minorHAnsi"/>
                                  <w:sz w:val="22"/>
                                  <w:szCs w:val="22"/>
                                </w:rPr>
                                <w:t>atd.)</w:t>
                              </w:r>
                            </w:p>
                            <w:p w14:paraId="707F1C8B" w14:textId="77777777" w:rsidR="00511D9B" w:rsidRPr="00D459B5" w:rsidRDefault="00511D9B" w:rsidP="00132074">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227" name="Textové pole 2"/>
                        <wps:cNvSpPr txBox="1">
                          <a:spLocks noChangeArrowheads="1"/>
                        </wps:cNvSpPr>
                        <wps:spPr bwMode="auto">
                          <a:xfrm>
                            <a:off x="1952625" y="795481"/>
                            <a:ext cx="3685539" cy="438150"/>
                          </a:xfrm>
                          <a:prstGeom prst="rect">
                            <a:avLst/>
                          </a:prstGeom>
                          <a:solidFill>
                            <a:schemeClr val="bg1"/>
                          </a:solidFill>
                          <a:ln w="3175">
                            <a:solidFill>
                              <a:srgbClr val="0070C0"/>
                            </a:solidFill>
                            <a:prstDash val="solid"/>
                            <a:miter lim="800000"/>
                            <a:headEnd/>
                            <a:tailEnd/>
                          </a:ln>
                        </wps:spPr>
                        <wps:txbx>
                          <w:txbxContent>
                            <w:p w14:paraId="5776F89B" w14:textId="0F58AB95"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Příprava / změna / evaluace veřejné strategie nebo implementačních plánů </w:t>
                              </w:r>
                              <w:r w:rsidRPr="00D56E03">
                                <w:rPr>
                                  <w:rFonts w:asciiTheme="minorHAnsi" w:hAnsiTheme="minorHAnsi" w:cstheme="minorHAnsi"/>
                                  <w:szCs w:val="22"/>
                                </w:rPr>
                                <w:t>(výdaje / příjmy)</w:t>
                              </w:r>
                            </w:p>
                            <w:p w14:paraId="0A2C32BF" w14:textId="77777777" w:rsidR="00511D9B" w:rsidRPr="00D459B5" w:rsidRDefault="00511D9B" w:rsidP="00132074">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230" name="Zakřivená spojnice 230"/>
                        <wps:cNvCnPr>
                          <a:stCxn id="3781" idx="3"/>
                          <a:endCxn id="226" idx="1"/>
                        </wps:cNvCnPr>
                        <wps:spPr>
                          <a:xfrm flipV="1">
                            <a:off x="1516380" y="590407"/>
                            <a:ext cx="436245" cy="215636"/>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1" name="Zakřivená spojnice 231"/>
                        <wps:cNvCnPr>
                          <a:stCxn id="3781" idx="3"/>
                          <a:endCxn id="227" idx="1"/>
                        </wps:cNvCnPr>
                        <wps:spPr>
                          <a:xfrm>
                            <a:off x="1516380" y="806043"/>
                            <a:ext cx="436245" cy="208513"/>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4" name="Zakřivená spojnice 234"/>
                        <wps:cNvCnPr>
                          <a:stCxn id="3781" idx="3"/>
                          <a:endCxn id="235" idx="1"/>
                        </wps:cNvCnPr>
                        <wps:spPr>
                          <a:xfrm>
                            <a:off x="1516380" y="806043"/>
                            <a:ext cx="436245" cy="646663"/>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5" name="Textové pole 2"/>
                        <wps:cNvSpPr txBox="1">
                          <a:spLocks noChangeArrowheads="1"/>
                        </wps:cNvSpPr>
                        <wps:spPr bwMode="auto">
                          <a:xfrm>
                            <a:off x="1952625" y="1233631"/>
                            <a:ext cx="3685539" cy="438150"/>
                          </a:xfrm>
                          <a:prstGeom prst="rect">
                            <a:avLst/>
                          </a:prstGeom>
                          <a:solidFill>
                            <a:schemeClr val="bg1"/>
                          </a:solidFill>
                          <a:ln w="3175">
                            <a:solidFill>
                              <a:srgbClr val="0070C0"/>
                            </a:solidFill>
                            <a:prstDash val="solid"/>
                            <a:miter lim="800000"/>
                            <a:headEnd/>
                            <a:tailEnd/>
                          </a:ln>
                        </wps:spPr>
                        <wps:txbx>
                          <w:txbxContent>
                            <w:p w14:paraId="5CA37418" w14:textId="77777777"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Realizace veřejné strategie nebo implementačních plánů </w:t>
                              </w:r>
                              <w:r w:rsidRPr="00D56E03">
                                <w:rPr>
                                  <w:rFonts w:asciiTheme="minorHAnsi" w:hAnsiTheme="minorHAnsi" w:cstheme="minorHAnsi"/>
                                  <w:szCs w:val="22"/>
                                </w:rPr>
                                <w:t>(výdaje / příjmy)</w:t>
                              </w:r>
                            </w:p>
                            <w:p w14:paraId="05A9AB18" w14:textId="77777777" w:rsidR="00511D9B" w:rsidRPr="00D459B5" w:rsidRDefault="00511D9B" w:rsidP="00132074">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EFD5A81" id="Skupina 238" o:spid="_x0000_s1107" style="position:absolute;left:0;text-align:left;margin-left:9.6pt;margin-top:18.2pt;width:443.9pt;height:144.8pt;z-index:251566592;mso-height-relative:margin" coordorigin=",-1676" coordsize="56381,1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vOHwUAAK8eAAAOAAAAZHJzL2Uyb0RvYy54bWzsWcty2zYU3Xem/4DhPhbfojimM6mcZDqT&#10;tJk67aI7iAQfMQmwACTK/ZMuu+x3ZPpfvQD4kFTZSdzWcabyQiaJ18W559x7QZ4/3TY12hAuKkYT&#10;yzmzLURoyrKKFon149sXTyILCYlphmtGSWLdEGE9vfj6q/OujYnLSlZnhCOYhIq4axOrlLKNZzOR&#10;lqTB4oy1hEJjzniDJdzyYpZx3MHsTT1zbTucdYxnLWcpEQKeXppG60LPn+ckld/nuSAS1YkFtkn9&#10;y/XvSv3OLs5xXHDcllXam4HvYUWDKwqLjlNdYonRmld/m6qpUs4Ey+VZypoZy/MqJXoPsBvHPtjN&#10;S87Wrd5LEXdFO8IE0B7gdO9p0+82bziqssRyPXAVxQ046ep63VYUI/UIAOraIoZ+L3l71b7h/YPC&#10;3Kk9b3PeqP+wG7TV0N6M0JKtRCk8DEJvHnjggRTanMiLFmEPflqCh6ZxT5xwHgZ6XRyn5fNpfOSE&#10;/jh+4XsLZdtsWH6mrByN6lqgk5gQE/8MsasSt0Q7QigkesS8eQQbMpC9hY2yzfs/UMtqglwDm+6s&#10;MENy+w0DFBzNEdG+Yum1QJQtS0wL8oxz1pUEZ2ClozelzId11FAFv4iFmmTVvWYZuAevJdMTHQDv&#10;LALXtwMLAcR7MA5O8MIoCAA37YTAj1yD84ghjlsu5EvCGqQuEouDfvRKePNKSAP30EV5XLC6yl5U&#10;da1vlGbJsuZog0Ftq8Ls5aBXTVGXWJ4zDwwWezPwYjWOt+25vdQcAfv2FlIWXGJRmnV0k0INx00l&#10;IZjUVZNYka3+zGMF7XOa6S4SV7W5hllrCgQa4DVAy+1qq+XgeYMPVyy7AfQ5M8EDgh1clIz/aqEO&#10;AkdiiV/WmBML1d9S8ODC8X0VafSNH8xduOG7LavdFkxTmCqxpIXM5VLq6KS2Q9kz8HReaeCVmcaS&#10;3magtzH5IXjuDTz/GV//+Vu1IfT970i07B2F+IVACCNaQNslVbQFp8nllhow55FjwRVIQHfEMaHZ&#10;TiNApBv32G+mmdxjlI7yump/GqTUhxwncEJPiVEFFzv053oiWKWPHr4X2i4IQwWfcLEITPvtvE/X&#10;fEOyJaMUBMC4N2lA7avIetHj7B1sK29qSBnAeRQMnIOZtWJ0fNoVjGLcAZt1qptkI7dHZdNzGMmb&#10;FiIAg9WAfYnVkAx4RyD1qqtdhvc9Ja8gxNTAzmO9j2tAyJuaKDtr+gPJB89ow/cljtOUUDnYq3ur&#10;XjkEhHGgbWR+18C+vxpKdMr+lMHjCL0yo3Ic3FSU8WOrTxDnpv8QBcy+J6WpgKfuHlRqwKjHk1KM&#10;pALHt725odcgqVFySlNB5NvOwIMhKw28/8hcQplKJJrCX0yO8E85oq+FXDd8TLxVpVCoIj6Q04uc&#10;sRQY2LtXCflOFDk6L92eEf7PlVBwYvnI8vljZfl8AQX9Qdmzz3LQQTDU0/eM0Xtl+EHh8qXX++GJ&#10;5QPL1Tnd1CBHy30X2iFPq8ro06t9nSj+tWI/WNi+fVCZQLHv+n2x7zrw4kF79vbQfir2T8U+HPAf&#10;vth3vbHWv0VnOp7fV2eQqj5WZ+rsdOQoHdmh7Q8H9ukoPanLjoIPFU4ndZ3U9ZnUBW+L78xi4+nt&#10;HlnMgwTzH6sr9MMw/MCx5KSuk7o+k7pAAI/nPdXued9xPS+E1KpfJR0/8J+OQnd++tAF9fQa9HF+&#10;+tAf/OCrqH7H3n/BVZ9dd+/1+9vpO/PFXwAAAP//AwBQSwMEFAAGAAgAAAAhAPfWKKzgAAAACQEA&#10;AA8AAABkcnMvZG93bnJldi54bWxMj8FOwzAQRO9I/IO1SNyonRRCG+JUVQWcKiRaJNTbNtkmUWM7&#10;it0k/XuWExxnZzT7JltNphUD9b5xVkM0UyDIFq5sbKXha//2sADhA9oSW2dJw5U8rPLbmwzT0o32&#10;k4ZdqASXWJ+ihjqELpXSFzUZ9DPXkWXv5HqDgWVfybLHkctNK2OlEmmwsfyhxo42NRXn3cVoeB9x&#10;XM+j12F7Pm2uh/3Tx/c2Iq3v76b1C4hAU/gLwy8+o0POTEd3saUXLetlzEkN8+QRBPtL9czbjnyI&#10;EwUyz+T/BfkPAAAA//8DAFBLAQItABQABgAIAAAAIQC2gziS/gAAAOEBAAATAAAAAAAAAAAAAAAA&#10;AAAAAABbQ29udGVudF9UeXBlc10ueG1sUEsBAi0AFAAGAAgAAAAhADj9If/WAAAAlAEAAAsAAAAA&#10;AAAAAAAAAAAALwEAAF9yZWxzLy5yZWxzUEsBAi0AFAAGAAgAAAAhAKORm84fBQAArx4AAA4AAAAA&#10;AAAAAAAAAAAALgIAAGRycy9lMm9Eb2MueG1sUEsBAi0AFAAGAAgAAAAhAPfWKKzgAAAACQEAAA8A&#10;AAAAAAAAAAAAAAAAeQcAAGRycy9kb3ducmV2LnhtbFBLBQYAAAAABAAEAPMAAACGCAAAAAA=&#10;">
                <v:shape id="_x0000_s1108" type="#_x0000_t202" style="position:absolute;left:19524;top:-1676;width:36855;height:5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nUwwAAAN0AAAAPAAAAZHJzL2Rvd25yZXYueG1sRE9Na8JA&#10;EL0X/A/LCN6ajUpbE10lCNpCT9VAPA7ZMQlmZ0N2jfHfdw+FHh/ve7MbTSsG6l1jWcE8ikEQl1Y3&#10;XCnIz4fXFQjnkTW2lknBkxzstpOXDabaPviHhpOvRAhhl6KC2vsuldKVNRl0ke2IA3e1vUEfYF9J&#10;3eMjhJtWLuL4XRpsODTU2NG+pvJ2uhsFeEmyI2Vvw3eX3+fmNhTJ56FQajYdszUIT6P/F/+5v7SC&#10;5ccq7A9vwhOQ218AAAD//wMAUEsBAi0AFAAGAAgAAAAhANvh9svuAAAAhQEAABMAAAAAAAAAAAAA&#10;AAAAAAAAAFtDb250ZW50X1R5cGVzXS54bWxQSwECLQAUAAYACAAAACEAWvQsW78AAAAVAQAACwAA&#10;AAAAAAAAAAAAAAAfAQAAX3JlbHMvLnJlbHNQSwECLQAUAAYACAAAACEAYsCZ1MMAAADdAAAADwAA&#10;AAAAAAAAAAAAAAAHAgAAZHJzL2Rvd25yZXYueG1sUEsFBgAAAAADAAMAtwAAAPcCAAAAAA==&#10;" fillcolor="white [3212]" strokecolor="#0070c0" strokeweight=".25pt">
                  <v:textbox>
                    <w:txbxContent>
                      <w:p w14:paraId="783FF41E" w14:textId="1A61A247"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Nakládání s veřejnými prostředky při běžné činnosti útvaru, kde je strategická práce zařazena </w:t>
                        </w:r>
                        <w:r w:rsidRPr="00AC27E2">
                          <w:rPr>
                            <w:rFonts w:asciiTheme="minorHAnsi" w:hAnsiTheme="minorHAnsi" w:cstheme="minorHAnsi"/>
                            <w:szCs w:val="22"/>
                          </w:rPr>
                          <w:t>(</w:t>
                        </w:r>
                        <w:r>
                          <w:rPr>
                            <w:rFonts w:asciiTheme="minorHAnsi" w:hAnsiTheme="minorHAnsi" w:cstheme="minorHAnsi"/>
                            <w:szCs w:val="22"/>
                          </w:rPr>
                          <w:t xml:space="preserve">výdaje na mzdy, na služební cesty, nákupy </w:t>
                        </w:r>
                        <w:r w:rsidRPr="00D459B5">
                          <w:rPr>
                            <w:rFonts w:asciiTheme="minorHAnsi" w:hAnsiTheme="minorHAnsi"/>
                            <w:sz w:val="22"/>
                            <w:szCs w:val="22"/>
                          </w:rPr>
                          <w:t>atd.)</w:t>
                        </w:r>
                      </w:p>
                      <w:p w14:paraId="48850F3F" w14:textId="77777777" w:rsidR="00511D9B" w:rsidRPr="00D459B5" w:rsidRDefault="00511D9B" w:rsidP="00132074">
                        <w:pPr>
                          <w:spacing w:line="192" w:lineRule="auto"/>
                          <w:rPr>
                            <w:rFonts w:asciiTheme="minorHAnsi" w:hAnsiTheme="minorHAnsi" w:cstheme="minorHAnsi"/>
                            <w:b/>
                            <w:sz w:val="22"/>
                            <w:szCs w:val="22"/>
                          </w:rPr>
                        </w:pPr>
                      </w:p>
                    </w:txbxContent>
                  </v:textbox>
                </v:shape>
                <v:shape id="Zakřivená spojnice 3783" o:spid="_x0000_s1109" type="#_x0000_t38" style="position:absolute;left:15163;top:1064;width:4361;height:699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VsxQAAAN0AAAAPAAAAZHJzL2Rvd25yZXYueG1sRI9Ba8JA&#10;FITvQv/D8gq9iG5MwIboKkVoKe2pVjw/s89kMfs23d3G9N93CwWPw8x8w6y3o+3EQD4YxwoW8wwE&#10;ce204UbB4fN5VoIIEVlj55gU/FCA7eZussZKuyt/0LCPjUgQDhUqaGPsKylD3ZLFMHc9cfLOzluM&#10;SfpGao/XBLedzLNsKS0aTgst9rRrqb7sv62COH0rw1exNAf97k/m2L/kQ8iVergfn1YgIo3xFv5v&#10;v2oFxWNZwN+b9ATk5hcAAP//AwBQSwECLQAUAAYACAAAACEA2+H2y+4AAACFAQAAEwAAAAAAAAAA&#10;AAAAAAAAAAAAW0NvbnRlbnRfVHlwZXNdLnhtbFBLAQItABQABgAIAAAAIQBa9CxbvwAAABUBAAAL&#10;AAAAAAAAAAAAAAAAAB8BAABfcmVscy8ucmVsc1BLAQItABQABgAIAAAAIQDbCsVsxQAAAN0AAAAP&#10;AAAAAAAAAAAAAAAAAAcCAABkcnMvZG93bnJldi54bWxQSwUGAAAAAAMAAwC3AAAA+QIAAAAA&#10;" adj="10800" strokecolor="black [3213]" strokeweight=".5pt">
                  <v:stroke startarrow="oval" endarrow="block" joinstyle="miter"/>
                </v:shape>
                <v:shape id="_x0000_s1110" type="#_x0000_t202" style="position:absolute;top:5140;width:15163;height: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2t0xwAAAN0AAAAPAAAAZHJzL2Rvd25yZXYueG1sRI9La8Mw&#10;EITvgf4HsYVeSiK7aR44lkNbUsipNA/IdbE2tlNrZSwlUf59VSjkOMzMN0y+DKYVF+pdY1lBOkpA&#10;EJdWN1wp2O8+h3MQziNrbC2Tghs5WBYPgxwzba+8ocvWVyJC2GWooPa+y6R0ZU0G3ch2xNE72t6g&#10;j7KvpO7xGuGmlS9JMpUGG44LNXb0UVP5sz0bBd/nyfqVwimsnqdtaQ7vqf4ap0o9PYa3BQhPwd/D&#10;/+21VjCezVP4exOfgCx+AQAA//8DAFBLAQItABQABgAIAAAAIQDb4fbL7gAAAIUBAAATAAAAAAAA&#10;AAAAAAAAAAAAAABbQ29udGVudF9UeXBlc10ueG1sUEsBAi0AFAAGAAgAAAAhAFr0LFu/AAAAFQEA&#10;AAsAAAAAAAAAAAAAAAAAHwEAAF9yZWxzLy5yZWxzUEsBAi0AFAAGAAgAAAAhAG/ra3THAAAA3QAA&#10;AA8AAAAAAAAAAAAAAAAABwIAAGRycy9kb3ducmV2LnhtbFBLBQYAAAAAAwADALcAAAD7AgAAAAA=&#10;" filled="f" strokecolor="#0070c0" strokeweight=".25pt">
                  <v:textbox>
                    <w:txbxContent>
                      <w:p w14:paraId="33A6B08A" w14:textId="77777777" w:rsidR="00511D9B" w:rsidRPr="002A3AE6" w:rsidRDefault="00511D9B" w:rsidP="00132074">
                        <w:pPr>
                          <w:spacing w:line="180" w:lineRule="auto"/>
                          <w:jc w:val="center"/>
                          <w:rPr>
                            <w:rFonts w:asciiTheme="minorHAnsi" w:hAnsiTheme="minorHAnsi" w:cstheme="minorHAnsi"/>
                            <w:b/>
                            <w:sz w:val="28"/>
                          </w:rPr>
                        </w:pPr>
                        <w:r w:rsidRPr="002A3AE6">
                          <w:rPr>
                            <w:rFonts w:asciiTheme="minorHAnsi" w:hAnsiTheme="minorHAnsi" w:cstheme="minorHAnsi"/>
                            <w:b/>
                            <w:sz w:val="28"/>
                          </w:rPr>
                          <w:t>Prověřování 3E v rámci strategické práce</w:t>
                        </w:r>
                      </w:p>
                      <w:p w14:paraId="1CCF7102" w14:textId="77777777" w:rsidR="00511D9B" w:rsidRPr="00576CB4" w:rsidRDefault="00511D9B" w:rsidP="00132074">
                        <w:pPr>
                          <w:spacing w:line="180" w:lineRule="auto"/>
                          <w:jc w:val="center"/>
                          <w:rPr>
                            <w:rFonts w:asciiTheme="minorHAnsi" w:hAnsiTheme="minorHAnsi" w:cstheme="minorHAnsi"/>
                            <w:b/>
                            <w:sz w:val="20"/>
                          </w:rPr>
                        </w:pPr>
                      </w:p>
                    </w:txbxContent>
                  </v:textbox>
                </v:shape>
                <v:shape id="_x0000_s1111" type="#_x0000_t202" style="position:absolute;left:19526;top:3810;width:36855;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414xAAAANwAAAAPAAAAZHJzL2Rvd25yZXYueG1sRI9Ba4NA&#10;FITvgfyH5QV6S1aFSmNdgxRsAz3VBtLjw31ViftW3I2x/z5bKPQ4zMw3TH5YzCBmmlxvWUG8i0AQ&#10;N1b33Co4fVbbJxDOI2scLJOCH3JwKNarHDNtb/xBc+1bESDsMlTQeT9mUrqmI4NuZ0fi4H3byaAP&#10;cmqlnvAW4GaQSRSl0mDPYaHDkV46ai711SjAr335SuXj/D6errG5zOf9W3VW6mGzlM8gPC3+P/zX&#10;PmoFSZLC75lwBGRxBwAA//8DAFBLAQItABQABgAIAAAAIQDb4fbL7gAAAIUBAAATAAAAAAAAAAAA&#10;AAAAAAAAAABbQ29udGVudF9UeXBlc10ueG1sUEsBAi0AFAAGAAgAAAAhAFr0LFu/AAAAFQEAAAsA&#10;AAAAAAAAAAAAAAAAHwEAAF9yZWxzLy5yZWxzUEsBAi0AFAAGAAgAAAAhAE5zjXjEAAAA3AAAAA8A&#10;AAAAAAAAAAAAAAAABwIAAGRycy9kb3ducmV2LnhtbFBLBQYAAAAAAwADALcAAAD4AgAAAAA=&#10;" fillcolor="white [3212]" strokecolor="#0070c0" strokeweight=".25pt">
                  <v:textbox>
                    <w:txbxContent>
                      <w:p w14:paraId="5D2F0928" w14:textId="77777777"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Klíčové projekty </w:t>
                        </w:r>
                        <w:r w:rsidRPr="00AC27E2">
                          <w:rPr>
                            <w:rFonts w:asciiTheme="minorHAnsi" w:hAnsiTheme="minorHAnsi" w:cstheme="minorHAnsi"/>
                            <w:szCs w:val="22"/>
                          </w:rPr>
                          <w:t>(</w:t>
                        </w:r>
                        <w:r>
                          <w:rPr>
                            <w:rFonts w:asciiTheme="minorHAnsi" w:hAnsiTheme="minorHAnsi" w:cstheme="minorHAnsi"/>
                            <w:szCs w:val="22"/>
                          </w:rPr>
                          <w:t xml:space="preserve">dle typu projektu: veřejné zakázky, nákupy, výdaje na mzdy, na služební cesty </w:t>
                        </w:r>
                        <w:r w:rsidRPr="00D459B5">
                          <w:rPr>
                            <w:rFonts w:asciiTheme="minorHAnsi" w:hAnsiTheme="minorHAnsi"/>
                            <w:sz w:val="22"/>
                            <w:szCs w:val="22"/>
                          </w:rPr>
                          <w:t>atd.)</w:t>
                        </w:r>
                      </w:p>
                      <w:p w14:paraId="707F1C8B" w14:textId="77777777" w:rsidR="00511D9B" w:rsidRPr="00D459B5" w:rsidRDefault="00511D9B" w:rsidP="00132074">
                        <w:pPr>
                          <w:spacing w:line="192" w:lineRule="auto"/>
                          <w:rPr>
                            <w:rFonts w:asciiTheme="minorHAnsi" w:hAnsiTheme="minorHAnsi" w:cstheme="minorHAnsi"/>
                            <w:b/>
                            <w:sz w:val="22"/>
                            <w:szCs w:val="22"/>
                          </w:rPr>
                        </w:pPr>
                      </w:p>
                    </w:txbxContent>
                  </v:textbox>
                </v:shape>
                <v:shape id="_x0000_s1112" type="#_x0000_t202" style="position:absolute;left:19526;top:7954;width:36855;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jjxQAAANwAAAAPAAAAZHJzL2Rvd25yZXYueG1sRI/NasMw&#10;EITvgb6D2EBvsRxDmsaNEkwhaaGnuIb0uFgb28RaGUv+6dtXhUKPw8x8w+yPs2nFSL1rLCtYRzEI&#10;4tLqhisFxedp9QzCeWSNrWVS8E0OjoeHxR5TbSe+0Jj7SgQIuxQV1N53qZSurMmgi2xHHLyb7Q36&#10;IPtK6h6nADetTOL4SRpsOCzU2NFrTeU9H4wC/NplZ8o240dXDGtzH6+7t9NVqcflnL2A8DT7//Bf&#10;+10rSJIt/J4JR0AefgAAAP//AwBQSwECLQAUAAYACAAAACEA2+H2y+4AAACFAQAAEwAAAAAAAAAA&#10;AAAAAAAAAAAAW0NvbnRlbnRfVHlwZXNdLnhtbFBLAQItABQABgAIAAAAIQBa9CxbvwAAABUBAAAL&#10;AAAAAAAAAAAAAAAAAB8BAABfcmVscy8ucmVsc1BLAQItABQABgAIAAAAIQAhPyjjxQAAANwAAAAP&#10;AAAAAAAAAAAAAAAAAAcCAABkcnMvZG93bnJldi54bWxQSwUGAAAAAAMAAwC3AAAA+QIAAAAA&#10;" fillcolor="white [3212]" strokecolor="#0070c0" strokeweight=".25pt">
                  <v:textbox>
                    <w:txbxContent>
                      <w:p w14:paraId="5776F89B" w14:textId="0F58AB95"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Příprava / změna / evaluace veřejné strategie nebo implementačních plánů </w:t>
                        </w:r>
                        <w:r w:rsidRPr="00D56E03">
                          <w:rPr>
                            <w:rFonts w:asciiTheme="minorHAnsi" w:hAnsiTheme="minorHAnsi" w:cstheme="minorHAnsi"/>
                            <w:szCs w:val="22"/>
                          </w:rPr>
                          <w:t>(výdaje / příjmy)</w:t>
                        </w:r>
                      </w:p>
                      <w:p w14:paraId="0A2C32BF" w14:textId="77777777" w:rsidR="00511D9B" w:rsidRPr="00D459B5" w:rsidRDefault="00511D9B" w:rsidP="00132074">
                        <w:pPr>
                          <w:spacing w:line="192" w:lineRule="auto"/>
                          <w:rPr>
                            <w:rFonts w:asciiTheme="minorHAnsi" w:hAnsiTheme="minorHAnsi" w:cstheme="minorHAnsi"/>
                            <w:b/>
                            <w:sz w:val="22"/>
                            <w:szCs w:val="22"/>
                          </w:rPr>
                        </w:pPr>
                      </w:p>
                    </w:txbxContent>
                  </v:textbox>
                </v:shape>
                <v:shape id="Zakřivená spojnice 230" o:spid="_x0000_s1113" type="#_x0000_t38" style="position:absolute;left:15163;top:5904;width:4363;height:215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sywgAAANwAAAAPAAAAZHJzL2Rvd25yZXYueG1sRE/JasMw&#10;EL0H+g9iCr2ERq4DwTiWQymklPaUhZ4n1sQWsUaOpDru31eHQo6Pt1ebyfZiJB+MYwUviwwEceO0&#10;4VbB8bB9LkCEiKyxd0wKfinApn6YVVhqd+MdjfvYihTCoUQFXYxDKWVoOrIYFm4gTtzZeYsxQd9K&#10;7fGWwm0v8yxbSYuGU0OHA7111Fz2P1ZBnH8W4bpcmaP+8ifzPbznY8iVenqcXtcgIk3xLv53f2gF&#10;+TLNT2fSEZD1HwAAAP//AwBQSwECLQAUAAYACAAAACEA2+H2y+4AAACFAQAAEwAAAAAAAAAAAAAA&#10;AAAAAAAAW0NvbnRlbnRfVHlwZXNdLnhtbFBLAQItABQABgAIAAAAIQBa9CxbvwAAABUBAAALAAAA&#10;AAAAAAAAAAAAAB8BAABfcmVscy8ucmVsc1BLAQItABQABgAIAAAAIQAd36sywgAAANwAAAAPAAAA&#10;AAAAAAAAAAAAAAcCAABkcnMvZG93bnJldi54bWxQSwUGAAAAAAMAAwC3AAAA9gIAAAAA&#10;" adj="10800" strokecolor="black [3213]" strokeweight=".5pt">
                  <v:stroke startarrow="oval" endarrow="block" joinstyle="miter"/>
                </v:shape>
                <v:shape id="Zakřivená spojnice 231" o:spid="_x0000_s1114" type="#_x0000_t38" style="position:absolute;left:15163;top:8060;width:4363;height:208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UlwwAAANwAAAAPAAAAZHJzL2Rvd25yZXYueG1sRI9Ba8JA&#10;FITvQv/D8gq9mY0RpUZXKdIUr6Y99PjYfSbB7Ns0u5r037uC4HGY+WaYzW60rbhS7xvHCmZJCoJY&#10;O9NwpeDnu5i+g/AB2WDrmBT8k4fd9mWywdy4gY90LUMlYgn7HBXUIXS5lF7XZNEnriOO3sn1FkOU&#10;fSVNj0Mst63M0nQpLTYcF2rsaF+TPpcXqyD7XM314lLs/6phcDrztvwtvpR6ex0/1iACjeEZftAH&#10;E7n5DO5n4hGQ2xsAAAD//wMAUEsBAi0AFAAGAAgAAAAhANvh9svuAAAAhQEAABMAAAAAAAAAAAAA&#10;AAAAAAAAAFtDb250ZW50X1R5cGVzXS54bWxQSwECLQAUAAYACAAAACEAWvQsW78AAAAVAQAACwAA&#10;AAAAAAAAAAAAAAAfAQAAX3JlbHMvLnJlbHNQSwECLQAUAAYACAAAACEAKIy1JcMAAADcAAAADwAA&#10;AAAAAAAAAAAAAAAHAgAAZHJzL2Rvd25yZXYueG1sUEsFBgAAAAADAAMAtwAAAPcCAAAAAA==&#10;" adj="10800" strokecolor="black [3213]" strokeweight=".5pt">
                  <v:stroke startarrow="oval" endarrow="block" joinstyle="miter"/>
                </v:shape>
                <v:shape id="Zakřivená spojnice 234" o:spid="_x0000_s1115" type="#_x0000_t38" style="position:absolute;left:15163;top:8060;width:4363;height:646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a9wwAAANwAAAAPAAAAZHJzL2Rvd25yZXYueG1sRI9Ba8JA&#10;FITvBf/D8gRvdWOspU1dRcQUr6YePD52X5Ng9m3Mrib9911B8DjMfDPMcj3YRtyo87VjBbNpAoJY&#10;O1NzqeD4k79+gPAB2WDjmBT8kYf1avSyxMy4ng90K0IpYgn7DBVUIbSZlF5XZNFPXUscvV/XWQxR&#10;dqU0Hfax3DYyTZJ3abHmuFBhS9uK9Lm4WgXp7nOuF9d8eyn73unU2+KUfys1GQ+bLxCBhvAMP+i9&#10;idz8De5n4hGQq38AAAD//wMAUEsBAi0AFAAGAAgAAAAhANvh9svuAAAAhQEAABMAAAAAAAAAAAAA&#10;AAAAAAAAAFtDb250ZW50X1R5cGVzXS54bWxQSwECLQAUAAYACAAAACEAWvQsW78AAAAVAQAACwAA&#10;AAAAAAAAAAAAAAAfAQAAX3JlbHMvLnJlbHNQSwECLQAUAAYACAAAACEAOPsWvcMAAADcAAAADwAA&#10;AAAAAAAAAAAAAAAHAgAAZHJzL2Rvd25yZXYueG1sUEsFBgAAAAADAAMAtwAAAPcCAAAAAA==&#10;" adj="10800" strokecolor="black [3213]" strokeweight=".5pt">
                  <v:stroke startarrow="oval" endarrow="block" joinstyle="miter"/>
                </v:shape>
                <v:shape id="_x0000_s1116" type="#_x0000_t202" style="position:absolute;left:19526;top:12336;width:3685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IXSxAAAANwAAAAPAAAAZHJzL2Rvd25yZXYueG1sRI9Pi8Iw&#10;FMTvwn6H8Bb2pqkuyrY2SllwFTz5B9zjo3m2xealNLHWb28EweMwM79h0mVvatFR6yrLCsajCARx&#10;bnXFhYLjYTX8AeE8ssbaMim4k4Pl4mOQYqLtjXfU7X0hAoRdggpK75tESpeXZNCNbEMcvLNtDfog&#10;20LqFm8Bbmo5iaKZNFhxWCixod+S8sv+ahTgf5z9UTbtts3xOjaX7hSvVyelvj77bA7CU+/f4Vd7&#10;oxVMvqfwPBOOgFw8AAAA//8DAFBLAQItABQABgAIAAAAIQDb4fbL7gAAAIUBAAATAAAAAAAAAAAA&#10;AAAAAAAAAABbQ29udGVudF9UeXBlc10ueG1sUEsBAi0AFAAGAAgAAAAhAFr0LFu/AAAAFQEAAAsA&#10;AAAAAAAAAAAAAAAAHwEAAF9yZWxzLy5yZWxzUEsBAi0AFAAGAAgAAAAhADt4hdLEAAAA3AAAAA8A&#10;AAAAAAAAAAAAAAAABwIAAGRycy9kb3ducmV2LnhtbFBLBQYAAAAAAwADALcAAAD4AgAAAAA=&#10;" fillcolor="white [3212]" strokecolor="#0070c0" strokeweight=".25pt">
                  <v:textbox>
                    <w:txbxContent>
                      <w:p w14:paraId="5CA37418" w14:textId="77777777" w:rsidR="00511D9B" w:rsidRPr="00D459B5" w:rsidRDefault="00511D9B" w:rsidP="00132074">
                        <w:pPr>
                          <w:spacing w:line="192" w:lineRule="auto"/>
                          <w:rPr>
                            <w:rFonts w:asciiTheme="minorHAnsi" w:hAnsiTheme="minorHAnsi" w:cstheme="minorHAnsi"/>
                            <w:sz w:val="22"/>
                            <w:szCs w:val="22"/>
                          </w:rPr>
                        </w:pPr>
                        <w:r>
                          <w:rPr>
                            <w:rFonts w:asciiTheme="minorHAnsi" w:hAnsiTheme="minorHAnsi" w:cstheme="minorHAnsi"/>
                            <w:b/>
                            <w:szCs w:val="22"/>
                          </w:rPr>
                          <w:t xml:space="preserve">Realizace veřejné strategie nebo implementačních plánů </w:t>
                        </w:r>
                        <w:r w:rsidRPr="00D56E03">
                          <w:rPr>
                            <w:rFonts w:asciiTheme="minorHAnsi" w:hAnsiTheme="minorHAnsi" w:cstheme="minorHAnsi"/>
                            <w:szCs w:val="22"/>
                          </w:rPr>
                          <w:t>(výdaje / příjmy)</w:t>
                        </w:r>
                      </w:p>
                      <w:p w14:paraId="05A9AB18" w14:textId="77777777" w:rsidR="00511D9B" w:rsidRPr="00D459B5" w:rsidRDefault="00511D9B" w:rsidP="00132074">
                        <w:pPr>
                          <w:spacing w:line="192" w:lineRule="auto"/>
                          <w:rPr>
                            <w:rFonts w:asciiTheme="minorHAnsi" w:hAnsiTheme="minorHAnsi" w:cstheme="minorHAnsi"/>
                            <w:b/>
                            <w:sz w:val="22"/>
                            <w:szCs w:val="22"/>
                          </w:rPr>
                        </w:pPr>
                      </w:p>
                    </w:txbxContent>
                  </v:textbox>
                </v:shape>
              </v:group>
            </w:pict>
          </mc:Fallback>
        </mc:AlternateContent>
      </w:r>
      <w:r w:rsidR="00132074" w:rsidRPr="006E498E">
        <w:rPr>
          <w:rFonts w:asciiTheme="minorHAnsi" w:eastAsia="Calibri" w:hAnsiTheme="minorHAnsi" w:cstheme="minorHAnsi"/>
          <w:i/>
          <w:iCs/>
          <w:sz w:val="24"/>
          <w:szCs w:val="24"/>
        </w:rPr>
        <w:t>Obr.</w:t>
      </w:r>
      <w:r w:rsidR="00807AB1">
        <w:rPr>
          <w:rFonts w:asciiTheme="minorHAnsi" w:eastAsia="Calibri" w:hAnsiTheme="minorHAnsi" w:cstheme="minorHAnsi"/>
          <w:i/>
          <w:iCs/>
          <w:sz w:val="24"/>
          <w:szCs w:val="24"/>
        </w:rPr>
        <w:t xml:space="preserve"> </w:t>
      </w:r>
      <w:r w:rsidR="00257449">
        <w:rPr>
          <w:rFonts w:asciiTheme="minorHAnsi" w:eastAsia="Calibri" w:hAnsiTheme="minorHAnsi" w:cstheme="minorHAnsi"/>
          <w:i/>
          <w:iCs/>
          <w:sz w:val="24"/>
          <w:szCs w:val="24"/>
        </w:rPr>
        <w:t>6</w:t>
      </w:r>
      <w:r w:rsidR="00132074" w:rsidRPr="006E498E">
        <w:rPr>
          <w:rFonts w:asciiTheme="minorHAnsi" w:eastAsia="Calibri" w:hAnsiTheme="minorHAnsi" w:cstheme="minorHAnsi"/>
          <w:i/>
          <w:iCs/>
          <w:sz w:val="24"/>
          <w:szCs w:val="24"/>
        </w:rPr>
        <w:t xml:space="preserve"> </w:t>
      </w:r>
      <w:r>
        <w:rPr>
          <w:rFonts w:asciiTheme="minorHAnsi" w:eastAsia="Calibri" w:hAnsiTheme="minorHAnsi" w:cstheme="minorHAnsi"/>
          <w:i/>
          <w:iCs/>
          <w:sz w:val="24"/>
          <w:szCs w:val="24"/>
        </w:rPr>
        <w:t>Prověřování hospodárnosti, efektivnosti a účelnosti v rámci strategické práce</w:t>
      </w:r>
    </w:p>
    <w:p w14:paraId="2331AC32" w14:textId="6D560B17" w:rsidR="00132074" w:rsidRDefault="00132074" w:rsidP="00132074">
      <w:pPr>
        <w:pStyle w:val="Zkladntext3"/>
        <w:spacing w:after="0" w:line="360" w:lineRule="auto"/>
        <w:jc w:val="both"/>
        <w:rPr>
          <w:rFonts w:asciiTheme="minorHAnsi" w:eastAsia="Calibri" w:hAnsiTheme="minorHAnsi" w:cstheme="minorHAnsi"/>
          <w:i/>
          <w:iCs/>
          <w:sz w:val="24"/>
          <w:szCs w:val="24"/>
        </w:rPr>
      </w:pPr>
    </w:p>
    <w:p w14:paraId="43A7BBF4" w14:textId="77777777" w:rsidR="00132074" w:rsidRDefault="00132074" w:rsidP="00132074">
      <w:pPr>
        <w:tabs>
          <w:tab w:val="num" w:pos="720"/>
        </w:tabs>
        <w:jc w:val="both"/>
        <w:rPr>
          <w:rFonts w:ascii="Calibri" w:hAnsi="Calibri" w:cs="Calibri"/>
        </w:rPr>
      </w:pPr>
    </w:p>
    <w:p w14:paraId="14E2458D" w14:textId="77777777" w:rsidR="00132074" w:rsidRDefault="00132074" w:rsidP="00132074">
      <w:pPr>
        <w:tabs>
          <w:tab w:val="num" w:pos="720"/>
        </w:tabs>
        <w:jc w:val="both"/>
        <w:rPr>
          <w:rFonts w:ascii="Calibri" w:hAnsi="Calibri" w:cs="Calibri"/>
        </w:rPr>
      </w:pPr>
    </w:p>
    <w:p w14:paraId="4792F7C2" w14:textId="77777777" w:rsidR="00132074" w:rsidRDefault="00132074" w:rsidP="00132074">
      <w:pPr>
        <w:tabs>
          <w:tab w:val="num" w:pos="720"/>
        </w:tabs>
        <w:jc w:val="both"/>
        <w:rPr>
          <w:rFonts w:asciiTheme="minorHAnsi" w:hAnsiTheme="minorHAnsi" w:cstheme="minorHAnsi"/>
        </w:rPr>
      </w:pPr>
    </w:p>
    <w:p w14:paraId="6C379687" w14:textId="77777777" w:rsidR="00132074" w:rsidRDefault="00132074" w:rsidP="00132074">
      <w:pPr>
        <w:pStyle w:val="Zkladntext3"/>
        <w:spacing w:after="0" w:line="360" w:lineRule="auto"/>
        <w:ind w:left="66" w:firstLine="294"/>
        <w:jc w:val="both"/>
        <w:rPr>
          <w:rFonts w:asciiTheme="minorHAnsi" w:eastAsia="Calibri" w:hAnsiTheme="minorHAnsi" w:cstheme="minorHAnsi"/>
          <w:i/>
          <w:iCs/>
          <w:sz w:val="24"/>
          <w:szCs w:val="24"/>
        </w:rPr>
      </w:pPr>
    </w:p>
    <w:p w14:paraId="2B96BD11" w14:textId="77777777" w:rsidR="00132074" w:rsidRDefault="00132074" w:rsidP="00132074">
      <w:pPr>
        <w:pStyle w:val="Zkladntext3"/>
        <w:spacing w:after="0" w:line="360" w:lineRule="auto"/>
        <w:ind w:left="66" w:firstLine="294"/>
        <w:jc w:val="both"/>
        <w:rPr>
          <w:rFonts w:asciiTheme="minorHAnsi" w:eastAsia="Calibri" w:hAnsiTheme="minorHAnsi" w:cstheme="minorHAnsi"/>
          <w:i/>
          <w:iCs/>
          <w:sz w:val="24"/>
          <w:szCs w:val="24"/>
        </w:rPr>
      </w:pPr>
    </w:p>
    <w:p w14:paraId="5823D41A" w14:textId="77777777" w:rsidR="002A3AE6" w:rsidRDefault="002A3AE6" w:rsidP="00132074">
      <w:pPr>
        <w:pStyle w:val="Zkladntext3"/>
        <w:spacing w:after="0" w:line="360" w:lineRule="auto"/>
        <w:jc w:val="both"/>
        <w:rPr>
          <w:rFonts w:asciiTheme="minorHAnsi" w:eastAsia="Calibri" w:hAnsiTheme="minorHAnsi" w:cstheme="minorHAnsi"/>
          <w:i/>
          <w:iCs/>
          <w:sz w:val="24"/>
          <w:szCs w:val="24"/>
        </w:rPr>
      </w:pPr>
    </w:p>
    <w:p w14:paraId="50E0111D" w14:textId="01B3572C" w:rsidR="00132074" w:rsidRPr="00A06E6A" w:rsidRDefault="00132074" w:rsidP="00132074">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31627EBB" w14:textId="338C6F29" w:rsidR="00A6583A" w:rsidRPr="00820531" w:rsidRDefault="00A6583A" w:rsidP="00A6583A">
      <w:pPr>
        <w:pStyle w:val="A1-text"/>
        <w:spacing w:after="0"/>
        <w:rPr>
          <w:rFonts w:ascii="Calibri" w:hAnsi="Calibri"/>
          <w:lang w:val="cs-CZ"/>
        </w:rPr>
      </w:pPr>
      <w:r>
        <w:rPr>
          <w:rFonts w:ascii="Calibri" w:hAnsi="Calibri"/>
          <w:lang w:val="cs-CZ"/>
        </w:rPr>
        <w:t xml:space="preserve">Následující </w:t>
      </w:r>
      <w:r w:rsidRPr="00E94AD5">
        <w:rPr>
          <w:rFonts w:ascii="Calibri" w:hAnsi="Calibri"/>
          <w:b/>
          <w:lang w:val="cs-CZ"/>
        </w:rPr>
        <w:t xml:space="preserve">definice </w:t>
      </w:r>
      <w:r w:rsidR="007C2825" w:rsidRPr="00E94AD5">
        <w:rPr>
          <w:rFonts w:ascii="Calibri" w:hAnsi="Calibri"/>
          <w:b/>
          <w:lang w:val="cs-CZ"/>
        </w:rPr>
        <w:t>jednotlivých kritérií 3E</w:t>
      </w:r>
      <w:r w:rsidR="007C2825">
        <w:rPr>
          <w:rFonts w:ascii="Calibri" w:hAnsi="Calibri"/>
          <w:lang w:val="cs-CZ"/>
        </w:rPr>
        <w:t xml:space="preserve"> </w:t>
      </w:r>
      <w:r>
        <w:rPr>
          <w:rFonts w:ascii="Calibri" w:hAnsi="Calibri"/>
          <w:lang w:val="cs-CZ"/>
        </w:rPr>
        <w:t xml:space="preserve">jsou převzaty ze zákona o finanční kontrole. </w:t>
      </w:r>
      <w:r>
        <w:rPr>
          <w:rFonts w:ascii="Calibri" w:hAnsi="Calibri"/>
        </w:rPr>
        <w:t>Pokud usilujeme o uplatnění efektivního</w:t>
      </w:r>
      <w:r w:rsidRPr="00331D6F">
        <w:rPr>
          <w:rFonts w:ascii="Calibri" w:hAnsi="Calibri"/>
        </w:rPr>
        <w:t xml:space="preserve"> řízení, jsou veřejné služby, investice a ostatní </w:t>
      </w:r>
      <w:r>
        <w:rPr>
          <w:rFonts w:ascii="Calibri" w:hAnsi="Calibri"/>
        </w:rPr>
        <w:t xml:space="preserve">výdaje </w:t>
      </w:r>
      <w:r w:rsidRPr="00331D6F">
        <w:rPr>
          <w:rFonts w:ascii="Calibri" w:hAnsi="Calibri"/>
        </w:rPr>
        <w:t>posuzovány zejména z hlediska jejich účelnosti a následně z hlediska jejich efekt</w:t>
      </w:r>
      <w:r>
        <w:rPr>
          <w:rFonts w:ascii="Calibri" w:hAnsi="Calibri"/>
        </w:rPr>
        <w:t>ivnosti a jejich hospodárnosti</w:t>
      </w:r>
      <w:r>
        <w:rPr>
          <w:rFonts w:ascii="Calibri" w:hAnsi="Calibri"/>
          <w:lang w:val="cs-CZ"/>
        </w:rPr>
        <w:t>:</w:t>
      </w:r>
    </w:p>
    <w:p w14:paraId="2AA49391" w14:textId="77777777" w:rsidR="00A6583A" w:rsidRPr="00A6583A" w:rsidRDefault="00A6583A" w:rsidP="0065698B">
      <w:pPr>
        <w:pStyle w:val="A1-text"/>
        <w:numPr>
          <w:ilvl w:val="0"/>
          <w:numId w:val="8"/>
        </w:numPr>
        <w:shd w:val="clear" w:color="auto" w:fill="FFFFFF" w:themeFill="background1"/>
        <w:tabs>
          <w:tab w:val="clear" w:pos="284"/>
          <w:tab w:val="left" w:pos="-76"/>
        </w:tabs>
        <w:spacing w:after="0"/>
        <w:ind w:left="284" w:hanging="284"/>
        <w:rPr>
          <w:rFonts w:ascii="Calibri" w:hAnsi="Calibri"/>
        </w:rPr>
      </w:pPr>
      <w:r w:rsidRPr="00A6583A">
        <w:rPr>
          <w:rFonts w:ascii="Calibri" w:hAnsi="Calibri"/>
          <w:b/>
        </w:rPr>
        <w:lastRenderedPageBreak/>
        <w:t>Účelností</w:t>
      </w:r>
      <w:r w:rsidRPr="00A6583A">
        <w:rPr>
          <w:rFonts w:ascii="Calibri" w:hAnsi="Calibri"/>
        </w:rPr>
        <w:t xml:space="preserve"> se rozumí takové použití prostředků, které zajistí optimální míru dosažení cílů při plnění stanovených úkolů. </w:t>
      </w:r>
    </w:p>
    <w:p w14:paraId="06BDEE08" w14:textId="166289D5" w:rsidR="00A6583A" w:rsidRPr="00820531" w:rsidRDefault="00A6583A" w:rsidP="00A6583A">
      <w:pPr>
        <w:pStyle w:val="Normlnweb"/>
        <w:tabs>
          <w:tab w:val="left" w:pos="-76"/>
        </w:tabs>
        <w:spacing w:line="360" w:lineRule="auto"/>
        <w:ind w:left="284" w:hanging="284"/>
        <w:jc w:val="both"/>
        <w:rPr>
          <w:rFonts w:ascii="Calibri" w:hAnsi="Calibri"/>
        </w:rPr>
      </w:pPr>
      <w:r>
        <w:rPr>
          <w:rFonts w:ascii="Calibri" w:hAnsi="Calibri"/>
        </w:rPr>
        <w:tab/>
        <w:t>Příklady pro ú</w:t>
      </w:r>
      <w:r w:rsidRPr="00820531">
        <w:rPr>
          <w:rFonts w:ascii="Calibri" w:hAnsi="Calibri"/>
        </w:rPr>
        <w:t>čelnost: míra naplňování poslaní nebo společenských potřeb; míra naplň</w:t>
      </w:r>
      <w:r w:rsidR="00ED065C">
        <w:rPr>
          <w:rFonts w:ascii="Calibri" w:hAnsi="Calibri"/>
        </w:rPr>
        <w:t>ování cílů</w:t>
      </w:r>
      <w:r w:rsidRPr="00820531">
        <w:rPr>
          <w:rFonts w:ascii="Calibri" w:hAnsi="Calibri"/>
        </w:rPr>
        <w:t>; plánované paramenty v rámci strategie ke skutečně dosaženým</w:t>
      </w:r>
      <w:r w:rsidR="0010514F">
        <w:rPr>
          <w:rFonts w:ascii="Calibri" w:hAnsi="Calibri"/>
        </w:rPr>
        <w:t>.</w:t>
      </w:r>
    </w:p>
    <w:p w14:paraId="3F615FE7" w14:textId="7875ACB2" w:rsidR="00A6583A" w:rsidRDefault="00A6583A" w:rsidP="0065698B">
      <w:pPr>
        <w:pStyle w:val="A1-text"/>
        <w:numPr>
          <w:ilvl w:val="0"/>
          <w:numId w:val="8"/>
        </w:numPr>
        <w:shd w:val="clear" w:color="auto" w:fill="FFFFFF" w:themeFill="background1"/>
        <w:tabs>
          <w:tab w:val="clear" w:pos="284"/>
          <w:tab w:val="left" w:pos="-76"/>
        </w:tabs>
        <w:spacing w:after="0"/>
        <w:ind w:left="284" w:hanging="284"/>
        <w:rPr>
          <w:rFonts w:ascii="Calibri" w:hAnsi="Calibri"/>
        </w:rPr>
      </w:pPr>
      <w:r w:rsidRPr="006D5775">
        <w:rPr>
          <w:rFonts w:ascii="Calibri" w:hAnsi="Calibri"/>
          <w:b/>
        </w:rPr>
        <w:t xml:space="preserve">Efektivností </w:t>
      </w:r>
      <w:r w:rsidRPr="007E6422">
        <w:rPr>
          <w:rFonts w:ascii="Calibri" w:hAnsi="Calibri"/>
        </w:rPr>
        <w:t xml:space="preserve">se rozumí takové použití prostředků, </w:t>
      </w:r>
      <w:r w:rsidR="0010514F">
        <w:rPr>
          <w:rFonts w:ascii="Calibri" w:hAnsi="Calibri"/>
          <w:lang w:val="cs-CZ"/>
        </w:rPr>
        <w:t>kterým</w:t>
      </w:r>
      <w:r w:rsidRPr="007E6422">
        <w:rPr>
          <w:rFonts w:ascii="Calibri" w:hAnsi="Calibri"/>
        </w:rPr>
        <w:t xml:space="preserve"> se dosáhne nejvýše možného rozsahu, kvality a přínosu plněných úkolů ve srovnání s objemem prostředků vynaložených na jejich plnění. </w:t>
      </w:r>
    </w:p>
    <w:p w14:paraId="15A90733" w14:textId="032648E0" w:rsidR="00A6583A" w:rsidRPr="00820531" w:rsidRDefault="00A6583A" w:rsidP="00A6583A">
      <w:pPr>
        <w:pStyle w:val="Normlnweb"/>
        <w:tabs>
          <w:tab w:val="left" w:pos="-76"/>
        </w:tabs>
        <w:spacing w:line="360" w:lineRule="auto"/>
        <w:ind w:left="284" w:hanging="284"/>
        <w:jc w:val="both"/>
        <w:rPr>
          <w:rFonts w:ascii="Calibri" w:hAnsi="Calibri"/>
        </w:rPr>
      </w:pPr>
      <w:r>
        <w:rPr>
          <w:rFonts w:ascii="Calibri" w:hAnsi="Calibri"/>
        </w:rPr>
        <w:tab/>
        <w:t>Příklady pro e</w:t>
      </w:r>
      <w:r w:rsidRPr="00820531">
        <w:rPr>
          <w:rFonts w:ascii="Calibri" w:hAnsi="Calibri"/>
        </w:rPr>
        <w:t xml:space="preserve">fektivnost: </w:t>
      </w:r>
      <w:r w:rsidR="00ED065C">
        <w:rPr>
          <w:rFonts w:ascii="Calibri" w:hAnsi="Calibri"/>
        </w:rPr>
        <w:t xml:space="preserve">z hlediska rozsahu nejčastěji </w:t>
      </w:r>
      <w:r w:rsidRPr="00820531">
        <w:rPr>
          <w:rFonts w:ascii="Calibri" w:hAnsi="Calibri"/>
        </w:rPr>
        <w:t xml:space="preserve">nákladová efektivnost anebo produktivita (např. náklady na kilometr dálnice); </w:t>
      </w:r>
      <w:r w:rsidR="00ED065C">
        <w:rPr>
          <w:rFonts w:ascii="Calibri" w:hAnsi="Calibri"/>
        </w:rPr>
        <w:t xml:space="preserve">z hlediska přínosu </w:t>
      </w:r>
      <w:r w:rsidRPr="00820531">
        <w:rPr>
          <w:rFonts w:ascii="Calibri" w:hAnsi="Calibri"/>
        </w:rPr>
        <w:t>návratnost nákladů (např. návratnost investice do zateplení budovy z úspor energií)</w:t>
      </w:r>
      <w:r w:rsidR="00ED065C">
        <w:rPr>
          <w:rFonts w:ascii="Calibri" w:hAnsi="Calibri"/>
        </w:rPr>
        <w:t>; z hlediska kvality může jít při stejných nákladech například o délku záruční doby, o rychlost dodání a podobně.</w:t>
      </w:r>
    </w:p>
    <w:p w14:paraId="1085E0AF" w14:textId="77777777" w:rsidR="00A6583A" w:rsidRDefault="00A6583A" w:rsidP="0065698B">
      <w:pPr>
        <w:pStyle w:val="A1-text"/>
        <w:numPr>
          <w:ilvl w:val="0"/>
          <w:numId w:val="8"/>
        </w:numPr>
        <w:shd w:val="clear" w:color="auto" w:fill="FFFFFF" w:themeFill="background1"/>
        <w:tabs>
          <w:tab w:val="clear" w:pos="284"/>
          <w:tab w:val="left" w:pos="-76"/>
        </w:tabs>
        <w:spacing w:after="0"/>
        <w:ind w:left="284" w:hanging="284"/>
        <w:rPr>
          <w:rFonts w:ascii="Calibri" w:hAnsi="Calibri"/>
        </w:rPr>
      </w:pPr>
      <w:r w:rsidRPr="006D5775">
        <w:rPr>
          <w:rFonts w:ascii="Calibri" w:hAnsi="Calibri"/>
          <w:b/>
        </w:rPr>
        <w:t xml:space="preserve">Hospodárností </w:t>
      </w:r>
      <w:r w:rsidRPr="007E6422">
        <w:rPr>
          <w:rFonts w:ascii="Calibri" w:hAnsi="Calibri"/>
        </w:rPr>
        <w:t xml:space="preserve">se rozumí takové použití prostředků, kdy stanovených cílů a úkolů dosahujeme s co nejnižším vynaložením zdrojů. </w:t>
      </w:r>
    </w:p>
    <w:p w14:paraId="7B09530A" w14:textId="77777777" w:rsidR="00A6583A" w:rsidRPr="00820531" w:rsidRDefault="00A6583A" w:rsidP="00A6583A">
      <w:pPr>
        <w:pStyle w:val="Normlnweb"/>
        <w:tabs>
          <w:tab w:val="left" w:pos="-76"/>
        </w:tabs>
        <w:spacing w:line="360" w:lineRule="auto"/>
        <w:ind w:left="284" w:hanging="284"/>
        <w:jc w:val="both"/>
        <w:rPr>
          <w:rFonts w:ascii="Calibri" w:hAnsi="Calibri"/>
        </w:rPr>
      </w:pPr>
      <w:r>
        <w:rPr>
          <w:rFonts w:ascii="Calibri" w:hAnsi="Calibri"/>
        </w:rPr>
        <w:tab/>
        <w:t>Příklady pro h</w:t>
      </w:r>
      <w:r w:rsidRPr="00820531">
        <w:rPr>
          <w:rFonts w:ascii="Calibri" w:hAnsi="Calibri"/>
        </w:rPr>
        <w:t>ospodárnost: např. nejnižší nabídková cena; provozní náklady v průběhu životního cyklu</w:t>
      </w:r>
      <w:r>
        <w:rPr>
          <w:rFonts w:ascii="Calibri" w:hAnsi="Calibri"/>
        </w:rPr>
        <w:t>.</w:t>
      </w:r>
    </w:p>
    <w:p w14:paraId="01B8BC7D" w14:textId="77777777" w:rsidR="00A6583A" w:rsidRDefault="00A6583A" w:rsidP="00A6583A">
      <w:pPr>
        <w:pStyle w:val="Normlnweb"/>
        <w:spacing w:line="360" w:lineRule="auto"/>
        <w:jc w:val="both"/>
        <w:rPr>
          <w:rFonts w:ascii="Calibri" w:hAnsi="Calibri"/>
        </w:rPr>
      </w:pPr>
      <w:r w:rsidRPr="00820531">
        <w:rPr>
          <w:rFonts w:ascii="Calibri" w:hAnsi="Calibri"/>
        </w:rPr>
        <w:t>Ověřování kritérií 3E</w:t>
      </w:r>
      <w:r w:rsidRPr="00A77E1E">
        <w:rPr>
          <w:rFonts w:ascii="Calibri" w:hAnsi="Calibri"/>
        </w:rPr>
        <w:t xml:space="preserve"> se provádí u každého nakládání s veřejnými prostředky (</w:t>
      </w:r>
      <w:r>
        <w:rPr>
          <w:rFonts w:ascii="Calibri" w:hAnsi="Calibri"/>
        </w:rPr>
        <w:t xml:space="preserve">např. </w:t>
      </w:r>
      <w:r w:rsidRPr="00A77E1E">
        <w:rPr>
          <w:rFonts w:ascii="Calibri" w:hAnsi="Calibri"/>
        </w:rPr>
        <w:t>výd</w:t>
      </w:r>
      <w:r>
        <w:rPr>
          <w:rFonts w:ascii="Calibri" w:hAnsi="Calibri"/>
        </w:rPr>
        <w:t>a</w:t>
      </w:r>
      <w:r w:rsidRPr="00A77E1E">
        <w:rPr>
          <w:rFonts w:ascii="Calibri" w:hAnsi="Calibri"/>
        </w:rPr>
        <w:t>j, příjem, nakládání s majetkem či jinými právy)</w:t>
      </w:r>
      <w:r>
        <w:rPr>
          <w:rFonts w:ascii="Calibri" w:hAnsi="Calibri"/>
        </w:rPr>
        <w:t xml:space="preserve">. Prověření probíhá v rámci předběžné kontroly v rámci její první fáze. Ta se provádí před vznikem závazku. V rámci této fáze se ověřuje též shoda se zákonnými předpisy. </w:t>
      </w:r>
      <w:r w:rsidRPr="00331D6F">
        <w:rPr>
          <w:rFonts w:ascii="Calibri" w:hAnsi="Calibri"/>
        </w:rPr>
        <w:t>Základní vztahy mezi pojmy jsou za</w:t>
      </w:r>
      <w:r>
        <w:rPr>
          <w:rFonts w:ascii="Calibri" w:hAnsi="Calibri"/>
        </w:rPr>
        <w:t>chyceny na následujícím obrázku, jde o zobrazení v procesním modelu.</w:t>
      </w:r>
    </w:p>
    <w:p w14:paraId="301E0EB8" w14:textId="24C8F558" w:rsidR="00A6583A" w:rsidRPr="00DF4A0B" w:rsidRDefault="00A6583A" w:rsidP="00A6583A">
      <w:pPr>
        <w:pStyle w:val="Zkladntext3"/>
        <w:spacing w:after="0" w:line="360" w:lineRule="auto"/>
        <w:jc w:val="both"/>
        <w:rPr>
          <w:rFonts w:asciiTheme="minorHAnsi" w:eastAsia="Calibri" w:hAnsiTheme="minorHAnsi" w:cstheme="minorHAnsi"/>
          <w:i/>
          <w:iCs/>
          <w:sz w:val="24"/>
          <w:szCs w:val="24"/>
        </w:rPr>
      </w:pPr>
      <w:r w:rsidRPr="00DF4A0B">
        <w:rPr>
          <w:rFonts w:asciiTheme="minorHAnsi" w:eastAsia="Calibri" w:hAnsiTheme="minorHAnsi" w:cstheme="minorHAnsi"/>
          <w:i/>
          <w:iCs/>
          <w:sz w:val="24"/>
          <w:szCs w:val="24"/>
        </w:rPr>
        <w:t>Obr.</w:t>
      </w:r>
      <w:r w:rsidR="00257449">
        <w:rPr>
          <w:rFonts w:asciiTheme="minorHAnsi" w:eastAsia="Calibri" w:hAnsiTheme="minorHAnsi" w:cstheme="minorHAnsi"/>
          <w:i/>
          <w:iCs/>
          <w:sz w:val="24"/>
          <w:szCs w:val="24"/>
        </w:rPr>
        <w:t xml:space="preserve"> 7</w:t>
      </w:r>
      <w:r w:rsidRPr="00DF4A0B">
        <w:rPr>
          <w:rFonts w:asciiTheme="minorHAnsi" w:eastAsia="Calibri" w:hAnsiTheme="minorHAnsi" w:cstheme="minorHAnsi"/>
          <w:i/>
          <w:iCs/>
          <w:sz w:val="24"/>
          <w:szCs w:val="24"/>
        </w:rPr>
        <w:t xml:space="preserve"> Základní vztahy a vazba mezi pojmy hospodárnost, efektivnost a účelnost </w:t>
      </w:r>
    </w:p>
    <w:p w14:paraId="0C276FBB" w14:textId="77777777" w:rsidR="00A6583A" w:rsidRPr="00DF4A0B" w:rsidRDefault="00A6583A" w:rsidP="00A6583A">
      <w:pPr>
        <w:pStyle w:val="Normlnweb"/>
        <w:spacing w:after="120" w:line="360" w:lineRule="auto"/>
        <w:jc w:val="both"/>
        <w:rPr>
          <w:rFonts w:asciiTheme="minorHAnsi" w:eastAsia="Calibri" w:hAnsiTheme="minorHAnsi" w:cstheme="minorHAnsi"/>
          <w:i/>
          <w:iCs/>
        </w:rPr>
      </w:pPr>
      <w:r>
        <w:rPr>
          <w:noProof/>
        </w:rPr>
        <mc:AlternateContent>
          <mc:Choice Requires="wps">
            <w:drawing>
              <wp:anchor distT="0" distB="0" distL="114300" distR="114300" simplePos="0" relativeHeight="251539968" behindDoc="0" locked="0" layoutInCell="1" allowOverlap="1" wp14:anchorId="29B9D027" wp14:editId="6DD366F9">
                <wp:simplePos x="0" y="0"/>
                <wp:positionH relativeFrom="column">
                  <wp:posOffset>690880</wp:posOffset>
                </wp:positionH>
                <wp:positionV relativeFrom="paragraph">
                  <wp:posOffset>1073785</wp:posOffset>
                </wp:positionV>
                <wp:extent cx="134620" cy="226695"/>
                <wp:effectExtent l="38100" t="38100" r="36830" b="40005"/>
                <wp:wrapNone/>
                <wp:docPr id="23621" name="Přímá spojnice se šipkou 23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620" cy="22669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95B10F" id="Přímá spojnice se šipkou 23621" o:spid="_x0000_s1026" type="#_x0000_t32" style="position:absolute;margin-left:54.4pt;margin-top:84.55pt;width:10.6pt;height:17.8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r5kGAIAAAAEAAAOAAAAZHJzL2Uyb0RvYy54bWysU0tu2zAQ3RfoHQjuG9lyY6SC5Szsppug&#10;NZD0ABOKktjwBw5j2UfpMgfoKYLcq0PKdpq2q6JcECQf33DevOHicmc028qAytmaT88mnEkrXKNs&#10;V/Ovt1fvLjjDCLYB7ays+V4iv1y+fbMYfCVL1zvdyMAoiMVq8DXvY/RVUaDopQE8c15aAlsXDETa&#10;hq5oAgwU3eiinEzmxeBC44MTEpFO1yPIlzl+20oRv7Qtysh0zSm3mOeQ57s0F8sFVF0A3ytxSAP+&#10;IQsDytKjp1BriMAegvojlFEiOHRtPBPOFK5tlZBZA6mZTn5Tc9ODl1kLFQf9qUz4/8KKz9tNYKqp&#10;eTmbl1POLBiyafP8/emHeXpk6N03SzkylOz5Ufl798DGm1S5wWNFAVZ2E5J2sbM3/tqJeySseAWm&#10;Dfrx2q4NJl0n8WyXndifnJC7yAQdTmfv5yX5JQgqy/n8w3lyqoDqSPYB4yfpDEuLmmMMoLo+rpy1&#10;5LkL0+wGbK8xjsQjIb1s3ZXSms6h0pYNNZ/PztNjQA3Yaoi0NJ5KgrbjDHRHnS1iyBHRadUkdiLj&#10;Hlc6sC1Qc1FPNm64JQGcacBIAKnK45D6K2pKZw3Yj+QMjb1oVKQPoZWp+cWJDVUvofloGxb3nuyJ&#10;QYHttBwpEZT+O0YF0zZlKvNXOBTjxYy0unPNfhOOjlGb5TofvkTq41/32deXj7v8CQAA//8DAFBL&#10;AwQUAAYACAAAACEAFW4Pi90AAAALAQAADwAAAGRycy9kb3ducmV2LnhtbEyPwU7DMBBE70j8g7VI&#10;3KjdgEoIcaoINZw40NIPcOMljojXIXbb8PdsT3Db0Y5m3pTr2Q/ihFPsA2lYLhQIpDbYnjoN+4/m&#10;LgcRkyFrhkCo4QcjrKvrq9IUNpxpi6dd6gSHUCyMBpfSWEgZW4fexEUYkfj3GSZvEsupk3YyZw73&#10;g8yUWklveuIGZ0Z8cdh+7Y5ew/emTuizfVM/vtp507q35j3kWt/ezPUziIRz+jPDBZ/RoWKmQziS&#10;jWJgrXJGT3ysnpYgLo57xesOGjL1kIOsSvl/Q/ULAAD//wMAUEsBAi0AFAAGAAgAAAAhALaDOJL+&#10;AAAA4QEAABMAAAAAAAAAAAAAAAAAAAAAAFtDb250ZW50X1R5cGVzXS54bWxQSwECLQAUAAYACAAA&#10;ACEAOP0h/9YAAACUAQAACwAAAAAAAAAAAAAAAAAvAQAAX3JlbHMvLnJlbHNQSwECLQAUAAYACAAA&#10;ACEAtfK+ZBgCAAAABAAADgAAAAAAAAAAAAAAAAAuAgAAZHJzL2Uyb0RvYy54bWxQSwECLQAUAAYA&#10;CAAAACEAFW4Pi90AAAALAQAADwAAAAAAAAAAAAAAAAByBAAAZHJzL2Rvd25yZXYueG1sUEsFBgAA&#10;AAAEAAQA8wAAAHwFAAAAAA==&#10;" strokecolor="windowText" strokeweight=".5pt">
                <v:stroke startarrow="block" endarrow="block" joinstyle="miter"/>
                <o:lock v:ext="edit" shapetype="f"/>
              </v:shape>
            </w:pict>
          </mc:Fallback>
        </mc:AlternateContent>
      </w:r>
      <w:r>
        <w:rPr>
          <w:noProof/>
        </w:rPr>
        <mc:AlternateContent>
          <mc:Choice Requires="wps">
            <w:drawing>
              <wp:anchor distT="0" distB="0" distL="114300" distR="114300" simplePos="0" relativeHeight="251535872" behindDoc="0" locked="0" layoutInCell="1" allowOverlap="1" wp14:anchorId="57288A60" wp14:editId="6222512C">
                <wp:simplePos x="0" y="0"/>
                <wp:positionH relativeFrom="margin">
                  <wp:posOffset>12065</wp:posOffset>
                </wp:positionH>
                <wp:positionV relativeFrom="paragraph">
                  <wp:posOffset>308610</wp:posOffset>
                </wp:positionV>
                <wp:extent cx="1210945" cy="88519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885190"/>
                        </a:xfrm>
                        <a:prstGeom prst="rect">
                          <a:avLst/>
                        </a:prstGeom>
                        <a:solidFill>
                          <a:srgbClr val="FFFFFF"/>
                        </a:solidFill>
                        <a:ln w="9525">
                          <a:noFill/>
                          <a:miter lim="800000"/>
                          <a:headEnd/>
                          <a:tailEnd/>
                        </a:ln>
                      </wps:spPr>
                      <wps:txbx>
                        <w:txbxContent>
                          <w:p w14:paraId="0877A7EA" w14:textId="77777777" w:rsidR="00511D9B" w:rsidRPr="00296064" w:rsidRDefault="00511D9B" w:rsidP="00A6583A">
                            <w:pPr>
                              <w:spacing w:line="240" w:lineRule="auto"/>
                              <w:ind w:left="-57" w:right="-57"/>
                              <w:jc w:val="center"/>
                              <w:rPr>
                                <w:b/>
                                <w:i/>
                                <w:sz w:val="20"/>
                              </w:rPr>
                            </w:pPr>
                            <w:r w:rsidRPr="00296064">
                              <w:rPr>
                                <w:b/>
                                <w:i/>
                                <w:sz w:val="20"/>
                              </w:rPr>
                              <w:t>Turbule</w:t>
                            </w:r>
                            <w:r>
                              <w:rPr>
                                <w:b/>
                                <w:i/>
                                <w:sz w:val="20"/>
                              </w:rPr>
                              <w:t xml:space="preserve">ntní vnější prostředí plné změn </w:t>
                            </w:r>
                            <w:r w:rsidRPr="00296064">
                              <w:rPr>
                                <w:b/>
                                <w:i/>
                                <w:sz w:val="20"/>
                              </w:rPr>
                              <w:t>a nových výzev</w:t>
                            </w:r>
                            <w:r>
                              <w:rPr>
                                <w:b/>
                                <w:i/>
                                <w:sz w:val="20"/>
                              </w:rPr>
                              <w:t xml:space="preserve"> -</w:t>
                            </w:r>
                            <w:r w:rsidRPr="00296064">
                              <w:rPr>
                                <w:b/>
                                <w:i/>
                                <w:sz w:val="20"/>
                              </w:rPr>
                              <w:t xml:space="preserve"> s tím spojená rizika a příležitosti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88A60" id="Textové pole 2" o:spid="_x0000_s1117" type="#_x0000_t202" style="position:absolute;left:0;text-align:left;margin-left:.95pt;margin-top:24.3pt;width:95.35pt;height:69.7pt;z-index:25153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CIKwIAACgEAAAOAAAAZHJzL2Uyb0RvYy54bWysU9uO0zAQfUfiHyy/01xooY2arpYuRUjL&#10;RdrlAxzHaSxsj7HdJssf8R38GGOnLRW8IfJgeTLj4zPnjNc3o1bkKJyXYGpazHJKhOHQSrOv6ZfH&#10;3YslJT4w0zIFRtT0SXh6s3n+bD3YSpTQg2qFIwhifDXYmvYh2CrLPO+FZn4GVhhMduA0Cxi6fdY6&#10;NiC6VlmZ56+yAVxrHXDhPf69m5J0k/C7TvDwqeu8CETVFLmFtLq0NnHNNmtW7R2zveQnGuwfWGgm&#10;DV56gbpjgZGDk39BackdeOjCjIPOoOskF6kH7KbI/+jmoWdWpF5QHG8vMvn/B8s/Hj87Ilv0jhLD&#10;NFr0KMYAx58/iAUlSBklGqyvsPLBYm0Y38AYy2O73t4D/+qJgW3PzF7cOgdDL1iLFIt4Mrs6OuH4&#10;CNIMH6DFu9ghQAIaO6cjICpCEB2terrYg3wIj1eWRb6aLyjhmFsuF8Uq+Zex6nzaOh/eCdAkbmrq&#10;0P6Ezo73PkQ2rDqXJPagZLuTSqXA7ZutcuTIcFR26UsNYJPXZcqQoaarRblIyAbi+TRFWgYcZSU1&#10;ksvjNw1XVOOtaVNJYFJNe2SizEmeqMikTRibMZnxcnmWvYH2CQVzMI0uPjXc9OC+UzLg2NbUfzsw&#10;JyhR7w2Kvirm8zjnKZgvXpcYuOtMc51hhiNUTQMl03Yb0tuIehi4RXM6mXSLLk5MTpxxHJOcp6cT&#10;5/06TlW/H/jmFwAAAP//AwBQSwMEFAAGAAgAAAAhAI+heuPbAAAACAEAAA8AAABkcnMvZG93bnJl&#10;di54bWxMj0FPg0AQhe8m/ofNmHgxdrGpFJCl0SYar639AQNMgcjOEnZb6L/v9KS39/Je3nyTb2bb&#10;qzONvnNs4GURgSKuXN1xY+Dw8/mcgPIBucbeMRm4kIdNcX+XY1a7iXd03odGyQj7DA20IQyZ1r5q&#10;yaJfuIFYsqMbLQaxY6PrEScZt71eRlGsLXYsF1ocaNtS9bs/WQPH7+npNZ3Kr3BY71bxB3br0l2M&#10;eXyY399ABZrDXxlu+IIOhTCV7sS1V734VIoGVkkM6hanSxGliCSJQBe5/v9AcQUAAP//AwBQSwEC&#10;LQAUAAYACAAAACEAtoM4kv4AAADhAQAAEwAAAAAAAAAAAAAAAAAAAAAAW0NvbnRlbnRfVHlwZXNd&#10;LnhtbFBLAQItABQABgAIAAAAIQA4/SH/1gAAAJQBAAALAAAAAAAAAAAAAAAAAC8BAABfcmVscy8u&#10;cmVsc1BLAQItABQABgAIAAAAIQAjTsCIKwIAACgEAAAOAAAAAAAAAAAAAAAAAC4CAABkcnMvZTJv&#10;RG9jLnhtbFBLAQItABQABgAIAAAAIQCPoXrj2wAAAAgBAAAPAAAAAAAAAAAAAAAAAIUEAABkcnMv&#10;ZG93bnJldi54bWxQSwUGAAAAAAQABADzAAAAjQUAAAAA&#10;" stroked="f">
                <v:textbox>
                  <w:txbxContent>
                    <w:p w14:paraId="0877A7EA" w14:textId="77777777" w:rsidR="00511D9B" w:rsidRPr="00296064" w:rsidRDefault="00511D9B" w:rsidP="00A6583A">
                      <w:pPr>
                        <w:spacing w:line="240" w:lineRule="auto"/>
                        <w:ind w:left="-57" w:right="-57"/>
                        <w:jc w:val="center"/>
                        <w:rPr>
                          <w:b/>
                          <w:i/>
                          <w:sz w:val="20"/>
                        </w:rPr>
                      </w:pPr>
                      <w:r w:rsidRPr="00296064">
                        <w:rPr>
                          <w:b/>
                          <w:i/>
                          <w:sz w:val="20"/>
                        </w:rPr>
                        <w:t>Turbule</w:t>
                      </w:r>
                      <w:r>
                        <w:rPr>
                          <w:b/>
                          <w:i/>
                          <w:sz w:val="20"/>
                        </w:rPr>
                        <w:t xml:space="preserve">ntní vnější prostředí plné změn </w:t>
                      </w:r>
                      <w:r w:rsidRPr="00296064">
                        <w:rPr>
                          <w:b/>
                          <w:i/>
                          <w:sz w:val="20"/>
                        </w:rPr>
                        <w:t>a nových výzev</w:t>
                      </w:r>
                      <w:r>
                        <w:rPr>
                          <w:b/>
                          <w:i/>
                          <w:sz w:val="20"/>
                        </w:rPr>
                        <w:t xml:space="preserve"> -</w:t>
                      </w:r>
                      <w:r w:rsidRPr="00296064">
                        <w:rPr>
                          <w:b/>
                          <w:i/>
                          <w:sz w:val="20"/>
                        </w:rPr>
                        <w:t xml:space="preserve"> s tím spojená rizika a příležitosti</w:t>
                      </w:r>
                    </w:p>
                  </w:txbxContent>
                </v:textbox>
                <w10:wrap anchorx="margin"/>
              </v:shape>
            </w:pict>
          </mc:Fallback>
        </mc:AlternateContent>
      </w:r>
      <w:r>
        <w:rPr>
          <w:noProof/>
        </w:rPr>
        <mc:AlternateContent>
          <mc:Choice Requires="wps">
            <w:drawing>
              <wp:anchor distT="0" distB="0" distL="114300" distR="114300" simplePos="0" relativeHeight="251536896" behindDoc="0" locked="0" layoutInCell="1" allowOverlap="1" wp14:anchorId="51358974" wp14:editId="5990E26B">
                <wp:simplePos x="0" y="0"/>
                <wp:positionH relativeFrom="column">
                  <wp:posOffset>1191895</wp:posOffset>
                </wp:positionH>
                <wp:positionV relativeFrom="paragraph">
                  <wp:posOffset>316230</wp:posOffset>
                </wp:positionV>
                <wp:extent cx="281305" cy="337185"/>
                <wp:effectExtent l="38100" t="38100" r="42545" b="43815"/>
                <wp:wrapNone/>
                <wp:docPr id="23571" name="Přímá spojnice se šipkou 23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1305" cy="337185"/>
                        </a:xfrm>
                        <a:prstGeom prst="straightConnector1">
                          <a:avLst/>
                        </a:prstGeom>
                        <a:noFill/>
                        <a:ln w="1270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ABA58E" id="Přímá spojnice se šipkou 23571" o:spid="_x0000_s1026" type="#_x0000_t32" style="position:absolute;margin-left:93.85pt;margin-top:24.9pt;width:22.15pt;height:26.55pt;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V1IQIAAAsEAAAOAAAAZHJzL2Uyb0RvYy54bWysU0tu2zAQ3RfoHQjua/kD14ZgOQu76SZo&#10;DSTtfkJREhv+wGEs+yhd5gA9RZB7dUg5TtN2VVQLguToDd+8N7O6OBjN9jKgcrbik9GYM2mFq5Vt&#10;K/7l5vLdkjOMYGvQzsqKHyXyi/XbN6vel3LqOqdrGRglsVj2vuJdjL4sChSdNIAj56WlYOOCgUjH&#10;0BZ1gJ6yG11Mx+P3Re9C7YMTEpFut0OQr3P+ppEifm4alJHpihO3mNeQ19u0FusVlG0A3ylxogH/&#10;wMKAsvToOdUWIrD7oP5IZZQIDl0TR8KZwjWNEjLXQNVMxr9Vc92Bl7kWEgf9WSb8f2nFp/0uMFVX&#10;fDqbLyacWTBk0+7p++MP8/jA0LtvljgylOzpQfk7d8+GP0m53mNJCTZ2F1Lt4mCv/ZUTd0ix4lUw&#10;HdAPvx2aYFijlf9KDZNFIxnYIXtyPHsiD5EJupwuJ7PxnDNBodlsMVnOk2cFlClNetUHjB+lMyxt&#10;Ko4xgGq7uHHWkvsuDE/A/grjAHwGJLB1l0pruodSW9YToeliTH0igHqx0RBpazypg7blDHRLTS5i&#10;yKzRaVUneELjETc6sD1Qn1F71q6/oQo404CRAlRW/k7cX0ETny1gN4BzaGhLoyLNhlam4sszGspO&#10;Qv3B1iwePTkVgwLbajlAIij99xgppm1iKvNUnNR48SXtbl193IVn86jjstCn6Ugt/es5W/wyw+uf&#10;AAAA//8DAFBLAwQUAAYACAAAACEAcMjFCt8AAAAKAQAADwAAAGRycy9kb3ducmV2LnhtbEyPwU7D&#10;MBBE70j8g7VI3KhDqEgb4lSAWoTgAm3V8zY2cUi8jmK3DXw9ywmOoxnNvCkWo+vE0Qyh8aTgepKA&#10;MFR53VCtYLtZXc1AhIiksfNkFHyZAIvy/KzAXPsTvZvjOtaCSyjkqMDG2OdShsoah2Hie0PsffjB&#10;YWQ51FIPeOJy18k0SW6lw4Z4wWJvHq2p2vXBKXiYxvY1Dk8vn7u3VbaxuHz+XrZKXV6M93cgohnj&#10;Xxh+8RkdSmba+wPpIDrWsyzjqILpnC9wIL1J+dyenSSdgywL+f9C+QMAAP//AwBQSwECLQAUAAYA&#10;CAAAACEAtoM4kv4AAADhAQAAEwAAAAAAAAAAAAAAAAAAAAAAW0NvbnRlbnRfVHlwZXNdLnhtbFBL&#10;AQItABQABgAIAAAAIQA4/SH/1gAAAJQBAAALAAAAAAAAAAAAAAAAAC8BAABfcmVscy8ucmVsc1BL&#10;AQItABQABgAIAAAAIQDysxV1IQIAAAsEAAAOAAAAAAAAAAAAAAAAAC4CAABkcnMvZTJvRG9jLnht&#10;bFBLAQItABQABgAIAAAAIQBwyMUK3wAAAAoBAAAPAAAAAAAAAAAAAAAAAHsEAABkcnMvZG93bnJl&#10;di54bWxQSwUGAAAAAAQABADzAAAAhwUAAAAA&#10;" strokecolor="windowText" strokeweight="1pt">
                <v:stroke startarrow="block" endarrow="block" joinstyle="miter"/>
                <o:lock v:ext="edit" shapetype="f"/>
              </v:shape>
            </w:pict>
          </mc:Fallback>
        </mc:AlternateContent>
      </w:r>
      <w:r>
        <w:rPr>
          <w:noProof/>
        </w:rPr>
        <mc:AlternateContent>
          <mc:Choice Requires="wps">
            <w:drawing>
              <wp:anchor distT="0" distB="0" distL="114300" distR="114300" simplePos="0" relativeHeight="251537920" behindDoc="0" locked="0" layoutInCell="1" allowOverlap="1" wp14:anchorId="745F34DC" wp14:editId="264B101E">
                <wp:simplePos x="0" y="0"/>
                <wp:positionH relativeFrom="column">
                  <wp:posOffset>1143000</wp:posOffset>
                </wp:positionH>
                <wp:positionV relativeFrom="paragraph">
                  <wp:posOffset>857250</wp:posOffset>
                </wp:positionV>
                <wp:extent cx="349885" cy="45720"/>
                <wp:effectExtent l="0" t="57150" r="31115" b="68580"/>
                <wp:wrapNone/>
                <wp:docPr id="23616" name="Přímá spojnice se šipkou 23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885" cy="4572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0229A3" id="Přímá spojnice se šipkou 23616" o:spid="_x0000_s1026" type="#_x0000_t32" style="position:absolute;margin-left:90pt;margin-top:67.5pt;width:27.55pt;height:3.6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WFGgIAAP8DAAAOAAAAZHJzL2Uyb0RvYy54bWysU0tu2zAQ3RfoHQjua/kTu65gOQu76SZo&#10;DSQ9wISiJDb8gcNY9lG6zAF6iiD36pD+NGm7KqoFQWo4j2/mvVlc7oxmWxlQOVvx0WDImbTC1cq2&#10;Ff96e/VuzhlGsDVoZ2XF9xL55fLtm0XvSzl2ndO1DIxALJa9r3gXoy+LAkUnDeDAeWkp2LhgINIx&#10;tEUdoCd0o4vxcDgrehdqH5yQiPR3fQjyZcZvGinil6ZBGZmuOHGLeQ15vUtrsVxA2QbwnRJHGvAP&#10;LAwoS4+eodYQgT0E9QeUUSI4dE0cCGcK1zRKyFwDVTMa/lbNTQde5lqoOejPbcL/Bys+bzeBqbri&#10;48lsNOPMgiGZNs/fn36Yp0eG3n2zxJGhZM+Pyt+7B3a4SZ3rPZYEsLKbkGoXO3vjr524R4oVr4Lp&#10;gP5wbdcEk65T8WyXldiflZC7yAT9nFx8mM+nnAkKXUzfj7NQBZSnXB8wfpLOsLSpOMYAqu3iyllL&#10;krswymLA9hpj4gLlKSE9bN2V0jorry3rKz6bTMkbAsh/jYZIW+OpI2hbzkC3ZGwRQ0ZEp1WdshMO&#10;7nGlA9sCeYssWbv+lvhzpgEjBaio/CWPEYNXqYnOGrA7JOfQwYpGRZoHrUzF5+dsKDsJ9Udbs7j3&#10;pE4MCmyr5SElgtJ/j9Gr2iamMk/CsRm/tEi7O1fvN+EkGLkskz1ORLLxyzPtX87t8icAAAD//wMA&#10;UEsDBBQABgAIAAAAIQBL6ss/3AAAAAsBAAAPAAAAZHJzL2Rvd25yZXYueG1sTE9BTsMwELwj8Qdr&#10;kbhRpy6FKMSpItRw4kBLH+DGSxwRr0PstuH3LCe4zeyMZmfKzewHccYp9oE0LBcZCKQ22J46DYf3&#10;5i4HEZMha4ZAqOEbI2yq66vSFDZcaIfnfeoEh1AsjAaX0lhIGVuH3sRFGJFY+wiTN4np1Ek7mQuH&#10;+0GqLHuQ3vTEH5wZ8dlh+7k/eQ1f2zqhV4emfnyx87Z1r81byLW+vZnrJxAJ5/Rnht/6XB0q7nQM&#10;J7JRDMzzjLckBqs1A3ao1XoJ4siXe6VAVqX8v6H6AQAA//8DAFBLAQItABQABgAIAAAAIQC2gziS&#10;/gAAAOEBAAATAAAAAAAAAAAAAAAAAAAAAABbQ29udGVudF9UeXBlc10ueG1sUEsBAi0AFAAGAAgA&#10;AAAhADj9If/WAAAAlAEAAAsAAAAAAAAAAAAAAAAALwEAAF9yZWxzLy5yZWxzUEsBAi0AFAAGAAgA&#10;AAAhADJphYUaAgAA/wMAAA4AAAAAAAAAAAAAAAAALgIAAGRycy9lMm9Eb2MueG1sUEsBAi0AFAAG&#10;AAgAAAAhAEvqyz/cAAAACwEAAA8AAAAAAAAAAAAAAAAAdAQAAGRycy9kb3ducmV2LnhtbFBLBQYA&#10;AAAABAAEAPMAAAB9BQAAAAA=&#10;" strokecolor="windowText" strokeweight=".5pt">
                <v:stroke startarrow="block" endarrow="block" joinstyle="miter"/>
                <o:lock v:ext="edit" shapetype="f"/>
              </v:shape>
            </w:pict>
          </mc:Fallback>
        </mc:AlternateContent>
      </w:r>
      <w:r>
        <w:rPr>
          <w:noProof/>
        </w:rPr>
        <mc:AlternateContent>
          <mc:Choice Requires="wps">
            <w:drawing>
              <wp:anchor distT="0" distB="0" distL="114300" distR="114300" simplePos="0" relativeHeight="251538944" behindDoc="0" locked="0" layoutInCell="1" allowOverlap="1" wp14:anchorId="3E405169" wp14:editId="28B6224C">
                <wp:simplePos x="0" y="0"/>
                <wp:positionH relativeFrom="column">
                  <wp:posOffset>1191895</wp:posOffset>
                </wp:positionH>
                <wp:positionV relativeFrom="paragraph">
                  <wp:posOffset>1113790</wp:posOffset>
                </wp:positionV>
                <wp:extent cx="340360" cy="272415"/>
                <wp:effectExtent l="38100" t="38100" r="59690" b="32385"/>
                <wp:wrapNone/>
                <wp:docPr id="23617" name="Přímá spojnice se šipkou 236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0360" cy="27241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C9FA7E" id="Přímá spojnice se šipkou 23617" o:spid="_x0000_s1026" type="#_x0000_t32" style="position:absolute;margin-left:93.85pt;margin-top:87.7pt;width:26.8pt;height:21.45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t3GQIAAAAEAAAOAAAAZHJzL2Uyb0RvYy54bWysU0tu2zAQ3RfoHQjua/mTOIFgOQu76SZo&#10;DSQ9wISiJDb8gcNY9lG6zAF6iiD36pCynabtqigXBMnHN5w3b7i42hnNtjKgcrbik9GYM2mFq5Vt&#10;K/717vrDJWcYwdagnZUV30vkV8v37xa9L+XUdU7XMjAKYrHsfcW7GH1ZFCg6aQBHzktLYOOCgUjb&#10;0BZ1gJ6iG11Mx+N50btQ++CERKTT9QDyZY7fNFLEL02DMjJdccot5jnk+T7NxXIBZRvAd0oc0oB/&#10;yMKAsvToKdQaIrDHoP4IZZQIDl0TR8KZwjWNEjJrIDWT8W9qbjvwMmuh4qA/lQn/X1jxebsJTNUV&#10;n87mkwvOLBiyafPy/fmHeX5i6N03SzkylOzlSfkH98iGm1S53mNJAVZ2E5J2sbO3/saJBySseAOm&#10;Dfrh2q4JJl0n8WyXndifnJC7yAQdzs7Gszn5JQiaXkzPJufJqQLKI9kHjJ+kMywtKo4xgGq7uHLW&#10;kucuTLIbsL3BOBCPhPSydddKazqHUlvWV3w+O0+PATVgoyHS0ngqCdqWM9AtdbaIIUdEp1Wd2ImM&#10;e1zpwLZAzUU9Wbv+jgRwpgEjAaQqj0Pqb6gpnTVgN5AzNPSiUZE+hFam4pcnNpSdhPqjrVnce7In&#10;BgW21XKgRFD67xgVTNuUqcxf4VCMVzPS6t7V+004OkZtlut8+BKpj3/dZ19fP+7yJwAAAP//AwBQ&#10;SwMEFAAGAAgAAAAhAANdVQTeAAAACwEAAA8AAABkcnMvZG93bnJldi54bWxMj8FOwzAQRO9I/IO1&#10;SNyok7SQKMSpItRw4gClH+DGSxwRr0PstuHvWU5wm9E+zc5U28WN4oxzGDwpSFcJCKTOm4F6BYf3&#10;9q4AEaImo0dPqOAbA2zr66tKl8Zf6A3P+9gLDqFQagU2xqmUMnQWnQ4rPyHx7cPPTke2cy/NrC8c&#10;7kaZJcmDdHog/mD1hE8Wu8/9ySn42jURXXZom/zZLLvOvrSvvlDq9mZpHkFEXOIfDL/1uTrU3Ono&#10;T2SCGNkXec4oi/x+A4KJbJOuQRxZpMUaZF3J/xvqHwAAAP//AwBQSwECLQAUAAYACAAAACEAtoM4&#10;kv4AAADhAQAAEwAAAAAAAAAAAAAAAAAAAAAAW0NvbnRlbnRfVHlwZXNdLnhtbFBLAQItABQABgAI&#10;AAAAIQA4/SH/1gAAAJQBAAALAAAAAAAAAAAAAAAAAC8BAABfcmVscy8ucmVsc1BLAQItABQABgAI&#10;AAAAIQBoDBt3GQIAAAAEAAAOAAAAAAAAAAAAAAAAAC4CAABkcnMvZTJvRG9jLnhtbFBLAQItABQA&#10;BgAIAAAAIQADXVUE3gAAAAsBAAAPAAAAAAAAAAAAAAAAAHMEAABkcnMvZG93bnJldi54bWxQSwUG&#10;AAAAAAQABADzAAAAfgUAAAAA&#10;" strokecolor="windowText" strokeweight=".5pt">
                <v:stroke startarrow="block" endarrow="block" joinstyle="miter"/>
                <o:lock v:ext="edit" shapetype="f"/>
              </v:shape>
            </w:pict>
          </mc:Fallback>
        </mc:AlternateContent>
      </w:r>
      <w:r>
        <w:rPr>
          <w:noProof/>
        </w:rPr>
        <mc:AlternateContent>
          <mc:Choice Requires="wpg">
            <w:drawing>
              <wp:inline distT="0" distB="0" distL="0" distR="0" wp14:anchorId="7B618D59" wp14:editId="6E4E7774">
                <wp:extent cx="5739130" cy="2916555"/>
                <wp:effectExtent l="0" t="0" r="13970" b="0"/>
                <wp:docPr id="23947" name="Skupina 23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130" cy="2916555"/>
                          <a:chOff x="0" y="1"/>
                          <a:chExt cx="5274259" cy="3128136"/>
                        </a:xfrm>
                      </wpg:grpSpPr>
                      <wps:wsp>
                        <wps:cNvPr id="23948" name="Textové pole 2"/>
                        <wps:cNvSpPr txBox="1">
                          <a:spLocks noChangeArrowheads="1"/>
                        </wps:cNvSpPr>
                        <wps:spPr bwMode="auto">
                          <a:xfrm>
                            <a:off x="1571898" y="1"/>
                            <a:ext cx="1748789" cy="427341"/>
                          </a:xfrm>
                          <a:prstGeom prst="rect">
                            <a:avLst/>
                          </a:prstGeom>
                          <a:solidFill>
                            <a:srgbClr val="FFFFFF"/>
                          </a:solidFill>
                          <a:ln w="9525">
                            <a:solidFill>
                              <a:srgbClr val="000000"/>
                            </a:solidFill>
                            <a:miter lim="800000"/>
                            <a:headEnd/>
                            <a:tailEnd/>
                          </a:ln>
                        </wps:spPr>
                        <wps:txbx>
                          <w:txbxContent>
                            <w:p w14:paraId="7171691D" w14:textId="77777777" w:rsidR="00511D9B" w:rsidRPr="009219FD" w:rsidRDefault="00511D9B" w:rsidP="00A6583A">
                              <w:pPr>
                                <w:spacing w:line="204" w:lineRule="auto"/>
                                <w:ind w:left="-57" w:right="-57"/>
                                <w:jc w:val="center"/>
                              </w:pPr>
                              <w:r>
                                <w:t xml:space="preserve">Potřeby </w:t>
                              </w:r>
                              <w:r w:rsidRPr="009219FD">
                                <w:t>společnosti, platná legislativa</w:t>
                              </w:r>
                            </w:p>
                          </w:txbxContent>
                        </wps:txbx>
                        <wps:bodyPr rot="0" vert="horz" wrap="square" lIns="91440" tIns="45720" rIns="91440" bIns="45720" anchor="t" anchorCtr="0" upright="1">
                          <a:noAutofit/>
                        </wps:bodyPr>
                      </wps:wsp>
                      <wps:wsp>
                        <wps:cNvPr id="23949" name="Textové pole 2"/>
                        <wps:cNvSpPr txBox="1">
                          <a:spLocks noChangeArrowheads="1"/>
                        </wps:cNvSpPr>
                        <wps:spPr bwMode="auto">
                          <a:xfrm>
                            <a:off x="1572419" y="592347"/>
                            <a:ext cx="1758950" cy="514889"/>
                          </a:xfrm>
                          <a:prstGeom prst="rect">
                            <a:avLst/>
                          </a:prstGeom>
                          <a:solidFill>
                            <a:srgbClr val="FFFFFF"/>
                          </a:solidFill>
                          <a:ln w="9525">
                            <a:solidFill>
                              <a:srgbClr val="000000"/>
                            </a:solidFill>
                            <a:miter lim="800000"/>
                            <a:headEnd/>
                            <a:tailEnd/>
                          </a:ln>
                        </wps:spPr>
                        <wps:txbx>
                          <w:txbxContent>
                            <w:p w14:paraId="26DA64B7" w14:textId="77777777" w:rsidR="00511D9B" w:rsidRDefault="00511D9B" w:rsidP="00A6583A">
                              <w:pPr>
                                <w:spacing w:line="240" w:lineRule="auto"/>
                                <w:ind w:left="-57" w:right="-57"/>
                                <w:jc w:val="center"/>
                                <w:rPr>
                                  <w:sz w:val="22"/>
                                  <w:szCs w:val="20"/>
                                </w:rPr>
                              </w:pPr>
                              <w:r w:rsidRPr="00230C35">
                                <w:rPr>
                                  <w:sz w:val="22"/>
                                  <w:szCs w:val="20"/>
                                </w:rPr>
                                <w:t xml:space="preserve">Schválené záměry a vlastní cíle </w:t>
                              </w:r>
                            </w:p>
                            <w:p w14:paraId="2356789B" w14:textId="77777777" w:rsidR="00511D9B" w:rsidRPr="00230C35" w:rsidRDefault="00511D9B" w:rsidP="00A6583A">
                              <w:pPr>
                                <w:spacing w:line="240" w:lineRule="auto"/>
                                <w:ind w:left="-57" w:right="-57"/>
                                <w:jc w:val="center"/>
                                <w:rPr>
                                  <w:sz w:val="22"/>
                                  <w:szCs w:val="20"/>
                                </w:rPr>
                              </w:pPr>
                              <w:r w:rsidRPr="00230C35">
                                <w:rPr>
                                  <w:sz w:val="20"/>
                                  <w:szCs w:val="20"/>
                                </w:rPr>
                                <w:t>obce / kraje / jejich organizac</w:t>
                              </w:r>
                              <w:r>
                                <w:rPr>
                                  <w:sz w:val="20"/>
                                  <w:szCs w:val="20"/>
                                </w:rPr>
                                <w:t>í</w:t>
                              </w:r>
                            </w:p>
                          </w:txbxContent>
                        </wps:txbx>
                        <wps:bodyPr rot="0" vert="horz" wrap="square" lIns="91440" tIns="45720" rIns="91440" bIns="45720" anchor="t" anchorCtr="0" upright="1">
                          <a:noAutofit/>
                        </wps:bodyPr>
                      </wps:wsp>
                      <wps:wsp>
                        <wps:cNvPr id="23950" name="Textové pole 2"/>
                        <wps:cNvSpPr txBox="1">
                          <a:spLocks noChangeArrowheads="1"/>
                        </wps:cNvSpPr>
                        <wps:spPr bwMode="auto">
                          <a:xfrm>
                            <a:off x="1602029" y="1272845"/>
                            <a:ext cx="1758950" cy="605790"/>
                          </a:xfrm>
                          <a:prstGeom prst="rect">
                            <a:avLst/>
                          </a:prstGeom>
                          <a:solidFill>
                            <a:srgbClr val="FFFFFF"/>
                          </a:solidFill>
                          <a:ln w="57150">
                            <a:solidFill>
                              <a:srgbClr val="000000"/>
                            </a:solidFill>
                            <a:miter lim="800000"/>
                            <a:headEnd/>
                            <a:tailEnd/>
                          </a:ln>
                        </wps:spPr>
                        <wps:txbx>
                          <w:txbxContent>
                            <w:p w14:paraId="475D87A8" w14:textId="77777777" w:rsidR="00511D9B" w:rsidRDefault="00511D9B" w:rsidP="00A6583A">
                              <w:pPr>
                                <w:spacing w:line="240" w:lineRule="auto"/>
                                <w:ind w:left="-57" w:right="-57"/>
                                <w:jc w:val="center"/>
                              </w:pPr>
                              <w:r w:rsidRPr="0031407B">
                                <w:rPr>
                                  <w:b/>
                                  <w:sz w:val="28"/>
                                </w:rPr>
                                <w:t>PROCESY</w:t>
                              </w:r>
                              <w:r w:rsidRPr="00647C01">
                                <w:rPr>
                                  <w:b/>
                                  <w:sz w:val="28"/>
                                </w:rPr>
                                <w:t xml:space="preserve"> </w:t>
                              </w:r>
                            </w:p>
                            <w:p w14:paraId="6A2A1E75" w14:textId="77777777" w:rsidR="00511D9B" w:rsidRPr="0031407B" w:rsidRDefault="00511D9B" w:rsidP="00A6583A">
                              <w:pPr>
                                <w:spacing w:line="240" w:lineRule="auto"/>
                                <w:ind w:left="-57" w:right="-57"/>
                                <w:jc w:val="center"/>
                              </w:pPr>
                              <w:r>
                                <w:t xml:space="preserve">(= </w:t>
                              </w:r>
                              <w:r w:rsidRPr="0031407B">
                                <w:t>činnosti, aktivity</w:t>
                              </w:r>
                              <w:r>
                                <w:t>)</w:t>
                              </w:r>
                            </w:p>
                          </w:txbxContent>
                        </wps:txbx>
                        <wps:bodyPr rot="0" vert="horz" wrap="square" lIns="91440" tIns="45720" rIns="91440" bIns="45720" anchor="ctr" anchorCtr="0" upright="1">
                          <a:noAutofit/>
                        </wps:bodyPr>
                      </wps:wsp>
                      <wps:wsp>
                        <wps:cNvPr id="23951" name="Textové pole 2"/>
                        <wps:cNvSpPr txBox="1">
                          <a:spLocks noChangeArrowheads="1"/>
                        </wps:cNvSpPr>
                        <wps:spPr bwMode="auto">
                          <a:xfrm>
                            <a:off x="182880" y="1287475"/>
                            <a:ext cx="1182370" cy="605790"/>
                          </a:xfrm>
                          <a:prstGeom prst="rect">
                            <a:avLst/>
                          </a:prstGeom>
                          <a:solidFill>
                            <a:srgbClr val="FFFFFF"/>
                          </a:solidFill>
                          <a:ln w="9525">
                            <a:solidFill>
                              <a:srgbClr val="000000"/>
                            </a:solidFill>
                            <a:miter lim="800000"/>
                            <a:headEnd/>
                            <a:tailEnd/>
                          </a:ln>
                        </wps:spPr>
                        <wps:txbx>
                          <w:txbxContent>
                            <w:p w14:paraId="6CDF53F4" w14:textId="77777777" w:rsidR="00511D9B" w:rsidRDefault="00511D9B" w:rsidP="00A6583A">
                              <w:pPr>
                                <w:spacing w:line="240" w:lineRule="auto"/>
                                <w:ind w:left="-57" w:right="-57"/>
                                <w:jc w:val="center"/>
                              </w:pPr>
                              <w:r>
                                <w:t>Vstupy</w:t>
                              </w:r>
                            </w:p>
                            <w:p w14:paraId="4EA4B598" w14:textId="77777777" w:rsidR="00511D9B" w:rsidRDefault="00511D9B" w:rsidP="00A6583A">
                              <w:pPr>
                                <w:spacing w:line="240" w:lineRule="auto"/>
                                <w:ind w:left="-57" w:right="-57"/>
                                <w:jc w:val="center"/>
                              </w:pPr>
                              <w:r>
                                <w:t>Zdroje</w:t>
                              </w:r>
                            </w:p>
                          </w:txbxContent>
                        </wps:txbx>
                        <wps:bodyPr rot="0" vert="horz" wrap="square" lIns="91440" tIns="45720" rIns="91440" bIns="45720" anchor="ctr" anchorCtr="0" upright="1">
                          <a:noAutofit/>
                        </wps:bodyPr>
                      </wps:wsp>
                      <wps:wsp>
                        <wps:cNvPr id="23952" name="Textové pole 2"/>
                        <wps:cNvSpPr txBox="1">
                          <a:spLocks noChangeArrowheads="1"/>
                        </wps:cNvSpPr>
                        <wps:spPr bwMode="auto">
                          <a:xfrm>
                            <a:off x="3577133" y="1265529"/>
                            <a:ext cx="1182370" cy="605790"/>
                          </a:xfrm>
                          <a:prstGeom prst="rect">
                            <a:avLst/>
                          </a:prstGeom>
                          <a:solidFill>
                            <a:srgbClr val="FFFFFF"/>
                          </a:solidFill>
                          <a:ln w="9525">
                            <a:solidFill>
                              <a:srgbClr val="000000"/>
                            </a:solidFill>
                            <a:miter lim="800000"/>
                            <a:headEnd/>
                            <a:tailEnd/>
                          </a:ln>
                        </wps:spPr>
                        <wps:txbx>
                          <w:txbxContent>
                            <w:p w14:paraId="1FD76F19" w14:textId="77777777" w:rsidR="00511D9B" w:rsidRDefault="00511D9B" w:rsidP="00A6583A">
                              <w:pPr>
                                <w:spacing w:line="204" w:lineRule="auto"/>
                                <w:ind w:left="-57" w:right="-57"/>
                                <w:jc w:val="center"/>
                              </w:pPr>
                              <w:r>
                                <w:t>Výstupy</w:t>
                              </w:r>
                            </w:p>
                            <w:p w14:paraId="26CDD49F" w14:textId="77777777" w:rsidR="00511D9B" w:rsidRDefault="00511D9B" w:rsidP="00A6583A">
                              <w:pPr>
                                <w:spacing w:line="204" w:lineRule="auto"/>
                                <w:ind w:left="-57" w:right="-57"/>
                                <w:jc w:val="center"/>
                              </w:pPr>
                              <w:r>
                                <w:t>Výsledky</w:t>
                              </w:r>
                            </w:p>
                            <w:p w14:paraId="416296A0" w14:textId="77777777" w:rsidR="00511D9B" w:rsidRDefault="00511D9B" w:rsidP="00A6583A">
                              <w:pPr>
                                <w:spacing w:line="204" w:lineRule="auto"/>
                                <w:ind w:left="-57" w:right="-57"/>
                                <w:jc w:val="center"/>
                              </w:pPr>
                              <w:r>
                                <w:t>Plnění cílů</w:t>
                              </w:r>
                            </w:p>
                          </w:txbxContent>
                        </wps:txbx>
                        <wps:bodyPr rot="0" vert="horz" wrap="square" lIns="91440" tIns="45720" rIns="91440" bIns="45720" anchor="ctr" anchorCtr="0" upright="1">
                          <a:noAutofit/>
                        </wps:bodyPr>
                      </wps:wsp>
                      <wpg:grpSp>
                        <wpg:cNvPr id="23953" name="Skupina 252"/>
                        <wpg:cNvGrpSpPr>
                          <a:grpSpLocks/>
                        </wpg:cNvGrpSpPr>
                        <wpg:grpSpPr bwMode="auto">
                          <a:xfrm>
                            <a:off x="0" y="2106777"/>
                            <a:ext cx="2070100" cy="983615"/>
                            <a:chOff x="0" y="0"/>
                            <a:chExt cx="2792895" cy="854020"/>
                          </a:xfrm>
                        </wpg:grpSpPr>
                        <wps:wsp>
                          <wps:cNvPr id="23954" name="Textové pole 2"/>
                          <wps:cNvSpPr txBox="1">
                            <a:spLocks noChangeArrowheads="1"/>
                          </wps:cNvSpPr>
                          <wps:spPr bwMode="auto">
                            <a:xfrm>
                              <a:off x="69574" y="59635"/>
                              <a:ext cx="2653665" cy="794385"/>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7E39612C" w14:textId="77777777" w:rsidR="00511D9B" w:rsidRPr="00230C35" w:rsidRDefault="00511D9B" w:rsidP="00A6583A">
                                <w:pPr>
                                  <w:pStyle w:val="Normlnweb"/>
                                  <w:kinsoku w:val="0"/>
                                  <w:overflowPunct w:val="0"/>
                                  <w:jc w:val="center"/>
                                  <w:textAlignment w:val="baseline"/>
                                  <w:rPr>
                                    <w:rFonts w:ascii="Arial" w:eastAsia="Arial Unicode MS" w:hAnsi="Arial" w:cs="Arial Unicode MS"/>
                                    <w:b/>
                                    <w:color w:val="000000"/>
                                    <w:kern w:val="24"/>
                                    <w:sz w:val="18"/>
                                  </w:rPr>
                                </w:pPr>
                                <w:r w:rsidRPr="00230C35">
                                  <w:rPr>
                                    <w:rFonts w:ascii="Arial" w:eastAsia="Arial Unicode MS" w:hAnsi="Arial" w:cs="Arial Unicode MS"/>
                                    <w:b/>
                                    <w:color w:val="000000"/>
                                    <w:kern w:val="24"/>
                                    <w:sz w:val="18"/>
                                  </w:rPr>
                                  <w:t>Hospodárnost:</w:t>
                                </w:r>
                              </w:p>
                              <w:p w14:paraId="7A51C825" w14:textId="77777777" w:rsidR="00511D9B" w:rsidRPr="00230C35" w:rsidRDefault="00511D9B" w:rsidP="00A6583A">
                                <w:pPr>
                                  <w:pStyle w:val="Normlnweb"/>
                                  <w:kinsoku w:val="0"/>
                                  <w:overflowPunct w:val="0"/>
                                  <w:jc w:val="center"/>
                                  <w:textAlignment w:val="baseline"/>
                                  <w:rPr>
                                    <w:rFonts w:ascii="Arial" w:eastAsia="Arial Unicode MS" w:hAnsi="Arial" w:cs="Arial Unicode MS"/>
                                    <w:i/>
                                    <w:color w:val="000000"/>
                                    <w:kern w:val="24"/>
                                    <w:sz w:val="16"/>
                                  </w:rPr>
                                </w:pPr>
                                <w:r w:rsidRPr="00230C35">
                                  <w:rPr>
                                    <w:rFonts w:ascii="Arial" w:eastAsia="Arial Unicode MS" w:hAnsi="Arial" w:cs="Arial Unicode MS"/>
                                    <w:i/>
                                    <w:color w:val="000000"/>
                                    <w:kern w:val="24"/>
                                    <w:sz w:val="16"/>
                                  </w:rPr>
                                  <w:t>Hospodárností se rozumí takové použití veřejných prostředků, kdy stanovených cílů a úkolů dosahujeme s co nejnižším vynaložením zdrojů.</w:t>
                                </w:r>
                              </w:p>
                              <w:p w14:paraId="2E783AB0" w14:textId="77777777" w:rsidR="00511D9B" w:rsidRDefault="00511D9B" w:rsidP="00A6583A">
                                <w:pPr>
                                  <w:spacing w:line="240" w:lineRule="auto"/>
                                  <w:ind w:left="-57" w:right="-57"/>
                                  <w:jc w:val="center"/>
                                </w:pPr>
                              </w:p>
                            </w:txbxContent>
                          </wps:txbx>
                          <wps:bodyPr rot="0" vert="horz" wrap="square" lIns="91440" tIns="45720" rIns="91440" bIns="45720" anchor="ctr" anchorCtr="0" upright="1">
                            <a:noAutofit/>
                          </wps:bodyPr>
                        </wps:wsp>
                        <wps:wsp>
                          <wps:cNvPr id="23955" name="Ovál 251"/>
                          <wps:cNvSpPr>
                            <a:spLocks noChangeArrowheads="1"/>
                          </wps:cNvSpPr>
                          <wps:spPr bwMode="auto">
                            <a:xfrm>
                              <a:off x="0" y="0"/>
                              <a:ext cx="2792895" cy="814705"/>
                            </a:xfrm>
                            <a:prstGeom prst="ellipse">
                              <a:avLst/>
                            </a:prstGeom>
                            <a:noFill/>
                            <a:ln w="12700" algn="ctr">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23956" name="Skupina 253"/>
                        <wpg:cNvGrpSpPr>
                          <a:grpSpLocks/>
                        </wpg:cNvGrpSpPr>
                        <wpg:grpSpPr bwMode="auto">
                          <a:xfrm>
                            <a:off x="2128723" y="2084832"/>
                            <a:ext cx="2457450" cy="1043305"/>
                            <a:chOff x="0" y="0"/>
                            <a:chExt cx="2792895" cy="854020"/>
                          </a:xfrm>
                        </wpg:grpSpPr>
                        <wps:wsp>
                          <wps:cNvPr id="23957" name="Textové pole 2"/>
                          <wps:cNvSpPr txBox="1">
                            <a:spLocks noChangeArrowheads="1"/>
                          </wps:cNvSpPr>
                          <wps:spPr bwMode="auto">
                            <a:xfrm>
                              <a:off x="69574" y="59635"/>
                              <a:ext cx="2653665" cy="794385"/>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55704688" w14:textId="77777777" w:rsidR="00511D9B" w:rsidRPr="00230C35" w:rsidRDefault="00511D9B" w:rsidP="00A6583A">
                                <w:pPr>
                                  <w:pStyle w:val="Normlnweb"/>
                                  <w:kinsoku w:val="0"/>
                                  <w:overflowPunct w:val="0"/>
                                  <w:jc w:val="center"/>
                                  <w:textAlignment w:val="baseline"/>
                                  <w:rPr>
                                    <w:rFonts w:ascii="Arial" w:eastAsia="Arial Unicode MS" w:hAnsi="Arial" w:cs="Arial Unicode MS"/>
                                    <w:b/>
                                    <w:color w:val="000000"/>
                                    <w:kern w:val="24"/>
                                    <w:sz w:val="18"/>
                                  </w:rPr>
                                </w:pPr>
                                <w:r w:rsidRPr="00230C35">
                                  <w:rPr>
                                    <w:rFonts w:ascii="Arial" w:eastAsia="Arial Unicode MS" w:hAnsi="Arial" w:cs="Arial Unicode MS"/>
                                    <w:b/>
                                    <w:color w:val="000000"/>
                                    <w:kern w:val="24"/>
                                    <w:sz w:val="18"/>
                                  </w:rPr>
                                  <w:t>Efektivnost:</w:t>
                                </w:r>
                              </w:p>
                              <w:p w14:paraId="4F4EAC04" w14:textId="77777777" w:rsidR="00511D9B" w:rsidRPr="00230C35" w:rsidRDefault="00511D9B" w:rsidP="00A6583A">
                                <w:pPr>
                                  <w:pStyle w:val="Normlnweb"/>
                                  <w:kinsoku w:val="0"/>
                                  <w:overflowPunct w:val="0"/>
                                  <w:jc w:val="center"/>
                                  <w:textAlignment w:val="baseline"/>
                                  <w:rPr>
                                    <w:rFonts w:ascii="Arial" w:eastAsia="Arial Unicode MS" w:hAnsi="Arial" w:cs="Arial Unicode MS"/>
                                    <w:i/>
                                    <w:color w:val="000000"/>
                                    <w:kern w:val="24"/>
                                    <w:sz w:val="16"/>
                                  </w:rPr>
                                </w:pPr>
                                <w:r w:rsidRPr="00230C35">
                                  <w:rPr>
                                    <w:rFonts w:ascii="Arial" w:eastAsia="Arial Unicode MS" w:hAnsi="Arial" w:cs="Arial Unicode MS"/>
                                    <w:i/>
                                    <w:color w:val="000000"/>
                                    <w:kern w:val="24"/>
                                    <w:sz w:val="16"/>
                                  </w:rPr>
                                  <w:t>Efektivností se rozumí takové použití veřejných prostředků, jímž se dosáhne nejvýše možného rozsahu, kvality a přínosu plněných úkolů ve srovnání s objemem prostředků vynaložených na jejich plnění.</w:t>
                                </w:r>
                              </w:p>
                              <w:p w14:paraId="182A02C7" w14:textId="77777777" w:rsidR="00511D9B" w:rsidRPr="00230C35" w:rsidRDefault="00511D9B" w:rsidP="00A6583A">
                                <w:pPr>
                                  <w:spacing w:line="240" w:lineRule="auto"/>
                                  <w:ind w:left="-57" w:right="-57"/>
                                  <w:jc w:val="center"/>
                                  <w:rPr>
                                    <w:rFonts w:ascii="Arial" w:eastAsia="Arial Unicode MS" w:hAnsi="Arial" w:cs="Arial Unicode MS"/>
                                    <w:color w:val="000000"/>
                                    <w:kern w:val="24"/>
                                    <w:sz w:val="18"/>
                                  </w:rPr>
                                </w:pPr>
                              </w:p>
                            </w:txbxContent>
                          </wps:txbx>
                          <wps:bodyPr rot="0" vert="horz" wrap="square" lIns="91440" tIns="45720" rIns="91440" bIns="45720" anchor="ctr" anchorCtr="0" upright="1">
                            <a:noAutofit/>
                          </wps:bodyPr>
                        </wps:wsp>
                        <wps:wsp>
                          <wps:cNvPr id="23958" name="Ovál 255"/>
                          <wps:cNvSpPr>
                            <a:spLocks noChangeArrowheads="1"/>
                          </wps:cNvSpPr>
                          <wps:spPr bwMode="auto">
                            <a:xfrm>
                              <a:off x="0" y="0"/>
                              <a:ext cx="2792895" cy="814705"/>
                            </a:xfrm>
                            <a:prstGeom prst="ellipse">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23959" name="Skupina 23684"/>
                        <wpg:cNvGrpSpPr>
                          <a:grpSpLocks/>
                        </wpg:cNvGrpSpPr>
                        <wpg:grpSpPr bwMode="auto">
                          <a:xfrm>
                            <a:off x="3401568" y="21945"/>
                            <a:ext cx="1872691" cy="943153"/>
                            <a:chOff x="0" y="0"/>
                            <a:chExt cx="2792895" cy="833768"/>
                          </a:xfrm>
                        </wpg:grpSpPr>
                        <wps:wsp>
                          <wps:cNvPr id="23960" name="Textové pole 2"/>
                          <wps:cNvSpPr txBox="1">
                            <a:spLocks noChangeArrowheads="1"/>
                          </wps:cNvSpPr>
                          <wps:spPr bwMode="auto">
                            <a:xfrm>
                              <a:off x="81900" y="39383"/>
                              <a:ext cx="2653666" cy="794385"/>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1EB9404C" w14:textId="77777777" w:rsidR="00511D9B" w:rsidRPr="00230C35" w:rsidRDefault="00511D9B" w:rsidP="00A6583A">
                                <w:pPr>
                                  <w:pStyle w:val="Normlnweb"/>
                                  <w:kinsoku w:val="0"/>
                                  <w:overflowPunct w:val="0"/>
                                  <w:jc w:val="center"/>
                                  <w:textAlignment w:val="baseline"/>
                                  <w:rPr>
                                    <w:rFonts w:ascii="Arial" w:eastAsia="Arial Unicode MS" w:hAnsi="Arial" w:cs="Arial Unicode MS"/>
                                    <w:b/>
                                    <w:bCs/>
                                    <w:color w:val="000000"/>
                                    <w:kern w:val="24"/>
                                    <w:sz w:val="18"/>
                                  </w:rPr>
                                </w:pPr>
                                <w:r w:rsidRPr="00230C35">
                                  <w:rPr>
                                    <w:rFonts w:ascii="Arial" w:eastAsia="Arial Unicode MS" w:hAnsi="Arial" w:cs="Arial Unicode MS"/>
                                    <w:b/>
                                    <w:bCs/>
                                    <w:color w:val="000000"/>
                                    <w:kern w:val="24"/>
                                    <w:sz w:val="18"/>
                                  </w:rPr>
                                  <w:t>Účelnost:</w:t>
                                </w:r>
                              </w:p>
                              <w:p w14:paraId="43E45955" w14:textId="77777777" w:rsidR="00511D9B" w:rsidRPr="001D4921" w:rsidRDefault="00511D9B" w:rsidP="00A6583A">
                                <w:pPr>
                                  <w:pStyle w:val="Normlnweb"/>
                                  <w:kinsoku w:val="0"/>
                                  <w:overflowPunct w:val="0"/>
                                  <w:jc w:val="center"/>
                                  <w:textAlignment w:val="baseline"/>
                                  <w:rPr>
                                    <w:sz w:val="16"/>
                                  </w:rPr>
                                </w:pPr>
                                <w:r w:rsidRPr="00230C35">
                                  <w:rPr>
                                    <w:rFonts w:ascii="Arial" w:eastAsia="Arial Unicode MS" w:hAnsi="Arial" w:cs="Arial Unicode MS"/>
                                    <w:i/>
                                    <w:color w:val="000000"/>
                                    <w:kern w:val="24"/>
                                    <w:sz w:val="16"/>
                                  </w:rPr>
                                  <w:t>Účinností (účelností) se rozumí takové použití veřejných prostředků, které zajistí optimální míru dosažení cílů při plnění stanovených úkolů</w:t>
                                </w:r>
                                <w:r w:rsidRPr="00230C35">
                                  <w:rPr>
                                    <w:rFonts w:ascii="Arial" w:eastAsia="Arial Unicode MS" w:hAnsi="Arial" w:cs="Arial Unicode MS"/>
                                    <w:color w:val="000000"/>
                                    <w:kern w:val="24"/>
                                    <w:sz w:val="16"/>
                                  </w:rPr>
                                  <w:t>.</w:t>
                                </w:r>
                              </w:p>
                              <w:p w14:paraId="2A43F4C9" w14:textId="77777777" w:rsidR="00511D9B" w:rsidRDefault="00511D9B" w:rsidP="00A6583A">
                                <w:pPr>
                                  <w:spacing w:line="240" w:lineRule="auto"/>
                                  <w:ind w:left="-57" w:right="-57"/>
                                  <w:jc w:val="center"/>
                                </w:pPr>
                              </w:p>
                            </w:txbxContent>
                          </wps:txbx>
                          <wps:bodyPr rot="0" vert="horz" wrap="square" lIns="91440" tIns="45720" rIns="91440" bIns="45720" anchor="ctr" anchorCtr="0" upright="1">
                            <a:noAutofit/>
                          </wps:bodyPr>
                        </wps:wsp>
                        <wps:wsp>
                          <wps:cNvPr id="23961" name="Ovál 23686"/>
                          <wps:cNvSpPr>
                            <a:spLocks noChangeArrowheads="1"/>
                          </wps:cNvSpPr>
                          <wps:spPr bwMode="auto">
                            <a:xfrm>
                              <a:off x="0" y="0"/>
                              <a:ext cx="2792895" cy="814705"/>
                            </a:xfrm>
                            <a:prstGeom prst="ellipse">
                              <a:avLst/>
                            </a:prstGeom>
                            <a:noFill/>
                            <a:ln w="12700" algn="ctr">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3962" name="Obousměrná svislá šipka 23687"/>
                        <wps:cNvSpPr>
                          <a:spLocks noChangeArrowheads="1"/>
                        </wps:cNvSpPr>
                        <wps:spPr bwMode="auto">
                          <a:xfrm>
                            <a:off x="694944" y="1814169"/>
                            <a:ext cx="182880" cy="394970"/>
                          </a:xfrm>
                          <a:prstGeom prst="upDownArrow">
                            <a:avLst>
                              <a:gd name="adj1" fmla="val 50000"/>
                              <a:gd name="adj2" fmla="val 50004"/>
                            </a:avLst>
                          </a:prstGeom>
                          <a:solidFill>
                            <a:srgbClr val="FF0000"/>
                          </a:solidFill>
                          <a:ln w="12700" algn="ctr">
                            <a:solidFill>
                              <a:srgbClr val="FF0000"/>
                            </a:solidFill>
                            <a:miter lim="800000"/>
                            <a:headEnd/>
                            <a:tailEnd/>
                          </a:ln>
                        </wps:spPr>
                        <wps:bodyPr rot="0" vert="horz" wrap="square" lIns="91440" tIns="45720" rIns="91440" bIns="45720" anchor="ctr" anchorCtr="0" upright="1">
                          <a:noAutofit/>
                        </wps:bodyPr>
                      </wps:wsp>
                      <wps:wsp>
                        <wps:cNvPr id="23963" name="Obousměrná svislá šipka 23688"/>
                        <wps:cNvSpPr>
                          <a:spLocks noChangeArrowheads="1"/>
                        </wps:cNvSpPr>
                        <wps:spPr bwMode="auto">
                          <a:xfrm rot="3509199">
                            <a:off x="3858768" y="1737360"/>
                            <a:ext cx="182880" cy="596281"/>
                          </a:xfrm>
                          <a:prstGeom prst="upDownArrow">
                            <a:avLst>
                              <a:gd name="adj1" fmla="val 50000"/>
                              <a:gd name="adj2" fmla="val 49994"/>
                            </a:avLst>
                          </a:prstGeom>
                          <a:solidFill>
                            <a:srgbClr val="5B9BD5"/>
                          </a:solidFill>
                          <a:ln w="12700" algn="ctr">
                            <a:solidFill>
                              <a:srgbClr val="41719C"/>
                            </a:solidFill>
                            <a:miter lim="800000"/>
                            <a:headEnd/>
                            <a:tailEnd/>
                          </a:ln>
                        </wps:spPr>
                        <wps:bodyPr rot="0" vert="horz" wrap="square" lIns="91440" tIns="45720" rIns="91440" bIns="45720" anchor="ctr" anchorCtr="0" upright="1">
                          <a:noAutofit/>
                        </wps:bodyPr>
                      </wps:wsp>
                      <wps:wsp>
                        <wps:cNvPr id="23964" name="Obousměrná svislá šipka 23689"/>
                        <wps:cNvSpPr>
                          <a:spLocks noChangeArrowheads="1"/>
                        </wps:cNvSpPr>
                        <wps:spPr bwMode="auto">
                          <a:xfrm rot="6491230">
                            <a:off x="1766621" y="1474013"/>
                            <a:ext cx="194945" cy="1209498"/>
                          </a:xfrm>
                          <a:prstGeom prst="upDownArrow">
                            <a:avLst>
                              <a:gd name="adj1" fmla="val 50000"/>
                              <a:gd name="adj2" fmla="val 50008"/>
                            </a:avLst>
                          </a:prstGeom>
                          <a:solidFill>
                            <a:srgbClr val="5B9BD5"/>
                          </a:solidFill>
                          <a:ln w="12700" algn="ctr">
                            <a:solidFill>
                              <a:srgbClr val="41719C"/>
                            </a:solidFill>
                            <a:miter lim="800000"/>
                            <a:headEnd/>
                            <a:tailEnd/>
                          </a:ln>
                        </wps:spPr>
                        <wps:bodyPr rot="0" vert="horz" wrap="square" lIns="91440" tIns="45720" rIns="91440" bIns="45720" anchor="ctr" anchorCtr="0" upright="1">
                          <a:noAutofit/>
                        </wps:bodyPr>
                      </wps:wsp>
                      <wps:wsp>
                        <wps:cNvPr id="23965" name="Obousměrná svislá šipka 23690"/>
                        <wps:cNvSpPr>
                          <a:spLocks noChangeArrowheads="1"/>
                        </wps:cNvSpPr>
                        <wps:spPr bwMode="auto">
                          <a:xfrm rot="5400000">
                            <a:off x="3304960" y="476795"/>
                            <a:ext cx="182880" cy="385914"/>
                          </a:xfrm>
                          <a:prstGeom prst="upDownArrow">
                            <a:avLst>
                              <a:gd name="adj1" fmla="val 50000"/>
                              <a:gd name="adj2" fmla="val 50000"/>
                            </a:avLst>
                          </a:prstGeom>
                          <a:solidFill>
                            <a:srgbClr val="70AD47"/>
                          </a:solidFill>
                          <a:ln w="12700" algn="ctr">
                            <a:solidFill>
                              <a:srgbClr val="70AD47"/>
                            </a:solidFill>
                            <a:miter lim="800000"/>
                            <a:headEnd/>
                            <a:tailEnd/>
                          </a:ln>
                        </wps:spPr>
                        <wps:bodyPr rot="0" vert="horz" wrap="square" lIns="91440" tIns="45720" rIns="91440" bIns="45720" anchor="ctr" anchorCtr="0" upright="1">
                          <a:noAutofit/>
                        </wps:bodyPr>
                      </wps:wsp>
                      <wps:wsp>
                        <wps:cNvPr id="23966" name="Obousměrná svislá šipka 23692"/>
                        <wps:cNvSpPr>
                          <a:spLocks noChangeArrowheads="1"/>
                        </wps:cNvSpPr>
                        <wps:spPr bwMode="auto">
                          <a:xfrm>
                            <a:off x="4250131" y="907085"/>
                            <a:ext cx="182880" cy="394970"/>
                          </a:xfrm>
                          <a:prstGeom prst="upDownArrow">
                            <a:avLst>
                              <a:gd name="adj1" fmla="val 50000"/>
                              <a:gd name="adj2" fmla="val 50004"/>
                            </a:avLst>
                          </a:prstGeom>
                          <a:solidFill>
                            <a:srgbClr val="70AD47"/>
                          </a:solidFill>
                          <a:ln w="12700" algn="ctr">
                            <a:solidFill>
                              <a:srgbClr val="70AD47"/>
                            </a:solidFill>
                            <a:miter lim="800000"/>
                            <a:headEnd/>
                            <a:tailEnd/>
                          </a:ln>
                        </wps:spPr>
                        <wps:bodyPr rot="0" vert="horz" wrap="square" lIns="91440" tIns="45720" rIns="91440" bIns="45720" anchor="ctr" anchorCtr="0" upright="1">
                          <a:noAutofit/>
                        </wps:bodyPr>
                      </wps:wsp>
                      <wps:wsp>
                        <wps:cNvPr id="23967" name="Šipka doprava 23693"/>
                        <wps:cNvSpPr>
                          <a:spLocks noChangeArrowheads="1"/>
                        </wps:cNvSpPr>
                        <wps:spPr bwMode="auto">
                          <a:xfrm>
                            <a:off x="1309421" y="1499616"/>
                            <a:ext cx="328930" cy="204470"/>
                          </a:xfrm>
                          <a:prstGeom prst="rightArrow">
                            <a:avLst>
                              <a:gd name="adj1" fmla="val 50000"/>
                              <a:gd name="adj2" fmla="val 50004"/>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3776" name="Šipka doprava 23694"/>
                        <wps:cNvSpPr>
                          <a:spLocks noChangeArrowheads="1"/>
                        </wps:cNvSpPr>
                        <wps:spPr bwMode="auto">
                          <a:xfrm>
                            <a:off x="3306471" y="1484985"/>
                            <a:ext cx="329184" cy="204825"/>
                          </a:xfrm>
                          <a:prstGeom prst="rightArrow">
                            <a:avLst>
                              <a:gd name="adj1" fmla="val 50000"/>
                              <a:gd name="adj2" fmla="val 50000"/>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3777" name="Šipka dolů 23695"/>
                        <wps:cNvSpPr>
                          <a:spLocks noChangeArrowheads="1"/>
                        </wps:cNvSpPr>
                        <wps:spPr bwMode="auto">
                          <a:xfrm>
                            <a:off x="2379931" y="342059"/>
                            <a:ext cx="200660" cy="285115"/>
                          </a:xfrm>
                          <a:prstGeom prst="downArrow">
                            <a:avLst>
                              <a:gd name="adj1" fmla="val 50000"/>
                              <a:gd name="adj2" fmla="val 50001"/>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3778" name="Šipka dolů 23696"/>
                        <wps:cNvSpPr>
                          <a:spLocks noChangeArrowheads="1"/>
                        </wps:cNvSpPr>
                        <wps:spPr bwMode="auto">
                          <a:xfrm>
                            <a:off x="2379933" y="1073037"/>
                            <a:ext cx="200660" cy="285115"/>
                          </a:xfrm>
                          <a:prstGeom prst="downArrow">
                            <a:avLst>
                              <a:gd name="adj1" fmla="val 50000"/>
                              <a:gd name="adj2" fmla="val 50001"/>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g:wgp>
                  </a:graphicData>
                </a:graphic>
              </wp:inline>
            </w:drawing>
          </mc:Choice>
          <mc:Fallback>
            <w:pict>
              <v:group w14:anchorId="7B618D59" id="Skupina 23697" o:spid="_x0000_s1118" style="width:451.9pt;height:229.65pt;mso-position-horizontal-relative:char;mso-position-vertical-relative:line" coordorigin="" coordsize="52742,3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AAlwgAAPRGAAAOAAAAZHJzL2Uyb0RvYy54bWzsXN1ym0YUvu9M34HhXhH7wy6riZyxLSvT&#10;mbTJTNIHwAJJNAgoYMtpp0/Sm+ayV32INO/Vsz8gIUtWLEey3OALGwxalrPn5zvfOavnL25msXUd&#10;5kWUJn0bPXNsK0xGaRAlk77987thx7OtovSTwI/TJOzbH8LCfnHy/XfP51kvxOk0jYMwt2CQpOjN&#10;s749Lcus1+0Wo2k484tnaRYmcHGc5jO/hNN80g1yfw6jz+IudhzWnad5kOXpKCwK+O9AX7RP1Pjj&#10;cTgqX4/HRVhacd+GuZXqd65+X8rf3ZPnfm+S+9k0Gplp+DvMYuZHCTy0Hmrgl751lUe3hppFozwt&#10;0nH5bJTOuul4HI1C9Q7wNshZeZuXeXqVqXeZ9OaTrBYTiHZFTjsPO/rp+k1uRUHfxkRQbluJP4Nl&#10;evv+KosS38KECS6FNM8mPbj3ZZ69zd7k+k3h8FU6el/A5e7qdXk+0Tdbl/Mf0wAG9a/KVAnpZpzP&#10;5BDw+taNWosP9VqEN6U1gn+6nAhEYMlGcA0LxFzX1as1msKSLj6Hqv9eVJ/EnGJX6E8ShD1EmLyn&#10;6/f0g9VkzeTkm4HmFQvhFg8T7tupn4VqzQopsCXhgiVo4b6Dd0yvP/1tZWkcWliLV90tZWuVN2cp&#10;CAApURVaxFaSnk/9ZBKe5nk6n4Z+ANNUbw4vU39Uv0whB9kmc+Ry5AmYEkjXSLCSPOLU456RH8Wc&#10;UP2gSnx+L8uL8mWYzix50LdzsDI1Wf/6VVFqSVe3yGUu0jgKhlEcq5N8cnke59a1DxY5VD9mcRq3&#10;xYk179vCxa4Ww8YhHPWzbohZVIJriaNZ3/bqm/yeFN5FEsA0/V7pR7E+BuWIE6XHRU8KUIuyvLm8&#10;UcZBRLVKl2nwAeSbp9qVgOuDg2ma/2Zbc3Ajfbv49crPQ9uKf0hgjQSiVPoddUJdjuEkX75yuXzF&#10;T0YwVN8ubUsfnpfaV11leTSZwpO0ViTpKdjSOFLClgqgZ2XmD9p8QLUGRTkqtcYUwZRArV2BCXg0&#10;tdAL3XY94Rqv4iLqgZ4vu4ZvUbdBP0EECy1qdbuKh1JRjki3mYMdrHUbYY49agLiWuVmjsuFWtk6&#10;7h1QuSG6gPDudv6H8dw6eB1Mu0dl/nR8t4uOSr897HlgcRKRYI9TvqreyMOEG9/9uOp9NLiE1ujx&#10;ILjkaWk3PibtJi7niBCj3pDNgCdvQpNWvW/BbkoOCk2+knqbzFdiKpU0L3JAF9Z/JcF2jQXvO73G&#10;yGGcr8Bh7HBgHYxLFR5haH2ObXiS0fTC5NiYCwxAWufYnksBmTRw9OOk2C6txHsMKTYTLocJqUyE&#10;kZVghplLGDMC5IIST91waKwmEVqSytxcZ0EyB/Z7ACghkTdHmsb6XSBMnTMsOkPm8Q4dUrcjuON1&#10;HCTOBHOooIPhHxLxIdqbRkEQJq+iJKwoNUS/jFUx5J4mwxSpJmkAQLtSSf14AhyjNFI5tQZdUCyz&#10;Cl8NWDZeRRFIIJnqr5KQYl/W8AWUPkXHdRgiDHg84wRfX3/6GFsYYKhJQIEwkxSYWt49EV8aYBqH&#10;VmVOTXeGKHe2WGMYx1FWSJ7P721gvWqzkszSDlo8HEo9Nl61oey7EFsbjNoRF96FRzsUs4sOdQaD&#10;zunwnHbYEHF3QAbn5wPUNGrpKh5u1Hfb7yZWsLvwLZpNBG+5xSCfDipeREyNGxQ/vQ5CsMp6ao4e&#10;UIWyn/1BCCwTMqzBK3Y86hGFWpT4FVuPgdqkFa+GHEqItiC/t8LWPxUkUVdCWiTxZXS9NOna5Rk2&#10;fYPTaZHEdsdVVx40ydfyVxBqpRAaJTW3LqlVSEKFbXNfiyRMlY0ijsR5iyQWNcQWSUC1X5bIV8gI&#10;wjyTuOwPSxDqIJfpyjNG4lYRA4AGE0BMy7o/5MVIo5v7AglCODxDJ7WPWfVnkG8cTwnJQ0Im0iBZ&#10;IoinYOMShlOUBMBLKfmWkqiac/43lIRqgmmBxDogwepCmAES4AhrcbWkxCID4M7pQPdUAIRtSQno&#10;aPqGoMRh6EFWl+1eX6ZXxezfP/Pk00eruI6KGP5+/hhl71VjomcaE5fa30An90QbMgEMt2bzkYco&#10;YqvVO1O8lrETGimBGm+Aj1utF1fZIJ0nqptvQSLKHHoSGLzgB7+AVxrPYuhHhWY5y63owOY9IK3m&#10;PQrAgXUqWlKR1V/ai1c9YNW0j4C+XOHZnw6tJ+PtIbpLWV1Z3GY1ChXvM0XW/WPEdQQSQim36fOF&#10;GpcnUbnq8OCEEwDHgNAXCBQq4KoDRBqRKxh07j6GEVEhxK5G5J6Js0FVO2jEx52M6Otm7q0R6U0C&#10;G1u0WV0/3mZEdTvwvsChNiJGoewKTfDSSIwRIc4YwxAZwEagUAXJ9EoaBym1TKpVFoewA2fNPPiA&#10;oah68H1DUWtFplO86gf/So0pBwpFi/ru3QBOt6fuPxRBe4qCNktWBPUpCl0LyoooZxxaWTZGIghb&#10;0MX/GJGohnw7wLnNmdpOkWjzcLtUo9tItC0S1VXeLZFI1A2g+4pES1YD26og3OjYI6B1TPcsrcdv&#10;TzMJ2qzmrdWcH/1eJFZX7T//pViCIM1y/1pvYzRNEgdhCxAB3FWDNCEYUmziwlIIdE/WmxsdCg1H&#10;d8cXtfvruNgC2aVjJv3wREcF6EoGjeHa8NLYEH2vjb7rEx3CeR1d1tiJKQAexE4AhjHKq2TGg1Rl&#10;BYcR2PkLJUm9CdihHmwHXa7p3cpl9mYnlW7eN5XZ1Mu2Y1NgayeH29wKdnI7nsSf/1Gb4pUe7jN1&#10;WYJdsOtJCAO7CMUOFO4byYr8HgSZy0jaDHsu0k38kDNU++wrAtjs1w72xDxXbF1rI+HDtn8/nXQf&#10;bKTuwapjSWUjh6ygahsx26scThxya6tLayRL37zQBhIVSFTXNXy1iqqTma+Bkd/dsnwOx8tfVnPy&#10;HwAAAP//AwBQSwMEFAAGAAgAAAAhAG1wDG7dAAAABQEAAA8AAABkcnMvZG93bnJldi54bWxMj0FL&#10;w0AQhe+C/2EZwZvdxFixMZtSinoqQltBvE2TaRKanQ3ZbZL+e0cvenkwvOG972XLybZqoN43jg3E&#10;swgUceHKhisDH/vXuydQPiCX2DomAxfysMyvrzJMSzfyloZdqJSEsE/RQB1Cl2rti5os+pnriMU7&#10;ut5ikLOvdNnjKOG21fdR9KgtNiwNNXa0rqk47c7WwNuI4yqJX4bN6bi+fO3n75+bmIy5vZlWz6AC&#10;TeHvGX7wBR1yYTq4M5detQZkSPhV8RZRIjMOBh7miwR0nun/9Pk3AAAA//8DAFBLAQItABQABgAI&#10;AAAAIQC2gziS/gAAAOEBAAATAAAAAAAAAAAAAAAAAAAAAABbQ29udGVudF9UeXBlc10ueG1sUEsB&#10;Ai0AFAAGAAgAAAAhADj9If/WAAAAlAEAAAsAAAAAAAAAAAAAAAAALwEAAF9yZWxzLy5yZWxzUEsB&#10;Ai0AFAAGAAgAAAAhAElewACXCAAA9EYAAA4AAAAAAAAAAAAAAAAALgIAAGRycy9lMm9Eb2MueG1s&#10;UEsBAi0AFAAGAAgAAAAhAG1wDG7dAAAABQEAAA8AAAAAAAAAAAAAAAAA8QoAAGRycy9kb3ducmV2&#10;LnhtbFBLBQYAAAAABAAEAPMAAAD7CwAAAAA=&#10;">
                <v:shape id="_x0000_s1119" type="#_x0000_t202" style="position:absolute;left:15718;width:17488;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5F5xAAAAN4AAAAPAAAAZHJzL2Rvd25yZXYueG1sRE/JbsIw&#10;EL1X4h+sQeoFgcMilhSDqkoguLFU7XUUD0lEPE5tE8Lf4wNSj09vX65bU4mGnC8tKxgOEhDEmdUl&#10;5wq+z5v+HIQPyBory6TgQR7Wq87bElNt73yk5hRyEUPYp6igCKFOpfRZQQb9wNbEkbtYZzBE6HKp&#10;Hd5juKnkKEmm0mDJsaHAmr4Kyq6nm1Ewn+yaX78fH36y6aVahN6s2f45pd677ecHiEBt+Be/3Dut&#10;YDReTOLeeCdeAbl6AgAA//8DAFBLAQItABQABgAIAAAAIQDb4fbL7gAAAIUBAAATAAAAAAAAAAAA&#10;AAAAAAAAAABbQ29udGVudF9UeXBlc10ueG1sUEsBAi0AFAAGAAgAAAAhAFr0LFu/AAAAFQEAAAsA&#10;AAAAAAAAAAAAAAAAHwEAAF9yZWxzLy5yZWxzUEsBAi0AFAAGAAgAAAAhAPaPkXnEAAAA3gAAAA8A&#10;AAAAAAAAAAAAAAAABwIAAGRycy9kb3ducmV2LnhtbFBLBQYAAAAAAwADALcAAAD4AgAAAAA=&#10;">
                  <v:textbox>
                    <w:txbxContent>
                      <w:p w14:paraId="7171691D" w14:textId="77777777" w:rsidR="00511D9B" w:rsidRPr="009219FD" w:rsidRDefault="00511D9B" w:rsidP="00A6583A">
                        <w:pPr>
                          <w:spacing w:line="204" w:lineRule="auto"/>
                          <w:ind w:left="-57" w:right="-57"/>
                          <w:jc w:val="center"/>
                        </w:pPr>
                        <w:r>
                          <w:t xml:space="preserve">Potřeby </w:t>
                        </w:r>
                        <w:r w:rsidRPr="009219FD">
                          <w:t>společnosti, platná legislativa</w:t>
                        </w:r>
                      </w:p>
                    </w:txbxContent>
                  </v:textbox>
                </v:shape>
                <v:shape id="_x0000_s1120" type="#_x0000_t202" style="position:absolute;left:15724;top:5923;width:17589;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TixwAAAN4AAAAPAAAAZHJzL2Rvd25yZXYueG1sRI9Pa8JA&#10;FMTvBb/D8gq9FN34BzXRVUqhorfWil4f2WcSmn2b7m5j/PauIPQ4zMxvmOW6M7VoyfnKsoLhIAFB&#10;nFtdcaHg8P3Rn4PwAVljbZkUXMnDetV7WmKm7YW/qN2HQkQI+wwVlCE0mZQ+L8mgH9iGOHpn6wyG&#10;KF0htcNLhJtajpJkKg1WHBdKbOi9pPxn/2cUzCfb9uR3489jPj3XaXidtZtfp9TLc/e2ABGoC//h&#10;R3urFYzG6SSF+514BeTqBgAA//8DAFBLAQItABQABgAIAAAAIQDb4fbL7gAAAIUBAAATAAAAAAAA&#10;AAAAAAAAAAAAAABbQ29udGVudF9UeXBlc10ueG1sUEsBAi0AFAAGAAgAAAAhAFr0LFu/AAAAFQEA&#10;AAsAAAAAAAAAAAAAAAAAHwEAAF9yZWxzLy5yZWxzUEsBAi0AFAAGAAgAAAAhAJnDNOLHAAAA3gAA&#10;AA8AAAAAAAAAAAAAAAAABwIAAGRycy9kb3ducmV2LnhtbFBLBQYAAAAAAwADALcAAAD7AgAAAAA=&#10;">
                  <v:textbox>
                    <w:txbxContent>
                      <w:p w14:paraId="26DA64B7" w14:textId="77777777" w:rsidR="00511D9B" w:rsidRDefault="00511D9B" w:rsidP="00A6583A">
                        <w:pPr>
                          <w:spacing w:line="240" w:lineRule="auto"/>
                          <w:ind w:left="-57" w:right="-57"/>
                          <w:jc w:val="center"/>
                          <w:rPr>
                            <w:sz w:val="22"/>
                            <w:szCs w:val="20"/>
                          </w:rPr>
                        </w:pPr>
                        <w:r w:rsidRPr="00230C35">
                          <w:rPr>
                            <w:sz w:val="22"/>
                            <w:szCs w:val="20"/>
                          </w:rPr>
                          <w:t xml:space="preserve">Schválené záměry a vlastní cíle </w:t>
                        </w:r>
                      </w:p>
                      <w:p w14:paraId="2356789B" w14:textId="77777777" w:rsidR="00511D9B" w:rsidRPr="00230C35" w:rsidRDefault="00511D9B" w:rsidP="00A6583A">
                        <w:pPr>
                          <w:spacing w:line="240" w:lineRule="auto"/>
                          <w:ind w:left="-57" w:right="-57"/>
                          <w:jc w:val="center"/>
                          <w:rPr>
                            <w:sz w:val="22"/>
                            <w:szCs w:val="20"/>
                          </w:rPr>
                        </w:pPr>
                        <w:r w:rsidRPr="00230C35">
                          <w:rPr>
                            <w:sz w:val="20"/>
                            <w:szCs w:val="20"/>
                          </w:rPr>
                          <w:t>obce / kraje / jejich organizac</w:t>
                        </w:r>
                        <w:r>
                          <w:rPr>
                            <w:sz w:val="20"/>
                            <w:szCs w:val="20"/>
                          </w:rPr>
                          <w:t>í</w:t>
                        </w:r>
                      </w:p>
                    </w:txbxContent>
                  </v:textbox>
                </v:shape>
                <v:shape id="_x0000_s1121" type="#_x0000_t202" style="position:absolute;left:16020;top:12728;width:17589;height:6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zwwAAAN4AAAAPAAAAZHJzL2Rvd25yZXYueG1sRI/NisIw&#10;FIX3A75DuIK7MVVRxo5RZEBwaavM+tLcSavNTWkypjNPbxaCy8P549vsBtuKO/W+caxgNs1AEFdO&#10;N2wUXM6H9w8QPiBrbB2Tgj/ysNuO3jaYaxe5oHsZjEgj7HNUUIfQ5VL6qiaLfuo64uT9uN5iSLI3&#10;UvcY07ht5TzLVtJiw+mhxo6+aqpu5a9VEGexOrXedGH/Xa7jdRmL/8IoNRkP+08QgYbwCj/bR61g&#10;vlgvE0DCSSggtw8AAAD//wMAUEsBAi0AFAAGAAgAAAAhANvh9svuAAAAhQEAABMAAAAAAAAAAAAA&#10;AAAAAAAAAFtDb250ZW50X1R5cGVzXS54bWxQSwECLQAUAAYACAAAACEAWvQsW78AAAAVAQAACwAA&#10;AAAAAAAAAAAAAAAfAQAAX3JlbHMvLnJlbHNQSwECLQAUAAYACAAAACEAZJvz88MAAADeAAAADwAA&#10;AAAAAAAAAAAAAAAHAgAAZHJzL2Rvd25yZXYueG1sUEsFBgAAAAADAAMAtwAAAPcCAAAAAA==&#10;" strokeweight="4.5pt">
                  <v:textbox>
                    <w:txbxContent>
                      <w:p w14:paraId="475D87A8" w14:textId="77777777" w:rsidR="00511D9B" w:rsidRDefault="00511D9B" w:rsidP="00A6583A">
                        <w:pPr>
                          <w:spacing w:line="240" w:lineRule="auto"/>
                          <w:ind w:left="-57" w:right="-57"/>
                          <w:jc w:val="center"/>
                        </w:pPr>
                        <w:r w:rsidRPr="0031407B">
                          <w:rPr>
                            <w:b/>
                            <w:sz w:val="28"/>
                          </w:rPr>
                          <w:t>PROCESY</w:t>
                        </w:r>
                        <w:r w:rsidRPr="00647C01">
                          <w:rPr>
                            <w:b/>
                            <w:sz w:val="28"/>
                          </w:rPr>
                          <w:t xml:space="preserve"> </w:t>
                        </w:r>
                      </w:p>
                      <w:p w14:paraId="6A2A1E75" w14:textId="77777777" w:rsidR="00511D9B" w:rsidRPr="0031407B" w:rsidRDefault="00511D9B" w:rsidP="00A6583A">
                        <w:pPr>
                          <w:spacing w:line="240" w:lineRule="auto"/>
                          <w:ind w:left="-57" w:right="-57"/>
                          <w:jc w:val="center"/>
                        </w:pPr>
                        <w:r>
                          <w:t xml:space="preserve">(= </w:t>
                        </w:r>
                        <w:r w:rsidRPr="0031407B">
                          <w:t>činnosti, aktivity</w:t>
                        </w:r>
                        <w:r>
                          <w:t>)</w:t>
                        </w:r>
                      </w:p>
                    </w:txbxContent>
                  </v:textbox>
                </v:shape>
                <v:shape id="_x0000_s1122" type="#_x0000_t202" style="position:absolute;left:1828;top:12874;width:11824;height:6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x3xQAAAN4AAAAPAAAAZHJzL2Rvd25yZXYueG1sRI9BawIx&#10;FITvBf9DeEJvNaulRVejLEqhFwtV8fxInrurm5eQpOv23zeFQo/DzHzDrDaD7URPIbaOFUwnBQhi&#10;7UzLtYLT8e1pDiImZIOdY1LwTRE269HDCkvj7vxJ/SHVIkM4lqigScmXUkbdkMU4cZ44excXLKYs&#10;Qy1NwHuG207OiuJVWmw5LzToaduQvh2+rIJ9td8WH6G3lT9frh16rXc+KvU4HqoliERD+g//td+N&#10;gtnz4mUKv3fyFZDrHwAAAP//AwBQSwECLQAUAAYACAAAACEA2+H2y+4AAACFAQAAEwAAAAAAAAAA&#10;AAAAAAAAAAAAW0NvbnRlbnRfVHlwZXNdLnhtbFBLAQItABQABgAIAAAAIQBa9CxbvwAAABUBAAAL&#10;AAAAAAAAAAAAAAAAAB8BAABfcmVscy8ucmVsc1BLAQItABQABgAIAAAAIQBbwZx3xQAAAN4AAAAP&#10;AAAAAAAAAAAAAAAAAAcCAABkcnMvZG93bnJldi54bWxQSwUGAAAAAAMAAwC3AAAA+QIAAAAA&#10;">
                  <v:textbox>
                    <w:txbxContent>
                      <w:p w14:paraId="6CDF53F4" w14:textId="77777777" w:rsidR="00511D9B" w:rsidRDefault="00511D9B" w:rsidP="00A6583A">
                        <w:pPr>
                          <w:spacing w:line="240" w:lineRule="auto"/>
                          <w:ind w:left="-57" w:right="-57"/>
                          <w:jc w:val="center"/>
                        </w:pPr>
                        <w:r>
                          <w:t>Vstupy</w:t>
                        </w:r>
                      </w:p>
                      <w:p w14:paraId="4EA4B598" w14:textId="77777777" w:rsidR="00511D9B" w:rsidRDefault="00511D9B" w:rsidP="00A6583A">
                        <w:pPr>
                          <w:spacing w:line="240" w:lineRule="auto"/>
                          <w:ind w:left="-57" w:right="-57"/>
                          <w:jc w:val="center"/>
                        </w:pPr>
                        <w:r>
                          <w:t>Zdroje</w:t>
                        </w:r>
                      </w:p>
                    </w:txbxContent>
                  </v:textbox>
                </v:shape>
                <v:shape id="_x0000_s1123" type="#_x0000_t202" style="position:absolute;left:35771;top:12655;width:11824;height:6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IAxQAAAN4AAAAPAAAAZHJzL2Rvd25yZXYueG1sRI9RS8Mw&#10;FIXfB/6HcAXfttSKw3VNR5kIvkzYFJ8vyV1bbW5CErv6740g+Hg453yHU+9mO4qJQhwcK7hdFSCI&#10;tTMDdwreXp+WDyBiQjY4OiYF3xRh11wtaqyMu/CRplPqRIZwrFBBn5KvpIy6J4tx5Txx9s4uWExZ&#10;hk6agJcMt6Msi2ItLQ6cF3r0tO9Jf56+rIJDe9gXL2GyrX8/f4zotX70Uamb67ndgkg0p//wX/vZ&#10;KCjvNvcl/N7JV0A2PwAAAP//AwBQSwECLQAUAAYACAAAACEA2+H2y+4AAACFAQAAEwAAAAAAAAAA&#10;AAAAAAAAAAAAW0NvbnRlbnRfVHlwZXNdLnhtbFBLAQItABQABgAIAAAAIQBa9CxbvwAAABUBAAAL&#10;AAAAAAAAAAAAAAAAAB8BAABfcmVscy8ucmVsc1BLAQItABQABgAIAAAAIQCrEwIAxQAAAN4AAAAP&#10;AAAAAAAAAAAAAAAAAAcCAABkcnMvZG93bnJldi54bWxQSwUGAAAAAAMAAwC3AAAA+QIAAAAA&#10;">
                  <v:textbox>
                    <w:txbxContent>
                      <w:p w14:paraId="1FD76F19" w14:textId="77777777" w:rsidR="00511D9B" w:rsidRDefault="00511D9B" w:rsidP="00A6583A">
                        <w:pPr>
                          <w:spacing w:line="204" w:lineRule="auto"/>
                          <w:ind w:left="-57" w:right="-57"/>
                          <w:jc w:val="center"/>
                        </w:pPr>
                        <w:r>
                          <w:t>Výstupy</w:t>
                        </w:r>
                      </w:p>
                      <w:p w14:paraId="26CDD49F" w14:textId="77777777" w:rsidR="00511D9B" w:rsidRDefault="00511D9B" w:rsidP="00A6583A">
                        <w:pPr>
                          <w:spacing w:line="204" w:lineRule="auto"/>
                          <w:ind w:left="-57" w:right="-57"/>
                          <w:jc w:val="center"/>
                        </w:pPr>
                        <w:r>
                          <w:t>Výsledky</w:t>
                        </w:r>
                      </w:p>
                      <w:p w14:paraId="416296A0" w14:textId="77777777" w:rsidR="00511D9B" w:rsidRDefault="00511D9B" w:rsidP="00A6583A">
                        <w:pPr>
                          <w:spacing w:line="204" w:lineRule="auto"/>
                          <w:ind w:left="-57" w:right="-57"/>
                          <w:jc w:val="center"/>
                        </w:pPr>
                        <w:r>
                          <w:t>Plnění cílů</w:t>
                        </w:r>
                      </w:p>
                    </w:txbxContent>
                  </v:textbox>
                </v:shape>
                <v:group id="Skupina 252" o:spid="_x0000_s1124" style="position:absolute;top:21067;width:20701;height:9836" coordsize="27928,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ejxwAAAN4AAAAPAAAAZHJzL2Rvd25yZXYueG1sRI9Pa8JA&#10;FMTvgt9heYI33cSg2NRVRLT0IAX/QOntkX0mwezbkF2T+O27hYLHYWZ+w6w2valES40rLSuIpxEI&#10;4szqknMF18thsgThPLLGyjIpeJKDzXo4WGGqbccnas8+FwHCLkUFhfd1KqXLCjLoprYmDt7NNgZ9&#10;kE0udYNdgJtKzqJoIQ2WHBYKrGlXUHY/P4yCjw67bRLv2+P9tnv+XOZf38eYlBqP+u07CE+9f4X/&#10;259awSx5myfwdydcAbn+BQAA//8DAFBLAQItABQABgAIAAAAIQDb4fbL7gAAAIUBAAATAAAAAAAA&#10;AAAAAAAAAAAAAABbQ29udGVudF9UeXBlc10ueG1sUEsBAi0AFAAGAAgAAAAhAFr0LFu/AAAAFQEA&#10;AAsAAAAAAAAAAAAAAAAAHwEAAF9yZWxzLy5yZWxzUEsBAi0AFAAGAAgAAAAhAMjNB6PHAAAA3gAA&#10;AA8AAAAAAAAAAAAAAAAABwIAAGRycy9kb3ducmV2LnhtbFBLBQYAAAAAAwADALcAAAD7AgAAAAA=&#10;">
                  <v:shape id="_x0000_s1125" type="#_x0000_t202" style="position:absolute;left:695;top:596;width:26537;height:7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qRxgAAAN4AAAAPAAAAZHJzL2Rvd25yZXYueG1sRI/NasMw&#10;EITvhbyD2EBujRy7La5rJeTHgRJ6adoHWKz1D7VWxlJi5+2rQKHHYWa+YfLNZDpxpcG1lhWslhEI&#10;4tLqlmsF31/HxxSE88gaO8uk4EYONuvZQ46ZtiN/0vXsaxEg7DJU0HjfZ1K6siGDbml74uBVdjDo&#10;gxxqqQccA9x0Mo6iF2mw5bDQYE/7hsqf88UoKLg4yW2SRvGucIk8+I9q3DmlFvNp+wbC0+T/w3/t&#10;d60gTl6fn+B+J1wBuf4FAAD//wMAUEsBAi0AFAAGAAgAAAAhANvh9svuAAAAhQEAABMAAAAAAAAA&#10;AAAAAAAAAAAAAFtDb250ZW50X1R5cGVzXS54bWxQSwECLQAUAAYACAAAACEAWvQsW78AAAAVAQAA&#10;CwAAAAAAAAAAAAAAAAAfAQAAX3JlbHMvLnJlbHNQSwECLQAUAAYACAAAACEA7mRakcYAAADeAAAA&#10;DwAAAAAAAAAAAAAAAAAHAgAAZHJzL2Rvd25yZXYueG1sUEsFBgAAAAADAAMAtwAAAPoCAAAAAA==&#10;" stroked="f" strokeweight="1pt">
                    <v:textbox>
                      <w:txbxContent>
                        <w:p w14:paraId="7E39612C" w14:textId="77777777" w:rsidR="00511D9B" w:rsidRPr="00230C35" w:rsidRDefault="00511D9B" w:rsidP="00A6583A">
                          <w:pPr>
                            <w:pStyle w:val="Normlnweb"/>
                            <w:kinsoku w:val="0"/>
                            <w:overflowPunct w:val="0"/>
                            <w:jc w:val="center"/>
                            <w:textAlignment w:val="baseline"/>
                            <w:rPr>
                              <w:rFonts w:ascii="Arial" w:eastAsia="Arial Unicode MS" w:hAnsi="Arial" w:cs="Arial Unicode MS"/>
                              <w:b/>
                              <w:color w:val="000000"/>
                              <w:kern w:val="24"/>
                              <w:sz w:val="18"/>
                            </w:rPr>
                          </w:pPr>
                          <w:r w:rsidRPr="00230C35">
                            <w:rPr>
                              <w:rFonts w:ascii="Arial" w:eastAsia="Arial Unicode MS" w:hAnsi="Arial" w:cs="Arial Unicode MS"/>
                              <w:b/>
                              <w:color w:val="000000"/>
                              <w:kern w:val="24"/>
                              <w:sz w:val="18"/>
                            </w:rPr>
                            <w:t>Hospodárnost:</w:t>
                          </w:r>
                        </w:p>
                        <w:p w14:paraId="7A51C825" w14:textId="77777777" w:rsidR="00511D9B" w:rsidRPr="00230C35" w:rsidRDefault="00511D9B" w:rsidP="00A6583A">
                          <w:pPr>
                            <w:pStyle w:val="Normlnweb"/>
                            <w:kinsoku w:val="0"/>
                            <w:overflowPunct w:val="0"/>
                            <w:jc w:val="center"/>
                            <w:textAlignment w:val="baseline"/>
                            <w:rPr>
                              <w:rFonts w:ascii="Arial" w:eastAsia="Arial Unicode MS" w:hAnsi="Arial" w:cs="Arial Unicode MS"/>
                              <w:i/>
                              <w:color w:val="000000"/>
                              <w:kern w:val="24"/>
                              <w:sz w:val="16"/>
                            </w:rPr>
                          </w:pPr>
                          <w:r w:rsidRPr="00230C35">
                            <w:rPr>
                              <w:rFonts w:ascii="Arial" w:eastAsia="Arial Unicode MS" w:hAnsi="Arial" w:cs="Arial Unicode MS"/>
                              <w:i/>
                              <w:color w:val="000000"/>
                              <w:kern w:val="24"/>
                              <w:sz w:val="16"/>
                            </w:rPr>
                            <w:t>Hospodárností se rozumí takové použití veřejných prostředků, kdy stanovených cílů a úkolů dosahujeme s co nejnižším vynaložením zdrojů.</w:t>
                          </w:r>
                        </w:p>
                        <w:p w14:paraId="2E783AB0" w14:textId="77777777" w:rsidR="00511D9B" w:rsidRDefault="00511D9B" w:rsidP="00A6583A">
                          <w:pPr>
                            <w:spacing w:line="240" w:lineRule="auto"/>
                            <w:ind w:left="-57" w:right="-57"/>
                            <w:jc w:val="center"/>
                          </w:pPr>
                        </w:p>
                      </w:txbxContent>
                    </v:textbox>
                  </v:shape>
                  <v:oval id="Ovál 251" o:spid="_x0000_s1126" style="position:absolute;width:27928;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oTxAAAAN4AAAAPAAAAZHJzL2Rvd25yZXYueG1sRI9fa8JA&#10;EMTfC36HYwt9KfWiYtDoKVIQ9NE/0Ncltyahd3sht9X47XuC4OMwM79hluveO3WlLjaBDYyGGSji&#10;MtiGKwPn0/ZrBioKskUXmAzcKcJ6NXhbYmHDjQ90PUqlEoRjgQZqkbbQOpY1eYzD0BIn7xI6j5Jk&#10;V2nb4S3BvdPjLMu1x4bTQo0tfddU/h7/vIHNXYs7xPn20+ac5/IT9+hmxny895sFKKFeXuFne2cN&#10;jCfz6RQed9IV0Kt/AAAA//8DAFBLAQItABQABgAIAAAAIQDb4fbL7gAAAIUBAAATAAAAAAAAAAAA&#10;AAAAAAAAAABbQ29udGVudF9UeXBlc10ueG1sUEsBAi0AFAAGAAgAAAAhAFr0LFu/AAAAFQEAAAsA&#10;AAAAAAAAAAAAAAAAHwEAAF9yZWxzLy5yZWxzUEsBAi0AFAAGAAgAAAAhAPOrShPEAAAA3gAAAA8A&#10;AAAAAAAAAAAAAAAABwIAAGRycy9kb3ducmV2LnhtbFBLBQYAAAAAAwADALcAAAD4AgAAAAA=&#10;" filled="f" strokecolor="red" strokeweight="1pt">
                    <v:stroke joinstyle="miter"/>
                  </v:oval>
                </v:group>
                <v:group id="Skupina 253" o:spid="_x0000_s1127" style="position:absolute;left:21287;top:20848;width:24574;height:10433" coordsize="27928,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Q7xgAAAN4AAAAPAAAAZHJzL2Rvd25yZXYueG1sRI9Bi8Iw&#10;FITvC/6H8Ba8aVpFWbtGEVHZgwirgnh7NM+22LyUJrb1328EYY/DzHzDzJedKUVDtSssK4iHEQji&#10;1OqCMwXn03bwBcJ5ZI2lZVLwJAfLRe9jjom2Lf9Sc/SZCBB2CSrIva8SKV2ak0E3tBVx8G62NuiD&#10;rDOpa2wD3JRyFEVTabDgsJBjReuc0vvxYRTsWmxX43jT7O+39fN6mhwu+5iU6n92q28Qnjr/H363&#10;f7SC0Xg2mcLrTrgCcvEHAAD//wMAUEsBAi0AFAAGAAgAAAAhANvh9svuAAAAhQEAABMAAAAAAAAA&#10;AAAAAAAAAAAAAFtDb250ZW50X1R5cGVzXS54bWxQSwECLQAUAAYACAAAACEAWvQsW78AAAAVAQAA&#10;CwAAAAAAAAAAAAAAAAAfAQAAX3JlbHMvLnJlbHNQSwECLQAUAAYACAAAACEA2LqkO8YAAADeAAAA&#10;DwAAAAAAAAAAAAAAAAAHAgAAZHJzL2Rvd25yZXYueG1sUEsFBgAAAAADAAMAtwAAAPoCAAAAAA==&#10;">
                  <v:shape id="_x0000_s1128" type="#_x0000_t202" style="position:absolute;left:695;top:596;width:26537;height:7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TmxgAAAN4AAAAPAAAAZHJzL2Rvd25yZXYueG1sRI/NasMw&#10;EITvhbyD2EBujRybtq5rJeTHgRJ6adoHWKz1D7VWxlJi5+2rQKHHYWa+YfLNZDpxpcG1lhWslhEI&#10;4tLqlmsF31/HxxSE88gaO8uk4EYONuvZQ46ZtiN/0vXsaxEg7DJU0HjfZ1K6siGDbml74uBVdjDo&#10;gxxqqQccA9x0Mo6iZ2mw5bDQYE/7hsqf88UoKLg4yW2SRvGucIk8+I9q3DmlFvNp+wbC0+T/w3/t&#10;d60gTl6fXuB+J1wBuf4FAAD//wMAUEsBAi0AFAAGAAgAAAAhANvh9svuAAAAhQEAABMAAAAAAAAA&#10;AAAAAAAAAAAAAFtDb250ZW50X1R5cGVzXS54bWxQSwECLQAUAAYACAAAACEAWvQsW78AAAAVAQAA&#10;CwAAAAAAAAAAAAAAAAAfAQAAX3JlbHMvLnJlbHNQSwECLQAUAAYACAAAACEAHrbE5sYAAADeAAAA&#10;DwAAAAAAAAAAAAAAAAAHAgAAZHJzL2Rvd25yZXYueG1sUEsFBgAAAAADAAMAtwAAAPoCAAAAAA==&#10;" stroked="f" strokeweight="1pt">
                    <v:textbox>
                      <w:txbxContent>
                        <w:p w14:paraId="55704688" w14:textId="77777777" w:rsidR="00511D9B" w:rsidRPr="00230C35" w:rsidRDefault="00511D9B" w:rsidP="00A6583A">
                          <w:pPr>
                            <w:pStyle w:val="Normlnweb"/>
                            <w:kinsoku w:val="0"/>
                            <w:overflowPunct w:val="0"/>
                            <w:jc w:val="center"/>
                            <w:textAlignment w:val="baseline"/>
                            <w:rPr>
                              <w:rFonts w:ascii="Arial" w:eastAsia="Arial Unicode MS" w:hAnsi="Arial" w:cs="Arial Unicode MS"/>
                              <w:b/>
                              <w:color w:val="000000"/>
                              <w:kern w:val="24"/>
                              <w:sz w:val="18"/>
                            </w:rPr>
                          </w:pPr>
                          <w:r w:rsidRPr="00230C35">
                            <w:rPr>
                              <w:rFonts w:ascii="Arial" w:eastAsia="Arial Unicode MS" w:hAnsi="Arial" w:cs="Arial Unicode MS"/>
                              <w:b/>
                              <w:color w:val="000000"/>
                              <w:kern w:val="24"/>
                              <w:sz w:val="18"/>
                            </w:rPr>
                            <w:t>Efektivnost:</w:t>
                          </w:r>
                        </w:p>
                        <w:p w14:paraId="4F4EAC04" w14:textId="77777777" w:rsidR="00511D9B" w:rsidRPr="00230C35" w:rsidRDefault="00511D9B" w:rsidP="00A6583A">
                          <w:pPr>
                            <w:pStyle w:val="Normlnweb"/>
                            <w:kinsoku w:val="0"/>
                            <w:overflowPunct w:val="0"/>
                            <w:jc w:val="center"/>
                            <w:textAlignment w:val="baseline"/>
                            <w:rPr>
                              <w:rFonts w:ascii="Arial" w:eastAsia="Arial Unicode MS" w:hAnsi="Arial" w:cs="Arial Unicode MS"/>
                              <w:i/>
                              <w:color w:val="000000"/>
                              <w:kern w:val="24"/>
                              <w:sz w:val="16"/>
                            </w:rPr>
                          </w:pPr>
                          <w:r w:rsidRPr="00230C35">
                            <w:rPr>
                              <w:rFonts w:ascii="Arial" w:eastAsia="Arial Unicode MS" w:hAnsi="Arial" w:cs="Arial Unicode MS"/>
                              <w:i/>
                              <w:color w:val="000000"/>
                              <w:kern w:val="24"/>
                              <w:sz w:val="16"/>
                            </w:rPr>
                            <w:t>Efektivností se rozumí takové použití veřejných prostředků, jímž se dosáhne nejvýše možného rozsahu, kvality a přínosu plněných úkolů ve srovnání s objemem prostředků vynaložených na jejich plnění.</w:t>
                          </w:r>
                        </w:p>
                        <w:p w14:paraId="182A02C7" w14:textId="77777777" w:rsidR="00511D9B" w:rsidRPr="00230C35" w:rsidRDefault="00511D9B" w:rsidP="00A6583A">
                          <w:pPr>
                            <w:spacing w:line="240" w:lineRule="auto"/>
                            <w:ind w:left="-57" w:right="-57"/>
                            <w:jc w:val="center"/>
                            <w:rPr>
                              <w:rFonts w:ascii="Arial" w:eastAsia="Arial Unicode MS" w:hAnsi="Arial" w:cs="Arial Unicode MS"/>
                              <w:color w:val="000000"/>
                              <w:kern w:val="24"/>
                              <w:sz w:val="18"/>
                            </w:rPr>
                          </w:pPr>
                        </w:p>
                      </w:txbxContent>
                    </v:textbox>
                  </v:shape>
                  <v:oval id="Ovál 255" o:spid="_x0000_s1129" style="position:absolute;width:27928;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zJwwAAAN4AAAAPAAAAZHJzL2Rvd25yZXYueG1sRE/Pa8Iw&#10;FL4L/g/hCbtpaofSVqOIOBhjF62y61vzbIvNS0kyrf/9chjs+PH9Xm8H04k7Od9aVjCfJSCIK6tb&#10;rhWcy7dpBsIHZI2dZVLwJA/bzXi0xkLbBx/pfgq1iCHsC1TQhNAXUvqqIYN+ZnviyF2tMxgidLXU&#10;Dh8x3HQyTZKlNNhybGiwp31D1e30YxRkl/wrLT99uXDP8vCxJ33+znKlXibDbgUi0BD+xX/ud60g&#10;fc0XcW+8E6+A3PwCAAD//wMAUEsBAi0AFAAGAAgAAAAhANvh9svuAAAAhQEAABMAAAAAAAAAAAAA&#10;AAAAAAAAAFtDb250ZW50X1R5cGVzXS54bWxQSwECLQAUAAYACAAAACEAWvQsW78AAAAVAQAACwAA&#10;AAAAAAAAAAAAAAAfAQAAX3JlbHMvLnJlbHNQSwECLQAUAAYACAAAACEA+bQMycMAAADeAAAADwAA&#10;AAAAAAAAAAAAAAAHAgAAZHJzL2Rvd25yZXYueG1sUEsFBgAAAAADAAMAtwAAAPcCAAAAAA==&#10;" filled="f" strokecolor="#41719c" strokeweight="1pt">
                    <v:stroke joinstyle="miter"/>
                  </v:oval>
                </v:group>
                <v:group id="Skupina 23684" o:spid="_x0000_s1130" style="position:absolute;left:34015;top:219;width:18727;height:9431" coordsize="27928,8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BJxwAAAN4AAAAPAAAAZHJzL2Rvd25yZXYueG1sRI9Pi8Iw&#10;FMTvC36H8IS9aVpF0WoUEVc8yIJ/QLw9mmdbbF5KE9v67TcLC3scZuY3zHLdmVI0VLvCsoJ4GIEg&#10;Tq0uOFNwvXwNZiCcR9ZYWiYFb3KwXvU+lpho2/KJmrPPRICwS1BB7n2VSOnSnAy6oa2Ig/ewtUEf&#10;ZJ1JXWMb4KaUoyiaSoMFh4UcK9rmlD7PL6Ng32K7Gce75vh8bN/3y+T7doxJqc9+t1mA8NT5//Bf&#10;+6AVjMbzyRx+74QrIFc/AAAA//8DAFBLAQItABQABgAIAAAAIQDb4fbL7gAAAIUBAAATAAAAAAAA&#10;AAAAAAAAAAAAAABbQ29udGVudF9UeXBlc10ueG1sUEsBAi0AFAAGAAgAAAAhAFr0LFu/AAAAFQEA&#10;AAsAAAAAAAAAAAAAAAAAHwEAAF9yZWxzLy5yZWxzUEsBAi0AFAAGAAgAAAAhAKklMEnHAAAA3gAA&#10;AA8AAAAAAAAAAAAAAAAABwIAAGRycy9kb3ducmV2LnhtbFBLBQYAAAAAAwADALcAAAD7AgAAAAA=&#10;">
                  <v:shape id="_x0000_s1131" type="#_x0000_t202" style="position:absolute;left:819;top:393;width:26536;height:7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YvwgAAAN4AAAAPAAAAZHJzL2Rvd25yZXYueG1sRI/LisIw&#10;FIb3A75DOIK7MbUF0WoULxUGcePlAQ7NsS02J6WJtr79ZCG4/PlvfMt1b2rxotZVlhVMxhEI4tzq&#10;igsFt+vhdwbCeWSNtWVS8CYH69XgZ4mpth2f6XXxhQgj7FJUUHrfpFK6vCSDbmwb4uDdbWvQB9kW&#10;UrfYhXFTyziKptJgxeGhxIZ2JeWPy9MoyDg7yk0yi+Jt5hK596d7t3VKjYb9ZgHCU++/4U/7TyuI&#10;k/k0AAScgAJy9Q8AAP//AwBQSwECLQAUAAYACAAAACEA2+H2y+4AAACFAQAAEwAAAAAAAAAAAAAA&#10;AAAAAAAAW0NvbnRlbnRfVHlwZXNdLnhtbFBLAQItABQABgAIAAAAIQBa9CxbvwAAABUBAAALAAAA&#10;AAAAAAAAAAAAAB8BAABfcmVscy8ucmVsc1BLAQItABQABgAIAAAAIQBfM5YvwgAAAN4AAAAPAAAA&#10;AAAAAAAAAAAAAAcCAABkcnMvZG93bnJldi54bWxQSwUGAAAAAAMAAwC3AAAA9gIAAAAA&#10;" stroked="f" strokeweight="1pt">
                    <v:textbox>
                      <w:txbxContent>
                        <w:p w14:paraId="1EB9404C" w14:textId="77777777" w:rsidR="00511D9B" w:rsidRPr="00230C35" w:rsidRDefault="00511D9B" w:rsidP="00A6583A">
                          <w:pPr>
                            <w:pStyle w:val="Normlnweb"/>
                            <w:kinsoku w:val="0"/>
                            <w:overflowPunct w:val="0"/>
                            <w:jc w:val="center"/>
                            <w:textAlignment w:val="baseline"/>
                            <w:rPr>
                              <w:rFonts w:ascii="Arial" w:eastAsia="Arial Unicode MS" w:hAnsi="Arial" w:cs="Arial Unicode MS"/>
                              <w:b/>
                              <w:bCs/>
                              <w:color w:val="000000"/>
                              <w:kern w:val="24"/>
                              <w:sz w:val="18"/>
                            </w:rPr>
                          </w:pPr>
                          <w:r w:rsidRPr="00230C35">
                            <w:rPr>
                              <w:rFonts w:ascii="Arial" w:eastAsia="Arial Unicode MS" w:hAnsi="Arial" w:cs="Arial Unicode MS"/>
                              <w:b/>
                              <w:bCs/>
                              <w:color w:val="000000"/>
                              <w:kern w:val="24"/>
                              <w:sz w:val="18"/>
                            </w:rPr>
                            <w:t>Účelnost:</w:t>
                          </w:r>
                        </w:p>
                        <w:p w14:paraId="43E45955" w14:textId="77777777" w:rsidR="00511D9B" w:rsidRPr="001D4921" w:rsidRDefault="00511D9B" w:rsidP="00A6583A">
                          <w:pPr>
                            <w:pStyle w:val="Normlnweb"/>
                            <w:kinsoku w:val="0"/>
                            <w:overflowPunct w:val="0"/>
                            <w:jc w:val="center"/>
                            <w:textAlignment w:val="baseline"/>
                            <w:rPr>
                              <w:sz w:val="16"/>
                            </w:rPr>
                          </w:pPr>
                          <w:r w:rsidRPr="00230C35">
                            <w:rPr>
                              <w:rFonts w:ascii="Arial" w:eastAsia="Arial Unicode MS" w:hAnsi="Arial" w:cs="Arial Unicode MS"/>
                              <w:i/>
                              <w:color w:val="000000"/>
                              <w:kern w:val="24"/>
                              <w:sz w:val="16"/>
                            </w:rPr>
                            <w:t>Účinností (účelností) se rozumí takové použití veřejných prostředků, které zajistí optimální míru dosažení cílů při plnění stanovených úkolů</w:t>
                          </w:r>
                          <w:r w:rsidRPr="00230C35">
                            <w:rPr>
                              <w:rFonts w:ascii="Arial" w:eastAsia="Arial Unicode MS" w:hAnsi="Arial" w:cs="Arial Unicode MS"/>
                              <w:color w:val="000000"/>
                              <w:kern w:val="24"/>
                              <w:sz w:val="16"/>
                            </w:rPr>
                            <w:t>.</w:t>
                          </w:r>
                        </w:p>
                        <w:p w14:paraId="2A43F4C9" w14:textId="77777777" w:rsidR="00511D9B" w:rsidRDefault="00511D9B" w:rsidP="00A6583A">
                          <w:pPr>
                            <w:spacing w:line="240" w:lineRule="auto"/>
                            <w:ind w:left="-57" w:right="-57"/>
                            <w:jc w:val="center"/>
                          </w:pPr>
                        </w:p>
                      </w:txbxContent>
                    </v:textbox>
                  </v:shape>
                  <v:oval id="Ovál 23686" o:spid="_x0000_s1132" style="position:absolute;width:27928;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WzxgAAAN4AAAAPAAAAZHJzL2Rvd25yZXYueG1sRI9Ba8JA&#10;FITvBf/D8oTe6q4RgqauIoJoDxWq9v7MPpNo9m3Irib9991CweMwM98w82Vva/Gg1leONYxHCgRx&#10;7kzFhYbTcfM2BeEDssHaMWn4IQ/LxeBljplxHX/R4xAKESHsM9RQhtBkUvq8JIt+5Bri6F1cazFE&#10;2RbStNhFuK1lolQqLVYcF0psaF1SfjvcrYbvyXlXX/f76cd9nW5PiQpn1X1q/TrsV+8gAvXhGf5v&#10;74yGZDJLx/B3J14BufgFAAD//wMAUEsBAi0AFAAGAAgAAAAhANvh9svuAAAAhQEAABMAAAAAAAAA&#10;AAAAAAAAAAAAAFtDb250ZW50X1R5cGVzXS54bWxQSwECLQAUAAYACAAAACEAWvQsW78AAAAVAQAA&#10;CwAAAAAAAAAAAAAAAAAfAQAAX3JlbHMvLnJlbHNQSwECLQAUAAYACAAAACEABEsls8YAAADeAAAA&#10;DwAAAAAAAAAAAAAAAAAHAgAAZHJzL2Rvd25yZXYueG1sUEsFBgAAAAADAAMAtwAAAPoCAAAAAA==&#10;" filled="f" strokecolor="#70ad47" strokeweight="1pt">
                    <v:stroke joinstyle="miter"/>
                  </v:oval>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Obousměrná svislá šipka 23687" o:spid="_x0000_s1133" type="#_x0000_t70" style="position:absolute;left:6949;top:18141;width:1829;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fPxwAAAN4AAAAPAAAAZHJzL2Rvd25yZXYueG1sRI9Ba8JA&#10;FITvhf6H5RV6042RhhpdpQgVD70kVs/P7DMJZt/G7NbEf+8KQo/DzHzDLFaDacSVOldbVjAZRyCI&#10;C6trLhX87r5HnyCcR9bYWCYFN3KwWr6+LDDVtueMrrkvRYCwS1FB5X2bSumKigy6sW2Jg3eynUEf&#10;ZFdK3WEf4KaRcRQl0mDNYaHCltYVFef8zyi4ZPt8PS2yff9z3pwu/fGQfEw2Sr2/DV9zEJ4G/x9+&#10;trdaQTydJTE87oQrIJd3AAAA//8DAFBLAQItABQABgAIAAAAIQDb4fbL7gAAAIUBAAATAAAAAAAA&#10;AAAAAAAAAAAAAABbQ29udGVudF9UeXBlc10ueG1sUEsBAi0AFAAGAAgAAAAhAFr0LFu/AAAAFQEA&#10;AAsAAAAAAAAAAAAAAAAAHwEAAF9yZWxzLy5yZWxzUEsBAi0AFAAGAAgAAAAhAK2SF8/HAAAA3gAA&#10;AA8AAAAAAAAAAAAAAAAABwIAAGRycy9kb3ducmV2LnhtbFBLBQYAAAAAAwADALcAAAD7AgAAAAA=&#10;" adj=",5001" fillcolor="red" strokecolor="red" strokeweight="1pt"/>
                <v:shape id="Obousměrná svislá šipka 23688" o:spid="_x0000_s1134" type="#_x0000_t70" style="position:absolute;left:38587;top:17373;width:1829;height:5963;rotation:38329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5yxwAAAN4AAAAPAAAAZHJzL2Rvd25yZXYueG1sRI9Ba8JA&#10;FITvgv9heQUvUjeNEDS6ihQKWj20Vu+P7DMbmn0bstsY++u7BcHjMDPfMMt1b2vRUesrxwpeJgkI&#10;4sLpiksFp6+35xkIH5A11o5JwY08rFfDwRJz7a78Sd0xlCJC2OeowITQ5FL6wpBFP3ENcfQurrUY&#10;omxLqVu8RritZZokmbRYcVww2NCroeL7+GMVdPOtqX/tbfyx3+8O53H/ns6STKnRU79ZgAjUh0f4&#10;3t5qBel0nk3h/068AnL1BwAA//8DAFBLAQItABQABgAIAAAAIQDb4fbL7gAAAIUBAAATAAAAAAAA&#10;AAAAAAAAAAAAAABbQ29udGVudF9UeXBlc10ueG1sUEsBAi0AFAAGAAgAAAAhAFr0LFu/AAAAFQEA&#10;AAsAAAAAAAAAAAAAAAAAHwEAAF9yZWxzLy5yZWxzUEsBAi0AFAAGAAgAAAAhAEHEDnLHAAAA3gAA&#10;AA8AAAAAAAAAAAAAAAAABwIAAGRycy9kb3ducmV2LnhtbFBLBQYAAAAAAwADALcAAAD7AgAAAAA=&#10;" adj=",3312" fillcolor="#5b9bd5" strokecolor="#41719c" strokeweight="1pt"/>
                <v:shape id="Obousměrná svislá šipka 23689" o:spid="_x0000_s1135" type="#_x0000_t70" style="position:absolute;left:17666;top:14739;width:1950;height:12095;rotation:70901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VyyAAAAN4AAAAPAAAAZHJzL2Rvd25yZXYueG1sRI/dasJA&#10;FITvBd9hOYXeiG604k90FSsIQluK0Qc4Zk+TkOzZJLtq+vbdQqGXw8x8w6y3nanEnVpXWFYwHkUg&#10;iFOrC84UXM6H4QKE88gaK8uk4JscbDf93hpjbR98onviMxEg7GJUkHtfx1K6NCeDbmRr4uB92dag&#10;D7LNpG7xEeCmkpMomkmDBYeFHGva55SWyc0oOB6K10Vjk/cpfl4HH2UzH5fNm1LPT91uBcJT5//D&#10;f+2jVjB5Wc6m8HsnXAG5+QEAAP//AwBQSwECLQAUAAYACAAAACEA2+H2y+4AAACFAQAAEwAAAAAA&#10;AAAAAAAAAAAAAAAAW0NvbnRlbnRfVHlwZXNdLnhtbFBLAQItABQABgAIAAAAIQBa9CxbvwAAABUB&#10;AAALAAAAAAAAAAAAAAAAAB8BAABfcmVscy8ucmVsc1BLAQItABQABgAIAAAAIQBFbsVyyAAAAN4A&#10;AAAPAAAAAAAAAAAAAAAAAAcCAABkcnMvZG93bnJldi54bWxQSwUGAAAAAAMAAwC3AAAA/AIAAAAA&#10;" adj=",1741" fillcolor="#5b9bd5" strokecolor="#41719c" strokeweight="1pt"/>
                <v:shape id="Obousměrná svislá šipka 23690" o:spid="_x0000_s1136" type="#_x0000_t70" style="position:absolute;left:33050;top:4767;width:1828;height:38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2PxwAAAN4AAAAPAAAAZHJzL2Rvd25yZXYueG1sRI/RasJA&#10;FETfC/7DcoW+1U2tSkyzCa2loOhDa/yAS/Y2Cc3eTbNbjX/vCoKPw8ycYdJ8MK04Uu8aywqeJxEI&#10;4tLqhisFh+LzKQbhPLLG1jIpOJODPBs9pJhoe+JvOu59JQKEXYIKau+7REpX1mTQTWxHHLwf2xv0&#10;QfaV1D2eAty0chpFC2mw4bBQY0ermsrf/b9R8DX3u1XZ0Wy7+bDbYn2O3/9MrNTjeHh7BeFp8Pfw&#10;rb3WCqYvy8UcrnfCFZDZBQAA//8DAFBLAQItABQABgAIAAAAIQDb4fbL7gAAAIUBAAATAAAAAAAA&#10;AAAAAAAAAAAAAABbQ29udGVudF9UeXBlc10ueG1sUEsBAi0AFAAGAAgAAAAhAFr0LFu/AAAAFQEA&#10;AAsAAAAAAAAAAAAAAAAAHwEAAF9yZWxzLy5yZWxzUEsBAi0AFAAGAAgAAAAhAER6nY/HAAAA3gAA&#10;AA8AAAAAAAAAAAAAAAAABwIAAGRycy9kb3ducmV2LnhtbFBLBQYAAAAAAwADALcAAAD7AgAAAAA=&#10;" adj=",5118" fillcolor="#70ad47" strokecolor="#70ad47" strokeweight="1pt"/>
                <v:shape id="Obousměrná svislá šipka 23692" o:spid="_x0000_s1137" type="#_x0000_t70" style="position:absolute;left:42501;top:9070;width:1829;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UHxwAAAN4AAAAPAAAAZHJzL2Rvd25yZXYueG1sRI9Ba8JA&#10;FITvgv9heUJvdaPSWKOriBBowYLa0vMj+0yC2bdxdxvT/vpuoeBxmJlvmNWmN43oyPnasoLJOAFB&#10;XFhdc6ng4z1/fAbhA7LGxjIp+CYPm/VwsMJM2xsfqTuFUkQI+wwVVCG0mZS+qMigH9uWOHpn6wyG&#10;KF0ptcNbhJtGTpMklQZrjgsVtrSrqLicvoyCJ7Ofoz/It2v+83nuXt3iss+DUg+jfrsEEagP9/B/&#10;+0UrmM4WaQp/d+IVkOtfAAAA//8DAFBLAQItABQABgAIAAAAIQDb4fbL7gAAAIUBAAATAAAAAAAA&#10;AAAAAAAAAAAAAABbQ29udGVudF9UeXBlc10ueG1sUEsBAi0AFAAGAAgAAAAhAFr0LFu/AAAAFQEA&#10;AAsAAAAAAAAAAAAAAAAAHwEAAF9yZWxzLy5yZWxzUEsBAi0AFAAGAAgAAAAhALIZFQfHAAAA3gAA&#10;AA8AAAAAAAAAAAAAAAAABwIAAGRycy9kb3ducmV2LnhtbFBLBQYAAAAAAwADALcAAAD7AgAAAAA=&#10;" adj=",5001" fillcolor="#70ad47" strokecolor="#70ad47"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23693" o:spid="_x0000_s1138" type="#_x0000_t13" style="position:absolute;left:13094;top:14996;width:3289;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m2xAAAAN4AAAAPAAAAZHJzL2Rvd25yZXYueG1sRI9Lq8Iw&#10;FIT3F/wP4Qh3d021PqtR5ELBhRsfG3fH5tgWm5PSRK3/3giCy2FmvmEWq9ZU4k6NKy0r6PciEMSZ&#10;1SXnCo6H9G8KwnlkjZVlUvAkB6tl52eBibYP3tF973MRIOwSVFB4XydSuqwgg65na+LgXWxj0AfZ&#10;5FI3+AhwU8lBFI2lwZLDQoE1/ReUXfc3o+A8lfVW0+yQ8jAebdMr56dRrNRvt13PQXhq/Tf8aW+0&#10;gkE8G0/gfSdcAbl8AQAA//8DAFBLAQItABQABgAIAAAAIQDb4fbL7gAAAIUBAAATAAAAAAAAAAAA&#10;AAAAAAAAAABbQ29udGVudF9UeXBlc10ueG1sUEsBAi0AFAAGAAgAAAAhAFr0LFu/AAAAFQEAAAsA&#10;AAAAAAAAAAAAAAAAHwEAAF9yZWxzLy5yZWxzUEsBAi0AFAAGAAgAAAAhAOuBibbEAAAA3gAAAA8A&#10;AAAAAAAAAAAAAAAABwIAAGRycy9kb3ducmV2LnhtbFBLBQYAAAAAAwADALcAAAD4AgAAAAA=&#10;" adj="14886" strokeweight="1pt"/>
                <v:shape id="Šipka doprava 23694" o:spid="_x0000_s1139" type="#_x0000_t13" style="position:absolute;left:33064;top:14849;width:3292;height:2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RDxQAAAN0AAAAPAAAAZHJzL2Rvd25yZXYueG1sRI9Ba8JA&#10;FITvQv/D8gredFMLRqOrlFJBKFYS9f7IvibB7NuYXWP6712h4HGYmW+Y5bo3teiodZVlBW/jCARx&#10;bnXFhYLjYTOagXAeWWNtmRT8kYP16mWwxETbG6fUZb4QAcIuQQWl900ipctLMujGtiEO3q9tDfog&#10;20LqFm8Bbmo5iaKpNFhxWCixoc+S8nN2NQqy0yGNt9+zXTbfXcx+Q+efLv9SavjafyxAeOr9M/zf&#10;3moF73E8hceb8ATk6g4AAP//AwBQSwECLQAUAAYACAAAACEA2+H2y+4AAACFAQAAEwAAAAAAAAAA&#10;AAAAAAAAAAAAW0NvbnRlbnRfVHlwZXNdLnhtbFBLAQItABQABgAIAAAAIQBa9CxbvwAAABUBAAAL&#10;AAAAAAAAAAAAAAAAAB8BAABfcmVscy8ucmVsc1BLAQItABQABgAIAAAAIQCUZ9RDxQAAAN0AAAAP&#10;AAAAAAAAAAAAAAAAAAcCAABkcnMvZG93bnJldi54bWxQSwUGAAAAAAMAAwC3AAAA+QIAAAAA&#10;" adj="14880"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23695" o:spid="_x0000_s1140" type="#_x0000_t67" style="position:absolute;left:23799;top:3420;width:2006;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dxwAAAN0AAAAPAAAAZHJzL2Rvd25yZXYueG1sRI9BawIx&#10;FITvhf6H8AreatYKXVmNUi2F9iDi2h68PTavu0uTl2UT4/bfG0HwOMzMN8xiNVgjIvW+daxgMs5A&#10;EFdOt1wr+D58PM9A+ICs0TgmBf/kYbV8fFhgod2Z9xTLUIsEYV+ggiaErpDSVw1Z9GPXESfv1/UW&#10;Q5J9LXWP5wS3Rr5k2au02HJaaLCjTUPVX3myCtbvJv50X/44q07ruDPbMm4nG6VGT8PbHESgIdzD&#10;t/anVjDN8xyub9ITkMsLAAAA//8DAFBLAQItABQABgAIAAAAIQDb4fbL7gAAAIUBAAATAAAAAAAA&#10;AAAAAAAAAAAAAABbQ29udGVudF9UeXBlc10ueG1sUEsBAi0AFAAGAAgAAAAhAFr0LFu/AAAAFQEA&#10;AAsAAAAAAAAAAAAAAAAAHwEAAF9yZWxzLy5yZWxzUEsBAi0AFAAGAAgAAAAhAKlb8J3HAAAA3QAA&#10;AA8AAAAAAAAAAAAAAAAABwIAAGRycy9kb3ducmV2LnhtbFBLBQYAAAAAAwADALcAAAD7AgAAAAA=&#10;" adj="13999" strokeweight="1pt"/>
                <v:shape id="Šipka dolů 23696" o:spid="_x0000_s1141" type="#_x0000_t67" style="position:absolute;left:23799;top:10730;width:2006;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TvxAAAAN0AAAAPAAAAZHJzL2Rvd25yZXYueG1sRE+7asMw&#10;FN0L+QdxA90a2SkkwYli8iDQDKHUbYdsF+vWNpWujKUo7t9XQ6Hj4bw35WiNiDT4zrGCfJaBIK6d&#10;7rhR8PF+elqB8AFZo3FMCn7IQ7mdPGyw0O7ObxSr0IgUwr5ABW0IfSGlr1uy6GeuJ07clxsshgSH&#10;RuoB7yncGjnPsoW02HFqaLGnQ0v1d3WzCvZHEz/7s7+u6ts+vppLFS/5QanH6bhbgwg0hn/xn/tF&#10;K3heLtPc9CY9Abn9BQAA//8DAFBLAQItABQABgAIAAAAIQDb4fbL7gAAAIUBAAATAAAAAAAAAAAA&#10;AAAAAAAAAABbQ29udGVudF9UeXBlc10ueG1sUEsBAi0AFAAGAAgAAAAhAFr0LFu/AAAAFQEAAAsA&#10;AAAAAAAAAAAAAAAAHwEAAF9yZWxzLy5yZWxzUEsBAi0AFAAGAAgAAAAhANjEZO/EAAAA3QAAAA8A&#10;AAAAAAAAAAAAAAAABwIAAGRycy9kb3ducmV2LnhtbFBLBQYAAAAAAwADALcAAAD4AgAAAAA=&#10;" adj="13999" strokeweight="1pt"/>
                <w10:anchorlock/>
              </v:group>
            </w:pict>
          </mc:Fallback>
        </mc:AlternateContent>
      </w:r>
      <w:r w:rsidRPr="00DF4A0B">
        <w:rPr>
          <w:rFonts w:asciiTheme="minorHAnsi" w:eastAsia="Calibri" w:hAnsiTheme="minorHAnsi" w:cstheme="minorHAnsi"/>
          <w:i/>
          <w:iCs/>
        </w:rPr>
        <w:t>Zdroj: Plaček a kol. (2020)</w:t>
      </w:r>
    </w:p>
    <w:p w14:paraId="5FF605F7" w14:textId="2225C013" w:rsidR="00A6583A" w:rsidRDefault="00A6583A" w:rsidP="00A6583A">
      <w:pPr>
        <w:jc w:val="both"/>
        <w:rPr>
          <w:rFonts w:ascii="Calibri" w:hAnsi="Calibri"/>
        </w:rPr>
      </w:pPr>
      <w:r>
        <w:rPr>
          <w:rFonts w:ascii="Calibri" w:hAnsi="Calibri"/>
        </w:rPr>
        <w:lastRenderedPageBreak/>
        <w:t>Shrnutí uvádí následující tabulka</w:t>
      </w:r>
      <w:r w:rsidR="00DE58AE">
        <w:rPr>
          <w:rFonts w:ascii="Calibri" w:hAnsi="Calibri"/>
        </w:rPr>
        <w:t>, v posledním sloupci jsou též uvedeny příklady</w:t>
      </w:r>
      <w:r>
        <w:rPr>
          <w:rFonts w:ascii="Calibri" w:hAnsi="Calibri"/>
        </w:rPr>
        <w:t>.</w:t>
      </w:r>
    </w:p>
    <w:p w14:paraId="7C4FB4EF" w14:textId="5756C38E" w:rsidR="00A6583A" w:rsidRPr="00DC7F02" w:rsidRDefault="00604602" w:rsidP="00A6583A">
      <w:pPr>
        <w:pStyle w:val="A1-text"/>
        <w:spacing w:after="0"/>
        <w:rPr>
          <w:rFonts w:ascii="Calibri" w:hAnsi="Calibri"/>
          <w:i/>
          <w:iCs/>
          <w:lang w:val="cs-CZ"/>
        </w:rPr>
      </w:pPr>
      <w:r>
        <w:rPr>
          <w:rFonts w:ascii="Calibri" w:hAnsi="Calibri"/>
          <w:i/>
          <w:iCs/>
          <w:lang w:val="cs-CZ"/>
        </w:rPr>
        <w:t>Tab.</w:t>
      </w:r>
      <w:r w:rsidR="00081FD0">
        <w:rPr>
          <w:rFonts w:ascii="Calibri" w:hAnsi="Calibri"/>
          <w:i/>
          <w:iCs/>
          <w:lang w:val="cs-CZ"/>
        </w:rPr>
        <w:t xml:space="preserve"> 1</w:t>
      </w:r>
      <w:r>
        <w:rPr>
          <w:rFonts w:ascii="Calibri" w:hAnsi="Calibri"/>
          <w:i/>
          <w:iCs/>
          <w:lang w:val="cs-CZ"/>
        </w:rPr>
        <w:t xml:space="preserve"> </w:t>
      </w:r>
      <w:r w:rsidR="00A6583A">
        <w:rPr>
          <w:rFonts w:ascii="Calibri" w:hAnsi="Calibri"/>
          <w:i/>
          <w:iCs/>
          <w:lang w:val="cs-CZ"/>
        </w:rPr>
        <w:t>Vymezení a příklady 3E</w:t>
      </w:r>
    </w:p>
    <w:tbl>
      <w:tblPr>
        <w:tblStyle w:val="Mkatabulky"/>
        <w:tblW w:w="0" w:type="auto"/>
        <w:tblLook w:val="04A0" w:firstRow="1" w:lastRow="0" w:firstColumn="1" w:lastColumn="0" w:noHBand="0" w:noVBand="1"/>
      </w:tblPr>
      <w:tblGrid>
        <w:gridCol w:w="1503"/>
        <w:gridCol w:w="3912"/>
        <w:gridCol w:w="3601"/>
      </w:tblGrid>
      <w:tr w:rsidR="00A6583A" w:rsidRPr="00F03A7B" w14:paraId="198C7E4D" w14:textId="77777777" w:rsidTr="00AC26F2">
        <w:tc>
          <w:tcPr>
            <w:tcW w:w="1435" w:type="dxa"/>
            <w:shd w:val="clear" w:color="auto" w:fill="E7E6E6" w:themeFill="background2"/>
            <w:vAlign w:val="center"/>
          </w:tcPr>
          <w:p w14:paraId="18DD3DB9" w14:textId="77777777" w:rsidR="00A6583A" w:rsidRPr="00F03A7B" w:rsidRDefault="00A6583A" w:rsidP="00AC26F2">
            <w:pPr>
              <w:spacing w:line="240" w:lineRule="auto"/>
              <w:rPr>
                <w:rFonts w:ascii="Calibri" w:hAnsi="Calibri"/>
                <w:b/>
                <w:sz w:val="22"/>
              </w:rPr>
            </w:pPr>
          </w:p>
        </w:tc>
        <w:tc>
          <w:tcPr>
            <w:tcW w:w="3947" w:type="dxa"/>
            <w:shd w:val="clear" w:color="auto" w:fill="E7E6E6" w:themeFill="background2"/>
            <w:vAlign w:val="center"/>
          </w:tcPr>
          <w:p w14:paraId="7A959049" w14:textId="77777777" w:rsidR="00A6583A" w:rsidRPr="00F03A7B" w:rsidRDefault="00A6583A" w:rsidP="00AC26F2">
            <w:pPr>
              <w:spacing w:line="240" w:lineRule="auto"/>
              <w:ind w:right="-57"/>
              <w:rPr>
                <w:rFonts w:ascii="Calibri" w:hAnsi="Calibri"/>
                <w:b/>
                <w:sz w:val="22"/>
              </w:rPr>
            </w:pPr>
            <w:r w:rsidRPr="00F03A7B">
              <w:rPr>
                <w:rFonts w:ascii="Calibri" w:hAnsi="Calibri"/>
                <w:b/>
                <w:sz w:val="22"/>
              </w:rPr>
              <w:t>Vymezení dle zákona o finanční kontrole</w:t>
            </w:r>
          </w:p>
        </w:tc>
        <w:tc>
          <w:tcPr>
            <w:tcW w:w="3634" w:type="dxa"/>
            <w:shd w:val="clear" w:color="auto" w:fill="E7E6E6" w:themeFill="background2"/>
            <w:vAlign w:val="center"/>
          </w:tcPr>
          <w:p w14:paraId="56CD358E" w14:textId="77777777" w:rsidR="00A6583A" w:rsidRPr="00F03A7B" w:rsidRDefault="00A6583A" w:rsidP="00AC26F2">
            <w:pPr>
              <w:spacing w:line="240" w:lineRule="auto"/>
              <w:rPr>
                <w:rFonts w:ascii="Calibri" w:hAnsi="Calibri"/>
                <w:b/>
                <w:sz w:val="22"/>
              </w:rPr>
            </w:pPr>
            <w:r w:rsidRPr="00F03A7B">
              <w:rPr>
                <w:rFonts w:ascii="Calibri" w:hAnsi="Calibri"/>
                <w:b/>
                <w:sz w:val="22"/>
              </w:rPr>
              <w:t>Příklady</w:t>
            </w:r>
          </w:p>
        </w:tc>
      </w:tr>
      <w:tr w:rsidR="00A6583A" w:rsidRPr="00F03A7B" w14:paraId="13496E5A" w14:textId="77777777" w:rsidTr="00AC26F2">
        <w:tc>
          <w:tcPr>
            <w:tcW w:w="1435" w:type="dxa"/>
            <w:shd w:val="clear" w:color="auto" w:fill="E7E6E6" w:themeFill="background2"/>
            <w:vAlign w:val="center"/>
          </w:tcPr>
          <w:p w14:paraId="3DD61129" w14:textId="77777777" w:rsidR="00A6583A" w:rsidRPr="00F03A7B" w:rsidRDefault="00A6583A" w:rsidP="00AC26F2">
            <w:pPr>
              <w:spacing w:line="240" w:lineRule="auto"/>
              <w:rPr>
                <w:rFonts w:ascii="Calibri" w:hAnsi="Calibri"/>
                <w:b/>
                <w:sz w:val="22"/>
              </w:rPr>
            </w:pPr>
            <w:r w:rsidRPr="00F03A7B">
              <w:rPr>
                <w:rFonts w:ascii="Calibri" w:hAnsi="Calibri"/>
                <w:b/>
                <w:sz w:val="22"/>
              </w:rPr>
              <w:t>Hospodárnost</w:t>
            </w:r>
          </w:p>
        </w:tc>
        <w:tc>
          <w:tcPr>
            <w:tcW w:w="3947" w:type="dxa"/>
            <w:vAlign w:val="center"/>
          </w:tcPr>
          <w:p w14:paraId="585D2CC8" w14:textId="77777777" w:rsidR="00A6583A" w:rsidRPr="00F03A7B" w:rsidRDefault="00A6583A" w:rsidP="00AC26F2">
            <w:pPr>
              <w:pStyle w:val="A1-text"/>
              <w:shd w:val="clear" w:color="auto" w:fill="FFFFFF" w:themeFill="background1"/>
              <w:tabs>
                <w:tab w:val="clear" w:pos="284"/>
                <w:tab w:val="left" w:pos="-76"/>
              </w:tabs>
              <w:spacing w:after="0" w:line="240" w:lineRule="auto"/>
              <w:jc w:val="left"/>
              <w:rPr>
                <w:rFonts w:ascii="Calibri" w:hAnsi="Calibri"/>
                <w:sz w:val="22"/>
              </w:rPr>
            </w:pPr>
            <w:r w:rsidRPr="00F03A7B">
              <w:rPr>
                <w:rFonts w:ascii="Calibri" w:hAnsi="Calibri"/>
                <w:sz w:val="22"/>
              </w:rPr>
              <w:t xml:space="preserve">Hospodárností se rozumí takové použití prostředků, kdy stanovených cílů a úkolů dosahujeme s co nejnižším vynaložením zdrojů. </w:t>
            </w:r>
          </w:p>
        </w:tc>
        <w:tc>
          <w:tcPr>
            <w:tcW w:w="3634" w:type="dxa"/>
            <w:vAlign w:val="center"/>
          </w:tcPr>
          <w:p w14:paraId="098BDB29" w14:textId="77777777" w:rsidR="00A6583A" w:rsidRDefault="00A6583A" w:rsidP="00AC26F2">
            <w:pPr>
              <w:spacing w:line="240" w:lineRule="auto"/>
              <w:rPr>
                <w:rFonts w:ascii="Calibri" w:hAnsi="Calibri"/>
                <w:sz w:val="22"/>
              </w:rPr>
            </w:pPr>
            <w:r w:rsidRPr="00F03A7B">
              <w:rPr>
                <w:rFonts w:ascii="Calibri" w:hAnsi="Calibri"/>
                <w:sz w:val="22"/>
              </w:rPr>
              <w:t xml:space="preserve">Příklady: </w:t>
            </w:r>
            <w:r>
              <w:rPr>
                <w:rFonts w:ascii="Calibri" w:hAnsi="Calibri"/>
                <w:sz w:val="22"/>
              </w:rPr>
              <w:t>(1)</w:t>
            </w:r>
            <w:r w:rsidRPr="00F03A7B">
              <w:rPr>
                <w:rFonts w:ascii="Calibri" w:hAnsi="Calibri"/>
                <w:sz w:val="22"/>
              </w:rPr>
              <w:t xml:space="preserve"> nejnižší nabídková cena</w:t>
            </w:r>
            <w:r>
              <w:rPr>
                <w:rFonts w:ascii="Calibri" w:hAnsi="Calibri"/>
                <w:sz w:val="22"/>
              </w:rPr>
              <w:t xml:space="preserve"> (používá se nejčastěji)</w:t>
            </w:r>
            <w:r w:rsidRPr="00F03A7B">
              <w:rPr>
                <w:rFonts w:ascii="Calibri" w:hAnsi="Calibri"/>
                <w:sz w:val="22"/>
              </w:rPr>
              <w:t xml:space="preserve"> </w:t>
            </w:r>
          </w:p>
          <w:p w14:paraId="556379F4" w14:textId="77777777" w:rsidR="00A6583A" w:rsidRDefault="00A6583A" w:rsidP="00AC26F2">
            <w:pPr>
              <w:spacing w:line="240" w:lineRule="auto"/>
              <w:rPr>
                <w:rFonts w:ascii="Calibri" w:hAnsi="Calibri"/>
                <w:sz w:val="22"/>
              </w:rPr>
            </w:pPr>
            <w:r>
              <w:rPr>
                <w:rFonts w:ascii="Calibri" w:hAnsi="Calibri"/>
                <w:sz w:val="22"/>
              </w:rPr>
              <w:t>(2) náklady životního cyklu</w:t>
            </w:r>
          </w:p>
          <w:p w14:paraId="644A591C" w14:textId="77777777" w:rsidR="00A6583A" w:rsidRPr="00F03A7B" w:rsidRDefault="00A6583A" w:rsidP="00AC26F2">
            <w:pPr>
              <w:spacing w:line="240" w:lineRule="auto"/>
              <w:rPr>
                <w:rFonts w:ascii="Calibri" w:hAnsi="Calibri"/>
                <w:sz w:val="22"/>
              </w:rPr>
            </w:pPr>
            <w:r>
              <w:rPr>
                <w:rFonts w:ascii="Calibri" w:hAnsi="Calibri"/>
                <w:sz w:val="22"/>
              </w:rPr>
              <w:t>(3) ekonomická výhodnost</w:t>
            </w:r>
          </w:p>
        </w:tc>
      </w:tr>
      <w:tr w:rsidR="00A6583A" w:rsidRPr="00F03A7B" w14:paraId="4A3D898A" w14:textId="77777777" w:rsidTr="00AC26F2">
        <w:tc>
          <w:tcPr>
            <w:tcW w:w="1435" w:type="dxa"/>
            <w:shd w:val="clear" w:color="auto" w:fill="E7E6E6" w:themeFill="background2"/>
            <w:vAlign w:val="center"/>
          </w:tcPr>
          <w:p w14:paraId="031B2ABF" w14:textId="77777777" w:rsidR="00A6583A" w:rsidRPr="00F03A7B" w:rsidRDefault="00A6583A" w:rsidP="00AC26F2">
            <w:pPr>
              <w:spacing w:line="240" w:lineRule="auto"/>
              <w:rPr>
                <w:rFonts w:ascii="Calibri" w:hAnsi="Calibri"/>
                <w:b/>
                <w:sz w:val="22"/>
              </w:rPr>
            </w:pPr>
            <w:r w:rsidRPr="00F03A7B">
              <w:rPr>
                <w:rFonts w:ascii="Calibri" w:hAnsi="Calibri"/>
                <w:b/>
                <w:sz w:val="22"/>
              </w:rPr>
              <w:t>Efektivnost</w:t>
            </w:r>
          </w:p>
        </w:tc>
        <w:tc>
          <w:tcPr>
            <w:tcW w:w="3947" w:type="dxa"/>
            <w:vAlign w:val="center"/>
          </w:tcPr>
          <w:p w14:paraId="44438FC4" w14:textId="77777777" w:rsidR="00A6583A" w:rsidRPr="00F03A7B" w:rsidRDefault="00A6583A" w:rsidP="00AC26F2">
            <w:pPr>
              <w:pStyle w:val="A1-text"/>
              <w:shd w:val="clear" w:color="auto" w:fill="FFFFFF" w:themeFill="background1"/>
              <w:tabs>
                <w:tab w:val="clear" w:pos="284"/>
                <w:tab w:val="left" w:pos="-76"/>
              </w:tabs>
              <w:spacing w:after="0" w:line="240" w:lineRule="auto"/>
              <w:jc w:val="left"/>
              <w:rPr>
                <w:rFonts w:ascii="Calibri" w:hAnsi="Calibri"/>
                <w:sz w:val="22"/>
              </w:rPr>
            </w:pPr>
            <w:r w:rsidRPr="00F03A7B">
              <w:rPr>
                <w:rFonts w:ascii="Calibri" w:hAnsi="Calibri"/>
                <w:sz w:val="22"/>
              </w:rPr>
              <w:t xml:space="preserve">Efektivností se rozumí takové použití prostředků, jímž se dosáhne nejvýše možného rozsahu, kvality a přínosu plněných úkolů ve srovnání s objemem prostředků vynaložených na jejich plnění. </w:t>
            </w:r>
          </w:p>
        </w:tc>
        <w:tc>
          <w:tcPr>
            <w:tcW w:w="3634" w:type="dxa"/>
            <w:vAlign w:val="center"/>
          </w:tcPr>
          <w:p w14:paraId="6EEF3CC0" w14:textId="77777777" w:rsidR="00A6583A" w:rsidRDefault="00A6583A" w:rsidP="00AC26F2">
            <w:pPr>
              <w:pStyle w:val="Normlnweb"/>
              <w:tabs>
                <w:tab w:val="left" w:pos="-76"/>
              </w:tabs>
              <w:rPr>
                <w:rFonts w:asciiTheme="minorHAnsi" w:hAnsiTheme="minorHAnsi" w:cstheme="minorHAnsi"/>
                <w:sz w:val="22"/>
                <w:szCs w:val="22"/>
              </w:rPr>
            </w:pPr>
            <w:r w:rsidRPr="00F03A7B">
              <w:rPr>
                <w:rFonts w:ascii="Calibri" w:hAnsi="Calibri"/>
                <w:sz w:val="22"/>
              </w:rPr>
              <w:t xml:space="preserve">Příklady: </w:t>
            </w:r>
            <w:r w:rsidRPr="002C4517">
              <w:rPr>
                <w:rFonts w:asciiTheme="minorHAnsi" w:hAnsiTheme="minorHAnsi" w:cstheme="minorHAnsi"/>
                <w:sz w:val="22"/>
                <w:szCs w:val="22"/>
              </w:rPr>
              <w:t xml:space="preserve">(1) </w:t>
            </w:r>
            <w:r>
              <w:rPr>
                <w:rFonts w:asciiTheme="minorHAnsi" w:hAnsiTheme="minorHAnsi" w:cstheme="minorHAnsi"/>
                <w:sz w:val="22"/>
                <w:szCs w:val="22"/>
              </w:rPr>
              <w:t xml:space="preserve">hodnocení rozsahu – například </w:t>
            </w:r>
            <w:r w:rsidRPr="002C4517">
              <w:rPr>
                <w:rFonts w:asciiTheme="minorHAnsi" w:hAnsiTheme="minorHAnsi" w:cstheme="minorHAnsi"/>
                <w:sz w:val="22"/>
                <w:szCs w:val="22"/>
              </w:rPr>
              <w:t xml:space="preserve">nákladová efektivnost (celková cena / počet jednotek) </w:t>
            </w:r>
          </w:p>
          <w:p w14:paraId="6AFA8DD4" w14:textId="77777777" w:rsidR="00A6583A" w:rsidRDefault="00A6583A" w:rsidP="00AC26F2">
            <w:pPr>
              <w:pStyle w:val="A1-text"/>
              <w:tabs>
                <w:tab w:val="clear" w:pos="284"/>
              </w:tabs>
              <w:spacing w:after="0" w:line="240" w:lineRule="auto"/>
              <w:jc w:val="left"/>
              <w:rPr>
                <w:rFonts w:asciiTheme="minorHAnsi" w:hAnsiTheme="minorHAnsi" w:cstheme="minorHAnsi"/>
                <w:sz w:val="22"/>
                <w:szCs w:val="22"/>
                <w:lang w:val="cs-CZ"/>
              </w:rPr>
            </w:pPr>
            <w:r w:rsidRPr="002C4517">
              <w:rPr>
                <w:rFonts w:asciiTheme="minorHAnsi" w:hAnsiTheme="minorHAnsi" w:cstheme="minorHAnsi"/>
                <w:sz w:val="22"/>
                <w:szCs w:val="22"/>
                <w:lang w:val="cs-CZ"/>
              </w:rPr>
              <w:t xml:space="preserve">(2) hodnocení přínosu (výše úspory, návratnost, …) </w:t>
            </w:r>
          </w:p>
          <w:p w14:paraId="291FF66D" w14:textId="77777777" w:rsidR="00A6583A" w:rsidRPr="00F03A7B" w:rsidRDefault="00A6583A" w:rsidP="00AC26F2">
            <w:pPr>
              <w:pStyle w:val="Normlnweb"/>
              <w:tabs>
                <w:tab w:val="left" w:pos="-76"/>
              </w:tabs>
              <w:rPr>
                <w:rFonts w:ascii="Calibri" w:hAnsi="Calibri"/>
                <w:sz w:val="22"/>
              </w:rPr>
            </w:pPr>
            <w:r w:rsidRPr="002C4517">
              <w:rPr>
                <w:rFonts w:asciiTheme="minorHAnsi" w:hAnsiTheme="minorHAnsi" w:cstheme="minorHAnsi"/>
                <w:sz w:val="22"/>
                <w:szCs w:val="22"/>
              </w:rPr>
              <w:t>(3) efektivnost ve vazbě na kvalitu</w:t>
            </w:r>
            <w:r>
              <w:rPr>
                <w:rFonts w:asciiTheme="minorHAnsi" w:hAnsiTheme="minorHAnsi" w:cstheme="minorHAnsi"/>
                <w:sz w:val="22"/>
                <w:szCs w:val="22"/>
              </w:rPr>
              <w:t>, kvalitativní parametry</w:t>
            </w:r>
            <w:r w:rsidRPr="002C4517">
              <w:rPr>
                <w:rFonts w:asciiTheme="minorHAnsi" w:hAnsiTheme="minorHAnsi" w:cstheme="minorHAnsi"/>
                <w:sz w:val="22"/>
                <w:szCs w:val="22"/>
              </w:rPr>
              <w:t xml:space="preserve"> (znaky kvality, časový faktor atd.)</w:t>
            </w:r>
          </w:p>
        </w:tc>
      </w:tr>
      <w:tr w:rsidR="00A6583A" w:rsidRPr="00F03A7B" w14:paraId="0DD117F3" w14:textId="77777777" w:rsidTr="00AC26F2">
        <w:tc>
          <w:tcPr>
            <w:tcW w:w="1435" w:type="dxa"/>
            <w:shd w:val="clear" w:color="auto" w:fill="E7E6E6" w:themeFill="background2"/>
            <w:vAlign w:val="center"/>
          </w:tcPr>
          <w:p w14:paraId="35D25A16" w14:textId="77777777" w:rsidR="00A6583A" w:rsidRPr="00F03A7B" w:rsidRDefault="00A6583A" w:rsidP="00AC26F2">
            <w:pPr>
              <w:spacing w:line="240" w:lineRule="auto"/>
              <w:rPr>
                <w:rFonts w:ascii="Calibri" w:hAnsi="Calibri"/>
                <w:b/>
                <w:sz w:val="22"/>
              </w:rPr>
            </w:pPr>
            <w:r w:rsidRPr="00F03A7B">
              <w:rPr>
                <w:rFonts w:ascii="Calibri" w:hAnsi="Calibri"/>
                <w:b/>
                <w:sz w:val="22"/>
              </w:rPr>
              <w:t>Účelnost</w:t>
            </w:r>
          </w:p>
        </w:tc>
        <w:tc>
          <w:tcPr>
            <w:tcW w:w="3947" w:type="dxa"/>
            <w:vAlign w:val="center"/>
          </w:tcPr>
          <w:p w14:paraId="61D6C77F" w14:textId="77777777" w:rsidR="00A6583A" w:rsidRPr="00F03A7B" w:rsidRDefault="00A6583A" w:rsidP="00AC26F2">
            <w:pPr>
              <w:pStyle w:val="A1-text"/>
              <w:shd w:val="clear" w:color="auto" w:fill="FFFFFF" w:themeFill="background1"/>
              <w:tabs>
                <w:tab w:val="clear" w:pos="284"/>
                <w:tab w:val="left" w:pos="-76"/>
              </w:tabs>
              <w:spacing w:after="0" w:line="240" w:lineRule="auto"/>
              <w:jc w:val="left"/>
              <w:rPr>
                <w:rFonts w:ascii="Calibri" w:hAnsi="Calibri"/>
                <w:sz w:val="22"/>
                <w:lang w:val="cs-CZ" w:eastAsia="cs-CZ"/>
              </w:rPr>
            </w:pPr>
            <w:r w:rsidRPr="00F03A7B">
              <w:rPr>
                <w:rFonts w:ascii="Calibri" w:hAnsi="Calibri"/>
                <w:sz w:val="22"/>
              </w:rPr>
              <w:t xml:space="preserve">Účelností </w:t>
            </w:r>
            <w:r w:rsidRPr="00F03A7B">
              <w:rPr>
                <w:rFonts w:ascii="Calibri" w:hAnsi="Calibri"/>
                <w:sz w:val="22"/>
                <w:lang w:val="cs-CZ" w:eastAsia="cs-CZ"/>
              </w:rPr>
              <w:t xml:space="preserve">se rozumí takové použití prostředků, které zajistí optimální míru dosažení cílů při plnění stanovených úkolů. </w:t>
            </w:r>
          </w:p>
        </w:tc>
        <w:tc>
          <w:tcPr>
            <w:tcW w:w="3634" w:type="dxa"/>
            <w:vAlign w:val="center"/>
          </w:tcPr>
          <w:p w14:paraId="07B0343F" w14:textId="04C642DC" w:rsidR="00A6583A" w:rsidRPr="00480F98" w:rsidRDefault="00A6583A" w:rsidP="00AC26F2">
            <w:pPr>
              <w:pStyle w:val="A1-text"/>
              <w:tabs>
                <w:tab w:val="clear" w:pos="284"/>
              </w:tabs>
              <w:spacing w:after="0" w:line="240" w:lineRule="auto"/>
              <w:jc w:val="left"/>
              <w:rPr>
                <w:rFonts w:asciiTheme="minorHAnsi" w:hAnsiTheme="minorHAnsi" w:cstheme="minorHAnsi"/>
                <w:sz w:val="22"/>
                <w:szCs w:val="22"/>
                <w:lang w:val="cs-CZ"/>
              </w:rPr>
            </w:pPr>
            <w:r w:rsidRPr="00F03A7B">
              <w:rPr>
                <w:rFonts w:ascii="Calibri" w:hAnsi="Calibri"/>
                <w:sz w:val="22"/>
              </w:rPr>
              <w:t xml:space="preserve">Příklady: </w:t>
            </w:r>
            <w:r w:rsidRPr="002C4517">
              <w:rPr>
                <w:rFonts w:asciiTheme="minorHAnsi" w:hAnsiTheme="minorHAnsi" w:cstheme="minorHAnsi"/>
                <w:sz w:val="22"/>
                <w:szCs w:val="22"/>
                <w:lang w:val="cs-CZ"/>
              </w:rPr>
              <w:t xml:space="preserve">(1) </w:t>
            </w:r>
            <w:r>
              <w:rPr>
                <w:rFonts w:asciiTheme="minorHAnsi" w:hAnsiTheme="minorHAnsi" w:cstheme="minorHAnsi"/>
                <w:sz w:val="22"/>
                <w:szCs w:val="22"/>
                <w:lang w:val="cs-CZ"/>
              </w:rPr>
              <w:t xml:space="preserve">soulad s cíli  (strategií) nebo posláním, </w:t>
            </w:r>
            <w:r w:rsidRPr="002C4517">
              <w:rPr>
                <w:rFonts w:asciiTheme="minorHAnsi" w:hAnsiTheme="minorHAnsi" w:cstheme="minorHAnsi"/>
                <w:sz w:val="22"/>
                <w:szCs w:val="22"/>
                <w:lang w:val="cs-CZ"/>
              </w:rPr>
              <w:t>(2) prokazatelné vyhodnocení potř</w:t>
            </w:r>
            <w:r>
              <w:rPr>
                <w:rFonts w:asciiTheme="minorHAnsi" w:hAnsiTheme="minorHAnsi" w:cstheme="minorHAnsi"/>
                <w:sz w:val="22"/>
                <w:szCs w:val="22"/>
                <w:lang w:val="cs-CZ"/>
              </w:rPr>
              <w:t>ebnosti výdajů a soulad s cíl</w:t>
            </w:r>
            <w:r w:rsidR="005F1674">
              <w:rPr>
                <w:rFonts w:asciiTheme="minorHAnsi" w:hAnsiTheme="minorHAnsi" w:cstheme="minorHAnsi"/>
                <w:sz w:val="22"/>
                <w:szCs w:val="22"/>
                <w:lang w:val="cs-CZ"/>
              </w:rPr>
              <w:t>i odvozených od vzniklé potřeby</w:t>
            </w:r>
            <w:r>
              <w:rPr>
                <w:rFonts w:asciiTheme="minorHAnsi" w:hAnsiTheme="minorHAnsi" w:cstheme="minorHAnsi"/>
                <w:sz w:val="22"/>
                <w:szCs w:val="22"/>
                <w:lang w:val="cs-CZ"/>
              </w:rPr>
              <w:t xml:space="preserve"> (např. pomocí analýzy)</w:t>
            </w:r>
          </w:p>
        </w:tc>
      </w:tr>
    </w:tbl>
    <w:p w14:paraId="29908E8F" w14:textId="61255375" w:rsidR="00A6583A" w:rsidRDefault="00A6583A" w:rsidP="00A6583A">
      <w:pPr>
        <w:pStyle w:val="A1-text"/>
        <w:spacing w:after="120"/>
        <w:rPr>
          <w:rFonts w:ascii="Calibri" w:hAnsi="Calibri"/>
          <w:i/>
          <w:iCs/>
          <w:lang w:val="cs-CZ"/>
        </w:rPr>
      </w:pPr>
      <w:r w:rsidRPr="00DC7F02">
        <w:rPr>
          <w:rFonts w:ascii="Calibri" w:hAnsi="Calibri"/>
          <w:i/>
          <w:iCs/>
          <w:lang w:val="cs-CZ"/>
        </w:rPr>
        <w:t xml:space="preserve">Zdroj: </w:t>
      </w:r>
      <w:r>
        <w:rPr>
          <w:rFonts w:ascii="Calibri" w:hAnsi="Calibri"/>
          <w:i/>
          <w:iCs/>
          <w:lang w:val="cs-CZ"/>
        </w:rPr>
        <w:t>Půček, Páleníková (2022</w:t>
      </w:r>
      <w:r w:rsidR="0010514F">
        <w:rPr>
          <w:rFonts w:ascii="Calibri" w:hAnsi="Calibri"/>
          <w:i/>
          <w:iCs/>
          <w:lang w:val="cs-CZ"/>
        </w:rPr>
        <w:t>a</w:t>
      </w:r>
      <w:r>
        <w:rPr>
          <w:rFonts w:ascii="Calibri" w:hAnsi="Calibri"/>
          <w:i/>
          <w:iCs/>
          <w:lang w:val="cs-CZ"/>
        </w:rPr>
        <w:t>)</w:t>
      </w:r>
    </w:p>
    <w:p w14:paraId="6A3A93E8" w14:textId="5FA33949" w:rsidR="00DE58AE" w:rsidRDefault="00DE58AE" w:rsidP="00DE58AE">
      <w:pPr>
        <w:jc w:val="both"/>
        <w:rPr>
          <w:rFonts w:ascii="Calibri" w:hAnsi="Calibri"/>
        </w:rPr>
      </w:pPr>
      <w:r w:rsidRPr="00DE58AE">
        <w:rPr>
          <w:rFonts w:ascii="Calibri" w:hAnsi="Calibri"/>
        </w:rPr>
        <w:t>V kapitole 10 jsou uvedeny příklady prověřování 3E ve vazbě na strategickou práci.</w:t>
      </w:r>
      <w:r>
        <w:rPr>
          <w:rFonts w:ascii="Calibri" w:hAnsi="Calibri"/>
        </w:rPr>
        <w:t xml:space="preserve"> </w:t>
      </w:r>
      <w:r w:rsidRPr="00DE58AE">
        <w:rPr>
          <w:rFonts w:ascii="Calibri" w:hAnsi="Calibri"/>
        </w:rPr>
        <w:t>Jde o příjem z pronájmu nebytových prostor, veřejnou zakázku na stavební projekt týkající se parkoviště, projekt zateplení budovy, nákup počítačů. V kapitole 10 je též příklad postupu (workflow) v rámci předběžné finanční kontroly – musí proběhnout jak prověření 3E, tak rizik.</w:t>
      </w:r>
    </w:p>
    <w:p w14:paraId="13D98C19" w14:textId="7DB81D6B" w:rsidR="00AC27E2" w:rsidRDefault="00AC27E2" w:rsidP="00DE58AE">
      <w:pPr>
        <w:jc w:val="both"/>
        <w:rPr>
          <w:rFonts w:ascii="Calibri" w:hAnsi="Calibri"/>
        </w:rPr>
      </w:pPr>
    </w:p>
    <w:p w14:paraId="18F8807C" w14:textId="08178549" w:rsidR="00EE4B88" w:rsidRPr="00875923" w:rsidRDefault="00EE4B88" w:rsidP="00EE4B88">
      <w:pPr>
        <w:pStyle w:val="Nadpis2"/>
        <w:spacing w:before="240" w:after="120"/>
        <w:ind w:left="578" w:hanging="578"/>
        <w:rPr>
          <w:rFonts w:asciiTheme="minorHAnsi" w:hAnsiTheme="minorHAnsi" w:cstheme="minorHAnsi"/>
          <w:color w:val="7493B0"/>
          <w:sz w:val="24"/>
          <w:szCs w:val="24"/>
          <w:lang w:val="cs-CZ"/>
        </w:rPr>
      </w:pPr>
      <w:bookmarkStart w:id="9" w:name="_Toc117269983"/>
      <w:bookmarkStart w:id="10" w:name="_Toc78206015"/>
      <w:r w:rsidRPr="00875923">
        <w:rPr>
          <w:rFonts w:asciiTheme="minorHAnsi" w:hAnsiTheme="minorHAnsi" w:cstheme="minorHAnsi"/>
          <w:color w:val="7493B0"/>
          <w:sz w:val="24"/>
          <w:szCs w:val="24"/>
          <w:lang w:val="cs-CZ"/>
        </w:rPr>
        <w:t xml:space="preserve">Finanční kontrola </w:t>
      </w:r>
      <w:r w:rsidR="00874F70">
        <w:rPr>
          <w:rFonts w:asciiTheme="minorHAnsi" w:hAnsiTheme="minorHAnsi" w:cstheme="minorHAnsi"/>
          <w:color w:val="7493B0"/>
          <w:sz w:val="24"/>
          <w:szCs w:val="24"/>
          <w:lang w:val="cs-CZ"/>
        </w:rPr>
        <w:t>dle zákona o finanční kontrole</w:t>
      </w:r>
      <w:bookmarkEnd w:id="9"/>
    </w:p>
    <w:bookmarkEnd w:id="10"/>
    <w:p w14:paraId="1C24E3D2" w14:textId="42920306" w:rsidR="00CB5962" w:rsidRDefault="005B39BF" w:rsidP="00CB5962">
      <w:pPr>
        <w:pStyle w:val="Odstavecseseznamem"/>
        <w:ind w:left="0"/>
        <w:jc w:val="both"/>
        <w:rPr>
          <w:rFonts w:ascii="Calibri" w:hAnsi="Calibri"/>
        </w:rPr>
      </w:pPr>
      <w:r>
        <w:rPr>
          <w:rFonts w:ascii="Calibri" w:hAnsi="Calibri"/>
        </w:rPr>
        <w:t xml:space="preserve">Zásadní zákon ve vazbě na </w:t>
      </w:r>
      <w:r w:rsidR="00A447BA">
        <w:rPr>
          <w:rFonts w:ascii="Calibri" w:hAnsi="Calibri"/>
        </w:rPr>
        <w:t>strategickou práci</w:t>
      </w:r>
      <w:r>
        <w:rPr>
          <w:rFonts w:ascii="Calibri" w:hAnsi="Calibri"/>
        </w:rPr>
        <w:t xml:space="preserve"> je </w:t>
      </w:r>
      <w:r w:rsidRPr="00E94AD5">
        <w:rPr>
          <w:rFonts w:ascii="Calibri" w:hAnsi="Calibri"/>
          <w:b/>
        </w:rPr>
        <w:t>zákon o finanční kontrole</w:t>
      </w:r>
      <w:r>
        <w:rPr>
          <w:rFonts w:ascii="Calibri" w:hAnsi="Calibri"/>
        </w:rPr>
        <w:t xml:space="preserve">. </w:t>
      </w:r>
      <w:r w:rsidR="00992918">
        <w:rPr>
          <w:rFonts w:ascii="Calibri" w:hAnsi="Calibri"/>
        </w:rPr>
        <w:t>Zákon o finanční kontrole jasně popisuje problematiku hospodárnosti, efektivnosti a účelnosti. Tento z</w:t>
      </w:r>
      <w:r w:rsidR="00874F70">
        <w:rPr>
          <w:rFonts w:ascii="Calibri" w:hAnsi="Calibri"/>
        </w:rPr>
        <w:t xml:space="preserve">ákon se vztahuje na jakékoli nakládání s veřejnými prostředky, tedy i na nakládání s veřejnými prostředky v souladu s veřejnou strategií nebo v rámci strategické práce. </w:t>
      </w:r>
      <w:r w:rsidR="00CB5962" w:rsidRPr="00E94AD5">
        <w:rPr>
          <w:rFonts w:ascii="Calibri" w:hAnsi="Calibri"/>
          <w:b/>
        </w:rPr>
        <w:t xml:space="preserve">Vnitřní kontrolní systém </w:t>
      </w:r>
      <w:r w:rsidR="00CB5962">
        <w:rPr>
          <w:rFonts w:ascii="Calibri" w:hAnsi="Calibri"/>
        </w:rPr>
        <w:t xml:space="preserve">(včetně </w:t>
      </w:r>
      <w:r>
        <w:rPr>
          <w:rFonts w:ascii="Calibri" w:hAnsi="Calibri"/>
        </w:rPr>
        <w:t xml:space="preserve">řízení rizik a </w:t>
      </w:r>
      <w:r w:rsidR="00CB5962">
        <w:rPr>
          <w:rFonts w:ascii="Calibri" w:hAnsi="Calibri"/>
        </w:rPr>
        <w:t xml:space="preserve">prověření kritérií </w:t>
      </w:r>
      <w:r>
        <w:rPr>
          <w:rFonts w:ascii="Calibri" w:hAnsi="Calibri"/>
        </w:rPr>
        <w:t>hospodárnosti, efektivnosti a účelnosti</w:t>
      </w:r>
      <w:r w:rsidR="00CB5962">
        <w:rPr>
          <w:rFonts w:ascii="Calibri" w:hAnsi="Calibri"/>
        </w:rPr>
        <w:t>) musí být dle zákona vytvořen v každé instituci veřejného sektoru. Odpovědnost za jeho vytvoření a funkčnost nese</w:t>
      </w:r>
      <w:r w:rsidR="00992918">
        <w:rPr>
          <w:rFonts w:ascii="Calibri" w:hAnsi="Calibri"/>
        </w:rPr>
        <w:t xml:space="preserve"> vedoucí orgánu veřejné správy</w:t>
      </w:r>
      <w:r w:rsidR="00992918">
        <w:rPr>
          <w:rStyle w:val="Znakapoznpodarou"/>
          <w:rFonts w:ascii="Calibri" w:hAnsi="Calibri"/>
        </w:rPr>
        <w:footnoteReference w:id="10"/>
      </w:r>
      <w:r w:rsidR="00CB5962">
        <w:rPr>
          <w:rFonts w:ascii="Calibri" w:hAnsi="Calibri"/>
        </w:rPr>
        <w:t xml:space="preserve">. Vytvoření vnitřního kontrolního systému a jeho funkčnost je možné považovat za zastřešující prvek systému prověření kritérií 3E a snižování rizik (viz následující obrázek). V souladu se zákonem </w:t>
      </w:r>
      <w:r w:rsidR="00992918">
        <w:rPr>
          <w:rFonts w:ascii="Calibri" w:hAnsi="Calibri"/>
        </w:rPr>
        <w:t xml:space="preserve">o finanční kontrole </w:t>
      </w:r>
      <w:r w:rsidR="00CB5962">
        <w:rPr>
          <w:rFonts w:ascii="Calibri" w:hAnsi="Calibri"/>
        </w:rPr>
        <w:t xml:space="preserve">tak musí být </w:t>
      </w:r>
    </w:p>
    <w:p w14:paraId="326FEDAC" w14:textId="657D56AD" w:rsidR="00BA6C7F" w:rsidRDefault="00BA6C7F" w:rsidP="0065698B">
      <w:pPr>
        <w:pStyle w:val="Odstavecseseznamem"/>
        <w:numPr>
          <w:ilvl w:val="0"/>
          <w:numId w:val="15"/>
        </w:numPr>
        <w:jc w:val="both"/>
        <w:rPr>
          <w:rFonts w:ascii="Calibri" w:hAnsi="Calibri"/>
        </w:rPr>
      </w:pPr>
      <w:r>
        <w:rPr>
          <w:rFonts w:ascii="Calibri" w:hAnsi="Calibri"/>
        </w:rPr>
        <w:lastRenderedPageBreak/>
        <w:t>zjišťována</w:t>
      </w:r>
      <w:r w:rsidRPr="00F42B9D">
        <w:rPr>
          <w:rFonts w:ascii="Calibri" w:hAnsi="Calibri"/>
        </w:rPr>
        <w:t xml:space="preserve">, vyhodnocována a minimalizována </w:t>
      </w:r>
      <w:r>
        <w:rPr>
          <w:rFonts w:ascii="Calibri" w:hAnsi="Calibri"/>
        </w:rPr>
        <w:t>rizika,</w:t>
      </w:r>
    </w:p>
    <w:p w14:paraId="4E44B858" w14:textId="2A971200" w:rsidR="00CB5962" w:rsidRPr="005D3046" w:rsidRDefault="00CB5962" w:rsidP="0065698B">
      <w:pPr>
        <w:pStyle w:val="Odstavecseseznamem"/>
        <w:numPr>
          <w:ilvl w:val="0"/>
          <w:numId w:val="15"/>
        </w:numPr>
        <w:jc w:val="both"/>
        <w:rPr>
          <w:rFonts w:asciiTheme="minorHAnsi" w:hAnsiTheme="minorHAnsi"/>
        </w:rPr>
      </w:pPr>
      <w:r w:rsidRPr="005D3046">
        <w:rPr>
          <w:rFonts w:asciiTheme="minorHAnsi" w:hAnsiTheme="minorHAnsi" w:cstheme="minorHAnsi"/>
        </w:rPr>
        <w:t xml:space="preserve">vytvářeny podmínky pro hospodárný, efektivní a účelný výkon veřejné správy, </w:t>
      </w:r>
    </w:p>
    <w:p w14:paraId="3D60E5A1" w14:textId="77777777" w:rsidR="00CB5962" w:rsidRPr="005D3046" w:rsidRDefault="00CB5962" w:rsidP="0065698B">
      <w:pPr>
        <w:pStyle w:val="Odstavecseseznamem"/>
        <w:numPr>
          <w:ilvl w:val="0"/>
          <w:numId w:val="15"/>
        </w:numPr>
        <w:jc w:val="both"/>
        <w:rPr>
          <w:rFonts w:asciiTheme="minorHAnsi" w:hAnsiTheme="minorHAnsi"/>
        </w:rPr>
      </w:pPr>
      <w:r w:rsidRPr="005D3046">
        <w:rPr>
          <w:rFonts w:asciiTheme="minorHAnsi" w:hAnsiTheme="minorHAnsi" w:cstheme="minorHAnsi"/>
        </w:rPr>
        <w:t xml:space="preserve">zajištěna ochrana veřejných prostředků proti nehospodárným, neúčelným a neefektivním nakládáním s veřejnými prostředky nebo trestnou činností, </w:t>
      </w:r>
    </w:p>
    <w:p w14:paraId="49562D46" w14:textId="2E6C7A10" w:rsidR="00CB5962" w:rsidRPr="005D3046" w:rsidRDefault="00CB5962" w:rsidP="0065698B">
      <w:pPr>
        <w:pStyle w:val="Odstavecseseznamem"/>
        <w:numPr>
          <w:ilvl w:val="0"/>
          <w:numId w:val="15"/>
        </w:numPr>
        <w:jc w:val="both"/>
        <w:rPr>
          <w:rFonts w:asciiTheme="minorHAnsi" w:hAnsiTheme="minorHAnsi"/>
        </w:rPr>
      </w:pPr>
      <w:r w:rsidRPr="005D3046">
        <w:rPr>
          <w:rFonts w:asciiTheme="minorHAnsi" w:hAnsiTheme="minorHAnsi" w:cstheme="minorHAnsi"/>
        </w:rPr>
        <w:t xml:space="preserve">u konkrétního nakládání s veřejnými prostředky prověřena </w:t>
      </w:r>
      <w:r w:rsidRPr="005D3046">
        <w:rPr>
          <w:rFonts w:asciiTheme="minorHAnsi" w:hAnsiTheme="minorHAnsi"/>
        </w:rPr>
        <w:t>správnost operace v</w:t>
      </w:r>
      <w:r w:rsidR="00A447BA">
        <w:rPr>
          <w:rFonts w:asciiTheme="minorHAnsi" w:hAnsiTheme="minorHAnsi"/>
        </w:rPr>
        <w:t>e vztahu k dodržení kritérií 3E – příklady jsou v kapitole 10.</w:t>
      </w:r>
    </w:p>
    <w:p w14:paraId="0A13C3D4" w14:textId="4DAEBBBB" w:rsidR="00CB5962" w:rsidRDefault="00992918" w:rsidP="00CB5962">
      <w:pPr>
        <w:pStyle w:val="Odstavecseseznamem"/>
        <w:ind w:left="0"/>
        <w:jc w:val="both"/>
        <w:rPr>
          <w:rFonts w:ascii="Calibri" w:hAnsi="Calibri"/>
        </w:rPr>
      </w:pPr>
      <w:r w:rsidRPr="00E94AD5">
        <w:rPr>
          <w:rFonts w:ascii="Calibri" w:hAnsi="Calibri"/>
          <w:b/>
        </w:rPr>
        <w:t>P</w:t>
      </w:r>
      <w:r w:rsidR="00CB5962" w:rsidRPr="00E94AD5">
        <w:rPr>
          <w:rFonts w:ascii="Calibri" w:hAnsi="Calibri"/>
          <w:b/>
        </w:rPr>
        <w:t>rověřování kritérií 3E probíhá</w:t>
      </w:r>
      <w:r w:rsidR="00CB5962">
        <w:rPr>
          <w:rFonts w:ascii="Calibri" w:hAnsi="Calibri"/>
        </w:rPr>
        <w:t xml:space="preserve"> (obdobně jako řízení rizik):</w:t>
      </w:r>
    </w:p>
    <w:p w14:paraId="334C56FC" w14:textId="77777777" w:rsidR="00CB5962" w:rsidRDefault="00CB5962" w:rsidP="0065698B">
      <w:pPr>
        <w:pStyle w:val="Odstavecseseznamem"/>
        <w:numPr>
          <w:ilvl w:val="0"/>
          <w:numId w:val="16"/>
        </w:numPr>
        <w:jc w:val="both"/>
        <w:rPr>
          <w:rFonts w:ascii="Calibri" w:hAnsi="Calibri"/>
          <w:iCs/>
        </w:rPr>
      </w:pPr>
      <w:r w:rsidRPr="00F128B9">
        <w:rPr>
          <w:rFonts w:ascii="Calibri" w:hAnsi="Calibri"/>
          <w:iCs/>
        </w:rPr>
        <w:t xml:space="preserve">V rámci </w:t>
      </w:r>
      <w:r w:rsidRPr="007B2A30">
        <w:rPr>
          <w:rFonts w:ascii="Calibri" w:hAnsi="Calibri"/>
          <w:b/>
          <w:iCs/>
        </w:rPr>
        <w:t>průběžné a následné kontroly</w:t>
      </w:r>
      <w:r>
        <w:rPr>
          <w:rFonts w:ascii="Calibri" w:hAnsi="Calibri"/>
          <w:b/>
          <w:iCs/>
        </w:rPr>
        <w:t>:</w:t>
      </w:r>
      <w:r>
        <w:rPr>
          <w:rFonts w:ascii="Calibri" w:hAnsi="Calibri"/>
          <w:iCs/>
        </w:rPr>
        <w:t xml:space="preserve"> Může</w:t>
      </w:r>
      <w:r w:rsidRPr="00F128B9">
        <w:rPr>
          <w:rFonts w:ascii="Calibri" w:hAnsi="Calibri"/>
          <w:iCs/>
        </w:rPr>
        <w:t xml:space="preserve"> se týkat </w:t>
      </w:r>
    </w:p>
    <w:p w14:paraId="12B1D984" w14:textId="77777777" w:rsidR="00CB5962" w:rsidRDefault="00CB5962" w:rsidP="0065698B">
      <w:pPr>
        <w:pStyle w:val="Odstavecseseznamem"/>
        <w:numPr>
          <w:ilvl w:val="1"/>
          <w:numId w:val="16"/>
        </w:numPr>
        <w:jc w:val="both"/>
        <w:rPr>
          <w:rFonts w:ascii="Calibri" w:hAnsi="Calibri"/>
          <w:iCs/>
        </w:rPr>
      </w:pPr>
      <w:r w:rsidRPr="00F128B9">
        <w:rPr>
          <w:rFonts w:ascii="Calibri" w:hAnsi="Calibri"/>
          <w:iCs/>
        </w:rPr>
        <w:t xml:space="preserve">jedné operace – například </w:t>
      </w:r>
      <w:r>
        <w:rPr>
          <w:rFonts w:ascii="Calibri" w:hAnsi="Calibri"/>
          <w:iCs/>
        </w:rPr>
        <w:t>prověříme kritéria 3E konkrétní veřejné zakázky;</w:t>
      </w:r>
    </w:p>
    <w:p w14:paraId="4BF259DF" w14:textId="4A42A19A" w:rsidR="00CB5962" w:rsidRDefault="00874F70" w:rsidP="0065698B">
      <w:pPr>
        <w:pStyle w:val="Odstavecseseznamem"/>
        <w:numPr>
          <w:ilvl w:val="1"/>
          <w:numId w:val="16"/>
        </w:numPr>
        <w:jc w:val="both"/>
        <w:rPr>
          <w:rFonts w:ascii="Calibri" w:hAnsi="Calibri"/>
          <w:iCs/>
        </w:rPr>
      </w:pPr>
      <w:r>
        <w:rPr>
          <w:rFonts w:ascii="Calibri" w:hAnsi="Calibri"/>
          <w:iCs/>
        </w:rPr>
        <w:t xml:space="preserve">více operací – například </w:t>
      </w:r>
      <w:r w:rsidR="00CB5962">
        <w:rPr>
          <w:rFonts w:ascii="Calibri" w:hAnsi="Calibri"/>
          <w:iCs/>
        </w:rPr>
        <w:t>prověříme kritéria 3E</w:t>
      </w:r>
      <w:r w:rsidR="00CB5962" w:rsidRPr="00F128B9">
        <w:rPr>
          <w:rFonts w:ascii="Calibri" w:hAnsi="Calibri"/>
          <w:iCs/>
        </w:rPr>
        <w:t xml:space="preserve"> všech veřejných zakázek malého rozsahu n</w:t>
      </w:r>
      <w:r w:rsidR="00CB5962">
        <w:rPr>
          <w:rFonts w:ascii="Calibri" w:hAnsi="Calibri"/>
          <w:iCs/>
        </w:rPr>
        <w:t>a stavební práce za dané období</w:t>
      </w:r>
      <w:r w:rsidR="00CB5962" w:rsidRPr="00F128B9">
        <w:rPr>
          <w:rFonts w:ascii="Calibri" w:hAnsi="Calibri"/>
          <w:iCs/>
        </w:rPr>
        <w:t xml:space="preserve">. </w:t>
      </w:r>
    </w:p>
    <w:p w14:paraId="0272E94F" w14:textId="19F63F16" w:rsidR="00992918" w:rsidRDefault="00CB5962" w:rsidP="00CB5962">
      <w:pPr>
        <w:ind w:left="663"/>
        <w:jc w:val="both"/>
        <w:rPr>
          <w:rFonts w:ascii="Calibri" w:hAnsi="Calibri"/>
          <w:iCs/>
        </w:rPr>
      </w:pPr>
      <w:r w:rsidRPr="005D3046">
        <w:rPr>
          <w:rFonts w:ascii="Calibri" w:hAnsi="Calibri"/>
          <w:iCs/>
        </w:rPr>
        <w:t>V následujícím obrázku je tato činnost zanesena jako první pilíř pro prověření kritérií 3E</w:t>
      </w:r>
      <w:r w:rsidR="00992918">
        <w:rPr>
          <w:rFonts w:ascii="Calibri" w:hAnsi="Calibri"/>
          <w:iCs/>
        </w:rPr>
        <w:t xml:space="preserve"> nebo snižování rizik</w:t>
      </w:r>
      <w:r w:rsidRPr="005D3046">
        <w:rPr>
          <w:rFonts w:ascii="Calibri" w:hAnsi="Calibri"/>
          <w:iCs/>
        </w:rPr>
        <w:t>. Za první pilíř je jej</w:t>
      </w:r>
      <w:r w:rsidR="00992918">
        <w:rPr>
          <w:rFonts w:ascii="Calibri" w:hAnsi="Calibri"/>
          <w:iCs/>
        </w:rPr>
        <w:t xml:space="preserve"> možné považovat ze dvou důvodů:</w:t>
      </w:r>
    </w:p>
    <w:p w14:paraId="2215CAF1" w14:textId="7C2054F0" w:rsidR="00992918" w:rsidRDefault="00992918" w:rsidP="0065698B">
      <w:pPr>
        <w:pStyle w:val="Odstavecseseznamem"/>
        <w:numPr>
          <w:ilvl w:val="1"/>
          <w:numId w:val="16"/>
        </w:numPr>
        <w:jc w:val="both"/>
        <w:rPr>
          <w:rFonts w:ascii="Calibri" w:hAnsi="Calibri"/>
          <w:iCs/>
        </w:rPr>
      </w:pPr>
      <w:r>
        <w:rPr>
          <w:rFonts w:ascii="Calibri" w:hAnsi="Calibri"/>
          <w:iCs/>
        </w:rPr>
        <w:t xml:space="preserve">Zaprvé: </w:t>
      </w:r>
      <w:r w:rsidR="00CB5962" w:rsidRPr="005D3046">
        <w:rPr>
          <w:rFonts w:ascii="Calibri" w:hAnsi="Calibri"/>
          <w:iCs/>
        </w:rPr>
        <w:t xml:space="preserve">podílejí se na něm ze zákona všichni vedoucí zaměstnanci dle svých pravomocí, </w:t>
      </w:r>
    </w:p>
    <w:p w14:paraId="2B6E8D57" w14:textId="7F6762CF" w:rsidR="00CB5962" w:rsidRPr="005D3046" w:rsidRDefault="00992918" w:rsidP="0065698B">
      <w:pPr>
        <w:pStyle w:val="Odstavecseseznamem"/>
        <w:numPr>
          <w:ilvl w:val="1"/>
          <w:numId w:val="16"/>
        </w:numPr>
        <w:jc w:val="both"/>
        <w:rPr>
          <w:rFonts w:ascii="Calibri" w:hAnsi="Calibri"/>
          <w:iCs/>
        </w:rPr>
      </w:pPr>
      <w:r>
        <w:rPr>
          <w:rFonts w:ascii="Calibri" w:hAnsi="Calibri"/>
          <w:iCs/>
        </w:rPr>
        <w:t xml:space="preserve">Zadruhé: </w:t>
      </w:r>
      <w:r w:rsidR="00CB5962" w:rsidRPr="005D3046">
        <w:rPr>
          <w:rFonts w:ascii="Calibri" w:hAnsi="Calibri"/>
          <w:iCs/>
        </w:rPr>
        <w:t>mělo by jít ze strany všech vedoucích zaměstnanců o soustavnou systematickou činnost vztahující se k jejich náplni práce (nejde tedy o nic jednorázového jako u kontroly konkrétní operace v rámci předběžná kontroly).</w:t>
      </w:r>
    </w:p>
    <w:p w14:paraId="32021936" w14:textId="77777777" w:rsidR="00992918" w:rsidRDefault="00CB5962" w:rsidP="0065698B">
      <w:pPr>
        <w:pStyle w:val="Odstavecseseznamem"/>
        <w:numPr>
          <w:ilvl w:val="0"/>
          <w:numId w:val="16"/>
        </w:numPr>
        <w:jc w:val="both"/>
        <w:rPr>
          <w:rFonts w:ascii="Calibri" w:hAnsi="Calibri"/>
          <w:iCs/>
        </w:rPr>
      </w:pPr>
      <w:r>
        <w:rPr>
          <w:rFonts w:ascii="Calibri" w:hAnsi="Calibri"/>
          <w:iCs/>
        </w:rPr>
        <w:t xml:space="preserve">V rámci </w:t>
      </w:r>
      <w:r w:rsidRPr="007B2A30">
        <w:rPr>
          <w:rFonts w:ascii="Calibri" w:hAnsi="Calibri"/>
          <w:b/>
          <w:iCs/>
        </w:rPr>
        <w:t>předběžné kontroly</w:t>
      </w:r>
      <w:r>
        <w:rPr>
          <w:rFonts w:ascii="Calibri" w:hAnsi="Calibri"/>
          <w:b/>
          <w:iCs/>
        </w:rPr>
        <w:t>:</w:t>
      </w:r>
      <w:r>
        <w:rPr>
          <w:rFonts w:ascii="Calibri" w:hAnsi="Calibri"/>
          <w:iCs/>
        </w:rPr>
        <w:t xml:space="preserve"> Jde o prověření kritérií 3E</w:t>
      </w:r>
      <w:r w:rsidRPr="00F128B9">
        <w:rPr>
          <w:rFonts w:ascii="Calibri" w:hAnsi="Calibri"/>
          <w:iCs/>
        </w:rPr>
        <w:t xml:space="preserve"> </w:t>
      </w:r>
      <w:r w:rsidR="00992918">
        <w:rPr>
          <w:rFonts w:ascii="Calibri" w:hAnsi="Calibri"/>
          <w:iCs/>
        </w:rPr>
        <w:t xml:space="preserve">nebo rizik </w:t>
      </w:r>
      <w:r>
        <w:rPr>
          <w:rFonts w:ascii="Calibri" w:hAnsi="Calibri"/>
          <w:iCs/>
        </w:rPr>
        <w:t xml:space="preserve">ve vztahu ke konkrétní operaci – výdaj, příjem či jiné nakládání s veřejnými prostředky před vznikem závazku (výdaj) nebo pohledávky (příjem). </w:t>
      </w:r>
      <w:r w:rsidRPr="00F128B9">
        <w:rPr>
          <w:rFonts w:ascii="Calibri" w:hAnsi="Calibri"/>
          <w:iCs/>
        </w:rPr>
        <w:t xml:space="preserve">V následujícím obrázku je tato činnost zanesena jako </w:t>
      </w:r>
      <w:r>
        <w:rPr>
          <w:rFonts w:ascii="Calibri" w:hAnsi="Calibri"/>
          <w:iCs/>
        </w:rPr>
        <w:t>druhý</w:t>
      </w:r>
      <w:r w:rsidRPr="00F128B9">
        <w:rPr>
          <w:rFonts w:ascii="Calibri" w:hAnsi="Calibri"/>
          <w:iCs/>
        </w:rPr>
        <w:t xml:space="preserve"> pilíř pro </w:t>
      </w:r>
      <w:r>
        <w:rPr>
          <w:rFonts w:ascii="Calibri" w:hAnsi="Calibri"/>
          <w:iCs/>
        </w:rPr>
        <w:t>prověření kritérií 3E</w:t>
      </w:r>
      <w:r w:rsidR="00992918">
        <w:rPr>
          <w:rFonts w:ascii="Calibri" w:hAnsi="Calibri"/>
          <w:iCs/>
        </w:rPr>
        <w:t xml:space="preserve"> nebo snižování rizik</w:t>
      </w:r>
      <w:r w:rsidRPr="00F128B9">
        <w:rPr>
          <w:rFonts w:ascii="Calibri" w:hAnsi="Calibri"/>
          <w:iCs/>
        </w:rPr>
        <w:t>.</w:t>
      </w:r>
      <w:r>
        <w:rPr>
          <w:rFonts w:ascii="Calibri" w:hAnsi="Calibri"/>
          <w:iCs/>
        </w:rPr>
        <w:t xml:space="preserve"> </w:t>
      </w:r>
      <w:r w:rsidR="00992918">
        <w:rPr>
          <w:rFonts w:ascii="Calibri" w:hAnsi="Calibri"/>
          <w:iCs/>
        </w:rPr>
        <w:t>3E</w:t>
      </w:r>
      <w:r>
        <w:rPr>
          <w:rFonts w:ascii="Calibri" w:hAnsi="Calibri"/>
          <w:iCs/>
        </w:rPr>
        <w:t xml:space="preserve"> je třeba hodnotit u každé operace a činnost provádí určený příkazce operace. Předběžná </w:t>
      </w:r>
      <w:r w:rsidR="00992918">
        <w:rPr>
          <w:rFonts w:ascii="Calibri" w:hAnsi="Calibri"/>
          <w:iCs/>
        </w:rPr>
        <w:t>kontrola se dělí na dvě fáze:</w:t>
      </w:r>
    </w:p>
    <w:p w14:paraId="20371D12" w14:textId="15200871" w:rsidR="00B05EBC" w:rsidRPr="00A447BA" w:rsidRDefault="00CB5962" w:rsidP="0065698B">
      <w:pPr>
        <w:pStyle w:val="Odstavecseseznamem"/>
        <w:numPr>
          <w:ilvl w:val="1"/>
          <w:numId w:val="16"/>
        </w:numPr>
        <w:jc w:val="both"/>
        <w:rPr>
          <w:rFonts w:ascii="Calibri" w:hAnsi="Calibri"/>
          <w:iCs/>
        </w:rPr>
      </w:pPr>
      <w:r w:rsidRPr="00A447BA">
        <w:rPr>
          <w:rFonts w:ascii="Calibri" w:hAnsi="Calibri"/>
          <w:iCs/>
        </w:rPr>
        <w:t>První fáze probíhá u připravované operace</w:t>
      </w:r>
      <w:r w:rsidRPr="00A447BA">
        <w:rPr>
          <w:rStyle w:val="Znakapoznpodarou"/>
          <w:rFonts w:ascii="Calibri" w:hAnsi="Calibri"/>
          <w:iCs/>
        </w:rPr>
        <w:footnoteReference w:id="11"/>
      </w:r>
      <w:r w:rsidRPr="00A447BA">
        <w:rPr>
          <w:rFonts w:ascii="Calibri" w:hAnsi="Calibri"/>
          <w:iCs/>
        </w:rPr>
        <w:t xml:space="preserve"> před vznikem závazku (např</w:t>
      </w:r>
      <w:r w:rsidR="00B05EBC" w:rsidRPr="00A447BA">
        <w:rPr>
          <w:rFonts w:ascii="Calibri" w:hAnsi="Calibri"/>
          <w:iCs/>
        </w:rPr>
        <w:t>.</w:t>
      </w:r>
      <w:r w:rsidRPr="00A447BA">
        <w:rPr>
          <w:rFonts w:ascii="Calibri" w:hAnsi="Calibri"/>
          <w:iCs/>
        </w:rPr>
        <w:t xml:space="preserve"> před podpisem smlouvy, před vyhlášením veřejné zakázky). </w:t>
      </w:r>
      <w:r w:rsidR="00112F72" w:rsidRPr="00A447BA">
        <w:rPr>
          <w:rFonts w:ascii="Calibri" w:hAnsi="Calibri"/>
          <w:iCs/>
        </w:rPr>
        <w:t>Příklad p</w:t>
      </w:r>
      <w:r w:rsidRPr="00A447BA">
        <w:rPr>
          <w:rFonts w:ascii="Calibri" w:hAnsi="Calibri"/>
          <w:iCs/>
        </w:rPr>
        <w:t>ostup</w:t>
      </w:r>
      <w:r w:rsidR="00112F72" w:rsidRPr="00A447BA">
        <w:rPr>
          <w:rFonts w:ascii="Calibri" w:hAnsi="Calibri"/>
          <w:iCs/>
        </w:rPr>
        <w:t>u</w:t>
      </w:r>
      <w:r w:rsidRPr="00A447BA">
        <w:rPr>
          <w:rFonts w:ascii="Calibri" w:hAnsi="Calibri"/>
          <w:iCs/>
        </w:rPr>
        <w:t xml:space="preserve"> první fáze předběžné kontroly byl též zobrazen pomocí vývojového diagramu v</w:t>
      </w:r>
      <w:r w:rsidR="00A447BA" w:rsidRPr="00A447BA">
        <w:rPr>
          <w:rFonts w:ascii="Calibri" w:hAnsi="Calibri"/>
          <w:iCs/>
        </w:rPr>
        <w:t> </w:t>
      </w:r>
      <w:r w:rsidRPr="00A447BA">
        <w:rPr>
          <w:rFonts w:ascii="Calibri" w:hAnsi="Calibri"/>
          <w:iCs/>
        </w:rPr>
        <w:t>kap</w:t>
      </w:r>
      <w:r w:rsidR="00A447BA" w:rsidRPr="00A447BA">
        <w:rPr>
          <w:rFonts w:ascii="Calibri" w:hAnsi="Calibri"/>
          <w:iCs/>
        </w:rPr>
        <w:t>itole 10</w:t>
      </w:r>
      <w:r w:rsidRPr="00A447BA">
        <w:rPr>
          <w:rFonts w:ascii="Calibri" w:hAnsi="Calibri"/>
          <w:iCs/>
        </w:rPr>
        <w:t>.</w:t>
      </w:r>
      <w:r w:rsidR="009F0A7C">
        <w:rPr>
          <w:rFonts w:ascii="Calibri" w:hAnsi="Calibri"/>
          <w:iCs/>
        </w:rPr>
        <w:t>7.</w:t>
      </w:r>
    </w:p>
    <w:p w14:paraId="4B310777" w14:textId="1BDA4934" w:rsidR="00CB5962" w:rsidRPr="00A447BA" w:rsidRDefault="00CB5962" w:rsidP="0065698B">
      <w:pPr>
        <w:pStyle w:val="Odstavecseseznamem"/>
        <w:numPr>
          <w:ilvl w:val="1"/>
          <w:numId w:val="16"/>
        </w:numPr>
        <w:jc w:val="both"/>
        <w:rPr>
          <w:rFonts w:ascii="Calibri" w:hAnsi="Calibri"/>
          <w:iCs/>
        </w:rPr>
      </w:pPr>
      <w:r w:rsidRPr="00A447BA">
        <w:rPr>
          <w:rFonts w:ascii="Calibri" w:hAnsi="Calibri"/>
          <w:iCs/>
        </w:rPr>
        <w:t>Druhá fáze probíhá před samotnou úhradou.</w:t>
      </w:r>
    </w:p>
    <w:p w14:paraId="32F8374C" w14:textId="721DF671" w:rsidR="00CB5962" w:rsidRDefault="00CB5962" w:rsidP="0065698B">
      <w:pPr>
        <w:pStyle w:val="Odstavecseseznamem"/>
        <w:numPr>
          <w:ilvl w:val="0"/>
          <w:numId w:val="16"/>
        </w:numPr>
        <w:jc w:val="both"/>
        <w:rPr>
          <w:rFonts w:ascii="Calibri" w:hAnsi="Calibri"/>
          <w:iCs/>
        </w:rPr>
      </w:pPr>
      <w:r>
        <w:rPr>
          <w:rFonts w:ascii="Calibri" w:hAnsi="Calibri"/>
          <w:iCs/>
        </w:rPr>
        <w:lastRenderedPageBreak/>
        <w:t xml:space="preserve">V rámci </w:t>
      </w:r>
      <w:r w:rsidRPr="007B2A30">
        <w:rPr>
          <w:rFonts w:ascii="Calibri" w:hAnsi="Calibri"/>
          <w:b/>
          <w:iCs/>
        </w:rPr>
        <w:t>činnosti interního auditu, veřejnosprávní kontroly</w:t>
      </w:r>
      <w:r>
        <w:rPr>
          <w:rFonts w:ascii="Calibri" w:hAnsi="Calibri"/>
          <w:b/>
          <w:iCs/>
        </w:rPr>
        <w:t>,</w:t>
      </w:r>
      <w:r w:rsidRPr="007B2A30">
        <w:rPr>
          <w:rFonts w:ascii="Calibri" w:hAnsi="Calibri"/>
          <w:b/>
          <w:iCs/>
        </w:rPr>
        <w:t xml:space="preserve"> případně kontrolorů</w:t>
      </w:r>
      <w:r>
        <w:rPr>
          <w:rFonts w:ascii="Calibri" w:hAnsi="Calibri"/>
          <w:b/>
          <w:iCs/>
        </w:rPr>
        <w:t xml:space="preserve">: </w:t>
      </w:r>
      <w:r>
        <w:rPr>
          <w:rFonts w:ascii="Calibri" w:hAnsi="Calibri"/>
          <w:iCs/>
        </w:rPr>
        <w:t xml:space="preserve"> Prověřování 3E</w:t>
      </w:r>
      <w:r w:rsidR="00B05EBC">
        <w:rPr>
          <w:rFonts w:ascii="Calibri" w:hAnsi="Calibri"/>
          <w:iCs/>
        </w:rPr>
        <w:t xml:space="preserve"> nebo snižování rizik</w:t>
      </w:r>
      <w:r>
        <w:rPr>
          <w:rFonts w:ascii="Calibri" w:hAnsi="Calibri"/>
          <w:iCs/>
        </w:rPr>
        <w:t xml:space="preserve"> se týká </w:t>
      </w:r>
    </w:p>
    <w:p w14:paraId="776E3AFE" w14:textId="77777777" w:rsidR="00CB5962" w:rsidRDefault="00CB5962" w:rsidP="0065698B">
      <w:pPr>
        <w:pStyle w:val="Odstavecseseznamem"/>
        <w:numPr>
          <w:ilvl w:val="1"/>
          <w:numId w:val="16"/>
        </w:numPr>
        <w:jc w:val="both"/>
        <w:rPr>
          <w:rFonts w:ascii="Calibri" w:hAnsi="Calibri"/>
          <w:iCs/>
        </w:rPr>
      </w:pPr>
      <w:r>
        <w:rPr>
          <w:rFonts w:ascii="Calibri" w:hAnsi="Calibri"/>
          <w:iCs/>
        </w:rPr>
        <w:t xml:space="preserve">jak konkrétních kontrolovaných operací, </w:t>
      </w:r>
    </w:p>
    <w:p w14:paraId="5ADA210D" w14:textId="77777777" w:rsidR="00CB5962" w:rsidRDefault="00CB5962" w:rsidP="0065698B">
      <w:pPr>
        <w:pStyle w:val="Odstavecseseznamem"/>
        <w:numPr>
          <w:ilvl w:val="1"/>
          <w:numId w:val="16"/>
        </w:numPr>
        <w:jc w:val="both"/>
        <w:rPr>
          <w:rFonts w:ascii="Calibri" w:hAnsi="Calibri"/>
          <w:iCs/>
        </w:rPr>
      </w:pPr>
      <w:r>
        <w:rPr>
          <w:rFonts w:ascii="Calibri" w:hAnsi="Calibri"/>
          <w:iCs/>
        </w:rPr>
        <w:t xml:space="preserve">tak celého vnitřního kontrolního systému. </w:t>
      </w:r>
    </w:p>
    <w:p w14:paraId="7D32D672" w14:textId="77777777" w:rsidR="00CB5962" w:rsidRPr="00983880" w:rsidRDefault="00CB5962" w:rsidP="00CB5962">
      <w:pPr>
        <w:ind w:left="708"/>
        <w:jc w:val="both"/>
        <w:rPr>
          <w:rFonts w:ascii="Calibri" w:hAnsi="Calibri"/>
          <w:iCs/>
        </w:rPr>
      </w:pPr>
      <w:r w:rsidRPr="00983880">
        <w:rPr>
          <w:rFonts w:ascii="Calibri" w:hAnsi="Calibri"/>
          <w:iCs/>
        </w:rPr>
        <w:t xml:space="preserve">V následujícím obrázku je tato činnost zanesena jako třetí pilíř pro </w:t>
      </w:r>
      <w:r>
        <w:rPr>
          <w:rFonts w:ascii="Calibri" w:hAnsi="Calibri"/>
          <w:iCs/>
        </w:rPr>
        <w:t>prověřová</w:t>
      </w:r>
      <w:r w:rsidRPr="00983880">
        <w:rPr>
          <w:rFonts w:ascii="Calibri" w:hAnsi="Calibri"/>
          <w:iCs/>
        </w:rPr>
        <w:t>ní 3E.</w:t>
      </w:r>
    </w:p>
    <w:p w14:paraId="10609E67" w14:textId="77777777" w:rsidR="00B05EBC" w:rsidRDefault="00B05EBC" w:rsidP="00CB5962">
      <w:pPr>
        <w:jc w:val="both"/>
        <w:rPr>
          <w:rFonts w:ascii="Calibri" w:hAnsi="Calibri"/>
          <w:iCs/>
        </w:rPr>
      </w:pPr>
    </w:p>
    <w:p w14:paraId="2259D4BE" w14:textId="3B56EA20" w:rsidR="00CB5962" w:rsidRDefault="00CB5962" w:rsidP="00CB5962">
      <w:pPr>
        <w:jc w:val="both"/>
        <w:rPr>
          <w:rFonts w:ascii="Calibri" w:hAnsi="Calibri"/>
          <w:iCs/>
        </w:rPr>
      </w:pPr>
      <w:r>
        <w:rPr>
          <w:rFonts w:ascii="Calibri" w:hAnsi="Calibri"/>
          <w:iCs/>
        </w:rPr>
        <w:t xml:space="preserve">Pro účinné prověření kritérií 3E je nezbytné, aby všichni vedoucí (a dle svých odpovědností všichni zaměstnanci) byli způsobilí prověřovat kritéria 3E z hlediska svých schopností, dovedností, znalostí a morálky (v následujícím obrázku zachyceno jako základna). </w:t>
      </w:r>
    </w:p>
    <w:p w14:paraId="0D57DB44" w14:textId="77777777" w:rsidR="00197BCF" w:rsidRDefault="00197BCF" w:rsidP="00CB5962">
      <w:pPr>
        <w:pStyle w:val="A1-text"/>
        <w:spacing w:after="0" w:line="240" w:lineRule="auto"/>
        <w:rPr>
          <w:rFonts w:ascii="Calibri" w:hAnsi="Calibri"/>
          <w:i/>
          <w:iCs/>
          <w:lang w:val="cs-CZ"/>
        </w:rPr>
      </w:pPr>
    </w:p>
    <w:p w14:paraId="6B434447" w14:textId="628814A4" w:rsidR="00CB5962" w:rsidRPr="00DC7F02" w:rsidRDefault="00CB5962" w:rsidP="00CB5962">
      <w:pPr>
        <w:pStyle w:val="A1-text"/>
        <w:spacing w:after="0" w:line="240" w:lineRule="auto"/>
        <w:rPr>
          <w:rFonts w:ascii="Calibri" w:hAnsi="Calibri"/>
          <w:i/>
          <w:iCs/>
          <w:lang w:val="cs-CZ"/>
        </w:rPr>
      </w:pPr>
      <w:r>
        <w:rPr>
          <w:rFonts w:ascii="Calibri" w:hAnsi="Calibri"/>
          <w:i/>
          <w:iCs/>
          <w:lang w:val="cs-CZ"/>
        </w:rPr>
        <w:t>Obr</w:t>
      </w:r>
      <w:r w:rsidRPr="00DC7F02">
        <w:rPr>
          <w:rFonts w:ascii="Calibri" w:hAnsi="Calibri"/>
          <w:i/>
          <w:iCs/>
          <w:lang w:val="cs-CZ"/>
        </w:rPr>
        <w:t>.</w:t>
      </w:r>
      <w:r w:rsidR="00257449">
        <w:rPr>
          <w:rFonts w:ascii="Calibri" w:hAnsi="Calibri"/>
          <w:i/>
          <w:iCs/>
          <w:lang w:val="cs-CZ"/>
        </w:rPr>
        <w:t xml:space="preserve"> 8</w:t>
      </w:r>
      <w:r>
        <w:rPr>
          <w:rFonts w:ascii="Calibri" w:hAnsi="Calibri"/>
          <w:i/>
          <w:iCs/>
          <w:lang w:val="cs-CZ"/>
        </w:rPr>
        <w:t xml:space="preserve"> Prvky systému prověření kritérií 3E v rámci vnitřního kontrolního systému</w:t>
      </w:r>
    </w:p>
    <w:p w14:paraId="0E9F4E08" w14:textId="77777777" w:rsidR="00CB5962" w:rsidRDefault="00CB5962" w:rsidP="00CB5962">
      <w:pPr>
        <w:jc w:val="both"/>
        <w:rPr>
          <w:rFonts w:ascii="Calibri" w:hAnsi="Calibri"/>
          <w:iCs/>
        </w:rPr>
      </w:pPr>
      <w:r>
        <w:rPr>
          <w:rFonts w:ascii="Calibri" w:hAnsi="Calibri"/>
          <w:iCs/>
          <w:noProof/>
        </w:rPr>
        <mc:AlternateContent>
          <mc:Choice Requires="wpg">
            <w:drawing>
              <wp:anchor distT="0" distB="0" distL="114300" distR="114300" simplePos="0" relativeHeight="251531776" behindDoc="0" locked="0" layoutInCell="1" allowOverlap="1" wp14:anchorId="0EF7CAA3" wp14:editId="53497FAC">
                <wp:simplePos x="0" y="0"/>
                <wp:positionH relativeFrom="column">
                  <wp:posOffset>-12700</wp:posOffset>
                </wp:positionH>
                <wp:positionV relativeFrom="paragraph">
                  <wp:posOffset>46990</wp:posOffset>
                </wp:positionV>
                <wp:extent cx="5744210" cy="2302510"/>
                <wp:effectExtent l="0" t="19050" r="27940" b="21590"/>
                <wp:wrapNone/>
                <wp:docPr id="23557" name="Skupina 23557"/>
                <wp:cNvGraphicFramePr/>
                <a:graphic xmlns:a="http://schemas.openxmlformats.org/drawingml/2006/main">
                  <a:graphicData uri="http://schemas.microsoft.com/office/word/2010/wordprocessingGroup">
                    <wpg:wgp>
                      <wpg:cNvGrpSpPr/>
                      <wpg:grpSpPr>
                        <a:xfrm>
                          <a:off x="0" y="0"/>
                          <a:ext cx="5744210" cy="2302510"/>
                          <a:chOff x="0" y="0"/>
                          <a:chExt cx="5744210" cy="2302510"/>
                        </a:xfrm>
                      </wpg:grpSpPr>
                      <wps:wsp>
                        <wps:cNvPr id="23558" name="Rovnoramenný trojúhelník 23558"/>
                        <wps:cNvSpPr/>
                        <wps:spPr>
                          <a:xfrm>
                            <a:off x="1501140" y="0"/>
                            <a:ext cx="1694815" cy="431800"/>
                          </a:xfrm>
                          <a:prstGeom prst="triangle">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59" name="Textové pole 2"/>
                        <wps:cNvSpPr txBox="1">
                          <a:spLocks noChangeArrowheads="1"/>
                        </wps:cNvSpPr>
                        <wps:spPr bwMode="auto">
                          <a:xfrm>
                            <a:off x="3337560" y="7620"/>
                            <a:ext cx="2406650" cy="1256665"/>
                          </a:xfrm>
                          <a:prstGeom prst="rect">
                            <a:avLst/>
                          </a:prstGeom>
                          <a:solidFill>
                            <a:srgbClr val="FFFFFF"/>
                          </a:solidFill>
                          <a:ln w="3175">
                            <a:solidFill>
                              <a:srgbClr val="000000"/>
                            </a:solidFill>
                            <a:prstDash val="dash"/>
                            <a:miter lim="800000"/>
                            <a:headEnd/>
                            <a:tailEnd/>
                          </a:ln>
                        </wps:spPr>
                        <wps:txbx>
                          <w:txbxContent>
                            <w:p w14:paraId="26AA4230" w14:textId="77777777" w:rsidR="00511D9B" w:rsidRDefault="00511D9B" w:rsidP="00CB5962">
                              <w:pPr>
                                <w:spacing w:line="180" w:lineRule="auto"/>
                                <w:rPr>
                                  <w:rFonts w:asciiTheme="minorHAnsi" w:hAnsiTheme="minorHAnsi" w:cstheme="minorHAnsi"/>
                                  <w:b/>
                                  <w:sz w:val="20"/>
                                </w:rPr>
                              </w:pPr>
                              <w:r w:rsidRPr="00576CB4">
                                <w:rPr>
                                  <w:rFonts w:asciiTheme="minorHAnsi" w:hAnsiTheme="minorHAnsi" w:cstheme="minorHAnsi"/>
                                  <w:b/>
                                  <w:sz w:val="20"/>
                                </w:rPr>
                                <w:t xml:space="preserve">Střecha </w:t>
                              </w:r>
                              <w:r>
                                <w:rPr>
                                  <w:rFonts w:asciiTheme="minorHAnsi" w:hAnsiTheme="minorHAnsi" w:cstheme="minorHAnsi"/>
                                  <w:b/>
                                  <w:sz w:val="20"/>
                                </w:rPr>
                                <w:t>–</w:t>
                              </w:r>
                              <w:r w:rsidRPr="00576CB4">
                                <w:rPr>
                                  <w:rFonts w:asciiTheme="minorHAnsi" w:hAnsiTheme="minorHAnsi" w:cstheme="minorHAnsi"/>
                                  <w:b/>
                                  <w:sz w:val="20"/>
                                </w:rPr>
                                <w:t xml:space="preserve"> </w:t>
                              </w:r>
                              <w:r>
                                <w:rPr>
                                  <w:rFonts w:asciiTheme="minorHAnsi" w:hAnsiTheme="minorHAnsi" w:cstheme="minorHAnsi"/>
                                  <w:b/>
                                  <w:sz w:val="20"/>
                                </w:rPr>
                                <w:t>vytvoření vnitřního kontrolního systému (včetně prověřování 3E)</w:t>
                              </w:r>
                            </w:p>
                            <w:p w14:paraId="6CB9E7E7" w14:textId="77777777" w:rsidR="00511D9B" w:rsidRPr="00576CB4" w:rsidRDefault="00511D9B" w:rsidP="00CB5962">
                              <w:pPr>
                                <w:spacing w:line="180" w:lineRule="auto"/>
                                <w:rPr>
                                  <w:rFonts w:asciiTheme="minorHAnsi" w:hAnsiTheme="minorHAnsi" w:cstheme="minorHAnsi"/>
                                  <w:sz w:val="20"/>
                                </w:rPr>
                              </w:pPr>
                              <w:r w:rsidRPr="00576CB4">
                                <w:rPr>
                                  <w:rFonts w:asciiTheme="minorHAnsi" w:hAnsiTheme="minorHAnsi" w:cstheme="minorHAnsi"/>
                                  <w:sz w:val="20"/>
                                </w:rPr>
                                <w:t>(odpovědnost vedoucí orgánu):</w:t>
                              </w:r>
                            </w:p>
                            <w:p w14:paraId="33027929" w14:textId="77777777" w:rsidR="00511D9B" w:rsidRPr="00576CB4" w:rsidRDefault="00511D9B" w:rsidP="0065698B">
                              <w:pPr>
                                <w:pStyle w:val="Odstavecseseznamem"/>
                                <w:numPr>
                                  <w:ilvl w:val="0"/>
                                  <w:numId w:val="14"/>
                                </w:numPr>
                                <w:spacing w:line="180" w:lineRule="auto"/>
                                <w:ind w:left="141" w:hanging="141"/>
                                <w:rPr>
                                  <w:rFonts w:asciiTheme="minorHAnsi" w:hAnsiTheme="minorHAnsi" w:cstheme="minorHAnsi"/>
                                  <w:sz w:val="20"/>
                                </w:rPr>
                              </w:pPr>
                              <w:r>
                                <w:rPr>
                                  <w:rFonts w:asciiTheme="minorHAnsi" w:hAnsiTheme="minorHAnsi" w:cstheme="minorHAnsi"/>
                                  <w:sz w:val="20"/>
                                </w:rPr>
                                <w:t>M</w:t>
                              </w:r>
                              <w:r w:rsidRPr="00576CB4">
                                <w:rPr>
                                  <w:rFonts w:asciiTheme="minorHAnsi" w:hAnsiTheme="minorHAnsi" w:cstheme="minorHAnsi"/>
                                  <w:sz w:val="20"/>
                                </w:rPr>
                                <w:t xml:space="preserve">imo jiné promítnutí do interních předpisů, vytvoření personálních a materiálních </w:t>
                              </w:r>
                              <w:r>
                                <w:rPr>
                                  <w:rFonts w:asciiTheme="minorHAnsi" w:hAnsiTheme="minorHAnsi" w:cstheme="minorHAnsi"/>
                                  <w:sz w:val="20"/>
                                </w:rPr>
                                <w:t>podmínek</w:t>
                              </w:r>
                            </w:p>
                            <w:p w14:paraId="00EEF7A2" w14:textId="77777777" w:rsidR="00511D9B" w:rsidRPr="00576CB4" w:rsidRDefault="00511D9B" w:rsidP="0065698B">
                              <w:pPr>
                                <w:pStyle w:val="Odstavecseseznamem"/>
                                <w:numPr>
                                  <w:ilvl w:val="0"/>
                                  <w:numId w:val="14"/>
                                </w:numPr>
                                <w:spacing w:line="180" w:lineRule="auto"/>
                                <w:ind w:left="141" w:hanging="141"/>
                                <w:rPr>
                                  <w:rFonts w:asciiTheme="minorHAnsi" w:hAnsiTheme="minorHAnsi" w:cstheme="minorHAnsi"/>
                                  <w:sz w:val="20"/>
                                </w:rPr>
                              </w:pPr>
                              <w:r>
                                <w:rPr>
                                  <w:rFonts w:asciiTheme="minorHAnsi" w:hAnsiTheme="minorHAnsi" w:cstheme="minorHAnsi"/>
                                  <w:sz w:val="20"/>
                                </w:rPr>
                                <w:t>Určení</w:t>
                              </w:r>
                              <w:r w:rsidRPr="00576CB4">
                                <w:rPr>
                                  <w:rFonts w:asciiTheme="minorHAnsi" w:hAnsiTheme="minorHAnsi" w:cstheme="minorHAnsi"/>
                                  <w:sz w:val="20"/>
                                </w:rPr>
                                <w:t xml:space="preserve"> osob</w:t>
                              </w:r>
                              <w:r>
                                <w:rPr>
                                  <w:rFonts w:asciiTheme="minorHAnsi" w:hAnsiTheme="minorHAnsi" w:cstheme="minorHAnsi"/>
                                  <w:sz w:val="20"/>
                                </w:rPr>
                                <w:t xml:space="preserve"> odpovědných</w:t>
                              </w:r>
                              <w:r w:rsidRPr="00576CB4">
                                <w:rPr>
                                  <w:rFonts w:asciiTheme="minorHAnsi" w:hAnsiTheme="minorHAnsi" w:cstheme="minorHAnsi"/>
                                  <w:sz w:val="20"/>
                                </w:rPr>
                                <w:t xml:space="preserve"> za vnitřní kontrolní systém</w:t>
                              </w:r>
                            </w:p>
                            <w:p w14:paraId="6A9EBE3E" w14:textId="77777777" w:rsidR="00511D9B" w:rsidRPr="00576CB4" w:rsidRDefault="00511D9B" w:rsidP="0065698B">
                              <w:pPr>
                                <w:pStyle w:val="Odstavecseseznamem"/>
                                <w:numPr>
                                  <w:ilvl w:val="0"/>
                                  <w:numId w:val="14"/>
                                </w:numPr>
                                <w:spacing w:line="180" w:lineRule="auto"/>
                                <w:ind w:left="141" w:hanging="141"/>
                                <w:rPr>
                                  <w:sz w:val="18"/>
                                </w:rPr>
                              </w:pPr>
                              <w:r>
                                <w:rPr>
                                  <w:rFonts w:asciiTheme="minorHAnsi" w:hAnsiTheme="minorHAnsi" w:cstheme="minorHAnsi"/>
                                  <w:sz w:val="20"/>
                                </w:rPr>
                                <w:t>Integrace</w:t>
                              </w:r>
                              <w:r w:rsidRPr="00576CB4">
                                <w:rPr>
                                  <w:rFonts w:asciiTheme="minorHAnsi" w:hAnsiTheme="minorHAnsi" w:cstheme="minorHAnsi"/>
                                  <w:sz w:val="20"/>
                                </w:rPr>
                                <w:t xml:space="preserve"> s jinými systémy řízení (např. oběhem účetních dokladů)</w:t>
                              </w:r>
                            </w:p>
                          </w:txbxContent>
                        </wps:txbx>
                        <wps:bodyPr rot="0" vert="horz" wrap="square" lIns="91440" tIns="45720" rIns="91440" bIns="45720" anchor="t" anchorCtr="0">
                          <a:noAutofit/>
                        </wps:bodyPr>
                      </wps:wsp>
                      <wps:wsp>
                        <wps:cNvPr id="23560" name="Obdélník 23560"/>
                        <wps:cNvSpPr/>
                        <wps:spPr>
                          <a:xfrm>
                            <a:off x="2880360" y="434340"/>
                            <a:ext cx="317858" cy="1082040"/>
                          </a:xfrm>
                          <a:prstGeom prst="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61" name="Textové pole 2"/>
                        <wps:cNvSpPr txBox="1">
                          <a:spLocks noChangeArrowheads="1"/>
                        </wps:cNvSpPr>
                        <wps:spPr bwMode="auto">
                          <a:xfrm>
                            <a:off x="0" y="60960"/>
                            <a:ext cx="1339215" cy="904240"/>
                          </a:xfrm>
                          <a:prstGeom prst="rect">
                            <a:avLst/>
                          </a:prstGeom>
                          <a:solidFill>
                            <a:srgbClr val="FFFFFF"/>
                          </a:solidFill>
                          <a:ln w="3175">
                            <a:solidFill>
                              <a:srgbClr val="000000"/>
                            </a:solidFill>
                            <a:prstDash val="dash"/>
                            <a:miter lim="800000"/>
                            <a:headEnd/>
                            <a:tailEnd/>
                          </a:ln>
                        </wps:spPr>
                        <wps:txbx>
                          <w:txbxContent>
                            <w:p w14:paraId="68B73447" w14:textId="3501E86D"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1. pilíř</w:t>
                              </w:r>
                              <w:r w:rsidRPr="00576CB4">
                                <w:rPr>
                                  <w:rFonts w:asciiTheme="minorHAnsi" w:hAnsiTheme="minorHAnsi" w:cstheme="minorHAnsi"/>
                                  <w:b/>
                                  <w:sz w:val="20"/>
                                </w:rPr>
                                <w:t xml:space="preserve"> </w:t>
                              </w:r>
                              <w:r w:rsidRPr="0013507E">
                                <w:rPr>
                                  <w:rFonts w:asciiTheme="minorHAnsi" w:hAnsiTheme="minorHAnsi" w:cstheme="minorHAnsi"/>
                                  <w:sz w:val="20"/>
                                </w:rPr>
                                <w:t xml:space="preserve">pro </w:t>
                              </w:r>
                              <w:r>
                                <w:rPr>
                                  <w:rFonts w:asciiTheme="minorHAnsi" w:hAnsiTheme="minorHAnsi" w:cstheme="minorHAnsi"/>
                                  <w:sz w:val="20"/>
                                </w:rPr>
                                <w:t>prověřování 3E a snižování rizik</w:t>
                              </w:r>
                            </w:p>
                            <w:p w14:paraId="575D7A95" w14:textId="77777777" w:rsidR="00511D9B" w:rsidRPr="00576CB4" w:rsidRDefault="00511D9B" w:rsidP="00CB5962">
                              <w:pPr>
                                <w:spacing w:line="180" w:lineRule="auto"/>
                                <w:jc w:val="center"/>
                                <w:rPr>
                                  <w:rFonts w:asciiTheme="minorHAnsi" w:hAnsiTheme="minorHAnsi" w:cstheme="minorHAnsi"/>
                                  <w:sz w:val="20"/>
                                </w:rPr>
                              </w:pPr>
                              <w:r>
                                <w:rPr>
                                  <w:rFonts w:asciiTheme="minorHAnsi" w:hAnsiTheme="minorHAnsi" w:cstheme="minorHAnsi"/>
                                  <w:b/>
                                  <w:sz w:val="20"/>
                                </w:rPr>
                                <w:t xml:space="preserve">– průběžná a následná kontrola </w:t>
                              </w:r>
                              <w:r w:rsidRPr="00576CB4">
                                <w:rPr>
                                  <w:rFonts w:asciiTheme="minorHAnsi" w:hAnsiTheme="minorHAnsi" w:cstheme="minorHAnsi"/>
                                  <w:sz w:val="20"/>
                                </w:rPr>
                                <w:t>(odpovědnost vedoucí zaměstnanci)</w:t>
                              </w:r>
                            </w:p>
                          </w:txbxContent>
                        </wps:txbx>
                        <wps:bodyPr rot="0" vert="horz" wrap="square" lIns="91440" tIns="45720" rIns="91440" bIns="45720" anchor="t" anchorCtr="0">
                          <a:noAutofit/>
                        </wps:bodyPr>
                      </wps:wsp>
                      <wps:wsp>
                        <wps:cNvPr id="23562" name="Obdélník 23562"/>
                        <wps:cNvSpPr/>
                        <wps:spPr>
                          <a:xfrm>
                            <a:off x="1493520" y="434340"/>
                            <a:ext cx="317500" cy="1082040"/>
                          </a:xfrm>
                          <a:prstGeom prst="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63" name="Obdélník 23563"/>
                        <wps:cNvSpPr/>
                        <wps:spPr>
                          <a:xfrm>
                            <a:off x="2194560" y="434340"/>
                            <a:ext cx="317500" cy="1082040"/>
                          </a:xfrm>
                          <a:prstGeom prst="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64" name="Textové pole 2"/>
                        <wps:cNvSpPr txBox="1">
                          <a:spLocks noChangeArrowheads="1"/>
                        </wps:cNvSpPr>
                        <wps:spPr bwMode="auto">
                          <a:xfrm>
                            <a:off x="0" y="1028700"/>
                            <a:ext cx="1339215" cy="800100"/>
                          </a:xfrm>
                          <a:prstGeom prst="rect">
                            <a:avLst/>
                          </a:prstGeom>
                          <a:solidFill>
                            <a:srgbClr val="FFFFFF"/>
                          </a:solidFill>
                          <a:ln w="3175">
                            <a:solidFill>
                              <a:srgbClr val="000000"/>
                            </a:solidFill>
                            <a:prstDash val="dash"/>
                            <a:miter lim="800000"/>
                            <a:headEnd/>
                            <a:tailEnd/>
                          </a:ln>
                        </wps:spPr>
                        <wps:txbx>
                          <w:txbxContent>
                            <w:p w14:paraId="7748CF46" w14:textId="77777777" w:rsidR="00511D9B" w:rsidRPr="00576CB4" w:rsidRDefault="00511D9B" w:rsidP="00BA6C7F">
                              <w:pPr>
                                <w:spacing w:line="180" w:lineRule="auto"/>
                                <w:jc w:val="center"/>
                                <w:rPr>
                                  <w:rFonts w:asciiTheme="minorHAnsi" w:hAnsiTheme="minorHAnsi" w:cstheme="minorHAnsi"/>
                                  <w:b/>
                                  <w:sz w:val="20"/>
                                </w:rPr>
                              </w:pPr>
                              <w:r>
                                <w:rPr>
                                  <w:rFonts w:asciiTheme="minorHAnsi" w:hAnsiTheme="minorHAnsi" w:cstheme="minorHAnsi"/>
                                  <w:b/>
                                  <w:sz w:val="20"/>
                                </w:rPr>
                                <w:t>2. pilíř</w:t>
                              </w:r>
                              <w:r w:rsidRPr="00576CB4">
                                <w:rPr>
                                  <w:rFonts w:asciiTheme="minorHAnsi" w:hAnsiTheme="minorHAnsi" w:cstheme="minorHAnsi"/>
                                  <w:b/>
                                  <w:sz w:val="20"/>
                                </w:rPr>
                                <w:t xml:space="preserve"> </w:t>
                              </w:r>
                              <w:r w:rsidRPr="0013507E">
                                <w:rPr>
                                  <w:rFonts w:asciiTheme="minorHAnsi" w:hAnsiTheme="minorHAnsi" w:cstheme="minorHAnsi"/>
                                  <w:sz w:val="20"/>
                                </w:rPr>
                                <w:t xml:space="preserve">pro </w:t>
                              </w:r>
                              <w:r>
                                <w:rPr>
                                  <w:rFonts w:asciiTheme="minorHAnsi" w:hAnsiTheme="minorHAnsi" w:cstheme="minorHAnsi"/>
                                  <w:sz w:val="20"/>
                                </w:rPr>
                                <w:t>prověřování 3E a snižování rizik</w:t>
                              </w:r>
                            </w:p>
                            <w:p w14:paraId="5A110749" w14:textId="77777777"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 xml:space="preserve">– předběžná kontrola </w:t>
                              </w:r>
                              <w:r w:rsidRPr="00576CB4">
                                <w:rPr>
                                  <w:rFonts w:asciiTheme="minorHAnsi" w:hAnsiTheme="minorHAnsi" w:cstheme="minorHAnsi"/>
                                  <w:sz w:val="20"/>
                                </w:rPr>
                                <w:t>(odpovědnost příkazce</w:t>
                              </w:r>
                              <w:r>
                                <w:rPr>
                                  <w:rFonts w:asciiTheme="minorHAnsi" w:hAnsiTheme="minorHAnsi" w:cstheme="minorHAnsi"/>
                                  <w:sz w:val="20"/>
                                </w:rPr>
                                <w:t xml:space="preserve"> operace</w:t>
                              </w:r>
                              <w:r w:rsidRPr="00576CB4">
                                <w:rPr>
                                  <w:rFonts w:asciiTheme="minorHAnsi" w:hAnsiTheme="minorHAnsi" w:cstheme="minorHAnsi"/>
                                  <w:sz w:val="20"/>
                                </w:rPr>
                                <w:t>)</w:t>
                              </w:r>
                            </w:p>
                          </w:txbxContent>
                        </wps:txbx>
                        <wps:bodyPr rot="0" vert="horz" wrap="square" lIns="91440" tIns="45720" rIns="91440" bIns="45720" anchor="t" anchorCtr="0">
                          <a:noAutofit/>
                        </wps:bodyPr>
                      </wps:wsp>
                      <wps:wsp>
                        <wps:cNvPr id="23565" name="Textové pole 2"/>
                        <wps:cNvSpPr txBox="1">
                          <a:spLocks noChangeArrowheads="1"/>
                        </wps:cNvSpPr>
                        <wps:spPr bwMode="auto">
                          <a:xfrm>
                            <a:off x="3337560" y="1318260"/>
                            <a:ext cx="2406650" cy="466090"/>
                          </a:xfrm>
                          <a:prstGeom prst="rect">
                            <a:avLst/>
                          </a:prstGeom>
                          <a:solidFill>
                            <a:srgbClr val="FFFFFF"/>
                          </a:solidFill>
                          <a:ln w="3175">
                            <a:solidFill>
                              <a:srgbClr val="000000"/>
                            </a:solidFill>
                            <a:prstDash val="dash"/>
                            <a:miter lim="800000"/>
                            <a:headEnd/>
                            <a:tailEnd/>
                          </a:ln>
                        </wps:spPr>
                        <wps:txbx>
                          <w:txbxContent>
                            <w:p w14:paraId="7DA357D3" w14:textId="750B62EF"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3. pilíř</w:t>
                              </w:r>
                              <w:r w:rsidRPr="00576CB4">
                                <w:rPr>
                                  <w:rFonts w:asciiTheme="minorHAnsi" w:hAnsiTheme="minorHAnsi" w:cstheme="minorHAnsi"/>
                                  <w:b/>
                                  <w:sz w:val="20"/>
                                </w:rPr>
                                <w:t xml:space="preserve"> </w:t>
                              </w:r>
                              <w:r w:rsidRPr="0013507E">
                                <w:rPr>
                                  <w:rFonts w:asciiTheme="minorHAnsi" w:hAnsiTheme="minorHAnsi" w:cstheme="minorHAnsi"/>
                                  <w:sz w:val="20"/>
                                </w:rPr>
                                <w:t xml:space="preserve">pro </w:t>
                              </w:r>
                              <w:r>
                                <w:rPr>
                                  <w:rFonts w:asciiTheme="minorHAnsi" w:hAnsiTheme="minorHAnsi" w:cstheme="minorHAnsi"/>
                                  <w:sz w:val="20"/>
                                </w:rPr>
                                <w:t xml:space="preserve">prověřování 3E a snižování rizik </w:t>
                              </w:r>
                              <w:r>
                                <w:rPr>
                                  <w:rFonts w:asciiTheme="minorHAnsi" w:hAnsiTheme="minorHAnsi" w:cstheme="minorHAnsi"/>
                                  <w:b/>
                                  <w:sz w:val="20"/>
                                </w:rPr>
                                <w:t>– interní audit nebo veřejnosprávní kontrola</w:t>
                              </w:r>
                            </w:p>
                          </w:txbxContent>
                        </wps:txbx>
                        <wps:bodyPr rot="0" vert="horz" wrap="square" lIns="91440" tIns="45720" rIns="91440" bIns="45720" anchor="t" anchorCtr="0">
                          <a:noAutofit/>
                        </wps:bodyPr>
                      </wps:wsp>
                      <wps:wsp>
                        <wps:cNvPr id="23566" name="Obdélník 23566"/>
                        <wps:cNvSpPr/>
                        <wps:spPr>
                          <a:xfrm>
                            <a:off x="1493520" y="1516380"/>
                            <a:ext cx="1708489" cy="209550"/>
                          </a:xfrm>
                          <a:prstGeom prst="rect">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67" name="Textové pole 2"/>
                        <wps:cNvSpPr txBox="1">
                          <a:spLocks noChangeArrowheads="1"/>
                        </wps:cNvSpPr>
                        <wps:spPr bwMode="auto">
                          <a:xfrm>
                            <a:off x="914400" y="1860550"/>
                            <a:ext cx="2987040" cy="441960"/>
                          </a:xfrm>
                          <a:prstGeom prst="rect">
                            <a:avLst/>
                          </a:prstGeom>
                          <a:solidFill>
                            <a:srgbClr val="FFFFFF"/>
                          </a:solidFill>
                          <a:ln w="3175">
                            <a:solidFill>
                              <a:srgbClr val="000000"/>
                            </a:solidFill>
                            <a:prstDash val="dash"/>
                            <a:miter lim="800000"/>
                            <a:headEnd/>
                            <a:tailEnd/>
                          </a:ln>
                        </wps:spPr>
                        <wps:txbx>
                          <w:txbxContent>
                            <w:p w14:paraId="3C1E1D3D" w14:textId="77777777" w:rsidR="00511D9B"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Základnu vytváří:</w:t>
                              </w:r>
                            </w:p>
                            <w:p w14:paraId="6A5485CC" w14:textId="77777777" w:rsidR="00511D9B" w:rsidRPr="00F74592" w:rsidRDefault="00511D9B" w:rsidP="00CB5962">
                              <w:pPr>
                                <w:spacing w:line="180" w:lineRule="auto"/>
                                <w:jc w:val="center"/>
                                <w:rPr>
                                  <w:rFonts w:asciiTheme="minorHAnsi" w:hAnsiTheme="minorHAnsi" w:cstheme="minorHAnsi"/>
                                  <w:sz w:val="20"/>
                                </w:rPr>
                              </w:pPr>
                              <w:r>
                                <w:rPr>
                                  <w:rFonts w:asciiTheme="minorHAnsi" w:hAnsiTheme="minorHAnsi" w:cstheme="minorHAnsi"/>
                                  <w:sz w:val="20"/>
                                </w:rPr>
                                <w:t xml:space="preserve">Z hlediska dovedností, znalostí a morálky </w:t>
                              </w:r>
                              <w:r w:rsidRPr="00F74592">
                                <w:rPr>
                                  <w:rFonts w:asciiTheme="minorHAnsi" w:hAnsiTheme="minorHAnsi" w:cstheme="minorHAnsi"/>
                                  <w:sz w:val="20"/>
                                </w:rPr>
                                <w:t>způsobilí lidé, kteří se na vnitřním kontrolním systému podílejí</w:t>
                              </w:r>
                              <w:r>
                                <w:rPr>
                                  <w:rFonts w:asciiTheme="minorHAnsi" w:hAnsiTheme="minorHAnsi" w:cstheme="minorHAnsi"/>
                                  <w:sz w:val="20"/>
                                </w:rPr>
                                <w:t xml:space="preserve">. </w:t>
                              </w:r>
                            </w:p>
                          </w:txbxContent>
                        </wps:txbx>
                        <wps:bodyPr rot="0" vert="horz" wrap="square" lIns="91440" tIns="45720" rIns="91440" bIns="45720" anchor="t" anchorCtr="0">
                          <a:noAutofit/>
                        </wps:bodyPr>
                      </wps:wsp>
                      <wps:wsp>
                        <wps:cNvPr id="23568" name="Přímá spojnice se šipkou 23568"/>
                        <wps:cNvCnPr/>
                        <wps:spPr>
                          <a:xfrm flipH="1">
                            <a:off x="2842260" y="106680"/>
                            <a:ext cx="494030" cy="146050"/>
                          </a:xfrm>
                          <a:prstGeom prst="straightConnector1">
                            <a:avLst/>
                          </a:prstGeom>
                          <a:ln w="6350" cap="flat" cmpd="sng" algn="ctr">
                            <a:solidFill>
                              <a:schemeClr val="tx1"/>
                            </a:solidFill>
                            <a:prstDash val="dash"/>
                            <a:round/>
                            <a:headEnd type="oval"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3569" name="Přímá spojnice se šipkou 23569"/>
                        <wps:cNvCnPr/>
                        <wps:spPr>
                          <a:xfrm flipH="1" flipV="1">
                            <a:off x="3192780" y="1287780"/>
                            <a:ext cx="138430" cy="185420"/>
                          </a:xfrm>
                          <a:prstGeom prst="straightConnector1">
                            <a:avLst/>
                          </a:prstGeom>
                          <a:ln w="6350" cap="flat" cmpd="sng" algn="ctr">
                            <a:solidFill>
                              <a:schemeClr val="tx1"/>
                            </a:solidFill>
                            <a:prstDash val="dash"/>
                            <a:round/>
                            <a:headEnd type="oval"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3570" name="Přímá spojnice se šipkou 23570"/>
                        <wps:cNvCnPr/>
                        <wps:spPr>
                          <a:xfrm>
                            <a:off x="1333500" y="312420"/>
                            <a:ext cx="163671" cy="279400"/>
                          </a:xfrm>
                          <a:prstGeom prst="straightConnector1">
                            <a:avLst/>
                          </a:prstGeom>
                          <a:ln w="6350" cap="flat" cmpd="sng" algn="ctr">
                            <a:solidFill>
                              <a:schemeClr val="tx1"/>
                            </a:solidFill>
                            <a:prstDash val="dash"/>
                            <a:round/>
                            <a:headEnd type="oval"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3572" name="Přímá spojnice se šipkou 23572"/>
                        <wps:cNvCnPr/>
                        <wps:spPr>
                          <a:xfrm>
                            <a:off x="1333500" y="1127760"/>
                            <a:ext cx="858520" cy="171450"/>
                          </a:xfrm>
                          <a:prstGeom prst="straightConnector1">
                            <a:avLst/>
                          </a:prstGeom>
                          <a:ln w="6350" cap="flat" cmpd="sng" algn="ctr">
                            <a:solidFill>
                              <a:schemeClr val="tx1"/>
                            </a:solidFill>
                            <a:prstDash val="dash"/>
                            <a:round/>
                            <a:headEnd type="oval"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23573" name="Textové pole 2"/>
                        <wps:cNvSpPr txBox="1">
                          <a:spLocks noChangeArrowheads="1"/>
                        </wps:cNvSpPr>
                        <wps:spPr bwMode="auto">
                          <a:xfrm rot="16200000">
                            <a:off x="1169670" y="819150"/>
                            <a:ext cx="991870" cy="312420"/>
                          </a:xfrm>
                          <a:prstGeom prst="rect">
                            <a:avLst/>
                          </a:prstGeom>
                          <a:noFill/>
                          <a:ln w="3175">
                            <a:noFill/>
                            <a:prstDash val="dash"/>
                            <a:miter lim="800000"/>
                            <a:headEnd/>
                            <a:tailEnd/>
                          </a:ln>
                        </wps:spPr>
                        <wps:txbx>
                          <w:txbxContent>
                            <w:p w14:paraId="0E76EDA0" w14:textId="77777777" w:rsidR="00511D9B" w:rsidRDefault="00511D9B" w:rsidP="00CB5962">
                              <w:pPr>
                                <w:spacing w:line="180" w:lineRule="auto"/>
                                <w:jc w:val="center"/>
                                <w:rPr>
                                  <w:rFonts w:asciiTheme="minorHAnsi" w:hAnsiTheme="minorHAnsi" w:cstheme="minorHAnsi"/>
                                  <w:sz w:val="20"/>
                                </w:rPr>
                              </w:pPr>
                              <w:r>
                                <w:rPr>
                                  <w:rFonts w:asciiTheme="minorHAnsi" w:hAnsiTheme="minorHAnsi" w:cstheme="minorHAnsi"/>
                                  <w:sz w:val="20"/>
                                </w:rPr>
                                <w:t>1</w:t>
                              </w:r>
                              <w:r w:rsidRPr="00DF672A">
                                <w:rPr>
                                  <w:rFonts w:asciiTheme="minorHAnsi" w:hAnsiTheme="minorHAnsi" w:cstheme="minorHAnsi"/>
                                  <w:sz w:val="20"/>
                                </w:rPr>
                                <w:t xml:space="preserve">. pilíř </w:t>
                              </w:r>
                            </w:p>
                          </w:txbxContent>
                        </wps:txbx>
                        <wps:bodyPr rot="0" vert="horz" wrap="square" lIns="91440" tIns="45720" rIns="91440" bIns="45720" anchor="t" anchorCtr="0">
                          <a:noAutofit/>
                        </wps:bodyPr>
                      </wps:wsp>
                      <wps:wsp>
                        <wps:cNvPr id="23574" name="Textové pole 2"/>
                        <wps:cNvSpPr txBox="1">
                          <a:spLocks noChangeArrowheads="1"/>
                        </wps:cNvSpPr>
                        <wps:spPr bwMode="auto">
                          <a:xfrm rot="16200000">
                            <a:off x="1855470" y="803910"/>
                            <a:ext cx="991870" cy="312420"/>
                          </a:xfrm>
                          <a:prstGeom prst="rect">
                            <a:avLst/>
                          </a:prstGeom>
                          <a:noFill/>
                          <a:ln w="3175">
                            <a:noFill/>
                            <a:prstDash val="dash"/>
                            <a:miter lim="800000"/>
                            <a:headEnd/>
                            <a:tailEnd/>
                          </a:ln>
                        </wps:spPr>
                        <wps:txbx>
                          <w:txbxContent>
                            <w:p w14:paraId="778D71A2" w14:textId="7DAD5C09" w:rsidR="00511D9B" w:rsidRPr="00787EF9" w:rsidRDefault="00511D9B" w:rsidP="00787EF9">
                              <w:pPr>
                                <w:spacing w:line="180" w:lineRule="auto"/>
                                <w:jc w:val="center"/>
                                <w:rPr>
                                  <w:rFonts w:asciiTheme="minorHAnsi" w:hAnsiTheme="minorHAnsi" w:cstheme="minorHAnsi"/>
                                  <w:sz w:val="20"/>
                                </w:rPr>
                              </w:pPr>
                              <w:r>
                                <w:rPr>
                                  <w:rFonts w:asciiTheme="minorHAnsi" w:hAnsiTheme="minorHAnsi" w:cstheme="minorHAnsi"/>
                                  <w:sz w:val="20"/>
                                </w:rPr>
                                <w:t>2</w:t>
                              </w:r>
                              <w:r w:rsidRPr="00DF672A">
                                <w:rPr>
                                  <w:rFonts w:asciiTheme="minorHAnsi" w:hAnsiTheme="minorHAnsi" w:cstheme="minorHAnsi"/>
                                  <w:sz w:val="20"/>
                                </w:rPr>
                                <w:t xml:space="preserve">. pilíř </w:t>
                              </w:r>
                            </w:p>
                          </w:txbxContent>
                        </wps:txbx>
                        <wps:bodyPr rot="0" vert="horz" wrap="square" lIns="91440" tIns="45720" rIns="91440" bIns="45720" anchor="t" anchorCtr="0">
                          <a:noAutofit/>
                        </wps:bodyPr>
                      </wps:wsp>
                      <wps:wsp>
                        <wps:cNvPr id="23575" name="Textové pole 2"/>
                        <wps:cNvSpPr txBox="1">
                          <a:spLocks noChangeArrowheads="1"/>
                        </wps:cNvSpPr>
                        <wps:spPr bwMode="auto">
                          <a:xfrm rot="16200000">
                            <a:off x="2548890" y="834390"/>
                            <a:ext cx="991870" cy="312420"/>
                          </a:xfrm>
                          <a:prstGeom prst="rect">
                            <a:avLst/>
                          </a:prstGeom>
                          <a:noFill/>
                          <a:ln w="3175">
                            <a:noFill/>
                            <a:prstDash val="dash"/>
                            <a:miter lim="800000"/>
                            <a:headEnd/>
                            <a:tailEnd/>
                          </a:ln>
                        </wps:spPr>
                        <wps:txbx>
                          <w:txbxContent>
                            <w:p w14:paraId="59B4AB2A" w14:textId="4A2CF85F" w:rsidR="00511D9B" w:rsidRPr="00787EF9" w:rsidRDefault="00511D9B" w:rsidP="00787EF9">
                              <w:pPr>
                                <w:spacing w:line="180" w:lineRule="auto"/>
                                <w:jc w:val="center"/>
                                <w:rPr>
                                  <w:rFonts w:asciiTheme="minorHAnsi" w:hAnsiTheme="minorHAnsi" w:cstheme="minorHAnsi"/>
                                  <w:sz w:val="20"/>
                                </w:rPr>
                              </w:pPr>
                              <w:r w:rsidRPr="00DF672A">
                                <w:rPr>
                                  <w:rFonts w:asciiTheme="minorHAnsi" w:hAnsiTheme="minorHAnsi" w:cstheme="minorHAnsi"/>
                                  <w:sz w:val="20"/>
                                </w:rPr>
                                <w:t xml:space="preserve">3. pilíř </w:t>
                              </w:r>
                            </w:p>
                          </w:txbxContent>
                        </wps:txbx>
                        <wps:bodyPr rot="0" vert="horz" wrap="square" lIns="91440" tIns="45720" rIns="91440" bIns="45720" anchor="t" anchorCtr="0">
                          <a:noAutofit/>
                        </wps:bodyPr>
                      </wps:wsp>
                      <wps:wsp>
                        <wps:cNvPr id="23576" name="Textové pole 2"/>
                        <wps:cNvSpPr txBox="1">
                          <a:spLocks noChangeArrowheads="1"/>
                        </wps:cNvSpPr>
                        <wps:spPr bwMode="auto">
                          <a:xfrm>
                            <a:off x="1562100" y="1531620"/>
                            <a:ext cx="1562100" cy="194310"/>
                          </a:xfrm>
                          <a:prstGeom prst="rect">
                            <a:avLst/>
                          </a:prstGeom>
                          <a:noFill/>
                          <a:ln w="3175">
                            <a:noFill/>
                            <a:prstDash val="dash"/>
                            <a:miter lim="800000"/>
                            <a:headEnd/>
                            <a:tailEnd/>
                          </a:ln>
                        </wps:spPr>
                        <wps:txbx>
                          <w:txbxContent>
                            <w:p w14:paraId="300F1412" w14:textId="43AF6335"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sz w:val="20"/>
                                </w:rPr>
                                <w:t>Základna</w:t>
                              </w:r>
                              <w:r w:rsidRPr="00DF672A">
                                <w:rPr>
                                  <w:rFonts w:asciiTheme="minorHAnsi" w:hAnsiTheme="minorHAnsi" w:cstheme="minorHAnsi"/>
                                  <w:sz w:val="20"/>
                                </w:rPr>
                                <w:t xml:space="preserve"> </w:t>
                              </w:r>
                            </w:p>
                            <w:p w14:paraId="4D81D566" w14:textId="77777777" w:rsidR="00511D9B" w:rsidRPr="00576CB4" w:rsidRDefault="00511D9B" w:rsidP="00CB5962">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577" name="Textové pole 2"/>
                        <wps:cNvSpPr txBox="1">
                          <a:spLocks noChangeArrowheads="1"/>
                        </wps:cNvSpPr>
                        <wps:spPr bwMode="auto">
                          <a:xfrm>
                            <a:off x="1562100" y="137160"/>
                            <a:ext cx="1510665" cy="336550"/>
                          </a:xfrm>
                          <a:prstGeom prst="rect">
                            <a:avLst/>
                          </a:prstGeom>
                          <a:noFill/>
                          <a:ln w="3175">
                            <a:noFill/>
                            <a:prstDash val="dash"/>
                            <a:miter lim="800000"/>
                            <a:headEnd/>
                            <a:tailEnd/>
                          </a:ln>
                        </wps:spPr>
                        <wps:txbx>
                          <w:txbxContent>
                            <w:p w14:paraId="44D7F501" w14:textId="77777777" w:rsidR="00511D9B" w:rsidRDefault="00511D9B" w:rsidP="00CB5962">
                              <w:pPr>
                                <w:spacing w:line="180" w:lineRule="auto"/>
                                <w:jc w:val="center"/>
                                <w:rPr>
                                  <w:rFonts w:asciiTheme="minorHAnsi" w:hAnsiTheme="minorHAnsi" w:cstheme="minorHAnsi"/>
                                  <w:sz w:val="20"/>
                                </w:rPr>
                              </w:pPr>
                              <w:r>
                                <w:rPr>
                                  <w:rFonts w:asciiTheme="minorHAnsi" w:hAnsiTheme="minorHAnsi" w:cstheme="minorHAnsi"/>
                                  <w:sz w:val="20"/>
                                </w:rPr>
                                <w:t xml:space="preserve">Střecha </w:t>
                              </w:r>
                            </w:p>
                            <w:p w14:paraId="2BDF0F84" w14:textId="77777777"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sz w:val="20"/>
                                </w:rPr>
                                <w:t>- vnitřní kontrolní systém</w:t>
                              </w:r>
                            </w:p>
                          </w:txbxContent>
                        </wps:txbx>
                        <wps:bodyPr rot="0" vert="horz" wrap="square" lIns="91440" tIns="45720" rIns="91440" bIns="45720" anchor="t" anchorCtr="0">
                          <a:noAutofit/>
                        </wps:bodyPr>
                      </wps:wsp>
                      <wps:wsp>
                        <wps:cNvPr id="23578" name="Přímá spojnice se šipkou 23578"/>
                        <wps:cNvCnPr/>
                        <wps:spPr>
                          <a:xfrm flipV="1">
                            <a:off x="1722120" y="1691640"/>
                            <a:ext cx="169545" cy="168910"/>
                          </a:xfrm>
                          <a:prstGeom prst="straightConnector1">
                            <a:avLst/>
                          </a:prstGeom>
                          <a:ln w="6350" cap="flat" cmpd="sng" algn="ctr">
                            <a:solidFill>
                              <a:schemeClr val="tx1"/>
                            </a:solidFill>
                            <a:prstDash val="dash"/>
                            <a:round/>
                            <a:headEnd type="oval" w="med" len="med"/>
                            <a:tailEnd type="triangle" w="med" len="med"/>
                          </a:ln>
                        </wps:spPr>
                        <wps:style>
                          <a:lnRef idx="0">
                            <a:scrgbClr r="0" g="0" b="0"/>
                          </a:lnRef>
                          <a:fillRef idx="0">
                            <a:scrgbClr r="0" g="0" b="0"/>
                          </a:fillRef>
                          <a:effectRef idx="0">
                            <a:scrgbClr r="0" g="0" b="0"/>
                          </a:effectRef>
                          <a:fontRef idx="minor">
                            <a:schemeClr val="tx1"/>
                          </a:fontRef>
                        </wps:style>
                        <wps:bodyPr/>
                      </wps:wsp>
                    </wpg:wgp>
                  </a:graphicData>
                </a:graphic>
                <wp14:sizeRelV relativeFrom="margin">
                  <wp14:pctHeight>0</wp14:pctHeight>
                </wp14:sizeRelV>
              </wp:anchor>
            </w:drawing>
          </mc:Choice>
          <mc:Fallback>
            <w:pict>
              <v:group w14:anchorId="0EF7CAA3" id="Skupina 23557" o:spid="_x0000_s1142" style="position:absolute;left:0;text-align:left;margin-left:-1pt;margin-top:3.7pt;width:452.3pt;height:181.3pt;z-index:251531776;mso-position-horizontal-relative:text;mso-position-vertical-relative:text;mso-height-relative:margin" coordsize="57442,2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K7QAgAACtDAAAOAAAAZHJzL2Uyb0RvYy54bWzsXMuO20YW3QeYfyC4H4vFNwXLQU877Qng&#10;sY3YSdbVJCUxJlmcIrulnj/JMsss8gMBsmrkv3LqRVHsltV2DFvJsA3IfFQVq27d97nk4y+3VWld&#10;57wtWL2wySPHtvI6ZVlRrxb2t28u/hnbVtvROqMlq/OFfZO39pdP/vHF400zz122ZmWWcwuD1O18&#10;0yzsddc189msTdd5RdtHrMlr3FwyXtEOp3w1yzjdYPSqnLmOE842jGcNZ2netrj6VN20n8jxl8s8&#10;7V4ul23eWeXCxtw6+cvl76X4nT15TOcrTpt1kepp0A+YRUWLGg/th3pKO2pd8eLOUFWRctayZfco&#10;ZdWMLZdFmss1YDXEGa3mGWdXjVzLar5ZNT2ZQNoRnT542PTF9StuFdnCdr0giGyrphW26fXbq6ao&#10;qaUugkibZjVH22e8ed284vrCSp2JdW+XvBL/Y0XWVpL3pidvvu2sFBeDyPddgl1Icc/1HDfAidyA&#10;dI1dutMvXX91pOfMPHgm5tdPZ9OAmdodvdo/R6/Xa9rkchtaQYMBvcDcil7fsOuacZCurm9/szrO&#10;frj9dZ2X9e0vbyUNY7FOMS307wnYzlvQ8h7qkcAhxAeh7tKQhIkfk0DR0PdI7EgS9oSg84a33bOc&#10;VZY4WNgdL2i9KsX86ZxeP287zATNTTNxuWVlkV0UZSlPhOjl5yW3rimE5nLlirmjx16rsrY2kHc3&#10;0s8Xa1OrkUfdTZmLwcr6m3wJ9sLuu3IGUrB3o9M0zeuOqFtrmuXqoYGDP/NYMx85CTmgGHmJ6fZj&#10;6wFMSzWIGVvNXrcXXXOpF/rOzrsmpjr3PeSTWd31nasC+37fACVWpZ+s2mP6A9KIw0uW3YCZOFNa&#10;qW3SiwJ79py23SvKoYbAAVCt3Uv8LEsGejN9ZFtrxv9333XRHtyOu7a1gVpb2O1/ryjPbav8uoYc&#10;JMQXjNXJEz+IXJzw4Z3L4Z36qjpnYAICJd6k8lC070pzuOSs+h4a+Ew8FbdoneLZCzvtuDk575S6&#10;hQ5P87Mz2Qy6r6Hd8/p1k4rBBVUFP77Zfk95YxgXauMFM7J3h3dVW9GzZmdXHVsWkrF3dNX0hh5Q&#10;kvdJFEJiFMIbzJ5d3/5sNazMLSlCYmpa/K1u+y8GmdB82zxn6dvWqtn5GrKan3HONuucZtgvxUSD&#10;rmoxQtSsy81/WAZlTbF8ScOREvY8LwpC7ArUSBRip8GP4H6tU13fCcMAd4U2Jm4Q4kxzrBnH6Ai9&#10;IxzWVD7nQWqEry57JXIh/4xAD7WN0iMeiQIlRMN77XAIoRF2OmHYTMzyKW3XSuozHKmFVkUH16Is&#10;qoUNLak707kg7Fd1JmnR0aJUx9BvZW1EVGplQfNue7mVxtGPxJg75uqF9uPKmxGfbiQ8J8bmgqeU&#10;3Xt5md3+3Js5XNdUepCZc+PY8TR/+h7+jTgUXBEHMLGSQZ3YdVSDw7bu/Rh031pMdg50nezcZOcG&#10;0ZQxvtr87BzfEA6BUgCnYOeUhQudROmfnYkjnpe4xllOHB8mT9ugycJxZc52Fq4PUUZu6f+nhXMN&#10;g48s3NiT0/buUCDnJ14gXGy4WAcsHEKdycJNkdzdCO/jyt0UyWX3ZdgOWzjvgALw3s/FJYlvQrBJ&#10;AfTJnymVM6VyYDkRcezSPqcW4/pGAZyOi0scN9YJ1wNOLhIdpM+STE7uHSc3Mdp7cnK9APm+E4ri&#10;htlKAmDDHUdzewlLP0S8N0VzClK4m69EXnfKV/a4ZhgaRh9Fc6Gh0oPylWQQzZGAhF48SliSyIn9&#10;GBiABDidJFDbMCUs91OtEzA3AXMSoP90wFzYVzacgjcnQViVFSJx6Gg1sXPp3ARunoBphR7xfaIT&#10;mx9Ljwxhtb88MhdIhHRC5jJZwRP2FSmvfv/x9pfq9icAGuyHGlVGVptbv/9UNG/ZlShJQcsdVnde&#10;65oeU8Sh6mqsZVk0/zYwtS7tcWPfFb6ZyGkSQMhjI+gnvuOZnKYP7j7ipbUdp8Vq3Z2zugbAzLgC&#10;xQ9gzAovDj0JXIvyhmVJgZamVQMCtPUKwGm5QiWaKEAQEeVe0Uqff1BQcbc1JRp7rQ7hySjG0rCx&#10;hpCt7qYB/M5QJ4Nii4Vd5RnKLHI8XRyBunSuAWbdsq/Fubc1xPseCLq9p5TGVKxoQVb1FSgKA9VN&#10;UZscDFUqYhJ7pTIP63u8Wubdz/4AIHG3G8t3F8yIxIGQ909a2RH2lR1HBauPMeFUHhUsKWLfjUTM&#10;I4kbQa6kiCHkF8eSnUztBvFiv5exOPBVbcdh+zDJmJbIScYEI4EKpyhjETheocrHZAwtsQwNSx+Q&#10;MaH5tMkCDgyDoeTJI64Wl52/hVAujABpy7Atgv2aTFY2mazjNZ6nbbKiHsM+Kk5DVPv9xImgBDga&#10;Z+pQtSVRb1m4FRF/cgHrSZ4eUDN94vLUQ8KfLYegyk4JanllPevQxOHFgFAYUERlMUnwBsG+x5gk&#10;BDkFZeJ2JvCwx3islLJmFyjAl07pqIR3cOdQJPUxK3ODXndNkI6HN2yMC3WKPBoHgW941PES8/aP&#10;iWr+vjzaF41MPAoe/fyw42E96gZ+HANYlHoUNekKY9yFCn9fHvVNSDXxKHi0Rww/mx4dGvcgdEVZ&#10;h8wHBZ6w//vWnZgG0uNO8F7gkQj2r2Pe5TtJU3pfpfejk4Kxeq4TSIAXkXEYCIxcvGKmnU4v/NNw&#10;+MC1/MxOZ184MClLKMsHg05oeTRvd29GnESuS3QhPSIdEo7fFcPFwNesRsJY+5aH45spIz5lxMXr&#10;7R+WcpCfG8AXGWQqXX89QnzyYXguUardNy6e/AEAAP//AwBQSwMEFAAGAAgAAAAhAMYnpljgAAAA&#10;CAEAAA8AAABkcnMvZG93bnJldi54bWxMj0FrwkAUhO+F/oflFXrT3cRWbZqNiLQ9iVAtFG/P5JkE&#10;s29Ddk3iv+/21B6HGWa+SVejaURPnasta4imCgRxbouaSw1fh/fJEoTzyAU2lknDjRyssvu7FJPC&#10;DvxJ/d6XIpSwS1BD5X2bSOnyigy6qW2Jg3e2nUEfZFfKosMhlJtGxkrNpcGaw0KFLW0qyi/7q9Hw&#10;MeCwnkVv/fZy3tyOh+fd9zYirR8fxvUrCE+j/wvDL35AhywwneyVCycaDZM4XPEaFk8ggv2i4jmI&#10;k4bZQimQWSr/H8h+AAAA//8DAFBLAQItABQABgAIAAAAIQC2gziS/gAAAOEBAAATAAAAAAAAAAAA&#10;AAAAAAAAAABbQ29udGVudF9UeXBlc10ueG1sUEsBAi0AFAAGAAgAAAAhADj9If/WAAAAlAEAAAsA&#10;AAAAAAAAAAAAAAAALwEAAF9yZWxzLy5yZWxzUEsBAi0AFAAGAAgAAAAhACFAkrtACAAAK0MAAA4A&#10;AAAAAAAAAAAAAAAALgIAAGRycy9lMm9Eb2MueG1sUEsBAi0AFAAGAAgAAAAhAMYnpljgAAAACAEA&#10;AA8AAAAAAAAAAAAAAAAAmgoAAGRycy9kb3ducmV2LnhtbFBLBQYAAAAABAAEAPMAAACnC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23558" o:spid="_x0000_s1143" type="#_x0000_t5" style="position:absolute;left:15011;width:16948;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OoxQAAAN4AAAAPAAAAZHJzL2Rvd25yZXYueG1sRE/LasJA&#10;FN0L/YfhFrqRZqIhpaSOUoVCoaI0cePukrlNQjN3QmbM4++dRaHLw3lvdpNpxUC9aywrWEUxCOLS&#10;6oYrBZfi4/kVhPPIGlvLpGAmB7vtw2KDmbYjf9OQ+0qEEHYZKqi97zIpXVmTQRfZjjhwP7Y36APs&#10;K6l7HEO4aeU6jl+kwYZDQ40dHWoqf/ObUVB8yfOpMUli5oHS0/EwLVfXvVJPj9P7GwhPk/8X/7k/&#10;tYJ1kqZhb7gTroDc3gEAAP//AwBQSwECLQAUAAYACAAAACEA2+H2y+4AAACFAQAAEwAAAAAAAAAA&#10;AAAAAAAAAAAAW0NvbnRlbnRfVHlwZXNdLnhtbFBLAQItABQABgAIAAAAIQBa9CxbvwAAABUBAAAL&#10;AAAAAAAAAAAAAAAAAB8BAABfcmVscy8ucmVsc1BLAQItABQABgAIAAAAIQCMfWOoxQAAAN4AAAAP&#10;AAAAAAAAAAAAAAAAAAcCAABkcnMvZG93bnJldi54bWxQSwUGAAAAAAMAAwC3AAAA+QIAAAAA&#10;" fillcolor="#e7e6e6 [3214]" strokecolor="#1f3763 [1604]" strokeweight="1pt"/>
                <v:shape id="_x0000_s1144" type="#_x0000_t202" style="position:absolute;left:33375;top:76;width:24067;height:1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VmSxQAAAN4AAAAPAAAAZHJzL2Rvd25yZXYueG1sRI9Ba8JA&#10;FITvhf6H5RW81U0VpUldpQqCB6U0rfdn9iUbmn0bsquJ/94VhB6HmfmGWawG24gLdb52rOBtnIAg&#10;LpyuuVLw+7N9fQfhA7LGxjEpuJKH1fL5aYGZdj1/0yUPlYgQ9hkqMCG0mZS+MGTRj11LHL3SdRZD&#10;lF0ldYd9hNtGTpJkLi3WHBcMtrQxVPzlZ6tg7cseLZ3M/is9pMW8lflxXSo1ehk+P0AEGsJ/+NHe&#10;aQWT6WyWwv1OvAJyeQMAAP//AwBQSwECLQAUAAYACAAAACEA2+H2y+4AAACFAQAAEwAAAAAAAAAA&#10;AAAAAAAAAAAAW0NvbnRlbnRfVHlwZXNdLnhtbFBLAQItABQABgAIAAAAIQBa9CxbvwAAABUBAAAL&#10;AAAAAAAAAAAAAAAAAB8BAABfcmVscy8ucmVsc1BLAQItABQABgAIAAAAIQC6QVmSxQAAAN4AAAAP&#10;AAAAAAAAAAAAAAAAAAcCAABkcnMvZG93bnJldi54bWxQSwUGAAAAAAMAAwC3AAAA+QIAAAAA&#10;" strokeweight=".25pt">
                  <v:stroke dashstyle="dash"/>
                  <v:textbox>
                    <w:txbxContent>
                      <w:p w14:paraId="26AA4230" w14:textId="77777777" w:rsidR="00511D9B" w:rsidRDefault="00511D9B" w:rsidP="00CB5962">
                        <w:pPr>
                          <w:spacing w:line="180" w:lineRule="auto"/>
                          <w:rPr>
                            <w:rFonts w:asciiTheme="minorHAnsi" w:hAnsiTheme="minorHAnsi" w:cstheme="minorHAnsi"/>
                            <w:b/>
                            <w:sz w:val="20"/>
                          </w:rPr>
                        </w:pPr>
                        <w:r w:rsidRPr="00576CB4">
                          <w:rPr>
                            <w:rFonts w:asciiTheme="minorHAnsi" w:hAnsiTheme="minorHAnsi" w:cstheme="minorHAnsi"/>
                            <w:b/>
                            <w:sz w:val="20"/>
                          </w:rPr>
                          <w:t xml:space="preserve">Střecha </w:t>
                        </w:r>
                        <w:r>
                          <w:rPr>
                            <w:rFonts w:asciiTheme="minorHAnsi" w:hAnsiTheme="minorHAnsi" w:cstheme="minorHAnsi"/>
                            <w:b/>
                            <w:sz w:val="20"/>
                          </w:rPr>
                          <w:t>–</w:t>
                        </w:r>
                        <w:r w:rsidRPr="00576CB4">
                          <w:rPr>
                            <w:rFonts w:asciiTheme="minorHAnsi" w:hAnsiTheme="minorHAnsi" w:cstheme="minorHAnsi"/>
                            <w:b/>
                            <w:sz w:val="20"/>
                          </w:rPr>
                          <w:t xml:space="preserve"> </w:t>
                        </w:r>
                        <w:r>
                          <w:rPr>
                            <w:rFonts w:asciiTheme="minorHAnsi" w:hAnsiTheme="minorHAnsi" w:cstheme="minorHAnsi"/>
                            <w:b/>
                            <w:sz w:val="20"/>
                          </w:rPr>
                          <w:t>vytvoření vnitřního kontrolního systému (včetně prověřování 3E)</w:t>
                        </w:r>
                      </w:p>
                      <w:p w14:paraId="6CB9E7E7" w14:textId="77777777" w:rsidR="00511D9B" w:rsidRPr="00576CB4" w:rsidRDefault="00511D9B" w:rsidP="00CB5962">
                        <w:pPr>
                          <w:spacing w:line="180" w:lineRule="auto"/>
                          <w:rPr>
                            <w:rFonts w:asciiTheme="minorHAnsi" w:hAnsiTheme="minorHAnsi" w:cstheme="minorHAnsi"/>
                            <w:sz w:val="20"/>
                          </w:rPr>
                        </w:pPr>
                        <w:r w:rsidRPr="00576CB4">
                          <w:rPr>
                            <w:rFonts w:asciiTheme="minorHAnsi" w:hAnsiTheme="minorHAnsi" w:cstheme="minorHAnsi"/>
                            <w:sz w:val="20"/>
                          </w:rPr>
                          <w:t>(odpovědnost vedoucí orgánu):</w:t>
                        </w:r>
                      </w:p>
                      <w:p w14:paraId="33027929" w14:textId="77777777" w:rsidR="00511D9B" w:rsidRPr="00576CB4" w:rsidRDefault="00511D9B" w:rsidP="0065698B">
                        <w:pPr>
                          <w:pStyle w:val="Odstavecseseznamem"/>
                          <w:numPr>
                            <w:ilvl w:val="0"/>
                            <w:numId w:val="14"/>
                          </w:numPr>
                          <w:spacing w:line="180" w:lineRule="auto"/>
                          <w:ind w:left="141" w:hanging="141"/>
                          <w:rPr>
                            <w:rFonts w:asciiTheme="minorHAnsi" w:hAnsiTheme="minorHAnsi" w:cstheme="minorHAnsi"/>
                            <w:sz w:val="20"/>
                          </w:rPr>
                        </w:pPr>
                        <w:r>
                          <w:rPr>
                            <w:rFonts w:asciiTheme="minorHAnsi" w:hAnsiTheme="minorHAnsi" w:cstheme="minorHAnsi"/>
                            <w:sz w:val="20"/>
                          </w:rPr>
                          <w:t>M</w:t>
                        </w:r>
                        <w:r w:rsidRPr="00576CB4">
                          <w:rPr>
                            <w:rFonts w:asciiTheme="minorHAnsi" w:hAnsiTheme="minorHAnsi" w:cstheme="minorHAnsi"/>
                            <w:sz w:val="20"/>
                          </w:rPr>
                          <w:t xml:space="preserve">imo jiné promítnutí do interních předpisů, vytvoření personálních a materiálních </w:t>
                        </w:r>
                        <w:r>
                          <w:rPr>
                            <w:rFonts w:asciiTheme="minorHAnsi" w:hAnsiTheme="minorHAnsi" w:cstheme="minorHAnsi"/>
                            <w:sz w:val="20"/>
                          </w:rPr>
                          <w:t>podmínek</w:t>
                        </w:r>
                      </w:p>
                      <w:p w14:paraId="00EEF7A2" w14:textId="77777777" w:rsidR="00511D9B" w:rsidRPr="00576CB4" w:rsidRDefault="00511D9B" w:rsidP="0065698B">
                        <w:pPr>
                          <w:pStyle w:val="Odstavecseseznamem"/>
                          <w:numPr>
                            <w:ilvl w:val="0"/>
                            <w:numId w:val="14"/>
                          </w:numPr>
                          <w:spacing w:line="180" w:lineRule="auto"/>
                          <w:ind w:left="141" w:hanging="141"/>
                          <w:rPr>
                            <w:rFonts w:asciiTheme="minorHAnsi" w:hAnsiTheme="minorHAnsi" w:cstheme="minorHAnsi"/>
                            <w:sz w:val="20"/>
                          </w:rPr>
                        </w:pPr>
                        <w:r>
                          <w:rPr>
                            <w:rFonts w:asciiTheme="minorHAnsi" w:hAnsiTheme="minorHAnsi" w:cstheme="minorHAnsi"/>
                            <w:sz w:val="20"/>
                          </w:rPr>
                          <w:t>Určení</w:t>
                        </w:r>
                        <w:r w:rsidRPr="00576CB4">
                          <w:rPr>
                            <w:rFonts w:asciiTheme="minorHAnsi" w:hAnsiTheme="minorHAnsi" w:cstheme="minorHAnsi"/>
                            <w:sz w:val="20"/>
                          </w:rPr>
                          <w:t xml:space="preserve"> osob</w:t>
                        </w:r>
                        <w:r>
                          <w:rPr>
                            <w:rFonts w:asciiTheme="minorHAnsi" w:hAnsiTheme="minorHAnsi" w:cstheme="minorHAnsi"/>
                            <w:sz w:val="20"/>
                          </w:rPr>
                          <w:t xml:space="preserve"> odpovědných</w:t>
                        </w:r>
                        <w:r w:rsidRPr="00576CB4">
                          <w:rPr>
                            <w:rFonts w:asciiTheme="minorHAnsi" w:hAnsiTheme="minorHAnsi" w:cstheme="minorHAnsi"/>
                            <w:sz w:val="20"/>
                          </w:rPr>
                          <w:t xml:space="preserve"> za vnitřní kontrolní systém</w:t>
                        </w:r>
                      </w:p>
                      <w:p w14:paraId="6A9EBE3E" w14:textId="77777777" w:rsidR="00511D9B" w:rsidRPr="00576CB4" w:rsidRDefault="00511D9B" w:rsidP="0065698B">
                        <w:pPr>
                          <w:pStyle w:val="Odstavecseseznamem"/>
                          <w:numPr>
                            <w:ilvl w:val="0"/>
                            <w:numId w:val="14"/>
                          </w:numPr>
                          <w:spacing w:line="180" w:lineRule="auto"/>
                          <w:ind w:left="141" w:hanging="141"/>
                          <w:rPr>
                            <w:sz w:val="18"/>
                          </w:rPr>
                        </w:pPr>
                        <w:r>
                          <w:rPr>
                            <w:rFonts w:asciiTheme="minorHAnsi" w:hAnsiTheme="minorHAnsi" w:cstheme="minorHAnsi"/>
                            <w:sz w:val="20"/>
                          </w:rPr>
                          <w:t>Integrace</w:t>
                        </w:r>
                        <w:r w:rsidRPr="00576CB4">
                          <w:rPr>
                            <w:rFonts w:asciiTheme="minorHAnsi" w:hAnsiTheme="minorHAnsi" w:cstheme="minorHAnsi"/>
                            <w:sz w:val="20"/>
                          </w:rPr>
                          <w:t xml:space="preserve"> s jinými systémy řízení (např. oběhem účetních dokladů)</w:t>
                        </w:r>
                      </w:p>
                    </w:txbxContent>
                  </v:textbox>
                </v:shape>
                <v:rect id="Obdélník 23560" o:spid="_x0000_s1145" style="position:absolute;left:28803;top:4343;width:3179;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xgAAAN4AAAAPAAAAZHJzL2Rvd25yZXYueG1sRI/fasIw&#10;FMbvB3uHcAa7m+mqltIZRSYbQr1wzgc4JGdtsTkpSabdnt5cCF5+fP/4LVaj7cWZfOgcK3idZCCI&#10;tTMdNwqO3x8vJYgQkQ32jknBHwVYLR8fFlgZd+EvOh9iI9IIhwoVtDEOlZRBt2QxTNxAnLwf5y3G&#10;JH0jjcdLGre9zLOskBY7Tg8tDvTekj4dfq2Cz3Kqt/XRn/JdXe7NerbR9f9Gqeencf0GItIY7+Fb&#10;e2sU5NN5kQASTkIBubwCAAD//wMAUEsBAi0AFAAGAAgAAAAhANvh9svuAAAAhQEAABMAAAAAAAAA&#10;AAAAAAAAAAAAAFtDb250ZW50X1R5cGVzXS54bWxQSwECLQAUAAYACAAAACEAWvQsW78AAAAVAQAA&#10;CwAAAAAAAAAAAAAAAAAfAQAAX3JlbHMvLnJlbHNQSwECLQAUAAYACAAAACEAyQvv9MYAAADeAAAA&#10;DwAAAAAAAAAAAAAAAAAHAgAAZHJzL2Rvd25yZXYueG1sUEsFBgAAAAADAAMAtwAAAPoCAAAAAA==&#10;" fillcolor="#e7e6e6 [3214]" strokecolor="#1f3763 [1604]" strokeweight="1pt"/>
                <v:shape id="_x0000_s1146" type="#_x0000_t202" style="position:absolute;top:609;width:13392;height:9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8pxQAAAN4AAAAPAAAAZHJzL2Rvd25yZXYueG1sRI9Ba8JA&#10;FITvBf/D8gRvdaPSUFNXUaHgoVKa1vsz+5INzb4N2a2J/94VhB6HmfmGWW0G24gLdb52rGA2TUAQ&#10;F07XXCn4+X5/fgXhA7LGxjEpuJKHzXr0tMJMu56/6JKHSkQI+wwVmBDaTEpfGLLop64ljl7pOosh&#10;yq6SusM+wm0j50mSSos1xwWDLe0NFb/5n1Ww82WPls7m43N5XBZpK/PTrlRqMh62byACDeE//Ggf&#10;tIL54iWdwf1OvAJyfQMAAP//AwBQSwECLQAUAAYACAAAACEA2+H2y+4AAACFAQAAEwAAAAAAAAAA&#10;AAAAAAAAAAAAW0NvbnRlbnRfVHlwZXNdLnhtbFBLAQItABQABgAIAAAAIQBa9CxbvwAAABUBAAAL&#10;AAAAAAAAAAAAAAAAAB8BAABfcmVscy8ucmVsc1BLAQItABQABgAIAAAAIQCKW58pxQAAAN4AAAAP&#10;AAAAAAAAAAAAAAAAAAcCAABkcnMvZG93bnJldi54bWxQSwUGAAAAAAMAAwC3AAAA+QIAAAAA&#10;" strokeweight=".25pt">
                  <v:stroke dashstyle="dash"/>
                  <v:textbox>
                    <w:txbxContent>
                      <w:p w14:paraId="68B73447" w14:textId="3501E86D"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1. pilíř</w:t>
                        </w:r>
                        <w:r w:rsidRPr="00576CB4">
                          <w:rPr>
                            <w:rFonts w:asciiTheme="minorHAnsi" w:hAnsiTheme="minorHAnsi" w:cstheme="minorHAnsi"/>
                            <w:b/>
                            <w:sz w:val="20"/>
                          </w:rPr>
                          <w:t xml:space="preserve"> </w:t>
                        </w:r>
                        <w:r w:rsidRPr="0013507E">
                          <w:rPr>
                            <w:rFonts w:asciiTheme="minorHAnsi" w:hAnsiTheme="minorHAnsi" w:cstheme="minorHAnsi"/>
                            <w:sz w:val="20"/>
                          </w:rPr>
                          <w:t xml:space="preserve">pro </w:t>
                        </w:r>
                        <w:r>
                          <w:rPr>
                            <w:rFonts w:asciiTheme="minorHAnsi" w:hAnsiTheme="minorHAnsi" w:cstheme="minorHAnsi"/>
                            <w:sz w:val="20"/>
                          </w:rPr>
                          <w:t>prověřování 3E a snižování rizik</w:t>
                        </w:r>
                      </w:p>
                      <w:p w14:paraId="575D7A95" w14:textId="77777777" w:rsidR="00511D9B" w:rsidRPr="00576CB4" w:rsidRDefault="00511D9B" w:rsidP="00CB5962">
                        <w:pPr>
                          <w:spacing w:line="180" w:lineRule="auto"/>
                          <w:jc w:val="center"/>
                          <w:rPr>
                            <w:rFonts w:asciiTheme="minorHAnsi" w:hAnsiTheme="minorHAnsi" w:cstheme="minorHAnsi"/>
                            <w:sz w:val="20"/>
                          </w:rPr>
                        </w:pPr>
                        <w:r>
                          <w:rPr>
                            <w:rFonts w:asciiTheme="minorHAnsi" w:hAnsiTheme="minorHAnsi" w:cstheme="minorHAnsi"/>
                            <w:b/>
                            <w:sz w:val="20"/>
                          </w:rPr>
                          <w:t xml:space="preserve">– průběžná a následná kontrola </w:t>
                        </w:r>
                        <w:r w:rsidRPr="00576CB4">
                          <w:rPr>
                            <w:rFonts w:asciiTheme="minorHAnsi" w:hAnsiTheme="minorHAnsi" w:cstheme="minorHAnsi"/>
                            <w:sz w:val="20"/>
                          </w:rPr>
                          <w:t>(odpovědnost vedoucí zaměstnanci)</w:t>
                        </w:r>
                      </w:p>
                    </w:txbxContent>
                  </v:textbox>
                </v:shape>
                <v:rect id="Obdélník 23562" o:spid="_x0000_s1147" style="position:absolute;left:14935;top:4343;width:3175;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QYyAAAAN4AAAAPAAAAZHJzL2Rvd25yZXYueG1sRI/NasMw&#10;EITvhb6D2EJuiVznB+NGCaEhJeAc2jQPsEhb28RaGUlN3Dx9VQj0OMzMN8xyPdhOXMiH1rGC50kG&#10;glg703Kt4PS5GxcgQkQ22DkmBT8UYL16fFhiadyVP+hyjLVIEA4lKmhi7Espg27IYpi4njh5X85b&#10;jEn6WhqP1wS3ncyzbCEttpwWGuzptSF9Pn5bBW/FVO+rkz/nh6p4N5vZVle3rVKjp2HzAiLSEP/D&#10;9/beKMin80UOf3fSFZCrXwAAAP//AwBQSwECLQAUAAYACAAAACEA2+H2y+4AAACFAQAAEwAAAAAA&#10;AAAAAAAAAAAAAAAAW0NvbnRlbnRfVHlwZXNdLnhtbFBLAQItABQABgAIAAAAIQBa9CxbvwAAABUB&#10;AAALAAAAAAAAAAAAAAAAAB8BAABfcmVscy8ucmVsc1BLAQItABQABgAIAAAAIQBWldQYyAAAAN4A&#10;AAAPAAAAAAAAAAAAAAAAAAcCAABkcnMvZG93bnJldi54bWxQSwUGAAAAAAMAAwC3AAAA/AIAAAAA&#10;" fillcolor="#e7e6e6 [3214]" strokecolor="#1f3763 [1604]" strokeweight="1pt"/>
                <v:rect id="Obdélník 23563" o:spid="_x0000_s1148" style="position:absolute;left:21945;top:4343;width:3175;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XGDyAAAAN4AAAAPAAAAZHJzL2Rvd25yZXYueG1sRI9Ra8Iw&#10;FIXfB/6HcIW9zdR2k9IZRZQNoXvYnD/gklzbYnNTkqjdfv0yGOzxcM75Dme5Hm0vruRD51jBfJaB&#10;INbOdNwoOH6+PJQgQkQ22DsmBV8UYL2a3C2xMu7GH3Q9xEYkCIcKFbQxDpWUQbdkMczcQJy8k/MW&#10;Y5K+kcbjLcFtL/MsW0iLHaeFFgfatqTPh4tV8FoWel8f/Tl/q8t3s3nc6fp7p9T9dNw8g4g0xv/w&#10;X3tvFOTF06KA3zvpCsjVDwAAAP//AwBQSwECLQAUAAYACAAAACEA2+H2y+4AAACFAQAAEwAAAAAA&#10;AAAAAAAAAAAAAAAAW0NvbnRlbnRfVHlwZXNdLnhtbFBLAQItABQABgAIAAAAIQBa9CxbvwAAABUB&#10;AAALAAAAAAAAAAAAAAAAAB8BAABfcmVscy8ucmVsc1BLAQItABQABgAIAAAAIQA52XGDyAAAAN4A&#10;AAAPAAAAAAAAAAAAAAAAAAcCAABkcnMvZG93bnJldi54bWxQSwUGAAAAAAMAAwC3AAAA/AIAAAAA&#10;" fillcolor="#e7e6e6 [3214]" strokecolor="#1f3763 [1604]" strokeweight="1pt"/>
                <v:shape id="_x0000_s1149" type="#_x0000_t202" style="position:absolute;top:10287;width:1339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DyxxgAAAN4AAAAPAAAAZHJzL2Rvd25yZXYueG1sRI9Ba8JA&#10;FITvBf/D8gRvdaO2QaOr1EKhh5bSqPdn9iUbzL4N2a2J/94tFHocZuYbZrMbbCOu1PnasYLZNAFB&#10;XDhdc6XgeHh7XILwAVlj45gU3MjDbjt62GCmXc/fdM1DJSKEfYYKTAhtJqUvDFn0U9cSR690ncUQ&#10;ZVdJ3WEf4baR8yRJpcWa44LBll4NFZf8xyrY+7JHS2fz8bX6XBVpK/PTvlRqMh5e1iACDeE//Nd+&#10;1wrmi+f0CX7vxCsgt3cAAAD//wMAUEsBAi0AFAAGAAgAAAAhANvh9svuAAAAhQEAABMAAAAAAAAA&#10;AAAAAAAAAAAAAFtDb250ZW50X1R5cGVzXS54bWxQSwECLQAUAAYACAAAACEAWvQsW78AAAAVAQAA&#10;CwAAAAAAAAAAAAAAAAAfAQAAX3JlbHMvLnJlbHNQSwECLQAUAAYACAAAACEAmiw8scYAAADeAAAA&#10;DwAAAAAAAAAAAAAAAAAHAgAAZHJzL2Rvd25yZXYueG1sUEsFBgAAAAADAAMAtwAAAPoCAAAAAA==&#10;" strokeweight=".25pt">
                  <v:stroke dashstyle="dash"/>
                  <v:textbox>
                    <w:txbxContent>
                      <w:p w14:paraId="7748CF46" w14:textId="77777777" w:rsidR="00511D9B" w:rsidRPr="00576CB4" w:rsidRDefault="00511D9B" w:rsidP="00BA6C7F">
                        <w:pPr>
                          <w:spacing w:line="180" w:lineRule="auto"/>
                          <w:jc w:val="center"/>
                          <w:rPr>
                            <w:rFonts w:asciiTheme="minorHAnsi" w:hAnsiTheme="minorHAnsi" w:cstheme="minorHAnsi"/>
                            <w:b/>
                            <w:sz w:val="20"/>
                          </w:rPr>
                        </w:pPr>
                        <w:r>
                          <w:rPr>
                            <w:rFonts w:asciiTheme="minorHAnsi" w:hAnsiTheme="minorHAnsi" w:cstheme="minorHAnsi"/>
                            <w:b/>
                            <w:sz w:val="20"/>
                          </w:rPr>
                          <w:t>2. pilíř</w:t>
                        </w:r>
                        <w:r w:rsidRPr="00576CB4">
                          <w:rPr>
                            <w:rFonts w:asciiTheme="minorHAnsi" w:hAnsiTheme="minorHAnsi" w:cstheme="minorHAnsi"/>
                            <w:b/>
                            <w:sz w:val="20"/>
                          </w:rPr>
                          <w:t xml:space="preserve"> </w:t>
                        </w:r>
                        <w:r w:rsidRPr="0013507E">
                          <w:rPr>
                            <w:rFonts w:asciiTheme="minorHAnsi" w:hAnsiTheme="minorHAnsi" w:cstheme="minorHAnsi"/>
                            <w:sz w:val="20"/>
                          </w:rPr>
                          <w:t xml:space="preserve">pro </w:t>
                        </w:r>
                        <w:r>
                          <w:rPr>
                            <w:rFonts w:asciiTheme="minorHAnsi" w:hAnsiTheme="minorHAnsi" w:cstheme="minorHAnsi"/>
                            <w:sz w:val="20"/>
                          </w:rPr>
                          <w:t>prověřování 3E a snižování rizik</w:t>
                        </w:r>
                      </w:p>
                      <w:p w14:paraId="5A110749" w14:textId="77777777"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 xml:space="preserve">– předběžná kontrola </w:t>
                        </w:r>
                        <w:r w:rsidRPr="00576CB4">
                          <w:rPr>
                            <w:rFonts w:asciiTheme="minorHAnsi" w:hAnsiTheme="minorHAnsi" w:cstheme="minorHAnsi"/>
                            <w:sz w:val="20"/>
                          </w:rPr>
                          <w:t>(odpovědnost příkazce</w:t>
                        </w:r>
                        <w:r>
                          <w:rPr>
                            <w:rFonts w:asciiTheme="minorHAnsi" w:hAnsiTheme="minorHAnsi" w:cstheme="minorHAnsi"/>
                            <w:sz w:val="20"/>
                          </w:rPr>
                          <w:t xml:space="preserve"> operace</w:t>
                        </w:r>
                        <w:r w:rsidRPr="00576CB4">
                          <w:rPr>
                            <w:rFonts w:asciiTheme="minorHAnsi" w:hAnsiTheme="minorHAnsi" w:cstheme="minorHAnsi"/>
                            <w:sz w:val="20"/>
                          </w:rPr>
                          <w:t>)</w:t>
                        </w:r>
                      </w:p>
                    </w:txbxContent>
                  </v:textbox>
                </v:shape>
                <v:shape id="_x0000_s1150" type="#_x0000_t202" style="position:absolute;left:33375;top:13182;width:24067;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JkqxQAAAN4AAAAPAAAAZHJzL2Rvd25yZXYueG1sRI9Ba8JA&#10;FITvBf/D8oTe6kaLoaauokKhB6U0rfdn9iUbmn0bsquJ/94VhB6HmfmGWa4H24gLdb52rGA6SUAQ&#10;F07XXCn4/fl4eQPhA7LGxjEpuJKH9Wr0tMRMu56/6ZKHSkQI+wwVmBDaTEpfGLLoJ64ljl7pOosh&#10;yq6SusM+wm0jZ0mSSos1xwWDLe0MFX/52SrY+rJHSyez/1ocFkXayvy4LZV6Hg+bdxCBhvAffrQ/&#10;tYLZ6zydw/1OvAJydQMAAP//AwBQSwECLQAUAAYACAAAACEA2+H2y+4AAACFAQAAEwAAAAAAAAAA&#10;AAAAAAAAAAAAW0NvbnRlbnRfVHlwZXNdLnhtbFBLAQItABQABgAIAAAAIQBa9CxbvwAAABUBAAAL&#10;AAAAAAAAAAAAAAAAAB8BAABfcmVscy8ucmVsc1BLAQItABQABgAIAAAAIQD1YJkqxQAAAN4AAAAP&#10;AAAAAAAAAAAAAAAAAAcCAABkcnMvZG93bnJldi54bWxQSwUGAAAAAAMAAwC3AAAA+QIAAAAA&#10;" strokeweight=".25pt">
                  <v:stroke dashstyle="dash"/>
                  <v:textbox>
                    <w:txbxContent>
                      <w:p w14:paraId="7DA357D3" w14:textId="750B62EF"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3. pilíř</w:t>
                        </w:r>
                        <w:r w:rsidRPr="00576CB4">
                          <w:rPr>
                            <w:rFonts w:asciiTheme="minorHAnsi" w:hAnsiTheme="minorHAnsi" w:cstheme="minorHAnsi"/>
                            <w:b/>
                            <w:sz w:val="20"/>
                          </w:rPr>
                          <w:t xml:space="preserve"> </w:t>
                        </w:r>
                        <w:r w:rsidRPr="0013507E">
                          <w:rPr>
                            <w:rFonts w:asciiTheme="minorHAnsi" w:hAnsiTheme="minorHAnsi" w:cstheme="minorHAnsi"/>
                            <w:sz w:val="20"/>
                          </w:rPr>
                          <w:t xml:space="preserve">pro </w:t>
                        </w:r>
                        <w:r>
                          <w:rPr>
                            <w:rFonts w:asciiTheme="minorHAnsi" w:hAnsiTheme="minorHAnsi" w:cstheme="minorHAnsi"/>
                            <w:sz w:val="20"/>
                          </w:rPr>
                          <w:t xml:space="preserve">prověřování 3E a snižování rizik </w:t>
                        </w:r>
                        <w:r>
                          <w:rPr>
                            <w:rFonts w:asciiTheme="minorHAnsi" w:hAnsiTheme="minorHAnsi" w:cstheme="minorHAnsi"/>
                            <w:b/>
                            <w:sz w:val="20"/>
                          </w:rPr>
                          <w:t>– interní audit nebo veřejnosprávní kontrola</w:t>
                        </w:r>
                      </w:p>
                    </w:txbxContent>
                  </v:textbox>
                </v:shape>
                <v:rect id="Obdélník 23566" o:spid="_x0000_s1151" style="position:absolute;left:14935;top:15163;width:17085;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IbyAAAAN4AAAAPAAAAZHJzL2Rvd25yZXYueG1sRI9Ra8Iw&#10;FIXfB/6HcIW9zdS6ldIZRSYbQvewOX/AJbm2xeamJJl2+/VGGOzxcM75Dme5Hm0vzuRD51jBfJaB&#10;INbOdNwoOHy9PpQgQkQ22DsmBT8UYL2a3C2xMu7Cn3Tex0YkCIcKFbQxDpWUQbdkMczcQJy8o/MW&#10;Y5K+kcbjJcFtL/MsK6TFjtNCiwO9tKRP+2+r4K1c6F198Kf8vS4/zOZxq+vfrVL303HzDCLSGP/D&#10;f+2dUZAvnooCbnfSFZCrKwAAAP//AwBQSwECLQAUAAYACAAAACEA2+H2y+4AAACFAQAAEwAAAAAA&#10;AAAAAAAAAAAAAAAAW0NvbnRlbnRfVHlwZXNdLnhtbFBLAQItABQABgAIAAAAIQBa9CxbvwAAABUB&#10;AAALAAAAAAAAAAAAAAAAAB8BAABfcmVscy8ucmVsc1BLAQItABQABgAIAAAAIQAprtIbyAAAAN4A&#10;AAAPAAAAAAAAAAAAAAAAAAcCAABkcnMvZG93bnJldi54bWxQSwUGAAAAAAMAAwC3AAAA/AIAAAAA&#10;" fillcolor="#e7e6e6 [3214]" strokecolor="#1f3763 [1604]" strokeweight="1pt"/>
                <v:shape id="_x0000_s1152" type="#_x0000_t202" style="position:absolute;left:9144;top:18605;width:2987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GxgAAAN4AAAAPAAAAZHJzL2Rvd25yZXYueG1sRI9Ba8JA&#10;FITvQv/D8gq96aaWRo2uUguFHiylUe/P7Es2mH0bsluT/nu3IHgcZuYbZrUZbCMu1PnasYLnSQKC&#10;uHC65krBYf8xnoPwAVlj45gU/JGHzfphtMJMu55/6JKHSkQI+wwVmBDaTEpfGLLoJ64ljl7pOosh&#10;yq6SusM+wm0jp0mSSos1xwWDLb0bKs75r1Ww9WWPlk5m9734WhRpK/PjtlTq6XF4W4IINIR7+Nb+&#10;1AqmL6/pDP7vxCsg11cAAAD//wMAUEsBAi0AFAAGAAgAAAAhANvh9svuAAAAhQEAABMAAAAAAAAA&#10;AAAAAAAAAAAAAFtDb250ZW50X1R5cGVzXS54bWxQSwECLQAUAAYACAAAACEAWvQsW78AAAAVAQAA&#10;CwAAAAAAAAAAAAAAAAAfAQAAX3JlbHMvLnJlbHNQSwECLQAUAAYACAAAACEAav6ixsYAAADeAAAA&#10;DwAAAAAAAAAAAAAAAAAHAgAAZHJzL2Rvd25yZXYueG1sUEsFBgAAAAADAAMAtwAAAPoCAAAAAA==&#10;" strokeweight=".25pt">
                  <v:stroke dashstyle="dash"/>
                  <v:textbox>
                    <w:txbxContent>
                      <w:p w14:paraId="3C1E1D3D" w14:textId="77777777" w:rsidR="00511D9B" w:rsidRDefault="00511D9B" w:rsidP="00CB5962">
                        <w:pPr>
                          <w:spacing w:line="180" w:lineRule="auto"/>
                          <w:jc w:val="center"/>
                          <w:rPr>
                            <w:rFonts w:asciiTheme="minorHAnsi" w:hAnsiTheme="minorHAnsi" w:cstheme="minorHAnsi"/>
                            <w:b/>
                            <w:sz w:val="20"/>
                          </w:rPr>
                        </w:pPr>
                        <w:r>
                          <w:rPr>
                            <w:rFonts w:asciiTheme="minorHAnsi" w:hAnsiTheme="minorHAnsi" w:cstheme="minorHAnsi"/>
                            <w:b/>
                            <w:sz w:val="20"/>
                          </w:rPr>
                          <w:t>Základnu vytváří:</w:t>
                        </w:r>
                      </w:p>
                      <w:p w14:paraId="6A5485CC" w14:textId="77777777" w:rsidR="00511D9B" w:rsidRPr="00F74592" w:rsidRDefault="00511D9B" w:rsidP="00CB5962">
                        <w:pPr>
                          <w:spacing w:line="180" w:lineRule="auto"/>
                          <w:jc w:val="center"/>
                          <w:rPr>
                            <w:rFonts w:asciiTheme="minorHAnsi" w:hAnsiTheme="minorHAnsi" w:cstheme="minorHAnsi"/>
                            <w:sz w:val="20"/>
                          </w:rPr>
                        </w:pPr>
                        <w:r>
                          <w:rPr>
                            <w:rFonts w:asciiTheme="minorHAnsi" w:hAnsiTheme="minorHAnsi" w:cstheme="minorHAnsi"/>
                            <w:sz w:val="20"/>
                          </w:rPr>
                          <w:t xml:space="preserve">Z hlediska dovedností, znalostí a morálky </w:t>
                        </w:r>
                        <w:r w:rsidRPr="00F74592">
                          <w:rPr>
                            <w:rFonts w:asciiTheme="minorHAnsi" w:hAnsiTheme="minorHAnsi" w:cstheme="minorHAnsi"/>
                            <w:sz w:val="20"/>
                          </w:rPr>
                          <w:t>způsobilí lidé, kteří se na vnitřním kontrolním systému podílejí</w:t>
                        </w:r>
                        <w:r>
                          <w:rPr>
                            <w:rFonts w:asciiTheme="minorHAnsi" w:hAnsiTheme="minorHAnsi" w:cstheme="minorHAnsi"/>
                            <w:sz w:val="20"/>
                          </w:rPr>
                          <w:t xml:space="preserve">. </w:t>
                        </w:r>
                      </w:p>
                    </w:txbxContent>
                  </v:textbox>
                </v:shape>
                <v:shape id="Přímá spojnice se šipkou 23568" o:spid="_x0000_s1153" type="#_x0000_t32" style="position:absolute;left:28422;top:1066;width:4940;height:14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ICiwQAAAN4AAAAPAAAAZHJzL2Rvd25yZXYueG1sRE/LisIw&#10;FN0P+A/hCu7GVJ0RqUaRguLCxUz1Ay7N7QObm5BErX9vFgOzPJz3ZjeYXjzIh86ygtk0A0FcWd1x&#10;o+B6OXyuQISIrLG3TApeFGC3HX1sMNf2yb/0KGMjUgiHHBW0MbpcylC1ZDBMrSNOXG29wZigb6T2&#10;+EzhppfzLFtKgx2nhhYdFS1Vt/JuFFzcqi6O/oyzuvhy59KE8vRTKTUZD/s1iEhD/Bf/uU9awXzx&#10;vUx70510BeT2DQAA//8DAFBLAQItABQABgAIAAAAIQDb4fbL7gAAAIUBAAATAAAAAAAAAAAAAAAA&#10;AAAAAABbQ29udGVudF9UeXBlc10ueG1sUEsBAi0AFAAGAAgAAAAhAFr0LFu/AAAAFQEAAAsAAAAA&#10;AAAAAAAAAAAAHwEAAF9yZWxzLy5yZWxzUEsBAi0AFAAGAAgAAAAhAPDkgKLBAAAA3gAAAA8AAAAA&#10;AAAAAAAAAAAABwIAAGRycy9kb3ducmV2LnhtbFBLBQYAAAAAAwADALcAAAD1AgAAAAA=&#10;" strokecolor="black [3213]" strokeweight=".5pt">
                  <v:stroke dashstyle="dash" startarrow="oval" endarrow="block"/>
                </v:shape>
                <v:shape id="Přímá spojnice se šipkou 23569" o:spid="_x0000_s1154" type="#_x0000_t32" style="position:absolute;left:31927;top:12877;width:1385;height:18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Z1xwAAAN4AAAAPAAAAZHJzL2Rvd25yZXYueG1sRI9Ba8JA&#10;FITvBf/D8oTe6kaLYmNW0bZKvYjaQq8v2Wc2mH0bsluN/74rFHocZuYbJlt0thYXan3lWMFwkIAg&#10;LpyuuFTw9bl+moLwAVlj7ZgU3MjDYt57yDDV7soHuhxDKSKEfYoKTAhNKqUvDFn0A9cQR+/kWosh&#10;yraUusVrhNtajpJkIi1WHBcMNvRqqDgff6yCd3Pirck3lf5+y+mwXS3Xu9teqcd+t5yBCNSF//Bf&#10;+0MrGD2PJy9wvxOvgJz/AgAA//8DAFBLAQItABQABgAIAAAAIQDb4fbL7gAAAIUBAAATAAAAAAAA&#10;AAAAAAAAAAAAAABbQ29udGVudF9UeXBlc10ueG1sUEsBAi0AFAAGAAgAAAAhAFr0LFu/AAAAFQEA&#10;AAsAAAAAAAAAAAAAAAAAHwEAAF9yZWxzLy5yZWxzUEsBAi0AFAAGAAgAAAAhAOJ5JnXHAAAA3gAA&#10;AA8AAAAAAAAAAAAAAAAABwIAAGRycy9kb3ducmV2LnhtbFBLBQYAAAAAAwADALcAAAD7AgAAAAA=&#10;" strokecolor="black [3213]" strokeweight=".5pt">
                  <v:stroke dashstyle="dash" startarrow="oval" endarrow="block"/>
                </v:shape>
                <v:shape id="Přímá spojnice se šipkou 23570" o:spid="_x0000_s1155" type="#_x0000_t32" style="position:absolute;left:13335;top:3124;width:1636;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UYxAAAAN4AAAAPAAAAZHJzL2Rvd25yZXYueG1sRI/NisIw&#10;FIX3gu8QruBOUytaqUbRgQFBGBgV3F6aa1NsbmoTa+ftJ4uBWR7OH99m19tadNT6yrGC2TQBQVw4&#10;XXGp4Hr5nKxA+ICssXZMCn7Iw247HGww1+7N39SdQyniCPscFZgQmlxKXxiy6KeuIY7e3bUWQ5Rt&#10;KXWL7zhua5kmyVJarDg+GGzow1DxOL+sgiyrLtfb/nEyx+fSp4fDV7cqXkqNR/1+DSJQH/7Df+2j&#10;VpDOF1kEiDgRBeT2FwAA//8DAFBLAQItABQABgAIAAAAIQDb4fbL7gAAAIUBAAATAAAAAAAAAAAA&#10;AAAAAAAAAABbQ29udGVudF9UeXBlc10ueG1sUEsBAi0AFAAGAAgAAAAhAFr0LFu/AAAAFQEAAAsA&#10;AAAAAAAAAAAAAAAAHwEAAF9yZWxzLy5yZWxzUEsBAi0AFAAGAAgAAAAhAERMJRjEAAAA3gAAAA8A&#10;AAAAAAAAAAAAAAAABwIAAGRycy9kb3ducmV2LnhtbFBLBQYAAAAAAwADALcAAAD4AgAAAAA=&#10;" strokecolor="black [3213]" strokeweight=".5pt">
                  <v:stroke dashstyle="dash" startarrow="oval" endarrow="block"/>
                </v:shape>
                <v:shape id="Přímá spojnice se šipkou 23572" o:spid="_x0000_s1156" type="#_x0000_t32" style="position:absolute;left:13335;top:11277;width:8585;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h70xgAAAN4AAAAPAAAAZHJzL2Rvd25yZXYueG1sRI9Ba8JA&#10;FITvBf/D8gRvddOIRlJXUUEQCkJV6PWRfc0Gs29jdo3x33cFocdhZr5hFqve1qKj1leOFXyMExDE&#10;hdMVlwrOp937HIQPyBprx6TgQR5Wy8HbAnPt7vxN3TGUIkLY56jAhNDkUvrCkEU/dg1x9H5dazFE&#10;2ZZSt3iPcFvLNElm0mLFccFgQ1tDxeV4swqyrDqdf9aXL7O/zny62Ry6eXFTajTs158gAvXhP/xq&#10;77WCdDLNUnjeiVdALv8AAAD//wMAUEsBAi0AFAAGAAgAAAAhANvh9svuAAAAhQEAABMAAAAAAAAA&#10;AAAAAAAAAAAAAFtDb250ZW50X1R5cGVzXS54bWxQSwECLQAUAAYACAAAACEAWvQsW78AAAAVAQAA&#10;CwAAAAAAAAAAAAAAAAAfAQAAX3JlbHMvLnJlbHNQSwECLQAUAAYACAAAACEA29Ie9MYAAADeAAAA&#10;DwAAAAAAAAAAAAAAAAAHAgAAZHJzL2Rvd25yZXYueG1sUEsFBgAAAAADAAMAtwAAAPoCAAAAAA==&#10;" strokecolor="black [3213]" strokeweight=".5pt">
                  <v:stroke dashstyle="dash" startarrow="oval" endarrow="block"/>
                </v:shape>
                <v:shape id="_x0000_s1157" type="#_x0000_t202" style="position:absolute;left:11697;top:8190;width:9918;height:31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xexwAAAN4AAAAPAAAAZHJzL2Rvd25yZXYueG1sRI9Pi8Iw&#10;FMTvC36H8IS9LJpaWZVqFBEXlmUv/gGvj+bZFJuX0sRa99NvBMHjMDO/YRarzlaipcaXjhWMhgkI&#10;4tzpkgsFx8PXYAbCB2SNlWNScCcPq2XvbYGZdjfeUbsPhYgQ9hkqMCHUmZQ+N2TRD11NHL2zayyG&#10;KJtC6gZvEW4rmSbJRFosOS4YrGljKL/sr1ZBvTabj1NKxa/9aWe7UXX5u4etUu/9bj0HEagLr/Cz&#10;/a0VpOPP6Rged+IVkMt/AAAA//8DAFBLAQItABQABgAIAAAAIQDb4fbL7gAAAIUBAAATAAAAAAAA&#10;AAAAAAAAAAAAAABbQ29udGVudF9UeXBlc10ueG1sUEsBAi0AFAAGAAgAAAAhAFr0LFu/AAAAFQEA&#10;AAsAAAAAAAAAAAAAAAAAHwEAAF9yZWxzLy5yZWxzUEsBAi0AFAAGAAgAAAAhAMgCLF7HAAAA3gAA&#10;AA8AAAAAAAAAAAAAAAAABwIAAGRycy9kb3ducmV2LnhtbFBLBQYAAAAAAwADALcAAAD7AgAAAAA=&#10;" filled="f" stroked="f" strokeweight=".25pt">
                  <v:stroke dashstyle="dash"/>
                  <v:textbox>
                    <w:txbxContent>
                      <w:p w14:paraId="0E76EDA0" w14:textId="77777777" w:rsidR="00511D9B" w:rsidRDefault="00511D9B" w:rsidP="00CB5962">
                        <w:pPr>
                          <w:spacing w:line="180" w:lineRule="auto"/>
                          <w:jc w:val="center"/>
                          <w:rPr>
                            <w:rFonts w:asciiTheme="minorHAnsi" w:hAnsiTheme="minorHAnsi" w:cstheme="minorHAnsi"/>
                            <w:sz w:val="20"/>
                          </w:rPr>
                        </w:pPr>
                        <w:r>
                          <w:rPr>
                            <w:rFonts w:asciiTheme="minorHAnsi" w:hAnsiTheme="minorHAnsi" w:cstheme="minorHAnsi"/>
                            <w:sz w:val="20"/>
                          </w:rPr>
                          <w:t>1</w:t>
                        </w:r>
                        <w:r w:rsidRPr="00DF672A">
                          <w:rPr>
                            <w:rFonts w:asciiTheme="minorHAnsi" w:hAnsiTheme="minorHAnsi" w:cstheme="minorHAnsi"/>
                            <w:sz w:val="20"/>
                          </w:rPr>
                          <w:t xml:space="preserve">. pilíř </w:t>
                        </w:r>
                      </w:p>
                    </w:txbxContent>
                  </v:textbox>
                </v:shape>
                <v:shape id="_x0000_s1158" type="#_x0000_t202" style="position:absolute;left:18554;top:8038;width:9919;height:31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7QqxwAAAN4AAAAPAAAAZHJzL2Rvd25yZXYueG1sRI9Ba8JA&#10;FITvgv9heUIvpW5MbSsxq4i0UMSLVvD6yL5mQ7JvQ3aNsb++Wyh4HGbmGyZfD7YRPXW+cqxgNk1A&#10;EBdOV1wqOH19PC1A+ICssXFMCm7kYb0aj3LMtLvygfpjKEWEsM9QgQmhzaT0hSGLfupa4uh9u85i&#10;iLIrpe7wGuG2kWmSvEqLFccFgy1tDRX18WIVtBuzfTynVO7trl8cZk39cwvvSj1Mhs0SRKAh3MP/&#10;7U+tIH1+eZvD3514BeTqFwAA//8DAFBLAQItABQABgAIAAAAIQDb4fbL7gAAAIUBAAATAAAAAAAA&#10;AAAAAAAAAAAAAABbQ29udGVudF9UeXBlc10ueG1sUEsBAi0AFAAGAAgAAAAhAFr0LFu/AAAAFQEA&#10;AAsAAAAAAAAAAAAAAAAAHwEAAF9yZWxzLy5yZWxzUEsBAi0AFAAGAAgAAAAhAEfrtCrHAAAA3gAA&#10;AA8AAAAAAAAAAAAAAAAABwIAAGRycy9kb3ducmV2LnhtbFBLBQYAAAAAAwADALcAAAD7AgAAAAA=&#10;" filled="f" stroked="f" strokeweight=".25pt">
                  <v:stroke dashstyle="dash"/>
                  <v:textbox>
                    <w:txbxContent>
                      <w:p w14:paraId="778D71A2" w14:textId="7DAD5C09" w:rsidR="00511D9B" w:rsidRPr="00787EF9" w:rsidRDefault="00511D9B" w:rsidP="00787EF9">
                        <w:pPr>
                          <w:spacing w:line="180" w:lineRule="auto"/>
                          <w:jc w:val="center"/>
                          <w:rPr>
                            <w:rFonts w:asciiTheme="minorHAnsi" w:hAnsiTheme="minorHAnsi" w:cstheme="minorHAnsi"/>
                            <w:sz w:val="20"/>
                          </w:rPr>
                        </w:pPr>
                        <w:r>
                          <w:rPr>
                            <w:rFonts w:asciiTheme="minorHAnsi" w:hAnsiTheme="minorHAnsi" w:cstheme="minorHAnsi"/>
                            <w:sz w:val="20"/>
                          </w:rPr>
                          <w:t>2</w:t>
                        </w:r>
                        <w:r w:rsidRPr="00DF672A">
                          <w:rPr>
                            <w:rFonts w:asciiTheme="minorHAnsi" w:hAnsiTheme="minorHAnsi" w:cstheme="minorHAnsi"/>
                            <w:sz w:val="20"/>
                          </w:rPr>
                          <w:t xml:space="preserve">. pilíř </w:t>
                        </w:r>
                      </w:p>
                    </w:txbxContent>
                  </v:textbox>
                </v:shape>
                <v:shape id="_x0000_s1159" type="#_x0000_t202" style="position:absolute;left:25488;top:8344;width:9919;height:31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GxxwAAAN4AAAAPAAAAZHJzL2Rvd25yZXYueG1sRI9bi8Iw&#10;FITfF/wP4Qj7smhqFy9Uo4i4IMu+eAFfD82xKTYnpYm1+us3Cws+DjPzDbNYdbYSLTW+dKxgNExA&#10;EOdOl1woOB2/BjMQPiBrrByTggd5WC17bwvMtLvzntpDKESEsM9QgQmhzqT0uSGLfuhq4uhdXGMx&#10;RNkUUjd4j3BbyTRJJtJiyXHBYE0bQ/n1cLMK6rXZfJxTKn7sdzvbj6rr8xG2Sr33u/UcRKAuvML/&#10;7Z1WkH6Op2P4uxOvgFz+AgAA//8DAFBLAQItABQABgAIAAAAIQDb4fbL7gAAAIUBAAATAAAAAAAA&#10;AAAAAAAAAAAAAABbQ29udGVudF9UeXBlc10ueG1sUEsBAi0AFAAGAAgAAAAhAFr0LFu/AAAAFQEA&#10;AAsAAAAAAAAAAAAAAAAAHwEAAF9yZWxzLy5yZWxzUEsBAi0AFAAGAAgAAAAhACinEbHHAAAA3gAA&#10;AA8AAAAAAAAAAAAAAAAABwIAAGRycy9kb3ducmV2LnhtbFBLBQYAAAAAAwADALcAAAD7AgAAAAA=&#10;" filled="f" stroked="f" strokeweight=".25pt">
                  <v:stroke dashstyle="dash"/>
                  <v:textbox>
                    <w:txbxContent>
                      <w:p w14:paraId="59B4AB2A" w14:textId="4A2CF85F" w:rsidR="00511D9B" w:rsidRPr="00787EF9" w:rsidRDefault="00511D9B" w:rsidP="00787EF9">
                        <w:pPr>
                          <w:spacing w:line="180" w:lineRule="auto"/>
                          <w:jc w:val="center"/>
                          <w:rPr>
                            <w:rFonts w:asciiTheme="minorHAnsi" w:hAnsiTheme="minorHAnsi" w:cstheme="minorHAnsi"/>
                            <w:sz w:val="20"/>
                          </w:rPr>
                        </w:pPr>
                        <w:r w:rsidRPr="00DF672A">
                          <w:rPr>
                            <w:rFonts w:asciiTheme="minorHAnsi" w:hAnsiTheme="minorHAnsi" w:cstheme="minorHAnsi"/>
                            <w:sz w:val="20"/>
                          </w:rPr>
                          <w:t xml:space="preserve">3. pilíř </w:t>
                        </w:r>
                      </w:p>
                    </w:txbxContent>
                  </v:textbox>
                </v:shape>
                <v:shape id="_x0000_s1160" type="#_x0000_t202" style="position:absolute;left:15621;top:15316;width:15621;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r7wwAAAN4AAAAPAAAAZHJzL2Rvd25yZXYueG1sRE9ba8Iw&#10;FH4f7D+EI/g2Ux2rWo0iHY49zgv4emyOTbfmpGuidv/eCAMfP777fNnZWlyo9ZVjBcNBAoK4cLri&#10;UsF+t36ZgPABWWPtmBT8kYfl4vlpjpl2V97QZRtKEUPYZ6jAhNBkUvrCkEU/cA1x5E6utRgibEup&#10;W7zGcFvLUZKk0mLFscFgQ7mh4md7tgrWv/lxmuL3+/QjP7jVlytTE/eofq9bzUAE6sJD/O/+1ApG&#10;r2/jFO534hWQixsAAAD//wMAUEsBAi0AFAAGAAgAAAAhANvh9svuAAAAhQEAABMAAAAAAAAAAAAA&#10;AAAAAAAAAFtDb250ZW50X1R5cGVzXS54bWxQSwECLQAUAAYACAAAACEAWvQsW78AAAAVAQAACwAA&#10;AAAAAAAAAAAAAAAfAQAAX3JlbHMvLnJlbHNQSwECLQAUAAYACAAAACEAdFAK+8MAAADeAAAADwAA&#10;AAAAAAAAAAAAAAAHAgAAZHJzL2Rvd25yZXYueG1sUEsFBgAAAAADAAMAtwAAAPcCAAAAAA==&#10;" filled="f" stroked="f" strokeweight=".25pt">
                  <v:stroke dashstyle="dash"/>
                  <v:textbox>
                    <w:txbxContent>
                      <w:p w14:paraId="300F1412" w14:textId="43AF6335"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sz w:val="20"/>
                          </w:rPr>
                          <w:t>Základna</w:t>
                        </w:r>
                        <w:r w:rsidRPr="00DF672A">
                          <w:rPr>
                            <w:rFonts w:asciiTheme="minorHAnsi" w:hAnsiTheme="minorHAnsi" w:cstheme="minorHAnsi"/>
                            <w:sz w:val="20"/>
                          </w:rPr>
                          <w:t xml:space="preserve"> </w:t>
                        </w:r>
                      </w:p>
                      <w:p w14:paraId="4D81D566" w14:textId="77777777" w:rsidR="00511D9B" w:rsidRPr="00576CB4" w:rsidRDefault="00511D9B" w:rsidP="00CB5962">
                        <w:pPr>
                          <w:spacing w:line="180" w:lineRule="auto"/>
                          <w:jc w:val="center"/>
                          <w:rPr>
                            <w:rFonts w:asciiTheme="minorHAnsi" w:hAnsiTheme="minorHAnsi" w:cstheme="minorHAnsi"/>
                            <w:b/>
                            <w:sz w:val="20"/>
                          </w:rPr>
                        </w:pPr>
                      </w:p>
                    </w:txbxContent>
                  </v:textbox>
                </v:shape>
                <v:shape id="_x0000_s1161" type="#_x0000_t202" style="position:absolute;left:15621;top:1371;width:1510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9gwwAAAN4AAAAPAAAAZHJzL2Rvd25yZXYueG1sRE9ba8Iw&#10;FH4f7D+EI+xtpjpWtRpFOhw+zgv4emyOTbU56ZpM679fBgMfP777bNHZWlyp9ZVjBYN+AoK4cLri&#10;UsF+t3odg/ABWWPtmBTcycNi/vw0w0y7G2/oug2liCHsM1RgQmgyKX1hyKLvu4Y4cifXWgwRtqXU&#10;Ld5iuK3lMElSabHi2GCwodxQcdn+WAWr7/w4SfH8MfnMD2755crUxD3qpdctpyACdeEh/nevtYLh&#10;2/toBH934hWQ818AAAD//wMAUEsBAi0AFAAGAAgAAAAhANvh9svuAAAAhQEAABMAAAAAAAAAAAAA&#10;AAAAAAAAAFtDb250ZW50X1R5cGVzXS54bWxQSwECLQAUAAYACAAAACEAWvQsW78AAAAVAQAACwAA&#10;AAAAAAAAAAAAAAAfAQAAX3JlbHMvLnJlbHNQSwECLQAUAAYACAAAACEAGxyvYMMAAADeAAAADwAA&#10;AAAAAAAAAAAAAAAHAgAAZHJzL2Rvd25yZXYueG1sUEsFBgAAAAADAAMAtwAAAPcCAAAAAA==&#10;" filled="f" stroked="f" strokeweight=".25pt">
                  <v:stroke dashstyle="dash"/>
                  <v:textbox>
                    <w:txbxContent>
                      <w:p w14:paraId="44D7F501" w14:textId="77777777" w:rsidR="00511D9B" w:rsidRDefault="00511D9B" w:rsidP="00CB5962">
                        <w:pPr>
                          <w:spacing w:line="180" w:lineRule="auto"/>
                          <w:jc w:val="center"/>
                          <w:rPr>
                            <w:rFonts w:asciiTheme="minorHAnsi" w:hAnsiTheme="minorHAnsi" w:cstheme="minorHAnsi"/>
                            <w:sz w:val="20"/>
                          </w:rPr>
                        </w:pPr>
                        <w:r>
                          <w:rPr>
                            <w:rFonts w:asciiTheme="minorHAnsi" w:hAnsiTheme="minorHAnsi" w:cstheme="minorHAnsi"/>
                            <w:sz w:val="20"/>
                          </w:rPr>
                          <w:t xml:space="preserve">Střecha </w:t>
                        </w:r>
                      </w:p>
                      <w:p w14:paraId="2BDF0F84" w14:textId="77777777" w:rsidR="00511D9B" w:rsidRPr="00576CB4" w:rsidRDefault="00511D9B" w:rsidP="00CB5962">
                        <w:pPr>
                          <w:spacing w:line="180" w:lineRule="auto"/>
                          <w:jc w:val="center"/>
                          <w:rPr>
                            <w:rFonts w:asciiTheme="minorHAnsi" w:hAnsiTheme="minorHAnsi" w:cstheme="minorHAnsi"/>
                            <w:b/>
                            <w:sz w:val="20"/>
                          </w:rPr>
                        </w:pPr>
                        <w:r>
                          <w:rPr>
                            <w:rFonts w:asciiTheme="minorHAnsi" w:hAnsiTheme="minorHAnsi" w:cstheme="minorHAnsi"/>
                            <w:sz w:val="20"/>
                          </w:rPr>
                          <w:t>- vnitřní kontrolní systém</w:t>
                        </w:r>
                      </w:p>
                    </w:txbxContent>
                  </v:textbox>
                </v:shape>
                <v:shape id="Přímá spojnice se šipkou 23578" o:spid="_x0000_s1162" type="#_x0000_t32" style="position:absolute;left:17221;top:16916;width:1695;height:16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RZ/wgAAAN4AAAAPAAAAZHJzL2Rvd25yZXYueG1sRE/LagIx&#10;FN0X/IdwC+5qRq1WpkaRgYoLFzr6AZfJnQed3IQk1fHvm4Xg8nDe6+1genEjHzrLCqaTDARxZXXH&#10;jYLr5edjBSJEZI29ZVLwoADbzehtjbm2dz7TrYyNSCEcclTQxuhyKUPVksEwsY44cbX1BmOCvpHa&#10;4z2Fm17OsmwpDXacGlp0VLRU/ZZ/RsHFrepi7484rYtPdyxNKA+nSqnx+7D7BhFpiC/x033QCmbz&#10;xVfam+6kKyA3/wAAAP//AwBQSwECLQAUAAYACAAAACEA2+H2y+4AAACFAQAAEwAAAAAAAAAAAAAA&#10;AAAAAAAAW0NvbnRlbnRfVHlwZXNdLnhtbFBLAQItABQABgAIAAAAIQBa9CxbvwAAABUBAAALAAAA&#10;AAAAAAAAAAAAAB8BAABfcmVscy8ucmVsc1BLAQItABQABgAIAAAAIQB1PRZ/wgAAAN4AAAAPAAAA&#10;AAAAAAAAAAAAAAcCAABkcnMvZG93bnJldi54bWxQSwUGAAAAAAMAAwC3AAAA9gIAAAAA&#10;" strokecolor="black [3213]" strokeweight=".5pt">
                  <v:stroke dashstyle="dash" startarrow="oval" endarrow="block"/>
                </v:shape>
              </v:group>
            </w:pict>
          </mc:Fallback>
        </mc:AlternateContent>
      </w:r>
    </w:p>
    <w:p w14:paraId="108154A9" w14:textId="77777777" w:rsidR="00CB5962" w:rsidRDefault="00CB5962" w:rsidP="00CB5962">
      <w:pPr>
        <w:jc w:val="both"/>
        <w:rPr>
          <w:rFonts w:ascii="Calibri" w:hAnsi="Calibri"/>
          <w:iCs/>
        </w:rPr>
      </w:pPr>
    </w:p>
    <w:p w14:paraId="4C99A35F" w14:textId="77777777" w:rsidR="00CB5962" w:rsidRDefault="00CB5962" w:rsidP="00CB5962">
      <w:pPr>
        <w:jc w:val="both"/>
        <w:rPr>
          <w:rFonts w:ascii="Calibri" w:hAnsi="Calibri"/>
          <w:iCs/>
        </w:rPr>
      </w:pPr>
    </w:p>
    <w:p w14:paraId="3D1D5465" w14:textId="77777777" w:rsidR="00CB5962" w:rsidRDefault="00CB5962" w:rsidP="00CB5962">
      <w:pPr>
        <w:jc w:val="both"/>
        <w:rPr>
          <w:rFonts w:ascii="Calibri" w:hAnsi="Calibri"/>
          <w:iCs/>
        </w:rPr>
      </w:pPr>
    </w:p>
    <w:p w14:paraId="293B7B36" w14:textId="77777777" w:rsidR="00CB5962" w:rsidRDefault="00CB5962" w:rsidP="00CB5962">
      <w:pPr>
        <w:jc w:val="both"/>
        <w:rPr>
          <w:rFonts w:ascii="Calibri" w:hAnsi="Calibri"/>
          <w:iCs/>
        </w:rPr>
      </w:pPr>
    </w:p>
    <w:p w14:paraId="69F29C42" w14:textId="77777777" w:rsidR="00CB5962" w:rsidRPr="00E517F2" w:rsidRDefault="00CB5962" w:rsidP="00CB5962">
      <w:pPr>
        <w:jc w:val="both"/>
        <w:rPr>
          <w:rFonts w:ascii="Calibri" w:hAnsi="Calibri"/>
          <w:iCs/>
        </w:rPr>
      </w:pPr>
    </w:p>
    <w:p w14:paraId="1B61816C" w14:textId="77777777" w:rsidR="00CB5962" w:rsidRDefault="00CB5962" w:rsidP="00CB5962">
      <w:pPr>
        <w:pStyle w:val="Zkladntext3"/>
        <w:spacing w:after="0" w:line="360" w:lineRule="auto"/>
        <w:jc w:val="both"/>
        <w:rPr>
          <w:rFonts w:asciiTheme="minorHAnsi" w:eastAsia="Calibri" w:hAnsiTheme="minorHAnsi" w:cstheme="minorHAnsi"/>
          <w:sz w:val="24"/>
          <w:szCs w:val="24"/>
        </w:rPr>
      </w:pPr>
    </w:p>
    <w:p w14:paraId="06AEBFDD" w14:textId="77777777" w:rsidR="00CB5962" w:rsidRDefault="00CB5962" w:rsidP="00CB5962">
      <w:pPr>
        <w:pStyle w:val="Zkladntext3"/>
        <w:spacing w:after="0" w:line="360" w:lineRule="auto"/>
        <w:jc w:val="both"/>
        <w:rPr>
          <w:rFonts w:asciiTheme="minorHAnsi" w:eastAsia="Calibri" w:hAnsiTheme="minorHAnsi" w:cstheme="minorHAnsi"/>
          <w:sz w:val="24"/>
          <w:szCs w:val="24"/>
        </w:rPr>
      </w:pPr>
    </w:p>
    <w:p w14:paraId="1A33DAE9" w14:textId="77777777" w:rsidR="00CB5962" w:rsidRDefault="00CB5962" w:rsidP="00CB5962">
      <w:pPr>
        <w:spacing w:line="240" w:lineRule="auto"/>
        <w:jc w:val="both"/>
        <w:rPr>
          <w:rFonts w:asciiTheme="minorHAnsi" w:hAnsiTheme="minorHAnsi"/>
          <w:i/>
        </w:rPr>
      </w:pPr>
    </w:p>
    <w:p w14:paraId="79033A87" w14:textId="08F0953F" w:rsidR="00CB5962" w:rsidRPr="003A15F4" w:rsidRDefault="00CB5962" w:rsidP="00CB5962">
      <w:pPr>
        <w:jc w:val="both"/>
        <w:rPr>
          <w:rFonts w:asciiTheme="minorHAnsi" w:hAnsiTheme="minorHAnsi" w:cstheme="minorHAnsi"/>
        </w:rPr>
      </w:pPr>
      <w:r w:rsidRPr="00DC7F02">
        <w:rPr>
          <w:rFonts w:asciiTheme="minorHAnsi" w:hAnsiTheme="minorHAnsi"/>
          <w:i/>
        </w:rPr>
        <w:t xml:space="preserve">Zdroj: </w:t>
      </w:r>
      <w:r w:rsidR="00787EF9">
        <w:rPr>
          <w:rFonts w:asciiTheme="minorHAnsi" w:hAnsiTheme="minorHAnsi"/>
          <w:i/>
        </w:rPr>
        <w:t xml:space="preserve">upraveno dle </w:t>
      </w:r>
      <w:r>
        <w:rPr>
          <w:rFonts w:asciiTheme="minorHAnsi" w:hAnsiTheme="minorHAnsi"/>
          <w:i/>
        </w:rPr>
        <w:t>Půček, Páleníková (2022</w:t>
      </w:r>
      <w:r w:rsidR="009F0A7C">
        <w:rPr>
          <w:rFonts w:asciiTheme="minorHAnsi" w:hAnsiTheme="minorHAnsi"/>
          <w:i/>
        </w:rPr>
        <w:t>a</w:t>
      </w:r>
      <w:r>
        <w:rPr>
          <w:rFonts w:asciiTheme="minorHAnsi" w:hAnsiTheme="minorHAnsi"/>
          <w:i/>
        </w:rPr>
        <w:t>)</w:t>
      </w:r>
    </w:p>
    <w:p w14:paraId="2D6AE458" w14:textId="77777777" w:rsidR="00B05EBC" w:rsidRDefault="00B05EBC" w:rsidP="00874F70">
      <w:pPr>
        <w:jc w:val="both"/>
        <w:rPr>
          <w:rFonts w:asciiTheme="minorHAnsi" w:hAnsiTheme="minorHAnsi" w:cstheme="minorHAnsi"/>
        </w:rPr>
      </w:pPr>
    </w:p>
    <w:p w14:paraId="49E9EBC8" w14:textId="694F9743" w:rsidR="00874F70" w:rsidRDefault="00874F70" w:rsidP="00874F70">
      <w:pPr>
        <w:jc w:val="both"/>
        <w:rPr>
          <w:rFonts w:asciiTheme="minorHAnsi" w:hAnsiTheme="minorHAnsi" w:cstheme="minorHAnsi"/>
        </w:rPr>
      </w:pPr>
      <w:r w:rsidRPr="00E94AD5">
        <w:rPr>
          <w:rFonts w:asciiTheme="minorHAnsi" w:hAnsiTheme="minorHAnsi" w:cstheme="minorHAnsi"/>
          <w:b/>
        </w:rPr>
        <w:t>Role z hlediska prověřování 3E</w:t>
      </w:r>
      <w:r>
        <w:rPr>
          <w:rFonts w:asciiTheme="minorHAnsi" w:hAnsiTheme="minorHAnsi" w:cstheme="minorHAnsi"/>
        </w:rPr>
        <w:t xml:space="preserve"> uvádí </w:t>
      </w:r>
      <w:r w:rsidRPr="0005730D">
        <w:rPr>
          <w:rFonts w:asciiTheme="minorHAnsi" w:hAnsiTheme="minorHAnsi" w:cstheme="minorHAnsi"/>
        </w:rPr>
        <w:t>následující tabulka.</w:t>
      </w:r>
    </w:p>
    <w:p w14:paraId="2E07444E" w14:textId="5CEF8665" w:rsidR="00874F70" w:rsidRPr="00DC7F02" w:rsidRDefault="00874F70" w:rsidP="00874F70">
      <w:pPr>
        <w:pStyle w:val="A1-text"/>
        <w:spacing w:after="0"/>
        <w:rPr>
          <w:rFonts w:ascii="Calibri" w:hAnsi="Calibri"/>
          <w:i/>
          <w:iCs/>
          <w:lang w:val="cs-CZ"/>
        </w:rPr>
      </w:pPr>
      <w:r w:rsidRPr="00DC7F02">
        <w:rPr>
          <w:rFonts w:ascii="Calibri" w:hAnsi="Calibri"/>
          <w:i/>
          <w:iCs/>
          <w:lang w:val="cs-CZ"/>
        </w:rPr>
        <w:t>Tab.</w:t>
      </w:r>
      <w:r w:rsidR="00081FD0">
        <w:rPr>
          <w:rFonts w:ascii="Calibri" w:hAnsi="Calibri"/>
          <w:i/>
          <w:iCs/>
          <w:lang w:val="cs-CZ"/>
        </w:rPr>
        <w:t xml:space="preserve"> 2</w:t>
      </w:r>
      <w:r w:rsidRPr="00DC7F02">
        <w:rPr>
          <w:rFonts w:ascii="Calibri" w:hAnsi="Calibri"/>
          <w:i/>
          <w:iCs/>
          <w:lang w:val="cs-CZ"/>
        </w:rPr>
        <w:t xml:space="preserve"> </w:t>
      </w:r>
      <w:r>
        <w:rPr>
          <w:rFonts w:ascii="Calibri" w:hAnsi="Calibri"/>
          <w:i/>
          <w:iCs/>
          <w:lang w:val="cs-CZ"/>
        </w:rPr>
        <w:t xml:space="preserve">Role při prověření kritérií 3E </w:t>
      </w:r>
      <w:r w:rsidRPr="003F0023">
        <w:rPr>
          <w:rFonts w:ascii="Calibri" w:hAnsi="Calibri"/>
          <w:i/>
          <w:iCs/>
          <w:lang w:val="cs-CZ"/>
        </w:rPr>
        <w:t>dle zákona o finanční kontrole</w:t>
      </w:r>
    </w:p>
    <w:tbl>
      <w:tblPr>
        <w:tblStyle w:val="Mkatabulky"/>
        <w:tblW w:w="9351" w:type="dxa"/>
        <w:tblLook w:val="04A0" w:firstRow="1" w:lastRow="0" w:firstColumn="1" w:lastColumn="0" w:noHBand="0" w:noVBand="1"/>
      </w:tblPr>
      <w:tblGrid>
        <w:gridCol w:w="1696"/>
        <w:gridCol w:w="7655"/>
      </w:tblGrid>
      <w:tr w:rsidR="00874F70" w:rsidRPr="0005730D" w14:paraId="567C0DF9" w14:textId="77777777" w:rsidTr="00874F70">
        <w:tc>
          <w:tcPr>
            <w:tcW w:w="1696" w:type="dxa"/>
            <w:vAlign w:val="center"/>
          </w:tcPr>
          <w:p w14:paraId="67D42658" w14:textId="77777777" w:rsidR="00874F70" w:rsidRPr="0005730D" w:rsidRDefault="00874F70" w:rsidP="00874F70">
            <w:pPr>
              <w:spacing w:line="240" w:lineRule="auto"/>
              <w:ind w:left="-57"/>
              <w:rPr>
                <w:rFonts w:asciiTheme="minorHAnsi" w:hAnsiTheme="minorHAnsi" w:cstheme="minorHAnsi"/>
                <w:sz w:val="22"/>
              </w:rPr>
            </w:pPr>
            <w:r>
              <w:rPr>
                <w:rFonts w:asciiTheme="minorHAnsi" w:hAnsiTheme="minorHAnsi" w:cstheme="minorHAnsi"/>
                <w:sz w:val="22"/>
              </w:rPr>
              <w:t>Pozice</w:t>
            </w:r>
          </w:p>
        </w:tc>
        <w:tc>
          <w:tcPr>
            <w:tcW w:w="7655" w:type="dxa"/>
            <w:vAlign w:val="center"/>
          </w:tcPr>
          <w:p w14:paraId="50CFFF25" w14:textId="77777777" w:rsidR="00874F70" w:rsidRPr="0005730D" w:rsidRDefault="00874F70" w:rsidP="00874F70">
            <w:pPr>
              <w:spacing w:line="240" w:lineRule="auto"/>
              <w:ind w:left="-57"/>
              <w:rPr>
                <w:rFonts w:asciiTheme="minorHAnsi" w:hAnsiTheme="minorHAnsi" w:cstheme="minorHAnsi"/>
                <w:sz w:val="22"/>
              </w:rPr>
            </w:pPr>
            <w:r>
              <w:rPr>
                <w:rFonts w:asciiTheme="minorHAnsi" w:hAnsiTheme="minorHAnsi" w:cstheme="minorHAnsi"/>
                <w:sz w:val="22"/>
              </w:rPr>
              <w:t>Role (komentář, odkaz na zákon o finanční kontrole)</w:t>
            </w:r>
          </w:p>
        </w:tc>
      </w:tr>
      <w:tr w:rsidR="00874F70" w:rsidRPr="0005730D" w14:paraId="59D6C671" w14:textId="77777777" w:rsidTr="00874F70">
        <w:tc>
          <w:tcPr>
            <w:tcW w:w="1696" w:type="dxa"/>
            <w:vAlign w:val="center"/>
          </w:tcPr>
          <w:p w14:paraId="7030F9FF" w14:textId="77777777" w:rsidR="00874F70" w:rsidRPr="0005730D" w:rsidRDefault="00874F70" w:rsidP="00874F70">
            <w:pPr>
              <w:spacing w:line="240" w:lineRule="auto"/>
              <w:ind w:left="-57"/>
              <w:rPr>
                <w:rFonts w:asciiTheme="minorHAnsi" w:hAnsiTheme="minorHAnsi" w:cstheme="minorHAnsi"/>
                <w:sz w:val="22"/>
              </w:rPr>
            </w:pPr>
            <w:r w:rsidRPr="0005730D">
              <w:rPr>
                <w:rFonts w:asciiTheme="minorHAnsi" w:hAnsiTheme="minorHAnsi" w:cstheme="minorHAnsi"/>
                <w:sz w:val="22"/>
              </w:rPr>
              <w:t xml:space="preserve">Vedoucí orgánu (např. </w:t>
            </w:r>
            <w:r>
              <w:rPr>
                <w:rFonts w:asciiTheme="minorHAnsi" w:hAnsiTheme="minorHAnsi" w:cstheme="minorHAnsi"/>
                <w:sz w:val="22"/>
              </w:rPr>
              <w:t xml:space="preserve">u </w:t>
            </w:r>
            <w:r w:rsidRPr="0005730D">
              <w:rPr>
                <w:rFonts w:asciiTheme="minorHAnsi" w:hAnsiTheme="minorHAnsi" w:cstheme="minorHAnsi"/>
                <w:sz w:val="22"/>
              </w:rPr>
              <w:t>příspěvkové organizace ředitel)</w:t>
            </w:r>
          </w:p>
        </w:tc>
        <w:tc>
          <w:tcPr>
            <w:tcW w:w="7655" w:type="dxa"/>
            <w:vAlign w:val="center"/>
          </w:tcPr>
          <w:p w14:paraId="21F3A519" w14:textId="77777777" w:rsidR="00874F70" w:rsidRDefault="00874F70" w:rsidP="0065698B">
            <w:pPr>
              <w:pStyle w:val="Odstavecseseznamem"/>
              <w:numPr>
                <w:ilvl w:val="0"/>
                <w:numId w:val="14"/>
              </w:numPr>
              <w:spacing w:line="240" w:lineRule="auto"/>
              <w:ind w:left="141" w:hanging="141"/>
              <w:rPr>
                <w:rFonts w:asciiTheme="minorHAnsi" w:hAnsiTheme="minorHAnsi" w:cstheme="minorHAnsi"/>
                <w:sz w:val="22"/>
              </w:rPr>
            </w:pPr>
            <w:r w:rsidRPr="0005730D">
              <w:rPr>
                <w:rFonts w:asciiTheme="minorHAnsi" w:hAnsiTheme="minorHAnsi" w:cstheme="minorHAnsi"/>
                <w:sz w:val="22"/>
              </w:rPr>
              <w:t xml:space="preserve">Odpovídá za vytvoření vnitřního kontrolního systému včetně </w:t>
            </w:r>
            <w:r>
              <w:rPr>
                <w:rFonts w:asciiTheme="minorHAnsi" w:hAnsiTheme="minorHAnsi" w:cstheme="minorHAnsi"/>
                <w:sz w:val="22"/>
              </w:rPr>
              <w:t>prověření kritérií 3E (</w:t>
            </w:r>
            <w:r w:rsidRPr="00B4092A">
              <w:rPr>
                <w:rFonts w:asciiTheme="minorHAnsi" w:hAnsiTheme="minorHAnsi" w:cstheme="minorHAnsi"/>
                <w:sz w:val="22"/>
              </w:rPr>
              <w:t>§ 25, odst. 1</w:t>
            </w:r>
            <w:r>
              <w:rPr>
                <w:rFonts w:asciiTheme="minorHAnsi" w:hAnsiTheme="minorHAnsi" w:cstheme="minorHAnsi"/>
                <w:sz w:val="22"/>
              </w:rPr>
              <w:t xml:space="preserve"> zákona o finanční kontrole) – mimo jiné promítnutí do interních předpisů, vytvoření personálních a materiálních předpokladů</w:t>
            </w:r>
          </w:p>
          <w:p w14:paraId="1B11747F" w14:textId="77777777" w:rsidR="00874F70" w:rsidRPr="00B4092A"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Určuje osoby odpovědné za vnitřní kontrolní systém</w:t>
            </w:r>
          </w:p>
          <w:p w14:paraId="07AED966" w14:textId="77777777" w:rsidR="00874F70" w:rsidRPr="0005730D"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Integruje s účetními postupy (např. oběhem účetních dokladů)</w:t>
            </w:r>
          </w:p>
        </w:tc>
      </w:tr>
      <w:tr w:rsidR="00874F70" w:rsidRPr="0005730D" w14:paraId="626D21C2" w14:textId="77777777" w:rsidTr="00874F70">
        <w:tc>
          <w:tcPr>
            <w:tcW w:w="1696" w:type="dxa"/>
            <w:vAlign w:val="center"/>
          </w:tcPr>
          <w:p w14:paraId="1F87B338" w14:textId="77777777" w:rsidR="00874F70" w:rsidRPr="0005730D" w:rsidRDefault="00874F70" w:rsidP="00874F70">
            <w:pPr>
              <w:spacing w:line="240" w:lineRule="auto"/>
              <w:ind w:left="-57"/>
              <w:rPr>
                <w:rFonts w:asciiTheme="minorHAnsi" w:hAnsiTheme="minorHAnsi" w:cstheme="minorHAnsi"/>
                <w:sz w:val="22"/>
              </w:rPr>
            </w:pPr>
            <w:r>
              <w:rPr>
                <w:rFonts w:asciiTheme="minorHAnsi" w:hAnsiTheme="minorHAnsi" w:cstheme="minorHAnsi"/>
                <w:sz w:val="22"/>
              </w:rPr>
              <w:t>Vedoucí zaměstnanec</w:t>
            </w:r>
          </w:p>
        </w:tc>
        <w:tc>
          <w:tcPr>
            <w:tcW w:w="7655" w:type="dxa"/>
            <w:vAlign w:val="center"/>
          </w:tcPr>
          <w:p w14:paraId="33F340D7" w14:textId="77777777" w:rsidR="00874F70"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V</w:t>
            </w:r>
            <w:r w:rsidRPr="00B4092A">
              <w:rPr>
                <w:rFonts w:asciiTheme="minorHAnsi" w:hAnsiTheme="minorHAnsi" w:cstheme="minorHAnsi"/>
                <w:sz w:val="22"/>
              </w:rPr>
              <w:t xml:space="preserve"> rámci vymezených povinností, pravomocí a odpovědností povinnost zajistit fungování vnitřního kontrolního systému</w:t>
            </w:r>
            <w:r>
              <w:rPr>
                <w:rFonts w:asciiTheme="minorHAnsi" w:hAnsiTheme="minorHAnsi" w:cstheme="minorHAnsi"/>
                <w:sz w:val="22"/>
              </w:rPr>
              <w:t xml:space="preserve"> (</w:t>
            </w:r>
            <w:r w:rsidRPr="00B4092A">
              <w:rPr>
                <w:rFonts w:asciiTheme="minorHAnsi" w:hAnsiTheme="minorHAnsi" w:cstheme="minorHAnsi"/>
                <w:sz w:val="22"/>
              </w:rPr>
              <w:t>§ 25, odst. 4</w:t>
            </w:r>
            <w:r>
              <w:rPr>
                <w:rFonts w:asciiTheme="minorHAnsi" w:hAnsiTheme="minorHAnsi" w:cstheme="minorHAnsi"/>
                <w:sz w:val="22"/>
              </w:rPr>
              <w:t xml:space="preserve"> zákona)</w:t>
            </w:r>
          </w:p>
          <w:p w14:paraId="160B3540" w14:textId="77777777" w:rsidR="00874F70"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M</w:t>
            </w:r>
            <w:r w:rsidRPr="00D51D2B">
              <w:rPr>
                <w:rFonts w:asciiTheme="minorHAnsi" w:hAnsiTheme="minorHAnsi" w:cstheme="minorHAnsi"/>
                <w:sz w:val="22"/>
              </w:rPr>
              <w:t>ají mimo jiné povinnost písemně oznámit vedoucímu orgánu veřejné správy, že je s veřejnými prostředky nakládáno nehospodárně, neefektivně a neúčelně</w:t>
            </w:r>
            <w:r>
              <w:rPr>
                <w:rFonts w:asciiTheme="minorHAnsi" w:hAnsiTheme="minorHAnsi" w:cstheme="minorHAnsi"/>
                <w:sz w:val="22"/>
              </w:rPr>
              <w:t xml:space="preserve"> (§ 27, odst. 3)</w:t>
            </w:r>
          </w:p>
          <w:p w14:paraId="4706941E" w14:textId="77777777" w:rsidR="00874F70" w:rsidRPr="00B4092A"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Zajišťují průběžnou a následnou kontrolu (</w:t>
            </w:r>
            <w:r w:rsidRPr="00B4092A">
              <w:rPr>
                <w:rFonts w:asciiTheme="minorHAnsi" w:hAnsiTheme="minorHAnsi" w:cstheme="minorHAnsi"/>
                <w:sz w:val="22"/>
              </w:rPr>
              <w:t xml:space="preserve">§ </w:t>
            </w:r>
            <w:r>
              <w:rPr>
                <w:rFonts w:asciiTheme="minorHAnsi" w:hAnsiTheme="minorHAnsi" w:cstheme="minorHAnsi"/>
                <w:sz w:val="22"/>
              </w:rPr>
              <w:t>27</w:t>
            </w:r>
            <w:r w:rsidRPr="00B4092A">
              <w:rPr>
                <w:rFonts w:asciiTheme="minorHAnsi" w:hAnsiTheme="minorHAnsi" w:cstheme="minorHAnsi"/>
                <w:sz w:val="22"/>
              </w:rPr>
              <w:t xml:space="preserve">, odst. </w:t>
            </w:r>
            <w:r>
              <w:rPr>
                <w:rFonts w:asciiTheme="minorHAnsi" w:hAnsiTheme="minorHAnsi" w:cstheme="minorHAnsi"/>
                <w:sz w:val="22"/>
              </w:rPr>
              <w:t>1)</w:t>
            </w:r>
          </w:p>
        </w:tc>
      </w:tr>
      <w:tr w:rsidR="00874F70" w:rsidRPr="0005730D" w14:paraId="4C312DB9" w14:textId="77777777" w:rsidTr="00874F70">
        <w:tc>
          <w:tcPr>
            <w:tcW w:w="1696" w:type="dxa"/>
            <w:vAlign w:val="center"/>
          </w:tcPr>
          <w:p w14:paraId="0FB4E7AC" w14:textId="77777777" w:rsidR="00874F70" w:rsidRPr="0005730D" w:rsidRDefault="00874F70" w:rsidP="00874F70">
            <w:pPr>
              <w:spacing w:line="240" w:lineRule="auto"/>
              <w:ind w:left="-57"/>
              <w:rPr>
                <w:rFonts w:asciiTheme="minorHAnsi" w:hAnsiTheme="minorHAnsi" w:cstheme="minorHAnsi"/>
                <w:sz w:val="22"/>
              </w:rPr>
            </w:pPr>
            <w:r>
              <w:rPr>
                <w:rFonts w:asciiTheme="minorHAnsi" w:hAnsiTheme="minorHAnsi" w:cstheme="minorHAnsi"/>
                <w:sz w:val="22"/>
              </w:rPr>
              <w:t>Vedoucí zaměstnanec v roli příkazce</w:t>
            </w:r>
          </w:p>
        </w:tc>
        <w:tc>
          <w:tcPr>
            <w:tcW w:w="7655" w:type="dxa"/>
            <w:vAlign w:val="center"/>
          </w:tcPr>
          <w:p w14:paraId="2A285CF2" w14:textId="77777777" w:rsidR="00874F70" w:rsidRPr="00D51D2B"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 xml:space="preserve">Zajišťuje předběžnou kontrolu </w:t>
            </w:r>
            <w:r w:rsidRPr="002A0759">
              <w:rPr>
                <w:rFonts w:asciiTheme="minorHAnsi" w:hAnsiTheme="minorHAnsi" w:cstheme="minorHAnsi"/>
                <w:sz w:val="22"/>
              </w:rPr>
              <w:t>plánovaných a připravovaných operací</w:t>
            </w:r>
            <w:r>
              <w:rPr>
                <w:rFonts w:asciiTheme="minorHAnsi" w:hAnsiTheme="minorHAnsi" w:cstheme="minorHAnsi"/>
                <w:sz w:val="22"/>
              </w:rPr>
              <w:t xml:space="preserve"> (</w:t>
            </w:r>
            <w:r w:rsidRPr="002A0759">
              <w:rPr>
                <w:rFonts w:asciiTheme="minorHAnsi" w:hAnsiTheme="minorHAnsi" w:cstheme="minorHAnsi"/>
                <w:sz w:val="22"/>
              </w:rPr>
              <w:t>§ 26</w:t>
            </w:r>
            <w:r>
              <w:rPr>
                <w:rFonts w:asciiTheme="minorHAnsi" w:hAnsiTheme="minorHAnsi" w:cstheme="minorHAnsi"/>
                <w:sz w:val="22"/>
              </w:rPr>
              <w:t xml:space="preserve">, odst. 1, pís. a) zákona o finanční kontrole), a to včetně problematiky </w:t>
            </w:r>
            <w:r w:rsidRPr="00D51D2B">
              <w:rPr>
                <w:rFonts w:asciiTheme="minorHAnsi" w:hAnsiTheme="minorHAnsi" w:cstheme="minorHAnsi"/>
                <w:sz w:val="22"/>
              </w:rPr>
              <w:t>prověření 3E</w:t>
            </w:r>
          </w:p>
          <w:p w14:paraId="698270E0" w14:textId="77777777" w:rsidR="00874F70" w:rsidRPr="002A0759"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lastRenderedPageBreak/>
              <w:t xml:space="preserve">V praxi to znamená </w:t>
            </w:r>
            <w:r w:rsidRPr="00D51D2B">
              <w:rPr>
                <w:rFonts w:asciiTheme="minorHAnsi" w:hAnsiTheme="minorHAnsi" w:cstheme="minorHAnsi"/>
                <w:sz w:val="22"/>
              </w:rPr>
              <w:t xml:space="preserve">prověření kritérií 3E </w:t>
            </w:r>
            <w:r>
              <w:rPr>
                <w:rFonts w:asciiTheme="minorHAnsi" w:hAnsiTheme="minorHAnsi" w:cstheme="minorHAnsi"/>
                <w:sz w:val="22"/>
              </w:rPr>
              <w:t>při každém nakládání s veřejnými prostředky (výdaj, příjem, jiné nakládání)</w:t>
            </w:r>
          </w:p>
        </w:tc>
      </w:tr>
      <w:tr w:rsidR="00874F70" w:rsidRPr="0005730D" w14:paraId="25EE73BE" w14:textId="77777777" w:rsidTr="00874F70">
        <w:tc>
          <w:tcPr>
            <w:tcW w:w="1696" w:type="dxa"/>
            <w:vAlign w:val="center"/>
          </w:tcPr>
          <w:p w14:paraId="15B3DEB6" w14:textId="77777777" w:rsidR="00874F70" w:rsidRPr="0005730D" w:rsidRDefault="00874F70" w:rsidP="00874F70">
            <w:pPr>
              <w:spacing w:line="240" w:lineRule="auto"/>
              <w:ind w:left="-57"/>
              <w:rPr>
                <w:rFonts w:asciiTheme="minorHAnsi" w:hAnsiTheme="minorHAnsi" w:cstheme="minorHAnsi"/>
                <w:sz w:val="22"/>
              </w:rPr>
            </w:pPr>
            <w:r>
              <w:rPr>
                <w:rFonts w:asciiTheme="minorHAnsi" w:hAnsiTheme="minorHAnsi" w:cstheme="minorHAnsi"/>
                <w:sz w:val="22"/>
              </w:rPr>
              <w:lastRenderedPageBreak/>
              <w:t>Zaměstnanec</w:t>
            </w:r>
          </w:p>
        </w:tc>
        <w:tc>
          <w:tcPr>
            <w:tcW w:w="7655" w:type="dxa"/>
            <w:vAlign w:val="center"/>
          </w:tcPr>
          <w:p w14:paraId="3073B10D" w14:textId="77777777" w:rsidR="00874F70"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Povinnosti plynou obvykle z vnitřních předpisů, popisu práce (rozsah pravomocí a odpovědností je povinen stanovit vedoucí orgánu)</w:t>
            </w:r>
          </w:p>
          <w:p w14:paraId="615C1DC2" w14:textId="77777777" w:rsidR="00874F70" w:rsidRPr="0005730D"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Pečuje o svěřené hodnoty (například hmotná odpovědnost na základě smlouvy o hmotné odpovědnosti)</w:t>
            </w:r>
          </w:p>
        </w:tc>
      </w:tr>
      <w:tr w:rsidR="00874F70" w:rsidRPr="0005730D" w14:paraId="68A40213" w14:textId="77777777" w:rsidTr="00874F70">
        <w:tc>
          <w:tcPr>
            <w:tcW w:w="1696" w:type="dxa"/>
            <w:vAlign w:val="center"/>
          </w:tcPr>
          <w:p w14:paraId="47DB18D0" w14:textId="77777777" w:rsidR="00874F70" w:rsidRPr="0005730D" w:rsidRDefault="00874F70" w:rsidP="00874F70">
            <w:pPr>
              <w:spacing w:line="240" w:lineRule="auto"/>
              <w:ind w:left="-57"/>
              <w:rPr>
                <w:rFonts w:asciiTheme="minorHAnsi" w:hAnsiTheme="minorHAnsi" w:cstheme="minorHAnsi"/>
                <w:sz w:val="22"/>
              </w:rPr>
            </w:pPr>
            <w:r>
              <w:rPr>
                <w:rFonts w:asciiTheme="minorHAnsi" w:hAnsiTheme="minorHAnsi" w:cstheme="minorHAnsi"/>
                <w:sz w:val="22"/>
              </w:rPr>
              <w:t>Auditor (interní audit)/ případně kontrolor</w:t>
            </w:r>
          </w:p>
        </w:tc>
        <w:tc>
          <w:tcPr>
            <w:tcW w:w="7655" w:type="dxa"/>
            <w:vAlign w:val="center"/>
          </w:tcPr>
          <w:p w14:paraId="3B53C6C5" w14:textId="77777777" w:rsidR="00874F70" w:rsidRDefault="00874F70" w:rsidP="0065698B">
            <w:pPr>
              <w:pStyle w:val="Odstavecseseznamem"/>
              <w:numPr>
                <w:ilvl w:val="0"/>
                <w:numId w:val="14"/>
              </w:numPr>
              <w:spacing w:line="240" w:lineRule="auto"/>
              <w:ind w:left="141" w:hanging="141"/>
              <w:rPr>
                <w:rFonts w:asciiTheme="minorHAnsi" w:hAnsiTheme="minorHAnsi" w:cstheme="minorHAnsi"/>
                <w:sz w:val="22"/>
              </w:rPr>
            </w:pPr>
            <w:r w:rsidRPr="00F27D29">
              <w:rPr>
                <w:rFonts w:asciiTheme="minorHAnsi" w:hAnsiTheme="minorHAnsi" w:cstheme="minorHAnsi"/>
                <w:sz w:val="22"/>
              </w:rPr>
              <w:t xml:space="preserve">Interní audit zahrnuje zejména audity výkonu, které zkoumají výběrovým způsobem hospodárnost, efektivnost a účelnost operací i přiměřenost a účinnost </w:t>
            </w:r>
            <w:r>
              <w:rPr>
                <w:rFonts w:asciiTheme="minorHAnsi" w:hAnsiTheme="minorHAnsi" w:cstheme="minorHAnsi"/>
                <w:sz w:val="22"/>
              </w:rPr>
              <w:t xml:space="preserve">(funkčnost) </w:t>
            </w:r>
            <w:r w:rsidRPr="00F27D29">
              <w:rPr>
                <w:rFonts w:asciiTheme="minorHAnsi" w:hAnsiTheme="minorHAnsi" w:cstheme="minorHAnsi"/>
                <w:sz w:val="22"/>
              </w:rPr>
              <w:t>vnitřního kontrolního systému</w:t>
            </w:r>
            <w:r>
              <w:rPr>
                <w:rFonts w:asciiTheme="minorHAnsi" w:hAnsiTheme="minorHAnsi" w:cstheme="minorHAnsi"/>
                <w:sz w:val="22"/>
              </w:rPr>
              <w:t xml:space="preserve"> (§ 28, odst. 4, pís. c) zákona o finanční kontrole)</w:t>
            </w:r>
          </w:p>
          <w:p w14:paraId="17FD39ED" w14:textId="77777777" w:rsidR="00874F70" w:rsidRPr="00485A2B" w:rsidRDefault="00874F70" w:rsidP="0065698B">
            <w:pPr>
              <w:pStyle w:val="Odstavecseseznamem"/>
              <w:numPr>
                <w:ilvl w:val="0"/>
                <w:numId w:val="14"/>
              </w:numPr>
              <w:spacing w:line="240" w:lineRule="auto"/>
              <w:ind w:left="141" w:hanging="141"/>
              <w:rPr>
                <w:rFonts w:asciiTheme="minorHAnsi" w:hAnsiTheme="minorHAnsi" w:cstheme="minorHAnsi"/>
                <w:sz w:val="22"/>
              </w:rPr>
            </w:pPr>
            <w:r>
              <w:rPr>
                <w:rFonts w:asciiTheme="minorHAnsi" w:hAnsiTheme="minorHAnsi" w:cstheme="minorHAnsi"/>
                <w:sz w:val="22"/>
              </w:rPr>
              <w:t xml:space="preserve">Předkládá doporučení </w:t>
            </w:r>
            <w:r w:rsidRPr="00485A2B">
              <w:rPr>
                <w:rFonts w:asciiTheme="minorHAnsi" w:hAnsiTheme="minorHAnsi" w:cstheme="minorHAnsi"/>
                <w:sz w:val="22"/>
              </w:rPr>
              <w:t>ke zdokonalování kvality vnitřního kontrolního systému</w:t>
            </w:r>
            <w:r>
              <w:rPr>
                <w:rFonts w:asciiTheme="minorHAnsi" w:hAnsiTheme="minorHAnsi" w:cstheme="minorHAnsi"/>
                <w:sz w:val="22"/>
              </w:rPr>
              <w:t xml:space="preserve"> </w:t>
            </w:r>
            <w:r w:rsidRPr="00485A2B">
              <w:rPr>
                <w:rFonts w:asciiTheme="minorHAnsi" w:hAnsiTheme="minorHAnsi" w:cstheme="minorHAnsi"/>
                <w:sz w:val="22"/>
              </w:rPr>
              <w:t>a k přijetí opatření k nápravě nedostatků. Současně útvar zajišťuje konzultační činnost (§ 28, odst. 3 zákona o finanční kontrole)</w:t>
            </w:r>
          </w:p>
        </w:tc>
      </w:tr>
    </w:tbl>
    <w:p w14:paraId="76F08FF4" w14:textId="109A3C39" w:rsidR="00874F70" w:rsidRDefault="00874F70" w:rsidP="00874F70">
      <w:pPr>
        <w:jc w:val="both"/>
        <w:rPr>
          <w:rFonts w:asciiTheme="minorHAnsi" w:hAnsiTheme="minorHAnsi"/>
          <w:i/>
        </w:rPr>
      </w:pPr>
      <w:r w:rsidRPr="00DC7F02">
        <w:rPr>
          <w:rFonts w:asciiTheme="minorHAnsi" w:hAnsiTheme="minorHAnsi"/>
          <w:i/>
        </w:rPr>
        <w:t xml:space="preserve">Zdroj: </w:t>
      </w:r>
      <w:r>
        <w:rPr>
          <w:rFonts w:asciiTheme="minorHAnsi" w:hAnsiTheme="minorHAnsi"/>
          <w:i/>
        </w:rPr>
        <w:t>Půček, Páleníková (2022</w:t>
      </w:r>
      <w:r w:rsidR="009F0A7C">
        <w:rPr>
          <w:rFonts w:asciiTheme="minorHAnsi" w:hAnsiTheme="minorHAnsi"/>
          <w:i/>
        </w:rPr>
        <w:t>a</w:t>
      </w:r>
      <w:r>
        <w:rPr>
          <w:rFonts w:asciiTheme="minorHAnsi" w:hAnsiTheme="minorHAnsi"/>
          <w:i/>
        </w:rPr>
        <w:t>)</w:t>
      </w:r>
    </w:p>
    <w:p w14:paraId="19DB882B" w14:textId="77777777" w:rsidR="00B05EBC" w:rsidRDefault="00B05EBC" w:rsidP="00874F70">
      <w:pPr>
        <w:jc w:val="both"/>
        <w:rPr>
          <w:rFonts w:asciiTheme="minorHAnsi" w:hAnsiTheme="minorHAnsi"/>
          <w:i/>
        </w:rPr>
      </w:pPr>
    </w:p>
    <w:p w14:paraId="01C481BD" w14:textId="3684145E" w:rsidR="00EE4B88" w:rsidRPr="00EE4B88" w:rsidRDefault="00EE4B88" w:rsidP="00EE4B88">
      <w:pPr>
        <w:pStyle w:val="Nadpis2"/>
        <w:spacing w:before="240" w:after="120"/>
        <w:ind w:left="578" w:hanging="578"/>
        <w:rPr>
          <w:rFonts w:asciiTheme="minorHAnsi" w:hAnsiTheme="minorHAnsi" w:cstheme="minorHAnsi"/>
          <w:color w:val="7493B0"/>
          <w:sz w:val="24"/>
          <w:szCs w:val="24"/>
          <w:lang w:val="cs-CZ"/>
        </w:rPr>
      </w:pPr>
      <w:bookmarkStart w:id="11" w:name="_Toc117269984"/>
      <w:r>
        <w:rPr>
          <w:rFonts w:asciiTheme="minorHAnsi" w:hAnsiTheme="minorHAnsi" w:cstheme="minorHAnsi"/>
          <w:color w:val="7493B0"/>
          <w:sz w:val="24"/>
          <w:szCs w:val="24"/>
          <w:lang w:val="cs-CZ"/>
        </w:rPr>
        <w:t xml:space="preserve">Zvládání </w:t>
      </w:r>
      <w:r w:rsidRPr="00875923">
        <w:rPr>
          <w:rFonts w:asciiTheme="minorHAnsi" w:hAnsiTheme="minorHAnsi" w:cstheme="minorHAnsi"/>
          <w:color w:val="7493B0"/>
          <w:sz w:val="24"/>
          <w:szCs w:val="24"/>
          <w:lang w:val="cs-CZ"/>
        </w:rPr>
        <w:t>rizik</w:t>
      </w:r>
      <w:r w:rsidR="00A73566">
        <w:rPr>
          <w:rFonts w:asciiTheme="minorHAnsi" w:hAnsiTheme="minorHAnsi" w:cstheme="minorHAnsi"/>
          <w:color w:val="7493B0"/>
          <w:sz w:val="24"/>
          <w:szCs w:val="24"/>
          <w:lang w:val="cs-CZ"/>
        </w:rPr>
        <w:t xml:space="preserve"> </w:t>
      </w:r>
      <w:r w:rsidR="006A4F5E">
        <w:rPr>
          <w:rFonts w:asciiTheme="minorHAnsi" w:hAnsiTheme="minorHAnsi" w:cstheme="minorHAnsi"/>
          <w:color w:val="7493B0"/>
          <w:sz w:val="24"/>
          <w:szCs w:val="24"/>
          <w:lang w:val="cs-CZ"/>
        </w:rPr>
        <w:t xml:space="preserve">a využívání příležitostí </w:t>
      </w:r>
      <w:r w:rsidR="00A73566">
        <w:rPr>
          <w:rFonts w:asciiTheme="minorHAnsi" w:hAnsiTheme="minorHAnsi" w:cstheme="minorHAnsi"/>
          <w:color w:val="7493B0"/>
          <w:sz w:val="24"/>
          <w:szCs w:val="24"/>
          <w:lang w:val="cs-CZ"/>
        </w:rPr>
        <w:t>při nakládání s veřejnými prostředky</w:t>
      </w:r>
      <w:bookmarkEnd w:id="11"/>
    </w:p>
    <w:p w14:paraId="2866FF25" w14:textId="0AC3E345" w:rsidR="00CB5962" w:rsidRDefault="00CB5962" w:rsidP="002C31FD">
      <w:pPr>
        <w:tabs>
          <w:tab w:val="num" w:pos="720"/>
        </w:tabs>
        <w:jc w:val="both"/>
        <w:rPr>
          <w:rFonts w:ascii="Calibri" w:hAnsi="Calibri"/>
        </w:rPr>
      </w:pPr>
      <w:r w:rsidRPr="000F2042">
        <w:rPr>
          <w:rFonts w:ascii="Calibri" w:hAnsi="Calibri"/>
        </w:rPr>
        <w:t xml:space="preserve">Problematika </w:t>
      </w:r>
      <w:r w:rsidRPr="00E94AD5">
        <w:rPr>
          <w:rFonts w:ascii="Calibri" w:hAnsi="Calibri"/>
          <w:b/>
        </w:rPr>
        <w:t>řízení rizik</w:t>
      </w:r>
      <w:r w:rsidRPr="000F2042">
        <w:rPr>
          <w:rFonts w:ascii="Calibri" w:hAnsi="Calibri"/>
        </w:rPr>
        <w:t xml:space="preserve"> </w:t>
      </w:r>
      <w:r w:rsidR="00874F70" w:rsidRPr="000F2042">
        <w:rPr>
          <w:rFonts w:ascii="Calibri" w:hAnsi="Calibri"/>
        </w:rPr>
        <w:t xml:space="preserve">v rámci strategické práce </w:t>
      </w:r>
      <w:r w:rsidRPr="000F2042">
        <w:rPr>
          <w:rFonts w:ascii="Calibri" w:hAnsi="Calibri"/>
        </w:rPr>
        <w:t>je popsána v samostatném nástroji stejně</w:t>
      </w:r>
      <w:r>
        <w:rPr>
          <w:rFonts w:ascii="Calibri" w:hAnsi="Calibri"/>
        </w:rPr>
        <w:t xml:space="preserve"> jako problematika </w:t>
      </w:r>
      <w:r w:rsidRPr="00E94AD5">
        <w:rPr>
          <w:rFonts w:ascii="Calibri" w:hAnsi="Calibri"/>
          <w:b/>
        </w:rPr>
        <w:t>využívání příležitostí</w:t>
      </w:r>
      <w:r>
        <w:rPr>
          <w:rFonts w:ascii="Calibri" w:hAnsi="Calibri"/>
        </w:rPr>
        <w:t>.</w:t>
      </w:r>
      <w:r w:rsidRPr="00C654C5">
        <w:rPr>
          <w:rFonts w:ascii="Calibri" w:hAnsi="Calibri"/>
        </w:rPr>
        <w:t xml:space="preserve"> </w:t>
      </w:r>
      <w:r w:rsidR="00874F70">
        <w:rPr>
          <w:rFonts w:ascii="Calibri" w:hAnsi="Calibri"/>
        </w:rPr>
        <w:t xml:space="preserve">Oba nástroje jsou k dispozici </w:t>
      </w:r>
      <w:r w:rsidR="00BD7F26">
        <w:rPr>
          <w:rFonts w:ascii="Calibri" w:hAnsi="Calibri"/>
        </w:rPr>
        <w:t>na „P</w:t>
      </w:r>
      <w:r w:rsidR="001B4BBD">
        <w:rPr>
          <w:rFonts w:ascii="Calibri" w:hAnsi="Calibri"/>
        </w:rPr>
        <w:t>ortálu strategické práce v</w:t>
      </w:r>
      <w:r w:rsidR="00BD7F26">
        <w:rPr>
          <w:rFonts w:ascii="Calibri" w:hAnsi="Calibri"/>
        </w:rPr>
        <w:t> </w:t>
      </w:r>
      <w:r w:rsidR="001B4BBD">
        <w:rPr>
          <w:rFonts w:ascii="Calibri" w:hAnsi="Calibri"/>
        </w:rPr>
        <w:t>ČR</w:t>
      </w:r>
      <w:r w:rsidR="00BD7F26">
        <w:rPr>
          <w:rFonts w:ascii="Calibri" w:hAnsi="Calibri"/>
        </w:rPr>
        <w:t>“</w:t>
      </w:r>
      <w:r w:rsidR="00EA0320">
        <w:rPr>
          <w:rStyle w:val="Znakapoznpodarou"/>
          <w:rFonts w:ascii="Calibri" w:hAnsi="Calibri"/>
        </w:rPr>
        <w:footnoteReference w:id="12"/>
      </w:r>
      <w:r w:rsidR="00874F70">
        <w:rPr>
          <w:rFonts w:ascii="Calibri" w:hAnsi="Calibri"/>
        </w:rPr>
        <w:t xml:space="preserve">. </w:t>
      </w:r>
      <w:r w:rsidR="009D34FD">
        <w:rPr>
          <w:rFonts w:ascii="Calibri" w:hAnsi="Calibri"/>
        </w:rPr>
        <w:t xml:space="preserve"> V kapitole 10 jsou též příklady hodnocení rizik.</w:t>
      </w:r>
    </w:p>
    <w:p w14:paraId="3292BCE4" w14:textId="77777777" w:rsidR="002A3AE6" w:rsidRDefault="002A3AE6" w:rsidP="002C31FD">
      <w:pPr>
        <w:tabs>
          <w:tab w:val="num" w:pos="720"/>
        </w:tabs>
        <w:jc w:val="both"/>
        <w:rPr>
          <w:rFonts w:ascii="Calibri" w:hAnsi="Calibri"/>
        </w:rPr>
      </w:pPr>
    </w:p>
    <w:p w14:paraId="202E62AE" w14:textId="1B65FC74" w:rsidR="00604602" w:rsidRDefault="002A3AE6" w:rsidP="002C31FD">
      <w:pPr>
        <w:tabs>
          <w:tab w:val="num" w:pos="720"/>
        </w:tabs>
        <w:jc w:val="both"/>
        <w:rPr>
          <w:rFonts w:ascii="Calibri" w:hAnsi="Calibri"/>
        </w:rPr>
      </w:pPr>
      <w:r>
        <w:rPr>
          <w:rFonts w:ascii="Calibri" w:hAnsi="Calibri"/>
        </w:rPr>
        <w:t>Jak je patrné z následujícího obrázku, p</w:t>
      </w:r>
      <w:r w:rsidR="00604602">
        <w:rPr>
          <w:rFonts w:ascii="Calibri" w:hAnsi="Calibri"/>
        </w:rPr>
        <w:t xml:space="preserve">roblematika zvládání rizik a využívání příležitostí se týká každé strategické práce. </w:t>
      </w:r>
    </w:p>
    <w:p w14:paraId="09C1B9D8" w14:textId="3645E3EC" w:rsidR="00604602" w:rsidRDefault="00604602" w:rsidP="00604602">
      <w:pPr>
        <w:pStyle w:val="Zkladntext3"/>
        <w:spacing w:after="0" w:line="360" w:lineRule="auto"/>
        <w:jc w:val="both"/>
        <w:rPr>
          <w:rFonts w:asciiTheme="minorHAnsi" w:eastAsia="Calibri" w:hAnsiTheme="minorHAnsi" w:cstheme="minorHAnsi"/>
          <w:i/>
          <w:iCs/>
          <w:sz w:val="24"/>
          <w:szCs w:val="24"/>
        </w:rPr>
      </w:pPr>
      <w:r w:rsidRPr="006E498E">
        <w:rPr>
          <w:rFonts w:asciiTheme="minorHAnsi" w:eastAsia="Calibri" w:hAnsiTheme="minorHAnsi" w:cstheme="minorHAnsi"/>
          <w:i/>
          <w:iCs/>
          <w:sz w:val="24"/>
          <w:szCs w:val="24"/>
        </w:rPr>
        <w:t>Obr.</w:t>
      </w:r>
      <w:r w:rsidR="00081FD0">
        <w:rPr>
          <w:rFonts w:asciiTheme="minorHAnsi" w:eastAsia="Calibri" w:hAnsiTheme="minorHAnsi" w:cstheme="minorHAnsi"/>
          <w:i/>
          <w:iCs/>
          <w:sz w:val="24"/>
          <w:szCs w:val="24"/>
        </w:rPr>
        <w:t xml:space="preserve"> </w:t>
      </w:r>
      <w:r w:rsidR="00257449">
        <w:rPr>
          <w:rFonts w:asciiTheme="minorHAnsi" w:eastAsia="Calibri" w:hAnsiTheme="minorHAnsi" w:cstheme="minorHAnsi"/>
          <w:i/>
          <w:iCs/>
          <w:sz w:val="24"/>
          <w:szCs w:val="24"/>
        </w:rPr>
        <w:t>9</w:t>
      </w:r>
      <w:r w:rsidRPr="006E498E">
        <w:rPr>
          <w:rFonts w:asciiTheme="minorHAnsi" w:eastAsia="Calibri" w:hAnsiTheme="minorHAnsi" w:cstheme="minorHAnsi"/>
          <w:i/>
          <w:iCs/>
          <w:sz w:val="24"/>
          <w:szCs w:val="24"/>
        </w:rPr>
        <w:t xml:space="preserve"> </w:t>
      </w:r>
      <w:r w:rsidR="002A3AE6">
        <w:rPr>
          <w:rFonts w:asciiTheme="minorHAnsi" w:eastAsia="Calibri" w:hAnsiTheme="minorHAnsi" w:cstheme="minorHAnsi"/>
          <w:i/>
          <w:iCs/>
          <w:sz w:val="24"/>
          <w:szCs w:val="24"/>
        </w:rPr>
        <w:t>Rizika a příležitosti v rámci strategické práce</w:t>
      </w:r>
    </w:p>
    <w:p w14:paraId="68035301" w14:textId="7CFA3445" w:rsidR="00604602" w:rsidRDefault="002A3AE6" w:rsidP="00604602">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mc:AlternateContent>
          <mc:Choice Requires="wpg">
            <w:drawing>
              <wp:anchor distT="0" distB="0" distL="114300" distR="114300" simplePos="0" relativeHeight="251567616" behindDoc="0" locked="0" layoutInCell="1" allowOverlap="1" wp14:anchorId="5841BE14" wp14:editId="45B3BDEE">
                <wp:simplePos x="0" y="0"/>
                <wp:positionH relativeFrom="column">
                  <wp:posOffset>121920</wp:posOffset>
                </wp:positionH>
                <wp:positionV relativeFrom="paragraph">
                  <wp:posOffset>19050</wp:posOffset>
                </wp:positionV>
                <wp:extent cx="5637530" cy="1546860"/>
                <wp:effectExtent l="0" t="0" r="20320" b="15240"/>
                <wp:wrapNone/>
                <wp:docPr id="248" name="Skupina 248"/>
                <wp:cNvGraphicFramePr/>
                <a:graphic xmlns:a="http://schemas.openxmlformats.org/drawingml/2006/main">
                  <a:graphicData uri="http://schemas.microsoft.com/office/word/2010/wordprocessingGroup">
                    <wpg:wgp>
                      <wpg:cNvGrpSpPr/>
                      <wpg:grpSpPr>
                        <a:xfrm>
                          <a:off x="0" y="0"/>
                          <a:ext cx="5637530" cy="1546860"/>
                          <a:chOff x="0" y="-175281"/>
                          <a:chExt cx="5638164" cy="1547389"/>
                        </a:xfrm>
                      </wpg:grpSpPr>
                      <wps:wsp>
                        <wps:cNvPr id="249" name="Textové pole 2"/>
                        <wps:cNvSpPr txBox="1">
                          <a:spLocks noChangeArrowheads="1"/>
                        </wps:cNvSpPr>
                        <wps:spPr bwMode="auto">
                          <a:xfrm>
                            <a:off x="1952405" y="-175281"/>
                            <a:ext cx="3685539" cy="555842"/>
                          </a:xfrm>
                          <a:prstGeom prst="rect">
                            <a:avLst/>
                          </a:prstGeom>
                          <a:solidFill>
                            <a:schemeClr val="bg1"/>
                          </a:solidFill>
                          <a:ln w="3175">
                            <a:solidFill>
                              <a:srgbClr val="0070C0"/>
                            </a:solidFill>
                            <a:prstDash val="solid"/>
                            <a:miter lim="800000"/>
                            <a:headEnd/>
                            <a:tailEnd/>
                          </a:ln>
                        </wps:spPr>
                        <wps:txbx>
                          <w:txbxContent>
                            <w:p w14:paraId="4A8BCEF4" w14:textId="381358F9" w:rsidR="00511D9B" w:rsidRPr="00D459B5" w:rsidRDefault="00511D9B" w:rsidP="00604602">
                              <w:pPr>
                                <w:spacing w:line="192" w:lineRule="auto"/>
                                <w:rPr>
                                  <w:rFonts w:asciiTheme="minorHAnsi" w:hAnsiTheme="minorHAnsi" w:cstheme="minorHAnsi"/>
                                  <w:sz w:val="22"/>
                                  <w:szCs w:val="22"/>
                                </w:rPr>
                              </w:pPr>
                              <w:r>
                                <w:rPr>
                                  <w:rFonts w:asciiTheme="minorHAnsi" w:hAnsiTheme="minorHAnsi" w:cstheme="minorHAnsi"/>
                                  <w:b/>
                                  <w:szCs w:val="22"/>
                                </w:rPr>
                                <w:t xml:space="preserve">Nakládání s veřejnými prostředky při běžné činnosti útvaru, kde je strategická práce zařazena </w:t>
                              </w:r>
                              <w:r w:rsidRPr="00AC27E2">
                                <w:rPr>
                                  <w:rFonts w:asciiTheme="minorHAnsi" w:hAnsiTheme="minorHAnsi" w:cstheme="minorHAnsi"/>
                                  <w:szCs w:val="22"/>
                                </w:rPr>
                                <w:t>(</w:t>
                              </w:r>
                              <w:r>
                                <w:rPr>
                                  <w:rFonts w:asciiTheme="minorHAnsi" w:hAnsiTheme="minorHAnsi" w:cstheme="minorHAnsi"/>
                                  <w:szCs w:val="22"/>
                                </w:rPr>
                                <w:t xml:space="preserve">výdaje na mzdy, na služební cesty, nákupy </w:t>
                              </w:r>
                              <w:r w:rsidRPr="00D459B5">
                                <w:rPr>
                                  <w:rFonts w:asciiTheme="minorHAnsi" w:hAnsiTheme="minorHAnsi"/>
                                  <w:sz w:val="22"/>
                                  <w:szCs w:val="22"/>
                                </w:rPr>
                                <w:t>atd.)</w:t>
                              </w:r>
                            </w:p>
                            <w:p w14:paraId="708F3E3B" w14:textId="77777777" w:rsidR="00511D9B" w:rsidRPr="00D459B5" w:rsidRDefault="00511D9B" w:rsidP="00604602">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250" name="Zakřivená spojnice 250"/>
                        <wps:cNvCnPr>
                          <a:stCxn id="251" idx="3"/>
                          <a:endCxn id="249" idx="1"/>
                        </wps:cNvCnPr>
                        <wps:spPr>
                          <a:xfrm flipV="1">
                            <a:off x="1584960" y="102640"/>
                            <a:ext cx="367444" cy="482265"/>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1" name="Textové pole 2"/>
                        <wps:cNvSpPr txBox="1">
                          <a:spLocks noChangeArrowheads="1"/>
                        </wps:cNvSpPr>
                        <wps:spPr bwMode="auto">
                          <a:xfrm>
                            <a:off x="0" y="182642"/>
                            <a:ext cx="1584960" cy="804524"/>
                          </a:xfrm>
                          <a:prstGeom prst="rect">
                            <a:avLst/>
                          </a:prstGeom>
                          <a:noFill/>
                          <a:ln w="3175">
                            <a:solidFill>
                              <a:srgbClr val="0070C0"/>
                            </a:solidFill>
                            <a:prstDash val="solid"/>
                            <a:miter lim="800000"/>
                            <a:headEnd/>
                            <a:tailEnd/>
                          </a:ln>
                        </wps:spPr>
                        <wps:txbx>
                          <w:txbxContent>
                            <w:p w14:paraId="316A9026" w14:textId="77777777" w:rsidR="00511D9B" w:rsidRDefault="00511D9B" w:rsidP="00604602">
                              <w:pPr>
                                <w:spacing w:line="180" w:lineRule="auto"/>
                                <w:jc w:val="center"/>
                                <w:rPr>
                                  <w:rFonts w:asciiTheme="minorHAnsi" w:hAnsiTheme="minorHAnsi" w:cstheme="minorHAnsi"/>
                                  <w:b/>
                                  <w:sz w:val="28"/>
                                </w:rPr>
                              </w:pPr>
                              <w:r w:rsidRPr="00604602">
                                <w:rPr>
                                  <w:rFonts w:asciiTheme="minorHAnsi" w:hAnsiTheme="minorHAnsi" w:cstheme="minorHAnsi"/>
                                  <w:b/>
                                  <w:sz w:val="28"/>
                                </w:rPr>
                                <w:t>Zvládání rizik</w:t>
                              </w:r>
                            </w:p>
                            <w:p w14:paraId="4253443C" w14:textId="4585B1EF" w:rsidR="00511D9B" w:rsidRPr="00604602" w:rsidRDefault="00511D9B" w:rsidP="00604602">
                              <w:pPr>
                                <w:spacing w:line="180" w:lineRule="auto"/>
                                <w:jc w:val="center"/>
                                <w:rPr>
                                  <w:rFonts w:asciiTheme="minorHAnsi" w:hAnsiTheme="minorHAnsi" w:cstheme="minorHAnsi"/>
                                  <w:b/>
                                  <w:sz w:val="28"/>
                                </w:rPr>
                              </w:pPr>
                              <w:r w:rsidRPr="00604602">
                                <w:rPr>
                                  <w:rFonts w:asciiTheme="minorHAnsi" w:hAnsiTheme="minorHAnsi" w:cstheme="minorHAnsi"/>
                                  <w:b/>
                                  <w:sz w:val="28"/>
                                </w:rPr>
                                <w:t>a využívání příležitostí v rámci strategické práce</w:t>
                              </w:r>
                            </w:p>
                            <w:p w14:paraId="0F6D93BB" w14:textId="77777777" w:rsidR="00511D9B" w:rsidRPr="00576CB4" w:rsidRDefault="00511D9B" w:rsidP="00604602">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52" name="Textové pole 2"/>
                        <wps:cNvSpPr txBox="1">
                          <a:spLocks noChangeArrowheads="1"/>
                        </wps:cNvSpPr>
                        <wps:spPr bwMode="auto">
                          <a:xfrm>
                            <a:off x="1952625" y="381000"/>
                            <a:ext cx="3685539" cy="418813"/>
                          </a:xfrm>
                          <a:prstGeom prst="rect">
                            <a:avLst/>
                          </a:prstGeom>
                          <a:solidFill>
                            <a:schemeClr val="bg1"/>
                          </a:solidFill>
                          <a:ln w="3175">
                            <a:solidFill>
                              <a:srgbClr val="0070C0"/>
                            </a:solidFill>
                            <a:prstDash val="solid"/>
                            <a:miter lim="800000"/>
                            <a:headEnd/>
                            <a:tailEnd/>
                          </a:ln>
                        </wps:spPr>
                        <wps:txbx>
                          <w:txbxContent>
                            <w:p w14:paraId="3A9D5DE6" w14:textId="77777777" w:rsidR="00511D9B" w:rsidRDefault="00511D9B" w:rsidP="00604602">
                              <w:pPr>
                                <w:spacing w:line="192" w:lineRule="auto"/>
                                <w:rPr>
                                  <w:rFonts w:asciiTheme="minorHAnsi" w:hAnsiTheme="minorHAnsi" w:cstheme="minorHAnsi"/>
                                  <w:b/>
                                  <w:szCs w:val="22"/>
                                </w:rPr>
                              </w:pPr>
                              <w:r>
                                <w:rPr>
                                  <w:rFonts w:asciiTheme="minorHAnsi" w:hAnsiTheme="minorHAnsi" w:cstheme="minorHAnsi"/>
                                  <w:b/>
                                  <w:szCs w:val="22"/>
                                </w:rPr>
                                <w:t xml:space="preserve">Klíčové projekty </w:t>
                              </w:r>
                            </w:p>
                            <w:p w14:paraId="79C92FEB" w14:textId="0BE24307" w:rsidR="00511D9B" w:rsidRPr="00D459B5" w:rsidRDefault="00511D9B" w:rsidP="00604602">
                              <w:pPr>
                                <w:spacing w:line="192" w:lineRule="auto"/>
                                <w:rPr>
                                  <w:rFonts w:asciiTheme="minorHAnsi" w:hAnsiTheme="minorHAnsi" w:cstheme="minorHAnsi"/>
                                  <w:sz w:val="22"/>
                                  <w:szCs w:val="22"/>
                                </w:rPr>
                              </w:pPr>
                              <w:r w:rsidRPr="00AC27E2">
                                <w:rPr>
                                  <w:rFonts w:asciiTheme="minorHAnsi" w:hAnsiTheme="minorHAnsi" w:cstheme="minorHAnsi"/>
                                  <w:szCs w:val="22"/>
                                </w:rPr>
                                <w:t>(</w:t>
                              </w:r>
                              <w:r>
                                <w:rPr>
                                  <w:rFonts w:asciiTheme="minorHAnsi" w:hAnsiTheme="minorHAnsi" w:cstheme="minorHAnsi"/>
                                  <w:szCs w:val="22"/>
                                </w:rPr>
                                <w:t>rizika a příležitosti projektu; výdajů/příjmů projektu</w:t>
                              </w:r>
                              <w:r w:rsidRPr="00D459B5">
                                <w:rPr>
                                  <w:rFonts w:asciiTheme="minorHAnsi" w:hAnsiTheme="minorHAnsi"/>
                                  <w:sz w:val="22"/>
                                  <w:szCs w:val="22"/>
                                </w:rPr>
                                <w:t>)</w:t>
                              </w:r>
                            </w:p>
                            <w:p w14:paraId="3640330C" w14:textId="77777777" w:rsidR="00511D9B" w:rsidRPr="00D459B5" w:rsidRDefault="00511D9B" w:rsidP="00604602">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253" name="Textové pole 2"/>
                        <wps:cNvSpPr txBox="1">
                          <a:spLocks noChangeArrowheads="1"/>
                        </wps:cNvSpPr>
                        <wps:spPr bwMode="auto">
                          <a:xfrm>
                            <a:off x="1952625" y="795244"/>
                            <a:ext cx="3685539" cy="576864"/>
                          </a:xfrm>
                          <a:prstGeom prst="rect">
                            <a:avLst/>
                          </a:prstGeom>
                          <a:solidFill>
                            <a:schemeClr val="bg1"/>
                          </a:solidFill>
                          <a:ln w="3175">
                            <a:solidFill>
                              <a:srgbClr val="0070C0"/>
                            </a:solidFill>
                            <a:prstDash val="solid"/>
                            <a:miter lim="800000"/>
                            <a:headEnd/>
                            <a:tailEnd/>
                          </a:ln>
                        </wps:spPr>
                        <wps:txbx>
                          <w:txbxContent>
                            <w:p w14:paraId="29768AC3" w14:textId="77777777" w:rsidR="00511D9B" w:rsidRDefault="00511D9B" w:rsidP="00604602">
                              <w:pPr>
                                <w:spacing w:line="192" w:lineRule="auto"/>
                                <w:rPr>
                                  <w:rFonts w:asciiTheme="minorHAnsi" w:hAnsiTheme="minorHAnsi" w:cstheme="minorHAnsi"/>
                                  <w:b/>
                                  <w:szCs w:val="22"/>
                                </w:rPr>
                              </w:pPr>
                              <w:r>
                                <w:rPr>
                                  <w:rFonts w:asciiTheme="minorHAnsi" w:hAnsiTheme="minorHAnsi" w:cstheme="minorHAnsi"/>
                                  <w:b/>
                                  <w:szCs w:val="22"/>
                                </w:rPr>
                                <w:t xml:space="preserve">Příprava / změna / evaluace veřejné strategie nebo implementačních plánů </w:t>
                              </w:r>
                            </w:p>
                            <w:p w14:paraId="57F323C2" w14:textId="1BDA86EA" w:rsidR="00511D9B" w:rsidRPr="00D459B5" w:rsidRDefault="00511D9B" w:rsidP="00604602">
                              <w:pPr>
                                <w:spacing w:line="192" w:lineRule="auto"/>
                                <w:rPr>
                                  <w:rFonts w:asciiTheme="minorHAnsi" w:hAnsiTheme="minorHAnsi" w:cstheme="minorHAnsi"/>
                                  <w:sz w:val="22"/>
                                  <w:szCs w:val="22"/>
                                </w:rPr>
                              </w:pPr>
                              <w:r w:rsidRPr="00D56E03">
                                <w:rPr>
                                  <w:rFonts w:asciiTheme="minorHAnsi" w:hAnsiTheme="minorHAnsi" w:cstheme="minorHAnsi"/>
                                  <w:szCs w:val="22"/>
                                </w:rPr>
                                <w:t>(</w:t>
                              </w:r>
                              <w:r>
                                <w:rPr>
                                  <w:rFonts w:asciiTheme="minorHAnsi" w:hAnsiTheme="minorHAnsi" w:cstheme="minorHAnsi"/>
                                  <w:szCs w:val="22"/>
                                </w:rPr>
                                <w:t>zpracování analýzy rizik a analýzy příležitostí</w:t>
                              </w:r>
                              <w:r w:rsidRPr="00D56E03">
                                <w:rPr>
                                  <w:rFonts w:asciiTheme="minorHAnsi" w:hAnsiTheme="minorHAnsi" w:cstheme="minorHAnsi"/>
                                  <w:szCs w:val="22"/>
                                </w:rPr>
                                <w:t>)</w:t>
                              </w:r>
                            </w:p>
                            <w:p w14:paraId="25AF9F7F" w14:textId="77777777" w:rsidR="00511D9B" w:rsidRPr="00D459B5" w:rsidRDefault="00511D9B" w:rsidP="00604602">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254" name="Zakřivená spojnice 254"/>
                        <wps:cNvCnPr>
                          <a:stCxn id="251" idx="3"/>
                          <a:endCxn id="252" idx="1"/>
                        </wps:cNvCnPr>
                        <wps:spPr>
                          <a:xfrm>
                            <a:off x="1584960" y="584905"/>
                            <a:ext cx="367664" cy="5502"/>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5" name="Zakřivená spojnice 255"/>
                        <wps:cNvCnPr>
                          <a:stCxn id="251" idx="3"/>
                          <a:endCxn id="253" idx="1"/>
                        </wps:cNvCnPr>
                        <wps:spPr>
                          <a:xfrm>
                            <a:off x="1584960" y="584905"/>
                            <a:ext cx="367664" cy="498772"/>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841BE14" id="Skupina 248" o:spid="_x0000_s1163" style="position:absolute;left:0;text-align:left;margin-left:9.6pt;margin-top:1.5pt;width:443.9pt;height:121.8pt;z-index:251567616;mso-position-horizontal-relative:text;mso-position-vertical-relative:text;mso-height-relative:margin" coordorigin=",-1752" coordsize="56381,1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PZ0gQAAFYYAAAOAAAAZHJzL2Uyb0RvYy54bWzsWcty2zYU3Xem/4DhPhZJESKlMZ1J5cTT&#10;maTx1GkX3UEk+IhJgAUgUeqfdNllviPT/+oFwIelKnbjTFqnsRc0QbzuPffcB6DTp9u6QhsqZMlZ&#10;7HgnroMoS3hasjx2fnrz4knkIKkIS0nFGY2dHZXO07NvvzltmwX1ecGrlAoEizC5aJvYKZRqFpOJ&#10;TApaE3nCG8qgM+OiJgqaIp+kgrSwel1NfNedTVou0kbwhEoJX89tp3Nm1s8ymqjXWSapQlXsgGzK&#10;PIV5rvRzcnZKFrkgTVEmnRjkHlLUpGSw6bDUOVEErUX5t6XqMhFc8kydJLye8CwrE2p0AG0890Cb&#10;C8HXjdElX7R5M8AE0B7gdO9lkx82lwKVaez4AZiKkRqMdHW9bkpGkP4EALVNvoBxF6K5ai5F9yG3&#10;La3zNhO1/g/aoK2BdjdAS7cKJfARz6YhnoIFEujzcDCLZh34SQEWGuc98ULsR541TFI8H+dH3iwY&#10;5ofTaK7HTPrtJ1rKQai2ATrJETH5aYhdFaShxhBSIzEgNu8RewN68s37d6jhFUW+Rc2M1ZAhtf2O&#10;AwieoYhsXvLkWiLGlwVhOX0mBG8LSlIQ0ugNqgxTNfpyIfUiq/YVT8E6ZK24WegAd2+O/cDFDgKE&#10;91DsbTCdRRhPQWZtA4xxFBhBBwjJohFSXVBeI/0SOwLcx+xENi+lsmj3Q7TBJa/K9EVZVaahXZYu&#10;K4E2BJxtlVtdDkZVDLWxMwUjWyz2VhD5apjvuqG7NBQB+fY20hKcE1nYfUyXZUtdKoglVVnHTuTq&#10;P/tZQ/ucpSA+WShSVvYdVq0Y8KeH1wKttqut8QYc9jZc8XQH6AtuYwfEOngpuPjNQS3EjdiRv66J&#10;oA6qvmdgwbkXBDrQmEaAQx8a4mbP6mYPYQksFTvKQfZ1qUxw0rIy/gwsnZUGeC2mlaSTGdhtRf78&#10;NMeggg0Mv5DrP38vN5S9/wPJhr9lEL2QD/0mKBjSLtmlMHRQyy2zgQV7DrwA/6fWIJSlQ18AdDR9&#10;e8y3i4ymsU6Osqpsfu7dqIs2HtB4DrFEs95z/RmAbyw9kj4Mgi5uBJHvz7Du/zDnk7XY0HTJGQPy&#10;czEd+a+1ytMOCZK+Ba2yuoJsAXxHuOcbrGy8xexx01k02w6YbLLc6DJqe9RlOv4itWvA+znsBsyL&#10;nZqmwDkKWVe/3WR3N1KJEsJLBcw8Nvo4/6XaVVTLWbEfadZbxgi+794kSShTvbxmtB6VQTAYJrrW&#10;xW+b2I3XU6nJ1h8zeZhhduZMDZPrknFxbPcR4syO7yOA1Xv0Ms0R3fo33QwIZd3sIWSTzqMi8CiT&#10;JcBAXSoePE6nkcgNIOvc7lJ3pRHGdQ4xDP5i0kNXGPVB+atOD/5D4q2ugma+rYKmkTdUAT1794qg&#10;wIsiz2SlDyeEu9i7V5scRPQvvQgyJfYYFL9qlk8fKstDXfebEDzG6D2W4xBOW58Yo//HLLcH0UeW&#10;6zsADJXyraW+oZHGCo7BH1nqY8gT/7TU1xXdkQJf1/pwwjWlwhjQw1l/MYCxe8eR9rG8fyzv4Tj/&#10;X5T3UJPc6lqG1/d0LUhOn9m1gnkUho/OlXZHnSN3R49n5+6Gas+5zL0sXF6b+5Duol3fjt9sm7P2&#10;+HPA2V8AAAD//wMAUEsDBBQABgAIAAAAIQC5DoCj3wAAAAgBAAAPAAAAZHJzL2Rvd25yZXYueG1s&#10;TI9BS8NAEIXvgv9hGcGb3STV2MZsSinqqQi2gvS2zU6T0OxsyG6T9N87nvQ2j/d48718NdlWDNj7&#10;xpGCeBaBQCqdaahS8LV/e1iA8EGT0a0jVHBFD6vi9ibXmXEjfeKwC5XgEvKZVlCH0GVS+rJGq/3M&#10;dUjsnVxvdWDZV9L0euRy28okilJpdUP8odYdbmosz7uLVfA+6nE9j1+H7fm0uR72Tx/f2xiVur+b&#10;1i8gAk7hLwy/+IwOBTMd3YWMFy3rZcJJBXNexPYyeubjqCB5TFOQRS7/Dyh+AAAA//8DAFBLAQIt&#10;ABQABgAIAAAAIQC2gziS/gAAAOEBAAATAAAAAAAAAAAAAAAAAAAAAABbQ29udGVudF9UeXBlc10u&#10;eG1sUEsBAi0AFAAGAAgAAAAhADj9If/WAAAAlAEAAAsAAAAAAAAAAAAAAAAALwEAAF9yZWxzLy5y&#10;ZWxzUEsBAi0AFAAGAAgAAAAhAFIww9nSBAAAVhgAAA4AAAAAAAAAAAAAAAAALgIAAGRycy9lMm9E&#10;b2MueG1sUEsBAi0AFAAGAAgAAAAhALkOgKPfAAAACAEAAA8AAAAAAAAAAAAAAAAALAcAAGRycy9k&#10;b3ducmV2LnhtbFBLBQYAAAAABAAEAPMAAAA4CAAAAAA=&#10;">
                <v:shape id="_x0000_s1164" type="#_x0000_t202" style="position:absolute;left:19524;top:-1752;width:36855;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yqwwAAANwAAAAPAAAAZHJzL2Rvd25yZXYueG1sRI9Bi8Iw&#10;FITvwv6H8IS9aaqo2K5RyoKu4MkquMdH82yLzUtpYq3/3ggLexxm5htmtelNLTpqXWVZwWQcgSDO&#10;ra64UHA+bUdLEM4ja6wtk4InOdisPwYrTLR98JG6zBciQNglqKD0vkmkdHlJBt3YNsTBu9rWoA+y&#10;LaRu8RHgppbTKFpIgxWHhRIb+i4pv2V3owB/43RH6bw7NOf7xNy6S/yzvSj1OezTLxCeev8f/mvv&#10;tYLpLIb3mXAE5PoFAAD//wMAUEsBAi0AFAAGAAgAAAAhANvh9svuAAAAhQEAABMAAAAAAAAAAAAA&#10;AAAAAAAAAFtDb250ZW50X1R5cGVzXS54bWxQSwECLQAUAAYACAAAACEAWvQsW78AAAAVAQAACwAA&#10;AAAAAAAAAAAAAAAfAQAAX3JlbHMvLnJlbHNQSwECLQAUAAYACAAAACEA4jP8qsMAAADcAAAADwAA&#10;AAAAAAAAAAAAAAAHAgAAZHJzL2Rvd25yZXYueG1sUEsFBgAAAAADAAMAtwAAAPcCAAAAAA==&#10;" fillcolor="white [3212]" strokecolor="#0070c0" strokeweight=".25pt">
                  <v:textbox>
                    <w:txbxContent>
                      <w:p w14:paraId="4A8BCEF4" w14:textId="381358F9" w:rsidR="00511D9B" w:rsidRPr="00D459B5" w:rsidRDefault="00511D9B" w:rsidP="00604602">
                        <w:pPr>
                          <w:spacing w:line="192" w:lineRule="auto"/>
                          <w:rPr>
                            <w:rFonts w:asciiTheme="minorHAnsi" w:hAnsiTheme="minorHAnsi" w:cstheme="minorHAnsi"/>
                            <w:sz w:val="22"/>
                            <w:szCs w:val="22"/>
                          </w:rPr>
                        </w:pPr>
                        <w:r>
                          <w:rPr>
                            <w:rFonts w:asciiTheme="minorHAnsi" w:hAnsiTheme="minorHAnsi" w:cstheme="minorHAnsi"/>
                            <w:b/>
                            <w:szCs w:val="22"/>
                          </w:rPr>
                          <w:t xml:space="preserve">Nakládání s veřejnými prostředky při běžné činnosti útvaru, kde je strategická práce zařazena </w:t>
                        </w:r>
                        <w:r w:rsidRPr="00AC27E2">
                          <w:rPr>
                            <w:rFonts w:asciiTheme="minorHAnsi" w:hAnsiTheme="minorHAnsi" w:cstheme="minorHAnsi"/>
                            <w:szCs w:val="22"/>
                          </w:rPr>
                          <w:t>(</w:t>
                        </w:r>
                        <w:r>
                          <w:rPr>
                            <w:rFonts w:asciiTheme="minorHAnsi" w:hAnsiTheme="minorHAnsi" w:cstheme="minorHAnsi"/>
                            <w:szCs w:val="22"/>
                          </w:rPr>
                          <w:t xml:space="preserve">výdaje na mzdy, na služební cesty, nákupy </w:t>
                        </w:r>
                        <w:r w:rsidRPr="00D459B5">
                          <w:rPr>
                            <w:rFonts w:asciiTheme="minorHAnsi" w:hAnsiTheme="minorHAnsi"/>
                            <w:sz w:val="22"/>
                            <w:szCs w:val="22"/>
                          </w:rPr>
                          <w:t>atd.)</w:t>
                        </w:r>
                      </w:p>
                      <w:p w14:paraId="708F3E3B" w14:textId="77777777" w:rsidR="00511D9B" w:rsidRPr="00D459B5" w:rsidRDefault="00511D9B" w:rsidP="00604602">
                        <w:pPr>
                          <w:spacing w:line="192" w:lineRule="auto"/>
                          <w:rPr>
                            <w:rFonts w:asciiTheme="minorHAnsi" w:hAnsiTheme="minorHAnsi" w:cstheme="minorHAnsi"/>
                            <w:b/>
                            <w:sz w:val="22"/>
                            <w:szCs w:val="22"/>
                          </w:rPr>
                        </w:pPr>
                      </w:p>
                    </w:txbxContent>
                  </v:textbox>
                </v:shape>
                <v:shape id="Zakřivená spojnice 250" o:spid="_x0000_s1165" type="#_x0000_t38" style="position:absolute;left:15849;top:1026;width:3675;height:482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6SwgAAANwAAAAPAAAAZHJzL2Rvd25yZXYueG1sRE9ba8Iw&#10;FH4X/A/hCHsRm65Dka5RZOAY25MXfD5rztqw5qQmsXb/fnkY7PHju1fb0XZiIB+MYwWPWQ6CuHba&#10;cKPgfNov1iBCRNbYOSYFPxRgu5lOKiy1u/OBhmNsRArhUKKCNsa+lDLULVkMmeuJE/flvMWYoG+k&#10;9nhP4baTRZ6vpEXDqaHFnl5aqr+PN6sgzt/X4fq0Mmf94T/NpX8thlAo9TAbd88gIo3xX/znftMK&#10;imWan86kIyA3vwAAAP//AwBQSwECLQAUAAYACAAAACEA2+H2y+4AAACFAQAAEwAAAAAAAAAAAAAA&#10;AAAAAAAAW0NvbnRlbnRfVHlwZXNdLnhtbFBLAQItABQABgAIAAAAIQBa9CxbvwAAABUBAAALAAAA&#10;AAAAAAAAAAAAAB8BAABfcmVscy8ucmVsc1BLAQItABQABgAIAAAAIQDAAE6SwgAAANwAAAAPAAAA&#10;AAAAAAAAAAAAAAcCAABkcnMvZG93bnJldi54bWxQSwUGAAAAAAMAAwC3AAAA9gIAAAAA&#10;" adj="10800" strokecolor="black [3213]" strokeweight=".5pt">
                  <v:stroke startarrow="oval" endarrow="block" joinstyle="miter"/>
                </v:shape>
                <v:shape id="_x0000_s1166" type="#_x0000_t202" style="position:absolute;top:1826;width:15849;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FIxQAAANwAAAAPAAAAZHJzL2Rvd25yZXYueG1sRI9Ba8JA&#10;FITvhf6H5RW8FN3EVpHoJqgoeCrWCl4f2WeSNvs2ZFfd/ntXKPQ4zMw3zKIIphVX6l1jWUE6SkAQ&#10;l1Y3XCk4fm2HMxDOI2tsLZOCX3JQ5M9PC8y0vfEnXQ++EhHCLkMFtfddJqUrazLoRrYjjt7Z9gZ9&#10;lH0ldY+3CDetHCfJVBpsOC7U2NG6pvLncDEK9pfJ7p3Cd9i8TtvSnFap/nhLlRq8hOUchKfg/8N/&#10;7Z1WMJ6k8DgTj4DM7wAAAP//AwBQSwECLQAUAAYACAAAACEA2+H2y+4AAACFAQAAEwAAAAAAAAAA&#10;AAAAAAAAAAAAW0NvbnRlbnRfVHlwZXNdLnhtbFBLAQItABQABgAIAAAAIQBa9CxbvwAAABUBAAAL&#10;AAAAAAAAAAAAAAAAAB8BAABfcmVscy8ucmVsc1BLAQItABQABgAIAAAAIQC5NiFIxQAAANwAAAAP&#10;AAAAAAAAAAAAAAAAAAcCAABkcnMvZG93bnJldi54bWxQSwUGAAAAAAMAAwC3AAAA+QIAAAAA&#10;" filled="f" strokecolor="#0070c0" strokeweight=".25pt">
                  <v:textbox>
                    <w:txbxContent>
                      <w:p w14:paraId="316A9026" w14:textId="77777777" w:rsidR="00511D9B" w:rsidRDefault="00511D9B" w:rsidP="00604602">
                        <w:pPr>
                          <w:spacing w:line="180" w:lineRule="auto"/>
                          <w:jc w:val="center"/>
                          <w:rPr>
                            <w:rFonts w:asciiTheme="minorHAnsi" w:hAnsiTheme="minorHAnsi" w:cstheme="minorHAnsi"/>
                            <w:b/>
                            <w:sz w:val="28"/>
                          </w:rPr>
                        </w:pPr>
                        <w:r w:rsidRPr="00604602">
                          <w:rPr>
                            <w:rFonts w:asciiTheme="minorHAnsi" w:hAnsiTheme="minorHAnsi" w:cstheme="minorHAnsi"/>
                            <w:b/>
                            <w:sz w:val="28"/>
                          </w:rPr>
                          <w:t>Zvládání rizik</w:t>
                        </w:r>
                      </w:p>
                      <w:p w14:paraId="4253443C" w14:textId="4585B1EF" w:rsidR="00511D9B" w:rsidRPr="00604602" w:rsidRDefault="00511D9B" w:rsidP="00604602">
                        <w:pPr>
                          <w:spacing w:line="180" w:lineRule="auto"/>
                          <w:jc w:val="center"/>
                          <w:rPr>
                            <w:rFonts w:asciiTheme="minorHAnsi" w:hAnsiTheme="minorHAnsi" w:cstheme="minorHAnsi"/>
                            <w:b/>
                            <w:sz w:val="28"/>
                          </w:rPr>
                        </w:pPr>
                        <w:r w:rsidRPr="00604602">
                          <w:rPr>
                            <w:rFonts w:asciiTheme="minorHAnsi" w:hAnsiTheme="minorHAnsi" w:cstheme="minorHAnsi"/>
                            <w:b/>
                            <w:sz w:val="28"/>
                          </w:rPr>
                          <w:t>a využívání příležitostí v rámci strategické práce</w:t>
                        </w:r>
                      </w:p>
                      <w:p w14:paraId="0F6D93BB" w14:textId="77777777" w:rsidR="00511D9B" w:rsidRPr="00576CB4" w:rsidRDefault="00511D9B" w:rsidP="00604602">
                        <w:pPr>
                          <w:spacing w:line="180" w:lineRule="auto"/>
                          <w:jc w:val="center"/>
                          <w:rPr>
                            <w:rFonts w:asciiTheme="minorHAnsi" w:hAnsiTheme="minorHAnsi" w:cstheme="minorHAnsi"/>
                            <w:b/>
                            <w:sz w:val="20"/>
                          </w:rPr>
                        </w:pPr>
                      </w:p>
                    </w:txbxContent>
                  </v:textbox>
                </v:shape>
                <v:shape id="_x0000_s1167" type="#_x0000_t202" style="position:absolute;left:19526;top:3810;width:36855;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gGwwAAANwAAAAPAAAAZHJzL2Rvd25yZXYueG1sRI9Lq8Iw&#10;FIT3F/wP4QjurqkF5VqNUgQf4MoH6PLQHNtic1KaWOu/N4Jwl8PMfMPMl52pREuNKy0rGA0jEMSZ&#10;1SXnCs6n9e8fCOeRNVaWScGLHCwXvZ85Jto++UDt0eciQNglqKDwvk6kdFlBBt3Q1sTBu9nGoA+y&#10;yaVu8BngppJxFE2kwZLDQoE1rQrK7seHUYDXabqhdNzu6/NjZO7tZbpdX5Qa9Lt0BsJT5//D3/ZO&#10;K4jHMXzOhCMgF28AAAD//wMAUEsBAi0AFAAGAAgAAAAhANvh9svuAAAAhQEAABMAAAAAAAAAAAAA&#10;AAAAAAAAAFtDb250ZW50X1R5cGVzXS54bWxQSwECLQAUAAYACAAAACEAWvQsW78AAAAVAQAACwAA&#10;AAAAAAAAAAAAAAAfAQAAX3JlbHMvLnJlbHNQSwECLQAUAAYACAAAACEAaU74BsMAAADcAAAADwAA&#10;AAAAAAAAAAAAAAAHAgAAZHJzL2Rvd25yZXYueG1sUEsFBgAAAAADAAMAtwAAAPcCAAAAAA==&#10;" fillcolor="white [3212]" strokecolor="#0070c0" strokeweight=".25pt">
                  <v:textbox>
                    <w:txbxContent>
                      <w:p w14:paraId="3A9D5DE6" w14:textId="77777777" w:rsidR="00511D9B" w:rsidRDefault="00511D9B" w:rsidP="00604602">
                        <w:pPr>
                          <w:spacing w:line="192" w:lineRule="auto"/>
                          <w:rPr>
                            <w:rFonts w:asciiTheme="minorHAnsi" w:hAnsiTheme="minorHAnsi" w:cstheme="minorHAnsi"/>
                            <w:b/>
                            <w:szCs w:val="22"/>
                          </w:rPr>
                        </w:pPr>
                        <w:r>
                          <w:rPr>
                            <w:rFonts w:asciiTheme="minorHAnsi" w:hAnsiTheme="minorHAnsi" w:cstheme="minorHAnsi"/>
                            <w:b/>
                            <w:szCs w:val="22"/>
                          </w:rPr>
                          <w:t xml:space="preserve">Klíčové projekty </w:t>
                        </w:r>
                      </w:p>
                      <w:p w14:paraId="79C92FEB" w14:textId="0BE24307" w:rsidR="00511D9B" w:rsidRPr="00D459B5" w:rsidRDefault="00511D9B" w:rsidP="00604602">
                        <w:pPr>
                          <w:spacing w:line="192" w:lineRule="auto"/>
                          <w:rPr>
                            <w:rFonts w:asciiTheme="minorHAnsi" w:hAnsiTheme="minorHAnsi" w:cstheme="minorHAnsi"/>
                            <w:sz w:val="22"/>
                            <w:szCs w:val="22"/>
                          </w:rPr>
                        </w:pPr>
                        <w:r w:rsidRPr="00AC27E2">
                          <w:rPr>
                            <w:rFonts w:asciiTheme="minorHAnsi" w:hAnsiTheme="minorHAnsi" w:cstheme="minorHAnsi"/>
                            <w:szCs w:val="22"/>
                          </w:rPr>
                          <w:t>(</w:t>
                        </w:r>
                        <w:r>
                          <w:rPr>
                            <w:rFonts w:asciiTheme="minorHAnsi" w:hAnsiTheme="minorHAnsi" w:cstheme="minorHAnsi"/>
                            <w:szCs w:val="22"/>
                          </w:rPr>
                          <w:t>rizika a příležitosti projektu; výdajů/příjmů projektu</w:t>
                        </w:r>
                        <w:r w:rsidRPr="00D459B5">
                          <w:rPr>
                            <w:rFonts w:asciiTheme="minorHAnsi" w:hAnsiTheme="minorHAnsi"/>
                            <w:sz w:val="22"/>
                            <w:szCs w:val="22"/>
                          </w:rPr>
                          <w:t>)</w:t>
                        </w:r>
                      </w:p>
                      <w:p w14:paraId="3640330C" w14:textId="77777777" w:rsidR="00511D9B" w:rsidRPr="00D459B5" w:rsidRDefault="00511D9B" w:rsidP="00604602">
                        <w:pPr>
                          <w:spacing w:line="192" w:lineRule="auto"/>
                          <w:rPr>
                            <w:rFonts w:asciiTheme="minorHAnsi" w:hAnsiTheme="minorHAnsi" w:cstheme="minorHAnsi"/>
                            <w:b/>
                            <w:sz w:val="22"/>
                            <w:szCs w:val="22"/>
                          </w:rPr>
                        </w:pPr>
                      </w:p>
                    </w:txbxContent>
                  </v:textbox>
                </v:shape>
                <v:shape id="_x0000_s1168" type="#_x0000_t202" style="position:absolute;left:19526;top:7952;width:36855;height:5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2dxAAAANwAAAAPAAAAZHJzL2Rvd25yZXYueG1sRI9Pi8Iw&#10;FMTvwn6H8Bb2pqkuyrY2SllwFTz5B9zjo3m2xealNLHWb28EweMwM79h0mVvatFR6yrLCsajCARx&#10;bnXFhYLjYTX8AeE8ssbaMim4k4Pl4mOQYqLtjXfU7X0hAoRdggpK75tESpeXZNCNbEMcvLNtDfog&#10;20LqFm8Bbmo5iaKZNFhxWCixod+S8sv+ahTgf5z9UTbtts3xOjaX7hSvVyelvj77bA7CU+/f4Vd7&#10;oxVMpt/wPBOOgFw8AAAA//8DAFBLAQItABQABgAIAAAAIQDb4fbL7gAAAIUBAAATAAAAAAAAAAAA&#10;AAAAAAAAAABbQ29udGVudF9UeXBlc10ueG1sUEsBAi0AFAAGAAgAAAAhAFr0LFu/AAAAFQEAAAsA&#10;AAAAAAAAAAAAAAAAHwEAAF9yZWxzLy5yZWxzUEsBAi0AFAAGAAgAAAAhAAYCXZ3EAAAA3AAAAA8A&#10;AAAAAAAAAAAAAAAABwIAAGRycy9kb3ducmV2LnhtbFBLBQYAAAAAAwADALcAAAD4AgAAAAA=&#10;" fillcolor="white [3212]" strokecolor="#0070c0" strokeweight=".25pt">
                  <v:textbox>
                    <w:txbxContent>
                      <w:p w14:paraId="29768AC3" w14:textId="77777777" w:rsidR="00511D9B" w:rsidRDefault="00511D9B" w:rsidP="00604602">
                        <w:pPr>
                          <w:spacing w:line="192" w:lineRule="auto"/>
                          <w:rPr>
                            <w:rFonts w:asciiTheme="minorHAnsi" w:hAnsiTheme="minorHAnsi" w:cstheme="minorHAnsi"/>
                            <w:b/>
                            <w:szCs w:val="22"/>
                          </w:rPr>
                        </w:pPr>
                        <w:r>
                          <w:rPr>
                            <w:rFonts w:asciiTheme="minorHAnsi" w:hAnsiTheme="minorHAnsi" w:cstheme="minorHAnsi"/>
                            <w:b/>
                            <w:szCs w:val="22"/>
                          </w:rPr>
                          <w:t xml:space="preserve">Příprava / změna / evaluace veřejné strategie nebo implementačních plánů </w:t>
                        </w:r>
                      </w:p>
                      <w:p w14:paraId="57F323C2" w14:textId="1BDA86EA" w:rsidR="00511D9B" w:rsidRPr="00D459B5" w:rsidRDefault="00511D9B" w:rsidP="00604602">
                        <w:pPr>
                          <w:spacing w:line="192" w:lineRule="auto"/>
                          <w:rPr>
                            <w:rFonts w:asciiTheme="minorHAnsi" w:hAnsiTheme="minorHAnsi" w:cstheme="minorHAnsi"/>
                            <w:sz w:val="22"/>
                            <w:szCs w:val="22"/>
                          </w:rPr>
                        </w:pPr>
                        <w:r w:rsidRPr="00D56E03">
                          <w:rPr>
                            <w:rFonts w:asciiTheme="minorHAnsi" w:hAnsiTheme="minorHAnsi" w:cstheme="minorHAnsi"/>
                            <w:szCs w:val="22"/>
                          </w:rPr>
                          <w:t>(</w:t>
                        </w:r>
                        <w:r>
                          <w:rPr>
                            <w:rFonts w:asciiTheme="minorHAnsi" w:hAnsiTheme="minorHAnsi" w:cstheme="minorHAnsi"/>
                            <w:szCs w:val="22"/>
                          </w:rPr>
                          <w:t>zpracování analýzy rizik a analýzy příležitostí</w:t>
                        </w:r>
                        <w:r w:rsidRPr="00D56E03">
                          <w:rPr>
                            <w:rFonts w:asciiTheme="minorHAnsi" w:hAnsiTheme="minorHAnsi" w:cstheme="minorHAnsi"/>
                            <w:szCs w:val="22"/>
                          </w:rPr>
                          <w:t>)</w:t>
                        </w:r>
                      </w:p>
                      <w:p w14:paraId="25AF9F7F" w14:textId="77777777" w:rsidR="00511D9B" w:rsidRPr="00D459B5" w:rsidRDefault="00511D9B" w:rsidP="00604602">
                        <w:pPr>
                          <w:spacing w:line="192" w:lineRule="auto"/>
                          <w:rPr>
                            <w:rFonts w:asciiTheme="minorHAnsi" w:hAnsiTheme="minorHAnsi" w:cstheme="minorHAnsi"/>
                            <w:b/>
                            <w:sz w:val="22"/>
                            <w:szCs w:val="22"/>
                          </w:rPr>
                        </w:pPr>
                      </w:p>
                    </w:txbxContent>
                  </v:textbox>
                </v:shape>
                <v:shape id="Zakřivená spojnice 254" o:spid="_x0000_s1169" type="#_x0000_t38" style="position:absolute;left:15849;top:5849;width:3677;height:5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PMdxAAAANwAAAAPAAAAZHJzL2Rvd25yZXYueG1sRI/NasMw&#10;EITvhb6D2EJujRznh9aNbEqIS651euhxkba2ibVyLSV23r4KBHocZr4ZZltMthMXGnzrWMFinoAg&#10;1s60XCv4OpbPLyB8QDbYOSYFV/JQ5I8PW8yMG/mTLlWoRSxhn6GCJoQ+k9Lrhiz6ueuJo/fjBosh&#10;yqGWZsAxlttOpkmykRZbjgsN9rRrSJ+qs1WQ7l+Xen0ud7/1ODqdelt9lx9KzZ6m9zcQgabwH77T&#10;BxO59QpuZ+IRkPkfAAAA//8DAFBLAQItABQABgAIAAAAIQDb4fbL7gAAAIUBAAATAAAAAAAAAAAA&#10;AAAAAAAAAABbQ29udGVudF9UeXBlc10ueG1sUEsBAi0AFAAGAAgAAAAhAFr0LFu/AAAAFQEAAAsA&#10;AAAAAAAAAAAAAAAAHwEAAF9yZWxzLy5yZWxzUEsBAi0AFAAGAAgAAAAhAOUk8x3EAAAA3AAAAA8A&#10;AAAAAAAAAAAAAAAABwIAAGRycy9kb3ducmV2LnhtbFBLBQYAAAAAAwADALcAAAD4AgAAAAA=&#10;" adj="10800" strokecolor="black [3213]" strokeweight=".5pt">
                  <v:stroke startarrow="oval" endarrow="block" joinstyle="miter"/>
                </v:shape>
                <v:shape id="Zakřivená spojnice 255" o:spid="_x0000_s1170" type="#_x0000_t38" style="position:absolute;left:15849;top:5849;width:3677;height:498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aGwgAAANwAAAAPAAAAZHJzL2Rvd25yZXYueG1sRI9Ba8JA&#10;FITvhf6H5RW81Y0pKRpdpUhTvBo9eHzsPpNg9m2aXU38911B6HGY+WaY1Wa0rbhR7xvHCmbTBASx&#10;dqbhSsHxULzPQfiAbLB1TAru5GGzfn1ZYW7cwHu6laESsYR9jgrqELpcSq9rsuinriOO3tn1FkOU&#10;fSVNj0Mst61Mk+RTWmw4LtTY0bYmfSmvVkH6vfjQ2bXY/lbD4HTqbXkqfpSavI1fSxCBxvAfftI7&#10;E7ksg8eZeATk+g8AAP//AwBQSwECLQAUAAYACAAAACEA2+H2y+4AAACFAQAAEwAAAAAAAAAAAAAA&#10;AAAAAAAAW0NvbnRlbnRfVHlwZXNdLnhtbFBLAQItABQABgAIAAAAIQBa9CxbvwAAABUBAAALAAAA&#10;AAAAAAAAAAAAAB8BAABfcmVscy8ucmVsc1BLAQItABQABgAIAAAAIQCKaFaGwgAAANwAAAAPAAAA&#10;AAAAAAAAAAAAAAcCAABkcnMvZG93bnJldi54bWxQSwUGAAAAAAMAAwC3AAAA9gIAAAAA&#10;" adj="10800" strokecolor="black [3213]" strokeweight=".5pt">
                  <v:stroke startarrow="oval" endarrow="block" joinstyle="miter"/>
                </v:shape>
              </v:group>
            </w:pict>
          </mc:Fallback>
        </mc:AlternateContent>
      </w:r>
    </w:p>
    <w:p w14:paraId="62944EC3" w14:textId="77777777" w:rsidR="00604602" w:rsidRDefault="00604602" w:rsidP="00604602">
      <w:pPr>
        <w:tabs>
          <w:tab w:val="num" w:pos="720"/>
        </w:tabs>
        <w:jc w:val="both"/>
        <w:rPr>
          <w:rFonts w:ascii="Calibri" w:hAnsi="Calibri" w:cs="Calibri"/>
        </w:rPr>
      </w:pPr>
    </w:p>
    <w:p w14:paraId="6E9E8347" w14:textId="77777777" w:rsidR="00604602" w:rsidRDefault="00604602" w:rsidP="00604602">
      <w:pPr>
        <w:tabs>
          <w:tab w:val="num" w:pos="720"/>
        </w:tabs>
        <w:jc w:val="both"/>
        <w:rPr>
          <w:rFonts w:ascii="Calibri" w:hAnsi="Calibri" w:cs="Calibri"/>
        </w:rPr>
      </w:pPr>
    </w:p>
    <w:p w14:paraId="521F1EF9" w14:textId="77777777" w:rsidR="00604602" w:rsidRDefault="00604602" w:rsidP="00604602">
      <w:pPr>
        <w:tabs>
          <w:tab w:val="num" w:pos="720"/>
        </w:tabs>
        <w:jc w:val="both"/>
        <w:rPr>
          <w:rFonts w:asciiTheme="minorHAnsi" w:hAnsiTheme="minorHAnsi" w:cstheme="minorHAnsi"/>
        </w:rPr>
      </w:pPr>
    </w:p>
    <w:p w14:paraId="0EF40AC1" w14:textId="77777777" w:rsidR="00604602" w:rsidRDefault="00604602" w:rsidP="00604602">
      <w:pPr>
        <w:pStyle w:val="Zkladntext3"/>
        <w:spacing w:after="0" w:line="360" w:lineRule="auto"/>
        <w:ind w:left="66" w:firstLine="294"/>
        <w:jc w:val="both"/>
        <w:rPr>
          <w:rFonts w:asciiTheme="minorHAnsi" w:eastAsia="Calibri" w:hAnsiTheme="minorHAnsi" w:cstheme="minorHAnsi"/>
          <w:i/>
          <w:iCs/>
          <w:sz w:val="24"/>
          <w:szCs w:val="24"/>
        </w:rPr>
      </w:pPr>
    </w:p>
    <w:p w14:paraId="434D4EDA" w14:textId="77777777" w:rsidR="00604602" w:rsidRDefault="00604602" w:rsidP="00604602">
      <w:pPr>
        <w:pStyle w:val="Zkladntext3"/>
        <w:spacing w:after="0" w:line="360" w:lineRule="auto"/>
        <w:ind w:left="66" w:firstLine="294"/>
        <w:jc w:val="both"/>
        <w:rPr>
          <w:rFonts w:asciiTheme="minorHAnsi" w:eastAsia="Calibri" w:hAnsiTheme="minorHAnsi" w:cstheme="minorHAnsi"/>
          <w:i/>
          <w:iCs/>
          <w:sz w:val="24"/>
          <w:szCs w:val="24"/>
        </w:rPr>
      </w:pPr>
    </w:p>
    <w:p w14:paraId="07D6D8A4" w14:textId="77777777" w:rsidR="00604602" w:rsidRPr="00A06E6A" w:rsidRDefault="00604602" w:rsidP="00604602">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5CCA5DC1" w14:textId="6C0989B8" w:rsidR="000F2042" w:rsidRDefault="000F2042" w:rsidP="000F2042">
      <w:pPr>
        <w:tabs>
          <w:tab w:val="num" w:pos="720"/>
        </w:tabs>
        <w:jc w:val="both"/>
        <w:rPr>
          <w:rFonts w:ascii="Calibri" w:hAnsi="Calibri"/>
        </w:rPr>
      </w:pPr>
      <w:r>
        <w:rPr>
          <w:rFonts w:ascii="Calibri" w:hAnsi="Calibri"/>
        </w:rPr>
        <w:t xml:space="preserve">Pokud se budeme zabývat </w:t>
      </w:r>
      <w:r w:rsidRPr="000F2042">
        <w:rPr>
          <w:rFonts w:ascii="Calibri" w:hAnsi="Calibri"/>
          <w:b/>
        </w:rPr>
        <w:t>zvládáním rizik ve vazbě na nakládání s veřejnými prostředky</w:t>
      </w:r>
      <w:r>
        <w:rPr>
          <w:rFonts w:ascii="Calibri" w:hAnsi="Calibri"/>
        </w:rPr>
        <w:t>, je třeba brát v úvahu, že je tato problematika řešena v </w:t>
      </w:r>
      <w:r w:rsidRPr="00E94AD5">
        <w:rPr>
          <w:rFonts w:ascii="Calibri" w:hAnsi="Calibri"/>
          <w:b/>
        </w:rPr>
        <w:t>zákoně o finanční kontrole</w:t>
      </w:r>
      <w:r>
        <w:rPr>
          <w:rFonts w:ascii="Calibri" w:hAnsi="Calibri"/>
        </w:rPr>
        <w:t xml:space="preserve">. Ten </w:t>
      </w:r>
      <w:r w:rsidR="00874F70">
        <w:rPr>
          <w:rFonts w:ascii="Calibri" w:hAnsi="Calibri"/>
        </w:rPr>
        <w:t xml:space="preserve">nařizuje každé instituci veřejného sektoru snižovat rizika při nakládání s veřejnými prostředky, a to </w:t>
      </w:r>
      <w:r w:rsidR="00EA0320">
        <w:rPr>
          <w:rFonts w:ascii="Calibri" w:hAnsi="Calibri"/>
        </w:rPr>
        <w:t xml:space="preserve">platí </w:t>
      </w:r>
      <w:r w:rsidR="00874F70">
        <w:rPr>
          <w:rFonts w:ascii="Calibri" w:hAnsi="Calibri"/>
        </w:rPr>
        <w:t xml:space="preserve">i </w:t>
      </w:r>
      <w:r w:rsidR="00EA0320">
        <w:rPr>
          <w:rFonts w:ascii="Calibri" w:hAnsi="Calibri"/>
        </w:rPr>
        <w:t>na</w:t>
      </w:r>
      <w:r w:rsidR="00874F70">
        <w:rPr>
          <w:rFonts w:ascii="Calibri" w:hAnsi="Calibri"/>
        </w:rPr>
        <w:t xml:space="preserve"> prostředky v rámci veřejné strategie nebo při strategické práci. </w:t>
      </w:r>
      <w:r>
        <w:rPr>
          <w:rFonts w:ascii="Calibri" w:hAnsi="Calibri"/>
        </w:rPr>
        <w:t xml:space="preserve">Přičemž platí, že </w:t>
      </w:r>
      <w:r>
        <w:rPr>
          <w:rFonts w:ascii="Calibri" w:hAnsi="Calibri"/>
        </w:rPr>
        <w:lastRenderedPageBreak/>
        <w:t>s</w:t>
      </w:r>
      <w:r w:rsidR="00874F70">
        <w:rPr>
          <w:rFonts w:ascii="Calibri" w:hAnsi="Calibri"/>
        </w:rPr>
        <w:t xml:space="preserve">chopnost </w:t>
      </w:r>
      <w:r w:rsidR="00874F70" w:rsidRPr="00EA0320">
        <w:rPr>
          <w:rFonts w:ascii="Calibri" w:hAnsi="Calibri"/>
        </w:rPr>
        <w:t>účinně řídit rizika</w:t>
      </w:r>
      <w:r w:rsidR="00874F70">
        <w:rPr>
          <w:rFonts w:ascii="Calibri" w:hAnsi="Calibri"/>
        </w:rPr>
        <w:t xml:space="preserve"> v konkrétní instituci veřejného sektoru významně přispívá k </w:t>
      </w:r>
      <w:r w:rsidR="00874F70">
        <w:rPr>
          <w:rFonts w:asciiTheme="minorHAnsi" w:hAnsiTheme="minorHAnsi" w:cstheme="minorHAnsi"/>
        </w:rPr>
        <w:t>odstraňová</w:t>
      </w:r>
      <w:r w:rsidR="00874F70" w:rsidRPr="000B742A">
        <w:rPr>
          <w:rFonts w:asciiTheme="minorHAnsi" w:hAnsiTheme="minorHAnsi" w:cstheme="minorHAnsi"/>
        </w:rPr>
        <w:t>ní</w:t>
      </w:r>
      <w:r w:rsidR="00874F70">
        <w:rPr>
          <w:rFonts w:asciiTheme="minorHAnsi" w:hAnsiTheme="minorHAnsi" w:cstheme="minorHAnsi"/>
        </w:rPr>
        <w:t xml:space="preserve"> plýtvání, </w:t>
      </w:r>
      <w:r w:rsidR="00874F70" w:rsidRPr="000B742A">
        <w:rPr>
          <w:rFonts w:asciiTheme="minorHAnsi" w:hAnsiTheme="minorHAnsi" w:cstheme="minorHAnsi"/>
        </w:rPr>
        <w:t>zmírnění nebo př</w:t>
      </w:r>
      <w:r w:rsidR="00874F70">
        <w:rPr>
          <w:rFonts w:asciiTheme="minorHAnsi" w:hAnsiTheme="minorHAnsi" w:cstheme="minorHAnsi"/>
        </w:rPr>
        <w:t>edcházení</w:t>
      </w:r>
      <w:r w:rsidR="00874F70" w:rsidRPr="000B742A">
        <w:rPr>
          <w:rFonts w:ascii="Calibri" w:hAnsi="Calibri"/>
        </w:rPr>
        <w:t xml:space="preserve"> </w:t>
      </w:r>
      <w:r w:rsidR="00874F70">
        <w:rPr>
          <w:rFonts w:ascii="Calibri" w:hAnsi="Calibri"/>
        </w:rPr>
        <w:t>riziku korupce a podvodů</w:t>
      </w:r>
      <w:r w:rsidR="009F0A7C">
        <w:rPr>
          <w:rFonts w:ascii="Calibri" w:hAnsi="Calibri"/>
        </w:rPr>
        <w:t>m</w:t>
      </w:r>
      <w:r w:rsidR="00874F70">
        <w:rPr>
          <w:rFonts w:ascii="Calibri" w:hAnsi="Calibri"/>
        </w:rPr>
        <w:t>.</w:t>
      </w:r>
      <w:r w:rsidR="00874F70" w:rsidRPr="00DC7F02">
        <w:rPr>
          <w:rFonts w:ascii="Calibri" w:hAnsi="Calibri"/>
        </w:rPr>
        <w:t xml:space="preserve"> </w:t>
      </w:r>
      <w:r w:rsidR="00874F70">
        <w:rPr>
          <w:rFonts w:ascii="Calibri" w:hAnsi="Calibri"/>
        </w:rPr>
        <w:t>J</w:t>
      </w:r>
      <w:r w:rsidR="00874F70" w:rsidRPr="00DC7F02">
        <w:rPr>
          <w:rFonts w:ascii="Calibri" w:hAnsi="Calibri"/>
        </w:rPr>
        <w:t xml:space="preserve">ako </w:t>
      </w:r>
      <w:r w:rsidR="00874F70" w:rsidRPr="00B6145F">
        <w:rPr>
          <w:rFonts w:ascii="Calibri" w:hAnsi="Calibri"/>
          <w:b/>
        </w:rPr>
        <w:t>riziko chápeme nebezpečí vzniku události</w:t>
      </w:r>
      <w:r w:rsidR="00874F70" w:rsidRPr="00B6145F">
        <w:rPr>
          <w:rFonts w:ascii="Calibri" w:hAnsi="Calibri"/>
        </w:rPr>
        <w:t xml:space="preserve">, která může </w:t>
      </w:r>
      <w:r w:rsidR="00874F70" w:rsidRPr="00B6145F">
        <w:rPr>
          <w:rFonts w:ascii="Calibri" w:hAnsi="Calibri"/>
          <w:b/>
          <w:bCs/>
        </w:rPr>
        <w:t>negativně</w:t>
      </w:r>
      <w:r w:rsidR="00874F70" w:rsidRPr="00B6145F">
        <w:rPr>
          <w:rFonts w:ascii="Calibri" w:hAnsi="Calibri"/>
          <w:b/>
        </w:rPr>
        <w:t xml:space="preserve"> ovlivnit dosažení stanovených cílů</w:t>
      </w:r>
      <w:r w:rsidR="00874F70" w:rsidRPr="00B6145F">
        <w:rPr>
          <w:rFonts w:ascii="Calibri" w:hAnsi="Calibri"/>
        </w:rPr>
        <w:t xml:space="preserve"> nebo plnění úkolů</w:t>
      </w:r>
      <w:r w:rsidR="00874F70">
        <w:rPr>
          <w:rFonts w:ascii="Calibri" w:hAnsi="Calibri"/>
        </w:rPr>
        <w:t xml:space="preserve"> </w:t>
      </w:r>
      <w:r w:rsidR="00874F70" w:rsidRPr="00DC7F02">
        <w:rPr>
          <w:rFonts w:ascii="Calibri" w:hAnsi="Calibri"/>
        </w:rPr>
        <w:t>(přičemž k cílům řadíme také hospodárné, efektivní a účelné nakládání s</w:t>
      </w:r>
      <w:r w:rsidR="00874F70">
        <w:rPr>
          <w:rFonts w:ascii="Calibri" w:hAnsi="Calibri"/>
        </w:rPr>
        <w:t xml:space="preserve"> veřejnými </w:t>
      </w:r>
      <w:r w:rsidR="00874F70" w:rsidRPr="00DC7F02">
        <w:rPr>
          <w:rFonts w:ascii="Calibri" w:hAnsi="Calibri"/>
        </w:rPr>
        <w:t>prostředky).</w:t>
      </w:r>
      <w:r w:rsidR="00874F70">
        <w:rPr>
          <w:rFonts w:ascii="Calibri" w:hAnsi="Calibri"/>
        </w:rPr>
        <w:t xml:space="preserve"> </w:t>
      </w:r>
      <w:r w:rsidR="00874F70" w:rsidRPr="00D3200D">
        <w:rPr>
          <w:rFonts w:ascii="Calibri" w:hAnsi="Calibri"/>
        </w:rPr>
        <w:t xml:space="preserve">Povinnost </w:t>
      </w:r>
      <w:r w:rsidR="00874F70">
        <w:rPr>
          <w:rFonts w:ascii="Calibri" w:hAnsi="Calibri"/>
        </w:rPr>
        <w:t xml:space="preserve">zjišťovat rizika, </w:t>
      </w:r>
      <w:r w:rsidR="00874F70" w:rsidRPr="00D3200D">
        <w:rPr>
          <w:rFonts w:ascii="Calibri" w:hAnsi="Calibri"/>
        </w:rPr>
        <w:t xml:space="preserve">přijímat opatření k jejich </w:t>
      </w:r>
      <w:r w:rsidR="00874F70">
        <w:rPr>
          <w:rFonts w:ascii="Calibri" w:hAnsi="Calibri"/>
        </w:rPr>
        <w:t xml:space="preserve">odstranění, zmírnění </w:t>
      </w:r>
      <w:r w:rsidR="00874F70" w:rsidRPr="000B742A">
        <w:rPr>
          <w:rFonts w:asciiTheme="minorHAnsi" w:hAnsiTheme="minorHAnsi" w:cstheme="minorHAnsi"/>
        </w:rPr>
        <w:t>nebo př</w:t>
      </w:r>
      <w:r w:rsidR="00874F70">
        <w:rPr>
          <w:rFonts w:asciiTheme="minorHAnsi" w:hAnsiTheme="minorHAnsi" w:cstheme="minorHAnsi"/>
        </w:rPr>
        <w:t>edcházení</w:t>
      </w:r>
      <w:r w:rsidR="00874F70">
        <w:rPr>
          <w:rFonts w:ascii="Calibri" w:hAnsi="Calibri"/>
        </w:rPr>
        <w:t xml:space="preserve"> </w:t>
      </w:r>
      <w:r w:rsidR="00874F70" w:rsidRPr="00D3200D">
        <w:rPr>
          <w:rFonts w:ascii="Calibri" w:hAnsi="Calibri"/>
        </w:rPr>
        <w:t>je v zákoně o finanční kontrole j</w:t>
      </w:r>
      <w:r>
        <w:rPr>
          <w:rFonts w:ascii="Calibri" w:hAnsi="Calibri"/>
        </w:rPr>
        <w:t>asně</w:t>
      </w:r>
      <w:r w:rsidR="00874F70" w:rsidRPr="00D3200D">
        <w:rPr>
          <w:rFonts w:ascii="Calibri" w:hAnsi="Calibri"/>
        </w:rPr>
        <w:t xml:space="preserve"> uložena.</w:t>
      </w:r>
      <w:r>
        <w:rPr>
          <w:rFonts w:ascii="Calibri" w:hAnsi="Calibri"/>
        </w:rPr>
        <w:t xml:space="preserve"> Jde stejně jako u prověřování kritérií 3E o zákonnou povinnost.</w:t>
      </w:r>
      <w:r w:rsidR="00874F70">
        <w:rPr>
          <w:rFonts w:ascii="Calibri" w:hAnsi="Calibri"/>
        </w:rPr>
        <w:t xml:space="preserve"> </w:t>
      </w:r>
      <w:r>
        <w:rPr>
          <w:rFonts w:ascii="Calibri" w:hAnsi="Calibri"/>
        </w:rPr>
        <w:t>J</w:t>
      </w:r>
      <w:r w:rsidR="00874F70">
        <w:rPr>
          <w:rFonts w:ascii="Calibri" w:hAnsi="Calibri"/>
        </w:rPr>
        <w:t xml:space="preserve">ejí porušení může vést v případě vzniku škody k její náhradě nebo případně může jít </w:t>
      </w:r>
      <w:r>
        <w:rPr>
          <w:rFonts w:ascii="Calibri" w:hAnsi="Calibri"/>
        </w:rPr>
        <w:t xml:space="preserve">také </w:t>
      </w:r>
      <w:r w:rsidR="00874F70">
        <w:rPr>
          <w:rFonts w:ascii="Calibri" w:hAnsi="Calibri"/>
        </w:rPr>
        <w:t>o trestný čin</w:t>
      </w:r>
      <w:r w:rsidR="00874F70">
        <w:rPr>
          <w:rStyle w:val="Znakapoznpodarou"/>
          <w:rFonts w:ascii="Calibri" w:hAnsi="Calibri"/>
        </w:rPr>
        <w:footnoteReference w:id="13"/>
      </w:r>
      <w:r w:rsidR="00874F70">
        <w:rPr>
          <w:rFonts w:ascii="Calibri" w:hAnsi="Calibri"/>
        </w:rPr>
        <w:t>. K hlavním cílům</w:t>
      </w:r>
      <w:r w:rsidR="00874F70" w:rsidRPr="00A378FD">
        <w:rPr>
          <w:rFonts w:ascii="Calibri" w:hAnsi="Calibri"/>
        </w:rPr>
        <w:t xml:space="preserve"> finanční kontroly </w:t>
      </w:r>
      <w:r w:rsidR="00874F70">
        <w:rPr>
          <w:rFonts w:ascii="Calibri" w:hAnsi="Calibri"/>
        </w:rPr>
        <w:t xml:space="preserve">patří mimo jiné prověřovat </w:t>
      </w:r>
      <w:r w:rsidR="00874F70" w:rsidRPr="00A378FD">
        <w:rPr>
          <w:rFonts w:ascii="Calibri" w:hAnsi="Calibri"/>
        </w:rPr>
        <w:t>zajištění ochrany veřejných prostředků proti rizikům</w:t>
      </w:r>
      <w:r>
        <w:rPr>
          <w:rFonts w:ascii="Calibri" w:hAnsi="Calibri"/>
        </w:rPr>
        <w:t xml:space="preserve"> (</w:t>
      </w:r>
      <w:r w:rsidRPr="00A378FD">
        <w:rPr>
          <w:rFonts w:ascii="Calibri" w:hAnsi="Calibri"/>
        </w:rPr>
        <w:t>§ 4</w:t>
      </w:r>
      <w:r w:rsidR="00D33FD7">
        <w:rPr>
          <w:rFonts w:ascii="Calibri" w:hAnsi="Calibri"/>
        </w:rPr>
        <w:t>, odst. 1, písmeno</w:t>
      </w:r>
      <w:r>
        <w:rPr>
          <w:rFonts w:ascii="Calibri" w:hAnsi="Calibri"/>
        </w:rPr>
        <w:t xml:space="preserve"> b</w:t>
      </w:r>
      <w:r w:rsidR="00D33FD7">
        <w:rPr>
          <w:rFonts w:ascii="Calibri" w:hAnsi="Calibri"/>
        </w:rPr>
        <w:t>.</w:t>
      </w:r>
      <w:r>
        <w:rPr>
          <w:rFonts w:ascii="Calibri" w:hAnsi="Calibri"/>
        </w:rPr>
        <w:t xml:space="preserve"> zákona o finanční kontrole)</w:t>
      </w:r>
      <w:r w:rsidR="00874F70">
        <w:rPr>
          <w:rFonts w:ascii="Calibri" w:hAnsi="Calibri"/>
        </w:rPr>
        <w:t>. Zákon též ukládá v</w:t>
      </w:r>
      <w:r w:rsidR="00874F70" w:rsidRPr="00F01354">
        <w:rPr>
          <w:rFonts w:ascii="Calibri" w:hAnsi="Calibri"/>
        </w:rPr>
        <w:t>edoucí</w:t>
      </w:r>
      <w:r w:rsidR="00874F70">
        <w:rPr>
          <w:rFonts w:ascii="Calibri" w:hAnsi="Calibri"/>
        </w:rPr>
        <w:t>mu</w:t>
      </w:r>
      <w:r w:rsidR="00874F70" w:rsidRPr="00F01354">
        <w:rPr>
          <w:rFonts w:ascii="Calibri" w:hAnsi="Calibri"/>
        </w:rPr>
        <w:t xml:space="preserve"> orgánu veřejné správy zavést a udržovat vnitřní kontrolní systém, který</w:t>
      </w:r>
      <w:r w:rsidR="00874F70">
        <w:rPr>
          <w:rFonts w:ascii="Calibri" w:hAnsi="Calibri"/>
        </w:rPr>
        <w:t xml:space="preserve"> je mimo jiné </w:t>
      </w:r>
      <w:r w:rsidR="00874F70" w:rsidRPr="00F01354">
        <w:rPr>
          <w:rFonts w:ascii="Calibri" w:hAnsi="Calibri"/>
        </w:rPr>
        <w:t>způsobilý včas zjišťovat, vyhodnocovat a minimalizovat provozní, finanční, právní a jiná rizika vznikající v souvislosti s plněním schválených zámě</w:t>
      </w:r>
      <w:r w:rsidR="00874F70">
        <w:rPr>
          <w:rFonts w:ascii="Calibri" w:hAnsi="Calibri"/>
        </w:rPr>
        <w:t>rů a cílů orgánu veřejné správy</w:t>
      </w:r>
      <w:r>
        <w:rPr>
          <w:rFonts w:ascii="Calibri" w:hAnsi="Calibri"/>
        </w:rPr>
        <w:t xml:space="preserve"> (</w:t>
      </w:r>
      <w:r w:rsidRPr="00A378FD">
        <w:rPr>
          <w:rFonts w:ascii="Calibri" w:hAnsi="Calibri"/>
        </w:rPr>
        <w:t xml:space="preserve">§ </w:t>
      </w:r>
      <w:r>
        <w:rPr>
          <w:rFonts w:ascii="Calibri" w:hAnsi="Calibri"/>
        </w:rPr>
        <w:t>25, odst. 1). V</w:t>
      </w:r>
      <w:r w:rsidR="00874F70">
        <w:rPr>
          <w:rFonts w:ascii="Calibri" w:hAnsi="Calibri"/>
        </w:rPr>
        <w:t xml:space="preserve">šichni vedoucí zaměstnanci </w:t>
      </w:r>
      <w:r>
        <w:rPr>
          <w:rFonts w:ascii="Calibri" w:hAnsi="Calibri"/>
        </w:rPr>
        <w:t xml:space="preserve">mají </w:t>
      </w:r>
      <w:r w:rsidR="00874F70" w:rsidRPr="00F01354">
        <w:rPr>
          <w:rFonts w:ascii="Calibri" w:hAnsi="Calibri"/>
        </w:rPr>
        <w:t xml:space="preserve">v rámci vymezených povinností, </w:t>
      </w:r>
      <w:r w:rsidR="00874F70">
        <w:rPr>
          <w:rFonts w:ascii="Calibri" w:hAnsi="Calibri"/>
        </w:rPr>
        <w:t>pravomocí a odpovědností povinnost</w:t>
      </w:r>
      <w:r w:rsidR="00874F70" w:rsidRPr="00F01354">
        <w:rPr>
          <w:rFonts w:ascii="Calibri" w:hAnsi="Calibri"/>
        </w:rPr>
        <w:t xml:space="preserve"> </w:t>
      </w:r>
    </w:p>
    <w:p w14:paraId="5B5FFCA1" w14:textId="264E9E62" w:rsidR="000F2042" w:rsidRDefault="00874F70" w:rsidP="0065698B">
      <w:pPr>
        <w:pStyle w:val="Odstavecseseznamem"/>
        <w:numPr>
          <w:ilvl w:val="0"/>
          <w:numId w:val="14"/>
        </w:numPr>
        <w:ind w:left="426" w:hanging="426"/>
        <w:jc w:val="both"/>
        <w:rPr>
          <w:rFonts w:ascii="Calibri" w:hAnsi="Calibri"/>
        </w:rPr>
      </w:pPr>
      <w:r w:rsidRPr="000F2042">
        <w:rPr>
          <w:rFonts w:ascii="Calibri" w:hAnsi="Calibri"/>
        </w:rPr>
        <w:t>zajistit fungování vnitřního kontrolního systému</w:t>
      </w:r>
      <w:r w:rsidR="000F2042">
        <w:rPr>
          <w:rFonts w:ascii="Calibri" w:hAnsi="Calibri"/>
        </w:rPr>
        <w:t>,</w:t>
      </w:r>
    </w:p>
    <w:p w14:paraId="3A5612FF" w14:textId="5934D86F" w:rsidR="000F2042" w:rsidRPr="000F2042" w:rsidRDefault="00874F70" w:rsidP="0065698B">
      <w:pPr>
        <w:pStyle w:val="Odstavecseseznamem"/>
        <w:numPr>
          <w:ilvl w:val="0"/>
          <w:numId w:val="14"/>
        </w:numPr>
        <w:tabs>
          <w:tab w:val="num" w:pos="720"/>
        </w:tabs>
        <w:spacing w:after="120"/>
        <w:ind w:left="426" w:hanging="426"/>
        <w:jc w:val="both"/>
        <w:rPr>
          <w:rFonts w:ascii="Calibri" w:hAnsi="Calibri"/>
        </w:rPr>
      </w:pPr>
      <w:r w:rsidRPr="000F2042">
        <w:rPr>
          <w:rFonts w:ascii="Calibri" w:hAnsi="Calibri"/>
        </w:rPr>
        <w:t xml:space="preserve">podávat vedoucímu orgánu veřejné správy včasné a spolehlivé informace o výsledcích dosahovaných při plnění stanovených úkolů, o vzniku významných rizik, o závažných nedostatcích v činnosti orgánu veřejné správy a o přijímaných a plněných </w:t>
      </w:r>
      <w:r w:rsidR="000F2042" w:rsidRPr="000F2042">
        <w:rPr>
          <w:rFonts w:ascii="Calibri" w:hAnsi="Calibri"/>
        </w:rPr>
        <w:t>opatřeních k jejich nápravě (§ 25, odst. 4).</w:t>
      </w:r>
    </w:p>
    <w:p w14:paraId="45A49977" w14:textId="77777777" w:rsidR="00E94AD5" w:rsidRDefault="00E94AD5" w:rsidP="002C31FD">
      <w:pPr>
        <w:tabs>
          <w:tab w:val="num" w:pos="720"/>
        </w:tabs>
        <w:jc w:val="both"/>
        <w:rPr>
          <w:rFonts w:ascii="Calibri" w:hAnsi="Calibri"/>
        </w:rPr>
      </w:pPr>
    </w:p>
    <w:p w14:paraId="61840B2C" w14:textId="1BD7ECD0" w:rsidR="00874F70" w:rsidRDefault="00874F70" w:rsidP="002C31FD">
      <w:pPr>
        <w:tabs>
          <w:tab w:val="num" w:pos="720"/>
        </w:tabs>
        <w:jc w:val="both"/>
        <w:rPr>
          <w:rFonts w:ascii="Calibri" w:hAnsi="Calibri"/>
        </w:rPr>
      </w:pPr>
      <w:r w:rsidRPr="005A5FC3">
        <w:rPr>
          <w:rFonts w:ascii="Calibri" w:hAnsi="Calibri"/>
        </w:rPr>
        <w:t xml:space="preserve">Velké </w:t>
      </w:r>
      <w:r w:rsidR="000F2042">
        <w:rPr>
          <w:rFonts w:ascii="Calibri" w:hAnsi="Calibri"/>
        </w:rPr>
        <w:t xml:space="preserve">negativní a </w:t>
      </w:r>
      <w:r w:rsidRPr="005A5FC3">
        <w:rPr>
          <w:rFonts w:ascii="Calibri" w:hAnsi="Calibri"/>
        </w:rPr>
        <w:t xml:space="preserve">nežádoucí dopady do rozpočtu může mít neřešení rizik v oblasti </w:t>
      </w:r>
      <w:r w:rsidRPr="00E94AD5">
        <w:rPr>
          <w:rFonts w:ascii="Calibri" w:hAnsi="Calibri"/>
          <w:b/>
        </w:rPr>
        <w:t>veřejných zakázek</w:t>
      </w:r>
      <w:r w:rsidRPr="005A5FC3">
        <w:rPr>
          <w:rFonts w:ascii="Calibri" w:hAnsi="Calibri"/>
        </w:rPr>
        <w:t xml:space="preserve">. Jde o oblast, která potenciálně může být významně zasažena korupcí, podvody nebo plýtváním. A důsledky neošetření rizik v této oblasti mohou mít značné dopady – například </w:t>
      </w:r>
      <w:r w:rsidRPr="005A5FC3">
        <w:rPr>
          <w:rFonts w:ascii="Calibri" w:hAnsi="Calibri"/>
        </w:rPr>
        <w:lastRenderedPageBreak/>
        <w:t>riziko sankcí, pokut, potenciálně také trestní stíhání</w:t>
      </w:r>
      <w:r w:rsidRPr="005A5FC3">
        <w:rPr>
          <w:rStyle w:val="Znakapoznpodarou"/>
          <w:rFonts w:ascii="Calibri" w:hAnsi="Calibri"/>
        </w:rPr>
        <w:footnoteReference w:id="14"/>
      </w:r>
      <w:r w:rsidRPr="005A5FC3">
        <w:rPr>
          <w:rFonts w:ascii="Calibri" w:hAnsi="Calibri"/>
        </w:rPr>
        <w:t xml:space="preserve">. Obdobně je třeba věnovat pozornost </w:t>
      </w:r>
      <w:r w:rsidRPr="00E94AD5">
        <w:rPr>
          <w:rFonts w:ascii="Calibri" w:hAnsi="Calibri"/>
          <w:b/>
        </w:rPr>
        <w:t>nakládání s majetkem</w:t>
      </w:r>
      <w:r w:rsidRPr="005A5FC3">
        <w:rPr>
          <w:rFonts w:ascii="Calibri" w:hAnsi="Calibri"/>
        </w:rPr>
        <w:t xml:space="preserve"> (zejména prodej, pronájem). Neschopnost nebo neochota zjišťovat, vyhodnocovat a snižovat rizika může vést k manažerskému selhání a k morálnímu</w:t>
      </w:r>
      <w:r w:rsidR="00EA0320">
        <w:rPr>
          <w:rFonts w:ascii="Calibri" w:hAnsi="Calibri"/>
        </w:rPr>
        <w:t xml:space="preserve"> hazardu</w:t>
      </w:r>
      <w:r w:rsidR="000F2042">
        <w:rPr>
          <w:rFonts w:ascii="Calibri" w:hAnsi="Calibri"/>
        </w:rPr>
        <w:t xml:space="preserve"> (Půček, Páleníková, 2022</w:t>
      </w:r>
      <w:r w:rsidR="009F0A7C">
        <w:rPr>
          <w:rFonts w:ascii="Calibri" w:hAnsi="Calibri"/>
        </w:rPr>
        <w:t>b</w:t>
      </w:r>
      <w:r w:rsidR="000F2042">
        <w:rPr>
          <w:rFonts w:ascii="Calibri" w:hAnsi="Calibri"/>
        </w:rPr>
        <w:t>)</w:t>
      </w:r>
      <w:r w:rsidRPr="005A5FC3">
        <w:rPr>
          <w:rFonts w:ascii="Calibri" w:hAnsi="Calibri"/>
        </w:rPr>
        <w:t>.</w:t>
      </w:r>
    </w:p>
    <w:p w14:paraId="433343C9" w14:textId="77777777" w:rsidR="002C31FD" w:rsidRDefault="002C31FD" w:rsidP="00874F70">
      <w:pPr>
        <w:shd w:val="clear" w:color="auto" w:fill="FFFFFF"/>
        <w:jc w:val="both"/>
        <w:rPr>
          <w:rFonts w:asciiTheme="minorHAnsi" w:hAnsiTheme="minorHAnsi"/>
        </w:rPr>
      </w:pPr>
    </w:p>
    <w:p w14:paraId="15F09EC6" w14:textId="0C5A4C49" w:rsidR="00874F70" w:rsidRDefault="0043457E" w:rsidP="00874F70">
      <w:pPr>
        <w:shd w:val="clear" w:color="auto" w:fill="FFFFFF"/>
        <w:jc w:val="both"/>
        <w:rPr>
          <w:rFonts w:asciiTheme="minorHAnsi" w:hAnsiTheme="minorHAnsi"/>
        </w:rPr>
      </w:pPr>
      <w:r>
        <w:rPr>
          <w:rFonts w:asciiTheme="minorHAnsi" w:hAnsiTheme="minorHAnsi"/>
        </w:rPr>
        <w:t>Při strategické práci je třeba brát v úvahu, že m</w:t>
      </w:r>
      <w:r w:rsidR="00874F70" w:rsidRPr="0043457E">
        <w:rPr>
          <w:rFonts w:asciiTheme="minorHAnsi" w:hAnsiTheme="minorHAnsi"/>
        </w:rPr>
        <w:t xml:space="preserve">ezi </w:t>
      </w:r>
      <w:r w:rsidR="00874F70" w:rsidRPr="0043457E">
        <w:rPr>
          <w:rFonts w:asciiTheme="minorHAnsi" w:hAnsiTheme="minorHAnsi"/>
          <w:b/>
        </w:rPr>
        <w:t>riziky a příležitostmi</w:t>
      </w:r>
      <w:r w:rsidR="00874F70" w:rsidRPr="0043457E">
        <w:rPr>
          <w:rFonts w:asciiTheme="minorHAnsi" w:hAnsiTheme="minorHAnsi"/>
        </w:rPr>
        <w:t xml:space="preserve"> je ale z hlediska povinností daných zákony rozdíl - u </w:t>
      </w:r>
      <w:r w:rsidR="00874F70" w:rsidRPr="009B3809">
        <w:rPr>
          <w:rFonts w:asciiTheme="minorHAnsi" w:hAnsiTheme="minorHAnsi"/>
        </w:rPr>
        <w:t xml:space="preserve">rizik </w:t>
      </w:r>
      <w:r w:rsidR="00874F70">
        <w:rPr>
          <w:rFonts w:asciiTheme="minorHAnsi" w:hAnsiTheme="minorHAnsi"/>
        </w:rPr>
        <w:t>existuje zákonná</w:t>
      </w:r>
      <w:r w:rsidR="00874F70" w:rsidRPr="009B3809">
        <w:rPr>
          <w:rFonts w:asciiTheme="minorHAnsi" w:hAnsiTheme="minorHAnsi"/>
        </w:rPr>
        <w:t xml:space="preserve"> povinnost rizika řešit (např. </w:t>
      </w:r>
      <w:r w:rsidR="00874F70">
        <w:rPr>
          <w:rFonts w:asciiTheme="minorHAnsi" w:hAnsiTheme="minorHAnsi"/>
        </w:rPr>
        <w:t>rizika</w:t>
      </w:r>
      <w:r w:rsidR="00874F70" w:rsidRPr="009B3809">
        <w:rPr>
          <w:rFonts w:asciiTheme="minorHAnsi" w:hAnsiTheme="minorHAnsi"/>
        </w:rPr>
        <w:t xml:space="preserve"> </w:t>
      </w:r>
      <w:r w:rsidR="00874F70">
        <w:rPr>
          <w:rFonts w:asciiTheme="minorHAnsi" w:hAnsiTheme="minorHAnsi"/>
        </w:rPr>
        <w:t xml:space="preserve">dle zákona o finanční kontrole, ale také </w:t>
      </w:r>
      <w:r w:rsidR="00874F70" w:rsidRPr="009B3809">
        <w:rPr>
          <w:rFonts w:asciiTheme="minorHAnsi" w:hAnsiTheme="minorHAnsi"/>
        </w:rPr>
        <w:t>riz</w:t>
      </w:r>
      <w:r w:rsidR="00874F70">
        <w:rPr>
          <w:rFonts w:asciiTheme="minorHAnsi" w:hAnsiTheme="minorHAnsi"/>
        </w:rPr>
        <w:t xml:space="preserve">ika spojená s bezpečností práce, rizika spojená s požární ochranou </w:t>
      </w:r>
      <w:r w:rsidR="00874F70" w:rsidRPr="009B3809">
        <w:rPr>
          <w:rFonts w:asciiTheme="minorHAnsi" w:hAnsiTheme="minorHAnsi"/>
        </w:rPr>
        <w:t xml:space="preserve">atd.). U příležitostí však taková zákonná povinnost není – je to tedy jen možnost, </w:t>
      </w:r>
      <w:r>
        <w:rPr>
          <w:rFonts w:asciiTheme="minorHAnsi" w:hAnsiTheme="minorHAnsi"/>
        </w:rPr>
        <w:t xml:space="preserve">ale není to </w:t>
      </w:r>
      <w:r w:rsidR="00874F70" w:rsidRPr="009B3809">
        <w:rPr>
          <w:rFonts w:asciiTheme="minorHAnsi" w:hAnsiTheme="minorHAnsi"/>
        </w:rPr>
        <w:t>povinnost. Zatímco tedy neřešení velkého rizika může vést k tomu, že budeme odpovědní za vzniklou škodu včetně trestně právní odpovědnosti, tak u příležitostí to takto není.</w:t>
      </w:r>
      <w:r w:rsidR="00874F70">
        <w:rPr>
          <w:rFonts w:asciiTheme="minorHAnsi" w:hAnsiTheme="minorHAnsi"/>
        </w:rPr>
        <w:t xml:space="preserve"> Každá </w:t>
      </w:r>
      <w:r w:rsidR="00874F70" w:rsidRPr="00673F19">
        <w:rPr>
          <w:rFonts w:asciiTheme="minorHAnsi" w:hAnsiTheme="minorHAnsi"/>
          <w:b/>
        </w:rPr>
        <w:t>příležitost</w:t>
      </w:r>
      <w:r w:rsidR="00874F70" w:rsidRPr="00673F19">
        <w:rPr>
          <w:rFonts w:asciiTheme="minorHAnsi" w:hAnsiTheme="minorHAnsi"/>
        </w:rPr>
        <w:t xml:space="preserve"> je </w:t>
      </w:r>
      <w:r w:rsidR="00874F70" w:rsidRPr="0043457E">
        <w:rPr>
          <w:rFonts w:asciiTheme="minorHAnsi" w:hAnsiTheme="minorHAnsi"/>
        </w:rPr>
        <w:t xml:space="preserve">možnost vzniku události, která může pozitivně ovlivnit dosažení cílů, </w:t>
      </w:r>
      <w:r w:rsidR="00874F70" w:rsidRPr="00673F19">
        <w:rPr>
          <w:rFonts w:asciiTheme="minorHAnsi" w:hAnsiTheme="minorHAnsi"/>
        </w:rPr>
        <w:t>přičemž k cílům řadíme také hospodárné, efektivní a účelné nakládání s</w:t>
      </w:r>
      <w:r>
        <w:rPr>
          <w:rFonts w:asciiTheme="minorHAnsi" w:hAnsiTheme="minorHAnsi"/>
        </w:rPr>
        <w:t xml:space="preserve"> veřejnými </w:t>
      </w:r>
      <w:r w:rsidR="00874F70" w:rsidRPr="00673F19">
        <w:rPr>
          <w:rFonts w:asciiTheme="minorHAnsi" w:hAnsiTheme="minorHAnsi"/>
        </w:rPr>
        <w:t xml:space="preserve">prostředky. Příležitost </w:t>
      </w:r>
      <w:r w:rsidR="00874F70">
        <w:rPr>
          <w:rFonts w:asciiTheme="minorHAnsi" w:hAnsiTheme="minorHAnsi"/>
        </w:rPr>
        <w:t>je stejně jako riziko budoucí událost (</w:t>
      </w:r>
      <w:r>
        <w:rPr>
          <w:rFonts w:asciiTheme="minorHAnsi" w:hAnsiTheme="minorHAnsi"/>
        </w:rPr>
        <w:t>což znamená, že</w:t>
      </w:r>
      <w:r w:rsidR="00874F70">
        <w:rPr>
          <w:rFonts w:asciiTheme="minorHAnsi" w:hAnsiTheme="minorHAnsi"/>
        </w:rPr>
        <w:t xml:space="preserve"> může, ale </w:t>
      </w:r>
      <w:r w:rsidR="00874F70" w:rsidRPr="00673F19">
        <w:rPr>
          <w:rFonts w:asciiTheme="minorHAnsi" w:hAnsiTheme="minorHAnsi"/>
        </w:rPr>
        <w:t xml:space="preserve">nemusí nastat). Příležitost chápeme jako protipól rizika a </w:t>
      </w:r>
      <w:r>
        <w:rPr>
          <w:rFonts w:asciiTheme="minorHAnsi" w:hAnsiTheme="minorHAnsi"/>
        </w:rPr>
        <w:t>je spojena</w:t>
      </w:r>
      <w:r w:rsidR="00874F70" w:rsidRPr="00673F19">
        <w:rPr>
          <w:rFonts w:asciiTheme="minorHAnsi" w:hAnsiTheme="minorHAnsi"/>
        </w:rPr>
        <w:t xml:space="preserve"> s příznivými dopady.</w:t>
      </w:r>
      <w:r w:rsidR="00874F70">
        <w:rPr>
          <w:rFonts w:asciiTheme="minorHAnsi" w:hAnsiTheme="minorHAnsi"/>
        </w:rPr>
        <w:t xml:space="preserve"> Nevyužití příležitosti lze </w:t>
      </w:r>
      <w:r>
        <w:rPr>
          <w:rFonts w:asciiTheme="minorHAnsi" w:hAnsiTheme="minorHAnsi"/>
        </w:rPr>
        <w:t>vyhodnotit</w:t>
      </w:r>
      <w:r w:rsidR="00874F70">
        <w:rPr>
          <w:rFonts w:asciiTheme="minorHAnsi" w:hAnsiTheme="minorHAnsi"/>
        </w:rPr>
        <w:t xml:space="preserve"> </w:t>
      </w:r>
      <w:r>
        <w:rPr>
          <w:rFonts w:asciiTheme="minorHAnsi" w:hAnsiTheme="minorHAnsi"/>
        </w:rPr>
        <w:t xml:space="preserve">mimo jiné </w:t>
      </w:r>
      <w:r w:rsidR="00874F70">
        <w:rPr>
          <w:rFonts w:asciiTheme="minorHAnsi" w:hAnsiTheme="minorHAnsi"/>
        </w:rPr>
        <w:t xml:space="preserve">jako </w:t>
      </w:r>
      <w:r w:rsidR="00874F70" w:rsidRPr="0043457E">
        <w:rPr>
          <w:rFonts w:asciiTheme="minorHAnsi" w:hAnsiTheme="minorHAnsi"/>
        </w:rPr>
        <w:t>náklady obětované příležitosti</w:t>
      </w:r>
      <w:r w:rsidR="00874F70">
        <w:rPr>
          <w:rFonts w:asciiTheme="minorHAnsi" w:hAnsiTheme="minorHAnsi"/>
        </w:rPr>
        <w:t xml:space="preserve">. </w:t>
      </w:r>
      <w:r w:rsidRPr="0043457E">
        <w:rPr>
          <w:rFonts w:asciiTheme="minorHAnsi" w:hAnsiTheme="minorHAnsi"/>
          <w:b/>
        </w:rPr>
        <w:t>Náklady obětované příležitosti</w:t>
      </w:r>
      <w:r>
        <w:rPr>
          <w:rFonts w:asciiTheme="minorHAnsi" w:hAnsiTheme="minorHAnsi"/>
        </w:rPr>
        <w:t xml:space="preserve"> jsou</w:t>
      </w:r>
      <w:r w:rsidR="00874F70" w:rsidRPr="002A7E5C">
        <w:rPr>
          <w:rFonts w:asciiTheme="minorHAnsi" w:hAnsiTheme="minorHAnsi"/>
        </w:rPr>
        <w:t> </w:t>
      </w:r>
      <w:r w:rsidR="00874F70">
        <w:rPr>
          <w:rFonts w:asciiTheme="minorHAnsi" w:hAnsiTheme="minorHAnsi"/>
        </w:rPr>
        <w:t>ztrát</w:t>
      </w:r>
      <w:r>
        <w:rPr>
          <w:rFonts w:asciiTheme="minorHAnsi" w:hAnsiTheme="minorHAnsi"/>
        </w:rPr>
        <w:t>ou</w:t>
      </w:r>
      <w:r w:rsidR="00874F70" w:rsidRPr="002A7E5C">
        <w:rPr>
          <w:rFonts w:asciiTheme="minorHAnsi" w:hAnsiTheme="minorHAnsi"/>
        </w:rPr>
        <w:t> </w:t>
      </w:r>
      <w:r w:rsidR="00874F70">
        <w:rPr>
          <w:rFonts w:asciiTheme="minorHAnsi" w:hAnsiTheme="minorHAnsi"/>
        </w:rPr>
        <w:t>potenciálního výnosu nebo potenciální úspory z jiné výhodnější</w:t>
      </w:r>
      <w:r w:rsidR="00874F70" w:rsidRPr="002A7E5C">
        <w:rPr>
          <w:rFonts w:asciiTheme="minorHAnsi" w:hAnsiTheme="minorHAnsi"/>
        </w:rPr>
        <w:t xml:space="preserve"> variant</w:t>
      </w:r>
      <w:r w:rsidR="00874F70">
        <w:rPr>
          <w:rFonts w:asciiTheme="minorHAnsi" w:hAnsiTheme="minorHAnsi"/>
        </w:rPr>
        <w:t>y</w:t>
      </w:r>
      <w:r w:rsidR="00874F70" w:rsidRPr="002A7E5C">
        <w:rPr>
          <w:rFonts w:asciiTheme="minorHAnsi" w:hAnsiTheme="minorHAnsi"/>
        </w:rPr>
        <w:t xml:space="preserve">, než kterou </w:t>
      </w:r>
      <w:r w:rsidR="00874F70">
        <w:rPr>
          <w:rFonts w:asciiTheme="minorHAnsi" w:hAnsiTheme="minorHAnsi"/>
        </w:rPr>
        <w:t>daná instituce</w:t>
      </w:r>
      <w:r w:rsidR="00874F70" w:rsidRPr="002A7E5C">
        <w:rPr>
          <w:rFonts w:asciiTheme="minorHAnsi" w:hAnsiTheme="minorHAnsi"/>
        </w:rPr>
        <w:t xml:space="preserve"> </w:t>
      </w:r>
      <w:r w:rsidR="00874F70">
        <w:rPr>
          <w:rFonts w:asciiTheme="minorHAnsi" w:hAnsiTheme="minorHAnsi"/>
        </w:rPr>
        <w:t xml:space="preserve">zvolila. </w:t>
      </w:r>
      <w:r>
        <w:rPr>
          <w:rFonts w:asciiTheme="minorHAnsi" w:hAnsiTheme="minorHAnsi"/>
        </w:rPr>
        <w:t>Výpočet najdete v textové části nástroje k využívání příležitostí</w:t>
      </w:r>
      <w:r>
        <w:rPr>
          <w:rStyle w:val="Znakapoznpodarou"/>
          <w:rFonts w:asciiTheme="minorHAnsi" w:hAnsiTheme="minorHAnsi"/>
        </w:rPr>
        <w:footnoteReference w:id="15"/>
      </w:r>
      <w:r w:rsidR="00E45361">
        <w:rPr>
          <w:rFonts w:asciiTheme="minorHAnsi" w:hAnsiTheme="minorHAnsi"/>
        </w:rPr>
        <w:t xml:space="preserve"> a příklad v kapitole 10</w:t>
      </w:r>
      <w:r>
        <w:rPr>
          <w:rFonts w:asciiTheme="minorHAnsi" w:hAnsiTheme="minorHAnsi"/>
        </w:rPr>
        <w:t xml:space="preserve">. </w:t>
      </w:r>
      <w:r w:rsidR="00874F70">
        <w:rPr>
          <w:rFonts w:asciiTheme="minorHAnsi" w:hAnsiTheme="minorHAnsi"/>
        </w:rPr>
        <w:t>Ve veřejném sektoru je využívání příležitostí relativně běžné v</w:t>
      </w:r>
      <w:r>
        <w:rPr>
          <w:rFonts w:asciiTheme="minorHAnsi" w:hAnsiTheme="minorHAnsi"/>
        </w:rPr>
        <w:t> </w:t>
      </w:r>
      <w:r w:rsidR="00874F70">
        <w:rPr>
          <w:rFonts w:asciiTheme="minorHAnsi" w:hAnsiTheme="minorHAnsi"/>
        </w:rPr>
        <w:t>samosprávách</w:t>
      </w:r>
      <w:r>
        <w:rPr>
          <w:rFonts w:asciiTheme="minorHAnsi" w:hAnsiTheme="minorHAnsi"/>
        </w:rPr>
        <w:t xml:space="preserve"> (zejména ve vazbě na dotace, energetické úspory a podobně)</w:t>
      </w:r>
      <w:r w:rsidR="00874F70">
        <w:rPr>
          <w:rFonts w:asciiTheme="minorHAnsi" w:hAnsiTheme="minorHAnsi"/>
        </w:rPr>
        <w:t xml:space="preserve">, ale i tam to vždy závisí na místních </w:t>
      </w:r>
      <w:r>
        <w:rPr>
          <w:rFonts w:asciiTheme="minorHAnsi" w:hAnsiTheme="minorHAnsi"/>
        </w:rPr>
        <w:t xml:space="preserve">potřebách a </w:t>
      </w:r>
      <w:r w:rsidR="00874F70">
        <w:rPr>
          <w:rFonts w:asciiTheme="minorHAnsi" w:hAnsiTheme="minorHAnsi"/>
        </w:rPr>
        <w:t xml:space="preserve">podmínkách. </w:t>
      </w:r>
      <w:r>
        <w:rPr>
          <w:rFonts w:asciiTheme="minorHAnsi" w:hAnsiTheme="minorHAnsi"/>
        </w:rPr>
        <w:t>Jen zřídka</w:t>
      </w:r>
      <w:r w:rsidR="00874F70">
        <w:rPr>
          <w:rFonts w:asciiTheme="minorHAnsi" w:hAnsiTheme="minorHAnsi"/>
        </w:rPr>
        <w:t xml:space="preserve"> však existuje v institucích </w:t>
      </w:r>
      <w:r>
        <w:rPr>
          <w:rFonts w:asciiTheme="minorHAnsi" w:hAnsiTheme="minorHAnsi"/>
        </w:rPr>
        <w:t>veřejného</w:t>
      </w:r>
      <w:r w:rsidR="00874F70">
        <w:rPr>
          <w:rFonts w:asciiTheme="minorHAnsi" w:hAnsiTheme="minorHAnsi"/>
        </w:rPr>
        <w:t xml:space="preserve"> sektoru </w:t>
      </w:r>
      <w:r w:rsidR="00874F70" w:rsidRPr="00BA53DE">
        <w:rPr>
          <w:rFonts w:asciiTheme="minorHAnsi" w:hAnsiTheme="minorHAnsi"/>
        </w:rPr>
        <w:t xml:space="preserve">zavedený </w:t>
      </w:r>
      <w:r w:rsidR="00874F70" w:rsidRPr="00E94AD5">
        <w:rPr>
          <w:rFonts w:asciiTheme="minorHAnsi" w:hAnsiTheme="minorHAnsi"/>
          <w:b/>
        </w:rPr>
        <w:t>systém využívání příležitostí</w:t>
      </w:r>
      <w:r w:rsidR="00874F70" w:rsidRPr="00BA53DE">
        <w:rPr>
          <w:rFonts w:asciiTheme="minorHAnsi" w:hAnsiTheme="minorHAnsi"/>
        </w:rPr>
        <w:t xml:space="preserve">. </w:t>
      </w:r>
    </w:p>
    <w:p w14:paraId="4B07E03B" w14:textId="77777777" w:rsidR="00874F70" w:rsidRDefault="00874F70" w:rsidP="00874F70">
      <w:pPr>
        <w:tabs>
          <w:tab w:val="num" w:pos="720"/>
        </w:tabs>
        <w:jc w:val="both"/>
        <w:rPr>
          <w:rFonts w:ascii="Calibri" w:hAnsi="Calibri"/>
        </w:rPr>
      </w:pPr>
    </w:p>
    <w:p w14:paraId="08320A28" w14:textId="632FF76C" w:rsidR="00874F70" w:rsidRPr="00DC7F02" w:rsidRDefault="00874F70" w:rsidP="00874F70">
      <w:pPr>
        <w:tabs>
          <w:tab w:val="num" w:pos="720"/>
        </w:tabs>
        <w:jc w:val="both"/>
        <w:rPr>
          <w:rFonts w:ascii="Calibri" w:hAnsi="Calibri"/>
          <w:bCs/>
        </w:rPr>
      </w:pPr>
      <w:r w:rsidRPr="00DC7F02">
        <w:rPr>
          <w:rFonts w:ascii="Calibri" w:hAnsi="Calibri"/>
        </w:rPr>
        <w:t xml:space="preserve">Ke zvládání rizik </w:t>
      </w:r>
      <w:r>
        <w:rPr>
          <w:rFonts w:ascii="Calibri" w:hAnsi="Calibri"/>
        </w:rPr>
        <w:t xml:space="preserve">a využívání příležitostí je </w:t>
      </w:r>
      <w:r w:rsidR="00BE535F">
        <w:rPr>
          <w:rFonts w:ascii="Calibri" w:hAnsi="Calibri"/>
        </w:rPr>
        <w:t>potřeba</w:t>
      </w:r>
      <w:r>
        <w:rPr>
          <w:rFonts w:ascii="Calibri" w:hAnsi="Calibri"/>
        </w:rPr>
        <w:t xml:space="preserve"> </w:t>
      </w:r>
      <w:r w:rsidR="00BE535F">
        <w:rPr>
          <w:rFonts w:ascii="Calibri" w:hAnsi="Calibri"/>
        </w:rPr>
        <w:t>identifikovat</w:t>
      </w:r>
      <w:r>
        <w:rPr>
          <w:rFonts w:ascii="Calibri" w:hAnsi="Calibri"/>
        </w:rPr>
        <w:t xml:space="preserve"> a </w:t>
      </w:r>
      <w:r w:rsidRPr="00DC7F02">
        <w:rPr>
          <w:rFonts w:ascii="Calibri" w:hAnsi="Calibri"/>
        </w:rPr>
        <w:t xml:space="preserve">následně </w:t>
      </w:r>
      <w:r>
        <w:rPr>
          <w:rFonts w:ascii="Calibri" w:hAnsi="Calibri"/>
        </w:rPr>
        <w:t xml:space="preserve">v dané věci přijmout </w:t>
      </w:r>
      <w:r w:rsidRPr="00E94AD5">
        <w:rPr>
          <w:rFonts w:ascii="Calibri" w:hAnsi="Calibri"/>
          <w:b/>
        </w:rPr>
        <w:t>správné rozhodnutí</w:t>
      </w:r>
      <w:r w:rsidRPr="00DC7F02">
        <w:rPr>
          <w:rFonts w:ascii="Calibri" w:hAnsi="Calibri"/>
        </w:rPr>
        <w:t>. Správná rozhodnutí nás posouvají k dosažení cílů, jsou</w:t>
      </w:r>
      <w:r w:rsidR="00BE535F">
        <w:rPr>
          <w:rFonts w:ascii="Calibri" w:hAnsi="Calibri"/>
        </w:rPr>
        <w:t xml:space="preserve"> zákonná a jsou morální</w:t>
      </w:r>
      <w:r w:rsidRPr="00DC7F02">
        <w:rPr>
          <w:rFonts w:ascii="Calibri" w:hAnsi="Calibri"/>
        </w:rPr>
        <w:t>.</w:t>
      </w:r>
      <w:r>
        <w:rPr>
          <w:rFonts w:ascii="Calibri" w:hAnsi="Calibri"/>
        </w:rPr>
        <w:t xml:space="preserve"> </w:t>
      </w:r>
      <w:r w:rsidR="00BE535F">
        <w:rPr>
          <w:rFonts w:ascii="Calibri" w:hAnsi="Calibri"/>
          <w:bCs/>
        </w:rPr>
        <w:t>Snižování</w:t>
      </w:r>
      <w:r w:rsidRPr="00DC7F02">
        <w:rPr>
          <w:rFonts w:ascii="Calibri" w:hAnsi="Calibri"/>
          <w:bCs/>
        </w:rPr>
        <w:t xml:space="preserve"> rizik </w:t>
      </w:r>
      <w:r>
        <w:rPr>
          <w:rFonts w:ascii="Calibri" w:hAnsi="Calibri"/>
          <w:bCs/>
        </w:rPr>
        <w:t xml:space="preserve">i </w:t>
      </w:r>
      <w:r w:rsidR="00BE535F">
        <w:rPr>
          <w:rFonts w:ascii="Calibri" w:hAnsi="Calibri"/>
          <w:bCs/>
        </w:rPr>
        <w:t xml:space="preserve">využívání </w:t>
      </w:r>
      <w:r>
        <w:rPr>
          <w:rFonts w:ascii="Calibri" w:hAnsi="Calibri"/>
          <w:bCs/>
        </w:rPr>
        <w:t xml:space="preserve">příležitostí </w:t>
      </w:r>
      <w:r w:rsidR="00BE535F">
        <w:rPr>
          <w:rFonts w:ascii="Calibri" w:hAnsi="Calibri"/>
          <w:bCs/>
        </w:rPr>
        <w:t>má mít preventivní charakter. M</w:t>
      </w:r>
      <w:r w:rsidRPr="00DC7F02">
        <w:rPr>
          <w:rFonts w:ascii="Calibri" w:hAnsi="Calibri"/>
          <w:bCs/>
        </w:rPr>
        <w:t xml:space="preserve">áme </w:t>
      </w:r>
      <w:r>
        <w:rPr>
          <w:rFonts w:ascii="Calibri" w:hAnsi="Calibri"/>
          <w:bCs/>
        </w:rPr>
        <w:t xml:space="preserve">se </w:t>
      </w:r>
      <w:r w:rsidRPr="00DC7F02">
        <w:rPr>
          <w:rFonts w:ascii="Calibri" w:hAnsi="Calibri"/>
          <w:bCs/>
        </w:rPr>
        <w:t>snažit problémům předcházet</w:t>
      </w:r>
      <w:r w:rsidRPr="00DC7F02">
        <w:rPr>
          <w:rStyle w:val="Znakapoznpodarou"/>
          <w:rFonts w:ascii="Calibri" w:hAnsi="Calibri"/>
          <w:bCs/>
        </w:rPr>
        <w:footnoteReference w:id="16"/>
      </w:r>
      <w:r w:rsidRPr="00DC7F02">
        <w:rPr>
          <w:rFonts w:ascii="Calibri" w:hAnsi="Calibri"/>
          <w:bCs/>
        </w:rPr>
        <w:t xml:space="preserve">. Současně by mělo být </w:t>
      </w:r>
      <w:r w:rsidRPr="00E94AD5">
        <w:rPr>
          <w:rFonts w:ascii="Calibri" w:hAnsi="Calibri"/>
          <w:b/>
          <w:bCs/>
        </w:rPr>
        <w:t>řízení rizik a příležitostí</w:t>
      </w:r>
      <w:r w:rsidRPr="00DC7F02">
        <w:rPr>
          <w:rFonts w:ascii="Calibri" w:hAnsi="Calibri"/>
          <w:bCs/>
        </w:rPr>
        <w:t xml:space="preserve"> </w:t>
      </w:r>
      <w:r w:rsidRPr="00DC7F02">
        <w:rPr>
          <w:rFonts w:ascii="Calibri" w:hAnsi="Calibri"/>
          <w:bCs/>
        </w:rPr>
        <w:lastRenderedPageBreak/>
        <w:t xml:space="preserve">neoddělitelnou součástí práce každého zaměstnance, vedoucího zaměstnance a </w:t>
      </w:r>
      <w:r>
        <w:rPr>
          <w:rFonts w:ascii="Calibri" w:hAnsi="Calibri"/>
          <w:bCs/>
        </w:rPr>
        <w:t>voleného zástupce</w:t>
      </w:r>
      <w:r w:rsidR="00BE535F">
        <w:rPr>
          <w:rFonts w:ascii="Calibri" w:hAnsi="Calibri"/>
          <w:bCs/>
        </w:rPr>
        <w:t>, kteří se podílí na strategické práci</w:t>
      </w:r>
      <w:r w:rsidRPr="00DC7F02">
        <w:rPr>
          <w:rFonts w:ascii="Calibri" w:hAnsi="Calibri"/>
          <w:bCs/>
        </w:rPr>
        <w:t>. To znamená, umět</w:t>
      </w:r>
    </w:p>
    <w:p w14:paraId="02BC6864" w14:textId="7A1ED4B5" w:rsidR="00874F70" w:rsidRPr="00DC7F02" w:rsidRDefault="008A4A66" w:rsidP="0065698B">
      <w:pPr>
        <w:pStyle w:val="Odstavecseseznamem"/>
        <w:numPr>
          <w:ilvl w:val="0"/>
          <w:numId w:val="17"/>
        </w:numPr>
        <w:tabs>
          <w:tab w:val="num" w:pos="720"/>
        </w:tabs>
        <w:jc w:val="both"/>
        <w:rPr>
          <w:rFonts w:ascii="Calibri" w:hAnsi="Calibri"/>
          <w:bCs/>
        </w:rPr>
      </w:pPr>
      <w:r>
        <w:rPr>
          <w:rFonts w:ascii="Calibri" w:hAnsi="Calibri"/>
          <w:bCs/>
        </w:rPr>
        <w:t>identifikovat</w:t>
      </w:r>
      <w:r w:rsidR="00874F70" w:rsidRPr="00DC7F02">
        <w:rPr>
          <w:rFonts w:ascii="Calibri" w:hAnsi="Calibri"/>
          <w:bCs/>
        </w:rPr>
        <w:t xml:space="preserve"> rizika</w:t>
      </w:r>
      <w:r w:rsidR="000F4F7F">
        <w:rPr>
          <w:rFonts w:ascii="Calibri" w:hAnsi="Calibri"/>
          <w:bCs/>
        </w:rPr>
        <w:t>,</w:t>
      </w:r>
      <w:r w:rsidR="00874F70" w:rsidRPr="00DC7F02">
        <w:rPr>
          <w:rFonts w:ascii="Calibri" w:hAnsi="Calibri"/>
          <w:bCs/>
        </w:rPr>
        <w:t xml:space="preserve"> </w:t>
      </w:r>
      <w:r w:rsidR="00EA0320">
        <w:rPr>
          <w:rFonts w:ascii="Calibri" w:hAnsi="Calibri"/>
          <w:bCs/>
        </w:rPr>
        <w:t>respektive příležitosti</w:t>
      </w:r>
      <w:r w:rsidR="00874F70" w:rsidRPr="00DC7F02">
        <w:rPr>
          <w:rFonts w:ascii="Calibri" w:hAnsi="Calibri"/>
          <w:bCs/>
        </w:rPr>
        <w:t xml:space="preserve">, </w:t>
      </w:r>
    </w:p>
    <w:p w14:paraId="10FD7F3A" w14:textId="2B3DBA3F" w:rsidR="00874F70" w:rsidRPr="00DC7F02" w:rsidRDefault="00874F70" w:rsidP="0065698B">
      <w:pPr>
        <w:pStyle w:val="Odstavecseseznamem"/>
        <w:numPr>
          <w:ilvl w:val="0"/>
          <w:numId w:val="17"/>
        </w:numPr>
        <w:tabs>
          <w:tab w:val="num" w:pos="720"/>
        </w:tabs>
        <w:jc w:val="both"/>
        <w:rPr>
          <w:rFonts w:ascii="Calibri" w:hAnsi="Calibri"/>
          <w:bCs/>
        </w:rPr>
      </w:pPr>
      <w:r w:rsidRPr="00DC7F02">
        <w:rPr>
          <w:rFonts w:ascii="Calibri" w:hAnsi="Calibri"/>
          <w:bCs/>
        </w:rPr>
        <w:t>analyzovat neboli hodnotit rizika</w:t>
      </w:r>
      <w:r w:rsidR="000F4F7F">
        <w:rPr>
          <w:rFonts w:ascii="Calibri" w:hAnsi="Calibri"/>
          <w:bCs/>
        </w:rPr>
        <w:t>,</w:t>
      </w:r>
      <w:r>
        <w:rPr>
          <w:rFonts w:ascii="Calibri" w:hAnsi="Calibri"/>
          <w:bCs/>
        </w:rPr>
        <w:t xml:space="preserve"> respektive příležitosti</w:t>
      </w:r>
      <w:r w:rsidRPr="00DC7F02">
        <w:rPr>
          <w:rFonts w:ascii="Calibri" w:hAnsi="Calibri"/>
          <w:bCs/>
        </w:rPr>
        <w:t xml:space="preserve">, </w:t>
      </w:r>
    </w:p>
    <w:p w14:paraId="68067EB4" w14:textId="6A3C6D65" w:rsidR="00874F70" w:rsidRPr="00DC7F02" w:rsidRDefault="00874F70" w:rsidP="0065698B">
      <w:pPr>
        <w:pStyle w:val="Odstavecseseznamem"/>
        <w:numPr>
          <w:ilvl w:val="0"/>
          <w:numId w:val="17"/>
        </w:numPr>
        <w:tabs>
          <w:tab w:val="num" w:pos="720"/>
        </w:tabs>
        <w:jc w:val="both"/>
        <w:rPr>
          <w:rFonts w:ascii="Calibri" w:hAnsi="Calibri"/>
          <w:bCs/>
        </w:rPr>
      </w:pPr>
      <w:r w:rsidRPr="00DC7F02">
        <w:rPr>
          <w:rFonts w:ascii="Calibri" w:hAnsi="Calibri"/>
          <w:bCs/>
        </w:rPr>
        <w:t>zvládat rizika</w:t>
      </w:r>
      <w:r w:rsidR="000F4F7F">
        <w:rPr>
          <w:rFonts w:ascii="Calibri" w:hAnsi="Calibri"/>
          <w:bCs/>
        </w:rPr>
        <w:t>,</w:t>
      </w:r>
      <w:r w:rsidRPr="00DC7F02">
        <w:rPr>
          <w:rFonts w:ascii="Calibri" w:hAnsi="Calibri"/>
          <w:bCs/>
        </w:rPr>
        <w:t xml:space="preserve"> </w:t>
      </w:r>
      <w:r>
        <w:rPr>
          <w:rFonts w:ascii="Calibri" w:hAnsi="Calibri"/>
          <w:bCs/>
        </w:rPr>
        <w:t xml:space="preserve">respektive využívat příležitosti - </w:t>
      </w:r>
      <w:r w:rsidRPr="00DC7F02">
        <w:rPr>
          <w:rFonts w:ascii="Calibri" w:hAnsi="Calibri"/>
          <w:bCs/>
        </w:rPr>
        <w:t>přijímat k nim správná opatř</w:t>
      </w:r>
      <w:r w:rsidR="00EA0320">
        <w:rPr>
          <w:rFonts w:ascii="Calibri" w:hAnsi="Calibri"/>
          <w:bCs/>
        </w:rPr>
        <w:t xml:space="preserve">ení </w:t>
      </w:r>
      <w:r w:rsidRPr="00DC7F02">
        <w:rPr>
          <w:rFonts w:ascii="Calibri" w:hAnsi="Calibri"/>
          <w:bCs/>
        </w:rPr>
        <w:t>a</w:t>
      </w:r>
    </w:p>
    <w:p w14:paraId="5C37BDCB" w14:textId="0BD30B15" w:rsidR="00874F70" w:rsidRPr="00DC7F02" w:rsidRDefault="00874F70" w:rsidP="0065698B">
      <w:pPr>
        <w:pStyle w:val="Odstavecseseznamem"/>
        <w:numPr>
          <w:ilvl w:val="0"/>
          <w:numId w:val="17"/>
        </w:numPr>
        <w:tabs>
          <w:tab w:val="num" w:pos="720"/>
        </w:tabs>
        <w:jc w:val="both"/>
        <w:rPr>
          <w:rFonts w:ascii="Calibri" w:hAnsi="Calibri"/>
          <w:bCs/>
        </w:rPr>
      </w:pPr>
      <w:r w:rsidRPr="00DC7F02">
        <w:rPr>
          <w:rFonts w:ascii="Calibri" w:hAnsi="Calibri"/>
          <w:bCs/>
        </w:rPr>
        <w:t>monitorovat rizika</w:t>
      </w:r>
      <w:r w:rsidR="000F4F7F">
        <w:rPr>
          <w:rFonts w:ascii="Calibri" w:hAnsi="Calibri"/>
          <w:bCs/>
        </w:rPr>
        <w:t>,</w:t>
      </w:r>
      <w:r w:rsidRPr="00DC7F02">
        <w:rPr>
          <w:rFonts w:ascii="Calibri" w:hAnsi="Calibri"/>
          <w:bCs/>
        </w:rPr>
        <w:t xml:space="preserve"> </w:t>
      </w:r>
      <w:r>
        <w:rPr>
          <w:rFonts w:ascii="Calibri" w:hAnsi="Calibri"/>
          <w:bCs/>
        </w:rPr>
        <w:t>respektive</w:t>
      </w:r>
      <w:r w:rsidRPr="00DC7F02">
        <w:rPr>
          <w:rFonts w:ascii="Calibri" w:hAnsi="Calibri"/>
          <w:bCs/>
        </w:rPr>
        <w:t xml:space="preserve"> </w:t>
      </w:r>
      <w:r w:rsidR="00EA0320">
        <w:rPr>
          <w:rFonts w:ascii="Calibri" w:hAnsi="Calibri"/>
          <w:bCs/>
        </w:rPr>
        <w:t>příležitosti</w:t>
      </w:r>
      <w:r>
        <w:rPr>
          <w:rFonts w:ascii="Calibri" w:hAnsi="Calibri"/>
          <w:bCs/>
        </w:rPr>
        <w:t>.</w:t>
      </w:r>
    </w:p>
    <w:p w14:paraId="4E13AEBC" w14:textId="0BF23DF2" w:rsidR="008B40EA" w:rsidRDefault="008B40EA" w:rsidP="008B40EA"/>
    <w:p w14:paraId="5A2B20C2" w14:textId="17809A3C" w:rsidR="008B40EA" w:rsidRPr="000B2BBE" w:rsidRDefault="00643133" w:rsidP="000B2BBE">
      <w:pPr>
        <w:jc w:val="both"/>
        <w:rPr>
          <w:rFonts w:asciiTheme="minorHAnsi" w:hAnsiTheme="minorHAnsi" w:cstheme="minorHAnsi"/>
        </w:rPr>
      </w:pPr>
      <w:r w:rsidRPr="000B2BBE">
        <w:rPr>
          <w:rFonts w:asciiTheme="minorHAnsi" w:hAnsiTheme="minorHAnsi" w:cstheme="minorHAnsi"/>
        </w:rPr>
        <w:t xml:space="preserve">Je třeba ještě zmínit, že zvládání rizik (hrozeb) a využívání příležitostí je </w:t>
      </w:r>
      <w:r w:rsidR="000B2BBE" w:rsidRPr="000B2BBE">
        <w:rPr>
          <w:rFonts w:asciiTheme="minorHAnsi" w:hAnsiTheme="minorHAnsi" w:cstheme="minorHAnsi"/>
        </w:rPr>
        <w:t>významn</w:t>
      </w:r>
      <w:r w:rsidR="009F0A7C">
        <w:rPr>
          <w:rFonts w:asciiTheme="minorHAnsi" w:hAnsiTheme="minorHAnsi" w:cstheme="minorHAnsi"/>
        </w:rPr>
        <w:t>é</w:t>
      </w:r>
      <w:r w:rsidRPr="000B2BBE">
        <w:rPr>
          <w:rFonts w:asciiTheme="minorHAnsi" w:hAnsiTheme="minorHAnsi" w:cstheme="minorHAnsi"/>
        </w:rPr>
        <w:t xml:space="preserve"> též pro samosprávy, které se snaží </w:t>
      </w:r>
      <w:r w:rsidR="000B2BBE">
        <w:rPr>
          <w:rFonts w:asciiTheme="minorHAnsi" w:hAnsiTheme="minorHAnsi" w:cstheme="minorHAnsi"/>
        </w:rPr>
        <w:t>inspirovat</w:t>
      </w:r>
      <w:r w:rsidRPr="000B2BBE">
        <w:rPr>
          <w:rFonts w:asciiTheme="minorHAnsi" w:hAnsiTheme="minorHAnsi" w:cstheme="minorHAnsi"/>
        </w:rPr>
        <w:t xml:space="preserve"> </w:t>
      </w:r>
      <w:r w:rsidR="000B2BBE" w:rsidRPr="00E94AD5">
        <w:rPr>
          <w:rFonts w:asciiTheme="minorHAnsi" w:hAnsiTheme="minorHAnsi" w:cstheme="minorHAnsi"/>
          <w:b/>
        </w:rPr>
        <w:t>koncepcí</w:t>
      </w:r>
      <w:r w:rsidRPr="00E94AD5">
        <w:rPr>
          <w:rFonts w:asciiTheme="minorHAnsi" w:hAnsiTheme="minorHAnsi" w:cstheme="minorHAnsi"/>
          <w:b/>
        </w:rPr>
        <w:t xml:space="preserve"> S</w:t>
      </w:r>
      <w:r w:rsidR="000B2BBE" w:rsidRPr="00E94AD5">
        <w:rPr>
          <w:rFonts w:asciiTheme="minorHAnsi" w:hAnsiTheme="minorHAnsi" w:cstheme="minorHAnsi"/>
          <w:b/>
        </w:rPr>
        <w:t>mart Cities</w:t>
      </w:r>
      <w:r w:rsidR="000B2BBE">
        <w:rPr>
          <w:rStyle w:val="Znakapoznpodarou"/>
          <w:rFonts w:asciiTheme="minorHAnsi" w:hAnsiTheme="minorHAnsi" w:cstheme="minorHAnsi"/>
        </w:rPr>
        <w:footnoteReference w:id="17"/>
      </w:r>
      <w:r w:rsidR="000B2BBE">
        <w:rPr>
          <w:rFonts w:asciiTheme="minorHAnsi" w:hAnsiTheme="minorHAnsi" w:cstheme="minorHAnsi"/>
        </w:rPr>
        <w:t>, kde h</w:t>
      </w:r>
      <w:r w:rsidRPr="000B2BBE">
        <w:rPr>
          <w:rFonts w:asciiTheme="minorHAnsi" w:hAnsiTheme="minorHAnsi" w:cstheme="minorHAnsi"/>
        </w:rPr>
        <w:t xml:space="preserve">lavní zastřešující průřezovou oblastí této koncepce je </w:t>
      </w:r>
      <w:r w:rsidRPr="00E94AD5">
        <w:rPr>
          <w:rFonts w:asciiTheme="minorHAnsi" w:hAnsiTheme="minorHAnsi" w:cstheme="minorHAnsi"/>
          <w:b/>
        </w:rPr>
        <w:t>odolnost vůči negativním jevům a hrozbám</w:t>
      </w:r>
      <w:r w:rsidR="000B2BBE">
        <w:rPr>
          <w:rFonts w:asciiTheme="minorHAnsi" w:hAnsiTheme="minorHAnsi" w:cstheme="minorHAnsi"/>
        </w:rPr>
        <w:t xml:space="preserve"> na úrovni obcí, měst a regionů.</w:t>
      </w:r>
      <w:r w:rsidR="00ED30E3">
        <w:rPr>
          <w:rFonts w:asciiTheme="minorHAnsi" w:hAnsiTheme="minorHAnsi" w:cstheme="minorHAnsi"/>
        </w:rPr>
        <w:t xml:space="preserve"> V takovém případě je třeba rizika v příležitosti řešit komplexně</w:t>
      </w:r>
      <w:r w:rsidR="00ED30E3">
        <w:rPr>
          <w:rStyle w:val="Znakapoznpodarou"/>
          <w:rFonts w:asciiTheme="minorHAnsi" w:hAnsiTheme="minorHAnsi" w:cstheme="minorHAnsi"/>
        </w:rPr>
        <w:footnoteReference w:id="18"/>
      </w:r>
      <w:r w:rsidR="00ED30E3">
        <w:rPr>
          <w:rFonts w:asciiTheme="minorHAnsi" w:hAnsiTheme="minorHAnsi" w:cstheme="minorHAnsi"/>
        </w:rPr>
        <w:t>.</w:t>
      </w:r>
    </w:p>
    <w:p w14:paraId="1BBCCF66" w14:textId="77777777" w:rsidR="00F65116" w:rsidRDefault="00F65116">
      <w:pPr>
        <w:spacing w:after="160" w:line="259" w:lineRule="auto"/>
        <w:rPr>
          <w:rFonts w:ascii="Calibri" w:hAnsi="Calibri"/>
          <w:b/>
          <w:bCs/>
          <w:color w:val="7493B0"/>
          <w:sz w:val="32"/>
          <w:szCs w:val="28"/>
        </w:rPr>
      </w:pPr>
      <w:r>
        <w:rPr>
          <w:rFonts w:ascii="Calibri" w:hAnsi="Calibri"/>
          <w:color w:val="7493B0"/>
          <w:sz w:val="32"/>
        </w:rPr>
        <w:br w:type="page"/>
      </w:r>
    </w:p>
    <w:p w14:paraId="6FAA7D24" w14:textId="531C3AF5" w:rsidR="008177E2" w:rsidRDefault="000178E8" w:rsidP="00F85B23">
      <w:pPr>
        <w:pStyle w:val="Nadpis1"/>
        <w:spacing w:before="240" w:after="120"/>
        <w:ind w:left="431" w:hanging="431"/>
        <w:rPr>
          <w:rFonts w:ascii="Calibri" w:hAnsi="Calibri"/>
          <w:color w:val="7493B0"/>
          <w:sz w:val="32"/>
          <w:lang w:val="cs-CZ"/>
        </w:rPr>
      </w:pPr>
      <w:bookmarkStart w:id="12" w:name="_Toc117269985"/>
      <w:r>
        <w:rPr>
          <w:rFonts w:ascii="Calibri" w:hAnsi="Calibri"/>
          <w:color w:val="7493B0"/>
          <w:sz w:val="32"/>
          <w:lang w:val="cs-CZ"/>
        </w:rPr>
        <w:lastRenderedPageBreak/>
        <w:t xml:space="preserve">Rozpočet, </w:t>
      </w:r>
      <w:r w:rsidR="008177E2">
        <w:rPr>
          <w:rFonts w:ascii="Calibri" w:hAnsi="Calibri"/>
          <w:color w:val="7493B0"/>
          <w:sz w:val="32"/>
          <w:lang w:val="cs-CZ"/>
        </w:rPr>
        <w:t>rozpočtování</w:t>
      </w:r>
      <w:r>
        <w:rPr>
          <w:rFonts w:ascii="Calibri" w:hAnsi="Calibri"/>
          <w:color w:val="7493B0"/>
          <w:sz w:val="32"/>
          <w:lang w:val="cs-CZ"/>
        </w:rPr>
        <w:t>, finanční řízení</w:t>
      </w:r>
      <w:bookmarkEnd w:id="12"/>
    </w:p>
    <w:p w14:paraId="327FE212" w14:textId="3BB428CC" w:rsidR="008B40EA" w:rsidRDefault="00A345DB" w:rsidP="008B40EA">
      <w:pPr>
        <w:pStyle w:val="Nadpis2"/>
        <w:spacing w:before="240" w:after="120"/>
        <w:ind w:left="578" w:hanging="578"/>
        <w:rPr>
          <w:rFonts w:asciiTheme="minorHAnsi" w:hAnsiTheme="minorHAnsi" w:cstheme="minorHAnsi"/>
          <w:color w:val="7493B0"/>
          <w:sz w:val="24"/>
          <w:szCs w:val="24"/>
          <w:lang w:val="cs-CZ"/>
        </w:rPr>
      </w:pPr>
      <w:bookmarkStart w:id="13" w:name="_Toc117269986"/>
      <w:r>
        <w:rPr>
          <w:rFonts w:asciiTheme="minorHAnsi" w:hAnsiTheme="minorHAnsi" w:cstheme="minorHAnsi"/>
          <w:color w:val="7493B0"/>
          <w:sz w:val="24"/>
          <w:szCs w:val="24"/>
          <w:lang w:val="cs-CZ"/>
        </w:rPr>
        <w:t>Ú</w:t>
      </w:r>
      <w:r w:rsidR="007D634B">
        <w:rPr>
          <w:rFonts w:asciiTheme="minorHAnsi" w:hAnsiTheme="minorHAnsi" w:cstheme="minorHAnsi"/>
          <w:color w:val="7493B0"/>
          <w:sz w:val="24"/>
          <w:szCs w:val="24"/>
          <w:lang w:val="cs-CZ"/>
        </w:rPr>
        <w:t>vod k</w:t>
      </w:r>
      <w:r w:rsidR="001F2497">
        <w:rPr>
          <w:rFonts w:asciiTheme="minorHAnsi" w:hAnsiTheme="minorHAnsi" w:cstheme="minorHAnsi"/>
          <w:color w:val="7493B0"/>
          <w:sz w:val="24"/>
          <w:szCs w:val="24"/>
          <w:lang w:val="cs-CZ"/>
        </w:rPr>
        <w:t> rozpočtování</w:t>
      </w:r>
      <w:bookmarkEnd w:id="13"/>
    </w:p>
    <w:p w14:paraId="192C6CBC" w14:textId="08B58F8B" w:rsidR="00A85C8A" w:rsidRDefault="006533CE" w:rsidP="00E16037">
      <w:pPr>
        <w:pStyle w:val="Zkladntextodsazen"/>
        <w:spacing w:after="0" w:line="360" w:lineRule="auto"/>
        <w:ind w:left="0"/>
        <w:jc w:val="both"/>
        <w:rPr>
          <w:rFonts w:asciiTheme="minorHAnsi" w:hAnsiTheme="minorHAnsi"/>
          <w:lang w:eastAsia="x-none"/>
        </w:rPr>
      </w:pPr>
      <w:r w:rsidRPr="00AC26F2">
        <w:rPr>
          <w:rFonts w:asciiTheme="minorHAnsi" w:hAnsiTheme="minorHAnsi"/>
          <w:b/>
          <w:lang w:eastAsia="x-none"/>
        </w:rPr>
        <w:t xml:space="preserve">Rozpočtování </w:t>
      </w:r>
      <w:r w:rsidRPr="00AC26F2">
        <w:rPr>
          <w:rFonts w:asciiTheme="minorHAnsi" w:hAnsiTheme="minorHAnsi"/>
          <w:lang w:eastAsia="x-none"/>
        </w:rPr>
        <w:t>je druh finančního plánování. Vše, co platí pro rozpočtování obecně</w:t>
      </w:r>
      <w:r w:rsidR="00A85C8A">
        <w:rPr>
          <w:rFonts w:asciiTheme="minorHAnsi" w:hAnsiTheme="minorHAnsi"/>
          <w:lang w:eastAsia="x-none"/>
        </w:rPr>
        <w:t xml:space="preserve"> a je uvedeno dále</w:t>
      </w:r>
      <w:r w:rsidRPr="00AC26F2">
        <w:rPr>
          <w:rFonts w:asciiTheme="minorHAnsi" w:hAnsiTheme="minorHAnsi"/>
          <w:lang w:eastAsia="x-none"/>
        </w:rPr>
        <w:t xml:space="preserve">, platí též pro rozpočtování </w:t>
      </w:r>
      <w:r w:rsidR="002F0BFD">
        <w:rPr>
          <w:rFonts w:asciiTheme="minorHAnsi" w:hAnsiTheme="minorHAnsi"/>
          <w:lang w:eastAsia="x-none"/>
        </w:rPr>
        <w:t>ve vazbě na strategickou práci</w:t>
      </w:r>
      <w:r w:rsidRPr="00AC26F2">
        <w:rPr>
          <w:rFonts w:asciiTheme="minorHAnsi" w:hAnsiTheme="minorHAnsi"/>
          <w:lang w:eastAsia="x-none"/>
        </w:rPr>
        <w:t xml:space="preserve">. </w:t>
      </w:r>
      <w:r w:rsidR="002F0BFD">
        <w:rPr>
          <w:rFonts w:asciiTheme="minorHAnsi" w:hAnsiTheme="minorHAnsi"/>
          <w:lang w:eastAsia="x-none"/>
        </w:rPr>
        <w:t xml:space="preserve">Výdaje (případně též příjmy) na strategickou práci jsou součástí rozpočtu útvaru, který strategickou práci v dané instituci zajišťuje. Součástí toho mohou být též rozpočty projektů, které tento útvar zajišťuje (může jít například o projekty financované </w:t>
      </w:r>
      <w:r w:rsidR="00E94AD5">
        <w:rPr>
          <w:rFonts w:asciiTheme="minorHAnsi" w:hAnsiTheme="minorHAnsi"/>
          <w:lang w:eastAsia="x-none"/>
        </w:rPr>
        <w:t xml:space="preserve">z </w:t>
      </w:r>
      <w:r w:rsidR="00E86E91">
        <w:rPr>
          <w:rFonts w:asciiTheme="minorHAnsi" w:hAnsiTheme="minorHAnsi"/>
          <w:lang w:eastAsia="x-none"/>
        </w:rPr>
        <w:t xml:space="preserve">dotačních zdrojů </w:t>
      </w:r>
      <w:r w:rsidR="00E94AD5">
        <w:rPr>
          <w:rFonts w:asciiTheme="minorHAnsi" w:hAnsiTheme="minorHAnsi"/>
          <w:lang w:eastAsia="x-none"/>
        </w:rPr>
        <w:t>včetně</w:t>
      </w:r>
      <w:r w:rsidR="002F0BFD">
        <w:rPr>
          <w:rFonts w:asciiTheme="minorHAnsi" w:hAnsiTheme="minorHAnsi"/>
          <w:lang w:eastAsia="x-none"/>
        </w:rPr>
        <w:t> fondů EU</w:t>
      </w:r>
      <w:r w:rsidR="00C342F1">
        <w:rPr>
          <w:rFonts w:asciiTheme="minorHAnsi" w:hAnsiTheme="minorHAnsi"/>
          <w:lang w:eastAsia="x-none"/>
        </w:rPr>
        <w:t xml:space="preserve"> nebo o proje</w:t>
      </w:r>
      <w:r w:rsidR="00E86E91">
        <w:rPr>
          <w:rFonts w:asciiTheme="minorHAnsi" w:hAnsiTheme="minorHAnsi"/>
          <w:lang w:eastAsia="x-none"/>
        </w:rPr>
        <w:t>k</w:t>
      </w:r>
      <w:r w:rsidR="00C342F1">
        <w:rPr>
          <w:rFonts w:asciiTheme="minorHAnsi" w:hAnsiTheme="minorHAnsi"/>
          <w:lang w:eastAsia="x-none"/>
        </w:rPr>
        <w:t xml:space="preserve">t zpracování nové strategie). Také může být součástí rozpočtu tohoto útvaru </w:t>
      </w:r>
      <w:r w:rsidR="002F0BFD">
        <w:rPr>
          <w:rFonts w:asciiTheme="minorHAnsi" w:hAnsiTheme="minorHAnsi"/>
          <w:lang w:eastAsia="x-none"/>
        </w:rPr>
        <w:t>rozpočet veřejné strategie nebo prováděcích plánů.</w:t>
      </w:r>
      <w:r w:rsidR="00C342F1">
        <w:rPr>
          <w:rFonts w:asciiTheme="minorHAnsi" w:hAnsiTheme="minorHAnsi"/>
          <w:lang w:eastAsia="x-none"/>
        </w:rPr>
        <w:t xml:space="preserve"> Nicméně spíše bude součástí rozpočtu útvarů, které jsou za dané aktivity nebo projekty zahrnuté do strategie odpovědné.</w:t>
      </w:r>
    </w:p>
    <w:p w14:paraId="0DAE6276" w14:textId="6FAF7146" w:rsidR="00A85C8A" w:rsidRDefault="00A85C8A" w:rsidP="00A85C8A">
      <w:pPr>
        <w:pStyle w:val="Zkladntext3"/>
        <w:spacing w:after="0" w:line="360" w:lineRule="auto"/>
        <w:jc w:val="both"/>
        <w:rPr>
          <w:rFonts w:asciiTheme="minorHAnsi" w:eastAsia="Calibri" w:hAnsiTheme="minorHAnsi" w:cstheme="minorHAnsi"/>
          <w:i/>
          <w:iCs/>
          <w:sz w:val="24"/>
          <w:szCs w:val="24"/>
        </w:rPr>
      </w:pPr>
      <w:r w:rsidRPr="006E498E">
        <w:rPr>
          <w:rFonts w:asciiTheme="minorHAnsi" w:eastAsia="Calibri" w:hAnsiTheme="minorHAnsi" w:cstheme="minorHAnsi"/>
          <w:i/>
          <w:iCs/>
          <w:sz w:val="24"/>
          <w:szCs w:val="24"/>
        </w:rPr>
        <w:t>Obr.</w:t>
      </w:r>
      <w:r w:rsidR="00257449">
        <w:rPr>
          <w:rFonts w:asciiTheme="minorHAnsi" w:eastAsia="Calibri" w:hAnsiTheme="minorHAnsi" w:cstheme="minorHAnsi"/>
          <w:i/>
          <w:iCs/>
          <w:sz w:val="24"/>
          <w:szCs w:val="24"/>
        </w:rPr>
        <w:t xml:space="preserve"> 10</w:t>
      </w:r>
      <w:r w:rsidRPr="006E498E">
        <w:rPr>
          <w:rFonts w:asciiTheme="minorHAnsi" w:eastAsia="Calibri" w:hAnsiTheme="minorHAnsi" w:cstheme="minorHAnsi"/>
          <w:i/>
          <w:iCs/>
          <w:sz w:val="24"/>
          <w:szCs w:val="24"/>
        </w:rPr>
        <w:t xml:space="preserve"> </w:t>
      </w:r>
      <w:r w:rsidR="002F0BFD">
        <w:rPr>
          <w:rFonts w:asciiTheme="minorHAnsi" w:eastAsia="Calibri" w:hAnsiTheme="minorHAnsi" w:cstheme="minorHAnsi"/>
          <w:i/>
          <w:iCs/>
          <w:sz w:val="24"/>
          <w:szCs w:val="24"/>
        </w:rPr>
        <w:t>Rozpočtování ve vazbě na strategickou práci</w:t>
      </w:r>
    </w:p>
    <w:p w14:paraId="6B075185" w14:textId="61A1C551" w:rsidR="008C5610" w:rsidRDefault="00637480" w:rsidP="00A85C8A">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mc:AlternateContent>
          <mc:Choice Requires="wpg">
            <w:drawing>
              <wp:anchor distT="0" distB="0" distL="114300" distR="114300" simplePos="0" relativeHeight="251568640" behindDoc="0" locked="0" layoutInCell="1" allowOverlap="1" wp14:anchorId="64B9343C" wp14:editId="1B8A2223">
                <wp:simplePos x="0" y="0"/>
                <wp:positionH relativeFrom="column">
                  <wp:posOffset>228600</wp:posOffset>
                </wp:positionH>
                <wp:positionV relativeFrom="paragraph">
                  <wp:posOffset>87630</wp:posOffset>
                </wp:positionV>
                <wp:extent cx="5287645" cy="1673225"/>
                <wp:effectExtent l="0" t="0" r="27305" b="22225"/>
                <wp:wrapNone/>
                <wp:docPr id="3964" name="Skupina 3964"/>
                <wp:cNvGraphicFramePr/>
                <a:graphic xmlns:a="http://schemas.openxmlformats.org/drawingml/2006/main">
                  <a:graphicData uri="http://schemas.microsoft.com/office/word/2010/wordprocessingGroup">
                    <wpg:wgp>
                      <wpg:cNvGrpSpPr/>
                      <wpg:grpSpPr>
                        <a:xfrm>
                          <a:off x="0" y="0"/>
                          <a:ext cx="5287645" cy="1673225"/>
                          <a:chOff x="10489" y="-42333"/>
                          <a:chExt cx="5287937" cy="1673763"/>
                        </a:xfrm>
                      </wpg:grpSpPr>
                      <wps:wsp>
                        <wps:cNvPr id="3954" name="Textové pole 2"/>
                        <wps:cNvSpPr txBox="1">
                          <a:spLocks noChangeArrowheads="1"/>
                        </wps:cNvSpPr>
                        <wps:spPr bwMode="auto">
                          <a:xfrm>
                            <a:off x="1828647" y="-42333"/>
                            <a:ext cx="3469779" cy="564541"/>
                          </a:xfrm>
                          <a:prstGeom prst="rect">
                            <a:avLst/>
                          </a:prstGeom>
                          <a:solidFill>
                            <a:schemeClr val="bg1"/>
                          </a:solidFill>
                          <a:ln w="3175">
                            <a:solidFill>
                              <a:srgbClr val="0070C0"/>
                            </a:solidFill>
                            <a:prstDash val="solid"/>
                            <a:miter lim="800000"/>
                            <a:headEnd/>
                            <a:tailEnd/>
                          </a:ln>
                        </wps:spPr>
                        <wps:txbx>
                          <w:txbxContent>
                            <w:p w14:paraId="2A937253" w14:textId="77777777" w:rsidR="00511D9B" w:rsidRDefault="00511D9B" w:rsidP="00A85C8A">
                              <w:pPr>
                                <w:spacing w:line="192" w:lineRule="auto"/>
                                <w:rPr>
                                  <w:rFonts w:asciiTheme="minorHAnsi" w:hAnsiTheme="minorHAnsi" w:cstheme="minorHAnsi"/>
                                  <w:b/>
                                  <w:szCs w:val="22"/>
                                </w:rPr>
                              </w:pPr>
                              <w:r>
                                <w:rPr>
                                  <w:rFonts w:asciiTheme="minorHAnsi" w:hAnsiTheme="minorHAnsi" w:cstheme="minorHAnsi"/>
                                  <w:b/>
                                  <w:szCs w:val="22"/>
                                </w:rPr>
                                <w:t>Rozpočet útvaru,</w:t>
                              </w:r>
                              <w:r w:rsidRPr="008F6945">
                                <w:rPr>
                                  <w:rFonts w:asciiTheme="minorHAnsi" w:hAnsiTheme="minorHAnsi" w:cstheme="minorHAnsi"/>
                                  <w:b/>
                                  <w:szCs w:val="22"/>
                                </w:rPr>
                                <w:t xml:space="preserve"> </w:t>
                              </w:r>
                              <w:r>
                                <w:rPr>
                                  <w:rFonts w:asciiTheme="minorHAnsi" w:hAnsiTheme="minorHAnsi" w:cstheme="minorHAnsi"/>
                                  <w:b/>
                                  <w:szCs w:val="22"/>
                                </w:rPr>
                                <w:t xml:space="preserve">který zajišťuje strategickou práci  </w:t>
                              </w:r>
                            </w:p>
                            <w:p w14:paraId="70D357B1" w14:textId="47F8B062" w:rsidR="00511D9B" w:rsidRDefault="00511D9B" w:rsidP="00A85C8A">
                              <w:pPr>
                                <w:spacing w:line="192" w:lineRule="auto"/>
                                <w:rPr>
                                  <w:rFonts w:asciiTheme="minorHAnsi" w:hAnsiTheme="minorHAnsi" w:cstheme="minorHAnsi"/>
                                  <w:b/>
                                  <w:szCs w:val="22"/>
                                </w:rPr>
                              </w:pPr>
                              <w:r>
                                <w:rPr>
                                  <w:rFonts w:asciiTheme="minorHAnsi" w:hAnsiTheme="minorHAnsi" w:cstheme="minorHAnsi"/>
                                  <w:b/>
                                  <w:szCs w:val="22"/>
                                </w:rPr>
                                <w:t xml:space="preserve">- je součástí rozpočtu instituce </w:t>
                              </w:r>
                            </w:p>
                            <w:p w14:paraId="6DBA3B86" w14:textId="1E605616" w:rsidR="00511D9B" w:rsidRPr="00D459B5" w:rsidRDefault="00511D9B" w:rsidP="00A85C8A">
                              <w:pPr>
                                <w:spacing w:line="192" w:lineRule="auto"/>
                                <w:rPr>
                                  <w:rFonts w:asciiTheme="minorHAnsi" w:hAnsiTheme="minorHAnsi" w:cstheme="minorHAnsi"/>
                                  <w:sz w:val="22"/>
                                  <w:szCs w:val="22"/>
                                </w:rPr>
                              </w:pPr>
                              <w:r w:rsidRPr="008F6945">
                                <w:rPr>
                                  <w:rFonts w:asciiTheme="minorHAnsi" w:hAnsiTheme="minorHAnsi" w:cstheme="minorHAnsi"/>
                                  <w:szCs w:val="22"/>
                                </w:rPr>
                                <w:t>(příjmy / výdaje</w:t>
                              </w:r>
                              <w:r>
                                <w:rPr>
                                  <w:rFonts w:asciiTheme="minorHAnsi" w:hAnsiTheme="minorHAnsi" w:cstheme="minorHAnsi"/>
                                  <w:szCs w:val="22"/>
                                </w:rPr>
                                <w:t xml:space="preserve"> nezbytné pro strategickou práci)</w:t>
                              </w:r>
                              <w:r w:rsidRPr="008F6945">
                                <w:rPr>
                                  <w:rFonts w:asciiTheme="minorHAnsi" w:hAnsiTheme="minorHAnsi" w:cstheme="minorHAnsi"/>
                                  <w:szCs w:val="22"/>
                                </w:rPr>
                                <w:t xml:space="preserve"> </w:t>
                              </w:r>
                            </w:p>
                            <w:p w14:paraId="1C8A73A0" w14:textId="77777777" w:rsidR="00511D9B" w:rsidRPr="00D459B5" w:rsidRDefault="00511D9B" w:rsidP="00A85C8A">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3955" name="Zakřivená spojnice 3955"/>
                        <wps:cNvCnPr>
                          <a:stCxn id="3956" idx="3"/>
                          <a:endCxn id="3954" idx="1"/>
                        </wps:cNvCnPr>
                        <wps:spPr>
                          <a:xfrm flipV="1">
                            <a:off x="1392898" y="239938"/>
                            <a:ext cx="435749" cy="543032"/>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56" name="Textové pole 2"/>
                        <wps:cNvSpPr txBox="1">
                          <a:spLocks noChangeArrowheads="1"/>
                        </wps:cNvSpPr>
                        <wps:spPr bwMode="auto">
                          <a:xfrm>
                            <a:off x="10489" y="381000"/>
                            <a:ext cx="1382485" cy="803939"/>
                          </a:xfrm>
                          <a:prstGeom prst="rect">
                            <a:avLst/>
                          </a:prstGeom>
                          <a:noFill/>
                          <a:ln w="3175">
                            <a:solidFill>
                              <a:srgbClr val="0070C0"/>
                            </a:solidFill>
                            <a:prstDash val="solid"/>
                            <a:miter lim="800000"/>
                            <a:headEnd/>
                            <a:tailEnd/>
                          </a:ln>
                        </wps:spPr>
                        <wps:txbx>
                          <w:txbxContent>
                            <w:p w14:paraId="6BEAB1A8" w14:textId="77777777" w:rsidR="00511D9B" w:rsidRDefault="00511D9B" w:rsidP="002F0BFD">
                              <w:pPr>
                                <w:spacing w:line="192" w:lineRule="auto"/>
                                <w:jc w:val="center"/>
                                <w:rPr>
                                  <w:rFonts w:asciiTheme="minorHAnsi" w:hAnsiTheme="minorHAnsi" w:cstheme="minorHAnsi"/>
                                  <w:b/>
                                  <w:sz w:val="28"/>
                                </w:rPr>
                              </w:pPr>
                              <w:r>
                                <w:rPr>
                                  <w:rFonts w:asciiTheme="minorHAnsi" w:hAnsiTheme="minorHAnsi" w:cstheme="minorHAnsi"/>
                                  <w:b/>
                                  <w:sz w:val="28"/>
                                </w:rPr>
                                <w:t xml:space="preserve">Rozpočtování ve vazbě </w:t>
                              </w:r>
                            </w:p>
                            <w:p w14:paraId="068282FE" w14:textId="0E5EF506" w:rsidR="00511D9B" w:rsidRPr="002A3AE6" w:rsidRDefault="00511D9B" w:rsidP="002F0BFD">
                              <w:pPr>
                                <w:spacing w:line="192" w:lineRule="auto"/>
                                <w:jc w:val="center"/>
                                <w:rPr>
                                  <w:rFonts w:asciiTheme="minorHAnsi" w:hAnsiTheme="minorHAnsi" w:cstheme="minorHAnsi"/>
                                  <w:b/>
                                  <w:sz w:val="28"/>
                                </w:rPr>
                              </w:pPr>
                              <w:r>
                                <w:rPr>
                                  <w:rFonts w:asciiTheme="minorHAnsi" w:hAnsiTheme="minorHAnsi" w:cstheme="minorHAnsi"/>
                                  <w:b/>
                                  <w:sz w:val="28"/>
                                </w:rPr>
                                <w:t>na strategickou práci</w:t>
                              </w:r>
                            </w:p>
                            <w:p w14:paraId="57E7F0C9" w14:textId="77777777" w:rsidR="00511D9B" w:rsidRPr="00576CB4" w:rsidRDefault="00511D9B" w:rsidP="00A85C8A">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3957" name="Textové pole 2"/>
                        <wps:cNvSpPr txBox="1">
                          <a:spLocks noChangeArrowheads="1"/>
                        </wps:cNvSpPr>
                        <wps:spPr bwMode="auto">
                          <a:xfrm>
                            <a:off x="1828645" y="602078"/>
                            <a:ext cx="3050177" cy="413816"/>
                          </a:xfrm>
                          <a:prstGeom prst="rect">
                            <a:avLst/>
                          </a:prstGeom>
                          <a:solidFill>
                            <a:schemeClr val="bg1"/>
                          </a:solidFill>
                          <a:ln w="3175">
                            <a:solidFill>
                              <a:srgbClr val="0070C0"/>
                            </a:solidFill>
                            <a:prstDash val="solid"/>
                            <a:miter lim="800000"/>
                            <a:headEnd/>
                            <a:tailEnd/>
                          </a:ln>
                        </wps:spPr>
                        <wps:txbx>
                          <w:txbxContent>
                            <w:p w14:paraId="780D36CB" w14:textId="6474D2A7" w:rsidR="00511D9B" w:rsidRPr="00D459B5" w:rsidRDefault="00511D9B" w:rsidP="00A85C8A">
                              <w:pPr>
                                <w:spacing w:line="192" w:lineRule="auto"/>
                                <w:rPr>
                                  <w:rFonts w:asciiTheme="minorHAnsi" w:hAnsiTheme="minorHAnsi" w:cstheme="minorHAnsi"/>
                                  <w:sz w:val="22"/>
                                  <w:szCs w:val="22"/>
                                </w:rPr>
                              </w:pPr>
                              <w:r>
                                <w:rPr>
                                  <w:rFonts w:asciiTheme="minorHAnsi" w:hAnsiTheme="minorHAnsi" w:cstheme="minorHAnsi"/>
                                  <w:b/>
                                  <w:szCs w:val="22"/>
                                </w:rPr>
                                <w:t xml:space="preserve">Rozpočet </w:t>
                              </w:r>
                              <w:r w:rsidRPr="008F6945">
                                <w:rPr>
                                  <w:rFonts w:asciiTheme="minorHAnsi" w:hAnsiTheme="minorHAnsi" w:cstheme="minorHAnsi"/>
                                  <w:szCs w:val="22"/>
                                </w:rPr>
                                <w:t>(příjmy / výdaje)</w:t>
                              </w:r>
                              <w:r>
                                <w:rPr>
                                  <w:rFonts w:asciiTheme="minorHAnsi" w:hAnsiTheme="minorHAnsi" w:cstheme="minorHAnsi"/>
                                  <w:b/>
                                  <w:szCs w:val="22"/>
                                </w:rPr>
                                <w:t xml:space="preserve"> klíčových projektů </w:t>
                              </w:r>
                              <w:r w:rsidRPr="008F6945">
                                <w:rPr>
                                  <w:rFonts w:asciiTheme="minorHAnsi" w:hAnsiTheme="minorHAnsi" w:cstheme="minorHAnsi"/>
                                  <w:szCs w:val="22"/>
                                </w:rPr>
                                <w:t>(například financovaných z fondů EU)</w:t>
                              </w:r>
                            </w:p>
                            <w:p w14:paraId="2DFBF98A" w14:textId="77777777" w:rsidR="00511D9B" w:rsidRPr="00D459B5" w:rsidRDefault="00511D9B" w:rsidP="00A85C8A">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3958" name="Textové pole 2"/>
                        <wps:cNvSpPr txBox="1">
                          <a:spLocks noChangeArrowheads="1"/>
                        </wps:cNvSpPr>
                        <wps:spPr bwMode="auto">
                          <a:xfrm>
                            <a:off x="1820182" y="1091967"/>
                            <a:ext cx="3058230" cy="539463"/>
                          </a:xfrm>
                          <a:prstGeom prst="rect">
                            <a:avLst/>
                          </a:prstGeom>
                          <a:solidFill>
                            <a:schemeClr val="bg1"/>
                          </a:solidFill>
                          <a:ln w="3175">
                            <a:solidFill>
                              <a:srgbClr val="0070C0"/>
                            </a:solidFill>
                            <a:prstDash val="solid"/>
                            <a:miter lim="800000"/>
                            <a:headEnd/>
                            <a:tailEnd/>
                          </a:ln>
                        </wps:spPr>
                        <wps:txbx>
                          <w:txbxContent>
                            <w:p w14:paraId="36A0FD46" w14:textId="741920CE" w:rsidR="00511D9B" w:rsidRPr="00D459B5" w:rsidRDefault="00511D9B" w:rsidP="00A85C8A">
                              <w:pPr>
                                <w:spacing w:line="192" w:lineRule="auto"/>
                                <w:rPr>
                                  <w:rFonts w:asciiTheme="minorHAnsi" w:hAnsiTheme="minorHAnsi" w:cstheme="minorHAnsi"/>
                                  <w:sz w:val="22"/>
                                  <w:szCs w:val="22"/>
                                </w:rPr>
                              </w:pPr>
                              <w:r>
                                <w:rPr>
                                  <w:rFonts w:asciiTheme="minorHAnsi" w:hAnsiTheme="minorHAnsi" w:cstheme="minorHAnsi"/>
                                  <w:b/>
                                  <w:szCs w:val="22"/>
                                </w:rPr>
                                <w:t xml:space="preserve">Rozpočet veřejné strategie nebo prováděcích plánů </w:t>
                              </w:r>
                              <w:r w:rsidRPr="00D56E03">
                                <w:rPr>
                                  <w:rFonts w:asciiTheme="minorHAnsi" w:hAnsiTheme="minorHAnsi" w:cstheme="minorHAnsi"/>
                                  <w:szCs w:val="22"/>
                                </w:rPr>
                                <w:t>(výdaje / příjmy</w:t>
                              </w:r>
                              <w:r>
                                <w:rPr>
                                  <w:rFonts w:asciiTheme="minorHAnsi" w:hAnsiTheme="minorHAnsi" w:cstheme="minorHAnsi"/>
                                  <w:szCs w:val="22"/>
                                </w:rPr>
                                <w:t xml:space="preserve"> konkrétních aktivit, opatření, projektů zařazených do strategie</w:t>
                              </w:r>
                              <w:r w:rsidRPr="00D56E03">
                                <w:rPr>
                                  <w:rFonts w:asciiTheme="minorHAnsi" w:hAnsiTheme="minorHAnsi" w:cstheme="minorHAnsi"/>
                                  <w:szCs w:val="22"/>
                                </w:rPr>
                                <w:t>)</w:t>
                              </w:r>
                            </w:p>
                            <w:p w14:paraId="59212D9C" w14:textId="77777777" w:rsidR="00511D9B" w:rsidRPr="00D459B5" w:rsidRDefault="00511D9B" w:rsidP="00A85C8A">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3959" name="Zakřivená spojnice 3959"/>
                        <wps:cNvCnPr>
                          <a:stCxn id="3956" idx="3"/>
                          <a:endCxn id="3957" idx="1"/>
                        </wps:cNvCnPr>
                        <wps:spPr>
                          <a:xfrm>
                            <a:off x="1392974" y="782970"/>
                            <a:ext cx="435671" cy="26016"/>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1" name="Zakřivená spojnice 3961"/>
                        <wps:cNvCnPr>
                          <a:stCxn id="3957" idx="3"/>
                        </wps:cNvCnPr>
                        <wps:spPr>
                          <a:xfrm flipV="1">
                            <a:off x="4878412" y="522208"/>
                            <a:ext cx="110477" cy="286722"/>
                          </a:xfrm>
                          <a:prstGeom prst="curvedConnector2">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3960" name="Zakřivená spojnice 3960"/>
                        <wps:cNvCnPr>
                          <a:stCxn id="3956" idx="3"/>
                          <a:endCxn id="3958" idx="1"/>
                        </wps:cNvCnPr>
                        <wps:spPr>
                          <a:xfrm>
                            <a:off x="1392898" y="782970"/>
                            <a:ext cx="427284" cy="578729"/>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3" name="Zakřivená spojnice 3963"/>
                        <wps:cNvCnPr>
                          <a:stCxn id="3958" idx="3"/>
                        </wps:cNvCnPr>
                        <wps:spPr>
                          <a:xfrm flipV="1">
                            <a:off x="4878003" y="524897"/>
                            <a:ext cx="279458" cy="836706"/>
                          </a:xfrm>
                          <a:prstGeom prst="curvedConnector2">
                            <a:avLst/>
                          </a:prstGeom>
                          <a:ln>
                            <a:headEnd type="oval" w="med" len="med"/>
                            <a:tailEnd type="triangle" w="med" len="med"/>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4B9343C" id="Skupina 3964" o:spid="_x0000_s1171" style="position:absolute;left:0;text-align:left;margin-left:18pt;margin-top:6.9pt;width:416.35pt;height:131.75pt;z-index:251568640;mso-position-horizontal-relative:text;mso-position-vertical-relative:text;mso-width-relative:margin;mso-height-relative:margin" coordorigin="104,-423" coordsize="52879,1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cGxhgUAAEweAAAOAAAAZHJzL2Uyb0RvYy54bWzsWcty2zYU3Xem/4DhPhYJPkBqLGdSOcl0&#10;Jm0zddpFdxAJSoxJgAWhh/snXXbZ78j0v3oB8CHJD9X2jOOk8kImCODi4uKc+wBPX26qEq2YbArB&#10;J4534jqI8VRkBZ9PnF8+vHkRO6hRlGe0FJxNnCvWOC/Pvv3mdF2PGRYLUWZMIhDCm/G6njgLperx&#10;aNSkC1bR5kTUjENnLmRFFTTlfJRJugbpVTnCrhuN1kJmtRQpaxp4e247nTMjP89Zqn7K84YpVE4c&#10;0E2ZX2l+Z/p3dHZKx3NJ60WRtmrQB2hR0YLDor2oc6ooWsrimqiqSKVoRK5OUlGNRJ4XKTN7gN14&#10;7t5u3kqxrM1e5uP1vO7NBKbds9ODxaY/rt5LVGQTx0+iwEGcVnBKF5fLuuAUmXdgonU9H8PIt7K+&#10;qN/L9sXctvSuN7ms9H/YD9oY4171xmUbhVJ4GeKYREHooBT6vIj4GIfW/OkCzkjP89wgThwE/S8C&#10;7Pt+1/16S0Tik0EEicyYUafBSCva67WuAVPNYLbmcWa7WNCamdNotDF6s4W92T7AXsXq09+oFiVD&#10;WKuvdYDB2mxIbb4TepcGKE39TqSXDeJiuqB8zl5JKdYLRjPQ0tMzYS/9VCun0UJm6x9EBkdEl0oY&#10;QXu292IcRwHYaM+K3TH4QZQQAlbWxxDCgQR2tc6EdFzLRr1lokL6YeJI4JBZiK7eNUorNgzRZ96I&#10;ssjeFGVpGpq3bFpKtKLAuNm8E74zquRoDYDzSGhNsSNBzmf9fNcl7tSQFBbdEaF1O6fNwq5juixa&#10;qkKBQymLauLErv6zr7VlX/MM1KdjRYvSPoPUkrem1ta1dlab2cZQIjLa63OYiewKjC+FdSDg8OBh&#10;IeQfDlqD85g4ze9LKpmDyu85HGDiBYH2NqYRhARDQ273zLZ7KE9B1MRRDrKPU2U8lNaVi1dw0Hlh&#10;DD9o0uoM6LYqPwXMgbrWO/xGL//5s1gx/ukv1NTiIwcfBq4iNHRuUTvl2ppwaGq64a1/CSMHnoAB&#10;LbEZz7Y6gUWmcwf8VoyWaY/HohTlZVH/2jGpdTqen+A4gXADuMZ+kvixPfkO+IEfkqDDfeC7vuFn&#10;7zoGULe4T5dyxbKp4BwIIKQ/cEDva561xqDZR89BeVVC2ADMo7DDHEg2jLlGGI24PTSbcDfQRm1u&#10;pE2LYaSuanAAAlYD9E2cimWAOwbhVz9tI7wdqWQBHqYEdN40+mYONOqqZFrPkv/M8u5kjOK7FKdp&#10;yrjq9DWj9agcHEI/0bU0v2tiO15PZSZs32dyP8OsLLjqJ1cFF/Km1QcT53Z85wXsvgemdZ74SakG&#10;RLFUexYRpY/Kfuz1DrWjlefHOIjbsB67fuInGoO38+pQPOFCBxMD4y8mTvSh/hgnkhByj2cEXpMO&#10;ATwhKkQudsleVPDd0PVIm1IGAGYvehx8d7KUPb/+padDJm4PrvH/nQ5BpvGsYO5C5m9g7rmJl0Rk&#10;N/sBnMfYhzTUpP1+EuxVTtfSn0Nu+mvGeaBtd8S5uRQIIWW+O+038V5bC+rc+6f94Hr/a9qvs7ut&#10;ZD8hUDKAWycxTkhb5nVZCST7EYG8XKMdR+4hp37M9Y+5PtT3nyPXhzuGu/k1XELcxq+OQvYubIeJ&#10;unGwcg5iEgeeDR4hxtjdy5E8uJfrUiS4XCL4fpUzHipnWxh0F0yaz7YYfsaVbbfXe1e23cQHVbbd&#10;5K+tso0gA7kzmsCANvbehvY7L5EgKXtgNOmujm6MJpjgGIKNyZ1ITPCBEvcYTo7h5HOFE/8Qwfoi&#10;7jaCdRx6TDhxXdADcq8Q7oaSvVIEkyQIYRHNptiPiHug4t5j0zGc6IvV+12UPnk4MR/i4JOluQhs&#10;P6/qb6LbbXPjOnwEPvsXAAD//wMAUEsDBBQABgAIAAAAIQDbrdd03wAAAAkBAAAPAAAAZHJzL2Rv&#10;d25yZXYueG1sTI/BaoNAEIbvhbzDMoHemtVIVaxrCKHtKRSaFEpvG52oxJ0Vd6Pm7Ts9NceZf/jn&#10;+/LNbDox4uBaSwrCVQACqbRVS7WCr+PbUwrCeU2V7iyhghs62BSLh1xnlZ3oE8eDrwWXkMu0gsb7&#10;PpPSlQ0a7Va2R+LsbAejPY9DLatBT1xuOrkOglga3RJ/aHSPuwbLy+FqFLxPetpG4eu4v5x3t5/j&#10;88f3PkSlHpfz9gWEx9n/H8MfPqNDwUwne6XKiU5BFLOK533EBpyncZqAOClYJ0kEssjlvUHxCwAA&#10;//8DAFBLAQItABQABgAIAAAAIQC2gziS/gAAAOEBAAATAAAAAAAAAAAAAAAAAAAAAABbQ29udGVu&#10;dF9UeXBlc10ueG1sUEsBAi0AFAAGAAgAAAAhADj9If/WAAAAlAEAAAsAAAAAAAAAAAAAAAAALwEA&#10;AF9yZWxzLy5yZWxzUEsBAi0AFAAGAAgAAAAhAHkhwbGGBQAATB4AAA4AAAAAAAAAAAAAAAAALgIA&#10;AGRycy9lMm9Eb2MueG1sUEsBAi0AFAAGAAgAAAAhANut13TfAAAACQEAAA8AAAAAAAAAAAAAAAAA&#10;4AcAAGRycy9kb3ducmV2LnhtbFBLBQYAAAAABAAEAPMAAADsCAAAAAA=&#10;">
                <v:shape id="_x0000_s1172" type="#_x0000_t202" style="position:absolute;left:18286;top:-423;width:34698;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hbxgAAAN0AAAAPAAAAZHJzL2Rvd25yZXYueG1sRI9Ba8JA&#10;FITvQv/D8gremo1aS5O6ShBiCz2ZCvb4yL4mwezbkF2T+O+7hYLHYWa+YTa7ybRioN41lhUsohgE&#10;cWl1w5WC01f+9ArCeWSNrWVScCMHu+3DbIOptiMfaSh8JQKEXYoKau+7VEpX1mTQRbYjDt6P7Q36&#10;IPtK6h7HADetXMbxizTYcFiosaN9TeWluBoF+J1kB8rWw2d3ui7MZTgn7/lZqfnjlL2B8DT5e/i/&#10;/aEVrJL1M/y9CU9Abn8BAAD//wMAUEsBAi0AFAAGAAgAAAAhANvh9svuAAAAhQEAABMAAAAAAAAA&#10;AAAAAAAAAAAAAFtDb250ZW50X1R5cGVzXS54bWxQSwECLQAUAAYACAAAACEAWvQsW78AAAAVAQAA&#10;CwAAAAAAAAAAAAAAAAAfAQAAX3JlbHMvLnJlbHNQSwECLQAUAAYACAAAACEA484oW8YAAADdAAAA&#10;DwAAAAAAAAAAAAAAAAAHAgAAZHJzL2Rvd25yZXYueG1sUEsFBgAAAAADAAMAtwAAAPoCAAAAAA==&#10;" fillcolor="white [3212]" strokecolor="#0070c0" strokeweight=".25pt">
                  <v:textbox>
                    <w:txbxContent>
                      <w:p w14:paraId="2A937253" w14:textId="77777777" w:rsidR="00511D9B" w:rsidRDefault="00511D9B" w:rsidP="00A85C8A">
                        <w:pPr>
                          <w:spacing w:line="192" w:lineRule="auto"/>
                          <w:rPr>
                            <w:rFonts w:asciiTheme="minorHAnsi" w:hAnsiTheme="minorHAnsi" w:cstheme="minorHAnsi"/>
                            <w:b/>
                            <w:szCs w:val="22"/>
                          </w:rPr>
                        </w:pPr>
                        <w:r>
                          <w:rPr>
                            <w:rFonts w:asciiTheme="minorHAnsi" w:hAnsiTheme="minorHAnsi" w:cstheme="minorHAnsi"/>
                            <w:b/>
                            <w:szCs w:val="22"/>
                          </w:rPr>
                          <w:t>Rozpočet útvaru,</w:t>
                        </w:r>
                        <w:r w:rsidRPr="008F6945">
                          <w:rPr>
                            <w:rFonts w:asciiTheme="minorHAnsi" w:hAnsiTheme="minorHAnsi" w:cstheme="minorHAnsi"/>
                            <w:b/>
                            <w:szCs w:val="22"/>
                          </w:rPr>
                          <w:t xml:space="preserve"> </w:t>
                        </w:r>
                        <w:r>
                          <w:rPr>
                            <w:rFonts w:asciiTheme="minorHAnsi" w:hAnsiTheme="minorHAnsi" w:cstheme="minorHAnsi"/>
                            <w:b/>
                            <w:szCs w:val="22"/>
                          </w:rPr>
                          <w:t xml:space="preserve">který zajišťuje strategickou práci  </w:t>
                        </w:r>
                      </w:p>
                      <w:p w14:paraId="70D357B1" w14:textId="47F8B062" w:rsidR="00511D9B" w:rsidRDefault="00511D9B" w:rsidP="00A85C8A">
                        <w:pPr>
                          <w:spacing w:line="192" w:lineRule="auto"/>
                          <w:rPr>
                            <w:rFonts w:asciiTheme="minorHAnsi" w:hAnsiTheme="minorHAnsi" w:cstheme="minorHAnsi"/>
                            <w:b/>
                            <w:szCs w:val="22"/>
                          </w:rPr>
                        </w:pPr>
                        <w:r>
                          <w:rPr>
                            <w:rFonts w:asciiTheme="minorHAnsi" w:hAnsiTheme="minorHAnsi" w:cstheme="minorHAnsi"/>
                            <w:b/>
                            <w:szCs w:val="22"/>
                          </w:rPr>
                          <w:t xml:space="preserve">- je součástí rozpočtu instituce </w:t>
                        </w:r>
                      </w:p>
                      <w:p w14:paraId="6DBA3B86" w14:textId="1E605616" w:rsidR="00511D9B" w:rsidRPr="00D459B5" w:rsidRDefault="00511D9B" w:rsidP="00A85C8A">
                        <w:pPr>
                          <w:spacing w:line="192" w:lineRule="auto"/>
                          <w:rPr>
                            <w:rFonts w:asciiTheme="minorHAnsi" w:hAnsiTheme="minorHAnsi" w:cstheme="minorHAnsi"/>
                            <w:sz w:val="22"/>
                            <w:szCs w:val="22"/>
                          </w:rPr>
                        </w:pPr>
                        <w:r w:rsidRPr="008F6945">
                          <w:rPr>
                            <w:rFonts w:asciiTheme="minorHAnsi" w:hAnsiTheme="minorHAnsi" w:cstheme="minorHAnsi"/>
                            <w:szCs w:val="22"/>
                          </w:rPr>
                          <w:t>(příjmy / výdaje</w:t>
                        </w:r>
                        <w:r>
                          <w:rPr>
                            <w:rFonts w:asciiTheme="minorHAnsi" w:hAnsiTheme="minorHAnsi" w:cstheme="minorHAnsi"/>
                            <w:szCs w:val="22"/>
                          </w:rPr>
                          <w:t xml:space="preserve"> nezbytné pro strategickou práci)</w:t>
                        </w:r>
                        <w:r w:rsidRPr="008F6945">
                          <w:rPr>
                            <w:rFonts w:asciiTheme="minorHAnsi" w:hAnsiTheme="minorHAnsi" w:cstheme="minorHAnsi"/>
                            <w:szCs w:val="22"/>
                          </w:rPr>
                          <w:t xml:space="preserve"> </w:t>
                        </w:r>
                      </w:p>
                      <w:p w14:paraId="1C8A73A0" w14:textId="77777777" w:rsidR="00511D9B" w:rsidRPr="00D459B5" w:rsidRDefault="00511D9B" w:rsidP="00A85C8A">
                        <w:pPr>
                          <w:spacing w:line="192" w:lineRule="auto"/>
                          <w:rPr>
                            <w:rFonts w:asciiTheme="minorHAnsi" w:hAnsiTheme="minorHAnsi" w:cstheme="minorHAnsi"/>
                            <w:b/>
                            <w:sz w:val="22"/>
                            <w:szCs w:val="22"/>
                          </w:rPr>
                        </w:pPr>
                      </w:p>
                    </w:txbxContent>
                  </v:textbox>
                </v:shape>
                <v:shape id="Zakřivená spojnice 3955" o:spid="_x0000_s1173" type="#_x0000_t38" style="position:absolute;left:13928;top:2399;width:4358;height:543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8PxgAAAN0AAAAPAAAAZHJzL2Rvd25yZXYueG1sRI9PawIx&#10;FMTvgt8hvIIXqdmuKHZrFCm0FHvyDz2/bl53Qzcv2ySu67c3QsHjMDO/YZbr3jaiIx+MYwVPkwwE&#10;cem04UrB8fD2uAARIrLGxjEpuFCA9Wo4WGKh3Zl31O1jJRKEQ4EK6hjbQspQ1mQxTFxLnLwf5y3G&#10;JH0ltcdzgttG5lk2lxYNp4UaW3qtqfzdn6yCON4uwt90bo7603+br/Y970Ku1Oih37yAiNTHe/i/&#10;/aEVTJ9nM7i9SU9Arq4AAAD//wMAUEsBAi0AFAAGAAgAAAAhANvh9svuAAAAhQEAABMAAAAAAAAA&#10;AAAAAAAAAAAAAFtDb250ZW50X1R5cGVzXS54bWxQSwECLQAUAAYACAAAACEAWvQsW78AAAAVAQAA&#10;CwAAAAAAAAAAAAAAAAAfAQAAX3JlbHMvLnJlbHNQSwECLQAUAAYACAAAACEAxZpPD8YAAADdAAAA&#10;DwAAAAAAAAAAAAAAAAAHAgAAZHJzL2Rvd25yZXYueG1sUEsFBgAAAAADAAMAtwAAAPoCAAAAAA==&#10;" adj="10800" strokecolor="black [3213]" strokeweight=".5pt">
                  <v:stroke startarrow="oval" endarrow="block" joinstyle="miter"/>
                </v:shape>
                <v:shape id="_x0000_s1174" type="#_x0000_t202" style="position:absolute;left:104;top:3810;width:13825;height:8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0SMxgAAAN0AAAAPAAAAZHJzL2Rvd25yZXYueG1sRI9Pa8JA&#10;FMTvgt9heYIXqZv4J7Spq7Si4ElaW+j1kX1Notm3Ibvq+u27BcHjMDO/YRarYBpxoc7VlhWk4wQE&#10;cWF1zaWC76/t0zMI55E1NpZJwY0crJb93gJzba/8SZeDL0WEsMtRQeV9m0vpiooMurFtiaP3azuD&#10;PsqulLrDa4SbRk6SJJMGa44LFba0rqg4Hc5Gwcd5vptROIbNKGsK8/Oe6v00VWo4CG+vIDwF/wjf&#10;2zutYPoyz+D/TXwCcvkHAAD//wMAUEsBAi0AFAAGAAgAAAAhANvh9svuAAAAhQEAABMAAAAAAAAA&#10;AAAAAAAAAAAAAFtDb250ZW50X1R5cGVzXS54bWxQSwECLQAUAAYACAAAACEAWvQsW78AAAAVAQAA&#10;CwAAAAAAAAAAAAAAAAAfAQAAX3JlbHMvLnJlbHNQSwECLQAUAAYACAAAACEAHjdEjMYAAADdAAAA&#10;DwAAAAAAAAAAAAAAAAAHAgAAZHJzL2Rvd25yZXYueG1sUEsFBgAAAAADAAMAtwAAAPoCAAAAAA==&#10;" filled="f" strokecolor="#0070c0" strokeweight=".25pt">
                  <v:textbox>
                    <w:txbxContent>
                      <w:p w14:paraId="6BEAB1A8" w14:textId="77777777" w:rsidR="00511D9B" w:rsidRDefault="00511D9B" w:rsidP="002F0BFD">
                        <w:pPr>
                          <w:spacing w:line="192" w:lineRule="auto"/>
                          <w:jc w:val="center"/>
                          <w:rPr>
                            <w:rFonts w:asciiTheme="minorHAnsi" w:hAnsiTheme="minorHAnsi" w:cstheme="minorHAnsi"/>
                            <w:b/>
                            <w:sz w:val="28"/>
                          </w:rPr>
                        </w:pPr>
                        <w:r>
                          <w:rPr>
                            <w:rFonts w:asciiTheme="minorHAnsi" w:hAnsiTheme="minorHAnsi" w:cstheme="minorHAnsi"/>
                            <w:b/>
                            <w:sz w:val="28"/>
                          </w:rPr>
                          <w:t xml:space="preserve">Rozpočtování ve vazbě </w:t>
                        </w:r>
                      </w:p>
                      <w:p w14:paraId="068282FE" w14:textId="0E5EF506" w:rsidR="00511D9B" w:rsidRPr="002A3AE6" w:rsidRDefault="00511D9B" w:rsidP="002F0BFD">
                        <w:pPr>
                          <w:spacing w:line="192" w:lineRule="auto"/>
                          <w:jc w:val="center"/>
                          <w:rPr>
                            <w:rFonts w:asciiTheme="minorHAnsi" w:hAnsiTheme="minorHAnsi" w:cstheme="minorHAnsi"/>
                            <w:b/>
                            <w:sz w:val="28"/>
                          </w:rPr>
                        </w:pPr>
                        <w:r>
                          <w:rPr>
                            <w:rFonts w:asciiTheme="minorHAnsi" w:hAnsiTheme="minorHAnsi" w:cstheme="minorHAnsi"/>
                            <w:b/>
                            <w:sz w:val="28"/>
                          </w:rPr>
                          <w:t>na strategickou práci</w:t>
                        </w:r>
                      </w:p>
                      <w:p w14:paraId="57E7F0C9" w14:textId="77777777" w:rsidR="00511D9B" w:rsidRPr="00576CB4" w:rsidRDefault="00511D9B" w:rsidP="00A85C8A">
                        <w:pPr>
                          <w:spacing w:line="180" w:lineRule="auto"/>
                          <w:jc w:val="center"/>
                          <w:rPr>
                            <w:rFonts w:asciiTheme="minorHAnsi" w:hAnsiTheme="minorHAnsi" w:cstheme="minorHAnsi"/>
                            <w:b/>
                            <w:sz w:val="20"/>
                          </w:rPr>
                        </w:pPr>
                      </w:p>
                    </w:txbxContent>
                  </v:textbox>
                </v:shape>
                <v:shape id="_x0000_s1175" type="#_x0000_t202" style="position:absolute;left:18286;top:6020;width:30502;height:4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YsxgAAAN0AAAAPAAAAZHJzL2Rvd25yZXYueG1sRI9Ba8JA&#10;FITvhf6H5RW8NRsV2yZ1lSBECz2ZCvb4yL4mwezbkF2T+O/dQqHHYWa+YdbbybRioN41lhXMoxgE&#10;cWl1w5WC01f+/AbCeWSNrWVScCMH283jwxpTbUc+0lD4SgQIuxQV1N53qZSurMmgi2xHHLwf2xv0&#10;QfaV1D2OAW5auYjjF2mw4bBQY0e7mspLcTUK8DvJ9pSths/udJ2by3BODvlZqdnTlL2D8DT5//Bf&#10;+0MrWCarV/h9E56A3NwBAAD//wMAUEsBAi0AFAAGAAgAAAAhANvh9svuAAAAhQEAABMAAAAAAAAA&#10;AAAAAAAAAAAAAFtDb250ZW50X1R5cGVzXS54bWxQSwECLQAUAAYACAAAACEAWvQsW78AAAAVAQAA&#10;CwAAAAAAAAAAAAAAAAAfAQAAX3JlbHMvLnJlbHNQSwECLQAUAAYACAAAACEAExy2LMYAAADdAAAA&#10;DwAAAAAAAAAAAAAAAAAHAgAAZHJzL2Rvd25yZXYueG1sUEsFBgAAAAADAAMAtwAAAPoCAAAAAA==&#10;" fillcolor="white [3212]" strokecolor="#0070c0" strokeweight=".25pt">
                  <v:textbox>
                    <w:txbxContent>
                      <w:p w14:paraId="780D36CB" w14:textId="6474D2A7" w:rsidR="00511D9B" w:rsidRPr="00D459B5" w:rsidRDefault="00511D9B" w:rsidP="00A85C8A">
                        <w:pPr>
                          <w:spacing w:line="192" w:lineRule="auto"/>
                          <w:rPr>
                            <w:rFonts w:asciiTheme="minorHAnsi" w:hAnsiTheme="minorHAnsi" w:cstheme="minorHAnsi"/>
                            <w:sz w:val="22"/>
                            <w:szCs w:val="22"/>
                          </w:rPr>
                        </w:pPr>
                        <w:r>
                          <w:rPr>
                            <w:rFonts w:asciiTheme="minorHAnsi" w:hAnsiTheme="minorHAnsi" w:cstheme="minorHAnsi"/>
                            <w:b/>
                            <w:szCs w:val="22"/>
                          </w:rPr>
                          <w:t xml:space="preserve">Rozpočet </w:t>
                        </w:r>
                        <w:r w:rsidRPr="008F6945">
                          <w:rPr>
                            <w:rFonts w:asciiTheme="minorHAnsi" w:hAnsiTheme="minorHAnsi" w:cstheme="minorHAnsi"/>
                            <w:szCs w:val="22"/>
                          </w:rPr>
                          <w:t>(příjmy / výdaje)</w:t>
                        </w:r>
                        <w:r>
                          <w:rPr>
                            <w:rFonts w:asciiTheme="minorHAnsi" w:hAnsiTheme="minorHAnsi" w:cstheme="minorHAnsi"/>
                            <w:b/>
                            <w:szCs w:val="22"/>
                          </w:rPr>
                          <w:t xml:space="preserve"> klíčových projektů </w:t>
                        </w:r>
                        <w:r w:rsidRPr="008F6945">
                          <w:rPr>
                            <w:rFonts w:asciiTheme="minorHAnsi" w:hAnsiTheme="minorHAnsi" w:cstheme="minorHAnsi"/>
                            <w:szCs w:val="22"/>
                          </w:rPr>
                          <w:t>(například financovaných z fondů EU)</w:t>
                        </w:r>
                      </w:p>
                      <w:p w14:paraId="2DFBF98A" w14:textId="77777777" w:rsidR="00511D9B" w:rsidRPr="00D459B5" w:rsidRDefault="00511D9B" w:rsidP="00A85C8A">
                        <w:pPr>
                          <w:spacing w:line="192" w:lineRule="auto"/>
                          <w:rPr>
                            <w:rFonts w:asciiTheme="minorHAnsi" w:hAnsiTheme="minorHAnsi" w:cstheme="minorHAnsi"/>
                            <w:b/>
                            <w:sz w:val="22"/>
                            <w:szCs w:val="22"/>
                          </w:rPr>
                        </w:pPr>
                      </w:p>
                    </w:txbxContent>
                  </v:textbox>
                </v:shape>
                <v:shape id="_x0000_s1176" type="#_x0000_t202" style="position:absolute;left:18201;top:10919;width:30583;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JewgAAAN0AAAAPAAAAZHJzL2Rvd25yZXYueG1sRE/LisIw&#10;FN0L8w/hDsxOU0eUaW2UMqAjuPIBzvLSXNvS5qY0sda/NwvB5eG80/VgGtFT5yrLCqaTCARxbnXF&#10;hYLzaTP+AeE8ssbGMil4kIP16mOUYqLtnQ/UH30hQgi7BBWU3reJlC4vyaCb2JY4cFfbGfQBdoXU&#10;Hd5DuGnkdxQtpMGKQ0OJLf2WlNfHm1GA/3G2pWze79vzbWrq/hL/bS5KfX0O2RKEp8G/xS/3TiuY&#10;xfMwN7wJT0CungAAAP//AwBQSwECLQAUAAYACAAAACEA2+H2y+4AAACFAQAAEwAAAAAAAAAAAAAA&#10;AAAAAAAAW0NvbnRlbnRfVHlwZXNdLnhtbFBLAQItABQABgAIAAAAIQBa9CxbvwAAABUBAAALAAAA&#10;AAAAAAAAAAAAAB8BAABfcmVscy8ucmVsc1BLAQItABQABgAIAAAAIQBigyJewgAAAN0AAAAPAAAA&#10;AAAAAAAAAAAAAAcCAABkcnMvZG93bnJldi54bWxQSwUGAAAAAAMAAwC3AAAA9gIAAAAA&#10;" fillcolor="white [3212]" strokecolor="#0070c0" strokeweight=".25pt">
                  <v:textbox>
                    <w:txbxContent>
                      <w:p w14:paraId="36A0FD46" w14:textId="741920CE" w:rsidR="00511D9B" w:rsidRPr="00D459B5" w:rsidRDefault="00511D9B" w:rsidP="00A85C8A">
                        <w:pPr>
                          <w:spacing w:line="192" w:lineRule="auto"/>
                          <w:rPr>
                            <w:rFonts w:asciiTheme="minorHAnsi" w:hAnsiTheme="minorHAnsi" w:cstheme="minorHAnsi"/>
                            <w:sz w:val="22"/>
                            <w:szCs w:val="22"/>
                          </w:rPr>
                        </w:pPr>
                        <w:r>
                          <w:rPr>
                            <w:rFonts w:asciiTheme="minorHAnsi" w:hAnsiTheme="minorHAnsi" w:cstheme="minorHAnsi"/>
                            <w:b/>
                            <w:szCs w:val="22"/>
                          </w:rPr>
                          <w:t xml:space="preserve">Rozpočet veřejné strategie nebo prováděcích plánů </w:t>
                        </w:r>
                        <w:r w:rsidRPr="00D56E03">
                          <w:rPr>
                            <w:rFonts w:asciiTheme="minorHAnsi" w:hAnsiTheme="minorHAnsi" w:cstheme="minorHAnsi"/>
                            <w:szCs w:val="22"/>
                          </w:rPr>
                          <w:t>(výdaje / příjmy</w:t>
                        </w:r>
                        <w:r>
                          <w:rPr>
                            <w:rFonts w:asciiTheme="minorHAnsi" w:hAnsiTheme="minorHAnsi" w:cstheme="minorHAnsi"/>
                            <w:szCs w:val="22"/>
                          </w:rPr>
                          <w:t xml:space="preserve"> konkrétních aktivit, opatření, projektů zařazených do strategie</w:t>
                        </w:r>
                        <w:r w:rsidRPr="00D56E03">
                          <w:rPr>
                            <w:rFonts w:asciiTheme="minorHAnsi" w:hAnsiTheme="minorHAnsi" w:cstheme="minorHAnsi"/>
                            <w:szCs w:val="22"/>
                          </w:rPr>
                          <w:t>)</w:t>
                        </w:r>
                      </w:p>
                      <w:p w14:paraId="59212D9C" w14:textId="77777777" w:rsidR="00511D9B" w:rsidRPr="00D459B5" w:rsidRDefault="00511D9B" w:rsidP="00A85C8A">
                        <w:pPr>
                          <w:spacing w:line="192" w:lineRule="auto"/>
                          <w:rPr>
                            <w:rFonts w:asciiTheme="minorHAnsi" w:hAnsiTheme="minorHAnsi" w:cstheme="minorHAnsi"/>
                            <w:b/>
                            <w:sz w:val="22"/>
                            <w:szCs w:val="22"/>
                          </w:rPr>
                        </w:pPr>
                      </w:p>
                    </w:txbxContent>
                  </v:textbox>
                </v:shape>
                <v:shape id="Zakřivená spojnice 3959" o:spid="_x0000_s1177" type="#_x0000_t38" style="position:absolute;left:13929;top:7829;width:4357;height:26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eBxAAAAN0AAAAPAAAAZHJzL2Rvd25yZXYueG1sRI9Ba8JA&#10;FITvgv9heYI33RixmNRVijTFa6OHHh+7r0lo9m3Mrib++65Q6HGYmW+Y3WG0rbhT7xvHClbLBASx&#10;dqbhSsHlXCy2IHxANtg6JgUP8nDYTyc7zI0b+JPuZahEhLDPUUEdQpdL6XVNFv3SdcTR+3a9xRBl&#10;X0nT4xDhtpVpkrxIiw3HhRo7Otakf8qbVZC+Z2u9uRXHazUMTqfell/Fh1Lz2fj2CiLQGP7Df+2T&#10;UbDONhk838QnIPe/AAAA//8DAFBLAQItABQABgAIAAAAIQDb4fbL7gAAAIUBAAATAAAAAAAAAAAA&#10;AAAAAAAAAABbQ29udGVudF9UeXBlc10ueG1sUEsBAi0AFAAGAAgAAAAhAFr0LFu/AAAAFQEAAAsA&#10;AAAAAAAAAAAAAAAAHwEAAF9yZWxzLy5yZWxzUEsBAi0AFAAGAAgAAAAhALHUd4HEAAAA3QAAAA8A&#10;AAAAAAAAAAAAAAAABwIAAGRycy9kb3ducmV2LnhtbFBLBQYAAAAAAwADALcAAAD4AgAAAAA=&#10;" adj="10800" strokecolor="black [3213]" strokeweight=".5pt">
                  <v:stroke startarrow="oval" endarrow="block" joinstyle="miter"/>
                </v:shape>
                <v:shape id="Zakřivená spojnice 3961" o:spid="_x0000_s1178" type="#_x0000_t37" style="position:absolute;left:48784;top:5222;width:1104;height:286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LIxQAAAN0AAAAPAAAAZHJzL2Rvd25yZXYueG1sRI9Ba8JA&#10;FITvBf/D8gRvdaNCaFNXUaFUaC6xXnp7ZJ9JMPs27K5J/PddQehxmJlvmPV2NK3oyfnGsoLFPAFB&#10;XFrdcKXg/PP5+gbCB2SNrWVScCcP283kZY2ZtgMX1J9CJSKEfYYK6hC6TEpf1mTQz21HHL2LdQZD&#10;lK6S2uEQ4aaVyyRJpcGG40KNHR1qKq+nm1Gw/LX7e1I0cv+Vp+fVLf8OKTmlZtNx9wEi0Bj+w8/2&#10;UStYvacLeLyJT0Bu/gAAAP//AwBQSwECLQAUAAYACAAAACEA2+H2y+4AAACFAQAAEwAAAAAAAAAA&#10;AAAAAAAAAAAAW0NvbnRlbnRfVHlwZXNdLnhtbFBLAQItABQABgAIAAAAIQBa9CxbvwAAABUBAAAL&#10;AAAAAAAAAAAAAAAAAB8BAABfcmVscy8ucmVsc1BLAQItABQABgAIAAAAIQC+5cLIxQAAAN0AAAAP&#10;AAAAAAAAAAAAAAAAAAcCAABkcnMvZG93bnJldi54bWxQSwUGAAAAAAMAAwC3AAAA+QIAAAAA&#10;" strokecolor="#ed7d31 [3205]" strokeweight=".5pt">
                  <v:stroke startarrow="oval" endarrow="block" joinstyle="miter"/>
                </v:shape>
                <v:shape id="Zakřivená spojnice 3960" o:spid="_x0000_s1179" type="#_x0000_t38" style="position:absolute;left:13928;top:7829;width:4273;height:578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ShwgAAAN0AAAAPAAAAZHJzL2Rvd25yZXYueG1sRE89b4Mw&#10;EN0j9T9YV6lbMCEqKiROVEWlylraoePJvgAKPlPsAP338VCp49P73h8X24uJRt85VrBJUhDE2pmO&#10;GwVfn9X6BYQPyAZ7x6TglzwcDw+rPZbGzfxBUx0aEUPYl6igDWEopfS6JYs+cQNx5C5utBgiHBtp&#10;RpxjuO1llqa5tNhxbGhxoFNL+lrfrILsrdjq51t1+mnm2enM2/q7elfq6XF53YEItIR/8Z/7bBRs&#10;izzuj2/iE5CHOwAAAP//AwBQSwECLQAUAAYACAAAACEA2+H2y+4AAACFAQAAEwAAAAAAAAAAAAAA&#10;AAAAAAAAW0NvbnRlbnRfVHlwZXNdLnhtbFBLAQItABQABgAIAAAAIQBa9CxbvwAAABUBAAALAAAA&#10;AAAAAAAAAAAAAB8BAABfcmVscy8ucmVsc1BLAQItABQABgAIAAAAIQDughShwgAAAN0AAAAPAAAA&#10;AAAAAAAAAAAAAAcCAABkcnMvZG93bnJldi54bWxQSwUGAAAAAAMAAwC3AAAA9gIAAAAA&#10;" adj="10800" strokecolor="black [3213]" strokeweight=".5pt">
                  <v:stroke startarrow="oval" endarrow="block" joinstyle="miter"/>
                </v:shape>
                <v:shape id="Zakřivená spojnice 3963" o:spid="_x0000_s1180" type="#_x0000_t37" style="position:absolute;left:48780;top:5248;width:2794;height:8368;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kxAAAAN0AAAAPAAAAZHJzL2Rvd25yZXYueG1sRI9Pi8Iw&#10;FMTvC36H8ARva6qFslajqLCsoBf/XLw9mmdbbF5KErV+eyMIexxm5jfMbNGZRtzJ+dqygtEwAUFc&#10;WF1zqeB0/P3+AeEDssbGMil4kofFvPc1w1zbB+/pfgiliBD2OSqoQmhzKX1RkUE/tC1x9C7WGQxR&#10;ulJqh48IN40cJ0kmDdYcFypsaV1RcT3cjILx2a6eyb6Wq79ddkpvu23IyCk16HfLKYhAXfgPf9ob&#10;rSCdZCm838QnIOcvAAAA//8DAFBLAQItABQABgAIAAAAIQDb4fbL7gAAAIUBAAATAAAAAAAAAAAA&#10;AAAAAAAAAABbQ29udGVudF9UeXBlc10ueG1sUEsBAi0AFAAGAAgAAAAhAFr0LFu/AAAAFQEAAAsA&#10;AAAAAAAAAAAAAAAAHwEAAF9yZWxzLy5yZWxzUEsBAi0AFAAGAAgAAAAhACF7+STEAAAA3QAAAA8A&#10;AAAAAAAAAAAAAAAABwIAAGRycy9kb3ducmV2LnhtbFBLBQYAAAAAAwADALcAAAD4AgAAAAA=&#10;" strokecolor="#ed7d31 [3205]" strokeweight=".5pt">
                  <v:stroke startarrow="oval" endarrow="block" joinstyle="miter"/>
                </v:shape>
              </v:group>
            </w:pict>
          </mc:Fallback>
        </mc:AlternateContent>
      </w:r>
    </w:p>
    <w:p w14:paraId="76040F26" w14:textId="15E32150" w:rsidR="00A85C8A" w:rsidRDefault="00A85C8A" w:rsidP="00A85C8A">
      <w:pPr>
        <w:pStyle w:val="Zkladntext3"/>
        <w:spacing w:after="0" w:line="360" w:lineRule="auto"/>
        <w:jc w:val="both"/>
        <w:rPr>
          <w:rFonts w:asciiTheme="minorHAnsi" w:eastAsia="Calibri" w:hAnsiTheme="minorHAnsi" w:cstheme="minorHAnsi"/>
          <w:i/>
          <w:iCs/>
          <w:sz w:val="24"/>
          <w:szCs w:val="24"/>
        </w:rPr>
      </w:pPr>
    </w:p>
    <w:p w14:paraId="14C60D2F" w14:textId="7DBA6B8D" w:rsidR="00A85C8A" w:rsidRDefault="00A85C8A" w:rsidP="00A85C8A">
      <w:pPr>
        <w:tabs>
          <w:tab w:val="num" w:pos="720"/>
        </w:tabs>
        <w:jc w:val="both"/>
        <w:rPr>
          <w:rFonts w:ascii="Calibri" w:hAnsi="Calibri" w:cs="Calibri"/>
        </w:rPr>
      </w:pPr>
    </w:p>
    <w:p w14:paraId="0CF4789A" w14:textId="3409D415" w:rsidR="00A85C8A" w:rsidRDefault="00A85C8A" w:rsidP="00A85C8A">
      <w:pPr>
        <w:tabs>
          <w:tab w:val="num" w:pos="720"/>
        </w:tabs>
        <w:jc w:val="both"/>
        <w:rPr>
          <w:rFonts w:ascii="Calibri" w:hAnsi="Calibri" w:cs="Calibri"/>
        </w:rPr>
      </w:pPr>
    </w:p>
    <w:p w14:paraId="19C36C16" w14:textId="649FD515" w:rsidR="00A85C8A" w:rsidRDefault="00A85C8A" w:rsidP="00A85C8A">
      <w:pPr>
        <w:tabs>
          <w:tab w:val="num" w:pos="720"/>
        </w:tabs>
        <w:jc w:val="both"/>
        <w:rPr>
          <w:rFonts w:asciiTheme="minorHAnsi" w:hAnsiTheme="minorHAnsi" w:cstheme="minorHAnsi"/>
        </w:rPr>
      </w:pPr>
    </w:p>
    <w:p w14:paraId="79164E0C" w14:textId="77777777" w:rsidR="00A85C8A" w:rsidRDefault="00A85C8A" w:rsidP="00A85C8A">
      <w:pPr>
        <w:pStyle w:val="Zkladntext3"/>
        <w:spacing w:after="0" w:line="360" w:lineRule="auto"/>
        <w:ind w:left="66" w:firstLine="294"/>
        <w:jc w:val="both"/>
        <w:rPr>
          <w:rFonts w:asciiTheme="minorHAnsi" w:eastAsia="Calibri" w:hAnsiTheme="minorHAnsi" w:cstheme="minorHAnsi"/>
          <w:i/>
          <w:iCs/>
          <w:sz w:val="24"/>
          <w:szCs w:val="24"/>
        </w:rPr>
      </w:pPr>
    </w:p>
    <w:p w14:paraId="1B0B9B03" w14:textId="77777777" w:rsidR="00637480" w:rsidRDefault="00637480" w:rsidP="00A85C8A">
      <w:pPr>
        <w:pStyle w:val="Zkladntext3"/>
        <w:spacing w:after="0" w:line="360" w:lineRule="auto"/>
        <w:jc w:val="both"/>
        <w:rPr>
          <w:rFonts w:asciiTheme="minorHAnsi" w:eastAsia="Calibri" w:hAnsiTheme="minorHAnsi" w:cstheme="minorHAnsi"/>
          <w:i/>
          <w:iCs/>
          <w:sz w:val="24"/>
          <w:szCs w:val="24"/>
        </w:rPr>
      </w:pPr>
    </w:p>
    <w:p w14:paraId="67ED96F8" w14:textId="4ED6A1D7" w:rsidR="00A85C8A" w:rsidRPr="00A06E6A" w:rsidRDefault="00A85C8A" w:rsidP="00A85C8A">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14BBF135" w14:textId="77777777" w:rsidR="00C342F1" w:rsidRDefault="00C342F1" w:rsidP="00E16037">
      <w:pPr>
        <w:pStyle w:val="Zkladntextodsazen"/>
        <w:spacing w:after="0" w:line="360" w:lineRule="auto"/>
        <w:ind w:left="0"/>
        <w:jc w:val="both"/>
        <w:rPr>
          <w:rFonts w:asciiTheme="minorHAnsi" w:hAnsiTheme="minorHAnsi"/>
          <w:lang w:eastAsia="x-none"/>
        </w:rPr>
      </w:pPr>
    </w:p>
    <w:p w14:paraId="08AB495A" w14:textId="5651A1E0" w:rsidR="00E16037" w:rsidRDefault="006533CE" w:rsidP="00E16037">
      <w:pPr>
        <w:pStyle w:val="Zkladntextodsazen"/>
        <w:spacing w:after="0" w:line="360" w:lineRule="auto"/>
        <w:ind w:left="0"/>
        <w:jc w:val="both"/>
        <w:rPr>
          <w:rFonts w:asciiTheme="minorHAnsi" w:hAnsiTheme="minorHAnsi"/>
        </w:rPr>
      </w:pPr>
      <w:r w:rsidRPr="00AC26F2">
        <w:rPr>
          <w:rFonts w:asciiTheme="minorHAnsi" w:hAnsiTheme="minorHAnsi"/>
          <w:lang w:eastAsia="x-none"/>
        </w:rPr>
        <w:t>Pojem rozpočtování souvisí s pojmem hospodaření. Hospodaření ve veřejné správě vždy musí probíhat dle schváleného rozpočtu.</w:t>
      </w:r>
      <w:r w:rsidR="00AC26F2">
        <w:rPr>
          <w:rFonts w:asciiTheme="minorHAnsi" w:hAnsiTheme="minorHAnsi"/>
          <w:lang w:eastAsia="x-none"/>
        </w:rPr>
        <w:t xml:space="preserve"> </w:t>
      </w:r>
      <w:r w:rsidRPr="00AC26F2">
        <w:rPr>
          <w:rFonts w:asciiTheme="minorHAnsi" w:hAnsiTheme="minorHAnsi"/>
          <w:lang w:eastAsia="x-none"/>
        </w:rPr>
        <w:t>Rozpočtování je možné vymezit</w:t>
      </w:r>
      <w:r w:rsidR="00112A95">
        <w:rPr>
          <w:rFonts w:asciiTheme="minorHAnsi" w:hAnsiTheme="minorHAnsi"/>
          <w:lang w:eastAsia="x-none"/>
        </w:rPr>
        <w:t xml:space="preserve"> </w:t>
      </w:r>
      <w:r w:rsidRPr="00AC26F2">
        <w:rPr>
          <w:rFonts w:asciiTheme="minorHAnsi" w:hAnsiTheme="minorHAnsi"/>
          <w:lang w:eastAsia="x-none"/>
        </w:rPr>
        <w:t>jako proces alokace (přidělení, rozčlenění, vyčlenění) omezených zdrojů na vybrané činnosti, projekty, investice, cíle, veřejné politiky nebo instituce, a to na základě předpokládaných příjmů, disponibilních zdrojů nebo pomocí zadlužení.</w:t>
      </w:r>
      <w:r w:rsidR="00AC26F2" w:rsidRPr="00AC26F2">
        <w:rPr>
          <w:rFonts w:asciiTheme="minorHAnsi" w:hAnsiTheme="minorHAnsi"/>
          <w:lang w:eastAsia="x-none"/>
        </w:rPr>
        <w:t xml:space="preserve"> </w:t>
      </w:r>
      <w:r w:rsidRPr="00AC26F2">
        <w:rPr>
          <w:rFonts w:asciiTheme="minorHAnsi" w:hAnsiTheme="minorHAnsi"/>
          <w:lang w:eastAsia="x-none"/>
        </w:rPr>
        <w:t xml:space="preserve">Rozpočtování můžeme popsat pomocí </w:t>
      </w:r>
      <w:r w:rsidR="00AC26F2" w:rsidRPr="00AC26F2">
        <w:rPr>
          <w:rFonts w:asciiTheme="minorHAnsi" w:hAnsiTheme="minorHAnsi"/>
          <w:lang w:eastAsia="x-none"/>
        </w:rPr>
        <w:t>čtyř</w:t>
      </w:r>
      <w:r w:rsidRPr="00AC26F2">
        <w:rPr>
          <w:rFonts w:asciiTheme="minorHAnsi" w:hAnsiTheme="minorHAnsi"/>
          <w:lang w:eastAsia="x-none"/>
        </w:rPr>
        <w:t xml:space="preserve"> fází. Výsledkem rozpočtování je </w:t>
      </w:r>
      <w:r w:rsidRPr="001654A4">
        <w:rPr>
          <w:rFonts w:asciiTheme="minorHAnsi" w:hAnsiTheme="minorHAnsi"/>
          <w:b/>
          <w:lang w:eastAsia="x-none"/>
        </w:rPr>
        <w:t>rozpočet</w:t>
      </w:r>
      <w:r w:rsidRPr="00AC26F2">
        <w:rPr>
          <w:rFonts w:asciiTheme="minorHAnsi" w:hAnsiTheme="minorHAnsi"/>
          <w:lang w:eastAsia="x-none"/>
        </w:rPr>
        <w:t xml:space="preserve">. </w:t>
      </w:r>
      <w:r w:rsidR="00F45FC1" w:rsidRPr="00F45FC1">
        <w:rPr>
          <w:rFonts w:asciiTheme="minorHAnsi" w:hAnsiTheme="minorHAnsi"/>
        </w:rPr>
        <w:t xml:space="preserve">Rozpočet je finanční plán, jímž se řídí financování činnosti. Rozpočet obsahuje </w:t>
      </w:r>
    </w:p>
    <w:p w14:paraId="12EA0AEB" w14:textId="77777777" w:rsidR="00E16037" w:rsidRPr="00E16037" w:rsidRDefault="00F45FC1" w:rsidP="0065698B">
      <w:pPr>
        <w:pStyle w:val="Zkladntextodsazen"/>
        <w:numPr>
          <w:ilvl w:val="0"/>
          <w:numId w:val="14"/>
        </w:numPr>
        <w:spacing w:after="0" w:line="360" w:lineRule="auto"/>
        <w:jc w:val="both"/>
        <w:rPr>
          <w:rFonts w:asciiTheme="minorHAnsi" w:hAnsiTheme="minorHAnsi" w:cstheme="minorHAnsi"/>
        </w:rPr>
      </w:pPr>
      <w:r w:rsidRPr="00F45FC1">
        <w:rPr>
          <w:rFonts w:asciiTheme="minorHAnsi" w:hAnsiTheme="minorHAnsi"/>
        </w:rPr>
        <w:t xml:space="preserve">plán příjmů a výdajů a dále financování vzniklého salda, nebo </w:t>
      </w:r>
    </w:p>
    <w:p w14:paraId="0E968217" w14:textId="74FD97D1" w:rsidR="00E16037" w:rsidRPr="00E16037" w:rsidRDefault="00F45FC1" w:rsidP="0065698B">
      <w:pPr>
        <w:pStyle w:val="Zkladntextodsazen"/>
        <w:numPr>
          <w:ilvl w:val="0"/>
          <w:numId w:val="14"/>
        </w:numPr>
        <w:spacing w:after="0" w:line="360" w:lineRule="auto"/>
        <w:jc w:val="both"/>
        <w:rPr>
          <w:rFonts w:asciiTheme="minorHAnsi" w:hAnsiTheme="minorHAnsi" w:cstheme="minorHAnsi"/>
        </w:rPr>
      </w:pPr>
      <w:r>
        <w:rPr>
          <w:rFonts w:asciiTheme="minorHAnsi" w:hAnsiTheme="minorHAnsi"/>
        </w:rPr>
        <w:t>je-li to pro danou instituci relevantní</w:t>
      </w:r>
      <w:r w:rsidR="00E16037">
        <w:rPr>
          <w:rFonts w:asciiTheme="minorHAnsi" w:hAnsiTheme="minorHAnsi"/>
        </w:rPr>
        <w:t xml:space="preserve"> (například pro příspěvkové organizace)</w:t>
      </w:r>
      <w:r>
        <w:rPr>
          <w:rFonts w:asciiTheme="minorHAnsi" w:hAnsiTheme="minorHAnsi"/>
        </w:rPr>
        <w:t>, tak místo plánu příjmů a výdajů obsahuje</w:t>
      </w:r>
      <w:r w:rsidRPr="00F45FC1">
        <w:rPr>
          <w:rFonts w:asciiTheme="minorHAnsi" w:hAnsiTheme="minorHAnsi"/>
        </w:rPr>
        <w:t xml:space="preserve"> plán výnosů a nákladů.</w:t>
      </w:r>
      <w:r w:rsidR="001654A4">
        <w:rPr>
          <w:rFonts w:asciiTheme="minorHAnsi" w:hAnsiTheme="minorHAnsi"/>
        </w:rPr>
        <w:t xml:space="preserve"> </w:t>
      </w:r>
    </w:p>
    <w:p w14:paraId="1F8BA95F" w14:textId="79391D2F" w:rsidR="00E16037" w:rsidRPr="00AC26F2" w:rsidRDefault="00E16037" w:rsidP="00E16037">
      <w:pPr>
        <w:pStyle w:val="Zkladntextodsazen"/>
        <w:spacing w:after="0" w:line="360" w:lineRule="auto"/>
        <w:ind w:left="0"/>
        <w:jc w:val="both"/>
        <w:rPr>
          <w:rFonts w:asciiTheme="minorHAnsi" w:hAnsiTheme="minorHAnsi" w:cstheme="minorHAnsi"/>
        </w:rPr>
      </w:pPr>
      <w:r>
        <w:rPr>
          <w:rFonts w:asciiTheme="minorHAnsi" w:hAnsiTheme="minorHAnsi" w:cstheme="minorHAnsi"/>
        </w:rPr>
        <w:lastRenderedPageBreak/>
        <w:t xml:space="preserve">Vzniklé </w:t>
      </w:r>
      <w:r w:rsidRPr="001C63FB">
        <w:rPr>
          <w:rFonts w:asciiTheme="minorHAnsi" w:hAnsiTheme="minorHAnsi" w:cstheme="minorHAnsi"/>
          <w:b/>
        </w:rPr>
        <w:t>saldo rozpočtu</w:t>
      </w:r>
      <w:r>
        <w:rPr>
          <w:rFonts w:asciiTheme="minorHAnsi" w:hAnsiTheme="minorHAnsi" w:cstheme="minorHAnsi"/>
        </w:rPr>
        <w:t xml:space="preserve"> má 3 možné bilanční případy. U </w:t>
      </w:r>
      <w:r w:rsidRPr="00E16037">
        <w:rPr>
          <w:rFonts w:asciiTheme="minorHAnsi" w:hAnsiTheme="minorHAnsi" w:cstheme="minorHAnsi"/>
        </w:rPr>
        <w:t>bilančního pohledu</w:t>
      </w:r>
      <w:r>
        <w:rPr>
          <w:rFonts w:asciiTheme="minorHAnsi" w:hAnsiTheme="minorHAnsi" w:cstheme="minorHAnsi"/>
          <w:b/>
        </w:rPr>
        <w:t xml:space="preserve"> </w:t>
      </w:r>
      <w:r w:rsidRPr="001F2497">
        <w:rPr>
          <w:rFonts w:asciiTheme="minorHAnsi" w:hAnsiTheme="minorHAnsi" w:cstheme="minorHAnsi"/>
        </w:rPr>
        <w:t>na rozpočet</w:t>
      </w:r>
      <w:r>
        <w:rPr>
          <w:rFonts w:asciiTheme="minorHAnsi" w:hAnsiTheme="minorHAnsi" w:cstheme="minorHAnsi"/>
        </w:rPr>
        <w:t xml:space="preserve"> </w:t>
      </w:r>
      <w:r w:rsidRPr="00AC26F2">
        <w:rPr>
          <w:rFonts w:asciiTheme="minorHAnsi" w:hAnsiTheme="minorHAnsi" w:cstheme="minorHAnsi"/>
        </w:rPr>
        <w:t xml:space="preserve">sledujeme tok </w:t>
      </w:r>
      <w:r>
        <w:rPr>
          <w:rFonts w:asciiTheme="minorHAnsi" w:hAnsiTheme="minorHAnsi" w:cstheme="minorHAnsi"/>
        </w:rPr>
        <w:t xml:space="preserve">veřejných </w:t>
      </w:r>
      <w:r w:rsidRPr="00AC26F2">
        <w:rPr>
          <w:rFonts w:asciiTheme="minorHAnsi" w:hAnsiTheme="minorHAnsi" w:cstheme="minorHAnsi"/>
        </w:rPr>
        <w:t xml:space="preserve">příjmů a tok </w:t>
      </w:r>
      <w:r>
        <w:rPr>
          <w:rFonts w:asciiTheme="minorHAnsi" w:hAnsiTheme="minorHAnsi" w:cstheme="minorHAnsi"/>
        </w:rPr>
        <w:t>veřejných výdajů</w:t>
      </w:r>
      <w:r w:rsidRPr="00AC26F2">
        <w:rPr>
          <w:rFonts w:asciiTheme="minorHAnsi" w:hAnsiTheme="minorHAnsi" w:cstheme="minorHAnsi"/>
        </w:rPr>
        <w:t xml:space="preserve">. Poměr mezi příjmy (vstupy) a výdaji (výstupy) je jedním z ukazatelů efektivnosti fungování veřejné správy. Bilance je výsledným vztahem mezi </w:t>
      </w:r>
      <w:r>
        <w:rPr>
          <w:rFonts w:asciiTheme="minorHAnsi" w:hAnsiTheme="minorHAnsi" w:cstheme="minorHAnsi"/>
        </w:rPr>
        <w:t xml:space="preserve">veřejnými </w:t>
      </w:r>
      <w:r w:rsidRPr="00AC26F2">
        <w:rPr>
          <w:rFonts w:asciiTheme="minorHAnsi" w:hAnsiTheme="minorHAnsi" w:cstheme="minorHAnsi"/>
        </w:rPr>
        <w:t>příjmy</w:t>
      </w:r>
      <w:r>
        <w:rPr>
          <w:rFonts w:asciiTheme="minorHAnsi" w:hAnsiTheme="minorHAnsi" w:cstheme="minorHAnsi"/>
        </w:rPr>
        <w:t xml:space="preserve"> (P)</w:t>
      </w:r>
      <w:r w:rsidRPr="00AC26F2">
        <w:rPr>
          <w:rFonts w:asciiTheme="minorHAnsi" w:hAnsiTheme="minorHAnsi" w:cstheme="minorHAnsi"/>
        </w:rPr>
        <w:t xml:space="preserve"> a </w:t>
      </w:r>
      <w:r>
        <w:rPr>
          <w:rFonts w:asciiTheme="minorHAnsi" w:hAnsiTheme="minorHAnsi" w:cstheme="minorHAnsi"/>
        </w:rPr>
        <w:t xml:space="preserve">veřejnými </w:t>
      </w:r>
      <w:r w:rsidRPr="00AC26F2">
        <w:rPr>
          <w:rFonts w:asciiTheme="minorHAnsi" w:hAnsiTheme="minorHAnsi" w:cstheme="minorHAnsi"/>
        </w:rPr>
        <w:t>výdaji</w:t>
      </w:r>
      <w:r>
        <w:rPr>
          <w:rFonts w:asciiTheme="minorHAnsi" w:hAnsiTheme="minorHAnsi" w:cstheme="minorHAnsi"/>
        </w:rPr>
        <w:t xml:space="preserve"> (V)</w:t>
      </w:r>
      <w:r w:rsidRPr="00AC26F2">
        <w:rPr>
          <w:rFonts w:asciiTheme="minorHAnsi" w:hAnsiTheme="minorHAnsi" w:cstheme="minorHAnsi"/>
        </w:rPr>
        <w:t xml:space="preserve">. </w:t>
      </w:r>
      <w:r>
        <w:rPr>
          <w:rFonts w:asciiTheme="minorHAnsi" w:hAnsiTheme="minorHAnsi" w:cstheme="minorHAnsi"/>
        </w:rPr>
        <w:t>Nastávají</w:t>
      </w:r>
      <w:r w:rsidRPr="00AC26F2">
        <w:rPr>
          <w:rFonts w:asciiTheme="minorHAnsi" w:hAnsiTheme="minorHAnsi" w:cstheme="minorHAnsi"/>
        </w:rPr>
        <w:t xml:space="preserve"> </w:t>
      </w:r>
      <w:r w:rsidRPr="00AC26F2">
        <w:rPr>
          <w:rFonts w:asciiTheme="minorHAnsi" w:hAnsiTheme="minorHAnsi" w:cstheme="minorHAnsi"/>
          <w:b/>
        </w:rPr>
        <w:t>tři bilanční případy</w:t>
      </w:r>
      <w:r w:rsidRPr="00AC26F2">
        <w:rPr>
          <w:rFonts w:asciiTheme="minorHAnsi" w:hAnsiTheme="minorHAnsi" w:cstheme="minorHAnsi"/>
        </w:rPr>
        <w:t>:</w:t>
      </w:r>
    </w:p>
    <w:p w14:paraId="4BED6A44" w14:textId="3A5CEAB0" w:rsidR="00E16037" w:rsidRPr="00AC26F2" w:rsidRDefault="00E16037" w:rsidP="0065698B">
      <w:pPr>
        <w:pStyle w:val="Zkladntextodsazen"/>
        <w:numPr>
          <w:ilvl w:val="0"/>
          <w:numId w:val="20"/>
        </w:numPr>
        <w:spacing w:after="0" w:line="360" w:lineRule="auto"/>
        <w:ind w:left="323" w:hanging="357"/>
        <w:jc w:val="both"/>
        <w:rPr>
          <w:rFonts w:asciiTheme="minorHAnsi" w:hAnsiTheme="minorHAnsi" w:cstheme="minorHAnsi"/>
        </w:rPr>
      </w:pPr>
      <w:r>
        <w:rPr>
          <w:rFonts w:asciiTheme="minorHAnsi" w:hAnsiTheme="minorHAnsi" w:cstheme="minorHAnsi"/>
        </w:rPr>
        <w:t>Pokud</w:t>
      </w:r>
      <w:r w:rsidRPr="00AC26F2">
        <w:rPr>
          <w:rFonts w:asciiTheme="minorHAnsi" w:hAnsiTheme="minorHAnsi" w:cstheme="minorHAnsi"/>
        </w:rPr>
        <w:t xml:space="preserve"> P&lt;V, pak se jedná o </w:t>
      </w:r>
      <w:r w:rsidRPr="00AC26F2">
        <w:rPr>
          <w:rFonts w:asciiTheme="minorHAnsi" w:hAnsiTheme="minorHAnsi" w:cstheme="minorHAnsi"/>
          <w:b/>
        </w:rPr>
        <w:t>deficitně (schodkově) sestavený rozpočet</w:t>
      </w:r>
      <w:r w:rsidRPr="00AC26F2">
        <w:rPr>
          <w:rFonts w:asciiTheme="minorHAnsi" w:hAnsiTheme="minorHAnsi" w:cstheme="minorHAnsi"/>
        </w:rPr>
        <w:t>, neboť výdaje nejsou dostatečně kryty příjmy</w:t>
      </w:r>
      <w:r w:rsidRPr="00AC26F2">
        <w:rPr>
          <w:rStyle w:val="Znakapoznpodarou"/>
          <w:rFonts w:asciiTheme="minorHAnsi" w:hAnsiTheme="minorHAnsi" w:cstheme="minorHAnsi"/>
        </w:rPr>
        <w:footnoteReference w:id="19"/>
      </w:r>
      <w:r w:rsidRPr="00AC26F2">
        <w:rPr>
          <w:rFonts w:asciiTheme="minorHAnsi" w:hAnsiTheme="minorHAnsi" w:cstheme="minorHAnsi"/>
        </w:rPr>
        <w:t>.</w:t>
      </w:r>
    </w:p>
    <w:p w14:paraId="6E129ADA" w14:textId="027DB1AE" w:rsidR="00E16037" w:rsidRPr="00AC26F2" w:rsidRDefault="00E16037" w:rsidP="0065698B">
      <w:pPr>
        <w:pStyle w:val="Zkladntextodsazen"/>
        <w:numPr>
          <w:ilvl w:val="0"/>
          <w:numId w:val="20"/>
        </w:numPr>
        <w:spacing w:after="0" w:line="360" w:lineRule="auto"/>
        <w:ind w:left="323" w:hanging="357"/>
        <w:jc w:val="both"/>
        <w:rPr>
          <w:rFonts w:asciiTheme="minorHAnsi" w:hAnsiTheme="minorHAnsi" w:cstheme="minorHAnsi"/>
        </w:rPr>
      </w:pPr>
      <w:r>
        <w:rPr>
          <w:rFonts w:asciiTheme="minorHAnsi" w:hAnsiTheme="minorHAnsi" w:cstheme="minorHAnsi"/>
        </w:rPr>
        <w:t>Pokud</w:t>
      </w:r>
      <w:r w:rsidRPr="00AC26F2">
        <w:rPr>
          <w:rFonts w:asciiTheme="minorHAnsi" w:hAnsiTheme="minorHAnsi" w:cstheme="minorHAnsi"/>
        </w:rPr>
        <w:t xml:space="preserve"> P=V, pak je </w:t>
      </w:r>
      <w:r w:rsidRPr="00AC26F2">
        <w:rPr>
          <w:rFonts w:asciiTheme="minorHAnsi" w:hAnsiTheme="minorHAnsi" w:cstheme="minorHAnsi"/>
          <w:b/>
        </w:rPr>
        <w:t>rozpočet sestaven jako vyrovnaný</w:t>
      </w:r>
      <w:r w:rsidRPr="00AC26F2">
        <w:rPr>
          <w:rFonts w:asciiTheme="minorHAnsi" w:hAnsiTheme="minorHAnsi" w:cstheme="minorHAnsi"/>
        </w:rPr>
        <w:t>. Všechny  aktivity daného rozpočtového roku (vyjádřené veřejnými výdaji) jsou kryty veřejnými příjmy.</w:t>
      </w:r>
    </w:p>
    <w:p w14:paraId="5ACB8977" w14:textId="77777777" w:rsidR="00E16037" w:rsidRDefault="00E16037" w:rsidP="0065698B">
      <w:pPr>
        <w:pStyle w:val="Zkladntextodsazen"/>
        <w:numPr>
          <w:ilvl w:val="0"/>
          <w:numId w:val="20"/>
        </w:numPr>
        <w:spacing w:after="0" w:line="360" w:lineRule="auto"/>
        <w:ind w:left="323" w:hanging="357"/>
        <w:jc w:val="both"/>
        <w:rPr>
          <w:rFonts w:asciiTheme="minorHAnsi" w:hAnsiTheme="minorHAnsi" w:cstheme="minorHAnsi"/>
        </w:rPr>
      </w:pPr>
      <w:r>
        <w:rPr>
          <w:rFonts w:asciiTheme="minorHAnsi" w:hAnsiTheme="minorHAnsi" w:cstheme="minorHAnsi"/>
        </w:rPr>
        <w:t>Pokud</w:t>
      </w:r>
      <w:r w:rsidRPr="00AC26F2">
        <w:rPr>
          <w:rFonts w:asciiTheme="minorHAnsi" w:hAnsiTheme="minorHAnsi" w:cstheme="minorHAnsi"/>
        </w:rPr>
        <w:t xml:space="preserve"> P&gt;V, pak jsou příjmy vyšší nežli veřejné výdaje. Jedná se tedy o </w:t>
      </w:r>
      <w:r w:rsidRPr="00AC26F2">
        <w:rPr>
          <w:rFonts w:asciiTheme="minorHAnsi" w:hAnsiTheme="minorHAnsi" w:cstheme="minorHAnsi"/>
          <w:b/>
        </w:rPr>
        <w:t>přebytkově sestavený rozpočet</w:t>
      </w:r>
      <w:r w:rsidRPr="00AC26F2">
        <w:rPr>
          <w:rFonts w:asciiTheme="minorHAnsi" w:hAnsiTheme="minorHAnsi" w:cstheme="minorHAnsi"/>
        </w:rPr>
        <w:t>.</w:t>
      </w:r>
    </w:p>
    <w:p w14:paraId="35A2947A" w14:textId="7E072386" w:rsidR="00112A95" w:rsidRPr="00112A95" w:rsidRDefault="00112A95" w:rsidP="001654A4">
      <w:pPr>
        <w:tabs>
          <w:tab w:val="num" w:pos="720"/>
        </w:tabs>
        <w:jc w:val="both"/>
        <w:rPr>
          <w:rFonts w:asciiTheme="minorHAnsi" w:eastAsia="Calibri" w:hAnsiTheme="minorHAnsi" w:cstheme="minorHAnsi"/>
        </w:rPr>
      </w:pPr>
      <w:r w:rsidRPr="00112A95">
        <w:rPr>
          <w:rFonts w:asciiTheme="minorHAnsi" w:eastAsia="Calibri" w:hAnsiTheme="minorHAnsi" w:cstheme="minorHAnsi"/>
        </w:rPr>
        <w:t xml:space="preserve">Následující tabulka rekapituluje </w:t>
      </w:r>
      <w:r w:rsidRPr="001C63FB">
        <w:rPr>
          <w:rFonts w:asciiTheme="minorHAnsi" w:eastAsia="Calibri" w:hAnsiTheme="minorHAnsi" w:cstheme="minorHAnsi"/>
          <w:b/>
        </w:rPr>
        <w:t>pojmy k rozpočtu a rozpočtování</w:t>
      </w:r>
      <w:r w:rsidRPr="00112A95">
        <w:rPr>
          <w:rFonts w:asciiTheme="minorHAnsi" w:eastAsia="Calibri" w:hAnsiTheme="minorHAnsi" w:cstheme="minorHAnsi"/>
        </w:rPr>
        <w:t xml:space="preserve">. </w:t>
      </w:r>
    </w:p>
    <w:p w14:paraId="3926CF88" w14:textId="2EB7BA6E" w:rsidR="00112A95" w:rsidRPr="00640318" w:rsidRDefault="00112A95" w:rsidP="00112A95">
      <w:pPr>
        <w:pStyle w:val="Zkladntext3"/>
        <w:spacing w:after="0"/>
        <w:jc w:val="both"/>
        <w:rPr>
          <w:rFonts w:asciiTheme="minorHAnsi" w:eastAsia="Calibri" w:hAnsiTheme="minorHAnsi" w:cstheme="minorHAnsi"/>
          <w:i/>
          <w:iCs/>
          <w:sz w:val="24"/>
          <w:szCs w:val="24"/>
        </w:rPr>
      </w:pPr>
      <w:r w:rsidRPr="00640318">
        <w:rPr>
          <w:rFonts w:asciiTheme="minorHAnsi" w:eastAsia="Calibri" w:hAnsiTheme="minorHAnsi" w:cstheme="minorHAnsi"/>
          <w:i/>
          <w:iCs/>
          <w:sz w:val="24"/>
          <w:szCs w:val="24"/>
        </w:rPr>
        <w:t xml:space="preserve">Tab. </w:t>
      </w:r>
      <w:r w:rsidR="00081FD0">
        <w:rPr>
          <w:rFonts w:asciiTheme="minorHAnsi" w:eastAsia="Calibri" w:hAnsiTheme="minorHAnsi" w:cstheme="minorHAnsi"/>
          <w:i/>
          <w:iCs/>
          <w:sz w:val="24"/>
          <w:szCs w:val="24"/>
        </w:rPr>
        <w:t>3</w:t>
      </w:r>
      <w:r>
        <w:rPr>
          <w:rFonts w:asciiTheme="minorHAnsi" w:eastAsia="Calibri" w:hAnsiTheme="minorHAnsi" w:cstheme="minorHAnsi"/>
          <w:i/>
          <w:iCs/>
          <w:sz w:val="24"/>
          <w:szCs w:val="24"/>
        </w:rPr>
        <w:t xml:space="preserve"> Pojmy</w:t>
      </w:r>
      <w:r w:rsidRPr="00640318">
        <w:rPr>
          <w:rFonts w:asciiTheme="minorHAnsi" w:eastAsia="Calibri" w:hAnsiTheme="minorHAnsi" w:cstheme="minorHAnsi"/>
          <w:i/>
          <w:iCs/>
          <w:sz w:val="24"/>
          <w:szCs w:val="24"/>
        </w:rPr>
        <w:t xml:space="preserve"> k</w:t>
      </w:r>
      <w:r>
        <w:rPr>
          <w:rFonts w:asciiTheme="minorHAnsi" w:eastAsia="Calibri" w:hAnsiTheme="minorHAnsi" w:cstheme="minorHAnsi"/>
          <w:i/>
          <w:iCs/>
          <w:sz w:val="24"/>
          <w:szCs w:val="24"/>
        </w:rPr>
        <w:t> rozpočtu a rozpočtování</w:t>
      </w:r>
    </w:p>
    <w:tbl>
      <w:tblPr>
        <w:tblStyle w:val="Mkatabulky"/>
        <w:tblW w:w="0" w:type="auto"/>
        <w:tblLook w:val="04A0" w:firstRow="1" w:lastRow="0" w:firstColumn="1" w:lastColumn="0" w:noHBand="0" w:noVBand="1"/>
      </w:tblPr>
      <w:tblGrid>
        <w:gridCol w:w="334"/>
        <w:gridCol w:w="1424"/>
        <w:gridCol w:w="7258"/>
      </w:tblGrid>
      <w:tr w:rsidR="00112A95" w:rsidRPr="00112A95" w14:paraId="4F92A3BC" w14:textId="77777777" w:rsidTr="0010475A">
        <w:tc>
          <w:tcPr>
            <w:tcW w:w="334" w:type="dxa"/>
            <w:shd w:val="clear" w:color="auto" w:fill="F2F2F2" w:themeFill="background1" w:themeFillShade="F2"/>
          </w:tcPr>
          <w:p w14:paraId="20F46BA0" w14:textId="77777777" w:rsidR="00112A95" w:rsidRPr="00112A95" w:rsidRDefault="00112A95" w:rsidP="00112A95">
            <w:pPr>
              <w:pStyle w:val="Zkladntext3"/>
              <w:spacing w:after="0"/>
              <w:jc w:val="both"/>
              <w:rPr>
                <w:rFonts w:asciiTheme="minorHAnsi" w:eastAsia="Calibri" w:hAnsiTheme="minorHAnsi" w:cstheme="minorHAnsi"/>
                <w:sz w:val="22"/>
                <w:szCs w:val="22"/>
              </w:rPr>
            </w:pPr>
            <w:r w:rsidRPr="00112A95">
              <w:rPr>
                <w:rFonts w:asciiTheme="minorHAnsi" w:eastAsia="Calibri" w:hAnsiTheme="minorHAnsi" w:cstheme="minorHAnsi"/>
                <w:sz w:val="22"/>
                <w:szCs w:val="22"/>
              </w:rPr>
              <w:t>Č</w:t>
            </w:r>
          </w:p>
        </w:tc>
        <w:tc>
          <w:tcPr>
            <w:tcW w:w="1424" w:type="dxa"/>
            <w:shd w:val="clear" w:color="auto" w:fill="F2F2F2" w:themeFill="background1" w:themeFillShade="F2"/>
          </w:tcPr>
          <w:p w14:paraId="5BD19D15" w14:textId="77777777" w:rsidR="00112A95" w:rsidRPr="00112A95" w:rsidRDefault="00112A95" w:rsidP="00112A95">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Pojem</w:t>
            </w:r>
          </w:p>
        </w:tc>
        <w:tc>
          <w:tcPr>
            <w:tcW w:w="7258" w:type="dxa"/>
            <w:shd w:val="clear" w:color="auto" w:fill="F2F2F2" w:themeFill="background1" w:themeFillShade="F2"/>
          </w:tcPr>
          <w:p w14:paraId="1384252B" w14:textId="77777777" w:rsidR="00112A95" w:rsidRPr="00112A95" w:rsidRDefault="00112A95" w:rsidP="00112A95">
            <w:pPr>
              <w:pStyle w:val="Zkladntext3"/>
              <w:spacing w:after="0"/>
              <w:jc w:val="both"/>
              <w:rPr>
                <w:rFonts w:asciiTheme="minorHAnsi" w:eastAsia="Calibri" w:hAnsiTheme="minorHAnsi" w:cstheme="minorHAnsi"/>
                <w:sz w:val="22"/>
                <w:szCs w:val="22"/>
              </w:rPr>
            </w:pPr>
            <w:r w:rsidRPr="00112A95">
              <w:rPr>
                <w:rFonts w:asciiTheme="minorHAnsi" w:eastAsia="Calibri" w:hAnsiTheme="minorHAnsi" w:cstheme="minorHAnsi"/>
                <w:sz w:val="22"/>
                <w:szCs w:val="22"/>
              </w:rPr>
              <w:t>Vymezení</w:t>
            </w:r>
          </w:p>
        </w:tc>
      </w:tr>
      <w:tr w:rsidR="00112A95" w:rsidRPr="00112A95" w14:paraId="6F5E0543" w14:textId="77777777" w:rsidTr="0010475A">
        <w:tc>
          <w:tcPr>
            <w:tcW w:w="334" w:type="dxa"/>
            <w:shd w:val="clear" w:color="auto" w:fill="F2F2F2" w:themeFill="background1" w:themeFillShade="F2"/>
            <w:vAlign w:val="center"/>
          </w:tcPr>
          <w:p w14:paraId="47A03737" w14:textId="77777777" w:rsidR="00112A95" w:rsidRPr="00112A95" w:rsidRDefault="00112A95" w:rsidP="00112A95">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1</w:t>
            </w:r>
          </w:p>
        </w:tc>
        <w:tc>
          <w:tcPr>
            <w:tcW w:w="1424" w:type="dxa"/>
            <w:vAlign w:val="center"/>
          </w:tcPr>
          <w:p w14:paraId="6873239A" w14:textId="52888878" w:rsidR="00112A95" w:rsidRPr="00112A95" w:rsidRDefault="00112A95" w:rsidP="00112A95">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Rozpočtování</w:t>
            </w:r>
          </w:p>
        </w:tc>
        <w:tc>
          <w:tcPr>
            <w:tcW w:w="7258" w:type="dxa"/>
            <w:vAlign w:val="center"/>
          </w:tcPr>
          <w:p w14:paraId="2429B6FE" w14:textId="3A22E024" w:rsidR="00112A95" w:rsidRPr="00112A95" w:rsidRDefault="00112A95" w:rsidP="00112A95">
            <w:pPr>
              <w:pStyle w:val="Zkladntext3"/>
              <w:spacing w:after="0"/>
              <w:rPr>
                <w:rFonts w:asciiTheme="minorHAnsi" w:eastAsia="Calibri" w:hAnsiTheme="minorHAnsi" w:cstheme="minorHAnsi"/>
                <w:sz w:val="22"/>
                <w:szCs w:val="22"/>
              </w:rPr>
            </w:pPr>
            <w:r w:rsidRPr="00112A95">
              <w:rPr>
                <w:rFonts w:asciiTheme="minorHAnsi" w:hAnsiTheme="minorHAnsi"/>
                <w:sz w:val="22"/>
                <w:szCs w:val="22"/>
                <w:lang w:eastAsia="x-none"/>
              </w:rPr>
              <w:t>Rozpočtování je proces alokace (přidělení, rozčlenění, vyčlenění) omezených zdrojů na vybrané činnosti, projekty, investice, cíle, veřejné politiky nebo instituce, a to na základě předpokládaných příjmů, disponibilních zdrojů nebo pomocí zadlužení. Rozpočtování můžeme popsat pomocí čtyř fází.</w:t>
            </w:r>
          </w:p>
        </w:tc>
      </w:tr>
      <w:tr w:rsidR="00112A95" w:rsidRPr="00112A95" w14:paraId="2F9CA181" w14:textId="77777777" w:rsidTr="0010475A">
        <w:tc>
          <w:tcPr>
            <w:tcW w:w="334" w:type="dxa"/>
            <w:shd w:val="clear" w:color="auto" w:fill="F2F2F2" w:themeFill="background1" w:themeFillShade="F2"/>
            <w:vAlign w:val="center"/>
          </w:tcPr>
          <w:p w14:paraId="04FCD720" w14:textId="77777777" w:rsidR="00112A95" w:rsidRPr="00112A95" w:rsidRDefault="00112A95" w:rsidP="00112A95">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2</w:t>
            </w:r>
          </w:p>
        </w:tc>
        <w:tc>
          <w:tcPr>
            <w:tcW w:w="1424" w:type="dxa"/>
            <w:vAlign w:val="center"/>
          </w:tcPr>
          <w:p w14:paraId="72D59CCC" w14:textId="1FAB3CA3" w:rsidR="00112A95" w:rsidRPr="00112A95" w:rsidRDefault="0010475A" w:rsidP="00112A95">
            <w:pPr>
              <w:pStyle w:val="Zkladntext3"/>
              <w:spacing w:after="0"/>
              <w:rPr>
                <w:rFonts w:asciiTheme="minorHAnsi" w:eastAsia="Calibri" w:hAnsiTheme="minorHAnsi" w:cstheme="minorHAnsi"/>
                <w:sz w:val="22"/>
                <w:szCs w:val="22"/>
              </w:rPr>
            </w:pPr>
            <w:r>
              <w:rPr>
                <w:rFonts w:asciiTheme="minorHAnsi" w:eastAsia="Calibri" w:hAnsiTheme="minorHAnsi" w:cstheme="minorHAnsi"/>
                <w:sz w:val="22"/>
                <w:szCs w:val="22"/>
              </w:rPr>
              <w:t>Rozpočtové fáze</w:t>
            </w:r>
          </w:p>
        </w:tc>
        <w:tc>
          <w:tcPr>
            <w:tcW w:w="7258" w:type="dxa"/>
            <w:vAlign w:val="center"/>
          </w:tcPr>
          <w:p w14:paraId="07ED2477" w14:textId="738924B6" w:rsidR="00112A95" w:rsidRPr="00112A95" w:rsidRDefault="00BE59E0" w:rsidP="00112A95">
            <w:pPr>
              <w:tabs>
                <w:tab w:val="num" w:pos="720"/>
              </w:tabs>
              <w:spacing w:line="240" w:lineRule="auto"/>
              <w:jc w:val="both"/>
              <w:rPr>
                <w:rFonts w:asciiTheme="minorHAnsi" w:hAnsiTheme="minorHAnsi" w:cs="Arial"/>
                <w:color w:val="000000"/>
                <w:sz w:val="22"/>
                <w:szCs w:val="22"/>
              </w:rPr>
            </w:pPr>
            <w:r>
              <w:rPr>
                <w:rFonts w:asciiTheme="minorHAnsi" w:hAnsiTheme="minorHAnsi" w:cs="Arial"/>
                <w:color w:val="000000"/>
                <w:sz w:val="22"/>
                <w:szCs w:val="22"/>
              </w:rPr>
              <w:t>(1) Příprava rozpočtu, (2) Projednání a schválení</w:t>
            </w:r>
            <w:r w:rsidR="0080596D">
              <w:rPr>
                <w:rFonts w:asciiTheme="minorHAnsi" w:hAnsiTheme="minorHAnsi" w:cs="Arial"/>
                <w:color w:val="000000"/>
                <w:sz w:val="22"/>
                <w:szCs w:val="22"/>
              </w:rPr>
              <w:t xml:space="preserve"> rozpočtu</w:t>
            </w:r>
            <w:r>
              <w:rPr>
                <w:rFonts w:asciiTheme="minorHAnsi" w:hAnsiTheme="minorHAnsi" w:cs="Arial"/>
                <w:color w:val="000000"/>
                <w:sz w:val="22"/>
                <w:szCs w:val="22"/>
              </w:rPr>
              <w:t>, (3) Hospodaření dle rozpočtu a případné změny, (4) Zpracování závěrečného účtu a jeho schválení</w:t>
            </w:r>
            <w:r w:rsidR="009F0A7C">
              <w:rPr>
                <w:rFonts w:asciiTheme="minorHAnsi" w:hAnsiTheme="minorHAnsi" w:cs="Arial"/>
                <w:color w:val="000000"/>
                <w:sz w:val="22"/>
                <w:szCs w:val="22"/>
              </w:rPr>
              <w:t>.</w:t>
            </w:r>
          </w:p>
        </w:tc>
      </w:tr>
      <w:tr w:rsidR="0010475A" w:rsidRPr="00112A95" w14:paraId="31901E55" w14:textId="77777777" w:rsidTr="0010475A">
        <w:tc>
          <w:tcPr>
            <w:tcW w:w="334" w:type="dxa"/>
            <w:shd w:val="clear" w:color="auto" w:fill="F2F2F2" w:themeFill="background1" w:themeFillShade="F2"/>
            <w:vAlign w:val="center"/>
          </w:tcPr>
          <w:p w14:paraId="26EC9527" w14:textId="77777777" w:rsidR="0010475A" w:rsidRPr="00112A95" w:rsidRDefault="0010475A" w:rsidP="0010475A">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3</w:t>
            </w:r>
          </w:p>
        </w:tc>
        <w:tc>
          <w:tcPr>
            <w:tcW w:w="1424" w:type="dxa"/>
            <w:vAlign w:val="center"/>
          </w:tcPr>
          <w:p w14:paraId="5D22B0FD" w14:textId="4FC11249" w:rsidR="0010475A" w:rsidRPr="00112A95" w:rsidRDefault="0010475A" w:rsidP="0010475A">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Rozpočet</w:t>
            </w:r>
          </w:p>
        </w:tc>
        <w:tc>
          <w:tcPr>
            <w:tcW w:w="7258" w:type="dxa"/>
            <w:vAlign w:val="center"/>
          </w:tcPr>
          <w:p w14:paraId="7CAA6FCE" w14:textId="3CE74D04" w:rsidR="0010475A" w:rsidRPr="00112A95" w:rsidRDefault="0010475A" w:rsidP="0010475A">
            <w:pPr>
              <w:pStyle w:val="Zkladntext3"/>
              <w:spacing w:after="0"/>
              <w:rPr>
                <w:rFonts w:asciiTheme="minorHAnsi" w:eastAsia="Calibri" w:hAnsiTheme="minorHAnsi" w:cstheme="minorHAnsi"/>
                <w:sz w:val="22"/>
                <w:szCs w:val="22"/>
              </w:rPr>
            </w:pPr>
            <w:r w:rsidRPr="00112A95">
              <w:rPr>
                <w:rFonts w:asciiTheme="minorHAnsi" w:hAnsiTheme="minorHAnsi"/>
                <w:sz w:val="22"/>
                <w:szCs w:val="22"/>
              </w:rPr>
              <w:t>Rozpočet je finanční</w:t>
            </w:r>
            <w:r>
              <w:rPr>
                <w:rFonts w:asciiTheme="minorHAnsi" w:hAnsiTheme="minorHAnsi"/>
                <w:sz w:val="22"/>
                <w:szCs w:val="22"/>
              </w:rPr>
              <w:t xml:space="preserve"> plán</w:t>
            </w:r>
            <w:r w:rsidRPr="00112A95">
              <w:rPr>
                <w:rFonts w:asciiTheme="minorHAnsi" w:hAnsiTheme="minorHAnsi" w:cs="Arial"/>
                <w:color w:val="000000"/>
                <w:sz w:val="22"/>
                <w:szCs w:val="22"/>
              </w:rPr>
              <w:t xml:space="preserve">, jímž se řídí financování činnosti. Rozpočet obsahuje plán příjmů a výdajů a </w:t>
            </w:r>
            <w:r>
              <w:rPr>
                <w:rFonts w:asciiTheme="minorHAnsi" w:hAnsiTheme="minorHAnsi" w:cs="Arial"/>
                <w:color w:val="000000"/>
                <w:sz w:val="22"/>
                <w:szCs w:val="22"/>
              </w:rPr>
              <w:t xml:space="preserve">dále </w:t>
            </w:r>
            <w:r w:rsidRPr="00112A95">
              <w:rPr>
                <w:rFonts w:asciiTheme="minorHAnsi" w:hAnsiTheme="minorHAnsi" w:cs="Arial"/>
                <w:color w:val="000000"/>
                <w:sz w:val="22"/>
                <w:szCs w:val="22"/>
              </w:rPr>
              <w:t xml:space="preserve">financování vzniklého salda, nebo </w:t>
            </w:r>
            <w:r>
              <w:rPr>
                <w:rFonts w:asciiTheme="minorHAnsi" w:hAnsiTheme="minorHAnsi" w:cs="Arial"/>
                <w:color w:val="000000"/>
                <w:sz w:val="22"/>
                <w:szCs w:val="22"/>
              </w:rPr>
              <w:t xml:space="preserve">případně </w:t>
            </w:r>
            <w:r w:rsidRPr="00112A95">
              <w:rPr>
                <w:rFonts w:asciiTheme="minorHAnsi" w:hAnsiTheme="minorHAnsi" w:cs="Arial"/>
                <w:color w:val="000000"/>
                <w:sz w:val="22"/>
                <w:szCs w:val="22"/>
              </w:rPr>
              <w:t>plán výnosů a nákladů.</w:t>
            </w:r>
          </w:p>
        </w:tc>
      </w:tr>
      <w:tr w:rsidR="0010475A" w:rsidRPr="00112A95" w14:paraId="52146FD2" w14:textId="77777777" w:rsidTr="0010475A">
        <w:tc>
          <w:tcPr>
            <w:tcW w:w="334" w:type="dxa"/>
            <w:shd w:val="clear" w:color="auto" w:fill="F2F2F2" w:themeFill="background1" w:themeFillShade="F2"/>
            <w:vAlign w:val="center"/>
          </w:tcPr>
          <w:p w14:paraId="00E87D52" w14:textId="77777777" w:rsidR="0010475A" w:rsidRPr="00112A95" w:rsidRDefault="0010475A" w:rsidP="0010475A">
            <w:pPr>
              <w:pStyle w:val="Zkladntext3"/>
              <w:spacing w:after="0"/>
              <w:rPr>
                <w:rFonts w:asciiTheme="minorHAnsi" w:eastAsia="Calibri" w:hAnsiTheme="minorHAnsi" w:cstheme="minorHAnsi"/>
                <w:sz w:val="22"/>
                <w:szCs w:val="22"/>
              </w:rPr>
            </w:pPr>
            <w:r w:rsidRPr="00112A95">
              <w:rPr>
                <w:rFonts w:asciiTheme="minorHAnsi" w:eastAsia="Calibri" w:hAnsiTheme="minorHAnsi" w:cstheme="minorHAnsi"/>
                <w:sz w:val="22"/>
                <w:szCs w:val="22"/>
              </w:rPr>
              <w:t>4</w:t>
            </w:r>
          </w:p>
        </w:tc>
        <w:tc>
          <w:tcPr>
            <w:tcW w:w="1424" w:type="dxa"/>
            <w:vAlign w:val="center"/>
          </w:tcPr>
          <w:p w14:paraId="721C6F7A" w14:textId="142802B5" w:rsidR="0010475A" w:rsidRPr="00112A95" w:rsidRDefault="00BE59E0" w:rsidP="0010475A">
            <w:pPr>
              <w:pStyle w:val="Zkladntext3"/>
              <w:spacing w:after="0"/>
              <w:rPr>
                <w:rFonts w:asciiTheme="minorHAnsi" w:eastAsia="Calibri" w:hAnsiTheme="minorHAnsi" w:cstheme="minorHAnsi"/>
                <w:sz w:val="22"/>
                <w:szCs w:val="22"/>
              </w:rPr>
            </w:pPr>
            <w:r>
              <w:rPr>
                <w:rFonts w:asciiTheme="minorHAnsi" w:eastAsia="Calibri" w:hAnsiTheme="minorHAnsi" w:cstheme="minorHAnsi"/>
                <w:sz w:val="22"/>
                <w:szCs w:val="22"/>
              </w:rPr>
              <w:t>Tři bilanční případy rozpočtu</w:t>
            </w:r>
          </w:p>
        </w:tc>
        <w:tc>
          <w:tcPr>
            <w:tcW w:w="7258" w:type="dxa"/>
            <w:vAlign w:val="center"/>
          </w:tcPr>
          <w:p w14:paraId="0231F86F" w14:textId="458C6453" w:rsidR="0010475A" w:rsidRPr="00112A95" w:rsidRDefault="00BE59E0" w:rsidP="0010475A">
            <w:pPr>
              <w:pStyle w:val="Zkladntext3"/>
              <w:spacing w:after="0"/>
              <w:rPr>
                <w:rFonts w:asciiTheme="minorHAnsi" w:eastAsia="Calibri" w:hAnsiTheme="minorHAnsi" w:cstheme="minorHAnsi"/>
                <w:sz w:val="22"/>
                <w:szCs w:val="22"/>
              </w:rPr>
            </w:pPr>
            <w:r>
              <w:rPr>
                <w:rFonts w:asciiTheme="minorHAnsi" w:eastAsia="Calibri" w:hAnsiTheme="minorHAnsi" w:cstheme="minorHAnsi"/>
                <w:sz w:val="22"/>
                <w:szCs w:val="22"/>
              </w:rPr>
              <w:t>(1) Vyrovnaný rozpočet (příjmy jsou stejné jako výdaje), (2) Přebytkov</w:t>
            </w:r>
            <w:r w:rsidR="009F0A7C">
              <w:rPr>
                <w:rFonts w:asciiTheme="minorHAnsi" w:eastAsia="Calibri" w:hAnsiTheme="minorHAnsi" w:cstheme="minorHAnsi"/>
                <w:sz w:val="22"/>
                <w:szCs w:val="22"/>
              </w:rPr>
              <w:t>ý</w:t>
            </w:r>
            <w:r>
              <w:rPr>
                <w:rFonts w:asciiTheme="minorHAnsi" w:eastAsia="Calibri" w:hAnsiTheme="minorHAnsi" w:cstheme="minorHAnsi"/>
                <w:sz w:val="22"/>
                <w:szCs w:val="22"/>
              </w:rPr>
              <w:t xml:space="preserve"> rozpočet (příjmy jsou větší než výdaje), (3) Schodkový (deficitní) rozpočet (příjmy jsou menší než výdaje).</w:t>
            </w:r>
          </w:p>
        </w:tc>
      </w:tr>
    </w:tbl>
    <w:p w14:paraId="0ED4AE47" w14:textId="77777777" w:rsidR="00112A95" w:rsidRPr="00640318" w:rsidRDefault="00112A95" w:rsidP="00112A95">
      <w:pPr>
        <w:pStyle w:val="A1-text"/>
        <w:spacing w:after="0"/>
        <w:rPr>
          <w:rFonts w:ascii="Calibri" w:hAnsi="Calibri"/>
          <w:i/>
          <w:iCs/>
          <w:lang w:val="cs-CZ"/>
        </w:rPr>
      </w:pPr>
      <w:r w:rsidRPr="00640318">
        <w:rPr>
          <w:rFonts w:ascii="Calibri" w:hAnsi="Calibri"/>
          <w:i/>
          <w:iCs/>
          <w:lang w:val="cs-CZ"/>
        </w:rPr>
        <w:t>Zdroj: autoři</w:t>
      </w:r>
    </w:p>
    <w:p w14:paraId="54D203EE" w14:textId="77777777" w:rsidR="00E16037" w:rsidRDefault="00E16037" w:rsidP="00AC26F2">
      <w:pPr>
        <w:pStyle w:val="A1-text"/>
        <w:spacing w:after="0"/>
        <w:rPr>
          <w:rFonts w:asciiTheme="minorHAnsi" w:hAnsiTheme="minorHAnsi"/>
          <w:lang w:val="cs-CZ"/>
        </w:rPr>
      </w:pPr>
    </w:p>
    <w:p w14:paraId="0CAD4DEF" w14:textId="3D9EFB50" w:rsidR="00F65092" w:rsidRPr="00AC26F2" w:rsidRDefault="00E16037" w:rsidP="00E16037">
      <w:pPr>
        <w:pStyle w:val="Zkladntext"/>
        <w:spacing w:after="0"/>
        <w:rPr>
          <w:rFonts w:asciiTheme="minorHAnsi" w:hAnsiTheme="minorHAnsi"/>
          <w:lang w:val="cs-CZ"/>
        </w:rPr>
      </w:pPr>
      <w:r>
        <w:rPr>
          <w:rFonts w:asciiTheme="minorHAnsi" w:hAnsiTheme="minorHAnsi" w:cs="Calibri"/>
          <w:szCs w:val="24"/>
          <w:lang w:val="cs-CZ"/>
        </w:rPr>
        <w:t>K </w:t>
      </w:r>
      <w:r w:rsidRPr="001C63FB">
        <w:rPr>
          <w:rFonts w:asciiTheme="minorHAnsi" w:hAnsiTheme="minorHAnsi" w:cs="Calibri"/>
          <w:b/>
          <w:szCs w:val="24"/>
          <w:lang w:val="cs-CZ"/>
        </w:rPr>
        <w:t>soustavě veřejných rozpočtů</w:t>
      </w:r>
      <w:r>
        <w:rPr>
          <w:rFonts w:asciiTheme="minorHAnsi" w:hAnsiTheme="minorHAnsi" w:cs="Calibri"/>
          <w:szCs w:val="24"/>
          <w:lang w:val="cs-CZ"/>
        </w:rPr>
        <w:t xml:space="preserve"> patří státní rozpočet, mimorozpočtové fondy (s</w:t>
      </w:r>
      <w:r w:rsidRPr="009D5603">
        <w:rPr>
          <w:rFonts w:asciiTheme="minorHAnsi" w:hAnsiTheme="minorHAnsi" w:cs="Calibri"/>
          <w:szCs w:val="24"/>
          <w:lang w:val="cs-CZ"/>
        </w:rPr>
        <w:t xml:space="preserve">tátní účelové fondy </w:t>
      </w:r>
      <w:r>
        <w:rPr>
          <w:rFonts w:asciiTheme="minorHAnsi" w:hAnsiTheme="minorHAnsi" w:cs="Calibri"/>
          <w:szCs w:val="24"/>
          <w:lang w:val="cs-CZ"/>
        </w:rPr>
        <w:t>-</w:t>
      </w:r>
      <w:r w:rsidRPr="009D5603">
        <w:rPr>
          <w:rFonts w:asciiTheme="minorHAnsi" w:hAnsiTheme="minorHAnsi" w:cs="Calibri"/>
          <w:szCs w:val="24"/>
          <w:lang w:val="cs-CZ"/>
        </w:rPr>
        <w:t xml:space="preserve"> například</w:t>
      </w:r>
      <w:r>
        <w:rPr>
          <w:rFonts w:asciiTheme="minorHAnsi" w:hAnsiTheme="minorHAnsi" w:cs="Calibri"/>
          <w:szCs w:val="24"/>
          <w:lang w:val="cs-CZ"/>
        </w:rPr>
        <w:t xml:space="preserve"> SFŽP, SFDI, FRB atd., privatizační fondy - </w:t>
      </w:r>
      <w:r w:rsidRPr="009D5603">
        <w:rPr>
          <w:rFonts w:asciiTheme="minorHAnsi" w:hAnsiTheme="minorHAnsi" w:cs="Calibri"/>
          <w:szCs w:val="24"/>
          <w:lang w:val="cs-CZ"/>
        </w:rPr>
        <w:t>například Pozemkový fond, veřejné zdravotní pojištění, ostatní fondy</w:t>
      </w:r>
      <w:r>
        <w:rPr>
          <w:rFonts w:asciiTheme="minorHAnsi" w:hAnsiTheme="minorHAnsi" w:cs="Calibri"/>
          <w:szCs w:val="24"/>
          <w:lang w:val="cs-CZ"/>
        </w:rPr>
        <w:t xml:space="preserve">) </w:t>
      </w:r>
      <w:r w:rsidRPr="00AC26F2">
        <w:rPr>
          <w:rFonts w:asciiTheme="minorHAnsi" w:hAnsiTheme="minorHAnsi" w:cs="Calibri"/>
          <w:szCs w:val="24"/>
          <w:lang w:val="cs-CZ"/>
        </w:rPr>
        <w:t>a územní rozpočty</w:t>
      </w:r>
      <w:r w:rsidRPr="00AC26F2">
        <w:rPr>
          <w:rFonts w:asciiTheme="minorHAnsi" w:hAnsiTheme="minorHAnsi" w:cs="Calibri"/>
          <w:szCs w:val="24"/>
        </w:rPr>
        <w:t xml:space="preserve"> </w:t>
      </w:r>
      <w:r w:rsidRPr="00AC26F2">
        <w:rPr>
          <w:rFonts w:asciiTheme="minorHAnsi" w:hAnsiTheme="minorHAnsi" w:cs="Calibri"/>
          <w:szCs w:val="24"/>
          <w:lang w:val="cs-CZ"/>
        </w:rPr>
        <w:t>(</w:t>
      </w:r>
      <w:r>
        <w:rPr>
          <w:rFonts w:asciiTheme="minorHAnsi" w:hAnsiTheme="minorHAnsi" w:cs="Calibri"/>
          <w:szCs w:val="24"/>
          <w:lang w:val="cs-CZ"/>
        </w:rPr>
        <w:t xml:space="preserve">zejména </w:t>
      </w:r>
      <w:r w:rsidRPr="00AC26F2">
        <w:rPr>
          <w:rFonts w:asciiTheme="minorHAnsi" w:hAnsiTheme="minorHAnsi" w:cs="Calibri"/>
          <w:szCs w:val="24"/>
          <w:lang w:val="cs-CZ"/>
        </w:rPr>
        <w:t>rozpočty obcí a krajů</w:t>
      </w:r>
      <w:r>
        <w:rPr>
          <w:rFonts w:asciiTheme="minorHAnsi" w:hAnsiTheme="minorHAnsi" w:cs="Calibri"/>
          <w:szCs w:val="24"/>
          <w:lang w:val="cs-CZ"/>
        </w:rPr>
        <w:t xml:space="preserve">, dále též například </w:t>
      </w:r>
      <w:r>
        <w:rPr>
          <w:rFonts w:asciiTheme="minorHAnsi" w:hAnsiTheme="minorHAnsi"/>
          <w:szCs w:val="24"/>
        </w:rPr>
        <w:t>dobrovolné</w:t>
      </w:r>
      <w:r w:rsidRPr="00AC26F2">
        <w:rPr>
          <w:rFonts w:asciiTheme="minorHAnsi" w:hAnsiTheme="minorHAnsi"/>
          <w:szCs w:val="24"/>
        </w:rPr>
        <w:t xml:space="preserve"> svazk</w:t>
      </w:r>
      <w:r>
        <w:rPr>
          <w:rFonts w:asciiTheme="minorHAnsi" w:hAnsiTheme="minorHAnsi"/>
          <w:szCs w:val="24"/>
          <w:lang w:val="cs-CZ"/>
        </w:rPr>
        <w:t>y</w:t>
      </w:r>
      <w:r w:rsidRPr="00AC26F2">
        <w:rPr>
          <w:rFonts w:asciiTheme="minorHAnsi" w:hAnsiTheme="minorHAnsi"/>
          <w:szCs w:val="24"/>
        </w:rPr>
        <w:t xml:space="preserve"> obcí</w:t>
      </w:r>
      <w:r w:rsidRPr="00AC26F2">
        <w:rPr>
          <w:rFonts w:asciiTheme="minorHAnsi" w:hAnsiTheme="minorHAnsi" w:cs="Calibri"/>
          <w:szCs w:val="24"/>
          <w:lang w:val="cs-CZ"/>
        </w:rPr>
        <w:t>)</w:t>
      </w:r>
      <w:r w:rsidRPr="00AC26F2">
        <w:rPr>
          <w:rFonts w:asciiTheme="minorHAnsi" w:hAnsiTheme="minorHAnsi" w:cs="Calibri"/>
          <w:szCs w:val="24"/>
        </w:rPr>
        <w:t xml:space="preserve">. </w:t>
      </w:r>
      <w:r w:rsidR="00F65092" w:rsidRPr="00AC26F2">
        <w:rPr>
          <w:rFonts w:asciiTheme="minorHAnsi" w:hAnsiTheme="minorHAnsi"/>
          <w:lang w:val="cs-CZ"/>
        </w:rPr>
        <w:t xml:space="preserve">Pro tvorbu rozpočtu, jeho schvalování, hospodaření dle schváleného rozpočtu, jeho změny a předložení závěrečného účtu platí zákonem stanovená </w:t>
      </w:r>
      <w:r w:rsidR="00F65092" w:rsidRPr="00AC26F2">
        <w:rPr>
          <w:rFonts w:asciiTheme="minorHAnsi" w:hAnsiTheme="minorHAnsi"/>
          <w:b/>
          <w:lang w:val="cs-CZ"/>
        </w:rPr>
        <w:t>rozpočtová pravidla</w:t>
      </w:r>
      <w:r w:rsidR="00F65092" w:rsidRPr="00AC26F2">
        <w:rPr>
          <w:rFonts w:asciiTheme="minorHAnsi" w:hAnsiTheme="minorHAnsi"/>
          <w:lang w:val="cs-CZ"/>
        </w:rPr>
        <w:t xml:space="preserve"> (v platném znění):</w:t>
      </w:r>
    </w:p>
    <w:p w14:paraId="6F938457" w14:textId="4DD603E1" w:rsidR="00F65092" w:rsidRPr="00BE59E0" w:rsidRDefault="00F65092" w:rsidP="0065698B">
      <w:pPr>
        <w:pStyle w:val="A1-text"/>
        <w:numPr>
          <w:ilvl w:val="0"/>
          <w:numId w:val="19"/>
        </w:numPr>
        <w:spacing w:after="0"/>
        <w:rPr>
          <w:rFonts w:asciiTheme="minorHAnsi" w:hAnsiTheme="minorHAnsi"/>
          <w:lang w:val="cs-CZ"/>
        </w:rPr>
      </w:pPr>
      <w:r w:rsidRPr="00AC26F2">
        <w:rPr>
          <w:rFonts w:asciiTheme="minorHAnsi" w:hAnsiTheme="minorHAnsi"/>
          <w:lang w:val="cs-CZ"/>
        </w:rPr>
        <w:lastRenderedPageBreak/>
        <w:t>Pro obce a kraje</w:t>
      </w:r>
      <w:r w:rsidR="001654A4">
        <w:rPr>
          <w:rFonts w:asciiTheme="minorHAnsi" w:hAnsiTheme="minorHAnsi"/>
          <w:lang w:val="cs-CZ"/>
        </w:rPr>
        <w:t xml:space="preserve"> (a jejich organizace)</w:t>
      </w:r>
      <w:r w:rsidRPr="00AC26F2">
        <w:rPr>
          <w:rFonts w:asciiTheme="minorHAnsi" w:hAnsiTheme="minorHAnsi"/>
          <w:lang w:val="cs-CZ"/>
        </w:rPr>
        <w:t xml:space="preserve"> jde o </w:t>
      </w:r>
      <w:r w:rsidRPr="00BE59E0">
        <w:rPr>
          <w:rFonts w:asciiTheme="minorHAnsi" w:hAnsiTheme="minorHAnsi"/>
          <w:lang w:val="cs-CZ"/>
        </w:rPr>
        <w:t>zákon č.250/2000 Sb., o rozpočtových pravidlech územních rozpočtů</w:t>
      </w:r>
      <w:r w:rsidR="002E6C86">
        <w:rPr>
          <w:rStyle w:val="Znakapoznpodarou"/>
          <w:rFonts w:asciiTheme="minorHAnsi" w:hAnsiTheme="minorHAnsi"/>
          <w:lang w:val="cs-CZ"/>
        </w:rPr>
        <w:footnoteReference w:id="20"/>
      </w:r>
      <w:r w:rsidR="002E6C86">
        <w:rPr>
          <w:rFonts w:asciiTheme="minorHAnsi" w:hAnsiTheme="minorHAnsi"/>
          <w:lang w:val="cs-CZ"/>
        </w:rPr>
        <w:t>.</w:t>
      </w:r>
    </w:p>
    <w:p w14:paraId="0948F87E" w14:textId="7E654724" w:rsidR="00F65092" w:rsidRDefault="00F65092" w:rsidP="0065698B">
      <w:pPr>
        <w:pStyle w:val="A1-text"/>
        <w:numPr>
          <w:ilvl w:val="0"/>
          <w:numId w:val="19"/>
        </w:numPr>
        <w:spacing w:after="0"/>
        <w:ind w:left="357" w:hanging="357"/>
        <w:rPr>
          <w:rFonts w:asciiTheme="minorHAnsi" w:hAnsiTheme="minorHAnsi"/>
          <w:lang w:val="cs-CZ"/>
        </w:rPr>
      </w:pPr>
      <w:r w:rsidRPr="00AC26F2">
        <w:rPr>
          <w:rFonts w:asciiTheme="minorHAnsi" w:hAnsiTheme="minorHAnsi"/>
          <w:lang w:val="cs-CZ"/>
        </w:rPr>
        <w:t xml:space="preserve">Pro stát (ministerstva, organizační složky státu, </w:t>
      </w:r>
      <w:r w:rsidR="001654A4">
        <w:rPr>
          <w:rFonts w:asciiTheme="minorHAnsi" w:hAnsiTheme="minorHAnsi"/>
          <w:lang w:val="cs-CZ"/>
        </w:rPr>
        <w:t xml:space="preserve">státní </w:t>
      </w:r>
      <w:r w:rsidRPr="00AC26F2">
        <w:rPr>
          <w:rFonts w:asciiTheme="minorHAnsi" w:hAnsiTheme="minorHAnsi"/>
          <w:lang w:val="cs-CZ"/>
        </w:rPr>
        <w:t xml:space="preserve">příspěvkové organizace atd.) platí zákon č. </w:t>
      </w:r>
      <w:r w:rsidRPr="00BE59E0">
        <w:rPr>
          <w:rFonts w:asciiTheme="minorHAnsi" w:hAnsiTheme="minorHAnsi"/>
          <w:lang w:val="cs-CZ"/>
        </w:rPr>
        <w:t>218/2000 Sb., zákon o rozpočtových pravidlech</w:t>
      </w:r>
      <w:r w:rsidRPr="00AC26F2">
        <w:rPr>
          <w:rFonts w:asciiTheme="minorHAnsi" w:hAnsiTheme="minorHAnsi"/>
          <w:lang w:val="cs-CZ"/>
        </w:rPr>
        <w:t xml:space="preserve"> (též je důležitý zákon č. 219/2000 Sb., o majetku České republiky a jejím vystupování v právních vztazích)</w:t>
      </w:r>
      <w:r w:rsidR="002E6C86">
        <w:rPr>
          <w:rStyle w:val="Znakapoznpodarou"/>
          <w:rFonts w:asciiTheme="minorHAnsi" w:hAnsiTheme="minorHAnsi"/>
          <w:lang w:val="cs-CZ"/>
        </w:rPr>
        <w:footnoteReference w:id="21"/>
      </w:r>
      <w:r w:rsidRPr="00AC26F2">
        <w:rPr>
          <w:rFonts w:asciiTheme="minorHAnsi" w:hAnsiTheme="minorHAnsi"/>
          <w:lang w:val="cs-CZ"/>
        </w:rPr>
        <w:t>.</w:t>
      </w:r>
    </w:p>
    <w:p w14:paraId="7D75F086" w14:textId="0C73D395" w:rsidR="00691099" w:rsidRPr="00691099" w:rsidRDefault="00E16037" w:rsidP="00691099">
      <w:pPr>
        <w:pStyle w:val="Zkladntext"/>
        <w:spacing w:after="0"/>
        <w:rPr>
          <w:rFonts w:asciiTheme="minorHAnsi" w:hAnsiTheme="minorHAnsi" w:cstheme="minorHAnsi"/>
          <w:lang w:val="cs-CZ"/>
        </w:rPr>
      </w:pPr>
      <w:r>
        <w:rPr>
          <w:rFonts w:asciiTheme="minorHAnsi" w:hAnsiTheme="minorHAnsi" w:cs="Calibri"/>
          <w:szCs w:val="24"/>
          <w:lang w:val="cs-CZ"/>
        </w:rPr>
        <w:t xml:space="preserve">Tato legislativa se zabývá </w:t>
      </w:r>
      <w:r w:rsidRPr="001C63FB">
        <w:rPr>
          <w:rFonts w:asciiTheme="minorHAnsi" w:hAnsiTheme="minorHAnsi" w:cs="Calibri"/>
          <w:b/>
          <w:szCs w:val="24"/>
          <w:lang w:val="cs-CZ"/>
        </w:rPr>
        <w:t>tvorbou rozpočtu instituce</w:t>
      </w:r>
      <w:r>
        <w:rPr>
          <w:rFonts w:asciiTheme="minorHAnsi" w:hAnsiTheme="minorHAnsi" w:cs="Calibri"/>
          <w:szCs w:val="24"/>
          <w:lang w:val="cs-CZ"/>
        </w:rPr>
        <w:t xml:space="preserve"> (např. ministerstva, obce, kraje, příspěvkové organizace a podobně) nebo rozpočtu státu jako celku. </w:t>
      </w:r>
      <w:r w:rsidR="00691099">
        <w:rPr>
          <w:rFonts w:asciiTheme="minorHAnsi" w:hAnsiTheme="minorHAnsi" w:cs="Calibri"/>
          <w:szCs w:val="24"/>
          <w:lang w:val="cs-CZ"/>
        </w:rPr>
        <w:t>Problematika financování konkrétních projektů, činností nebo aktivit je součástí rozpočtu dané instituce. Rozpočet veřejných strategií není v legislativě řešen, respekt</w:t>
      </w:r>
      <w:r w:rsidR="009F0A7C">
        <w:rPr>
          <w:rFonts w:asciiTheme="minorHAnsi" w:hAnsiTheme="minorHAnsi" w:cs="Calibri"/>
          <w:szCs w:val="24"/>
          <w:lang w:val="cs-CZ"/>
        </w:rPr>
        <w:t>ive</w:t>
      </w:r>
      <w:r w:rsidR="00691099">
        <w:rPr>
          <w:rFonts w:asciiTheme="minorHAnsi" w:hAnsiTheme="minorHAnsi" w:cs="Calibri"/>
          <w:szCs w:val="24"/>
          <w:lang w:val="cs-CZ"/>
        </w:rPr>
        <w:t xml:space="preserve"> stejně jako rozpočet konkrétních projektů, činností nebo aktivit je součástí rozpočtu dané instituce. </w:t>
      </w:r>
      <w:r w:rsidR="00AF09C7">
        <w:rPr>
          <w:rFonts w:asciiTheme="minorHAnsi" w:hAnsiTheme="minorHAnsi" w:cs="Calibri"/>
          <w:szCs w:val="24"/>
          <w:lang w:val="cs-CZ"/>
        </w:rPr>
        <w:t xml:space="preserve">Pro financování investičních projektů ze státního rozpočtu </w:t>
      </w:r>
      <w:r>
        <w:rPr>
          <w:rFonts w:asciiTheme="minorHAnsi" w:hAnsiTheme="minorHAnsi" w:cs="Calibri"/>
          <w:szCs w:val="24"/>
          <w:lang w:val="cs-CZ"/>
        </w:rPr>
        <w:t xml:space="preserve">používá stát </w:t>
      </w:r>
      <w:r w:rsidRPr="00691099">
        <w:rPr>
          <w:rFonts w:asciiTheme="minorHAnsi" w:hAnsiTheme="minorHAnsi" w:cs="Calibri"/>
          <w:b/>
          <w:szCs w:val="24"/>
          <w:lang w:val="cs-CZ"/>
        </w:rPr>
        <w:t>programové financování</w:t>
      </w:r>
      <w:r w:rsidR="00AF09C7">
        <w:rPr>
          <w:rStyle w:val="Znakapoznpodarou"/>
          <w:rFonts w:asciiTheme="minorHAnsi" w:hAnsiTheme="minorHAnsi" w:cs="Calibri"/>
          <w:szCs w:val="24"/>
          <w:lang w:val="cs-CZ"/>
        </w:rPr>
        <w:footnoteReference w:id="22"/>
      </w:r>
      <w:r>
        <w:rPr>
          <w:rFonts w:asciiTheme="minorHAnsi" w:hAnsiTheme="minorHAnsi" w:cs="Calibri"/>
          <w:szCs w:val="24"/>
          <w:lang w:val="cs-CZ"/>
        </w:rPr>
        <w:t xml:space="preserve">. </w:t>
      </w:r>
      <w:r w:rsidR="00691099">
        <w:rPr>
          <w:rFonts w:asciiTheme="minorHAnsi" w:hAnsiTheme="minorHAnsi" w:cs="Calibri"/>
          <w:szCs w:val="24"/>
          <w:lang w:val="cs-CZ"/>
        </w:rPr>
        <w:t>Pro programové financování využívá Ministerstvo financí „Informační s</w:t>
      </w:r>
      <w:r w:rsidR="00691099" w:rsidRPr="00691099">
        <w:rPr>
          <w:rFonts w:asciiTheme="minorHAnsi" w:hAnsiTheme="minorHAnsi" w:cs="Calibri"/>
          <w:szCs w:val="24"/>
          <w:lang w:val="cs-CZ"/>
        </w:rPr>
        <w:t>ystém programového financování</w:t>
      </w:r>
      <w:r w:rsidR="00691099">
        <w:rPr>
          <w:rFonts w:asciiTheme="minorHAnsi" w:hAnsiTheme="minorHAnsi" w:cs="Calibri"/>
          <w:szCs w:val="24"/>
          <w:lang w:val="cs-CZ"/>
        </w:rPr>
        <w:t xml:space="preserve">“ (zkratka ISPROFIN). </w:t>
      </w:r>
      <w:r w:rsidR="00691099" w:rsidRPr="00691099">
        <w:rPr>
          <w:rFonts w:asciiTheme="minorHAnsi" w:hAnsiTheme="minorHAnsi" w:cstheme="minorHAnsi"/>
        </w:rPr>
        <w:t>Programové financování je ro</w:t>
      </w:r>
      <w:r w:rsidR="00691099">
        <w:rPr>
          <w:rFonts w:asciiTheme="minorHAnsi" w:hAnsiTheme="minorHAnsi" w:cstheme="minorHAnsi"/>
        </w:rPr>
        <w:t>zděleno na dvě samostatné části</w:t>
      </w:r>
      <w:r w:rsidR="00691099">
        <w:rPr>
          <w:rFonts w:asciiTheme="minorHAnsi" w:hAnsiTheme="minorHAnsi" w:cstheme="minorHAnsi"/>
          <w:lang w:val="cs-CZ"/>
        </w:rPr>
        <w:t>:</w:t>
      </w:r>
    </w:p>
    <w:p w14:paraId="30993B98" w14:textId="04901C9F" w:rsidR="00691099" w:rsidRPr="00691099" w:rsidRDefault="00691099" w:rsidP="0065698B">
      <w:pPr>
        <w:pStyle w:val="A1-text"/>
        <w:numPr>
          <w:ilvl w:val="0"/>
          <w:numId w:val="25"/>
        </w:numPr>
        <w:spacing w:after="0"/>
        <w:rPr>
          <w:rFonts w:asciiTheme="minorHAnsi" w:hAnsiTheme="minorHAnsi" w:cstheme="minorHAnsi"/>
        </w:rPr>
      </w:pPr>
      <w:r w:rsidRPr="00691099">
        <w:rPr>
          <w:rFonts w:asciiTheme="minorHAnsi" w:hAnsiTheme="minorHAnsi" w:cstheme="minorHAnsi"/>
        </w:rPr>
        <w:t>Správa majetku ve vlastnictví státu</w:t>
      </w:r>
      <w:r>
        <w:rPr>
          <w:rStyle w:val="Znakapoznpodarou"/>
          <w:rFonts w:asciiTheme="minorHAnsi" w:hAnsiTheme="minorHAnsi" w:cstheme="minorHAnsi"/>
        </w:rPr>
        <w:footnoteReference w:id="23"/>
      </w:r>
      <w:r>
        <w:rPr>
          <w:rFonts w:asciiTheme="minorHAnsi" w:hAnsiTheme="minorHAnsi" w:cstheme="minorHAnsi"/>
          <w:lang w:val="cs-CZ"/>
        </w:rPr>
        <w:t xml:space="preserve"> – používá se zkratka</w:t>
      </w:r>
      <w:r w:rsidRPr="00691099">
        <w:rPr>
          <w:rFonts w:asciiTheme="minorHAnsi" w:hAnsiTheme="minorHAnsi" w:cstheme="minorHAnsi"/>
        </w:rPr>
        <w:t xml:space="preserve"> SMVS </w:t>
      </w:r>
      <w:r>
        <w:rPr>
          <w:rFonts w:asciiTheme="minorHAnsi" w:hAnsiTheme="minorHAnsi" w:cstheme="minorHAnsi"/>
          <w:lang w:val="cs-CZ"/>
        </w:rPr>
        <w:t>(respektive</w:t>
      </w:r>
      <w:r w:rsidRPr="00691099">
        <w:rPr>
          <w:rFonts w:asciiTheme="minorHAnsi" w:hAnsiTheme="minorHAnsi" w:cstheme="minorHAnsi"/>
        </w:rPr>
        <w:t xml:space="preserve"> </w:t>
      </w:r>
      <w:r>
        <w:rPr>
          <w:rFonts w:asciiTheme="minorHAnsi" w:hAnsiTheme="minorHAnsi" w:cstheme="minorHAnsi"/>
          <w:lang w:val="cs-CZ"/>
        </w:rPr>
        <w:t xml:space="preserve"> </w:t>
      </w:r>
      <w:r w:rsidRPr="00691099">
        <w:rPr>
          <w:rFonts w:asciiTheme="minorHAnsi" w:hAnsiTheme="minorHAnsi" w:cstheme="minorHAnsi"/>
        </w:rPr>
        <w:t>SMVS / ISPROFIN</w:t>
      </w:r>
      <w:r>
        <w:rPr>
          <w:rFonts w:asciiTheme="minorHAnsi" w:hAnsiTheme="minorHAnsi" w:cstheme="minorHAnsi"/>
          <w:lang w:val="cs-CZ"/>
        </w:rPr>
        <w:t>).</w:t>
      </w:r>
    </w:p>
    <w:p w14:paraId="018FF3E4" w14:textId="23327A83" w:rsidR="00691099" w:rsidRPr="00691099" w:rsidRDefault="00691099" w:rsidP="0065698B">
      <w:pPr>
        <w:pStyle w:val="A1-text"/>
        <w:numPr>
          <w:ilvl w:val="0"/>
          <w:numId w:val="25"/>
        </w:numPr>
        <w:spacing w:after="0"/>
        <w:rPr>
          <w:rFonts w:asciiTheme="minorHAnsi" w:hAnsiTheme="minorHAnsi" w:cstheme="minorHAnsi"/>
          <w:color w:val="202124"/>
          <w:shd w:val="clear" w:color="auto" w:fill="FFFFFF"/>
        </w:rPr>
      </w:pPr>
      <w:r w:rsidRPr="00691099">
        <w:rPr>
          <w:rFonts w:asciiTheme="minorHAnsi" w:hAnsiTheme="minorHAnsi" w:cstheme="minorHAnsi"/>
        </w:rPr>
        <w:t xml:space="preserve">Evidenční dotační systém </w:t>
      </w:r>
      <w:r>
        <w:rPr>
          <w:rFonts w:asciiTheme="minorHAnsi" w:hAnsiTheme="minorHAnsi" w:cstheme="minorHAnsi"/>
          <w:lang w:val="cs-CZ"/>
        </w:rPr>
        <w:t>– používá se zkratka</w:t>
      </w:r>
      <w:r>
        <w:rPr>
          <w:rFonts w:asciiTheme="minorHAnsi" w:hAnsiTheme="minorHAnsi" w:cstheme="minorHAnsi"/>
        </w:rPr>
        <w:t xml:space="preserve"> </w:t>
      </w:r>
      <w:r w:rsidRPr="00691099">
        <w:rPr>
          <w:rFonts w:asciiTheme="minorHAnsi" w:hAnsiTheme="minorHAnsi" w:cstheme="minorHAnsi"/>
        </w:rPr>
        <w:t xml:space="preserve">EDS </w:t>
      </w:r>
      <w:r>
        <w:rPr>
          <w:rFonts w:asciiTheme="minorHAnsi" w:hAnsiTheme="minorHAnsi" w:cstheme="minorHAnsi"/>
          <w:lang w:val="cs-CZ"/>
        </w:rPr>
        <w:t>(respektive</w:t>
      </w:r>
      <w:r w:rsidRPr="00691099">
        <w:rPr>
          <w:rFonts w:asciiTheme="minorHAnsi" w:hAnsiTheme="minorHAnsi" w:cstheme="minorHAnsi"/>
        </w:rPr>
        <w:t xml:space="preserve"> </w:t>
      </w:r>
      <w:r>
        <w:rPr>
          <w:rFonts w:asciiTheme="minorHAnsi" w:hAnsiTheme="minorHAnsi" w:cstheme="minorHAnsi"/>
          <w:lang w:val="cs-CZ"/>
        </w:rPr>
        <w:t xml:space="preserve"> </w:t>
      </w:r>
      <w:r w:rsidRPr="00691099">
        <w:rPr>
          <w:rFonts w:asciiTheme="minorHAnsi" w:hAnsiTheme="minorHAnsi" w:cstheme="minorHAnsi"/>
        </w:rPr>
        <w:t>EDS / ISPROFIN</w:t>
      </w:r>
      <w:r>
        <w:rPr>
          <w:rFonts w:asciiTheme="minorHAnsi" w:hAnsiTheme="minorHAnsi" w:cstheme="minorHAnsi"/>
          <w:lang w:val="cs-CZ"/>
        </w:rPr>
        <w:t>).</w:t>
      </w:r>
    </w:p>
    <w:p w14:paraId="174070C4" w14:textId="721F72F4" w:rsidR="00766276" w:rsidRPr="00766276" w:rsidRDefault="00B526CD" w:rsidP="00F46863">
      <w:pPr>
        <w:pStyle w:val="Zkladntext3"/>
        <w:spacing w:after="0" w:line="360" w:lineRule="auto"/>
        <w:jc w:val="both"/>
        <w:rPr>
          <w:rFonts w:asciiTheme="minorHAnsi" w:eastAsia="Calibri" w:hAnsiTheme="minorHAnsi" w:cstheme="minorHAnsi"/>
          <w:iCs/>
          <w:sz w:val="24"/>
          <w:szCs w:val="24"/>
        </w:rPr>
      </w:pPr>
      <w:r>
        <w:rPr>
          <w:rFonts w:asciiTheme="minorHAnsi" w:eastAsia="Calibri" w:hAnsiTheme="minorHAnsi" w:cstheme="minorHAnsi"/>
          <w:iCs/>
          <w:sz w:val="24"/>
          <w:szCs w:val="24"/>
        </w:rPr>
        <w:t xml:space="preserve">Z hlediska strategické práce je důležité znát, na jaké období se rozpočty připravují. To zachycuje následující tabulka. </w:t>
      </w:r>
    </w:p>
    <w:p w14:paraId="35556E1E" w14:textId="66440951" w:rsidR="008D5953" w:rsidRDefault="001504B9" w:rsidP="00F46863">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Tab.</w:t>
      </w:r>
      <w:r w:rsidR="00081FD0">
        <w:rPr>
          <w:rFonts w:asciiTheme="minorHAnsi" w:eastAsia="Calibri" w:hAnsiTheme="minorHAnsi" w:cstheme="minorHAnsi"/>
          <w:i/>
          <w:iCs/>
          <w:sz w:val="24"/>
          <w:szCs w:val="24"/>
        </w:rPr>
        <w:t xml:space="preserve"> 4</w:t>
      </w:r>
      <w:r>
        <w:rPr>
          <w:rFonts w:asciiTheme="minorHAnsi" w:eastAsia="Calibri" w:hAnsiTheme="minorHAnsi" w:cstheme="minorHAnsi"/>
          <w:i/>
          <w:iCs/>
          <w:sz w:val="24"/>
          <w:szCs w:val="24"/>
        </w:rPr>
        <w:t xml:space="preserve"> Sestavování rozpočtu státu, samospráv, EU</w:t>
      </w:r>
    </w:p>
    <w:tbl>
      <w:tblPr>
        <w:tblStyle w:val="Mkatabulky"/>
        <w:tblW w:w="0" w:type="auto"/>
        <w:tblLook w:val="04A0" w:firstRow="1" w:lastRow="0" w:firstColumn="1" w:lastColumn="0" w:noHBand="0" w:noVBand="1"/>
      </w:tblPr>
      <w:tblGrid>
        <w:gridCol w:w="1413"/>
        <w:gridCol w:w="7603"/>
      </w:tblGrid>
      <w:tr w:rsidR="001504B9" w:rsidRPr="001504B9" w14:paraId="079DC17E" w14:textId="77777777" w:rsidTr="00637480">
        <w:tc>
          <w:tcPr>
            <w:tcW w:w="1413" w:type="dxa"/>
            <w:shd w:val="clear" w:color="auto" w:fill="F2F2F2" w:themeFill="background1" w:themeFillShade="F2"/>
          </w:tcPr>
          <w:p w14:paraId="570BEF20" w14:textId="77777777"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p>
        </w:tc>
        <w:tc>
          <w:tcPr>
            <w:tcW w:w="7603" w:type="dxa"/>
            <w:shd w:val="clear" w:color="auto" w:fill="F2F2F2" w:themeFill="background1" w:themeFillShade="F2"/>
          </w:tcPr>
          <w:p w14:paraId="7FE176F6" w14:textId="4919DDE3"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Rozpočet je sestavován</w:t>
            </w:r>
          </w:p>
        </w:tc>
      </w:tr>
      <w:tr w:rsidR="001504B9" w:rsidRPr="001504B9" w14:paraId="093B8941" w14:textId="77777777" w:rsidTr="00637480">
        <w:tc>
          <w:tcPr>
            <w:tcW w:w="1413" w:type="dxa"/>
            <w:shd w:val="clear" w:color="auto" w:fill="F2F2F2" w:themeFill="background1" w:themeFillShade="F2"/>
          </w:tcPr>
          <w:p w14:paraId="4A14B7A5" w14:textId="1EE01A27"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stát</w:t>
            </w:r>
          </w:p>
        </w:tc>
        <w:tc>
          <w:tcPr>
            <w:tcW w:w="7603" w:type="dxa"/>
          </w:tcPr>
          <w:p w14:paraId="17D6099D" w14:textId="7F975756"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Na následující rok a dva další roky</w:t>
            </w:r>
          </w:p>
        </w:tc>
      </w:tr>
      <w:tr w:rsidR="001504B9" w:rsidRPr="001504B9" w14:paraId="69AECB84" w14:textId="77777777" w:rsidTr="00637480">
        <w:tc>
          <w:tcPr>
            <w:tcW w:w="1413" w:type="dxa"/>
            <w:shd w:val="clear" w:color="auto" w:fill="F2F2F2" w:themeFill="background1" w:themeFillShade="F2"/>
          </w:tcPr>
          <w:p w14:paraId="4C0D4573" w14:textId="293A28BC"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obec / kraj</w:t>
            </w:r>
          </w:p>
        </w:tc>
        <w:tc>
          <w:tcPr>
            <w:tcW w:w="7603" w:type="dxa"/>
          </w:tcPr>
          <w:p w14:paraId="342E2784" w14:textId="0D7066CC"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Na následující rok s využitím rozpočtového výhledu (výhled se sestavuje na 2-5 let)</w:t>
            </w:r>
          </w:p>
        </w:tc>
      </w:tr>
      <w:tr w:rsidR="001504B9" w:rsidRPr="001504B9" w14:paraId="0DD5801F" w14:textId="77777777" w:rsidTr="00637480">
        <w:tc>
          <w:tcPr>
            <w:tcW w:w="1413" w:type="dxa"/>
            <w:shd w:val="clear" w:color="auto" w:fill="F2F2F2" w:themeFill="background1" w:themeFillShade="F2"/>
          </w:tcPr>
          <w:p w14:paraId="71C27B9D" w14:textId="671D9234"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EU</w:t>
            </w:r>
          </w:p>
        </w:tc>
        <w:tc>
          <w:tcPr>
            <w:tcW w:w="7603" w:type="dxa"/>
          </w:tcPr>
          <w:p w14:paraId="4D0D2F1E" w14:textId="172991A2" w:rsidR="001504B9" w:rsidRPr="001504B9" w:rsidRDefault="001504B9" w:rsidP="00766276">
            <w:pPr>
              <w:pStyle w:val="Zkladntext3"/>
              <w:spacing w:after="0"/>
              <w:ind w:left="-57" w:right="-57"/>
              <w:jc w:val="both"/>
              <w:rPr>
                <w:rFonts w:asciiTheme="minorHAnsi" w:eastAsia="Calibri" w:hAnsiTheme="minorHAnsi" w:cstheme="minorHAnsi"/>
                <w:iCs/>
                <w:sz w:val="22"/>
                <w:szCs w:val="24"/>
              </w:rPr>
            </w:pPr>
            <w:r>
              <w:rPr>
                <w:rFonts w:asciiTheme="minorHAnsi" w:eastAsia="Calibri" w:hAnsiTheme="minorHAnsi" w:cstheme="minorHAnsi"/>
                <w:iCs/>
                <w:sz w:val="22"/>
                <w:szCs w:val="24"/>
              </w:rPr>
              <w:t>Na následující rok podle sedmiletého rozpočtového rámce</w:t>
            </w:r>
          </w:p>
        </w:tc>
      </w:tr>
    </w:tbl>
    <w:p w14:paraId="0491AE73" w14:textId="17EB4910" w:rsidR="001504B9" w:rsidRDefault="001504B9" w:rsidP="00F46863">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Zdroj: autoři</w:t>
      </w:r>
    </w:p>
    <w:p w14:paraId="385EB01F" w14:textId="4A1C7DFC" w:rsidR="00D318F5" w:rsidRDefault="0050111B" w:rsidP="00CE121B">
      <w:pPr>
        <w:pStyle w:val="A1-text"/>
        <w:spacing w:after="0"/>
        <w:rPr>
          <w:rFonts w:asciiTheme="minorHAnsi" w:eastAsia="Calibri" w:hAnsiTheme="minorHAnsi" w:cstheme="minorHAnsi"/>
          <w:iCs/>
        </w:rPr>
      </w:pPr>
      <w:r w:rsidRPr="0050111B">
        <w:rPr>
          <w:rFonts w:asciiTheme="minorHAnsi" w:hAnsiTheme="minorHAnsi" w:cstheme="minorHAnsi"/>
          <w:lang w:val="cs-CZ"/>
        </w:rPr>
        <w:t xml:space="preserve">Pro porozumění struktury rozpočtu je též významné znát </w:t>
      </w:r>
      <w:r w:rsidRPr="0050111B">
        <w:rPr>
          <w:rFonts w:asciiTheme="minorHAnsi" w:hAnsiTheme="minorHAnsi" w:cstheme="minorHAnsi"/>
          <w:b/>
          <w:lang w:val="cs-CZ"/>
        </w:rPr>
        <w:t>skladbu rozpočtu</w:t>
      </w:r>
      <w:r w:rsidRPr="0050111B">
        <w:rPr>
          <w:rFonts w:asciiTheme="minorHAnsi" w:hAnsiTheme="minorHAnsi" w:cstheme="minorHAnsi"/>
          <w:lang w:val="cs-CZ"/>
        </w:rPr>
        <w:t>. Ta je popsána ve vyhlášce č. 412 / 2021 o rozpočtové skladbě</w:t>
      </w:r>
      <w:r w:rsidRPr="0050111B">
        <w:rPr>
          <w:rStyle w:val="Znakapoznpodarou"/>
          <w:rFonts w:asciiTheme="minorHAnsi" w:hAnsiTheme="minorHAnsi" w:cstheme="minorHAnsi"/>
          <w:lang w:val="cs-CZ"/>
        </w:rPr>
        <w:footnoteReference w:id="24"/>
      </w:r>
      <w:r w:rsidRPr="0050111B">
        <w:rPr>
          <w:rFonts w:asciiTheme="minorHAnsi" w:hAnsiTheme="minorHAnsi" w:cstheme="minorHAnsi"/>
          <w:lang w:val="cs-CZ"/>
        </w:rPr>
        <w:t xml:space="preserve">. Vyhláška obsahuje 12 různých třídění příjmů nebo výdajů, velmi důležité </w:t>
      </w:r>
      <w:r>
        <w:rPr>
          <w:rFonts w:asciiTheme="minorHAnsi" w:hAnsiTheme="minorHAnsi" w:cstheme="minorHAnsi"/>
          <w:lang w:val="cs-CZ"/>
        </w:rPr>
        <w:t xml:space="preserve">pro strategickou práci </w:t>
      </w:r>
      <w:r w:rsidR="00CE121B">
        <w:rPr>
          <w:rFonts w:asciiTheme="minorHAnsi" w:hAnsiTheme="minorHAnsi" w:cstheme="minorHAnsi"/>
          <w:lang w:val="cs-CZ"/>
        </w:rPr>
        <w:t xml:space="preserve">je (1) </w:t>
      </w:r>
      <w:r w:rsidRPr="001C63FB">
        <w:rPr>
          <w:rFonts w:asciiTheme="minorHAnsi" w:hAnsiTheme="minorHAnsi" w:cstheme="minorHAnsi"/>
          <w:b/>
        </w:rPr>
        <w:t>Odpovědnostní</w:t>
      </w:r>
      <w:r w:rsidRPr="001C63FB">
        <w:rPr>
          <w:rFonts w:asciiTheme="minorHAnsi" w:hAnsiTheme="minorHAnsi" w:cstheme="minorHAnsi"/>
          <w:b/>
          <w:lang w:val="cs-CZ"/>
        </w:rPr>
        <w:t xml:space="preserve"> třídění</w:t>
      </w:r>
      <w:r w:rsidRPr="0050111B">
        <w:rPr>
          <w:rFonts w:asciiTheme="minorHAnsi" w:hAnsiTheme="minorHAnsi" w:cstheme="minorHAnsi"/>
        </w:rPr>
        <w:t xml:space="preserve"> - z hlediska </w:t>
      </w:r>
      <w:r w:rsidRPr="0050111B">
        <w:rPr>
          <w:rFonts w:asciiTheme="minorHAnsi" w:hAnsiTheme="minorHAnsi" w:cstheme="minorHAnsi"/>
        </w:rPr>
        <w:lastRenderedPageBreak/>
        <w:t xml:space="preserve">příslušnosti příjmů a výdajů do působnosti ústředního orgánu státní správy nebo organizační složky státu se samostatně projednávaným rozpočtem, </w:t>
      </w:r>
      <w:r w:rsidR="00CE121B">
        <w:rPr>
          <w:rFonts w:asciiTheme="minorHAnsi" w:hAnsiTheme="minorHAnsi" w:cstheme="minorHAnsi"/>
          <w:lang w:val="cs-CZ"/>
        </w:rPr>
        <w:t xml:space="preserve">(2) </w:t>
      </w:r>
      <w:r w:rsidRPr="001C63FB">
        <w:rPr>
          <w:rFonts w:asciiTheme="minorHAnsi" w:hAnsiTheme="minorHAnsi" w:cstheme="minorHAnsi"/>
          <w:b/>
          <w:lang w:val="cs-CZ"/>
        </w:rPr>
        <w:t>Druhové třídění</w:t>
      </w:r>
      <w:r>
        <w:rPr>
          <w:rFonts w:asciiTheme="minorHAnsi" w:hAnsiTheme="minorHAnsi" w:cstheme="minorHAnsi"/>
          <w:lang w:val="cs-CZ"/>
        </w:rPr>
        <w:t xml:space="preserve"> - z</w:t>
      </w:r>
      <w:r w:rsidRPr="0050111B">
        <w:rPr>
          <w:rFonts w:asciiTheme="minorHAnsi" w:hAnsiTheme="minorHAnsi" w:cstheme="minorHAnsi"/>
        </w:rPr>
        <w:t xml:space="preserve"> hlediska druhu právního n</w:t>
      </w:r>
      <w:r>
        <w:rPr>
          <w:rFonts w:asciiTheme="minorHAnsi" w:hAnsiTheme="minorHAnsi" w:cstheme="minorHAnsi"/>
        </w:rPr>
        <w:t xml:space="preserve">ebo ekonomického důvodu příjmů </w:t>
      </w:r>
      <w:r w:rsidR="00BF1BDE">
        <w:rPr>
          <w:rFonts w:asciiTheme="minorHAnsi" w:hAnsiTheme="minorHAnsi" w:cstheme="minorHAnsi"/>
          <w:lang w:val="cs-CZ"/>
        </w:rPr>
        <w:t>a</w:t>
      </w:r>
      <w:r>
        <w:rPr>
          <w:rFonts w:asciiTheme="minorHAnsi" w:hAnsiTheme="minorHAnsi" w:cstheme="minorHAnsi"/>
        </w:rPr>
        <w:t xml:space="preserve"> </w:t>
      </w:r>
      <w:r w:rsidR="00BF1BDE">
        <w:rPr>
          <w:rFonts w:asciiTheme="minorHAnsi" w:hAnsiTheme="minorHAnsi" w:cstheme="minorHAnsi"/>
        </w:rPr>
        <w:t>výdajů</w:t>
      </w:r>
      <w:r w:rsidR="00CE121B">
        <w:rPr>
          <w:rFonts w:asciiTheme="minorHAnsi" w:hAnsiTheme="minorHAnsi" w:cstheme="minorHAnsi"/>
          <w:lang w:val="cs-CZ"/>
        </w:rPr>
        <w:t xml:space="preserve">, (3) </w:t>
      </w:r>
      <w:r w:rsidRPr="001C63FB">
        <w:rPr>
          <w:rFonts w:asciiTheme="minorHAnsi" w:hAnsiTheme="minorHAnsi" w:cstheme="minorHAnsi"/>
          <w:b/>
          <w:lang w:val="cs-CZ"/>
        </w:rPr>
        <w:t>Odvětvové třídění</w:t>
      </w:r>
      <w:r>
        <w:rPr>
          <w:rFonts w:asciiTheme="minorHAnsi" w:hAnsiTheme="minorHAnsi" w:cstheme="minorHAnsi"/>
          <w:lang w:val="cs-CZ"/>
        </w:rPr>
        <w:t xml:space="preserve"> -</w:t>
      </w:r>
      <w:r w:rsidRPr="0050111B">
        <w:rPr>
          <w:rFonts w:asciiTheme="minorHAnsi" w:hAnsiTheme="minorHAnsi" w:cstheme="minorHAnsi"/>
        </w:rPr>
        <w:t xml:space="preserve"> z hlediska činnosti, z níž příjmy plynou a na niž jsou výdaje vynakládány</w:t>
      </w:r>
      <w:r>
        <w:rPr>
          <w:rFonts w:asciiTheme="minorHAnsi" w:hAnsiTheme="minorHAnsi" w:cstheme="minorHAnsi"/>
          <w:lang w:val="cs-CZ"/>
        </w:rPr>
        <w:t>.</w:t>
      </w:r>
      <w:r w:rsidR="00CE121B">
        <w:rPr>
          <w:rFonts w:asciiTheme="minorHAnsi" w:hAnsiTheme="minorHAnsi" w:cstheme="minorHAnsi"/>
          <w:lang w:val="cs-CZ"/>
        </w:rPr>
        <w:t xml:space="preserve"> Více je problematika popsána v kapitole 5.3. </w:t>
      </w:r>
      <w:r w:rsidR="002C3C0B">
        <w:rPr>
          <w:rFonts w:asciiTheme="minorHAnsi" w:eastAsia="Calibri" w:hAnsiTheme="minorHAnsi" w:cstheme="minorHAnsi"/>
          <w:iCs/>
        </w:rPr>
        <w:t>V databázi MONITOR</w:t>
      </w:r>
      <w:r w:rsidR="002C3C0B">
        <w:rPr>
          <w:rStyle w:val="Znakapoznpodarou"/>
          <w:rFonts w:asciiTheme="minorHAnsi" w:eastAsia="Calibri" w:hAnsiTheme="minorHAnsi" w:cstheme="minorHAnsi"/>
          <w:iCs/>
        </w:rPr>
        <w:footnoteReference w:id="25"/>
      </w:r>
      <w:r w:rsidR="002C3C0B">
        <w:rPr>
          <w:rFonts w:asciiTheme="minorHAnsi" w:eastAsia="Calibri" w:hAnsiTheme="minorHAnsi" w:cstheme="minorHAnsi"/>
          <w:iCs/>
        </w:rPr>
        <w:t xml:space="preserve"> jsou k dispozici data členěna dle druhového, odpovědnostního nebo odvětvového členění.</w:t>
      </w:r>
    </w:p>
    <w:p w14:paraId="7FAD4765" w14:textId="57D85762" w:rsidR="00BF1BDE" w:rsidRDefault="00BF1BDE" w:rsidP="00F46863">
      <w:pPr>
        <w:pStyle w:val="Zkladntext3"/>
        <w:spacing w:after="0" w:line="360" w:lineRule="auto"/>
        <w:jc w:val="both"/>
        <w:rPr>
          <w:rFonts w:asciiTheme="minorHAnsi" w:eastAsia="Calibri" w:hAnsiTheme="minorHAnsi" w:cstheme="minorHAnsi"/>
          <w:iCs/>
          <w:sz w:val="24"/>
          <w:szCs w:val="24"/>
        </w:rPr>
      </w:pPr>
    </w:p>
    <w:p w14:paraId="0DA3CF91" w14:textId="59895944" w:rsidR="004B09B5" w:rsidRDefault="004B09B5" w:rsidP="004B09B5">
      <w:pPr>
        <w:pStyle w:val="Nadpis2"/>
        <w:spacing w:before="240" w:after="120"/>
        <w:ind w:left="578" w:hanging="578"/>
        <w:rPr>
          <w:rFonts w:asciiTheme="minorHAnsi" w:hAnsiTheme="minorHAnsi" w:cstheme="minorHAnsi"/>
          <w:color w:val="7493B0"/>
          <w:sz w:val="24"/>
          <w:szCs w:val="24"/>
          <w:lang w:val="cs-CZ"/>
        </w:rPr>
      </w:pPr>
      <w:bookmarkStart w:id="14" w:name="_Toc117269987"/>
      <w:r w:rsidRPr="004B09B5">
        <w:rPr>
          <w:rFonts w:asciiTheme="minorHAnsi" w:hAnsiTheme="minorHAnsi" w:cstheme="minorHAnsi"/>
          <w:color w:val="7493B0"/>
          <w:sz w:val="24"/>
          <w:szCs w:val="24"/>
          <w:lang w:val="cs-CZ"/>
        </w:rPr>
        <w:t xml:space="preserve">Rozpočtování dle Metodiky </w:t>
      </w:r>
      <w:r w:rsidR="00382A05">
        <w:rPr>
          <w:rFonts w:asciiTheme="minorHAnsi" w:hAnsiTheme="minorHAnsi" w:cstheme="minorHAnsi"/>
          <w:color w:val="7493B0"/>
          <w:sz w:val="24"/>
          <w:szCs w:val="24"/>
          <w:lang w:val="cs-CZ"/>
        </w:rPr>
        <w:t>přípravy v</w:t>
      </w:r>
      <w:r w:rsidRPr="004B09B5">
        <w:rPr>
          <w:rFonts w:asciiTheme="minorHAnsi" w:hAnsiTheme="minorHAnsi" w:cstheme="minorHAnsi"/>
          <w:color w:val="7493B0"/>
          <w:sz w:val="24"/>
          <w:szCs w:val="24"/>
          <w:lang w:val="cs-CZ"/>
        </w:rPr>
        <w:t>eřejných strategií</w:t>
      </w:r>
      <w:bookmarkEnd w:id="14"/>
    </w:p>
    <w:p w14:paraId="5CB09E33" w14:textId="27F4EBFF" w:rsidR="006E4001" w:rsidRDefault="0019775D" w:rsidP="00382A05">
      <w:pPr>
        <w:jc w:val="both"/>
        <w:rPr>
          <w:rFonts w:asciiTheme="minorHAnsi" w:hAnsiTheme="minorHAnsi" w:cstheme="minorHAnsi"/>
        </w:rPr>
      </w:pPr>
      <w:r>
        <w:rPr>
          <w:rFonts w:asciiTheme="minorHAnsi" w:hAnsiTheme="minorHAnsi" w:cstheme="minorHAnsi"/>
        </w:rPr>
        <w:t>Pro přípravu, tvorbu a schvalování veřejných strategií je na národní úrovni schválena „</w:t>
      </w:r>
      <w:r w:rsidRPr="001D6ECB">
        <w:rPr>
          <w:rFonts w:asciiTheme="minorHAnsi" w:hAnsiTheme="minorHAnsi" w:cstheme="minorHAnsi"/>
          <w:b/>
        </w:rPr>
        <w:t xml:space="preserve">Metodika </w:t>
      </w:r>
      <w:r w:rsidR="00382A05">
        <w:rPr>
          <w:rFonts w:asciiTheme="minorHAnsi" w:hAnsiTheme="minorHAnsi" w:cstheme="minorHAnsi"/>
          <w:b/>
        </w:rPr>
        <w:t>přípravy</w:t>
      </w:r>
      <w:r w:rsidRPr="001D6ECB">
        <w:rPr>
          <w:rFonts w:asciiTheme="minorHAnsi" w:hAnsiTheme="minorHAnsi" w:cstheme="minorHAnsi"/>
          <w:b/>
        </w:rPr>
        <w:t xml:space="preserve"> veřejných strategií</w:t>
      </w:r>
      <w:r>
        <w:rPr>
          <w:rFonts w:asciiTheme="minorHAnsi" w:hAnsiTheme="minorHAnsi" w:cstheme="minorHAnsi"/>
        </w:rPr>
        <w:t>“</w:t>
      </w:r>
      <w:r>
        <w:rPr>
          <w:rStyle w:val="Znakapoznpodarou"/>
          <w:rFonts w:asciiTheme="minorHAnsi" w:hAnsiTheme="minorHAnsi" w:cstheme="minorHAnsi"/>
        </w:rPr>
        <w:footnoteReference w:id="26"/>
      </w:r>
      <w:r>
        <w:rPr>
          <w:rFonts w:asciiTheme="minorHAnsi" w:hAnsiTheme="minorHAnsi" w:cstheme="minorHAnsi"/>
        </w:rPr>
        <w:t xml:space="preserve">.  </w:t>
      </w:r>
      <w:r w:rsidR="00D26183" w:rsidRPr="00D26183">
        <w:rPr>
          <w:rFonts w:asciiTheme="minorHAnsi" w:hAnsiTheme="minorHAnsi" w:cstheme="minorHAnsi"/>
        </w:rPr>
        <w:t xml:space="preserve">Jednotlivé fáze přípravy veřejné strategie jsou na následujícím obrázku. </w:t>
      </w:r>
      <w:r w:rsidR="00D26183">
        <w:rPr>
          <w:rFonts w:asciiTheme="minorHAnsi" w:hAnsiTheme="minorHAnsi" w:cstheme="minorHAnsi"/>
        </w:rPr>
        <w:t xml:space="preserve">Z hlediska rozpočtu strategie je klíčová fáze 6, ve které je </w:t>
      </w:r>
      <w:r w:rsidR="00175722">
        <w:rPr>
          <w:rFonts w:asciiTheme="minorHAnsi" w:hAnsiTheme="minorHAnsi" w:cstheme="minorHAnsi"/>
        </w:rPr>
        <w:t xml:space="preserve">řešeno </w:t>
      </w:r>
      <w:r w:rsidR="00D26183">
        <w:rPr>
          <w:rFonts w:asciiTheme="minorHAnsi" w:hAnsiTheme="minorHAnsi" w:cstheme="minorHAnsi"/>
        </w:rPr>
        <w:t xml:space="preserve">financování </w:t>
      </w:r>
      <w:r w:rsidR="00175722">
        <w:rPr>
          <w:rFonts w:asciiTheme="minorHAnsi" w:hAnsiTheme="minorHAnsi" w:cstheme="minorHAnsi"/>
        </w:rPr>
        <w:t xml:space="preserve">implementace </w:t>
      </w:r>
      <w:r w:rsidR="00D26183">
        <w:rPr>
          <w:rFonts w:asciiTheme="minorHAnsi" w:hAnsiTheme="minorHAnsi" w:cstheme="minorHAnsi"/>
        </w:rPr>
        <w:t xml:space="preserve"> strategie.</w:t>
      </w:r>
    </w:p>
    <w:p w14:paraId="43A06EEE" w14:textId="15F2373D" w:rsidR="006E4001" w:rsidRDefault="00D26183" w:rsidP="004B09B5">
      <w:r w:rsidRPr="00C14739">
        <w:rPr>
          <w:rFonts w:asciiTheme="minorHAnsi" w:hAnsiTheme="minorHAnsi" w:cstheme="minorHAnsi"/>
          <w:i/>
        </w:rPr>
        <w:t xml:space="preserve">Obr. </w:t>
      </w:r>
      <w:r w:rsidR="00257449">
        <w:rPr>
          <w:rFonts w:asciiTheme="minorHAnsi" w:hAnsiTheme="minorHAnsi" w:cstheme="minorHAnsi"/>
          <w:i/>
        </w:rPr>
        <w:t>11</w:t>
      </w:r>
      <w:r w:rsidR="004F0E1D" w:rsidRPr="00C14739">
        <w:rPr>
          <w:rFonts w:asciiTheme="minorHAnsi" w:hAnsiTheme="minorHAnsi" w:cstheme="minorHAnsi"/>
          <w:i/>
        </w:rPr>
        <w:t xml:space="preserve"> </w:t>
      </w:r>
      <w:r w:rsidRPr="00C14739">
        <w:rPr>
          <w:rFonts w:asciiTheme="minorHAnsi" w:hAnsiTheme="minorHAnsi" w:cstheme="minorHAnsi"/>
          <w:i/>
        </w:rPr>
        <w:t xml:space="preserve">Fáze </w:t>
      </w:r>
      <w:r w:rsidR="00382A05" w:rsidRPr="00C14739">
        <w:rPr>
          <w:rFonts w:asciiTheme="minorHAnsi" w:hAnsiTheme="minorHAnsi" w:cstheme="minorHAnsi"/>
          <w:i/>
        </w:rPr>
        <w:t>přípravy</w:t>
      </w:r>
      <w:r w:rsidRPr="00C14739">
        <w:rPr>
          <w:rFonts w:asciiTheme="minorHAnsi" w:hAnsiTheme="minorHAnsi" w:cstheme="minorHAnsi"/>
          <w:i/>
        </w:rPr>
        <w:t xml:space="preserve"> veřejné strategie</w:t>
      </w:r>
      <w:r>
        <w:rPr>
          <w:rFonts w:asciiTheme="minorHAnsi" w:hAnsiTheme="minorHAnsi" w:cstheme="minorHAnsi"/>
        </w:rPr>
        <w:t xml:space="preserve"> </w:t>
      </w:r>
      <w:r w:rsidR="006E4001" w:rsidRPr="006E4001">
        <w:rPr>
          <w:noProof/>
        </w:rPr>
        <w:drawing>
          <wp:inline distT="0" distB="0" distL="0" distR="0" wp14:anchorId="7DF3EE1F" wp14:editId="1D4C67EB">
            <wp:extent cx="5994780" cy="1690487"/>
            <wp:effectExtent l="0" t="0" r="6350" b="5080"/>
            <wp:docPr id="3787" name="Obrázek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704" t="32177" r="12940" b="27538"/>
                    <a:stretch/>
                  </pic:blipFill>
                  <pic:spPr bwMode="auto">
                    <a:xfrm>
                      <a:off x="0" y="0"/>
                      <a:ext cx="6021126" cy="1697917"/>
                    </a:xfrm>
                    <a:prstGeom prst="rect">
                      <a:avLst/>
                    </a:prstGeom>
                    <a:ln>
                      <a:noFill/>
                    </a:ln>
                    <a:extLst>
                      <a:ext uri="{53640926-AAD7-44D8-BBD7-CCE9431645EC}">
                        <a14:shadowObscured xmlns:a14="http://schemas.microsoft.com/office/drawing/2010/main"/>
                      </a:ext>
                    </a:extLst>
                  </pic:spPr>
                </pic:pic>
              </a:graphicData>
            </a:graphic>
          </wp:inline>
        </w:drawing>
      </w:r>
    </w:p>
    <w:p w14:paraId="1AFC4436" w14:textId="1C0B5BA8" w:rsidR="006E4001" w:rsidRPr="00C14739" w:rsidRDefault="00D26183" w:rsidP="004B09B5">
      <w:pPr>
        <w:rPr>
          <w:rFonts w:asciiTheme="minorHAnsi" w:hAnsiTheme="minorHAnsi" w:cstheme="minorHAnsi"/>
          <w:i/>
        </w:rPr>
      </w:pPr>
      <w:r w:rsidRPr="00C14739">
        <w:rPr>
          <w:rFonts w:asciiTheme="minorHAnsi" w:hAnsiTheme="minorHAnsi" w:cstheme="minorHAnsi"/>
          <w:i/>
        </w:rPr>
        <w:t>Zdroj: MMR (2019)</w:t>
      </w:r>
    </w:p>
    <w:p w14:paraId="7F57E926" w14:textId="77777777" w:rsidR="00C245B9" w:rsidRDefault="00C245B9" w:rsidP="005A5B33">
      <w:pPr>
        <w:jc w:val="both"/>
        <w:rPr>
          <w:rFonts w:asciiTheme="minorHAnsi" w:hAnsiTheme="minorHAnsi" w:cstheme="minorHAnsi"/>
        </w:rPr>
      </w:pPr>
    </w:p>
    <w:p w14:paraId="7AC7F3ED" w14:textId="429C4034" w:rsidR="00D26183" w:rsidRDefault="0065698B" w:rsidP="005A5B33">
      <w:pPr>
        <w:jc w:val="both"/>
        <w:rPr>
          <w:rFonts w:asciiTheme="minorHAnsi" w:hAnsiTheme="minorHAnsi" w:cstheme="minorHAnsi"/>
        </w:rPr>
      </w:pPr>
      <w:r>
        <w:rPr>
          <w:rFonts w:asciiTheme="minorHAnsi" w:hAnsiTheme="minorHAnsi" w:cstheme="minorHAnsi"/>
        </w:rPr>
        <w:t>J</w:t>
      </w:r>
      <w:r w:rsidR="00D26183">
        <w:rPr>
          <w:rFonts w:asciiTheme="minorHAnsi" w:hAnsiTheme="minorHAnsi" w:cstheme="minorHAnsi"/>
        </w:rPr>
        <w:t>ak ukazuje následující tabulka, z hlediska odhadu výdajů a příjmů</w:t>
      </w:r>
      <w:r w:rsidR="00A16616">
        <w:rPr>
          <w:rFonts w:asciiTheme="minorHAnsi" w:hAnsiTheme="minorHAnsi" w:cstheme="minorHAnsi"/>
        </w:rPr>
        <w:t xml:space="preserve"> jsou důležité fáze:</w:t>
      </w:r>
    </w:p>
    <w:p w14:paraId="62788FFD" w14:textId="6A836725" w:rsidR="005A5B33" w:rsidRDefault="005A5B33" w:rsidP="0065698B">
      <w:pPr>
        <w:pStyle w:val="Odstavecseseznamem"/>
        <w:numPr>
          <w:ilvl w:val="0"/>
          <w:numId w:val="19"/>
        </w:numPr>
        <w:jc w:val="both"/>
        <w:rPr>
          <w:rFonts w:asciiTheme="minorHAnsi" w:hAnsiTheme="minorHAnsi" w:cstheme="minorHAnsi"/>
        </w:rPr>
      </w:pPr>
      <w:r w:rsidRPr="005A5B33">
        <w:rPr>
          <w:rFonts w:asciiTheme="minorHAnsi" w:hAnsiTheme="minorHAnsi" w:cstheme="minorHAnsi"/>
        </w:rPr>
        <w:t xml:space="preserve">Ve fázi 1 se sestavuje rozpočet pro </w:t>
      </w:r>
      <w:r>
        <w:rPr>
          <w:rFonts w:asciiTheme="minorHAnsi" w:hAnsiTheme="minorHAnsi" w:cstheme="minorHAnsi"/>
        </w:rPr>
        <w:t>tuto fázi a součástí vstupní zprávy je též orientační rozpočet  tvorby strategie.</w:t>
      </w:r>
    </w:p>
    <w:p w14:paraId="3039B034" w14:textId="6DD347E3" w:rsidR="008F20B1" w:rsidRDefault="005A5B33" w:rsidP="0065698B">
      <w:pPr>
        <w:pStyle w:val="Odstavecseseznamem"/>
        <w:numPr>
          <w:ilvl w:val="0"/>
          <w:numId w:val="19"/>
        </w:numPr>
        <w:jc w:val="both"/>
        <w:rPr>
          <w:rFonts w:asciiTheme="minorHAnsi" w:eastAsia="Calibri" w:hAnsiTheme="minorHAnsi" w:cstheme="minorHAnsi"/>
          <w:iCs/>
        </w:rPr>
      </w:pPr>
      <w:r w:rsidRPr="00CA2944">
        <w:rPr>
          <w:rFonts w:asciiTheme="minorHAnsi" w:hAnsiTheme="minorHAnsi" w:cstheme="minorHAnsi"/>
        </w:rPr>
        <w:t>Ve fázi 2 se sestavuje rozpočet  tvorby strategie.</w:t>
      </w:r>
      <w:r w:rsidR="008F20B1" w:rsidRPr="00CA2944">
        <w:rPr>
          <w:rFonts w:asciiTheme="minorHAnsi" w:hAnsiTheme="minorHAnsi" w:cstheme="minorHAnsi"/>
        </w:rPr>
        <w:t xml:space="preserve"> </w:t>
      </w:r>
      <w:r w:rsidR="00CA2944">
        <w:rPr>
          <w:rFonts w:asciiTheme="minorHAnsi" w:eastAsia="Calibri" w:hAnsiTheme="minorHAnsi" w:cstheme="minorHAnsi"/>
          <w:iCs/>
        </w:rPr>
        <w:t>.</w:t>
      </w:r>
    </w:p>
    <w:p w14:paraId="6A9AE1E3" w14:textId="4EC31A9C" w:rsidR="00227F17" w:rsidRPr="00CA2944" w:rsidRDefault="00227F17" w:rsidP="0065698B">
      <w:pPr>
        <w:pStyle w:val="Odstavecseseznamem"/>
        <w:numPr>
          <w:ilvl w:val="0"/>
          <w:numId w:val="19"/>
        </w:numPr>
        <w:jc w:val="both"/>
        <w:rPr>
          <w:rFonts w:asciiTheme="minorHAnsi" w:eastAsia="Calibri" w:hAnsiTheme="minorHAnsi" w:cstheme="minorHAnsi"/>
          <w:iCs/>
        </w:rPr>
      </w:pPr>
      <w:r>
        <w:rPr>
          <w:rFonts w:asciiTheme="minorHAnsi" w:eastAsia="Calibri" w:hAnsiTheme="minorHAnsi" w:cstheme="minorHAnsi"/>
          <w:iCs/>
        </w:rPr>
        <w:t>Ve fázi 4 se provádí analýza nákladů a přínosů jednotlivých variant strategických cílů.</w:t>
      </w:r>
    </w:p>
    <w:p w14:paraId="726E8477" w14:textId="2DE0AA57" w:rsidR="005A5B33" w:rsidRDefault="005A5B33" w:rsidP="0065698B">
      <w:pPr>
        <w:pStyle w:val="Odstavecseseznamem"/>
        <w:numPr>
          <w:ilvl w:val="0"/>
          <w:numId w:val="19"/>
        </w:numPr>
        <w:jc w:val="both"/>
        <w:rPr>
          <w:rFonts w:asciiTheme="minorHAnsi" w:hAnsiTheme="minorHAnsi" w:cstheme="minorHAnsi"/>
        </w:rPr>
      </w:pPr>
      <w:r w:rsidRPr="005A5B33">
        <w:rPr>
          <w:rFonts w:asciiTheme="minorHAnsi" w:hAnsiTheme="minorHAnsi" w:cstheme="minorHAnsi"/>
        </w:rPr>
        <w:t xml:space="preserve">Ve fázi 5 se odhadují náklady jednotlivých </w:t>
      </w:r>
      <w:r w:rsidR="00227F17">
        <w:rPr>
          <w:rFonts w:asciiTheme="minorHAnsi" w:hAnsiTheme="minorHAnsi" w:cstheme="minorHAnsi"/>
        </w:rPr>
        <w:t xml:space="preserve">cílů a </w:t>
      </w:r>
      <w:r w:rsidRPr="005A5B33">
        <w:rPr>
          <w:rFonts w:asciiTheme="minorHAnsi" w:hAnsiTheme="minorHAnsi" w:cstheme="minorHAnsi"/>
        </w:rPr>
        <w:t xml:space="preserve">opatření. </w:t>
      </w:r>
      <w:r>
        <w:rPr>
          <w:rFonts w:asciiTheme="minorHAnsi" w:hAnsiTheme="minorHAnsi" w:cstheme="minorHAnsi"/>
        </w:rPr>
        <w:t xml:space="preserve">Výstupem této fáze je </w:t>
      </w:r>
      <w:r w:rsidRPr="005A5B33">
        <w:rPr>
          <w:rFonts w:asciiTheme="minorHAnsi" w:hAnsiTheme="minorHAnsi" w:cstheme="minorHAnsi"/>
        </w:rPr>
        <w:t>hrubý odhad nákladů realizace strategie</w:t>
      </w:r>
      <w:r>
        <w:rPr>
          <w:rFonts w:asciiTheme="minorHAnsi" w:hAnsiTheme="minorHAnsi" w:cstheme="minorHAnsi"/>
        </w:rPr>
        <w:t>.</w:t>
      </w:r>
    </w:p>
    <w:p w14:paraId="160DF80F" w14:textId="607BDD1C" w:rsidR="00C245B9" w:rsidRDefault="0065698B" w:rsidP="0065698B">
      <w:pPr>
        <w:pStyle w:val="Odstavecseseznamem"/>
        <w:numPr>
          <w:ilvl w:val="0"/>
          <w:numId w:val="19"/>
        </w:numPr>
        <w:jc w:val="both"/>
        <w:rPr>
          <w:rFonts w:asciiTheme="minorHAnsi" w:hAnsiTheme="minorHAnsi" w:cstheme="minorHAnsi"/>
        </w:rPr>
      </w:pPr>
      <w:r w:rsidRPr="0065698B">
        <w:rPr>
          <w:rFonts w:asciiTheme="minorHAnsi" w:hAnsiTheme="minorHAnsi" w:cstheme="minorHAnsi"/>
        </w:rPr>
        <w:t xml:space="preserve">Ve fázi 6 se </w:t>
      </w:r>
      <w:r w:rsidR="00CE32DC" w:rsidRPr="0065698B">
        <w:rPr>
          <w:rFonts w:asciiTheme="minorHAnsi" w:hAnsiTheme="minorHAnsi" w:cstheme="minorHAnsi"/>
        </w:rPr>
        <w:t>sestav</w:t>
      </w:r>
      <w:r w:rsidR="00CE32DC">
        <w:rPr>
          <w:rFonts w:asciiTheme="minorHAnsi" w:hAnsiTheme="minorHAnsi" w:cstheme="minorHAnsi"/>
        </w:rPr>
        <w:t>uje</w:t>
      </w:r>
      <w:r w:rsidRPr="0065698B">
        <w:rPr>
          <w:rFonts w:asciiTheme="minorHAnsi" w:hAnsiTheme="minorHAnsi" w:cstheme="minorHAnsi"/>
        </w:rPr>
        <w:t xml:space="preserve"> rozpoč</w:t>
      </w:r>
      <w:r w:rsidR="003C3A7C">
        <w:rPr>
          <w:rFonts w:asciiTheme="minorHAnsi" w:hAnsiTheme="minorHAnsi" w:cstheme="minorHAnsi"/>
        </w:rPr>
        <w:t xml:space="preserve">et </w:t>
      </w:r>
      <w:r w:rsidRPr="0065698B">
        <w:rPr>
          <w:rFonts w:asciiTheme="minorHAnsi" w:hAnsiTheme="minorHAnsi" w:cstheme="minorHAnsi"/>
        </w:rPr>
        <w:t xml:space="preserve"> implementace strategie</w:t>
      </w:r>
      <w:r w:rsidR="003C3A7C">
        <w:rPr>
          <w:rFonts w:asciiTheme="minorHAnsi" w:hAnsiTheme="minorHAnsi" w:cstheme="minorHAnsi"/>
        </w:rPr>
        <w:t>.</w:t>
      </w:r>
      <w:r>
        <w:rPr>
          <w:rFonts w:asciiTheme="minorHAnsi" w:hAnsiTheme="minorHAnsi" w:cstheme="minorHAnsi"/>
        </w:rPr>
        <w:t xml:space="preserve"> </w:t>
      </w:r>
    </w:p>
    <w:p w14:paraId="4D2FC5F1" w14:textId="4A27274C" w:rsidR="009E37C5" w:rsidRPr="005A5B33" w:rsidRDefault="00DF7CA2" w:rsidP="009E37C5">
      <w:pPr>
        <w:rPr>
          <w:rFonts w:asciiTheme="minorHAnsi" w:hAnsiTheme="minorHAnsi" w:cstheme="minorHAnsi"/>
          <w:i/>
        </w:rPr>
      </w:pPr>
      <w:r w:rsidRPr="005A5B33">
        <w:rPr>
          <w:rFonts w:asciiTheme="minorHAnsi" w:hAnsiTheme="minorHAnsi" w:cstheme="minorHAnsi"/>
          <w:i/>
        </w:rPr>
        <w:lastRenderedPageBreak/>
        <w:t>Tab.</w:t>
      </w:r>
      <w:r w:rsidR="004F0E1D">
        <w:rPr>
          <w:rFonts w:asciiTheme="minorHAnsi" w:hAnsiTheme="minorHAnsi" w:cstheme="minorHAnsi"/>
          <w:i/>
        </w:rPr>
        <w:t xml:space="preserve"> 5</w:t>
      </w:r>
      <w:r w:rsidRPr="005A5B33">
        <w:rPr>
          <w:rFonts w:asciiTheme="minorHAnsi" w:hAnsiTheme="minorHAnsi" w:cstheme="minorHAnsi"/>
          <w:i/>
        </w:rPr>
        <w:t xml:space="preserve"> Vazba jednotlivých fází přípravy strategie na tvorbu rozpočtu nebo odhad </w:t>
      </w:r>
      <w:r w:rsidR="003748DF">
        <w:rPr>
          <w:rFonts w:asciiTheme="minorHAnsi" w:hAnsiTheme="minorHAnsi" w:cstheme="minorHAnsi"/>
          <w:i/>
        </w:rPr>
        <w:t>výdajů</w:t>
      </w:r>
    </w:p>
    <w:tbl>
      <w:tblPr>
        <w:tblStyle w:val="Mkatabulky"/>
        <w:tblW w:w="0" w:type="auto"/>
        <w:tblLook w:val="04A0" w:firstRow="1" w:lastRow="0" w:firstColumn="1" w:lastColumn="0" w:noHBand="0" w:noVBand="1"/>
      </w:tblPr>
      <w:tblGrid>
        <w:gridCol w:w="1517"/>
        <w:gridCol w:w="1880"/>
        <w:gridCol w:w="5619"/>
      </w:tblGrid>
      <w:tr w:rsidR="009E37C5" w:rsidRPr="00F20B74" w14:paraId="4EEB36B9" w14:textId="77777777" w:rsidTr="00CE286C">
        <w:tc>
          <w:tcPr>
            <w:tcW w:w="1517" w:type="dxa"/>
            <w:vAlign w:val="center"/>
          </w:tcPr>
          <w:p w14:paraId="52BA395D" w14:textId="3A631EFB" w:rsidR="009E37C5" w:rsidRPr="00F20B74" w:rsidRDefault="009E37C5" w:rsidP="00CE286C">
            <w:pPr>
              <w:spacing w:line="240" w:lineRule="auto"/>
              <w:ind w:left="-57" w:right="-57"/>
              <w:rPr>
                <w:rFonts w:asciiTheme="minorHAnsi" w:hAnsiTheme="minorHAnsi" w:cstheme="minorHAnsi"/>
                <w:b/>
                <w:sz w:val="22"/>
                <w:szCs w:val="22"/>
              </w:rPr>
            </w:pPr>
            <w:r w:rsidRPr="00F20B74">
              <w:rPr>
                <w:rFonts w:asciiTheme="minorHAnsi" w:hAnsiTheme="minorHAnsi" w:cstheme="minorHAnsi"/>
                <w:b/>
                <w:sz w:val="22"/>
                <w:szCs w:val="22"/>
              </w:rPr>
              <w:t>Fáze</w:t>
            </w:r>
          </w:p>
        </w:tc>
        <w:tc>
          <w:tcPr>
            <w:tcW w:w="1880" w:type="dxa"/>
            <w:vAlign w:val="center"/>
          </w:tcPr>
          <w:p w14:paraId="4D378811" w14:textId="4B734AB2" w:rsidR="009E37C5" w:rsidRPr="00F20B74" w:rsidRDefault="009E37C5" w:rsidP="00CE286C">
            <w:pPr>
              <w:spacing w:line="240" w:lineRule="auto"/>
              <w:ind w:left="-57" w:right="-57"/>
              <w:rPr>
                <w:rFonts w:asciiTheme="minorHAnsi" w:hAnsiTheme="minorHAnsi" w:cstheme="minorHAnsi"/>
                <w:b/>
                <w:sz w:val="22"/>
                <w:szCs w:val="22"/>
              </w:rPr>
            </w:pPr>
            <w:r w:rsidRPr="00F20B74">
              <w:rPr>
                <w:rFonts w:asciiTheme="minorHAnsi" w:hAnsiTheme="minorHAnsi" w:cstheme="minorHAnsi"/>
                <w:b/>
                <w:sz w:val="22"/>
                <w:szCs w:val="22"/>
              </w:rPr>
              <w:t>Aktivita</w:t>
            </w:r>
          </w:p>
        </w:tc>
        <w:tc>
          <w:tcPr>
            <w:tcW w:w="5619" w:type="dxa"/>
            <w:vAlign w:val="center"/>
          </w:tcPr>
          <w:p w14:paraId="666BC180" w14:textId="381140D0" w:rsidR="009E37C5" w:rsidRPr="00F20B74" w:rsidRDefault="009E37C5" w:rsidP="00CE286C">
            <w:pPr>
              <w:spacing w:line="240" w:lineRule="auto"/>
              <w:ind w:left="-57" w:right="-57"/>
              <w:rPr>
                <w:rFonts w:asciiTheme="minorHAnsi" w:hAnsiTheme="minorHAnsi" w:cstheme="minorHAnsi"/>
                <w:b/>
                <w:sz w:val="22"/>
                <w:szCs w:val="22"/>
              </w:rPr>
            </w:pPr>
            <w:r w:rsidRPr="00F20B74">
              <w:rPr>
                <w:rFonts w:asciiTheme="minorHAnsi" w:hAnsiTheme="minorHAnsi" w:cstheme="minorHAnsi"/>
                <w:b/>
                <w:sz w:val="22"/>
                <w:szCs w:val="22"/>
              </w:rPr>
              <w:t>Krok</w:t>
            </w:r>
            <w:r w:rsidR="00CE286C" w:rsidRPr="00F20B74">
              <w:rPr>
                <w:rFonts w:asciiTheme="minorHAnsi" w:hAnsiTheme="minorHAnsi" w:cstheme="minorHAnsi"/>
                <w:b/>
                <w:sz w:val="22"/>
                <w:szCs w:val="22"/>
              </w:rPr>
              <w:t xml:space="preserve"> – vazba na rozpočtování</w:t>
            </w:r>
          </w:p>
        </w:tc>
      </w:tr>
      <w:tr w:rsidR="00CE286C" w:rsidRPr="008572FB" w14:paraId="7120D3B5" w14:textId="77777777" w:rsidTr="00CE286C">
        <w:tc>
          <w:tcPr>
            <w:tcW w:w="1517" w:type="dxa"/>
            <w:vMerge w:val="restart"/>
            <w:vAlign w:val="center"/>
          </w:tcPr>
          <w:p w14:paraId="4775D7FA" w14:textId="3DC21AE6" w:rsidR="00CE286C" w:rsidRPr="008572FB" w:rsidRDefault="00CE286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Fáze 1</w:t>
            </w:r>
            <w:r w:rsidRPr="008572FB">
              <w:rPr>
                <w:rFonts w:asciiTheme="minorHAnsi" w:hAnsiTheme="minorHAnsi" w:cstheme="minorHAnsi"/>
                <w:sz w:val="22"/>
                <w:szCs w:val="22"/>
              </w:rPr>
              <w:t xml:space="preserve"> – Identifikace potřeby tvorby strategie</w:t>
            </w:r>
          </w:p>
        </w:tc>
        <w:tc>
          <w:tcPr>
            <w:tcW w:w="1880" w:type="dxa"/>
            <w:vAlign w:val="center"/>
          </w:tcPr>
          <w:p w14:paraId="0EEB7687" w14:textId="7C591F14" w:rsidR="00CE286C" w:rsidRPr="008572FB" w:rsidRDefault="00CE286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1:</w:t>
            </w:r>
            <w:r w:rsidRPr="008572FB">
              <w:rPr>
                <w:rFonts w:asciiTheme="minorHAnsi" w:hAnsiTheme="minorHAnsi" w:cstheme="minorHAnsi"/>
                <w:sz w:val="22"/>
                <w:szCs w:val="22"/>
              </w:rPr>
              <w:t xml:space="preserve"> Organizace přípravných prací tvorby strategie</w:t>
            </w:r>
          </w:p>
        </w:tc>
        <w:tc>
          <w:tcPr>
            <w:tcW w:w="5619" w:type="dxa"/>
            <w:vAlign w:val="center"/>
          </w:tcPr>
          <w:p w14:paraId="7A2ED150" w14:textId="60FCE91B" w:rsidR="00CE286C" w:rsidRPr="008572FB" w:rsidRDefault="00CE286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Krok 3: Vytvoření Plánu přípravných prací. Mimo jiné obsahuje také harmonogram a </w:t>
            </w:r>
            <w:r w:rsidRPr="00EC426D">
              <w:rPr>
                <w:rFonts w:asciiTheme="minorHAnsi" w:hAnsiTheme="minorHAnsi" w:cstheme="minorHAnsi"/>
                <w:b/>
                <w:sz w:val="22"/>
                <w:szCs w:val="22"/>
              </w:rPr>
              <w:t>rozpočet fáze identifikace potřeby tvorby strategie</w:t>
            </w:r>
            <w:r w:rsidRPr="008572FB">
              <w:rPr>
                <w:rFonts w:asciiTheme="minorHAnsi" w:hAnsiTheme="minorHAnsi" w:cstheme="minorHAnsi"/>
                <w:sz w:val="22"/>
                <w:szCs w:val="22"/>
              </w:rPr>
              <w:t>, včetně požadavků na personální kapacity všech zapojených aktérů</w:t>
            </w:r>
            <w:r>
              <w:rPr>
                <w:rFonts w:asciiTheme="minorHAnsi" w:hAnsiTheme="minorHAnsi" w:cstheme="minorHAnsi"/>
                <w:sz w:val="22"/>
                <w:szCs w:val="22"/>
              </w:rPr>
              <w:t>.</w:t>
            </w:r>
          </w:p>
        </w:tc>
      </w:tr>
      <w:tr w:rsidR="00CE286C" w:rsidRPr="008572FB" w14:paraId="717885D4" w14:textId="77777777" w:rsidTr="00CE286C">
        <w:tc>
          <w:tcPr>
            <w:tcW w:w="1517" w:type="dxa"/>
            <w:vMerge/>
            <w:vAlign w:val="center"/>
          </w:tcPr>
          <w:p w14:paraId="522A1A80" w14:textId="77777777" w:rsidR="00CE286C" w:rsidRPr="008572FB" w:rsidRDefault="00CE286C" w:rsidP="00CE286C">
            <w:pPr>
              <w:spacing w:line="240" w:lineRule="auto"/>
              <w:ind w:left="-57" w:right="-57"/>
              <w:rPr>
                <w:rFonts w:asciiTheme="minorHAnsi" w:hAnsiTheme="minorHAnsi" w:cstheme="minorHAnsi"/>
                <w:sz w:val="22"/>
                <w:szCs w:val="22"/>
              </w:rPr>
            </w:pPr>
          </w:p>
        </w:tc>
        <w:tc>
          <w:tcPr>
            <w:tcW w:w="1880" w:type="dxa"/>
            <w:vAlign w:val="center"/>
          </w:tcPr>
          <w:p w14:paraId="0CFDB89F" w14:textId="77777777" w:rsidR="00F20B74" w:rsidRDefault="00CE286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6:</w:t>
            </w:r>
            <w:r w:rsidRPr="008572FB">
              <w:rPr>
                <w:rFonts w:asciiTheme="minorHAnsi" w:hAnsiTheme="minorHAnsi" w:cstheme="minorHAnsi"/>
                <w:sz w:val="22"/>
                <w:szCs w:val="22"/>
              </w:rPr>
              <w:t xml:space="preserve"> </w:t>
            </w:r>
          </w:p>
          <w:p w14:paraId="34478C66" w14:textId="0867B0FE" w:rsidR="00CE286C" w:rsidRPr="008572FB" w:rsidRDefault="00CE286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Tvorba a schválení Vstupní zprávy</w:t>
            </w:r>
          </w:p>
        </w:tc>
        <w:tc>
          <w:tcPr>
            <w:tcW w:w="5619" w:type="dxa"/>
            <w:vAlign w:val="center"/>
          </w:tcPr>
          <w:p w14:paraId="7092355C" w14:textId="7FC8606C" w:rsidR="00CE286C" w:rsidRPr="008572FB" w:rsidRDefault="00CE286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Tento dokument obsahuje:</w:t>
            </w:r>
          </w:p>
          <w:p w14:paraId="25F87C6A" w14:textId="77777777" w:rsidR="00CE286C" w:rsidRPr="008572FB" w:rsidRDefault="00CE286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(a) věcnou (odbornou) část shrnující předběžnou vizi zadavatele strategie a klíčová zjištění nabytá v rámci aktivit fáze identifikace potřeby tvorby strategie zaměřených především na sběr dat a realizaci analýz, </w:t>
            </w:r>
          </w:p>
          <w:p w14:paraId="37E1EE1C" w14:textId="39D8EB69" w:rsidR="00CE286C" w:rsidRPr="008572FB" w:rsidRDefault="00CE286C" w:rsidP="00B83081">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(b) projektovou část obsahující základní informace o projektu tvorby strategie, a to včetně analýzy hlavních rizik tvorby strategie a </w:t>
            </w:r>
            <w:r w:rsidRPr="00EC426D">
              <w:rPr>
                <w:rFonts w:asciiTheme="minorHAnsi" w:hAnsiTheme="minorHAnsi" w:cstheme="minorHAnsi"/>
                <w:b/>
                <w:sz w:val="22"/>
                <w:szCs w:val="22"/>
              </w:rPr>
              <w:t xml:space="preserve">rozpočtu </w:t>
            </w:r>
            <w:r>
              <w:rPr>
                <w:rFonts w:asciiTheme="minorHAnsi" w:hAnsiTheme="minorHAnsi" w:cstheme="minorHAnsi"/>
                <w:b/>
                <w:sz w:val="22"/>
                <w:szCs w:val="22"/>
              </w:rPr>
              <w:t xml:space="preserve"> </w:t>
            </w:r>
            <w:r w:rsidRPr="00EC426D">
              <w:rPr>
                <w:rFonts w:asciiTheme="minorHAnsi" w:hAnsiTheme="minorHAnsi" w:cstheme="minorHAnsi"/>
                <w:b/>
                <w:sz w:val="22"/>
                <w:szCs w:val="22"/>
              </w:rPr>
              <w:t>tvorby strategie</w:t>
            </w:r>
            <w:r>
              <w:rPr>
                <w:rFonts w:asciiTheme="minorHAnsi" w:hAnsiTheme="minorHAnsi" w:cstheme="minorHAnsi"/>
                <w:b/>
                <w:sz w:val="22"/>
                <w:szCs w:val="22"/>
              </w:rPr>
              <w:t>.</w:t>
            </w:r>
          </w:p>
        </w:tc>
      </w:tr>
      <w:tr w:rsidR="004B0974" w:rsidRPr="008572FB" w14:paraId="44744379" w14:textId="77777777" w:rsidTr="00CE286C">
        <w:tc>
          <w:tcPr>
            <w:tcW w:w="1517" w:type="dxa"/>
            <w:vAlign w:val="center"/>
          </w:tcPr>
          <w:p w14:paraId="0B196D06" w14:textId="5D28852F" w:rsidR="004B0974" w:rsidRPr="008572FB" w:rsidRDefault="004B0974"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Fáze 2</w:t>
            </w:r>
            <w:r w:rsidRPr="008572FB">
              <w:rPr>
                <w:rFonts w:asciiTheme="minorHAnsi" w:hAnsiTheme="minorHAnsi" w:cstheme="minorHAnsi"/>
                <w:sz w:val="22"/>
                <w:szCs w:val="22"/>
              </w:rPr>
              <w:t xml:space="preserve"> – Nastavení přípravy strategie (projektu)</w:t>
            </w:r>
          </w:p>
        </w:tc>
        <w:tc>
          <w:tcPr>
            <w:tcW w:w="1880" w:type="dxa"/>
            <w:vAlign w:val="center"/>
          </w:tcPr>
          <w:p w14:paraId="69783D25" w14:textId="1333BD3A" w:rsidR="004B0974" w:rsidRPr="008572FB" w:rsidRDefault="004B0974"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2:</w:t>
            </w:r>
            <w:r w:rsidRPr="008572FB">
              <w:rPr>
                <w:rFonts w:asciiTheme="minorHAnsi" w:hAnsiTheme="minorHAnsi" w:cstheme="minorHAnsi"/>
                <w:sz w:val="22"/>
                <w:szCs w:val="22"/>
              </w:rPr>
              <w:t xml:space="preserve"> Vytvoření Plánu tvorby strategie</w:t>
            </w:r>
          </w:p>
        </w:tc>
        <w:tc>
          <w:tcPr>
            <w:tcW w:w="5619" w:type="dxa"/>
            <w:vAlign w:val="center"/>
          </w:tcPr>
          <w:p w14:paraId="44CE9699" w14:textId="3E34A13F" w:rsidR="004B0974" w:rsidRPr="008572FB" w:rsidRDefault="004B0974"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Plán tvorby strategie obsahuje mimo jiné také </w:t>
            </w:r>
            <w:r w:rsidRPr="00EC426D">
              <w:rPr>
                <w:rFonts w:asciiTheme="minorHAnsi" w:hAnsiTheme="minorHAnsi" w:cstheme="minorHAnsi"/>
                <w:b/>
                <w:sz w:val="22"/>
                <w:szCs w:val="22"/>
              </w:rPr>
              <w:t>rozpočet tvorby strategie</w:t>
            </w:r>
            <w:r w:rsidRPr="008572FB">
              <w:rPr>
                <w:rFonts w:asciiTheme="minorHAnsi" w:hAnsiTheme="minorHAnsi" w:cstheme="minorHAnsi"/>
                <w:sz w:val="22"/>
                <w:szCs w:val="22"/>
              </w:rPr>
              <w:t>. V šablonách pro tuto fázi je též možné dohledat šablonu pro „</w:t>
            </w:r>
            <w:r w:rsidRPr="005A5B33">
              <w:rPr>
                <w:rFonts w:asciiTheme="minorHAnsi" w:hAnsiTheme="minorHAnsi" w:cstheme="minorHAnsi"/>
                <w:sz w:val="22"/>
                <w:szCs w:val="22"/>
              </w:rPr>
              <w:t>Rozpočet tvorby strategie</w:t>
            </w:r>
            <w:r w:rsidR="005A5B33">
              <w:rPr>
                <w:rFonts w:asciiTheme="minorHAnsi" w:hAnsiTheme="minorHAnsi" w:cstheme="minorHAnsi"/>
                <w:sz w:val="22"/>
                <w:szCs w:val="22"/>
              </w:rPr>
              <w:t>“</w:t>
            </w:r>
            <w:r w:rsidRPr="008572FB">
              <w:rPr>
                <w:rFonts w:asciiTheme="minorHAnsi" w:hAnsiTheme="minorHAnsi" w:cstheme="minorHAnsi"/>
                <w:sz w:val="22"/>
                <w:szCs w:val="22"/>
              </w:rPr>
              <w:t>.</w:t>
            </w:r>
          </w:p>
        </w:tc>
      </w:tr>
      <w:tr w:rsidR="00296D01" w:rsidRPr="008572FB" w14:paraId="26F4677F" w14:textId="77777777" w:rsidTr="00CE286C">
        <w:tc>
          <w:tcPr>
            <w:tcW w:w="1517" w:type="dxa"/>
            <w:vMerge w:val="restart"/>
            <w:vAlign w:val="center"/>
          </w:tcPr>
          <w:p w14:paraId="0D2EA640" w14:textId="1173297F" w:rsidR="00296D01" w:rsidRDefault="00296D01" w:rsidP="00CE286C">
            <w:pPr>
              <w:spacing w:line="240" w:lineRule="auto"/>
              <w:ind w:left="-57" w:right="-57"/>
              <w:rPr>
                <w:rFonts w:asciiTheme="minorHAnsi" w:hAnsiTheme="minorHAnsi" w:cstheme="minorHAnsi"/>
                <w:sz w:val="22"/>
                <w:szCs w:val="22"/>
              </w:rPr>
            </w:pPr>
            <w:r w:rsidRPr="00CE32DC">
              <w:rPr>
                <w:rFonts w:asciiTheme="minorHAnsi" w:hAnsiTheme="minorHAnsi" w:cstheme="minorHAnsi"/>
                <w:b/>
                <w:sz w:val="22"/>
                <w:szCs w:val="22"/>
              </w:rPr>
              <w:t>Fáze 4</w:t>
            </w:r>
            <w:r>
              <w:rPr>
                <w:rFonts w:asciiTheme="minorHAnsi" w:hAnsiTheme="minorHAnsi" w:cstheme="minorHAnsi"/>
                <w:sz w:val="22"/>
                <w:szCs w:val="22"/>
              </w:rPr>
              <w:t xml:space="preserve"> –</w:t>
            </w:r>
          </w:p>
          <w:p w14:paraId="355719D2" w14:textId="7A1AC458" w:rsidR="00296D01" w:rsidRPr="00CE32DC" w:rsidRDefault="00296D01" w:rsidP="00CE286C">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Stanovení strategického směřování</w:t>
            </w:r>
          </w:p>
        </w:tc>
        <w:tc>
          <w:tcPr>
            <w:tcW w:w="1880" w:type="dxa"/>
            <w:vAlign w:val="center"/>
          </w:tcPr>
          <w:p w14:paraId="361EB689" w14:textId="77777777" w:rsidR="00296D01" w:rsidRDefault="00296D01" w:rsidP="00CE286C">
            <w:pPr>
              <w:spacing w:line="240" w:lineRule="auto"/>
              <w:ind w:left="-57" w:right="-57"/>
              <w:rPr>
                <w:rFonts w:asciiTheme="minorHAnsi" w:hAnsiTheme="minorHAnsi" w:cstheme="minorHAnsi"/>
                <w:b/>
                <w:sz w:val="22"/>
                <w:szCs w:val="22"/>
              </w:rPr>
            </w:pPr>
            <w:r>
              <w:rPr>
                <w:rFonts w:asciiTheme="minorHAnsi" w:hAnsiTheme="minorHAnsi" w:cstheme="minorHAnsi"/>
                <w:b/>
                <w:sz w:val="22"/>
                <w:szCs w:val="22"/>
              </w:rPr>
              <w:t>Aktivita 1:</w:t>
            </w:r>
          </w:p>
          <w:p w14:paraId="69865631" w14:textId="26D28FA3" w:rsidR="00296D01" w:rsidRPr="00CE32DC" w:rsidRDefault="00296D01" w:rsidP="00CE286C">
            <w:pPr>
              <w:spacing w:line="240" w:lineRule="auto"/>
              <w:ind w:left="-57" w:right="-57"/>
              <w:rPr>
                <w:rFonts w:asciiTheme="minorHAnsi" w:hAnsiTheme="minorHAnsi" w:cstheme="minorHAnsi"/>
                <w:sz w:val="22"/>
                <w:szCs w:val="22"/>
              </w:rPr>
            </w:pPr>
            <w:r w:rsidRPr="00CE32DC">
              <w:rPr>
                <w:rFonts w:asciiTheme="minorHAnsi" w:hAnsiTheme="minorHAnsi" w:cstheme="minorHAnsi"/>
                <w:sz w:val="22"/>
                <w:szCs w:val="22"/>
              </w:rPr>
              <w:t xml:space="preserve">Ověření vize, formulace </w:t>
            </w:r>
            <w:r>
              <w:rPr>
                <w:rFonts w:asciiTheme="minorHAnsi" w:hAnsiTheme="minorHAnsi" w:cstheme="minorHAnsi"/>
                <w:sz w:val="22"/>
                <w:szCs w:val="22"/>
              </w:rPr>
              <w:t>globálního cíle, strategických oblastí a variant strategických cílů</w:t>
            </w:r>
          </w:p>
        </w:tc>
        <w:tc>
          <w:tcPr>
            <w:tcW w:w="5619" w:type="dxa"/>
            <w:vAlign w:val="center"/>
          </w:tcPr>
          <w:p w14:paraId="61A58BE3" w14:textId="403BAE37" w:rsidR="00296D01" w:rsidRPr="008572FB" w:rsidRDefault="00296D01" w:rsidP="00C63B1D">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 xml:space="preserve">Krok 2: Sestavení a ohodnocení variant strategických cílů. Je zpracována </w:t>
            </w:r>
            <w:r w:rsidRPr="00CE32DC">
              <w:rPr>
                <w:rFonts w:asciiTheme="minorHAnsi" w:hAnsiTheme="minorHAnsi" w:cstheme="minorHAnsi"/>
                <w:b/>
                <w:sz w:val="22"/>
                <w:szCs w:val="22"/>
              </w:rPr>
              <w:t>analýza nákladů a přínosů jednotlivých variant strategických cílů</w:t>
            </w:r>
            <w:r>
              <w:rPr>
                <w:rFonts w:asciiTheme="minorHAnsi" w:hAnsiTheme="minorHAnsi" w:cstheme="minorHAnsi"/>
                <w:sz w:val="22"/>
                <w:szCs w:val="22"/>
              </w:rPr>
              <w:t xml:space="preserve"> (čeho definované cíle dosáhnou, v jakém čase a </w:t>
            </w:r>
            <w:r w:rsidRPr="00CE32DC">
              <w:rPr>
                <w:rFonts w:asciiTheme="minorHAnsi" w:hAnsiTheme="minorHAnsi" w:cstheme="minorHAnsi"/>
                <w:b/>
                <w:sz w:val="22"/>
                <w:szCs w:val="22"/>
              </w:rPr>
              <w:t>s jakými prostředky, vedlejšími náklady a riziky</w:t>
            </w:r>
            <w:r>
              <w:rPr>
                <w:rFonts w:asciiTheme="minorHAnsi" w:hAnsiTheme="minorHAnsi" w:cstheme="minorHAnsi"/>
                <w:sz w:val="22"/>
                <w:szCs w:val="22"/>
              </w:rPr>
              <w:t xml:space="preserve">).  Mezi hodnotící kritérii jsou i </w:t>
            </w:r>
            <w:r w:rsidRPr="00CE32DC">
              <w:rPr>
                <w:rFonts w:asciiTheme="minorHAnsi" w:hAnsiTheme="minorHAnsi" w:cstheme="minorHAnsi"/>
                <w:b/>
                <w:sz w:val="22"/>
                <w:szCs w:val="22"/>
              </w:rPr>
              <w:t>nákladnost</w:t>
            </w:r>
            <w:r>
              <w:rPr>
                <w:rFonts w:asciiTheme="minorHAnsi" w:hAnsiTheme="minorHAnsi" w:cstheme="minorHAnsi"/>
                <w:sz w:val="22"/>
                <w:szCs w:val="22"/>
              </w:rPr>
              <w:t xml:space="preserve"> a </w:t>
            </w:r>
            <w:r w:rsidRPr="00CE32DC">
              <w:rPr>
                <w:rFonts w:asciiTheme="minorHAnsi" w:hAnsiTheme="minorHAnsi" w:cstheme="minorHAnsi"/>
                <w:b/>
                <w:sz w:val="22"/>
                <w:szCs w:val="22"/>
              </w:rPr>
              <w:t>poměr přínosů a nákladů realizace</w:t>
            </w:r>
            <w:r>
              <w:rPr>
                <w:rFonts w:asciiTheme="minorHAnsi" w:hAnsiTheme="minorHAnsi" w:cstheme="minorHAnsi"/>
                <w:sz w:val="22"/>
                <w:szCs w:val="22"/>
              </w:rPr>
              <w:t>.</w:t>
            </w:r>
          </w:p>
        </w:tc>
      </w:tr>
      <w:tr w:rsidR="00296D01" w:rsidRPr="008572FB" w14:paraId="3CAEBA33" w14:textId="77777777" w:rsidTr="00CE286C">
        <w:tc>
          <w:tcPr>
            <w:tcW w:w="1517" w:type="dxa"/>
            <w:vMerge/>
            <w:vAlign w:val="center"/>
          </w:tcPr>
          <w:p w14:paraId="2861CCF8" w14:textId="77777777" w:rsidR="00296D01" w:rsidRPr="00296D01" w:rsidRDefault="00296D01" w:rsidP="00CE286C">
            <w:pPr>
              <w:spacing w:line="240" w:lineRule="auto"/>
              <w:ind w:left="-57" w:right="-57"/>
              <w:rPr>
                <w:rFonts w:asciiTheme="minorHAnsi" w:hAnsiTheme="minorHAnsi" w:cstheme="minorHAnsi"/>
                <w:b/>
                <w:sz w:val="22"/>
                <w:szCs w:val="22"/>
              </w:rPr>
            </w:pPr>
          </w:p>
        </w:tc>
        <w:tc>
          <w:tcPr>
            <w:tcW w:w="1880" w:type="dxa"/>
            <w:vAlign w:val="center"/>
          </w:tcPr>
          <w:p w14:paraId="4B00FF44" w14:textId="6389CB52" w:rsidR="00296D01" w:rsidRDefault="00296D01" w:rsidP="00CE286C">
            <w:pPr>
              <w:spacing w:line="240" w:lineRule="auto"/>
              <w:ind w:left="-57" w:right="-57"/>
              <w:rPr>
                <w:rFonts w:asciiTheme="minorHAnsi" w:hAnsiTheme="minorHAnsi" w:cstheme="minorHAnsi"/>
                <w:b/>
                <w:sz w:val="22"/>
                <w:szCs w:val="22"/>
              </w:rPr>
            </w:pPr>
            <w:r>
              <w:rPr>
                <w:rFonts w:asciiTheme="minorHAnsi" w:hAnsiTheme="minorHAnsi" w:cstheme="minorHAnsi"/>
                <w:b/>
                <w:sz w:val="22"/>
                <w:szCs w:val="22"/>
              </w:rPr>
              <w:t>Výstup fáze 4</w:t>
            </w:r>
          </w:p>
        </w:tc>
        <w:tc>
          <w:tcPr>
            <w:tcW w:w="5619" w:type="dxa"/>
            <w:vAlign w:val="center"/>
          </w:tcPr>
          <w:p w14:paraId="004D9DE3" w14:textId="3C7FC322" w:rsidR="00296D01" w:rsidRDefault="00296D01" w:rsidP="00C63B1D">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Analýzy nákladů a přínosů definovaných sad strategických cílů</w:t>
            </w:r>
          </w:p>
        </w:tc>
      </w:tr>
      <w:tr w:rsidR="00001C7C" w:rsidRPr="008572FB" w14:paraId="459C34EC" w14:textId="77777777" w:rsidTr="00CE286C">
        <w:tc>
          <w:tcPr>
            <w:tcW w:w="1517" w:type="dxa"/>
            <w:vMerge w:val="restart"/>
            <w:vAlign w:val="center"/>
          </w:tcPr>
          <w:p w14:paraId="03597B85" w14:textId="3690523A" w:rsidR="00001C7C" w:rsidRPr="00296D01" w:rsidRDefault="00001C7C" w:rsidP="00CE286C">
            <w:pPr>
              <w:spacing w:line="240" w:lineRule="auto"/>
              <w:ind w:left="-57" w:right="-57"/>
              <w:rPr>
                <w:rFonts w:asciiTheme="minorHAnsi" w:hAnsiTheme="minorHAnsi" w:cstheme="minorHAnsi"/>
                <w:b/>
                <w:sz w:val="22"/>
                <w:szCs w:val="22"/>
              </w:rPr>
            </w:pPr>
            <w:r w:rsidRPr="00F20B74">
              <w:rPr>
                <w:rFonts w:asciiTheme="minorHAnsi" w:hAnsiTheme="minorHAnsi" w:cstheme="minorHAnsi"/>
                <w:b/>
                <w:sz w:val="22"/>
                <w:szCs w:val="22"/>
              </w:rPr>
              <w:t>Fáze 5</w:t>
            </w:r>
            <w:r w:rsidRPr="008572FB">
              <w:rPr>
                <w:rFonts w:asciiTheme="minorHAnsi" w:hAnsiTheme="minorHAnsi" w:cstheme="minorHAnsi"/>
                <w:sz w:val="22"/>
                <w:szCs w:val="22"/>
              </w:rPr>
              <w:t xml:space="preserve"> – Rozpracování strategie</w:t>
            </w:r>
          </w:p>
        </w:tc>
        <w:tc>
          <w:tcPr>
            <w:tcW w:w="1880" w:type="dxa"/>
            <w:vAlign w:val="center"/>
          </w:tcPr>
          <w:p w14:paraId="67B8F511" w14:textId="77777777" w:rsidR="00001C7C" w:rsidRDefault="00001C7C" w:rsidP="00CE286C">
            <w:pPr>
              <w:spacing w:line="240" w:lineRule="auto"/>
              <w:ind w:left="-57" w:right="-57"/>
              <w:rPr>
                <w:rFonts w:asciiTheme="minorHAnsi" w:hAnsiTheme="minorHAnsi" w:cstheme="minorHAnsi"/>
                <w:b/>
                <w:sz w:val="22"/>
                <w:szCs w:val="22"/>
              </w:rPr>
            </w:pPr>
            <w:r>
              <w:rPr>
                <w:rFonts w:asciiTheme="minorHAnsi" w:hAnsiTheme="minorHAnsi" w:cstheme="minorHAnsi"/>
                <w:b/>
                <w:sz w:val="22"/>
                <w:szCs w:val="22"/>
              </w:rPr>
              <w:t>Aktivita 1:</w:t>
            </w:r>
          </w:p>
          <w:p w14:paraId="1AE43DD6" w14:textId="01D72B23" w:rsidR="00001C7C" w:rsidRPr="00CE32DC" w:rsidRDefault="00001C7C" w:rsidP="00CE286C">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Zpracování dalších úrovní cílů strategie</w:t>
            </w:r>
          </w:p>
        </w:tc>
        <w:tc>
          <w:tcPr>
            <w:tcW w:w="5619" w:type="dxa"/>
            <w:vAlign w:val="center"/>
          </w:tcPr>
          <w:p w14:paraId="3EB7DF57" w14:textId="77777777" w:rsidR="00001C7C" w:rsidRDefault="00001C7C" w:rsidP="00C63B1D">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Krok 2: Stanovení samotných cílů a vypracování stromu cílů.</w:t>
            </w:r>
          </w:p>
          <w:p w14:paraId="41250E23" w14:textId="366D5F69" w:rsidR="00001C7C" w:rsidRDefault="00001C7C" w:rsidP="00C63B1D">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 xml:space="preserve">Vytvořené cíle by měly být SMART, tj. mimo jiné by měly být stanoveny tak, aby byly </w:t>
            </w:r>
            <w:r w:rsidRPr="00CE32DC">
              <w:rPr>
                <w:rFonts w:asciiTheme="minorHAnsi" w:hAnsiTheme="minorHAnsi" w:cstheme="minorHAnsi"/>
                <w:b/>
                <w:sz w:val="22"/>
                <w:szCs w:val="22"/>
              </w:rPr>
              <w:t>dosažitelné s přiměřenými nároky na zdroje a s úměrnými náklady</w:t>
            </w:r>
            <w:r>
              <w:rPr>
                <w:rFonts w:asciiTheme="minorHAnsi" w:hAnsiTheme="minorHAnsi" w:cstheme="minorHAnsi"/>
                <w:sz w:val="22"/>
                <w:szCs w:val="22"/>
              </w:rPr>
              <w:t>.</w:t>
            </w:r>
          </w:p>
        </w:tc>
      </w:tr>
      <w:tr w:rsidR="00001C7C" w:rsidRPr="008572FB" w14:paraId="77F24B94" w14:textId="77777777" w:rsidTr="00CE286C">
        <w:tc>
          <w:tcPr>
            <w:tcW w:w="1517" w:type="dxa"/>
            <w:vMerge/>
            <w:vAlign w:val="center"/>
          </w:tcPr>
          <w:p w14:paraId="572A664F" w14:textId="2AC3DA09" w:rsidR="00001C7C" w:rsidRPr="008572FB" w:rsidRDefault="00001C7C" w:rsidP="00CE286C">
            <w:pPr>
              <w:spacing w:line="240" w:lineRule="auto"/>
              <w:ind w:left="-57" w:right="-57"/>
              <w:rPr>
                <w:rFonts w:asciiTheme="minorHAnsi" w:hAnsiTheme="minorHAnsi" w:cstheme="minorHAnsi"/>
                <w:sz w:val="22"/>
                <w:szCs w:val="22"/>
              </w:rPr>
            </w:pPr>
          </w:p>
        </w:tc>
        <w:tc>
          <w:tcPr>
            <w:tcW w:w="1880" w:type="dxa"/>
            <w:vAlign w:val="center"/>
          </w:tcPr>
          <w:p w14:paraId="10A3B613" w14:textId="070D40A4" w:rsidR="00001C7C" w:rsidRPr="008572FB" w:rsidRDefault="00001C7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2:</w:t>
            </w:r>
            <w:r w:rsidRPr="008572FB">
              <w:rPr>
                <w:rFonts w:asciiTheme="minorHAnsi" w:hAnsiTheme="minorHAnsi" w:cstheme="minorHAnsi"/>
                <w:sz w:val="22"/>
                <w:szCs w:val="22"/>
              </w:rPr>
              <w:t xml:space="preserve"> Nastavení soustavy indikátorů</w:t>
            </w:r>
          </w:p>
        </w:tc>
        <w:tc>
          <w:tcPr>
            <w:tcW w:w="5619" w:type="dxa"/>
            <w:vAlign w:val="center"/>
          </w:tcPr>
          <w:p w14:paraId="22758A21" w14:textId="37876C1E" w:rsidR="00001C7C" w:rsidRPr="008572FB" w:rsidRDefault="00001C7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Krok 2: Stanovení výchozích a cílových hodnot indikátorů</w:t>
            </w:r>
            <w:r>
              <w:rPr>
                <w:rFonts w:asciiTheme="minorHAnsi" w:hAnsiTheme="minorHAnsi" w:cstheme="minorHAnsi"/>
                <w:sz w:val="22"/>
                <w:szCs w:val="22"/>
              </w:rPr>
              <w:t>.</w:t>
            </w:r>
          </w:p>
          <w:p w14:paraId="738CB46A" w14:textId="428E3737" w:rsidR="00001C7C" w:rsidRPr="008572FB" w:rsidRDefault="00001C7C" w:rsidP="00CE286C">
            <w:pPr>
              <w:spacing w:line="240" w:lineRule="auto"/>
              <w:ind w:left="-57" w:right="-57"/>
              <w:rPr>
                <w:rFonts w:asciiTheme="minorHAnsi" w:hAnsiTheme="minorHAnsi" w:cstheme="minorHAnsi"/>
                <w:sz w:val="22"/>
                <w:szCs w:val="22"/>
              </w:rPr>
            </w:pPr>
            <w:r w:rsidRPr="00EC426D">
              <w:rPr>
                <w:rFonts w:asciiTheme="minorHAnsi" w:hAnsiTheme="minorHAnsi" w:cstheme="minorHAnsi"/>
                <w:b/>
                <w:sz w:val="22"/>
                <w:szCs w:val="22"/>
              </w:rPr>
              <w:t>Cílové hodnoty by měly</w:t>
            </w:r>
            <w:r w:rsidRPr="008572FB">
              <w:rPr>
                <w:rFonts w:asciiTheme="minorHAnsi" w:hAnsiTheme="minorHAnsi" w:cstheme="minorHAnsi"/>
                <w:sz w:val="22"/>
                <w:szCs w:val="22"/>
              </w:rPr>
              <w:t xml:space="preserve"> v konečné podobě </w:t>
            </w:r>
            <w:r w:rsidRPr="00EC426D">
              <w:rPr>
                <w:rFonts w:asciiTheme="minorHAnsi" w:hAnsiTheme="minorHAnsi" w:cstheme="minorHAnsi"/>
                <w:b/>
                <w:sz w:val="22"/>
                <w:szCs w:val="22"/>
              </w:rPr>
              <w:t xml:space="preserve">odpovídat </w:t>
            </w:r>
            <w:r w:rsidRPr="008572FB">
              <w:rPr>
                <w:rFonts w:asciiTheme="minorHAnsi" w:hAnsiTheme="minorHAnsi" w:cstheme="minorHAnsi"/>
                <w:sz w:val="22"/>
                <w:szCs w:val="22"/>
              </w:rPr>
              <w:t xml:space="preserve">rozsahu plánovaných aktivit a </w:t>
            </w:r>
            <w:r w:rsidRPr="00EC426D">
              <w:rPr>
                <w:rFonts w:asciiTheme="minorHAnsi" w:hAnsiTheme="minorHAnsi" w:cstheme="minorHAnsi"/>
                <w:b/>
                <w:sz w:val="22"/>
                <w:szCs w:val="22"/>
              </w:rPr>
              <w:t>množství finančních prostředků</w:t>
            </w:r>
            <w:r w:rsidRPr="008572FB">
              <w:rPr>
                <w:rFonts w:asciiTheme="minorHAnsi" w:hAnsiTheme="minorHAnsi" w:cstheme="minorHAnsi"/>
                <w:sz w:val="22"/>
                <w:szCs w:val="22"/>
              </w:rPr>
              <w:t xml:space="preserve"> určených na realizaci strategie na základě sestavení rozpočtu implementace strategie v rámci Fáze 6.</w:t>
            </w:r>
          </w:p>
        </w:tc>
      </w:tr>
      <w:tr w:rsidR="00001C7C" w:rsidRPr="008572FB" w14:paraId="697069E7" w14:textId="77777777" w:rsidTr="00CE286C">
        <w:tc>
          <w:tcPr>
            <w:tcW w:w="1517" w:type="dxa"/>
            <w:vMerge/>
            <w:vAlign w:val="center"/>
          </w:tcPr>
          <w:p w14:paraId="1F1674AD" w14:textId="622E52BE" w:rsidR="00001C7C" w:rsidRPr="008572FB" w:rsidRDefault="00001C7C" w:rsidP="00CE286C">
            <w:pPr>
              <w:spacing w:line="240" w:lineRule="auto"/>
              <w:ind w:left="-57" w:right="-57"/>
              <w:rPr>
                <w:rFonts w:asciiTheme="minorHAnsi" w:hAnsiTheme="minorHAnsi" w:cstheme="minorHAnsi"/>
                <w:sz w:val="22"/>
                <w:szCs w:val="22"/>
              </w:rPr>
            </w:pPr>
          </w:p>
        </w:tc>
        <w:tc>
          <w:tcPr>
            <w:tcW w:w="1880" w:type="dxa"/>
            <w:vAlign w:val="center"/>
          </w:tcPr>
          <w:p w14:paraId="3B86C7D8" w14:textId="6A637DAB" w:rsidR="00001C7C" w:rsidRPr="008572FB" w:rsidRDefault="00001C7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3:</w:t>
            </w:r>
            <w:r w:rsidRPr="008572FB">
              <w:rPr>
                <w:rFonts w:asciiTheme="minorHAnsi" w:hAnsiTheme="minorHAnsi" w:cstheme="minorHAnsi"/>
                <w:sz w:val="22"/>
                <w:szCs w:val="22"/>
              </w:rPr>
              <w:t xml:space="preserve"> Identifikace variantních opatření</w:t>
            </w:r>
          </w:p>
        </w:tc>
        <w:tc>
          <w:tcPr>
            <w:tcW w:w="5619" w:type="dxa"/>
            <w:vAlign w:val="center"/>
          </w:tcPr>
          <w:p w14:paraId="3CAD8FBF" w14:textId="6D041881" w:rsidR="00001C7C" w:rsidRPr="008572FB" w:rsidRDefault="00BB2C8A" w:rsidP="00BB2C8A">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Úkolem je identifikovat a vybrat nejvhodnější (</w:t>
            </w:r>
            <w:r w:rsidRPr="00CE32DC">
              <w:rPr>
                <w:rFonts w:asciiTheme="minorHAnsi" w:hAnsiTheme="minorHAnsi" w:cstheme="minorHAnsi"/>
                <w:b/>
                <w:sz w:val="22"/>
                <w:szCs w:val="22"/>
              </w:rPr>
              <w:t>účinná, hospodárná a efektivní</w:t>
            </w:r>
            <w:r>
              <w:rPr>
                <w:rFonts w:asciiTheme="minorHAnsi" w:hAnsiTheme="minorHAnsi" w:cstheme="minorHAnsi"/>
                <w:sz w:val="22"/>
                <w:szCs w:val="22"/>
              </w:rPr>
              <w:t xml:space="preserve">) opatření pro realizaci strategie.  </w:t>
            </w:r>
            <w:r w:rsidR="00001C7C" w:rsidRPr="008572FB">
              <w:rPr>
                <w:rFonts w:asciiTheme="minorHAnsi" w:hAnsiTheme="minorHAnsi" w:cstheme="minorHAnsi"/>
                <w:sz w:val="22"/>
                <w:szCs w:val="22"/>
              </w:rPr>
              <w:t>Krok 3: Popis opatření, identifikace jejich možných přínosů (dopadů) a nákladů</w:t>
            </w:r>
            <w:r w:rsidR="00001C7C">
              <w:rPr>
                <w:rFonts w:asciiTheme="minorHAnsi" w:hAnsiTheme="minorHAnsi" w:cstheme="minorHAnsi"/>
                <w:sz w:val="22"/>
                <w:szCs w:val="22"/>
              </w:rPr>
              <w:t xml:space="preserve">. </w:t>
            </w:r>
            <w:r w:rsidR="00001C7C" w:rsidRPr="008572FB">
              <w:rPr>
                <w:rFonts w:asciiTheme="minorHAnsi" w:hAnsiTheme="minorHAnsi" w:cstheme="minorHAnsi"/>
                <w:sz w:val="22"/>
                <w:szCs w:val="22"/>
              </w:rPr>
              <w:t xml:space="preserve">V neposlední řadě bude vytvořen na základě dostupných informací </w:t>
            </w:r>
            <w:r w:rsidR="00001C7C" w:rsidRPr="00EC426D">
              <w:rPr>
                <w:rFonts w:asciiTheme="minorHAnsi" w:hAnsiTheme="minorHAnsi" w:cstheme="minorHAnsi"/>
                <w:b/>
                <w:sz w:val="22"/>
                <w:szCs w:val="22"/>
              </w:rPr>
              <w:t>předběžný odhad nákladů realizace daného opatření</w:t>
            </w:r>
            <w:r w:rsidR="00001C7C" w:rsidRPr="008572FB">
              <w:rPr>
                <w:rFonts w:asciiTheme="minorHAnsi" w:hAnsiTheme="minorHAnsi" w:cstheme="minorHAnsi"/>
                <w:sz w:val="22"/>
                <w:szCs w:val="22"/>
              </w:rPr>
              <w:t>.</w:t>
            </w:r>
          </w:p>
        </w:tc>
      </w:tr>
      <w:tr w:rsidR="00001C7C" w:rsidRPr="008572FB" w14:paraId="073283F0" w14:textId="77777777" w:rsidTr="00CE286C">
        <w:tc>
          <w:tcPr>
            <w:tcW w:w="1517" w:type="dxa"/>
            <w:vMerge/>
            <w:vAlign w:val="center"/>
          </w:tcPr>
          <w:p w14:paraId="53ECEE20" w14:textId="77777777" w:rsidR="00001C7C" w:rsidRPr="008572FB" w:rsidRDefault="00001C7C" w:rsidP="00CE286C">
            <w:pPr>
              <w:spacing w:line="240" w:lineRule="auto"/>
              <w:ind w:left="-57" w:right="-57"/>
              <w:rPr>
                <w:rFonts w:asciiTheme="minorHAnsi" w:hAnsiTheme="minorHAnsi" w:cstheme="minorHAnsi"/>
                <w:sz w:val="22"/>
                <w:szCs w:val="22"/>
              </w:rPr>
            </w:pPr>
          </w:p>
        </w:tc>
        <w:tc>
          <w:tcPr>
            <w:tcW w:w="1880" w:type="dxa"/>
            <w:vAlign w:val="center"/>
          </w:tcPr>
          <w:p w14:paraId="43781E76" w14:textId="1598223C" w:rsidR="00001C7C" w:rsidRPr="008572FB" w:rsidRDefault="00001C7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4:</w:t>
            </w:r>
            <w:r w:rsidRPr="008572FB">
              <w:rPr>
                <w:rFonts w:asciiTheme="minorHAnsi" w:hAnsiTheme="minorHAnsi" w:cstheme="minorHAnsi"/>
                <w:sz w:val="22"/>
                <w:szCs w:val="22"/>
              </w:rPr>
              <w:t xml:space="preserve"> Hodnocení a výběr opatření</w:t>
            </w:r>
          </w:p>
        </w:tc>
        <w:tc>
          <w:tcPr>
            <w:tcW w:w="5619" w:type="dxa"/>
            <w:vAlign w:val="center"/>
          </w:tcPr>
          <w:p w14:paraId="6D65369E" w14:textId="47B0726A" w:rsidR="00001C7C" w:rsidRPr="008572FB" w:rsidRDefault="00001C7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Cílem této aktivity je vyhodnotit varianty opatření vypracované v předchozí aktivitě na základě stanovených kritérií (zejména na základě jejich dopadu a </w:t>
            </w:r>
            <w:r w:rsidRPr="00CE286C">
              <w:rPr>
                <w:rFonts w:asciiTheme="minorHAnsi" w:hAnsiTheme="minorHAnsi" w:cstheme="minorHAnsi"/>
                <w:b/>
                <w:sz w:val="22"/>
                <w:szCs w:val="22"/>
              </w:rPr>
              <w:t>nákladnosti</w:t>
            </w:r>
            <w:r w:rsidRPr="008572FB">
              <w:rPr>
                <w:rFonts w:asciiTheme="minorHAnsi" w:hAnsiTheme="minorHAnsi" w:cstheme="minorHAnsi"/>
                <w:sz w:val="22"/>
                <w:szCs w:val="22"/>
              </w:rPr>
              <w:t>). Po tomto hodnocení jsou vybrána nejvhodnější opatření.</w:t>
            </w:r>
          </w:p>
          <w:p w14:paraId="7D4E87D5" w14:textId="36D67C7A" w:rsidR="00001C7C" w:rsidRDefault="00001C7C"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Krok 1: Stanovení hodnoticích kritérii</w:t>
            </w:r>
            <w:r>
              <w:rPr>
                <w:rFonts w:asciiTheme="minorHAnsi" w:hAnsiTheme="minorHAnsi" w:cstheme="minorHAnsi"/>
                <w:sz w:val="22"/>
                <w:szCs w:val="22"/>
              </w:rPr>
              <w:t xml:space="preserve">. Mimo jiné by mělo být posuzováno: </w:t>
            </w:r>
            <w:r w:rsidRPr="00CE286C">
              <w:rPr>
                <w:rFonts w:asciiTheme="minorHAnsi" w:hAnsiTheme="minorHAnsi" w:cstheme="minorHAnsi"/>
                <w:b/>
                <w:sz w:val="22"/>
                <w:szCs w:val="22"/>
              </w:rPr>
              <w:t>n</w:t>
            </w:r>
            <w:r w:rsidRPr="00CE286C">
              <w:rPr>
                <w:rFonts w:ascii="Calibri" w:hAnsi="Calibri" w:cs="Calibri"/>
                <w:b/>
                <w:sz w:val="22"/>
                <w:szCs w:val="22"/>
              </w:rPr>
              <w:t>á</w:t>
            </w:r>
            <w:r w:rsidRPr="00CE286C">
              <w:rPr>
                <w:rFonts w:asciiTheme="minorHAnsi" w:hAnsiTheme="minorHAnsi" w:cstheme="minorHAnsi"/>
                <w:b/>
                <w:sz w:val="22"/>
                <w:szCs w:val="22"/>
              </w:rPr>
              <w:t>kladnost opat</w:t>
            </w:r>
            <w:r w:rsidRPr="00CE286C">
              <w:rPr>
                <w:rFonts w:ascii="Calibri" w:hAnsi="Calibri" w:cs="Calibri"/>
                <w:b/>
                <w:sz w:val="22"/>
                <w:szCs w:val="22"/>
              </w:rPr>
              <w:t>ř</w:t>
            </w:r>
            <w:r w:rsidRPr="00CE286C">
              <w:rPr>
                <w:rFonts w:asciiTheme="minorHAnsi" w:hAnsiTheme="minorHAnsi" w:cstheme="minorHAnsi"/>
                <w:b/>
                <w:sz w:val="22"/>
                <w:szCs w:val="22"/>
              </w:rPr>
              <w:t>en</w:t>
            </w:r>
            <w:r w:rsidRPr="00CE286C">
              <w:rPr>
                <w:rFonts w:ascii="Calibri" w:hAnsi="Calibri" w:cs="Calibri"/>
                <w:b/>
                <w:sz w:val="22"/>
                <w:szCs w:val="22"/>
              </w:rPr>
              <w:t>í</w:t>
            </w:r>
            <w:r w:rsidRPr="00CE286C">
              <w:rPr>
                <w:rFonts w:asciiTheme="minorHAnsi" w:hAnsiTheme="minorHAnsi" w:cstheme="minorHAnsi"/>
                <w:sz w:val="22"/>
                <w:szCs w:val="22"/>
              </w:rPr>
              <w:t xml:space="preserve"> (pro posouzen</w:t>
            </w:r>
            <w:r w:rsidRPr="00CE286C">
              <w:rPr>
                <w:rFonts w:ascii="Calibri" w:hAnsi="Calibri" w:cs="Calibri"/>
                <w:sz w:val="22"/>
                <w:szCs w:val="22"/>
              </w:rPr>
              <w:t>í</w:t>
            </w:r>
            <w:r w:rsidRPr="00CE286C">
              <w:rPr>
                <w:rFonts w:asciiTheme="minorHAnsi" w:hAnsiTheme="minorHAnsi" w:cstheme="minorHAnsi"/>
                <w:sz w:val="22"/>
                <w:szCs w:val="22"/>
              </w:rPr>
              <w:t xml:space="preserve"> tohoto krit</w:t>
            </w:r>
            <w:r w:rsidRPr="00CE286C">
              <w:rPr>
                <w:rFonts w:ascii="Calibri" w:hAnsi="Calibri" w:cs="Calibri"/>
                <w:sz w:val="22"/>
                <w:szCs w:val="22"/>
              </w:rPr>
              <w:t>é</w:t>
            </w:r>
            <w:r w:rsidRPr="00CE286C">
              <w:rPr>
                <w:rFonts w:asciiTheme="minorHAnsi" w:hAnsiTheme="minorHAnsi" w:cstheme="minorHAnsi"/>
                <w:sz w:val="22"/>
                <w:szCs w:val="22"/>
              </w:rPr>
              <w:t>ria m</w:t>
            </w:r>
            <w:r w:rsidRPr="00CE286C">
              <w:rPr>
                <w:rFonts w:ascii="Calibri" w:hAnsi="Calibri" w:cs="Calibri"/>
                <w:sz w:val="22"/>
                <w:szCs w:val="22"/>
              </w:rPr>
              <w:t>ůž</w:t>
            </w:r>
            <w:r w:rsidRPr="00CE286C">
              <w:rPr>
                <w:rFonts w:asciiTheme="minorHAnsi" w:hAnsiTheme="minorHAnsi" w:cstheme="minorHAnsi"/>
                <w:sz w:val="22"/>
                <w:szCs w:val="22"/>
              </w:rPr>
              <w:t>e b</w:t>
            </w:r>
            <w:r w:rsidRPr="00CE286C">
              <w:rPr>
                <w:rFonts w:ascii="Calibri" w:hAnsi="Calibri" w:cs="Calibri"/>
                <w:sz w:val="22"/>
                <w:szCs w:val="22"/>
              </w:rPr>
              <w:t>ý</w:t>
            </w:r>
            <w:r w:rsidRPr="00CE286C">
              <w:rPr>
                <w:rFonts w:asciiTheme="minorHAnsi" w:hAnsiTheme="minorHAnsi" w:cstheme="minorHAnsi"/>
                <w:sz w:val="22"/>
                <w:szCs w:val="22"/>
              </w:rPr>
              <w:t>t podm</w:t>
            </w:r>
            <w:r w:rsidRPr="00CE286C">
              <w:rPr>
                <w:rFonts w:ascii="Calibri" w:hAnsi="Calibri" w:cs="Calibri"/>
                <w:sz w:val="22"/>
                <w:szCs w:val="22"/>
              </w:rPr>
              <w:t>í</w:t>
            </w:r>
            <w:r w:rsidRPr="00CE286C">
              <w:rPr>
                <w:rFonts w:asciiTheme="minorHAnsi" w:hAnsiTheme="minorHAnsi" w:cstheme="minorHAnsi"/>
                <w:sz w:val="22"/>
                <w:szCs w:val="22"/>
              </w:rPr>
              <w:t>nkou zpracov</w:t>
            </w:r>
            <w:r w:rsidRPr="00CE286C">
              <w:rPr>
                <w:rFonts w:ascii="Calibri" w:hAnsi="Calibri" w:cs="Calibri"/>
                <w:sz w:val="22"/>
                <w:szCs w:val="22"/>
              </w:rPr>
              <w:t>á</w:t>
            </w:r>
            <w:r w:rsidRPr="00CE286C">
              <w:rPr>
                <w:rFonts w:asciiTheme="minorHAnsi" w:hAnsiTheme="minorHAnsi" w:cstheme="minorHAnsi"/>
                <w:sz w:val="22"/>
                <w:szCs w:val="22"/>
              </w:rPr>
              <w:t>n</w:t>
            </w:r>
            <w:r w:rsidRPr="00CE286C">
              <w:rPr>
                <w:rFonts w:ascii="Calibri" w:hAnsi="Calibri" w:cs="Calibri"/>
                <w:sz w:val="22"/>
                <w:szCs w:val="22"/>
              </w:rPr>
              <w:t>í</w:t>
            </w:r>
            <w:r w:rsidRPr="00CE286C">
              <w:rPr>
                <w:rFonts w:asciiTheme="minorHAnsi" w:hAnsiTheme="minorHAnsi" w:cstheme="minorHAnsi"/>
                <w:sz w:val="22"/>
                <w:szCs w:val="22"/>
              </w:rPr>
              <w:t xml:space="preserve"> p</w:t>
            </w:r>
            <w:r w:rsidRPr="00CE286C">
              <w:rPr>
                <w:rFonts w:ascii="Calibri" w:hAnsi="Calibri" w:cs="Calibri"/>
                <w:sz w:val="22"/>
                <w:szCs w:val="22"/>
              </w:rPr>
              <w:t>ř</w:t>
            </w:r>
            <w:r w:rsidRPr="00CE286C">
              <w:rPr>
                <w:rFonts w:asciiTheme="minorHAnsi" w:hAnsiTheme="minorHAnsi" w:cstheme="minorHAnsi"/>
                <w:sz w:val="22"/>
                <w:szCs w:val="22"/>
              </w:rPr>
              <w:t>esn</w:t>
            </w:r>
            <w:r w:rsidRPr="00CE286C">
              <w:rPr>
                <w:rFonts w:ascii="Calibri" w:hAnsi="Calibri" w:cs="Calibri"/>
                <w:sz w:val="22"/>
                <w:szCs w:val="22"/>
              </w:rPr>
              <w:t>ě</w:t>
            </w:r>
            <w:r w:rsidRPr="00CE286C">
              <w:rPr>
                <w:rFonts w:asciiTheme="minorHAnsi" w:hAnsiTheme="minorHAnsi" w:cstheme="minorHAnsi"/>
                <w:sz w:val="22"/>
                <w:szCs w:val="22"/>
              </w:rPr>
              <w:t>j</w:t>
            </w:r>
            <w:r w:rsidRPr="00CE286C">
              <w:rPr>
                <w:rFonts w:ascii="Calibri" w:hAnsi="Calibri" w:cs="Calibri"/>
                <w:sz w:val="22"/>
                <w:szCs w:val="22"/>
              </w:rPr>
              <w:t>ší</w:t>
            </w:r>
            <w:r w:rsidRPr="00CE286C">
              <w:rPr>
                <w:rFonts w:asciiTheme="minorHAnsi" w:hAnsiTheme="minorHAnsi" w:cstheme="minorHAnsi"/>
                <w:sz w:val="22"/>
                <w:szCs w:val="22"/>
              </w:rPr>
              <w:t>ho odhadu n</w:t>
            </w:r>
            <w:r w:rsidRPr="00CE286C">
              <w:rPr>
                <w:rFonts w:ascii="Calibri" w:hAnsi="Calibri" w:cs="Calibri"/>
                <w:sz w:val="22"/>
                <w:szCs w:val="22"/>
              </w:rPr>
              <w:t>á</w:t>
            </w:r>
            <w:r w:rsidRPr="00CE286C">
              <w:rPr>
                <w:rFonts w:asciiTheme="minorHAnsi" w:hAnsiTheme="minorHAnsi" w:cstheme="minorHAnsi"/>
                <w:sz w:val="22"/>
                <w:szCs w:val="22"/>
              </w:rPr>
              <w:t>klad</w:t>
            </w:r>
            <w:r w:rsidRPr="00CE286C">
              <w:rPr>
                <w:rFonts w:ascii="Calibri" w:hAnsi="Calibri" w:cs="Calibri"/>
                <w:sz w:val="22"/>
                <w:szCs w:val="22"/>
              </w:rPr>
              <w:t>ů</w:t>
            </w:r>
            <w:r w:rsidRPr="00CE286C">
              <w:rPr>
                <w:rFonts w:asciiTheme="minorHAnsi" w:hAnsiTheme="minorHAnsi" w:cstheme="minorHAnsi"/>
                <w:sz w:val="22"/>
                <w:szCs w:val="22"/>
              </w:rPr>
              <w:t xml:space="preserve">), </w:t>
            </w:r>
            <w:r w:rsidRPr="00CE286C">
              <w:rPr>
                <w:rFonts w:asciiTheme="minorHAnsi" w:hAnsiTheme="minorHAnsi" w:cstheme="minorHAnsi"/>
                <w:b/>
                <w:sz w:val="22"/>
                <w:szCs w:val="22"/>
              </w:rPr>
              <w:t>pom</w:t>
            </w:r>
            <w:r w:rsidRPr="00CE286C">
              <w:rPr>
                <w:rFonts w:ascii="Calibri" w:hAnsi="Calibri" w:cs="Calibri"/>
                <w:b/>
                <w:sz w:val="22"/>
                <w:szCs w:val="22"/>
              </w:rPr>
              <w:t>ě</w:t>
            </w:r>
            <w:r w:rsidRPr="00CE286C">
              <w:rPr>
                <w:rFonts w:asciiTheme="minorHAnsi" w:hAnsiTheme="minorHAnsi" w:cstheme="minorHAnsi"/>
                <w:b/>
                <w:sz w:val="22"/>
                <w:szCs w:val="22"/>
              </w:rPr>
              <w:t>r p</w:t>
            </w:r>
            <w:r w:rsidRPr="00CE286C">
              <w:rPr>
                <w:rFonts w:ascii="Calibri" w:hAnsi="Calibri" w:cs="Calibri"/>
                <w:b/>
                <w:sz w:val="22"/>
                <w:szCs w:val="22"/>
              </w:rPr>
              <w:t>ří</w:t>
            </w:r>
            <w:r w:rsidRPr="00CE286C">
              <w:rPr>
                <w:rFonts w:asciiTheme="minorHAnsi" w:hAnsiTheme="minorHAnsi" w:cstheme="minorHAnsi"/>
                <w:b/>
                <w:sz w:val="22"/>
                <w:szCs w:val="22"/>
              </w:rPr>
              <w:t>nos</w:t>
            </w:r>
            <w:r w:rsidRPr="00CE286C">
              <w:rPr>
                <w:rFonts w:ascii="Calibri" w:hAnsi="Calibri" w:cs="Calibri"/>
                <w:b/>
                <w:sz w:val="22"/>
                <w:szCs w:val="22"/>
              </w:rPr>
              <w:t>ů</w:t>
            </w:r>
            <w:r w:rsidRPr="00CE286C">
              <w:rPr>
                <w:rFonts w:asciiTheme="minorHAnsi" w:hAnsiTheme="minorHAnsi" w:cstheme="minorHAnsi"/>
                <w:b/>
                <w:sz w:val="22"/>
                <w:szCs w:val="22"/>
              </w:rPr>
              <w:t xml:space="preserve"> a n</w:t>
            </w:r>
            <w:r w:rsidRPr="00CE286C">
              <w:rPr>
                <w:rFonts w:ascii="Calibri" w:hAnsi="Calibri" w:cs="Calibri"/>
                <w:b/>
                <w:sz w:val="22"/>
                <w:szCs w:val="22"/>
              </w:rPr>
              <w:t>á</w:t>
            </w:r>
            <w:r w:rsidRPr="00CE286C">
              <w:rPr>
                <w:rFonts w:asciiTheme="minorHAnsi" w:hAnsiTheme="minorHAnsi" w:cstheme="minorHAnsi"/>
                <w:b/>
                <w:sz w:val="22"/>
                <w:szCs w:val="22"/>
              </w:rPr>
              <w:t>klad</w:t>
            </w:r>
            <w:r w:rsidRPr="00CE286C">
              <w:rPr>
                <w:rFonts w:ascii="Calibri" w:hAnsi="Calibri" w:cs="Calibri"/>
                <w:b/>
                <w:sz w:val="22"/>
                <w:szCs w:val="22"/>
              </w:rPr>
              <w:t>ů</w:t>
            </w:r>
            <w:r w:rsidRPr="00CE286C">
              <w:rPr>
                <w:rFonts w:asciiTheme="minorHAnsi" w:hAnsiTheme="minorHAnsi" w:cstheme="minorHAnsi"/>
                <w:sz w:val="22"/>
                <w:szCs w:val="22"/>
              </w:rPr>
              <w:t xml:space="preserve"> realizace opat</w:t>
            </w:r>
            <w:r w:rsidRPr="00CE286C">
              <w:rPr>
                <w:rFonts w:ascii="Calibri" w:hAnsi="Calibri" w:cs="Calibri"/>
                <w:sz w:val="22"/>
                <w:szCs w:val="22"/>
              </w:rPr>
              <w:t>ř</w:t>
            </w:r>
            <w:r w:rsidRPr="00CE286C">
              <w:rPr>
                <w:rFonts w:asciiTheme="minorHAnsi" w:hAnsiTheme="minorHAnsi" w:cstheme="minorHAnsi"/>
                <w:sz w:val="22"/>
                <w:szCs w:val="22"/>
              </w:rPr>
              <w:t>en</w:t>
            </w:r>
            <w:r w:rsidRPr="00CE286C">
              <w:rPr>
                <w:rFonts w:ascii="Calibri" w:hAnsi="Calibri" w:cs="Calibri"/>
                <w:sz w:val="22"/>
                <w:szCs w:val="22"/>
              </w:rPr>
              <w:t>í</w:t>
            </w:r>
            <w:r>
              <w:rPr>
                <w:rFonts w:asciiTheme="minorHAnsi" w:hAnsiTheme="minorHAnsi" w:cstheme="minorHAnsi"/>
                <w:sz w:val="22"/>
                <w:szCs w:val="22"/>
              </w:rPr>
              <w:t>.</w:t>
            </w:r>
          </w:p>
          <w:p w14:paraId="2044F73F" w14:textId="599BBF27" w:rsidR="001E224D" w:rsidRPr="00CE286C" w:rsidRDefault="001E224D" w:rsidP="00CE286C">
            <w:pPr>
              <w:spacing w:line="240" w:lineRule="auto"/>
              <w:ind w:left="-57" w:right="-57"/>
              <w:rPr>
                <w:rFonts w:asciiTheme="minorHAnsi" w:hAnsiTheme="minorHAnsi" w:cstheme="minorHAnsi"/>
                <w:sz w:val="22"/>
                <w:szCs w:val="22"/>
              </w:rPr>
            </w:pPr>
            <w:r>
              <w:rPr>
                <w:rFonts w:asciiTheme="minorHAnsi" w:hAnsiTheme="minorHAnsi" w:cstheme="minorHAnsi"/>
                <w:sz w:val="22"/>
                <w:szCs w:val="22"/>
              </w:rPr>
              <w:lastRenderedPageBreak/>
              <w:t>Krok 2: Zhodnocení jednotlivých opatření. Součástí těchto hodnocení musí být také reálnost získání finančních zdrojů na realizaci daných opatření.</w:t>
            </w:r>
          </w:p>
          <w:p w14:paraId="723570BA" w14:textId="4D0CFCDA" w:rsidR="00001C7C" w:rsidRPr="008572FB" w:rsidRDefault="00001C7C" w:rsidP="006635DF">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Krok 3: Výběr a schválení opatření</w:t>
            </w:r>
            <w:r>
              <w:rPr>
                <w:rFonts w:asciiTheme="minorHAnsi" w:hAnsiTheme="minorHAnsi" w:cstheme="minorHAnsi"/>
                <w:sz w:val="22"/>
                <w:szCs w:val="22"/>
              </w:rPr>
              <w:t xml:space="preserve">. </w:t>
            </w:r>
            <w:r w:rsidRPr="008572FB">
              <w:rPr>
                <w:rFonts w:asciiTheme="minorHAnsi" w:hAnsiTheme="minorHAnsi" w:cstheme="minorHAnsi"/>
                <w:sz w:val="22"/>
                <w:szCs w:val="22"/>
              </w:rPr>
              <w:t xml:space="preserve">Na základě výsledků hodnocení </w:t>
            </w:r>
            <w:r>
              <w:rPr>
                <w:rFonts w:asciiTheme="minorHAnsi" w:hAnsiTheme="minorHAnsi" w:cstheme="minorHAnsi"/>
                <w:sz w:val="22"/>
                <w:szCs w:val="22"/>
              </w:rPr>
              <w:t>se vyberou</w:t>
            </w:r>
            <w:r w:rsidRPr="008572FB">
              <w:rPr>
                <w:rFonts w:asciiTheme="minorHAnsi" w:hAnsiTheme="minorHAnsi" w:cstheme="minorHAnsi"/>
                <w:sz w:val="22"/>
                <w:szCs w:val="22"/>
              </w:rPr>
              <w:t xml:space="preserve"> k jednotlivým cílům příslušná nejvhodnější opatření</w:t>
            </w:r>
            <w:r>
              <w:rPr>
                <w:rFonts w:asciiTheme="minorHAnsi" w:hAnsiTheme="minorHAnsi" w:cstheme="minorHAnsi"/>
                <w:sz w:val="22"/>
                <w:szCs w:val="22"/>
              </w:rPr>
              <w:t xml:space="preserve">, přičemž je třeba brát v úvahu mimo jiné také </w:t>
            </w:r>
            <w:r w:rsidRPr="00CE286C">
              <w:rPr>
                <w:rFonts w:asciiTheme="minorHAnsi" w:hAnsiTheme="minorHAnsi" w:cstheme="minorHAnsi"/>
                <w:b/>
                <w:sz w:val="22"/>
                <w:szCs w:val="22"/>
              </w:rPr>
              <w:t>celkové odhadované náklady realizace všech opatření</w:t>
            </w:r>
            <w:r>
              <w:rPr>
                <w:rFonts w:asciiTheme="minorHAnsi" w:hAnsiTheme="minorHAnsi" w:cstheme="minorHAnsi"/>
                <w:sz w:val="22"/>
                <w:szCs w:val="22"/>
              </w:rPr>
              <w:t>.</w:t>
            </w:r>
          </w:p>
        </w:tc>
      </w:tr>
      <w:tr w:rsidR="00001C7C" w:rsidRPr="008572FB" w14:paraId="2B5E34C6" w14:textId="77777777" w:rsidTr="00CE286C">
        <w:tc>
          <w:tcPr>
            <w:tcW w:w="1517" w:type="dxa"/>
            <w:vMerge/>
            <w:vAlign w:val="center"/>
          </w:tcPr>
          <w:p w14:paraId="6F2BBA5B" w14:textId="4CC4EB92" w:rsidR="00001C7C" w:rsidRPr="008572FB" w:rsidRDefault="00001C7C" w:rsidP="00CE286C">
            <w:pPr>
              <w:spacing w:line="240" w:lineRule="auto"/>
              <w:ind w:left="-57" w:right="-57"/>
              <w:rPr>
                <w:rFonts w:asciiTheme="minorHAnsi" w:hAnsiTheme="minorHAnsi" w:cstheme="minorHAnsi"/>
                <w:sz w:val="22"/>
                <w:szCs w:val="22"/>
              </w:rPr>
            </w:pPr>
          </w:p>
        </w:tc>
        <w:tc>
          <w:tcPr>
            <w:tcW w:w="1880" w:type="dxa"/>
            <w:vAlign w:val="center"/>
          </w:tcPr>
          <w:p w14:paraId="7B9923CD" w14:textId="5C89C526" w:rsidR="00001C7C" w:rsidRPr="008572FB" w:rsidRDefault="00001C7C"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Výstupy fáze 5</w:t>
            </w:r>
          </w:p>
        </w:tc>
        <w:tc>
          <w:tcPr>
            <w:tcW w:w="5619" w:type="dxa"/>
            <w:vAlign w:val="center"/>
          </w:tcPr>
          <w:p w14:paraId="3CFF5B4C" w14:textId="4A642FA5" w:rsidR="00001C7C" w:rsidRPr="008572FB" w:rsidRDefault="00001C7C" w:rsidP="00CE286C">
            <w:pPr>
              <w:spacing w:line="240" w:lineRule="auto"/>
              <w:ind w:left="-57" w:right="-57"/>
              <w:rPr>
                <w:rFonts w:asciiTheme="minorHAnsi" w:hAnsiTheme="minorHAnsi" w:cstheme="minorHAnsi"/>
                <w:sz w:val="22"/>
                <w:szCs w:val="22"/>
              </w:rPr>
            </w:pPr>
            <w:r>
              <w:rPr>
                <w:rFonts w:asciiTheme="minorHAnsi" w:hAnsiTheme="minorHAnsi" w:cstheme="minorHAnsi"/>
                <w:sz w:val="22"/>
                <w:szCs w:val="22"/>
              </w:rPr>
              <w:t xml:space="preserve">Výstupem této fáze je z hlediska nákladů </w:t>
            </w:r>
            <w:r w:rsidRPr="00CE286C">
              <w:rPr>
                <w:rFonts w:asciiTheme="minorHAnsi" w:hAnsiTheme="minorHAnsi" w:cstheme="minorHAnsi"/>
                <w:b/>
                <w:sz w:val="22"/>
                <w:szCs w:val="22"/>
              </w:rPr>
              <w:t>(hrub</w:t>
            </w:r>
            <w:r w:rsidRPr="00CE286C">
              <w:rPr>
                <w:rFonts w:ascii="Calibri" w:hAnsi="Calibri" w:cs="Calibri"/>
                <w:b/>
                <w:sz w:val="22"/>
                <w:szCs w:val="22"/>
              </w:rPr>
              <w:t>ý</w:t>
            </w:r>
            <w:r w:rsidRPr="00CE286C">
              <w:rPr>
                <w:rFonts w:asciiTheme="minorHAnsi" w:hAnsiTheme="minorHAnsi" w:cstheme="minorHAnsi"/>
                <w:b/>
                <w:sz w:val="22"/>
                <w:szCs w:val="22"/>
              </w:rPr>
              <w:t>) odhad nákladů realizace strategie</w:t>
            </w:r>
            <w:r w:rsidRPr="008572FB">
              <w:rPr>
                <w:rFonts w:asciiTheme="minorHAnsi" w:hAnsiTheme="minorHAnsi" w:cstheme="minorHAnsi"/>
                <w:sz w:val="22"/>
                <w:szCs w:val="22"/>
              </w:rPr>
              <w:t>.</w:t>
            </w:r>
          </w:p>
        </w:tc>
      </w:tr>
      <w:tr w:rsidR="005B3479" w:rsidRPr="008572FB" w14:paraId="2A76F955" w14:textId="77777777" w:rsidTr="00CE286C">
        <w:tc>
          <w:tcPr>
            <w:tcW w:w="1517" w:type="dxa"/>
            <w:vAlign w:val="center"/>
          </w:tcPr>
          <w:p w14:paraId="309F2E46" w14:textId="32B35331" w:rsidR="005B3479" w:rsidRPr="008572FB" w:rsidRDefault="005B3479"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Fáze 6</w:t>
            </w:r>
            <w:r w:rsidR="005D56B3">
              <w:rPr>
                <w:rFonts w:asciiTheme="minorHAnsi" w:hAnsiTheme="minorHAnsi" w:cstheme="minorHAnsi"/>
                <w:sz w:val="22"/>
                <w:szCs w:val="22"/>
              </w:rPr>
              <w:t xml:space="preserve"> - </w:t>
            </w:r>
            <w:r w:rsidR="005D56B3" w:rsidRPr="005D56B3">
              <w:rPr>
                <w:rFonts w:asciiTheme="minorHAnsi" w:hAnsiTheme="minorHAnsi" w:cstheme="minorHAnsi"/>
                <w:sz w:val="22"/>
                <w:szCs w:val="22"/>
              </w:rPr>
              <w:t xml:space="preserve">Nastavení implementace, </w:t>
            </w:r>
            <w:r w:rsidR="005D56B3" w:rsidRPr="00CE286C">
              <w:rPr>
                <w:rFonts w:asciiTheme="minorHAnsi" w:hAnsiTheme="minorHAnsi" w:cstheme="minorHAnsi"/>
                <w:b/>
                <w:sz w:val="22"/>
                <w:szCs w:val="22"/>
              </w:rPr>
              <w:t>financování</w:t>
            </w:r>
            <w:r w:rsidR="005D56B3" w:rsidRPr="005D56B3">
              <w:rPr>
                <w:rFonts w:asciiTheme="minorHAnsi" w:hAnsiTheme="minorHAnsi" w:cstheme="minorHAnsi"/>
                <w:sz w:val="22"/>
                <w:szCs w:val="22"/>
              </w:rPr>
              <w:t xml:space="preserve"> a vyhodnocování strategie</w:t>
            </w:r>
          </w:p>
        </w:tc>
        <w:tc>
          <w:tcPr>
            <w:tcW w:w="1880" w:type="dxa"/>
            <w:vAlign w:val="center"/>
          </w:tcPr>
          <w:p w14:paraId="65BF0FD0" w14:textId="32CC83D2" w:rsidR="005B3479" w:rsidRPr="008572FB" w:rsidRDefault="005B3479" w:rsidP="00CE286C">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Aktivita 8:</w:t>
            </w:r>
            <w:r w:rsidRPr="008572FB">
              <w:rPr>
                <w:rFonts w:asciiTheme="minorHAnsi" w:hAnsiTheme="minorHAnsi" w:cstheme="minorHAnsi"/>
                <w:sz w:val="22"/>
                <w:szCs w:val="22"/>
              </w:rPr>
              <w:t xml:space="preserve"> </w:t>
            </w:r>
            <w:r w:rsidRPr="00CE286C">
              <w:rPr>
                <w:rFonts w:asciiTheme="minorHAnsi" w:hAnsiTheme="minorHAnsi" w:cstheme="minorHAnsi"/>
                <w:b/>
                <w:sz w:val="22"/>
                <w:szCs w:val="22"/>
              </w:rPr>
              <w:t>Sestavení rozpočtu implementace strategie</w:t>
            </w:r>
          </w:p>
        </w:tc>
        <w:tc>
          <w:tcPr>
            <w:tcW w:w="5619" w:type="dxa"/>
            <w:vAlign w:val="center"/>
          </w:tcPr>
          <w:p w14:paraId="4580437A" w14:textId="6A751E00" w:rsidR="005B3479" w:rsidRPr="008572FB" w:rsidRDefault="005B3479"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Krok 1: </w:t>
            </w:r>
            <w:r w:rsidRPr="00CE286C">
              <w:rPr>
                <w:rFonts w:asciiTheme="minorHAnsi" w:hAnsiTheme="minorHAnsi" w:cstheme="minorHAnsi"/>
                <w:b/>
                <w:sz w:val="22"/>
                <w:szCs w:val="22"/>
              </w:rPr>
              <w:t>Určení zdrojů nefinančního charakteru a odhad finančních nákladů</w:t>
            </w:r>
            <w:r w:rsidRPr="008572FB">
              <w:rPr>
                <w:rFonts w:asciiTheme="minorHAnsi" w:hAnsiTheme="minorHAnsi" w:cstheme="minorHAnsi"/>
                <w:sz w:val="22"/>
                <w:szCs w:val="22"/>
              </w:rPr>
              <w:t xml:space="preserve">. </w:t>
            </w:r>
          </w:p>
          <w:p w14:paraId="2CFF6FF7" w14:textId="08C6BABC" w:rsidR="005B3479" w:rsidRPr="008572FB" w:rsidRDefault="005B3479"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Krok 2: </w:t>
            </w:r>
            <w:r w:rsidRPr="00CE286C">
              <w:rPr>
                <w:rFonts w:asciiTheme="minorHAnsi" w:hAnsiTheme="minorHAnsi" w:cstheme="minorHAnsi"/>
                <w:b/>
                <w:sz w:val="22"/>
                <w:szCs w:val="22"/>
              </w:rPr>
              <w:t>Sestavení rozpočtu</w:t>
            </w:r>
            <w:r w:rsidRPr="008572FB">
              <w:rPr>
                <w:rFonts w:asciiTheme="minorHAnsi" w:hAnsiTheme="minorHAnsi" w:cstheme="minorHAnsi"/>
                <w:sz w:val="22"/>
                <w:szCs w:val="22"/>
              </w:rPr>
              <w:t xml:space="preserve">. </w:t>
            </w:r>
          </w:p>
          <w:p w14:paraId="5E102E95" w14:textId="312A4762" w:rsidR="005B3479" w:rsidRPr="008572FB" w:rsidRDefault="005B3479"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Krok 3: </w:t>
            </w:r>
            <w:r w:rsidRPr="00CE286C">
              <w:rPr>
                <w:rFonts w:asciiTheme="minorHAnsi" w:hAnsiTheme="minorHAnsi" w:cstheme="minorHAnsi"/>
                <w:b/>
                <w:sz w:val="22"/>
                <w:szCs w:val="22"/>
              </w:rPr>
              <w:t>Porovnání vytvořeného rozpočtu s odhadem nákladů provedeného v</w:t>
            </w:r>
            <w:r w:rsidR="002F2EC5">
              <w:rPr>
                <w:rFonts w:asciiTheme="minorHAnsi" w:hAnsiTheme="minorHAnsi" w:cstheme="minorHAnsi"/>
                <w:b/>
                <w:sz w:val="22"/>
                <w:szCs w:val="22"/>
              </w:rPr>
              <w:t>e</w:t>
            </w:r>
            <w:r w:rsidRPr="00CE286C">
              <w:rPr>
                <w:rFonts w:asciiTheme="minorHAnsi" w:hAnsiTheme="minorHAnsi" w:cstheme="minorHAnsi"/>
                <w:b/>
                <w:sz w:val="22"/>
                <w:szCs w:val="22"/>
              </w:rPr>
              <w:t xml:space="preserve"> fázi</w:t>
            </w:r>
            <w:r w:rsidR="002F2EC5">
              <w:rPr>
                <w:rFonts w:asciiTheme="minorHAnsi" w:hAnsiTheme="minorHAnsi" w:cstheme="minorHAnsi"/>
                <w:b/>
                <w:sz w:val="22"/>
                <w:szCs w:val="22"/>
              </w:rPr>
              <w:t xml:space="preserve"> 5</w:t>
            </w:r>
            <w:r w:rsidRPr="008572FB">
              <w:rPr>
                <w:rFonts w:asciiTheme="minorHAnsi" w:hAnsiTheme="minorHAnsi" w:cstheme="minorHAnsi"/>
                <w:sz w:val="22"/>
                <w:szCs w:val="22"/>
              </w:rPr>
              <w:t xml:space="preserve">. </w:t>
            </w:r>
          </w:p>
          <w:p w14:paraId="6DCE9D57" w14:textId="2C9553E1" w:rsidR="005B3479" w:rsidRPr="008572FB" w:rsidRDefault="005B3479" w:rsidP="00CE286C">
            <w:pPr>
              <w:spacing w:line="240" w:lineRule="auto"/>
              <w:ind w:left="-57" w:right="-57"/>
              <w:rPr>
                <w:rFonts w:asciiTheme="minorHAnsi" w:hAnsiTheme="minorHAnsi" w:cstheme="minorHAnsi"/>
                <w:sz w:val="22"/>
                <w:szCs w:val="22"/>
              </w:rPr>
            </w:pPr>
            <w:r w:rsidRPr="008572FB">
              <w:rPr>
                <w:rFonts w:asciiTheme="minorHAnsi" w:hAnsiTheme="minorHAnsi" w:cstheme="minorHAnsi"/>
                <w:sz w:val="22"/>
                <w:szCs w:val="22"/>
              </w:rPr>
              <w:t xml:space="preserve">Krok 4: </w:t>
            </w:r>
            <w:r w:rsidRPr="00CE286C">
              <w:rPr>
                <w:rFonts w:asciiTheme="minorHAnsi" w:hAnsiTheme="minorHAnsi" w:cstheme="minorHAnsi"/>
                <w:b/>
                <w:sz w:val="22"/>
                <w:szCs w:val="22"/>
              </w:rPr>
              <w:t>Určení zdrojů financování jednolitých položek rozpočtu.</w:t>
            </w:r>
          </w:p>
        </w:tc>
      </w:tr>
    </w:tbl>
    <w:p w14:paraId="5ED9B834" w14:textId="01B34D9D" w:rsidR="009E37C5" w:rsidRDefault="005A5B33" w:rsidP="009E37C5">
      <w:pPr>
        <w:rPr>
          <w:rFonts w:asciiTheme="minorHAnsi" w:hAnsiTheme="minorHAnsi" w:cstheme="minorHAnsi"/>
          <w:i/>
        </w:rPr>
      </w:pPr>
      <w:r w:rsidRPr="005A5B33">
        <w:rPr>
          <w:rFonts w:asciiTheme="minorHAnsi" w:hAnsiTheme="minorHAnsi" w:cstheme="minorHAnsi"/>
          <w:i/>
        </w:rPr>
        <w:t>Zdroj: autoři dle MMR (2019</w:t>
      </w:r>
      <w:r>
        <w:rPr>
          <w:rFonts w:asciiTheme="minorHAnsi" w:hAnsiTheme="minorHAnsi" w:cstheme="minorHAnsi"/>
          <w:i/>
        </w:rPr>
        <w:t>)</w:t>
      </w:r>
    </w:p>
    <w:p w14:paraId="361F7306" w14:textId="77777777" w:rsidR="00C245B9" w:rsidRDefault="00C245B9" w:rsidP="00C245B9">
      <w:pPr>
        <w:jc w:val="both"/>
        <w:rPr>
          <w:rFonts w:asciiTheme="minorHAnsi" w:hAnsiTheme="minorHAnsi" w:cstheme="minorHAnsi"/>
        </w:rPr>
      </w:pPr>
    </w:p>
    <w:p w14:paraId="5F50C88E" w14:textId="0F54D973" w:rsidR="00C245B9" w:rsidRPr="00C245B9" w:rsidRDefault="00C245B9" w:rsidP="00C245B9">
      <w:pPr>
        <w:jc w:val="both"/>
        <w:rPr>
          <w:rFonts w:asciiTheme="minorHAnsi" w:hAnsiTheme="minorHAnsi" w:cstheme="minorHAnsi"/>
        </w:rPr>
      </w:pPr>
      <w:r>
        <w:rPr>
          <w:rFonts w:asciiTheme="minorHAnsi" w:hAnsiTheme="minorHAnsi" w:cstheme="minorHAnsi"/>
        </w:rPr>
        <w:t xml:space="preserve">Následující tabulka popisuje čtyři </w:t>
      </w:r>
      <w:r w:rsidRPr="00CE32DC">
        <w:rPr>
          <w:rFonts w:asciiTheme="minorHAnsi" w:hAnsiTheme="minorHAnsi" w:cstheme="minorHAnsi"/>
          <w:b/>
        </w:rPr>
        <w:t xml:space="preserve">kroky sestavení rozpočtu </w:t>
      </w:r>
      <w:r w:rsidR="003C3A7C">
        <w:rPr>
          <w:rFonts w:asciiTheme="minorHAnsi" w:hAnsiTheme="minorHAnsi" w:cstheme="minorHAnsi"/>
          <w:b/>
        </w:rPr>
        <w:t xml:space="preserve">implementace strategie </w:t>
      </w:r>
      <w:r w:rsidRPr="00CE32DC">
        <w:rPr>
          <w:rFonts w:asciiTheme="minorHAnsi" w:hAnsiTheme="minorHAnsi" w:cstheme="minorHAnsi"/>
          <w:b/>
        </w:rPr>
        <w:t>ve fázi 6</w:t>
      </w:r>
      <w:r w:rsidRPr="00C245B9">
        <w:rPr>
          <w:rFonts w:asciiTheme="minorHAnsi" w:hAnsiTheme="minorHAnsi" w:cstheme="minorHAnsi"/>
        </w:rPr>
        <w:t>.</w:t>
      </w:r>
    </w:p>
    <w:p w14:paraId="10E1E88B" w14:textId="473AA1AA" w:rsidR="00512901" w:rsidRPr="005A5B33" w:rsidRDefault="00512901" w:rsidP="00512901">
      <w:pPr>
        <w:rPr>
          <w:rFonts w:asciiTheme="minorHAnsi" w:hAnsiTheme="minorHAnsi" w:cstheme="minorHAnsi"/>
          <w:i/>
        </w:rPr>
      </w:pPr>
      <w:r w:rsidRPr="005A5B33">
        <w:rPr>
          <w:rFonts w:asciiTheme="minorHAnsi" w:hAnsiTheme="minorHAnsi" w:cstheme="minorHAnsi"/>
          <w:i/>
        </w:rPr>
        <w:t xml:space="preserve">Tab. </w:t>
      </w:r>
      <w:r w:rsidR="004F0E1D">
        <w:rPr>
          <w:rFonts w:asciiTheme="minorHAnsi" w:hAnsiTheme="minorHAnsi" w:cstheme="minorHAnsi"/>
          <w:i/>
        </w:rPr>
        <w:t xml:space="preserve">6 </w:t>
      </w:r>
      <w:r w:rsidR="00F20B74">
        <w:rPr>
          <w:rFonts w:asciiTheme="minorHAnsi" w:hAnsiTheme="minorHAnsi" w:cstheme="minorHAnsi"/>
          <w:i/>
        </w:rPr>
        <w:t>Popis jednotlivých kroků sestavování rozpočtu ve fázi 6</w:t>
      </w:r>
    </w:p>
    <w:tbl>
      <w:tblPr>
        <w:tblStyle w:val="Mkatabulky"/>
        <w:tblW w:w="9067" w:type="dxa"/>
        <w:tblLook w:val="04A0" w:firstRow="1" w:lastRow="0" w:firstColumn="1" w:lastColumn="0" w:noHBand="0" w:noVBand="1"/>
      </w:tblPr>
      <w:tblGrid>
        <w:gridCol w:w="1413"/>
        <w:gridCol w:w="7654"/>
      </w:tblGrid>
      <w:tr w:rsidR="00512901" w:rsidRPr="002F2EC5" w14:paraId="6FC03A60" w14:textId="77777777" w:rsidTr="00512901">
        <w:tc>
          <w:tcPr>
            <w:tcW w:w="1413" w:type="dxa"/>
            <w:vAlign w:val="center"/>
          </w:tcPr>
          <w:p w14:paraId="45A2D870" w14:textId="378DAE76" w:rsidR="00512901" w:rsidRPr="002F2EC5" w:rsidRDefault="00512901" w:rsidP="00512901">
            <w:pPr>
              <w:spacing w:line="240" w:lineRule="auto"/>
              <w:ind w:left="-57" w:right="-57"/>
              <w:rPr>
                <w:rFonts w:asciiTheme="minorHAnsi" w:hAnsiTheme="minorHAnsi" w:cstheme="minorHAnsi"/>
                <w:b/>
                <w:sz w:val="22"/>
                <w:szCs w:val="22"/>
              </w:rPr>
            </w:pPr>
            <w:r w:rsidRPr="002F2EC5">
              <w:rPr>
                <w:rFonts w:asciiTheme="minorHAnsi" w:hAnsiTheme="minorHAnsi" w:cstheme="minorHAnsi"/>
                <w:b/>
                <w:sz w:val="22"/>
                <w:szCs w:val="22"/>
              </w:rPr>
              <w:t>Krok</w:t>
            </w:r>
          </w:p>
        </w:tc>
        <w:tc>
          <w:tcPr>
            <w:tcW w:w="7654" w:type="dxa"/>
            <w:vAlign w:val="center"/>
          </w:tcPr>
          <w:p w14:paraId="6B106A05" w14:textId="3A2C74B1" w:rsidR="00512901" w:rsidRPr="002F2EC5" w:rsidRDefault="00512901" w:rsidP="00512901">
            <w:pPr>
              <w:spacing w:line="240" w:lineRule="auto"/>
              <w:ind w:left="-57" w:right="-57"/>
              <w:rPr>
                <w:rFonts w:asciiTheme="minorHAnsi" w:hAnsiTheme="minorHAnsi" w:cstheme="minorHAnsi"/>
                <w:b/>
                <w:sz w:val="22"/>
                <w:szCs w:val="22"/>
              </w:rPr>
            </w:pPr>
            <w:r w:rsidRPr="002F2EC5">
              <w:rPr>
                <w:rFonts w:asciiTheme="minorHAnsi" w:hAnsiTheme="minorHAnsi" w:cstheme="minorHAnsi"/>
                <w:b/>
                <w:sz w:val="22"/>
                <w:szCs w:val="22"/>
              </w:rPr>
              <w:t>Popis dle metodiky</w:t>
            </w:r>
          </w:p>
        </w:tc>
      </w:tr>
      <w:tr w:rsidR="00512901" w:rsidRPr="00512901" w14:paraId="7402EF00" w14:textId="77777777" w:rsidTr="00512901">
        <w:tc>
          <w:tcPr>
            <w:tcW w:w="1413" w:type="dxa"/>
            <w:vAlign w:val="center"/>
          </w:tcPr>
          <w:p w14:paraId="39C7131C" w14:textId="77777777" w:rsidR="00F20B74" w:rsidRDefault="00512901" w:rsidP="00512901">
            <w:pPr>
              <w:spacing w:line="240" w:lineRule="auto"/>
              <w:ind w:left="-57" w:right="-57"/>
              <w:rPr>
                <w:rFonts w:asciiTheme="minorHAnsi" w:hAnsiTheme="minorHAnsi" w:cstheme="minorHAnsi"/>
                <w:sz w:val="22"/>
                <w:szCs w:val="22"/>
              </w:rPr>
            </w:pPr>
            <w:r w:rsidRPr="00512901">
              <w:rPr>
                <w:rFonts w:asciiTheme="minorHAnsi" w:hAnsiTheme="minorHAnsi" w:cstheme="minorHAnsi"/>
                <w:sz w:val="22"/>
                <w:szCs w:val="22"/>
              </w:rPr>
              <w:t xml:space="preserve">Krok 1: </w:t>
            </w:r>
          </w:p>
          <w:p w14:paraId="597CF6C9" w14:textId="70EFC78B" w:rsidR="00512901" w:rsidRPr="00512901" w:rsidRDefault="00512901" w:rsidP="00512901">
            <w:pPr>
              <w:spacing w:line="240" w:lineRule="auto"/>
              <w:ind w:left="-57" w:right="-57"/>
              <w:rPr>
                <w:rFonts w:asciiTheme="minorHAnsi" w:hAnsiTheme="minorHAnsi" w:cstheme="minorHAnsi"/>
                <w:sz w:val="22"/>
                <w:szCs w:val="22"/>
              </w:rPr>
            </w:pPr>
            <w:r w:rsidRPr="00512901">
              <w:rPr>
                <w:rFonts w:asciiTheme="minorHAnsi" w:hAnsiTheme="minorHAnsi" w:cstheme="minorHAnsi"/>
                <w:sz w:val="22"/>
                <w:szCs w:val="22"/>
              </w:rPr>
              <w:t>Určení zdrojů nefinančního charakteru a odhad finančních nákladů</w:t>
            </w:r>
          </w:p>
        </w:tc>
        <w:tc>
          <w:tcPr>
            <w:tcW w:w="7654" w:type="dxa"/>
            <w:vAlign w:val="center"/>
          </w:tcPr>
          <w:p w14:paraId="095D4C24" w14:textId="47013095" w:rsidR="00512901" w:rsidRDefault="00512901" w:rsidP="00512901">
            <w:pPr>
              <w:spacing w:line="240" w:lineRule="auto"/>
              <w:jc w:val="both"/>
              <w:rPr>
                <w:rFonts w:asciiTheme="minorHAnsi" w:hAnsiTheme="minorHAnsi"/>
                <w:sz w:val="22"/>
                <w:szCs w:val="22"/>
              </w:rPr>
            </w:pPr>
            <w:r w:rsidRPr="00512901">
              <w:rPr>
                <w:rFonts w:asciiTheme="minorHAnsi" w:hAnsiTheme="minorHAnsi"/>
                <w:sz w:val="22"/>
                <w:szCs w:val="22"/>
              </w:rPr>
              <w:t xml:space="preserve">V prvním kroku </w:t>
            </w:r>
            <w:r w:rsidR="005E5B17">
              <w:rPr>
                <w:rFonts w:asciiTheme="minorHAnsi" w:hAnsiTheme="minorHAnsi"/>
                <w:sz w:val="22"/>
                <w:szCs w:val="22"/>
              </w:rPr>
              <w:t xml:space="preserve">se </w:t>
            </w:r>
            <w:r w:rsidRPr="00512901">
              <w:rPr>
                <w:rFonts w:asciiTheme="minorHAnsi" w:hAnsiTheme="minorHAnsi"/>
                <w:sz w:val="22"/>
                <w:szCs w:val="22"/>
              </w:rPr>
              <w:t>určí s pomocí hierarchické struktury prací</w:t>
            </w:r>
            <w:r w:rsidR="001E224D">
              <w:rPr>
                <w:rFonts w:asciiTheme="minorHAnsi" w:hAnsiTheme="minorHAnsi"/>
                <w:sz w:val="22"/>
                <w:szCs w:val="22"/>
              </w:rPr>
              <w:t>,</w:t>
            </w:r>
            <w:r w:rsidRPr="00512901">
              <w:rPr>
                <w:rFonts w:asciiTheme="minorHAnsi" w:hAnsiTheme="minorHAnsi"/>
                <w:sz w:val="22"/>
                <w:szCs w:val="22"/>
              </w:rPr>
              <w:t xml:space="preserve"> jaké zdroje nefinančního charakteru budou potřebné pro realizaci strategie. Mezi zdroje nefinančního charakteru se řadí takové zdroje organizace, které má organizace již k dispozici a nemusí být tedy pořizovány nově, např.: </w:t>
            </w:r>
          </w:p>
          <w:p w14:paraId="4ED81C17" w14:textId="5224118B" w:rsidR="00512901" w:rsidRPr="00512901" w:rsidRDefault="00512901" w:rsidP="00A345DB">
            <w:pPr>
              <w:pStyle w:val="Odstavecseseznamem"/>
              <w:numPr>
                <w:ilvl w:val="0"/>
                <w:numId w:val="54"/>
              </w:numPr>
              <w:spacing w:line="240" w:lineRule="auto"/>
              <w:ind w:left="176" w:hanging="142"/>
              <w:jc w:val="both"/>
              <w:rPr>
                <w:rFonts w:asciiTheme="minorHAnsi" w:hAnsiTheme="minorHAnsi"/>
                <w:sz w:val="22"/>
                <w:szCs w:val="22"/>
              </w:rPr>
            </w:pPr>
            <w:r w:rsidRPr="00512901">
              <w:rPr>
                <w:rFonts w:asciiTheme="minorHAnsi" w:hAnsiTheme="minorHAnsi"/>
                <w:sz w:val="22"/>
                <w:szCs w:val="22"/>
              </w:rPr>
              <w:t>aktiva (nap</w:t>
            </w:r>
            <w:r w:rsidRPr="00512901">
              <w:rPr>
                <w:rFonts w:asciiTheme="minorHAnsi" w:hAnsiTheme="minorHAnsi" w:cs="Calibri"/>
                <w:sz w:val="22"/>
                <w:szCs w:val="22"/>
              </w:rPr>
              <w:t>ř</w:t>
            </w:r>
            <w:r w:rsidRPr="00512901">
              <w:rPr>
                <w:rFonts w:asciiTheme="minorHAnsi" w:hAnsiTheme="minorHAnsi"/>
                <w:sz w:val="22"/>
                <w:szCs w:val="22"/>
              </w:rPr>
              <w:t>. kancel</w:t>
            </w:r>
            <w:r w:rsidRPr="00512901">
              <w:rPr>
                <w:rFonts w:asciiTheme="minorHAnsi" w:hAnsiTheme="minorHAnsi" w:cs="Calibri"/>
                <w:sz w:val="22"/>
                <w:szCs w:val="22"/>
              </w:rPr>
              <w:t>ář</w:t>
            </w:r>
            <w:r w:rsidRPr="00512901">
              <w:rPr>
                <w:rFonts w:asciiTheme="minorHAnsi" w:hAnsiTheme="minorHAnsi"/>
                <w:sz w:val="22"/>
                <w:szCs w:val="22"/>
              </w:rPr>
              <w:t>sk</w:t>
            </w:r>
            <w:r w:rsidRPr="00512901">
              <w:rPr>
                <w:rFonts w:asciiTheme="minorHAnsi" w:hAnsiTheme="minorHAnsi" w:cs="Calibri"/>
                <w:sz w:val="22"/>
                <w:szCs w:val="22"/>
              </w:rPr>
              <w:t>é</w:t>
            </w:r>
            <w:r w:rsidRPr="00512901">
              <w:rPr>
                <w:rFonts w:asciiTheme="minorHAnsi" w:hAnsiTheme="minorHAnsi"/>
                <w:sz w:val="22"/>
                <w:szCs w:val="22"/>
              </w:rPr>
              <w:t xml:space="preserve"> prostory, IT vybaven</w:t>
            </w:r>
            <w:r w:rsidRPr="00512901">
              <w:rPr>
                <w:rFonts w:asciiTheme="minorHAnsi" w:hAnsiTheme="minorHAnsi" w:cs="Calibri"/>
                <w:sz w:val="22"/>
                <w:szCs w:val="22"/>
              </w:rPr>
              <w:t>í</w:t>
            </w:r>
            <w:r w:rsidRPr="00512901">
              <w:rPr>
                <w:rFonts w:asciiTheme="minorHAnsi" w:hAnsiTheme="minorHAnsi"/>
                <w:sz w:val="22"/>
                <w:szCs w:val="22"/>
              </w:rPr>
              <w:t>, datov</w:t>
            </w:r>
            <w:r w:rsidRPr="00512901">
              <w:rPr>
                <w:rFonts w:asciiTheme="minorHAnsi" w:hAnsiTheme="minorHAnsi" w:cs="Calibri"/>
                <w:sz w:val="22"/>
                <w:szCs w:val="22"/>
              </w:rPr>
              <w:t>é</w:t>
            </w:r>
            <w:r w:rsidRPr="00512901">
              <w:rPr>
                <w:rFonts w:asciiTheme="minorHAnsi" w:hAnsiTheme="minorHAnsi"/>
                <w:sz w:val="22"/>
                <w:szCs w:val="22"/>
              </w:rPr>
              <w:t xml:space="preserve"> a informa</w:t>
            </w:r>
            <w:r w:rsidRPr="00512901">
              <w:rPr>
                <w:rFonts w:asciiTheme="minorHAnsi" w:hAnsiTheme="minorHAnsi" w:cs="Calibri"/>
                <w:sz w:val="22"/>
                <w:szCs w:val="22"/>
              </w:rPr>
              <w:t>č</w:t>
            </w:r>
            <w:r w:rsidRPr="00512901">
              <w:rPr>
                <w:rFonts w:asciiTheme="minorHAnsi" w:hAnsiTheme="minorHAnsi"/>
                <w:sz w:val="22"/>
                <w:szCs w:val="22"/>
              </w:rPr>
              <w:t>n</w:t>
            </w:r>
            <w:r w:rsidRPr="00512901">
              <w:rPr>
                <w:rFonts w:asciiTheme="minorHAnsi" w:hAnsiTheme="minorHAnsi" w:cs="Calibri"/>
                <w:sz w:val="22"/>
                <w:szCs w:val="22"/>
              </w:rPr>
              <w:t>í</w:t>
            </w:r>
            <w:r w:rsidRPr="00512901">
              <w:rPr>
                <w:rFonts w:asciiTheme="minorHAnsi" w:hAnsiTheme="minorHAnsi"/>
                <w:sz w:val="22"/>
                <w:szCs w:val="22"/>
              </w:rPr>
              <w:t xml:space="preserve"> syst</w:t>
            </w:r>
            <w:r w:rsidRPr="00512901">
              <w:rPr>
                <w:rFonts w:asciiTheme="minorHAnsi" w:hAnsiTheme="minorHAnsi" w:cs="Calibri"/>
                <w:sz w:val="22"/>
                <w:szCs w:val="22"/>
              </w:rPr>
              <w:t>é</w:t>
            </w:r>
            <w:r w:rsidRPr="00512901">
              <w:rPr>
                <w:rFonts w:asciiTheme="minorHAnsi" w:hAnsiTheme="minorHAnsi"/>
                <w:sz w:val="22"/>
                <w:szCs w:val="22"/>
              </w:rPr>
              <w:t xml:space="preserve">my atd.), </w:t>
            </w:r>
          </w:p>
          <w:p w14:paraId="33FD2582" w14:textId="3C5635D0" w:rsidR="00512901" w:rsidRPr="00512901" w:rsidRDefault="00512901" w:rsidP="00A345DB">
            <w:pPr>
              <w:pStyle w:val="Odstavecseseznamem"/>
              <w:numPr>
                <w:ilvl w:val="0"/>
                <w:numId w:val="54"/>
              </w:numPr>
              <w:spacing w:line="240" w:lineRule="auto"/>
              <w:ind w:left="176" w:hanging="142"/>
              <w:jc w:val="both"/>
              <w:rPr>
                <w:rFonts w:asciiTheme="minorHAnsi" w:hAnsiTheme="minorHAnsi"/>
                <w:sz w:val="22"/>
                <w:szCs w:val="22"/>
              </w:rPr>
            </w:pPr>
            <w:r w:rsidRPr="00512901">
              <w:rPr>
                <w:rFonts w:asciiTheme="minorHAnsi" w:hAnsiTheme="minorHAnsi"/>
                <w:sz w:val="22"/>
                <w:szCs w:val="22"/>
              </w:rPr>
              <w:t>technologie a slu</w:t>
            </w:r>
            <w:r w:rsidRPr="00512901">
              <w:rPr>
                <w:rFonts w:asciiTheme="minorHAnsi" w:hAnsiTheme="minorHAnsi" w:cs="Calibri"/>
                <w:sz w:val="22"/>
                <w:szCs w:val="22"/>
              </w:rPr>
              <w:t>ž</w:t>
            </w:r>
            <w:r w:rsidRPr="00512901">
              <w:rPr>
                <w:rFonts w:asciiTheme="minorHAnsi" w:hAnsiTheme="minorHAnsi"/>
                <w:sz w:val="22"/>
                <w:szCs w:val="22"/>
              </w:rPr>
              <w:t xml:space="preserve">by, </w:t>
            </w:r>
          </w:p>
          <w:p w14:paraId="78B5E559" w14:textId="06B8B1FB" w:rsidR="00512901" w:rsidRPr="00512901" w:rsidRDefault="00512901" w:rsidP="00A345DB">
            <w:pPr>
              <w:pStyle w:val="Odstavecseseznamem"/>
              <w:numPr>
                <w:ilvl w:val="0"/>
                <w:numId w:val="54"/>
              </w:numPr>
              <w:spacing w:line="240" w:lineRule="auto"/>
              <w:ind w:left="176" w:hanging="142"/>
              <w:jc w:val="both"/>
              <w:rPr>
                <w:rFonts w:asciiTheme="minorHAnsi" w:hAnsiTheme="minorHAnsi"/>
                <w:sz w:val="22"/>
                <w:szCs w:val="22"/>
              </w:rPr>
            </w:pPr>
            <w:r w:rsidRPr="00512901">
              <w:rPr>
                <w:rFonts w:asciiTheme="minorHAnsi" w:hAnsiTheme="minorHAnsi"/>
                <w:sz w:val="22"/>
                <w:szCs w:val="22"/>
              </w:rPr>
              <w:t>lidsk</w:t>
            </w:r>
            <w:r w:rsidRPr="00512901">
              <w:rPr>
                <w:rFonts w:asciiTheme="minorHAnsi" w:hAnsiTheme="minorHAnsi" w:cs="Calibri"/>
                <w:sz w:val="22"/>
                <w:szCs w:val="22"/>
              </w:rPr>
              <w:t>é</w:t>
            </w:r>
            <w:r w:rsidRPr="00512901">
              <w:rPr>
                <w:rFonts w:asciiTheme="minorHAnsi" w:hAnsiTheme="minorHAnsi"/>
                <w:sz w:val="22"/>
                <w:szCs w:val="22"/>
              </w:rPr>
              <w:t xml:space="preserve"> zdroje vč. expertů v dané oblasti, </w:t>
            </w:r>
          </w:p>
          <w:p w14:paraId="295BBF7F" w14:textId="60BCD15F" w:rsidR="00512901" w:rsidRPr="00512901" w:rsidRDefault="00512901" w:rsidP="00A345DB">
            <w:pPr>
              <w:pStyle w:val="Odstavecseseznamem"/>
              <w:numPr>
                <w:ilvl w:val="0"/>
                <w:numId w:val="54"/>
              </w:numPr>
              <w:spacing w:line="240" w:lineRule="auto"/>
              <w:ind w:left="176" w:hanging="142"/>
              <w:jc w:val="both"/>
              <w:rPr>
                <w:rFonts w:asciiTheme="minorHAnsi" w:hAnsiTheme="minorHAnsi"/>
                <w:sz w:val="22"/>
                <w:szCs w:val="22"/>
              </w:rPr>
            </w:pPr>
            <w:r w:rsidRPr="00512901">
              <w:rPr>
                <w:rFonts w:asciiTheme="minorHAnsi" w:hAnsiTheme="minorHAnsi"/>
                <w:sz w:val="22"/>
                <w:szCs w:val="22"/>
              </w:rPr>
              <w:t>organiza</w:t>
            </w:r>
            <w:r w:rsidRPr="00512901">
              <w:rPr>
                <w:rFonts w:asciiTheme="minorHAnsi" w:hAnsiTheme="minorHAnsi" w:cs="Calibri"/>
                <w:sz w:val="22"/>
                <w:szCs w:val="22"/>
              </w:rPr>
              <w:t>č</w:t>
            </w:r>
            <w:r w:rsidRPr="00512901">
              <w:rPr>
                <w:rFonts w:asciiTheme="minorHAnsi" w:hAnsiTheme="minorHAnsi"/>
                <w:sz w:val="22"/>
                <w:szCs w:val="22"/>
              </w:rPr>
              <w:t>n</w:t>
            </w:r>
            <w:r w:rsidRPr="00512901">
              <w:rPr>
                <w:rFonts w:asciiTheme="minorHAnsi" w:hAnsiTheme="minorHAnsi" w:cs="Calibri"/>
                <w:sz w:val="22"/>
                <w:szCs w:val="22"/>
              </w:rPr>
              <w:t>í</w:t>
            </w:r>
            <w:r w:rsidRPr="00512901">
              <w:rPr>
                <w:rFonts w:asciiTheme="minorHAnsi" w:hAnsiTheme="minorHAnsi"/>
                <w:sz w:val="22"/>
                <w:szCs w:val="22"/>
              </w:rPr>
              <w:t xml:space="preserve"> struktury. </w:t>
            </w:r>
          </w:p>
          <w:p w14:paraId="41EE74C8" w14:textId="0C122892" w:rsidR="00512901" w:rsidRPr="00512901" w:rsidRDefault="00512901" w:rsidP="00512901">
            <w:pPr>
              <w:spacing w:line="240" w:lineRule="auto"/>
              <w:jc w:val="both"/>
              <w:rPr>
                <w:rFonts w:asciiTheme="minorHAnsi" w:hAnsiTheme="minorHAnsi" w:cstheme="minorHAnsi"/>
                <w:sz w:val="22"/>
                <w:szCs w:val="22"/>
              </w:rPr>
            </w:pPr>
            <w:r w:rsidRPr="00512901">
              <w:rPr>
                <w:rFonts w:asciiTheme="minorHAnsi" w:hAnsiTheme="minorHAnsi"/>
                <w:sz w:val="22"/>
                <w:szCs w:val="22"/>
              </w:rPr>
              <w:t>Odhad finan</w:t>
            </w:r>
            <w:r w:rsidRPr="00512901">
              <w:rPr>
                <w:rFonts w:ascii="Calibri" w:hAnsi="Calibri" w:cs="Calibri"/>
                <w:sz w:val="22"/>
                <w:szCs w:val="22"/>
              </w:rPr>
              <w:t>č</w:t>
            </w:r>
            <w:r w:rsidRPr="00512901">
              <w:rPr>
                <w:rFonts w:asciiTheme="minorHAnsi" w:hAnsiTheme="minorHAnsi"/>
                <w:sz w:val="22"/>
                <w:szCs w:val="22"/>
              </w:rPr>
              <w:t>n</w:t>
            </w:r>
            <w:r w:rsidRPr="00512901">
              <w:rPr>
                <w:rFonts w:ascii="Calibri" w:hAnsi="Calibri" w:cs="Calibri"/>
                <w:sz w:val="22"/>
                <w:szCs w:val="22"/>
              </w:rPr>
              <w:t>í</w:t>
            </w:r>
            <w:r w:rsidRPr="00512901">
              <w:rPr>
                <w:rFonts w:asciiTheme="minorHAnsi" w:hAnsiTheme="minorHAnsi"/>
                <w:sz w:val="22"/>
                <w:szCs w:val="22"/>
              </w:rPr>
              <w:t>ch n</w:t>
            </w:r>
            <w:r w:rsidRPr="00512901">
              <w:rPr>
                <w:rFonts w:ascii="Calibri" w:hAnsi="Calibri" w:cs="Calibri"/>
                <w:sz w:val="22"/>
                <w:szCs w:val="22"/>
              </w:rPr>
              <w:t>á</w:t>
            </w:r>
            <w:r w:rsidRPr="00512901">
              <w:rPr>
                <w:rFonts w:asciiTheme="minorHAnsi" w:hAnsiTheme="minorHAnsi"/>
                <w:sz w:val="22"/>
                <w:szCs w:val="22"/>
              </w:rPr>
              <w:t>klad</w:t>
            </w:r>
            <w:r w:rsidRPr="00512901">
              <w:rPr>
                <w:rFonts w:ascii="Calibri" w:hAnsi="Calibri" w:cs="Calibri"/>
                <w:sz w:val="22"/>
                <w:szCs w:val="22"/>
              </w:rPr>
              <w:t>ů</w:t>
            </w:r>
            <w:r w:rsidRPr="00512901">
              <w:rPr>
                <w:rFonts w:asciiTheme="minorHAnsi" w:hAnsiTheme="minorHAnsi"/>
                <w:sz w:val="22"/>
                <w:szCs w:val="22"/>
              </w:rPr>
              <w:t xml:space="preserve"> realizace strategie je v</w:t>
            </w:r>
            <w:r w:rsidRPr="00512901">
              <w:rPr>
                <w:rFonts w:ascii="Calibri" w:hAnsi="Calibri" w:cs="Calibri"/>
                <w:sz w:val="22"/>
                <w:szCs w:val="22"/>
              </w:rPr>
              <w:t>ý</w:t>
            </w:r>
            <w:r>
              <w:rPr>
                <w:rFonts w:asciiTheme="minorHAnsi" w:hAnsiTheme="minorHAnsi"/>
                <w:sz w:val="22"/>
                <w:szCs w:val="22"/>
              </w:rPr>
              <w:t>stupem f</w:t>
            </w:r>
            <w:r w:rsidRPr="00512901">
              <w:rPr>
                <w:rFonts w:ascii="Calibri" w:hAnsi="Calibri" w:cs="Calibri"/>
                <w:sz w:val="22"/>
                <w:szCs w:val="22"/>
              </w:rPr>
              <w:t>á</w:t>
            </w:r>
            <w:r w:rsidRPr="00512901">
              <w:rPr>
                <w:rFonts w:asciiTheme="minorHAnsi" w:hAnsiTheme="minorHAnsi"/>
                <w:sz w:val="22"/>
                <w:szCs w:val="22"/>
              </w:rPr>
              <w:t>ze 5.</w:t>
            </w:r>
          </w:p>
        </w:tc>
      </w:tr>
      <w:tr w:rsidR="00512901" w:rsidRPr="00512901" w14:paraId="45C8AC40" w14:textId="77777777" w:rsidTr="00512901">
        <w:tc>
          <w:tcPr>
            <w:tcW w:w="1413" w:type="dxa"/>
            <w:vAlign w:val="center"/>
          </w:tcPr>
          <w:p w14:paraId="3C1D15E3" w14:textId="2F1D9647" w:rsidR="00512901" w:rsidRPr="00512901" w:rsidRDefault="00512901" w:rsidP="00512901">
            <w:pPr>
              <w:spacing w:line="240" w:lineRule="auto"/>
              <w:ind w:left="-57" w:right="-57"/>
              <w:rPr>
                <w:rFonts w:asciiTheme="minorHAnsi" w:hAnsiTheme="minorHAnsi" w:cstheme="minorHAnsi"/>
                <w:sz w:val="22"/>
                <w:szCs w:val="22"/>
              </w:rPr>
            </w:pPr>
            <w:r w:rsidRPr="00512901">
              <w:rPr>
                <w:rFonts w:asciiTheme="minorHAnsi" w:hAnsiTheme="minorHAnsi" w:cstheme="minorHAnsi"/>
                <w:sz w:val="22"/>
                <w:szCs w:val="22"/>
              </w:rPr>
              <w:t xml:space="preserve">Krok 2: </w:t>
            </w:r>
            <w:r w:rsidRPr="002F2EC5">
              <w:rPr>
                <w:rFonts w:asciiTheme="minorHAnsi" w:hAnsiTheme="minorHAnsi" w:cstheme="minorHAnsi"/>
                <w:b/>
                <w:sz w:val="22"/>
                <w:szCs w:val="22"/>
              </w:rPr>
              <w:t>Sestavení rozpočtu</w:t>
            </w:r>
          </w:p>
        </w:tc>
        <w:tc>
          <w:tcPr>
            <w:tcW w:w="7654" w:type="dxa"/>
            <w:vAlign w:val="center"/>
          </w:tcPr>
          <w:p w14:paraId="5697EF7E" w14:textId="4BA1BDF5" w:rsidR="00512901" w:rsidRPr="00512901" w:rsidRDefault="00512901" w:rsidP="00C245B9">
            <w:pPr>
              <w:spacing w:line="240" w:lineRule="auto"/>
              <w:ind w:left="-57" w:right="-57"/>
              <w:jc w:val="both"/>
              <w:rPr>
                <w:rFonts w:asciiTheme="minorHAnsi" w:hAnsiTheme="minorHAnsi"/>
                <w:sz w:val="22"/>
                <w:szCs w:val="22"/>
              </w:rPr>
            </w:pPr>
            <w:r w:rsidRPr="00512901">
              <w:rPr>
                <w:rFonts w:asciiTheme="minorHAnsi" w:hAnsiTheme="minorHAnsi"/>
                <w:sz w:val="22"/>
                <w:szCs w:val="22"/>
              </w:rPr>
              <w:t xml:space="preserve">Ve druhém kroku </w:t>
            </w:r>
            <w:r w:rsidR="006635DF">
              <w:rPr>
                <w:rFonts w:asciiTheme="minorHAnsi" w:hAnsiTheme="minorHAnsi"/>
                <w:sz w:val="22"/>
                <w:szCs w:val="22"/>
              </w:rPr>
              <w:t xml:space="preserve">se </w:t>
            </w:r>
            <w:r w:rsidRPr="00512901">
              <w:rPr>
                <w:rFonts w:asciiTheme="minorHAnsi" w:hAnsiTheme="minorHAnsi"/>
                <w:sz w:val="22"/>
                <w:szCs w:val="22"/>
              </w:rPr>
              <w:t>sestaví rozpočet implementace strategie. V běžném chápání jde o souhrn finančních požadavků potřebných pro realizaci strategie a návrh na j</w:t>
            </w:r>
            <w:r w:rsidR="006635DF">
              <w:rPr>
                <w:rFonts w:asciiTheme="minorHAnsi" w:hAnsiTheme="minorHAnsi"/>
                <w:sz w:val="22"/>
                <w:szCs w:val="22"/>
              </w:rPr>
              <w:t>ejich pokrytí / zajištění</w:t>
            </w:r>
            <w:r>
              <w:rPr>
                <w:rFonts w:asciiTheme="minorHAnsi" w:hAnsiTheme="minorHAnsi"/>
                <w:sz w:val="22"/>
                <w:szCs w:val="22"/>
              </w:rPr>
              <w:t xml:space="preserve">. </w:t>
            </w:r>
            <w:r w:rsidRPr="002F2EC5">
              <w:rPr>
                <w:rFonts w:asciiTheme="minorHAnsi" w:hAnsiTheme="minorHAnsi"/>
                <w:b/>
                <w:sz w:val="22"/>
                <w:szCs w:val="22"/>
              </w:rPr>
              <w:t>Měl by být sestaven jako souhrn výdajů potřebných pro realizaci strategie a příjmů</w:t>
            </w:r>
            <w:r w:rsidR="000F4F7F">
              <w:rPr>
                <w:rFonts w:asciiTheme="minorHAnsi" w:hAnsiTheme="minorHAnsi"/>
                <w:b/>
                <w:sz w:val="22"/>
                <w:szCs w:val="22"/>
              </w:rPr>
              <w:t>,</w:t>
            </w:r>
            <w:r w:rsidRPr="002F2EC5">
              <w:rPr>
                <w:rFonts w:asciiTheme="minorHAnsi" w:hAnsiTheme="minorHAnsi"/>
                <w:b/>
                <w:sz w:val="22"/>
                <w:szCs w:val="22"/>
              </w:rPr>
              <w:t xml:space="preserve"> pokud je strategie generuje, a to v jednotlivých letech platnosti strategie a celkově.</w:t>
            </w:r>
            <w:r w:rsidRPr="00512901">
              <w:rPr>
                <w:rFonts w:asciiTheme="minorHAnsi" w:hAnsiTheme="minorHAnsi"/>
                <w:sz w:val="22"/>
                <w:szCs w:val="22"/>
              </w:rPr>
              <w:t xml:space="preserve"> Je důležité, aby do rozpočtu byly zahrnuty </w:t>
            </w:r>
            <w:r w:rsidR="006635DF">
              <w:rPr>
                <w:rFonts w:asciiTheme="minorHAnsi" w:hAnsiTheme="minorHAnsi"/>
                <w:sz w:val="22"/>
                <w:szCs w:val="22"/>
              </w:rPr>
              <w:t xml:space="preserve">výdaje </w:t>
            </w:r>
            <w:r w:rsidRPr="00512901">
              <w:rPr>
                <w:rFonts w:asciiTheme="minorHAnsi" w:hAnsiTheme="minorHAnsi"/>
                <w:sz w:val="22"/>
                <w:szCs w:val="22"/>
              </w:rPr>
              <w:t>na realizaci v</w:t>
            </w:r>
            <w:r>
              <w:rPr>
                <w:rFonts w:asciiTheme="minorHAnsi" w:hAnsiTheme="minorHAnsi"/>
                <w:sz w:val="22"/>
                <w:szCs w:val="22"/>
              </w:rPr>
              <w:t>šech opatření</w:t>
            </w:r>
            <w:r w:rsidRPr="00512901">
              <w:rPr>
                <w:rFonts w:asciiTheme="minorHAnsi" w:hAnsiTheme="minorHAnsi"/>
                <w:sz w:val="22"/>
                <w:szCs w:val="22"/>
              </w:rPr>
              <w:t xml:space="preserve">.  </w:t>
            </w:r>
            <w:r w:rsidR="00F073D3">
              <w:rPr>
                <w:rFonts w:asciiTheme="minorHAnsi" w:hAnsiTheme="minorHAnsi"/>
                <w:sz w:val="22"/>
                <w:szCs w:val="22"/>
              </w:rPr>
              <w:t>Lze</w:t>
            </w:r>
            <w:r w:rsidRPr="00512901">
              <w:rPr>
                <w:rFonts w:asciiTheme="minorHAnsi" w:hAnsiTheme="minorHAnsi"/>
                <w:sz w:val="22"/>
                <w:szCs w:val="22"/>
              </w:rPr>
              <w:t xml:space="preserve"> při sestavení rozpočtu postupovat tak, že </w:t>
            </w:r>
            <w:r w:rsidR="00F073D3">
              <w:rPr>
                <w:rFonts w:asciiTheme="minorHAnsi" w:hAnsiTheme="minorHAnsi"/>
                <w:sz w:val="22"/>
                <w:szCs w:val="22"/>
              </w:rPr>
              <w:t xml:space="preserve">se </w:t>
            </w:r>
            <w:r w:rsidRPr="00512901">
              <w:rPr>
                <w:rFonts w:asciiTheme="minorHAnsi" w:hAnsiTheme="minorHAnsi"/>
                <w:sz w:val="22"/>
                <w:szCs w:val="22"/>
              </w:rPr>
              <w:t xml:space="preserve">stanoví </w:t>
            </w:r>
            <w:r w:rsidR="00F073D3">
              <w:rPr>
                <w:rFonts w:asciiTheme="minorHAnsi" w:hAnsiTheme="minorHAnsi"/>
                <w:sz w:val="22"/>
                <w:szCs w:val="22"/>
              </w:rPr>
              <w:t>výdaje</w:t>
            </w:r>
            <w:r w:rsidRPr="00512901">
              <w:rPr>
                <w:rFonts w:asciiTheme="minorHAnsi" w:hAnsiTheme="minorHAnsi"/>
                <w:sz w:val="22"/>
                <w:szCs w:val="22"/>
              </w:rPr>
              <w:t xml:space="preserve"> na realizaci všech opatření (aktivit, úkolů), které </w:t>
            </w:r>
            <w:r w:rsidR="00F073D3">
              <w:rPr>
                <w:rFonts w:asciiTheme="minorHAnsi" w:hAnsiTheme="minorHAnsi"/>
                <w:sz w:val="22"/>
                <w:szCs w:val="22"/>
              </w:rPr>
              <w:t>se následně agregují</w:t>
            </w:r>
            <w:r w:rsidRPr="00512901">
              <w:rPr>
                <w:rFonts w:asciiTheme="minorHAnsi" w:hAnsiTheme="minorHAnsi"/>
                <w:sz w:val="22"/>
                <w:szCs w:val="22"/>
              </w:rPr>
              <w:t>.</w:t>
            </w:r>
          </w:p>
          <w:p w14:paraId="5E98BF65" w14:textId="77777777" w:rsidR="00F073D3" w:rsidRDefault="00512901" w:rsidP="00F073D3">
            <w:pPr>
              <w:spacing w:line="240" w:lineRule="auto"/>
              <w:ind w:left="-57" w:right="-57"/>
              <w:jc w:val="both"/>
              <w:rPr>
                <w:rFonts w:asciiTheme="minorHAnsi" w:hAnsiTheme="minorHAnsi" w:cstheme="minorHAnsi"/>
                <w:sz w:val="22"/>
                <w:szCs w:val="22"/>
              </w:rPr>
            </w:pPr>
            <w:r w:rsidRPr="00512901">
              <w:rPr>
                <w:rFonts w:asciiTheme="minorHAnsi" w:hAnsiTheme="minorHAnsi" w:cstheme="minorHAnsi"/>
                <w:sz w:val="22"/>
                <w:szCs w:val="22"/>
              </w:rPr>
              <w:t xml:space="preserve">Rozpočet strategie by měl být sestaven v relevantním rozsahu v souladu s rozpočtovými pravidly státu nebo územních rozpočtů. </w:t>
            </w:r>
            <w:r w:rsidRPr="00F073D3">
              <w:rPr>
                <w:rFonts w:asciiTheme="minorHAnsi" w:hAnsiTheme="minorHAnsi" w:cstheme="minorHAnsi"/>
                <w:b/>
                <w:sz w:val="22"/>
                <w:szCs w:val="22"/>
              </w:rPr>
              <w:t>Vhodně sestavený rozpočet realizace strategie potom tvoří součty výdajů a případně příjmů</w:t>
            </w:r>
            <w:r w:rsidR="00F073D3">
              <w:rPr>
                <w:rFonts w:asciiTheme="minorHAnsi" w:hAnsiTheme="minorHAnsi" w:cstheme="minorHAnsi"/>
                <w:sz w:val="22"/>
                <w:szCs w:val="22"/>
              </w:rPr>
              <w:t>:</w:t>
            </w:r>
          </w:p>
          <w:p w14:paraId="467EF4FD" w14:textId="68B1AABE" w:rsidR="00512901" w:rsidRPr="00F073D3" w:rsidRDefault="00512901" w:rsidP="00A345DB">
            <w:pPr>
              <w:pStyle w:val="Odstavecseseznamem"/>
              <w:numPr>
                <w:ilvl w:val="0"/>
                <w:numId w:val="54"/>
              </w:numPr>
              <w:spacing w:line="240" w:lineRule="auto"/>
              <w:ind w:left="176" w:hanging="142"/>
              <w:jc w:val="both"/>
              <w:rPr>
                <w:rFonts w:asciiTheme="minorHAnsi" w:hAnsiTheme="minorHAnsi"/>
                <w:b/>
                <w:sz w:val="22"/>
                <w:szCs w:val="22"/>
              </w:rPr>
            </w:pPr>
            <w:r w:rsidRPr="00F073D3">
              <w:rPr>
                <w:rFonts w:asciiTheme="minorHAnsi" w:hAnsiTheme="minorHAnsi"/>
                <w:b/>
                <w:sz w:val="22"/>
                <w:szCs w:val="22"/>
              </w:rPr>
              <w:t xml:space="preserve">za jednotlivá opatření, </w:t>
            </w:r>
          </w:p>
          <w:p w14:paraId="0F896A00" w14:textId="77777777" w:rsidR="00512901" w:rsidRPr="00F073D3" w:rsidRDefault="00512901" w:rsidP="00A345DB">
            <w:pPr>
              <w:pStyle w:val="Odstavecseseznamem"/>
              <w:numPr>
                <w:ilvl w:val="0"/>
                <w:numId w:val="54"/>
              </w:numPr>
              <w:spacing w:line="240" w:lineRule="auto"/>
              <w:ind w:left="176" w:hanging="142"/>
              <w:jc w:val="both"/>
              <w:rPr>
                <w:rFonts w:asciiTheme="minorHAnsi" w:hAnsiTheme="minorHAnsi"/>
                <w:b/>
                <w:sz w:val="22"/>
                <w:szCs w:val="22"/>
              </w:rPr>
            </w:pPr>
            <w:r w:rsidRPr="00F073D3">
              <w:rPr>
                <w:rFonts w:asciiTheme="minorHAnsi" w:hAnsiTheme="minorHAnsi"/>
                <w:b/>
                <w:sz w:val="22"/>
                <w:szCs w:val="22"/>
              </w:rPr>
              <w:t xml:space="preserve">za běžné výdaje (příjmy) a kapitálové výdaje (příjmy), </w:t>
            </w:r>
          </w:p>
          <w:p w14:paraId="25B43E8B" w14:textId="77777777" w:rsidR="00512901" w:rsidRPr="00F073D3" w:rsidRDefault="00512901" w:rsidP="00A345DB">
            <w:pPr>
              <w:pStyle w:val="Odstavecseseznamem"/>
              <w:numPr>
                <w:ilvl w:val="0"/>
                <w:numId w:val="54"/>
              </w:numPr>
              <w:spacing w:line="240" w:lineRule="auto"/>
              <w:ind w:left="176" w:hanging="142"/>
              <w:jc w:val="both"/>
              <w:rPr>
                <w:rFonts w:asciiTheme="minorHAnsi" w:hAnsiTheme="minorHAnsi"/>
                <w:b/>
                <w:sz w:val="22"/>
                <w:szCs w:val="22"/>
              </w:rPr>
            </w:pPr>
            <w:r w:rsidRPr="00F073D3">
              <w:rPr>
                <w:rFonts w:asciiTheme="minorHAnsi" w:hAnsiTheme="minorHAnsi"/>
                <w:b/>
                <w:sz w:val="22"/>
                <w:szCs w:val="22"/>
              </w:rPr>
              <w:t xml:space="preserve">za jednotlivé roky, </w:t>
            </w:r>
          </w:p>
          <w:p w14:paraId="0ED02B59" w14:textId="77777777" w:rsidR="00512901" w:rsidRPr="00F073D3" w:rsidRDefault="00512901" w:rsidP="00A345DB">
            <w:pPr>
              <w:pStyle w:val="Odstavecseseznamem"/>
              <w:numPr>
                <w:ilvl w:val="0"/>
                <w:numId w:val="54"/>
              </w:numPr>
              <w:spacing w:line="240" w:lineRule="auto"/>
              <w:ind w:left="176" w:hanging="142"/>
              <w:jc w:val="both"/>
              <w:rPr>
                <w:rFonts w:asciiTheme="minorHAnsi" w:hAnsiTheme="minorHAnsi"/>
                <w:b/>
                <w:sz w:val="22"/>
                <w:szCs w:val="22"/>
              </w:rPr>
            </w:pPr>
            <w:r w:rsidRPr="00F073D3">
              <w:rPr>
                <w:rFonts w:asciiTheme="minorHAnsi" w:hAnsiTheme="minorHAnsi"/>
                <w:b/>
                <w:sz w:val="22"/>
                <w:szCs w:val="22"/>
              </w:rPr>
              <w:t xml:space="preserve">za jednotlivé kapitoly státního rozpočtu. </w:t>
            </w:r>
          </w:p>
          <w:p w14:paraId="42DD7B1C" w14:textId="00A19C0D" w:rsidR="00512901" w:rsidRPr="00512901" w:rsidRDefault="00512901" w:rsidP="00512901">
            <w:pPr>
              <w:spacing w:line="240" w:lineRule="auto"/>
              <w:jc w:val="both"/>
              <w:rPr>
                <w:rFonts w:asciiTheme="minorHAnsi" w:hAnsiTheme="minorHAnsi" w:cstheme="minorHAnsi"/>
                <w:sz w:val="22"/>
                <w:szCs w:val="22"/>
              </w:rPr>
            </w:pPr>
            <w:r w:rsidRPr="00512901">
              <w:rPr>
                <w:rFonts w:asciiTheme="minorHAnsi" w:hAnsiTheme="minorHAnsi" w:cstheme="minorHAnsi"/>
                <w:sz w:val="22"/>
                <w:szCs w:val="22"/>
              </w:rPr>
              <w:t xml:space="preserve">Rozpočet realizace strategie by dále měl </w:t>
            </w:r>
            <w:r w:rsidRPr="00F073D3">
              <w:rPr>
                <w:rFonts w:asciiTheme="minorHAnsi" w:hAnsiTheme="minorHAnsi" w:cstheme="minorHAnsi"/>
                <w:b/>
                <w:sz w:val="22"/>
                <w:szCs w:val="22"/>
              </w:rPr>
              <w:t>uvést své dopady na závazné ukazatele příslušné kapitoly státního rozpočtu</w:t>
            </w:r>
            <w:r w:rsidRPr="00512901">
              <w:rPr>
                <w:rFonts w:asciiTheme="minorHAnsi" w:hAnsiTheme="minorHAnsi" w:cstheme="minorHAnsi"/>
                <w:sz w:val="22"/>
                <w:szCs w:val="22"/>
              </w:rPr>
              <w:t xml:space="preserve"> (souhrnné ukazatele, specifické ukazatele, průřezové ukazatele).</w:t>
            </w:r>
          </w:p>
        </w:tc>
      </w:tr>
      <w:tr w:rsidR="00512901" w:rsidRPr="00512901" w14:paraId="15E5F53B" w14:textId="77777777" w:rsidTr="00512901">
        <w:tc>
          <w:tcPr>
            <w:tcW w:w="1413" w:type="dxa"/>
            <w:vAlign w:val="center"/>
          </w:tcPr>
          <w:p w14:paraId="052C8FFA" w14:textId="44F4EC6D" w:rsidR="00512901" w:rsidRPr="00512901" w:rsidRDefault="00512901" w:rsidP="002F2EC5">
            <w:pPr>
              <w:spacing w:line="240" w:lineRule="auto"/>
              <w:ind w:left="-57" w:right="-57"/>
              <w:rPr>
                <w:rFonts w:asciiTheme="minorHAnsi" w:hAnsiTheme="minorHAnsi" w:cstheme="minorHAnsi"/>
                <w:sz w:val="22"/>
                <w:szCs w:val="22"/>
              </w:rPr>
            </w:pPr>
            <w:r w:rsidRPr="00512901">
              <w:rPr>
                <w:rFonts w:asciiTheme="minorHAnsi" w:hAnsiTheme="minorHAnsi" w:cstheme="minorHAnsi"/>
                <w:sz w:val="22"/>
                <w:szCs w:val="22"/>
              </w:rPr>
              <w:t xml:space="preserve">Krok 3: Porovnání </w:t>
            </w:r>
            <w:r w:rsidRPr="00512901">
              <w:rPr>
                <w:rFonts w:asciiTheme="minorHAnsi" w:hAnsiTheme="minorHAnsi" w:cstheme="minorHAnsi"/>
                <w:sz w:val="22"/>
                <w:szCs w:val="22"/>
              </w:rPr>
              <w:lastRenderedPageBreak/>
              <w:t>vytvořeného rozpočtu s odhadem nákladů provedeného v</w:t>
            </w:r>
            <w:r w:rsidR="002F2EC5">
              <w:rPr>
                <w:rFonts w:asciiTheme="minorHAnsi" w:hAnsiTheme="minorHAnsi" w:cstheme="minorHAnsi"/>
                <w:sz w:val="22"/>
                <w:szCs w:val="22"/>
              </w:rPr>
              <w:t xml:space="preserve">e </w:t>
            </w:r>
            <w:r w:rsidRPr="00512901">
              <w:rPr>
                <w:rFonts w:asciiTheme="minorHAnsi" w:hAnsiTheme="minorHAnsi" w:cstheme="minorHAnsi"/>
                <w:sz w:val="22"/>
                <w:szCs w:val="22"/>
              </w:rPr>
              <w:t>fázi</w:t>
            </w:r>
            <w:r w:rsidR="002F2EC5">
              <w:rPr>
                <w:rFonts w:asciiTheme="minorHAnsi" w:hAnsiTheme="minorHAnsi" w:cstheme="minorHAnsi"/>
                <w:sz w:val="22"/>
                <w:szCs w:val="22"/>
              </w:rPr>
              <w:t xml:space="preserve"> 5</w:t>
            </w:r>
          </w:p>
        </w:tc>
        <w:tc>
          <w:tcPr>
            <w:tcW w:w="7654" w:type="dxa"/>
            <w:vAlign w:val="center"/>
          </w:tcPr>
          <w:p w14:paraId="199C228B" w14:textId="17013E6B" w:rsidR="00512901" w:rsidRPr="00512901" w:rsidRDefault="00512901" w:rsidP="00C245B9">
            <w:pPr>
              <w:spacing w:line="240" w:lineRule="auto"/>
              <w:ind w:left="-57" w:right="-57"/>
              <w:jc w:val="both"/>
              <w:rPr>
                <w:rFonts w:asciiTheme="minorHAnsi" w:hAnsiTheme="minorHAnsi" w:cstheme="minorHAnsi"/>
                <w:sz w:val="22"/>
                <w:szCs w:val="22"/>
              </w:rPr>
            </w:pPr>
            <w:r w:rsidRPr="00512901">
              <w:rPr>
                <w:rFonts w:asciiTheme="minorHAnsi" w:hAnsiTheme="minorHAnsi"/>
                <w:sz w:val="22"/>
                <w:szCs w:val="22"/>
              </w:rPr>
              <w:lastRenderedPageBreak/>
              <w:t xml:space="preserve">Ve třetím kroku </w:t>
            </w:r>
            <w:r w:rsidR="002F2EC5">
              <w:rPr>
                <w:rFonts w:asciiTheme="minorHAnsi" w:hAnsiTheme="minorHAnsi"/>
                <w:sz w:val="22"/>
                <w:szCs w:val="22"/>
              </w:rPr>
              <w:t xml:space="preserve">se </w:t>
            </w:r>
            <w:r w:rsidRPr="00512901">
              <w:rPr>
                <w:rFonts w:asciiTheme="minorHAnsi" w:hAnsiTheme="minorHAnsi"/>
                <w:sz w:val="22"/>
                <w:szCs w:val="22"/>
              </w:rPr>
              <w:t>porovná sestavený rozpočet s odhadem nákladů provedeným v</w:t>
            </w:r>
            <w:r w:rsidR="002F2EC5">
              <w:rPr>
                <w:rFonts w:asciiTheme="minorHAnsi" w:hAnsiTheme="minorHAnsi"/>
                <w:sz w:val="22"/>
                <w:szCs w:val="22"/>
              </w:rPr>
              <w:t>e fázi 5</w:t>
            </w:r>
            <w:r w:rsidRPr="00512901">
              <w:rPr>
                <w:rFonts w:asciiTheme="minorHAnsi" w:hAnsiTheme="minorHAnsi"/>
                <w:sz w:val="22"/>
                <w:szCs w:val="22"/>
              </w:rPr>
              <w:t xml:space="preserve">. Vytvořený rozpočet by se neměl výrazně lišit od původního odhadu. V případě </w:t>
            </w:r>
            <w:r w:rsidRPr="00512901">
              <w:rPr>
                <w:rFonts w:asciiTheme="minorHAnsi" w:hAnsiTheme="minorHAnsi"/>
                <w:sz w:val="22"/>
                <w:szCs w:val="22"/>
              </w:rPr>
              <w:lastRenderedPageBreak/>
              <w:t xml:space="preserve">významných rozdílů mezi odhadem a rozpočtem </w:t>
            </w:r>
            <w:r w:rsidR="002F2EC5">
              <w:rPr>
                <w:rFonts w:asciiTheme="minorHAnsi" w:hAnsiTheme="minorHAnsi"/>
                <w:sz w:val="22"/>
                <w:szCs w:val="22"/>
              </w:rPr>
              <w:t xml:space="preserve">se </w:t>
            </w:r>
            <w:r w:rsidRPr="00512901">
              <w:rPr>
                <w:rFonts w:asciiTheme="minorHAnsi" w:hAnsiTheme="minorHAnsi"/>
                <w:sz w:val="22"/>
                <w:szCs w:val="22"/>
              </w:rPr>
              <w:t>musí tento rozdíl odůvodnit, především jestliže sestavený rozpočet překračuje původní odhad. V takové situaci je také nutné zvážit, zda plánované zdroje jsou opravdu nezbytné pro realizaci strategie, nebo vyloučit či omezit některá opatření</w:t>
            </w:r>
            <w:r w:rsidR="000F4F7F">
              <w:rPr>
                <w:rFonts w:asciiTheme="minorHAnsi" w:hAnsiTheme="minorHAnsi"/>
                <w:sz w:val="22"/>
                <w:szCs w:val="22"/>
              </w:rPr>
              <w:t>,</w:t>
            </w:r>
            <w:r w:rsidRPr="00512901">
              <w:rPr>
                <w:rFonts w:asciiTheme="minorHAnsi" w:hAnsiTheme="minorHAnsi"/>
                <w:sz w:val="22"/>
                <w:szCs w:val="22"/>
              </w:rPr>
              <w:t xml:space="preserve"> resp. cíle, případně zda realizace strategie má probíhat i za výrazně vyšších nákladů, než bylo </w:t>
            </w:r>
            <w:r w:rsidR="002F2EC5">
              <w:rPr>
                <w:rFonts w:asciiTheme="minorHAnsi" w:hAnsiTheme="minorHAnsi"/>
                <w:sz w:val="22"/>
                <w:szCs w:val="22"/>
              </w:rPr>
              <w:t>ve fázi 5 odhadováno</w:t>
            </w:r>
            <w:r w:rsidRPr="00512901">
              <w:rPr>
                <w:rFonts w:asciiTheme="minorHAnsi" w:hAnsiTheme="minorHAnsi"/>
                <w:sz w:val="22"/>
                <w:szCs w:val="22"/>
              </w:rPr>
              <w:t xml:space="preserve">. </w:t>
            </w:r>
          </w:p>
        </w:tc>
      </w:tr>
      <w:tr w:rsidR="00512901" w:rsidRPr="00512901" w14:paraId="46617303" w14:textId="77777777" w:rsidTr="00512901">
        <w:tc>
          <w:tcPr>
            <w:tcW w:w="1413" w:type="dxa"/>
            <w:vAlign w:val="center"/>
          </w:tcPr>
          <w:p w14:paraId="111CD2DD" w14:textId="77777777" w:rsidR="00F20B74" w:rsidRDefault="00512901" w:rsidP="00512901">
            <w:pPr>
              <w:spacing w:line="240" w:lineRule="auto"/>
              <w:ind w:left="-57" w:right="-57"/>
              <w:rPr>
                <w:rFonts w:asciiTheme="minorHAnsi" w:hAnsiTheme="minorHAnsi" w:cstheme="minorHAnsi"/>
                <w:sz w:val="22"/>
                <w:szCs w:val="22"/>
              </w:rPr>
            </w:pPr>
            <w:r w:rsidRPr="00512901">
              <w:rPr>
                <w:rFonts w:asciiTheme="minorHAnsi" w:hAnsiTheme="minorHAnsi" w:cstheme="minorHAnsi"/>
                <w:sz w:val="22"/>
                <w:szCs w:val="22"/>
              </w:rPr>
              <w:lastRenderedPageBreak/>
              <w:t xml:space="preserve">Krok 4: </w:t>
            </w:r>
          </w:p>
          <w:p w14:paraId="0E5CB0AF" w14:textId="3D9826FF" w:rsidR="00512901" w:rsidRPr="00512901" w:rsidRDefault="00512901" w:rsidP="00512901">
            <w:pPr>
              <w:spacing w:line="240" w:lineRule="auto"/>
              <w:ind w:left="-57" w:right="-57"/>
              <w:rPr>
                <w:rFonts w:asciiTheme="minorHAnsi" w:hAnsiTheme="minorHAnsi" w:cstheme="minorHAnsi"/>
                <w:sz w:val="22"/>
                <w:szCs w:val="22"/>
              </w:rPr>
            </w:pPr>
            <w:r w:rsidRPr="00F20B74">
              <w:rPr>
                <w:rFonts w:asciiTheme="minorHAnsi" w:hAnsiTheme="minorHAnsi" w:cstheme="minorHAnsi"/>
                <w:b/>
                <w:sz w:val="22"/>
                <w:szCs w:val="22"/>
              </w:rPr>
              <w:t>Určení zdrojů financování jednolitých položek rozpočtu</w:t>
            </w:r>
          </w:p>
        </w:tc>
        <w:tc>
          <w:tcPr>
            <w:tcW w:w="7654" w:type="dxa"/>
            <w:vAlign w:val="center"/>
          </w:tcPr>
          <w:p w14:paraId="792EA8EA" w14:textId="549B3930" w:rsidR="00F20B74" w:rsidRDefault="00512901" w:rsidP="00C245B9">
            <w:pPr>
              <w:spacing w:after="40" w:line="240" w:lineRule="auto"/>
              <w:ind w:left="-57" w:right="-57"/>
              <w:jc w:val="both"/>
              <w:rPr>
                <w:rFonts w:asciiTheme="minorHAnsi" w:hAnsiTheme="minorHAnsi"/>
                <w:sz w:val="22"/>
                <w:szCs w:val="22"/>
              </w:rPr>
            </w:pPr>
            <w:r w:rsidRPr="00512901">
              <w:rPr>
                <w:rFonts w:asciiTheme="minorHAnsi" w:hAnsiTheme="minorHAnsi"/>
                <w:sz w:val="22"/>
                <w:szCs w:val="22"/>
              </w:rPr>
              <w:t xml:space="preserve">Ve čtvrtém kroku </w:t>
            </w:r>
            <w:r w:rsidR="00F20B74">
              <w:rPr>
                <w:rFonts w:asciiTheme="minorHAnsi" w:hAnsiTheme="minorHAnsi"/>
                <w:sz w:val="22"/>
                <w:szCs w:val="22"/>
              </w:rPr>
              <w:t xml:space="preserve">se </w:t>
            </w:r>
            <w:r w:rsidRPr="00512901">
              <w:rPr>
                <w:rFonts w:asciiTheme="minorHAnsi" w:hAnsiTheme="minorHAnsi"/>
                <w:sz w:val="22"/>
                <w:szCs w:val="22"/>
              </w:rPr>
              <w:t xml:space="preserve">určí ve spolupráci se subjekty zapojenými do implementace strategie </w:t>
            </w:r>
            <w:r w:rsidRPr="000D3BFE">
              <w:rPr>
                <w:rFonts w:asciiTheme="minorHAnsi" w:hAnsiTheme="minorHAnsi"/>
                <w:b/>
                <w:sz w:val="22"/>
                <w:szCs w:val="22"/>
              </w:rPr>
              <w:t>zdroje financování jednotlivých položek sestaveného rozpočtu</w:t>
            </w:r>
            <w:r w:rsidRPr="00512901">
              <w:rPr>
                <w:rFonts w:asciiTheme="minorHAnsi" w:hAnsiTheme="minorHAnsi"/>
                <w:sz w:val="22"/>
                <w:szCs w:val="22"/>
              </w:rPr>
              <w:t>. To může být zajištěno z prostředků nositele strategie. V případě zapojení více subjektů do implementace může být financování strategie zajištěno z</w:t>
            </w:r>
            <w:r w:rsidR="000F4F7F">
              <w:rPr>
                <w:rFonts w:asciiTheme="minorHAnsi" w:hAnsiTheme="minorHAnsi"/>
                <w:sz w:val="22"/>
                <w:szCs w:val="22"/>
              </w:rPr>
              <w:t> </w:t>
            </w:r>
            <w:r w:rsidRPr="00512901">
              <w:rPr>
                <w:rFonts w:asciiTheme="minorHAnsi" w:hAnsiTheme="minorHAnsi"/>
                <w:sz w:val="22"/>
                <w:szCs w:val="22"/>
              </w:rPr>
              <w:t>rozpočtu</w:t>
            </w:r>
            <w:r w:rsidR="000F4F7F">
              <w:rPr>
                <w:rFonts w:asciiTheme="minorHAnsi" w:hAnsiTheme="minorHAnsi"/>
                <w:sz w:val="22"/>
                <w:szCs w:val="22"/>
              </w:rPr>
              <w:t>,</w:t>
            </w:r>
            <w:r w:rsidRPr="00512901">
              <w:rPr>
                <w:rFonts w:asciiTheme="minorHAnsi" w:hAnsiTheme="minorHAnsi"/>
                <w:sz w:val="22"/>
                <w:szCs w:val="22"/>
              </w:rPr>
              <w:t xml:space="preserve"> resp. finančních prostředků těchto subjektů, kdy každý hradí příslušnou část </w:t>
            </w:r>
            <w:r w:rsidR="00F20B74">
              <w:rPr>
                <w:rFonts w:asciiTheme="minorHAnsi" w:hAnsiTheme="minorHAnsi"/>
                <w:sz w:val="22"/>
                <w:szCs w:val="22"/>
              </w:rPr>
              <w:t>výdajů</w:t>
            </w:r>
            <w:r w:rsidRPr="00512901">
              <w:rPr>
                <w:rFonts w:asciiTheme="minorHAnsi" w:hAnsiTheme="minorHAnsi"/>
                <w:sz w:val="22"/>
                <w:szCs w:val="22"/>
              </w:rPr>
              <w:t xml:space="preserve">. </w:t>
            </w:r>
          </w:p>
          <w:p w14:paraId="04A20362" w14:textId="77777777" w:rsidR="00F20B74" w:rsidRPr="00F20B74" w:rsidRDefault="00512901" w:rsidP="00C245B9">
            <w:pPr>
              <w:spacing w:after="40" w:line="240" w:lineRule="auto"/>
              <w:ind w:left="-57" w:right="-57"/>
              <w:jc w:val="both"/>
              <w:rPr>
                <w:rFonts w:asciiTheme="minorHAnsi" w:hAnsiTheme="minorHAnsi"/>
                <w:b/>
                <w:sz w:val="22"/>
                <w:szCs w:val="22"/>
                <w:u w:val="single"/>
              </w:rPr>
            </w:pPr>
            <w:r w:rsidRPr="00512901">
              <w:rPr>
                <w:rFonts w:asciiTheme="minorHAnsi" w:hAnsiTheme="minorHAnsi"/>
                <w:sz w:val="22"/>
                <w:szCs w:val="22"/>
              </w:rPr>
              <w:t xml:space="preserve">Klíčovým krokem je však reálné zajištění prostředků na financování strategie, respektive získání přiměřeného ujištění o možnosti financovat realizaci strategie z identifikovaného (určeného) zdroje. Naopak cílem tohoto kroku není získat pouze předběžný příslib poskytnutí zdrojů nebo identifikovat možné budoucí zdroje financování realizace strategie. </w:t>
            </w:r>
            <w:r w:rsidRPr="00F20B74">
              <w:rPr>
                <w:rFonts w:asciiTheme="minorHAnsi" w:hAnsiTheme="minorHAnsi"/>
                <w:b/>
                <w:sz w:val="22"/>
                <w:szCs w:val="22"/>
                <w:u w:val="single"/>
              </w:rPr>
              <w:t xml:space="preserve">Pokud se však nepodaří zajistit požadované finanční prostředky, bude nutné opětovně posoudit nezbytnost realizace všech navrhovaných opatření, vč. provedení jejich prioritizace. </w:t>
            </w:r>
          </w:p>
          <w:p w14:paraId="15654490" w14:textId="77777777" w:rsidR="00F20B74" w:rsidRPr="00F20B74" w:rsidRDefault="00512901" w:rsidP="00C245B9">
            <w:pPr>
              <w:spacing w:after="40" w:line="240" w:lineRule="auto"/>
              <w:ind w:left="-57" w:right="-57"/>
              <w:jc w:val="both"/>
              <w:rPr>
                <w:rFonts w:asciiTheme="minorHAnsi" w:hAnsiTheme="minorHAnsi"/>
                <w:b/>
                <w:sz w:val="22"/>
                <w:szCs w:val="22"/>
              </w:rPr>
            </w:pPr>
            <w:r w:rsidRPr="00F20B74">
              <w:rPr>
                <w:rFonts w:asciiTheme="minorHAnsi" w:hAnsiTheme="minorHAnsi"/>
                <w:b/>
                <w:sz w:val="22"/>
                <w:szCs w:val="22"/>
              </w:rPr>
              <w:t xml:space="preserve">S ohledem na postup sestavování státního rozpočtu je vhodné, aby strategie byla schválena v termínu, ve kterém bude možné příslušné výdaje zohlednit při přípravě státního rozpočtu (ročního rozpočtu i rozpočtového výhledu). </w:t>
            </w:r>
          </w:p>
          <w:p w14:paraId="14F2EC57" w14:textId="7BFF06CB" w:rsidR="00512901" w:rsidRPr="00512901" w:rsidRDefault="00512901" w:rsidP="00C245B9">
            <w:pPr>
              <w:spacing w:line="240" w:lineRule="auto"/>
              <w:ind w:left="-57" w:right="-57"/>
              <w:jc w:val="both"/>
              <w:rPr>
                <w:rFonts w:asciiTheme="minorHAnsi" w:hAnsiTheme="minorHAnsi" w:cstheme="minorHAnsi"/>
                <w:sz w:val="22"/>
                <w:szCs w:val="22"/>
              </w:rPr>
            </w:pPr>
            <w:r w:rsidRPr="000D3BFE">
              <w:rPr>
                <w:rFonts w:asciiTheme="minorHAnsi" w:hAnsiTheme="minorHAnsi"/>
                <w:b/>
                <w:sz w:val="22"/>
                <w:szCs w:val="22"/>
              </w:rPr>
              <w:t>Základním předpokladem</w:t>
            </w:r>
            <w:r w:rsidRPr="00512901">
              <w:rPr>
                <w:rFonts w:asciiTheme="minorHAnsi" w:hAnsiTheme="minorHAnsi"/>
                <w:sz w:val="22"/>
                <w:szCs w:val="22"/>
              </w:rPr>
              <w:t xml:space="preserve"> pro efektivní pr</w:t>
            </w:r>
            <w:r w:rsidR="00F67ABB">
              <w:rPr>
                <w:rFonts w:asciiTheme="minorHAnsi" w:hAnsiTheme="minorHAnsi"/>
                <w:sz w:val="22"/>
                <w:szCs w:val="22"/>
              </w:rPr>
              <w:t>o</w:t>
            </w:r>
            <w:r w:rsidRPr="00512901">
              <w:rPr>
                <w:rFonts w:asciiTheme="minorHAnsi" w:hAnsiTheme="minorHAnsi"/>
                <w:sz w:val="22"/>
                <w:szCs w:val="22"/>
              </w:rPr>
              <w:t xml:space="preserve">vazbu strategických záměrů do rozpočtu jednotlivých resortů je </w:t>
            </w:r>
            <w:r w:rsidRPr="000D3BFE">
              <w:rPr>
                <w:rFonts w:asciiTheme="minorHAnsi" w:hAnsiTheme="minorHAnsi"/>
                <w:b/>
                <w:sz w:val="22"/>
                <w:szCs w:val="22"/>
              </w:rPr>
              <w:t>zapojení ekonomických útvarů jednotlivých resortů</w:t>
            </w:r>
            <w:r w:rsidRPr="00512901">
              <w:rPr>
                <w:rFonts w:asciiTheme="minorHAnsi" w:hAnsiTheme="minorHAnsi"/>
                <w:sz w:val="22"/>
                <w:szCs w:val="22"/>
              </w:rPr>
              <w:t xml:space="preserve"> do přípravy strategií od samotného počátku vzniku strategie, respektive od vyhodnocování potřeby vzniku strategického dokumentu.</w:t>
            </w:r>
          </w:p>
        </w:tc>
      </w:tr>
    </w:tbl>
    <w:p w14:paraId="2F97C4BE" w14:textId="77777777" w:rsidR="00512901" w:rsidRDefault="00512901" w:rsidP="00512901">
      <w:pPr>
        <w:rPr>
          <w:rFonts w:asciiTheme="minorHAnsi" w:hAnsiTheme="minorHAnsi" w:cstheme="minorHAnsi"/>
          <w:i/>
        </w:rPr>
      </w:pPr>
      <w:r w:rsidRPr="005A5B33">
        <w:rPr>
          <w:rFonts w:asciiTheme="minorHAnsi" w:hAnsiTheme="minorHAnsi" w:cstheme="minorHAnsi"/>
          <w:i/>
        </w:rPr>
        <w:t>Zdroj: autoři dle MMR (2019</w:t>
      </w:r>
      <w:r>
        <w:rPr>
          <w:rFonts w:asciiTheme="minorHAnsi" w:hAnsiTheme="minorHAnsi" w:cstheme="minorHAnsi"/>
          <w:i/>
        </w:rPr>
        <w:t>)</w:t>
      </w:r>
    </w:p>
    <w:p w14:paraId="445518A4" w14:textId="77777777" w:rsidR="00512901" w:rsidRDefault="00512901" w:rsidP="0065698B">
      <w:pPr>
        <w:jc w:val="both"/>
        <w:rPr>
          <w:rFonts w:asciiTheme="minorHAnsi" w:hAnsiTheme="minorHAnsi" w:cstheme="minorHAnsi"/>
        </w:rPr>
      </w:pPr>
    </w:p>
    <w:p w14:paraId="2C1C3A8E" w14:textId="77777777" w:rsidR="008F20B1" w:rsidRPr="00272FE5" w:rsidRDefault="008F20B1" w:rsidP="008F20B1">
      <w:pPr>
        <w:rPr>
          <w:rFonts w:asciiTheme="minorHAnsi" w:hAnsiTheme="minorHAnsi" w:cstheme="minorHAnsi"/>
        </w:rPr>
      </w:pPr>
      <w:r w:rsidRPr="00272FE5">
        <w:rPr>
          <w:rFonts w:asciiTheme="minorHAnsi" w:hAnsiTheme="minorHAnsi" w:cstheme="minorHAnsi"/>
        </w:rPr>
        <w:t xml:space="preserve">V metodice je též uvedena vzorová </w:t>
      </w:r>
      <w:r w:rsidRPr="005A5B33">
        <w:rPr>
          <w:rFonts w:asciiTheme="minorHAnsi" w:hAnsiTheme="minorHAnsi" w:cstheme="minorHAnsi"/>
          <w:b/>
        </w:rPr>
        <w:t>struktura veřejné strategie</w:t>
      </w:r>
      <w:r w:rsidRPr="00272FE5">
        <w:rPr>
          <w:rFonts w:asciiTheme="minorHAnsi" w:hAnsiTheme="minorHAnsi" w:cstheme="minorHAnsi"/>
        </w:rPr>
        <w:t xml:space="preserve"> včetně uvedení orientačního rozsahu</w:t>
      </w:r>
      <w:r>
        <w:rPr>
          <w:rFonts w:asciiTheme="minorHAnsi" w:hAnsiTheme="minorHAnsi" w:cstheme="minorHAnsi"/>
        </w:rPr>
        <w:t>. Rozpočet a zdroje financování jsou zařazeny do části 4:</w:t>
      </w:r>
    </w:p>
    <w:p w14:paraId="51FF250A" w14:textId="77777777" w:rsidR="008F20B1" w:rsidRPr="00272FE5" w:rsidRDefault="008F20B1" w:rsidP="0065698B">
      <w:pPr>
        <w:pStyle w:val="Odstavecseseznamem"/>
        <w:numPr>
          <w:ilvl w:val="0"/>
          <w:numId w:val="53"/>
        </w:numPr>
        <w:ind w:left="851"/>
        <w:rPr>
          <w:rFonts w:asciiTheme="minorHAnsi" w:hAnsiTheme="minorHAnsi" w:cstheme="minorHAnsi"/>
        </w:rPr>
      </w:pPr>
      <w:r w:rsidRPr="00272FE5">
        <w:rPr>
          <w:rFonts w:asciiTheme="minorHAnsi" w:hAnsiTheme="minorHAnsi" w:cstheme="minorHAnsi"/>
        </w:rPr>
        <w:t>Úvod (přibližně 10 % rozsahu strategie)</w:t>
      </w:r>
    </w:p>
    <w:p w14:paraId="443CC71A" w14:textId="77777777" w:rsidR="008F20B1" w:rsidRPr="00272FE5" w:rsidRDefault="008F20B1" w:rsidP="0065698B">
      <w:pPr>
        <w:pStyle w:val="Odstavecseseznamem"/>
        <w:numPr>
          <w:ilvl w:val="0"/>
          <w:numId w:val="53"/>
        </w:numPr>
        <w:ind w:left="851"/>
        <w:rPr>
          <w:rFonts w:asciiTheme="minorHAnsi" w:hAnsiTheme="minorHAnsi" w:cstheme="minorHAnsi"/>
        </w:rPr>
      </w:pPr>
      <w:r w:rsidRPr="00272FE5">
        <w:rPr>
          <w:rFonts w:asciiTheme="minorHAnsi" w:hAnsiTheme="minorHAnsi" w:cstheme="minorHAnsi"/>
        </w:rPr>
        <w:t>Analytická část (přibližně 15 % rozsahu strategie)</w:t>
      </w:r>
    </w:p>
    <w:p w14:paraId="6AAEFB72" w14:textId="77777777" w:rsidR="008F20B1" w:rsidRPr="00272FE5" w:rsidRDefault="008F20B1" w:rsidP="0065698B">
      <w:pPr>
        <w:pStyle w:val="Odstavecseseznamem"/>
        <w:numPr>
          <w:ilvl w:val="0"/>
          <w:numId w:val="53"/>
        </w:numPr>
        <w:ind w:left="851"/>
        <w:rPr>
          <w:rFonts w:asciiTheme="minorHAnsi" w:hAnsiTheme="minorHAnsi" w:cstheme="minorHAnsi"/>
        </w:rPr>
      </w:pPr>
      <w:r w:rsidRPr="00272FE5">
        <w:rPr>
          <w:rFonts w:asciiTheme="minorHAnsi" w:hAnsiTheme="minorHAnsi" w:cstheme="minorHAnsi"/>
        </w:rPr>
        <w:t>Strategická část (přibližně 45 % rozsahu strategie)</w:t>
      </w:r>
    </w:p>
    <w:p w14:paraId="55F13DCC" w14:textId="73504AC2" w:rsidR="008F20B1" w:rsidRPr="00272FE5" w:rsidRDefault="008F20B1" w:rsidP="0065698B">
      <w:pPr>
        <w:pStyle w:val="Odstavecseseznamem"/>
        <w:numPr>
          <w:ilvl w:val="0"/>
          <w:numId w:val="53"/>
        </w:numPr>
        <w:ind w:left="851"/>
        <w:rPr>
          <w:rFonts w:asciiTheme="minorHAnsi" w:hAnsiTheme="minorHAnsi" w:cstheme="minorHAnsi"/>
        </w:rPr>
      </w:pPr>
      <w:r w:rsidRPr="00E759BB">
        <w:rPr>
          <w:rFonts w:asciiTheme="minorHAnsi" w:hAnsiTheme="minorHAnsi" w:cstheme="minorHAnsi"/>
          <w:b/>
        </w:rPr>
        <w:t>Implementační část</w:t>
      </w:r>
      <w:r w:rsidRPr="00272FE5">
        <w:rPr>
          <w:rFonts w:asciiTheme="minorHAnsi" w:hAnsiTheme="minorHAnsi" w:cstheme="minorHAnsi"/>
        </w:rPr>
        <w:t xml:space="preserve"> (přibližně 25 % rozsahu strategie</w:t>
      </w:r>
      <w:r w:rsidR="00E759BB">
        <w:rPr>
          <w:rFonts w:asciiTheme="minorHAnsi" w:hAnsiTheme="minorHAnsi" w:cstheme="minorHAnsi"/>
        </w:rPr>
        <w:t xml:space="preserve">; zahrnuje rozpočet </w:t>
      </w:r>
      <w:r w:rsidR="003C3A7C">
        <w:rPr>
          <w:rFonts w:asciiTheme="minorHAnsi" w:hAnsiTheme="minorHAnsi" w:cstheme="minorHAnsi"/>
        </w:rPr>
        <w:t xml:space="preserve">implementace </w:t>
      </w:r>
      <w:r w:rsidR="00E759BB">
        <w:rPr>
          <w:rFonts w:asciiTheme="minorHAnsi" w:hAnsiTheme="minorHAnsi" w:cstheme="minorHAnsi"/>
        </w:rPr>
        <w:t>strategie a určení zdrojů financování</w:t>
      </w:r>
      <w:r w:rsidRPr="00272FE5">
        <w:rPr>
          <w:rFonts w:asciiTheme="minorHAnsi" w:hAnsiTheme="minorHAnsi" w:cstheme="minorHAnsi"/>
        </w:rPr>
        <w:t>)</w:t>
      </w:r>
    </w:p>
    <w:p w14:paraId="22DC9ED7" w14:textId="77777777" w:rsidR="008F20B1" w:rsidRPr="00272FE5" w:rsidRDefault="008F20B1" w:rsidP="0065698B">
      <w:pPr>
        <w:pStyle w:val="Odstavecseseznamem"/>
        <w:numPr>
          <w:ilvl w:val="0"/>
          <w:numId w:val="53"/>
        </w:numPr>
        <w:ind w:left="851"/>
        <w:rPr>
          <w:rFonts w:asciiTheme="minorHAnsi" w:hAnsiTheme="minorHAnsi" w:cstheme="minorHAnsi"/>
        </w:rPr>
      </w:pPr>
      <w:r w:rsidRPr="00272FE5">
        <w:rPr>
          <w:rFonts w:asciiTheme="minorHAnsi" w:hAnsiTheme="minorHAnsi" w:cstheme="minorHAnsi"/>
        </w:rPr>
        <w:t>Postup tvorby strategie (přibližně 5 % rozsahu strategie)</w:t>
      </w:r>
    </w:p>
    <w:p w14:paraId="04C66EE2" w14:textId="77777777" w:rsidR="008F20B1" w:rsidRPr="00272FE5" w:rsidRDefault="008F20B1" w:rsidP="0065698B">
      <w:pPr>
        <w:pStyle w:val="Odstavecseseznamem"/>
        <w:numPr>
          <w:ilvl w:val="0"/>
          <w:numId w:val="53"/>
        </w:numPr>
        <w:ind w:left="851"/>
        <w:rPr>
          <w:rFonts w:asciiTheme="minorHAnsi" w:hAnsiTheme="minorHAnsi" w:cstheme="minorHAnsi"/>
        </w:rPr>
      </w:pPr>
      <w:r w:rsidRPr="00272FE5">
        <w:rPr>
          <w:rFonts w:asciiTheme="minorHAnsi" w:hAnsiTheme="minorHAnsi" w:cstheme="minorHAnsi"/>
        </w:rPr>
        <w:t>Přílohy</w:t>
      </w:r>
    </w:p>
    <w:p w14:paraId="3FFD48F1" w14:textId="77777777" w:rsidR="004B0974" w:rsidRDefault="004B0974" w:rsidP="00F46863">
      <w:pPr>
        <w:pStyle w:val="Zkladntext3"/>
        <w:spacing w:after="0" w:line="360" w:lineRule="auto"/>
        <w:jc w:val="both"/>
        <w:rPr>
          <w:rFonts w:asciiTheme="minorHAnsi" w:eastAsia="Calibri" w:hAnsiTheme="minorHAnsi" w:cstheme="minorHAnsi"/>
          <w:iCs/>
          <w:sz w:val="24"/>
          <w:szCs w:val="24"/>
        </w:rPr>
      </w:pPr>
    </w:p>
    <w:p w14:paraId="3AA9EF37" w14:textId="77777777" w:rsidR="008F20B1" w:rsidRDefault="008F20B1" w:rsidP="00F46863">
      <w:pPr>
        <w:pStyle w:val="Zkladntext3"/>
        <w:spacing w:after="0" w:line="360" w:lineRule="auto"/>
        <w:jc w:val="both"/>
        <w:rPr>
          <w:rFonts w:asciiTheme="minorHAnsi" w:eastAsia="Calibri" w:hAnsiTheme="minorHAnsi" w:cstheme="minorHAnsi"/>
          <w:iCs/>
          <w:sz w:val="24"/>
          <w:szCs w:val="24"/>
        </w:rPr>
      </w:pPr>
    </w:p>
    <w:p w14:paraId="5EDA972D" w14:textId="0B82BD26" w:rsidR="000706E6" w:rsidRDefault="00CD4AAE" w:rsidP="000706E6">
      <w:pPr>
        <w:pStyle w:val="Nadpis2"/>
        <w:spacing w:before="240" w:after="120"/>
        <w:ind w:left="578" w:hanging="578"/>
        <w:rPr>
          <w:rFonts w:asciiTheme="minorHAnsi" w:hAnsiTheme="minorHAnsi" w:cstheme="minorHAnsi"/>
          <w:color w:val="7493B0"/>
          <w:sz w:val="24"/>
          <w:szCs w:val="24"/>
          <w:lang w:val="cs-CZ"/>
        </w:rPr>
      </w:pPr>
      <w:bookmarkStart w:id="15" w:name="_Toc117269988"/>
      <w:r>
        <w:rPr>
          <w:rFonts w:asciiTheme="minorHAnsi" w:hAnsiTheme="minorHAnsi" w:cstheme="minorHAnsi"/>
          <w:color w:val="7493B0"/>
          <w:sz w:val="24"/>
          <w:szCs w:val="24"/>
          <w:lang w:val="cs-CZ"/>
        </w:rPr>
        <w:lastRenderedPageBreak/>
        <w:t>Fáze</w:t>
      </w:r>
      <w:r w:rsidR="000706E6">
        <w:rPr>
          <w:rFonts w:asciiTheme="minorHAnsi" w:hAnsiTheme="minorHAnsi" w:cstheme="minorHAnsi"/>
          <w:color w:val="7493B0"/>
          <w:sz w:val="24"/>
          <w:szCs w:val="24"/>
          <w:lang w:val="cs-CZ"/>
        </w:rPr>
        <w:t xml:space="preserve"> </w:t>
      </w:r>
      <w:r w:rsidR="000706E6" w:rsidRPr="008B40EA">
        <w:rPr>
          <w:rFonts w:asciiTheme="minorHAnsi" w:hAnsiTheme="minorHAnsi" w:cstheme="minorHAnsi"/>
          <w:color w:val="7493B0"/>
          <w:sz w:val="24"/>
          <w:szCs w:val="24"/>
          <w:lang w:val="cs-CZ"/>
        </w:rPr>
        <w:t>rozpočtu</w:t>
      </w:r>
      <w:r w:rsidR="00F634F9">
        <w:rPr>
          <w:rFonts w:asciiTheme="minorHAnsi" w:hAnsiTheme="minorHAnsi" w:cstheme="minorHAnsi"/>
          <w:color w:val="7493B0"/>
          <w:sz w:val="24"/>
          <w:szCs w:val="24"/>
          <w:lang w:val="cs-CZ"/>
        </w:rPr>
        <w:t xml:space="preserve"> – na příkladu státního rozpočtu</w:t>
      </w:r>
      <w:bookmarkEnd w:id="15"/>
    </w:p>
    <w:p w14:paraId="02E68F4A" w14:textId="6D44646C" w:rsidR="000706E6" w:rsidRPr="00880EA9" w:rsidRDefault="00F634F9" w:rsidP="000706E6">
      <w:pPr>
        <w:pStyle w:val="Zkladntextodsazen"/>
        <w:spacing w:after="0" w:line="360" w:lineRule="auto"/>
        <w:ind w:left="0"/>
        <w:jc w:val="both"/>
        <w:rPr>
          <w:rFonts w:asciiTheme="minorHAnsi" w:hAnsiTheme="minorHAnsi" w:cstheme="minorHAnsi"/>
        </w:rPr>
      </w:pPr>
      <w:r w:rsidRPr="00F634F9">
        <w:rPr>
          <w:rFonts w:asciiTheme="minorHAnsi" w:hAnsiTheme="minorHAnsi" w:cstheme="minorHAnsi"/>
        </w:rPr>
        <w:t xml:space="preserve">V této </w:t>
      </w:r>
      <w:r w:rsidR="00CD4AAE">
        <w:rPr>
          <w:rFonts w:asciiTheme="minorHAnsi" w:hAnsiTheme="minorHAnsi" w:cstheme="minorHAnsi"/>
        </w:rPr>
        <w:t>kapitole</w:t>
      </w:r>
      <w:r w:rsidRPr="00F634F9">
        <w:rPr>
          <w:rFonts w:asciiTheme="minorHAnsi" w:hAnsiTheme="minorHAnsi" w:cstheme="minorHAnsi"/>
        </w:rPr>
        <w:t xml:space="preserve"> jsou </w:t>
      </w:r>
      <w:r>
        <w:rPr>
          <w:rFonts w:asciiTheme="minorHAnsi" w:hAnsiTheme="minorHAnsi" w:cstheme="minorHAnsi"/>
        </w:rPr>
        <w:t>uvedeny</w:t>
      </w:r>
      <w:r w:rsidRPr="00F634F9">
        <w:rPr>
          <w:rFonts w:asciiTheme="minorHAnsi" w:hAnsiTheme="minorHAnsi" w:cstheme="minorHAnsi"/>
        </w:rPr>
        <w:t xml:space="preserve"> fáze státního rozpočtu. V kapitole 4.4 pak fáze rozpočtu obce / kraje.</w:t>
      </w:r>
      <w:r>
        <w:rPr>
          <w:rFonts w:asciiTheme="minorHAnsi" w:hAnsiTheme="minorHAnsi" w:cstheme="minorHAnsi"/>
        </w:rPr>
        <w:t xml:space="preserve"> </w:t>
      </w:r>
      <w:r w:rsidR="00FD0F64" w:rsidRPr="00CE32DC">
        <w:rPr>
          <w:rFonts w:asciiTheme="minorHAnsi" w:hAnsiTheme="minorHAnsi" w:cstheme="minorHAnsi"/>
          <w:b/>
        </w:rPr>
        <w:t>Rozpočtový proces</w:t>
      </w:r>
      <w:r w:rsidR="00FD0F64">
        <w:rPr>
          <w:rFonts w:asciiTheme="minorHAnsi" w:hAnsiTheme="minorHAnsi" w:cstheme="minorHAnsi"/>
        </w:rPr>
        <w:t xml:space="preserve"> je možné popsat pomocí</w:t>
      </w:r>
      <w:r w:rsidR="000706E6">
        <w:rPr>
          <w:rFonts w:asciiTheme="minorHAnsi" w:hAnsiTheme="minorHAnsi" w:cstheme="minorHAnsi"/>
        </w:rPr>
        <w:t xml:space="preserve"> 4 fází</w:t>
      </w:r>
      <w:r w:rsidR="00FD0F64">
        <w:rPr>
          <w:rFonts w:asciiTheme="minorHAnsi" w:hAnsiTheme="minorHAnsi" w:cstheme="minorHAnsi"/>
        </w:rPr>
        <w:t>, jednotlivé fáze jsou pop</w:t>
      </w:r>
      <w:r w:rsidR="004C4FE1">
        <w:rPr>
          <w:rFonts w:asciiTheme="minorHAnsi" w:hAnsiTheme="minorHAnsi" w:cstheme="minorHAnsi"/>
        </w:rPr>
        <w:t>s</w:t>
      </w:r>
      <w:r w:rsidR="00FD0F64">
        <w:rPr>
          <w:rFonts w:asciiTheme="minorHAnsi" w:hAnsiTheme="minorHAnsi" w:cstheme="minorHAnsi"/>
        </w:rPr>
        <w:t>ány v kapitolách 5 až 8. Státní rozpočet má tyto fáze:</w:t>
      </w:r>
    </w:p>
    <w:p w14:paraId="32E33CEC" w14:textId="5D777C2B" w:rsidR="00F77DE2" w:rsidRPr="009F23BC" w:rsidRDefault="000706E6" w:rsidP="0065698B">
      <w:pPr>
        <w:pStyle w:val="Zkladntextodsazen"/>
        <w:numPr>
          <w:ilvl w:val="0"/>
          <w:numId w:val="21"/>
        </w:numPr>
        <w:spacing w:after="0" w:line="360" w:lineRule="auto"/>
        <w:ind w:left="426" w:hanging="426"/>
        <w:jc w:val="both"/>
        <w:rPr>
          <w:rFonts w:asciiTheme="minorHAnsi" w:hAnsiTheme="minorHAnsi" w:cstheme="minorHAnsi"/>
        </w:rPr>
      </w:pPr>
      <w:r w:rsidRPr="009F23BC">
        <w:rPr>
          <w:rFonts w:asciiTheme="minorHAnsi" w:hAnsiTheme="minorHAnsi" w:cstheme="minorHAnsi"/>
          <w:b/>
        </w:rPr>
        <w:t>Příprava rozpočtu</w:t>
      </w:r>
      <w:r w:rsidR="009F23BC" w:rsidRPr="009F23BC">
        <w:rPr>
          <w:rFonts w:asciiTheme="minorHAnsi" w:hAnsiTheme="minorHAnsi" w:cstheme="minorHAnsi"/>
          <w:b/>
        </w:rPr>
        <w:t xml:space="preserve">: </w:t>
      </w:r>
      <w:r w:rsidR="00F77DE2" w:rsidRPr="009F23BC">
        <w:rPr>
          <w:rFonts w:asciiTheme="minorHAnsi" w:hAnsiTheme="minorHAnsi" w:cstheme="minorHAnsi"/>
        </w:rPr>
        <w:t>Přípravu</w:t>
      </w:r>
      <w:r w:rsidRPr="009F23BC">
        <w:rPr>
          <w:rFonts w:asciiTheme="minorHAnsi" w:hAnsiTheme="minorHAnsi" w:cstheme="minorHAnsi"/>
        </w:rPr>
        <w:t xml:space="preserve"> státního rozpočtu </w:t>
      </w:r>
      <w:r w:rsidR="00F77DE2" w:rsidRPr="009F23BC">
        <w:rPr>
          <w:rFonts w:asciiTheme="minorHAnsi" w:hAnsiTheme="minorHAnsi" w:cstheme="minorHAnsi"/>
        </w:rPr>
        <w:t>zahrnuje několik</w:t>
      </w:r>
      <w:r w:rsidRPr="009F23BC">
        <w:rPr>
          <w:rFonts w:asciiTheme="minorHAnsi" w:hAnsiTheme="minorHAnsi" w:cstheme="minorHAnsi"/>
        </w:rPr>
        <w:t xml:space="preserve"> činností, které stanovuje zákon č. 218/2000 S. o rozpočtových pravidlech (§8b). </w:t>
      </w:r>
      <w:r w:rsidR="00F77DE2" w:rsidRPr="009F23BC">
        <w:rPr>
          <w:rFonts w:asciiTheme="minorHAnsi" w:hAnsiTheme="minorHAnsi" w:cstheme="minorHAnsi"/>
        </w:rPr>
        <w:t>Státní rozpočet se připravuje na následující rok a pro další 2 roky střednědobého výhledu.</w:t>
      </w:r>
      <w:r w:rsidR="003627C3" w:rsidRPr="009F23BC">
        <w:rPr>
          <w:rFonts w:asciiTheme="minorHAnsi" w:hAnsiTheme="minorHAnsi" w:cstheme="minorHAnsi"/>
        </w:rPr>
        <w:t xml:space="preserve"> Termíny jsou popsány v následující tabulce.</w:t>
      </w:r>
    </w:p>
    <w:p w14:paraId="1028D6DF" w14:textId="50F57244" w:rsidR="000706E6" w:rsidRPr="009F23BC" w:rsidRDefault="000706E6" w:rsidP="0065698B">
      <w:pPr>
        <w:pStyle w:val="Zkladntextodsazen"/>
        <w:numPr>
          <w:ilvl w:val="0"/>
          <w:numId w:val="21"/>
        </w:numPr>
        <w:spacing w:after="0" w:line="360" w:lineRule="auto"/>
        <w:ind w:left="426" w:hanging="426"/>
        <w:jc w:val="both"/>
        <w:rPr>
          <w:rFonts w:asciiTheme="minorHAnsi" w:hAnsiTheme="minorHAnsi" w:cstheme="minorHAnsi"/>
        </w:rPr>
      </w:pPr>
      <w:r w:rsidRPr="009F23BC">
        <w:rPr>
          <w:rFonts w:asciiTheme="minorHAnsi" w:hAnsiTheme="minorHAnsi" w:cstheme="minorHAnsi"/>
          <w:b/>
        </w:rPr>
        <w:t>Projednávání a schvalování rozpočtu</w:t>
      </w:r>
      <w:r w:rsidR="009F23BC" w:rsidRPr="009F23BC">
        <w:rPr>
          <w:rFonts w:asciiTheme="minorHAnsi" w:hAnsiTheme="minorHAnsi" w:cstheme="minorHAnsi"/>
          <w:b/>
        </w:rPr>
        <w:t xml:space="preserve">: </w:t>
      </w:r>
      <w:r w:rsidRPr="009F23BC">
        <w:rPr>
          <w:rFonts w:asciiTheme="minorHAnsi" w:hAnsiTheme="minorHAnsi" w:cstheme="minorHAnsi"/>
        </w:rPr>
        <w:t xml:space="preserve">Vláda předkládá do 30. 9. návrh zákona o státním rozpočtu a návrh střednědobého výhledu do Poslanecké sněmovny. Rozpočet je projednáván v trojím čtení. Pokud by </w:t>
      </w:r>
      <w:r w:rsidR="00D673D1">
        <w:rPr>
          <w:rFonts w:asciiTheme="minorHAnsi" w:hAnsiTheme="minorHAnsi" w:cstheme="minorHAnsi"/>
        </w:rPr>
        <w:t xml:space="preserve">nebyl zákon </w:t>
      </w:r>
      <w:r w:rsidRPr="009F23BC">
        <w:rPr>
          <w:rFonts w:asciiTheme="minorHAnsi" w:hAnsiTheme="minorHAnsi" w:cstheme="minorHAnsi"/>
        </w:rPr>
        <w:t xml:space="preserve">do </w:t>
      </w:r>
      <w:r w:rsidR="00D673D1">
        <w:rPr>
          <w:rFonts w:asciiTheme="minorHAnsi" w:hAnsiTheme="minorHAnsi" w:cstheme="minorHAnsi"/>
        </w:rPr>
        <w:t xml:space="preserve">1. 1. </w:t>
      </w:r>
      <w:r w:rsidRPr="009F23BC">
        <w:rPr>
          <w:rFonts w:asciiTheme="minorHAnsi" w:hAnsiTheme="minorHAnsi" w:cstheme="minorHAnsi"/>
        </w:rPr>
        <w:t xml:space="preserve">schválen, </w:t>
      </w:r>
      <w:r w:rsidR="00D673D1">
        <w:rPr>
          <w:rFonts w:asciiTheme="minorHAnsi" w:hAnsiTheme="minorHAnsi" w:cstheme="minorHAnsi"/>
        </w:rPr>
        <w:t xml:space="preserve">probíhá jeho schvalování v běžném roce a </w:t>
      </w:r>
      <w:r w:rsidRPr="009F23BC">
        <w:rPr>
          <w:rFonts w:asciiTheme="minorHAnsi" w:hAnsiTheme="minorHAnsi" w:cstheme="minorHAnsi"/>
        </w:rPr>
        <w:t>postupuje s</w:t>
      </w:r>
      <w:r w:rsidR="00056983" w:rsidRPr="009F23BC">
        <w:rPr>
          <w:rFonts w:asciiTheme="minorHAnsi" w:hAnsiTheme="minorHAnsi" w:cstheme="minorHAnsi"/>
        </w:rPr>
        <w:t xml:space="preserve">e podle rozpočtového provizoria až do doby schválení </w:t>
      </w:r>
      <w:r w:rsidR="00D673D1">
        <w:rPr>
          <w:rFonts w:asciiTheme="minorHAnsi" w:hAnsiTheme="minorHAnsi" w:cstheme="minorHAnsi"/>
        </w:rPr>
        <w:t xml:space="preserve">zákona o </w:t>
      </w:r>
      <w:r w:rsidR="00056983" w:rsidRPr="009F23BC">
        <w:rPr>
          <w:rFonts w:asciiTheme="minorHAnsi" w:hAnsiTheme="minorHAnsi" w:cstheme="minorHAnsi"/>
        </w:rPr>
        <w:t>rozpočtu</w:t>
      </w:r>
      <w:r w:rsidRPr="009F23BC">
        <w:rPr>
          <w:rFonts w:asciiTheme="minorHAnsi" w:hAnsiTheme="minorHAnsi" w:cstheme="minorHAnsi"/>
        </w:rPr>
        <w:t xml:space="preserve">. </w:t>
      </w:r>
      <w:r w:rsidR="007A366C" w:rsidRPr="009F23BC">
        <w:rPr>
          <w:rFonts w:asciiTheme="minorHAnsi" w:hAnsiTheme="minorHAnsi" w:cstheme="minorHAnsi"/>
        </w:rPr>
        <w:t xml:space="preserve">Výdaje jednotlivým kapitolám se uvolňují do výše jedné dvanáctiny celkové roční částky </w:t>
      </w:r>
      <w:r w:rsidR="00957747">
        <w:rPr>
          <w:rFonts w:asciiTheme="minorHAnsi" w:hAnsiTheme="minorHAnsi" w:cstheme="minorHAnsi"/>
        </w:rPr>
        <w:t xml:space="preserve">předchozího roku </w:t>
      </w:r>
      <w:r w:rsidR="007A366C" w:rsidRPr="009F23BC">
        <w:rPr>
          <w:rFonts w:asciiTheme="minorHAnsi" w:hAnsiTheme="minorHAnsi" w:cstheme="minorHAnsi"/>
        </w:rPr>
        <w:t>v každém měsíci období rozpočtového provizoria.</w:t>
      </w:r>
      <w:r w:rsidR="00957747">
        <w:rPr>
          <w:rFonts w:asciiTheme="minorHAnsi" w:hAnsiTheme="minorHAnsi" w:cstheme="minorHAnsi"/>
        </w:rPr>
        <w:t xml:space="preserve"> To může</w:t>
      </w:r>
      <w:r w:rsidR="009F0A7C">
        <w:rPr>
          <w:rFonts w:asciiTheme="minorHAnsi" w:hAnsiTheme="minorHAnsi" w:cstheme="minorHAnsi"/>
        </w:rPr>
        <w:t xml:space="preserve"> </w:t>
      </w:r>
      <w:r w:rsidR="00957747">
        <w:rPr>
          <w:rFonts w:asciiTheme="minorHAnsi" w:hAnsiTheme="minorHAnsi" w:cstheme="minorHAnsi"/>
        </w:rPr>
        <w:t>z hlediska strategické práce negativně ovlivnit nové aktivity, zahajované projekty a investice.</w:t>
      </w:r>
    </w:p>
    <w:p w14:paraId="51854E8D" w14:textId="01502EE7" w:rsidR="000706E6" w:rsidRPr="009F23BC" w:rsidRDefault="000706E6" w:rsidP="0065698B">
      <w:pPr>
        <w:pStyle w:val="Zkladntextodsazen"/>
        <w:numPr>
          <w:ilvl w:val="0"/>
          <w:numId w:val="21"/>
        </w:numPr>
        <w:spacing w:after="0" w:line="360" w:lineRule="auto"/>
        <w:ind w:left="426" w:hanging="426"/>
        <w:jc w:val="both"/>
        <w:rPr>
          <w:rFonts w:asciiTheme="minorHAnsi" w:hAnsiTheme="minorHAnsi" w:cstheme="minorHAnsi"/>
        </w:rPr>
      </w:pPr>
      <w:r w:rsidRPr="009F23BC">
        <w:rPr>
          <w:rFonts w:asciiTheme="minorHAnsi" w:hAnsiTheme="minorHAnsi" w:cstheme="minorHAnsi"/>
          <w:b/>
        </w:rPr>
        <w:t>Hospodaření dle schváleného rozpočtu a jeho změny</w:t>
      </w:r>
      <w:r w:rsidR="009F23BC" w:rsidRPr="009F23BC">
        <w:rPr>
          <w:rFonts w:asciiTheme="minorHAnsi" w:hAnsiTheme="minorHAnsi" w:cstheme="minorHAnsi"/>
          <w:b/>
        </w:rPr>
        <w:t xml:space="preserve">: </w:t>
      </w:r>
      <w:r w:rsidR="007A366C" w:rsidRPr="009F23BC">
        <w:rPr>
          <w:rFonts w:asciiTheme="minorHAnsi" w:hAnsiTheme="minorHAnsi" w:cstheme="minorHAnsi"/>
        </w:rPr>
        <w:t>Od 1. 1. do 31. 12. probíhá hospodaření dle schváleného rozpočtu. Zákon též stanovuje postup pro provádění změn rozpočtu.</w:t>
      </w:r>
    </w:p>
    <w:p w14:paraId="1045EF7D" w14:textId="74989990" w:rsidR="007A366C" w:rsidRPr="009F23BC" w:rsidRDefault="000706E6" w:rsidP="0065698B">
      <w:pPr>
        <w:pStyle w:val="Zkladntextodsazen"/>
        <w:numPr>
          <w:ilvl w:val="0"/>
          <w:numId w:val="21"/>
        </w:numPr>
        <w:spacing w:after="0" w:line="360" w:lineRule="auto"/>
        <w:ind w:left="426" w:hanging="426"/>
        <w:jc w:val="both"/>
        <w:rPr>
          <w:rFonts w:asciiTheme="minorHAnsi" w:hAnsiTheme="minorHAnsi" w:cstheme="minorHAnsi"/>
        </w:rPr>
      </w:pPr>
      <w:r w:rsidRPr="009F23BC">
        <w:rPr>
          <w:rFonts w:asciiTheme="minorHAnsi" w:hAnsiTheme="minorHAnsi" w:cstheme="minorHAnsi"/>
          <w:b/>
        </w:rPr>
        <w:t>Zpracování a schválení závěrečného účtu</w:t>
      </w:r>
      <w:r w:rsidR="009F23BC" w:rsidRPr="009F23BC">
        <w:rPr>
          <w:rFonts w:asciiTheme="minorHAnsi" w:hAnsiTheme="minorHAnsi" w:cstheme="minorHAnsi"/>
          <w:b/>
        </w:rPr>
        <w:t xml:space="preserve">: </w:t>
      </w:r>
      <w:r w:rsidR="007A366C" w:rsidRPr="009F23BC">
        <w:rPr>
          <w:rFonts w:asciiTheme="minorHAnsi" w:hAnsiTheme="minorHAnsi" w:cstheme="minorHAnsi"/>
        </w:rPr>
        <w:t xml:space="preserve">V následujícím roce probíhá zpracování </w:t>
      </w:r>
      <w:r w:rsidR="009F23BC">
        <w:rPr>
          <w:rFonts w:asciiTheme="minorHAnsi" w:hAnsiTheme="minorHAnsi" w:cstheme="minorHAnsi"/>
        </w:rPr>
        <w:t xml:space="preserve">roční </w:t>
      </w:r>
      <w:r w:rsidR="007A366C" w:rsidRPr="009F23BC">
        <w:rPr>
          <w:rFonts w:asciiTheme="minorHAnsi" w:hAnsiTheme="minorHAnsi" w:cstheme="minorHAnsi"/>
        </w:rPr>
        <w:t>účetní závěrky a závěrečného účtu.</w:t>
      </w:r>
      <w:r w:rsidR="009F23BC">
        <w:rPr>
          <w:rFonts w:asciiTheme="minorHAnsi" w:hAnsiTheme="minorHAnsi" w:cstheme="minorHAnsi"/>
        </w:rPr>
        <w:t xml:space="preserve"> Závěrečný účet schvaluje Poslanecká sněmovna.</w:t>
      </w:r>
    </w:p>
    <w:p w14:paraId="5670A4C5" w14:textId="5428A85E" w:rsidR="004C4FE1" w:rsidRDefault="004C4FE1" w:rsidP="000706E6">
      <w:pPr>
        <w:pStyle w:val="Zkladntextodsazen"/>
        <w:spacing w:after="0" w:line="360" w:lineRule="auto"/>
        <w:ind w:left="0"/>
        <w:jc w:val="both"/>
        <w:rPr>
          <w:rFonts w:asciiTheme="minorHAnsi" w:hAnsiTheme="minorHAnsi" w:cstheme="minorHAnsi"/>
        </w:rPr>
      </w:pPr>
    </w:p>
    <w:p w14:paraId="36D00FF7" w14:textId="15BAFBA8" w:rsidR="004C4FE1" w:rsidRDefault="004C4FE1" w:rsidP="000706E6">
      <w:pPr>
        <w:pStyle w:val="Zkladntextodsazen"/>
        <w:spacing w:after="0" w:line="360" w:lineRule="auto"/>
        <w:ind w:left="0"/>
        <w:jc w:val="both"/>
        <w:rPr>
          <w:rFonts w:asciiTheme="minorHAnsi" w:hAnsiTheme="minorHAnsi" w:cstheme="minorHAnsi"/>
        </w:rPr>
      </w:pPr>
      <w:r w:rsidRPr="00CE32DC">
        <w:rPr>
          <w:rFonts w:asciiTheme="minorHAnsi" w:hAnsiTheme="minorHAnsi" w:cstheme="minorHAnsi"/>
          <w:b/>
        </w:rPr>
        <w:t xml:space="preserve">Fáze z hlediska státního </w:t>
      </w:r>
      <w:r w:rsidR="009F23BC" w:rsidRPr="00CE32DC">
        <w:rPr>
          <w:rFonts w:asciiTheme="minorHAnsi" w:hAnsiTheme="minorHAnsi" w:cstheme="minorHAnsi"/>
          <w:b/>
        </w:rPr>
        <w:t>rozpočtu</w:t>
      </w:r>
      <w:r w:rsidR="009F23BC">
        <w:rPr>
          <w:rFonts w:asciiTheme="minorHAnsi" w:hAnsiTheme="minorHAnsi" w:cstheme="minorHAnsi"/>
        </w:rPr>
        <w:t xml:space="preserve"> jsou</w:t>
      </w:r>
      <w:r w:rsidR="006132A9">
        <w:rPr>
          <w:rFonts w:asciiTheme="minorHAnsi" w:hAnsiTheme="minorHAnsi" w:cstheme="minorHAnsi"/>
        </w:rPr>
        <w:t xml:space="preserve"> přehledně</w:t>
      </w:r>
      <w:r w:rsidR="009F23BC">
        <w:rPr>
          <w:rFonts w:asciiTheme="minorHAnsi" w:hAnsiTheme="minorHAnsi" w:cstheme="minorHAnsi"/>
        </w:rPr>
        <w:t xml:space="preserve"> uvedeny v tabulce, </w:t>
      </w:r>
      <w:r w:rsidR="006132A9">
        <w:rPr>
          <w:rFonts w:asciiTheme="minorHAnsi" w:hAnsiTheme="minorHAnsi" w:cstheme="minorHAnsi"/>
        </w:rPr>
        <w:t xml:space="preserve"> včetně </w:t>
      </w:r>
      <w:r w:rsidR="009F23BC">
        <w:rPr>
          <w:rFonts w:asciiTheme="minorHAnsi" w:hAnsiTheme="minorHAnsi" w:cstheme="minorHAnsi"/>
        </w:rPr>
        <w:t xml:space="preserve"> termín</w:t>
      </w:r>
      <w:r w:rsidR="006132A9">
        <w:rPr>
          <w:rFonts w:asciiTheme="minorHAnsi" w:hAnsiTheme="minorHAnsi" w:cstheme="minorHAnsi"/>
        </w:rPr>
        <w:t>ů</w:t>
      </w:r>
      <w:r w:rsidR="009F23BC">
        <w:rPr>
          <w:rFonts w:asciiTheme="minorHAnsi" w:hAnsiTheme="minorHAnsi" w:cstheme="minorHAnsi"/>
        </w:rPr>
        <w:t xml:space="preserve">. </w:t>
      </w:r>
    </w:p>
    <w:p w14:paraId="29626E25" w14:textId="7AB50CDE" w:rsidR="004C4FE1" w:rsidRDefault="004C4FE1" w:rsidP="004C4FE1">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 xml:space="preserve">Tab. </w:t>
      </w:r>
      <w:r w:rsidR="004F0E1D">
        <w:rPr>
          <w:rFonts w:asciiTheme="minorHAnsi" w:eastAsia="Calibri" w:hAnsiTheme="minorHAnsi" w:cstheme="minorHAnsi"/>
          <w:i/>
          <w:iCs/>
          <w:sz w:val="24"/>
          <w:szCs w:val="24"/>
        </w:rPr>
        <w:t>7</w:t>
      </w:r>
      <w:r w:rsidR="00081FD0">
        <w:rPr>
          <w:rFonts w:asciiTheme="minorHAnsi" w:eastAsia="Calibri" w:hAnsiTheme="minorHAnsi" w:cstheme="minorHAnsi"/>
          <w:i/>
          <w:iCs/>
          <w:sz w:val="24"/>
          <w:szCs w:val="24"/>
        </w:rPr>
        <w:t xml:space="preserve"> </w:t>
      </w:r>
      <w:r>
        <w:rPr>
          <w:rFonts w:asciiTheme="minorHAnsi" w:eastAsia="Calibri" w:hAnsiTheme="minorHAnsi" w:cstheme="minorHAnsi"/>
          <w:i/>
          <w:iCs/>
          <w:sz w:val="24"/>
          <w:szCs w:val="24"/>
        </w:rPr>
        <w:t>Termíny fází státního rozpočtu</w:t>
      </w:r>
    </w:p>
    <w:tbl>
      <w:tblPr>
        <w:tblStyle w:val="Mkatabulky"/>
        <w:tblW w:w="0" w:type="auto"/>
        <w:tblLook w:val="04A0" w:firstRow="1" w:lastRow="0" w:firstColumn="1" w:lastColumn="0" w:noHBand="0" w:noVBand="1"/>
      </w:tblPr>
      <w:tblGrid>
        <w:gridCol w:w="279"/>
        <w:gridCol w:w="2126"/>
        <w:gridCol w:w="5480"/>
        <w:gridCol w:w="1131"/>
      </w:tblGrid>
      <w:tr w:rsidR="009F23BC" w:rsidRPr="005B498D" w14:paraId="5C7E892A" w14:textId="77777777" w:rsidTr="005B498D">
        <w:tc>
          <w:tcPr>
            <w:tcW w:w="0" w:type="auto"/>
            <w:shd w:val="clear" w:color="auto" w:fill="E7E6E6" w:themeFill="background2"/>
            <w:vAlign w:val="center"/>
          </w:tcPr>
          <w:p w14:paraId="4028512A" w14:textId="4649BE83" w:rsidR="009F23BC" w:rsidRPr="005B498D" w:rsidRDefault="009F23BC" w:rsidP="009F23BC">
            <w:pPr>
              <w:pStyle w:val="Zkladntext3"/>
              <w:spacing w:after="0"/>
              <w:ind w:left="-57" w:right="-57"/>
              <w:rPr>
                <w:rFonts w:asciiTheme="minorHAnsi" w:eastAsia="Calibri" w:hAnsiTheme="minorHAnsi" w:cstheme="minorHAnsi"/>
                <w:b/>
                <w:iCs/>
                <w:sz w:val="22"/>
                <w:szCs w:val="22"/>
              </w:rPr>
            </w:pPr>
            <w:r w:rsidRPr="005B498D">
              <w:rPr>
                <w:rFonts w:asciiTheme="minorHAnsi" w:eastAsia="Calibri" w:hAnsiTheme="minorHAnsi" w:cstheme="minorHAnsi"/>
                <w:b/>
                <w:iCs/>
                <w:sz w:val="22"/>
                <w:szCs w:val="22"/>
              </w:rPr>
              <w:t>Č</w:t>
            </w:r>
          </w:p>
        </w:tc>
        <w:tc>
          <w:tcPr>
            <w:tcW w:w="2126" w:type="dxa"/>
            <w:shd w:val="clear" w:color="auto" w:fill="E7E6E6" w:themeFill="background2"/>
            <w:vAlign w:val="center"/>
          </w:tcPr>
          <w:p w14:paraId="3532FC32" w14:textId="0E49A8DD" w:rsidR="009F23BC" w:rsidRPr="005B498D" w:rsidRDefault="009F23BC" w:rsidP="009F23BC">
            <w:pPr>
              <w:pStyle w:val="Zkladntext3"/>
              <w:spacing w:after="0"/>
              <w:ind w:left="-57" w:right="-57"/>
              <w:rPr>
                <w:rFonts w:asciiTheme="minorHAnsi" w:eastAsia="Calibri" w:hAnsiTheme="minorHAnsi" w:cstheme="minorHAnsi"/>
                <w:b/>
                <w:iCs/>
                <w:sz w:val="22"/>
                <w:szCs w:val="22"/>
              </w:rPr>
            </w:pPr>
            <w:r w:rsidRPr="005B498D">
              <w:rPr>
                <w:rFonts w:asciiTheme="minorHAnsi" w:eastAsia="Calibri" w:hAnsiTheme="minorHAnsi" w:cstheme="minorHAnsi"/>
                <w:b/>
                <w:iCs/>
                <w:sz w:val="22"/>
                <w:szCs w:val="22"/>
              </w:rPr>
              <w:t>Název fáze</w:t>
            </w:r>
          </w:p>
        </w:tc>
        <w:tc>
          <w:tcPr>
            <w:tcW w:w="5480" w:type="dxa"/>
            <w:shd w:val="clear" w:color="auto" w:fill="E7E6E6" w:themeFill="background2"/>
            <w:vAlign w:val="center"/>
          </w:tcPr>
          <w:p w14:paraId="0001CEF4" w14:textId="4A53BE76" w:rsidR="009F23BC" w:rsidRPr="005B498D" w:rsidRDefault="009F23BC" w:rsidP="00D673D1">
            <w:pPr>
              <w:pStyle w:val="Zkladntext3"/>
              <w:spacing w:after="0"/>
              <w:ind w:left="-57" w:right="-57"/>
              <w:rPr>
                <w:rFonts w:asciiTheme="minorHAnsi" w:eastAsia="Calibri" w:hAnsiTheme="minorHAnsi" w:cstheme="minorHAnsi"/>
                <w:b/>
                <w:iCs/>
                <w:sz w:val="22"/>
                <w:szCs w:val="22"/>
              </w:rPr>
            </w:pPr>
            <w:r w:rsidRPr="005B498D">
              <w:rPr>
                <w:rFonts w:asciiTheme="minorHAnsi" w:eastAsia="Calibri" w:hAnsiTheme="minorHAnsi" w:cstheme="minorHAnsi"/>
                <w:b/>
                <w:iCs/>
                <w:sz w:val="22"/>
                <w:szCs w:val="22"/>
              </w:rPr>
              <w:t xml:space="preserve">Komentář k termínům </w:t>
            </w:r>
          </w:p>
        </w:tc>
        <w:tc>
          <w:tcPr>
            <w:tcW w:w="1131" w:type="dxa"/>
            <w:shd w:val="clear" w:color="auto" w:fill="E7E6E6" w:themeFill="background2"/>
          </w:tcPr>
          <w:p w14:paraId="1BC48618" w14:textId="02092F26" w:rsidR="009F23BC" w:rsidRPr="005B498D" w:rsidRDefault="009F23BC" w:rsidP="009F23BC">
            <w:pPr>
              <w:pStyle w:val="Zkladntext3"/>
              <w:spacing w:after="0"/>
              <w:ind w:left="-57" w:right="-57"/>
              <w:rPr>
                <w:rFonts w:asciiTheme="minorHAnsi" w:eastAsia="Calibri" w:hAnsiTheme="minorHAnsi" w:cstheme="minorHAnsi"/>
                <w:b/>
                <w:iCs/>
                <w:sz w:val="22"/>
                <w:szCs w:val="22"/>
              </w:rPr>
            </w:pPr>
            <w:r w:rsidRPr="005B498D">
              <w:rPr>
                <w:rFonts w:asciiTheme="minorHAnsi" w:eastAsia="Calibri" w:hAnsiTheme="minorHAnsi" w:cstheme="minorHAnsi"/>
                <w:b/>
                <w:iCs/>
                <w:sz w:val="22"/>
                <w:szCs w:val="22"/>
              </w:rPr>
              <w:t>Rok</w:t>
            </w:r>
          </w:p>
        </w:tc>
      </w:tr>
      <w:tr w:rsidR="009F23BC" w:rsidRPr="00F77DE2" w14:paraId="0AC40E4C" w14:textId="77777777" w:rsidTr="005B498D">
        <w:tc>
          <w:tcPr>
            <w:tcW w:w="0" w:type="auto"/>
            <w:shd w:val="clear" w:color="auto" w:fill="E7E6E6" w:themeFill="background2"/>
            <w:vAlign w:val="center"/>
          </w:tcPr>
          <w:p w14:paraId="7D60F8A1" w14:textId="62C42012"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t>1</w:t>
            </w:r>
          </w:p>
        </w:tc>
        <w:tc>
          <w:tcPr>
            <w:tcW w:w="2126" w:type="dxa"/>
            <w:shd w:val="clear" w:color="auto" w:fill="E7E6E6" w:themeFill="background2"/>
            <w:vAlign w:val="center"/>
          </w:tcPr>
          <w:p w14:paraId="531A1362" w14:textId="380B2703"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t>Příprava rozpočtu</w:t>
            </w:r>
          </w:p>
        </w:tc>
        <w:tc>
          <w:tcPr>
            <w:tcW w:w="5480" w:type="dxa"/>
            <w:vAlign w:val="center"/>
          </w:tcPr>
          <w:p w14:paraId="1EE48053" w14:textId="5335F089"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 xml:space="preserve">Do 30. 4.: Vláda projedná návrh </w:t>
            </w:r>
            <w:r w:rsidR="009F0A7C">
              <w:rPr>
                <w:rFonts w:asciiTheme="minorHAnsi" w:hAnsiTheme="minorHAnsi" w:cstheme="minorHAnsi"/>
                <w:sz w:val="22"/>
                <w:szCs w:val="22"/>
              </w:rPr>
              <w:t xml:space="preserve">na </w:t>
            </w:r>
            <w:r w:rsidRPr="003627C3">
              <w:rPr>
                <w:rFonts w:asciiTheme="minorHAnsi" w:hAnsiTheme="minorHAnsi" w:cstheme="minorHAnsi"/>
                <w:sz w:val="22"/>
                <w:szCs w:val="22"/>
              </w:rPr>
              <w:t>střednědobý výhled (následující rok + další 2), který předkládá MF. Obsahuje plánované příjmy a výdaje na jednotlivá léta.</w:t>
            </w:r>
          </w:p>
          <w:p w14:paraId="3F1BA8A6" w14:textId="77777777"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 xml:space="preserve">Do 31. 5.: MF předkládá vládě návrh příjmů a výdajů státního rozpočtu v členění podle kapitol a státních fondů. </w:t>
            </w:r>
          </w:p>
          <w:p w14:paraId="2321C07F" w14:textId="77777777"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Do 20. 6.: Vláda návrh projedná a schválí.</w:t>
            </w:r>
          </w:p>
          <w:p w14:paraId="60E299F5" w14:textId="77777777"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 xml:space="preserve">Do 30. 6.: MF oznámí částky příslušným správcům kapitol a státních fondů. </w:t>
            </w:r>
          </w:p>
          <w:p w14:paraId="70393354" w14:textId="77777777"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Do 31. 7.: Správci kapitol sestavují návrh rozpočtu svých kapitol.</w:t>
            </w:r>
          </w:p>
          <w:p w14:paraId="2A667C81" w14:textId="5D7309DC" w:rsidR="009F23BC" w:rsidRPr="00F77DE2" w:rsidRDefault="009F23BC" w:rsidP="00D673D1">
            <w:pPr>
              <w:pStyle w:val="Zkladntext3"/>
              <w:spacing w:after="0"/>
              <w:rPr>
                <w:rFonts w:asciiTheme="minorHAnsi" w:eastAsia="Calibri" w:hAnsiTheme="minorHAnsi" w:cstheme="minorHAnsi"/>
                <w:iCs/>
                <w:sz w:val="22"/>
                <w:szCs w:val="22"/>
              </w:rPr>
            </w:pPr>
            <w:r w:rsidRPr="003627C3">
              <w:rPr>
                <w:rFonts w:asciiTheme="minorHAnsi" w:hAnsiTheme="minorHAnsi" w:cstheme="minorHAnsi"/>
                <w:sz w:val="22"/>
                <w:szCs w:val="22"/>
              </w:rPr>
              <w:t xml:space="preserve">Do 31. 8.: MF předloží návrh zákona o státním rozpočtu a návrh střednědobého výhledu vládě. </w:t>
            </w:r>
          </w:p>
        </w:tc>
        <w:tc>
          <w:tcPr>
            <w:tcW w:w="1131" w:type="dxa"/>
            <w:vAlign w:val="center"/>
          </w:tcPr>
          <w:p w14:paraId="3A82F654" w14:textId="02F6D0FC" w:rsidR="009F23BC" w:rsidRPr="00F77DE2" w:rsidRDefault="009F23BC" w:rsidP="009F23BC">
            <w:pPr>
              <w:pStyle w:val="Zkladntext3"/>
              <w:spacing w:after="0"/>
              <w:ind w:left="-57" w:right="-57"/>
              <w:rPr>
                <w:rFonts w:asciiTheme="minorHAnsi" w:eastAsia="Calibri" w:hAnsiTheme="minorHAnsi" w:cstheme="minorHAnsi"/>
                <w:iCs/>
                <w:sz w:val="22"/>
                <w:szCs w:val="22"/>
              </w:rPr>
            </w:pPr>
            <w:r>
              <w:rPr>
                <w:rFonts w:asciiTheme="minorHAnsi" w:eastAsia="Calibri" w:hAnsiTheme="minorHAnsi" w:cstheme="minorHAnsi"/>
                <w:iCs/>
                <w:sz w:val="22"/>
                <w:szCs w:val="22"/>
              </w:rPr>
              <w:t>Předchozí rok</w:t>
            </w:r>
          </w:p>
        </w:tc>
      </w:tr>
      <w:tr w:rsidR="009F23BC" w:rsidRPr="00F77DE2" w14:paraId="6F7BBDFF" w14:textId="77777777" w:rsidTr="005B498D">
        <w:tc>
          <w:tcPr>
            <w:tcW w:w="0" w:type="auto"/>
            <w:shd w:val="clear" w:color="auto" w:fill="E7E6E6" w:themeFill="background2"/>
            <w:vAlign w:val="center"/>
          </w:tcPr>
          <w:p w14:paraId="1E651D6D" w14:textId="236C5423"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lastRenderedPageBreak/>
              <w:t>2</w:t>
            </w:r>
          </w:p>
        </w:tc>
        <w:tc>
          <w:tcPr>
            <w:tcW w:w="2126" w:type="dxa"/>
            <w:shd w:val="clear" w:color="auto" w:fill="E7E6E6" w:themeFill="background2"/>
            <w:vAlign w:val="center"/>
          </w:tcPr>
          <w:p w14:paraId="34DDDAFF" w14:textId="214E2FF0"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t>Projednávání a schvalování rozpočtu</w:t>
            </w:r>
          </w:p>
        </w:tc>
        <w:tc>
          <w:tcPr>
            <w:tcW w:w="5480" w:type="dxa"/>
            <w:vAlign w:val="center"/>
          </w:tcPr>
          <w:p w14:paraId="4F91DD0F" w14:textId="77777777"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 xml:space="preserve">Do 30. 9.: Vláda předkládá návrh zákona o státním rozpočtu a návrh střednědobého výhledu do Poslanecké sněmovny. </w:t>
            </w:r>
          </w:p>
          <w:p w14:paraId="29DA5E3E" w14:textId="77777777" w:rsidR="009F23BC" w:rsidRPr="003627C3" w:rsidRDefault="009F23BC" w:rsidP="00D673D1">
            <w:pPr>
              <w:pStyle w:val="Zkladntextodsazen"/>
              <w:spacing w:after="0"/>
              <w:ind w:left="0"/>
              <w:rPr>
                <w:rFonts w:asciiTheme="minorHAnsi" w:hAnsiTheme="minorHAnsi" w:cstheme="minorHAnsi"/>
                <w:sz w:val="22"/>
                <w:szCs w:val="22"/>
              </w:rPr>
            </w:pPr>
            <w:r w:rsidRPr="003627C3">
              <w:rPr>
                <w:rFonts w:asciiTheme="minorHAnsi" w:hAnsiTheme="minorHAnsi" w:cstheme="minorHAnsi"/>
                <w:sz w:val="22"/>
                <w:szCs w:val="22"/>
              </w:rPr>
              <w:t>Od 1. 10.: Rozpočet je projednáván v Poslanecké sněmovně v trojím čtení.</w:t>
            </w:r>
          </w:p>
          <w:p w14:paraId="3E272674" w14:textId="395E498A" w:rsidR="009F23BC" w:rsidRPr="00F77DE2" w:rsidRDefault="009F23BC" w:rsidP="00D673D1">
            <w:pPr>
              <w:pStyle w:val="Zkladntext3"/>
              <w:spacing w:after="0"/>
              <w:rPr>
                <w:rFonts w:asciiTheme="minorHAnsi" w:eastAsia="Calibri" w:hAnsiTheme="minorHAnsi" w:cstheme="minorHAnsi"/>
                <w:iCs/>
                <w:sz w:val="22"/>
                <w:szCs w:val="22"/>
              </w:rPr>
            </w:pPr>
            <w:r w:rsidRPr="003627C3">
              <w:rPr>
                <w:rFonts w:asciiTheme="minorHAnsi" w:hAnsiTheme="minorHAnsi" w:cstheme="minorHAnsi"/>
                <w:sz w:val="22"/>
                <w:szCs w:val="22"/>
              </w:rPr>
              <w:t>Od 1. 1.: Pokud není zákon schválen do 31. 12., postupuje se od 1. 1. podle rozpočtového provizoria</w:t>
            </w:r>
            <w:r>
              <w:rPr>
                <w:rFonts w:asciiTheme="minorHAnsi" w:hAnsiTheme="minorHAnsi" w:cstheme="minorHAnsi"/>
                <w:sz w:val="22"/>
                <w:szCs w:val="22"/>
              </w:rPr>
              <w:t>.</w:t>
            </w:r>
          </w:p>
        </w:tc>
        <w:tc>
          <w:tcPr>
            <w:tcW w:w="1131" w:type="dxa"/>
            <w:vAlign w:val="center"/>
          </w:tcPr>
          <w:p w14:paraId="611F109F" w14:textId="0986124A" w:rsidR="009F23BC" w:rsidRPr="00F77DE2" w:rsidRDefault="009F23BC" w:rsidP="00D673D1">
            <w:pPr>
              <w:pStyle w:val="Zkladntext3"/>
              <w:spacing w:after="0"/>
              <w:ind w:left="-57" w:right="-57"/>
              <w:rPr>
                <w:rFonts w:asciiTheme="minorHAnsi" w:eastAsia="Calibri" w:hAnsiTheme="minorHAnsi" w:cstheme="minorHAnsi"/>
                <w:iCs/>
                <w:sz w:val="22"/>
                <w:szCs w:val="22"/>
              </w:rPr>
            </w:pPr>
            <w:r>
              <w:rPr>
                <w:rFonts w:asciiTheme="minorHAnsi" w:eastAsia="Calibri" w:hAnsiTheme="minorHAnsi" w:cstheme="minorHAnsi"/>
                <w:iCs/>
                <w:sz w:val="22"/>
                <w:szCs w:val="22"/>
              </w:rPr>
              <w:t>Předchozí rok</w:t>
            </w:r>
            <w:r w:rsidR="00D673D1">
              <w:rPr>
                <w:rFonts w:asciiTheme="minorHAnsi" w:eastAsia="Calibri" w:hAnsiTheme="minorHAnsi" w:cstheme="minorHAnsi"/>
                <w:iCs/>
                <w:sz w:val="22"/>
                <w:szCs w:val="22"/>
              </w:rPr>
              <w:t xml:space="preserve"> (případně běžný rok)</w:t>
            </w:r>
          </w:p>
        </w:tc>
      </w:tr>
      <w:tr w:rsidR="009F23BC" w:rsidRPr="00F77DE2" w14:paraId="6D9D1ADE" w14:textId="77777777" w:rsidTr="005B498D">
        <w:tc>
          <w:tcPr>
            <w:tcW w:w="0" w:type="auto"/>
            <w:shd w:val="clear" w:color="auto" w:fill="E7E6E6" w:themeFill="background2"/>
            <w:vAlign w:val="center"/>
          </w:tcPr>
          <w:p w14:paraId="7934D2A6" w14:textId="4F20B5E7"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t>3</w:t>
            </w:r>
          </w:p>
        </w:tc>
        <w:tc>
          <w:tcPr>
            <w:tcW w:w="2126" w:type="dxa"/>
            <w:shd w:val="clear" w:color="auto" w:fill="E7E6E6" w:themeFill="background2"/>
            <w:vAlign w:val="center"/>
          </w:tcPr>
          <w:p w14:paraId="7EE31D8D" w14:textId="713804E0"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t>Hospodaření dle schváleného rozpočtu a jeho změny</w:t>
            </w:r>
          </w:p>
        </w:tc>
        <w:tc>
          <w:tcPr>
            <w:tcW w:w="5480" w:type="dxa"/>
            <w:vAlign w:val="center"/>
          </w:tcPr>
          <w:p w14:paraId="69F1AC39" w14:textId="0D200C19" w:rsidR="009F23BC" w:rsidRPr="00F77DE2" w:rsidRDefault="009F23BC" w:rsidP="00D673D1">
            <w:pPr>
              <w:pStyle w:val="Zkladntext3"/>
              <w:spacing w:after="0"/>
              <w:rPr>
                <w:rFonts w:asciiTheme="minorHAnsi" w:eastAsia="Calibri" w:hAnsiTheme="minorHAnsi" w:cstheme="minorHAnsi"/>
                <w:iCs/>
                <w:sz w:val="22"/>
                <w:szCs w:val="22"/>
              </w:rPr>
            </w:pPr>
            <w:r>
              <w:rPr>
                <w:rFonts w:asciiTheme="minorHAnsi" w:eastAsia="Calibri" w:hAnsiTheme="minorHAnsi" w:cstheme="minorHAnsi"/>
                <w:iCs/>
                <w:sz w:val="22"/>
                <w:szCs w:val="22"/>
              </w:rPr>
              <w:t xml:space="preserve">Od 1. 1. do 31. 12.: Probíhá hospodaření dle schváleného rozpočtu a jeho případné změny. </w:t>
            </w:r>
          </w:p>
        </w:tc>
        <w:tc>
          <w:tcPr>
            <w:tcW w:w="1131" w:type="dxa"/>
            <w:vAlign w:val="center"/>
          </w:tcPr>
          <w:p w14:paraId="0C018FF8" w14:textId="64A085F3" w:rsidR="009F23BC" w:rsidRPr="00F77DE2" w:rsidRDefault="009F23BC" w:rsidP="00D673D1">
            <w:pPr>
              <w:pStyle w:val="Zkladntext3"/>
              <w:spacing w:after="0"/>
              <w:ind w:left="-57" w:right="-57"/>
              <w:rPr>
                <w:rFonts w:asciiTheme="minorHAnsi" w:eastAsia="Calibri" w:hAnsiTheme="minorHAnsi" w:cstheme="minorHAnsi"/>
                <w:iCs/>
                <w:sz w:val="22"/>
                <w:szCs w:val="22"/>
              </w:rPr>
            </w:pPr>
            <w:r>
              <w:rPr>
                <w:rFonts w:asciiTheme="minorHAnsi" w:eastAsia="Calibri" w:hAnsiTheme="minorHAnsi" w:cstheme="minorHAnsi"/>
                <w:iCs/>
                <w:sz w:val="22"/>
                <w:szCs w:val="22"/>
              </w:rPr>
              <w:t>Běžný rok</w:t>
            </w:r>
          </w:p>
        </w:tc>
      </w:tr>
      <w:tr w:rsidR="009F23BC" w:rsidRPr="00F77DE2" w14:paraId="3B36AF30" w14:textId="77777777" w:rsidTr="005B498D">
        <w:tc>
          <w:tcPr>
            <w:tcW w:w="0" w:type="auto"/>
            <w:shd w:val="clear" w:color="auto" w:fill="E7E6E6" w:themeFill="background2"/>
            <w:vAlign w:val="center"/>
          </w:tcPr>
          <w:p w14:paraId="4C0503B5" w14:textId="5584F004" w:rsidR="009F23BC" w:rsidRPr="00F77DE2" w:rsidRDefault="009F23BC" w:rsidP="009F23BC">
            <w:pPr>
              <w:pStyle w:val="Zkladntext3"/>
              <w:spacing w:after="0"/>
              <w:ind w:left="-57" w:right="-57"/>
              <w:rPr>
                <w:rFonts w:asciiTheme="minorHAnsi" w:eastAsia="Calibri" w:hAnsiTheme="minorHAnsi" w:cstheme="minorHAnsi"/>
                <w:iCs/>
                <w:sz w:val="22"/>
                <w:szCs w:val="22"/>
              </w:rPr>
            </w:pPr>
            <w:r w:rsidRPr="00F77DE2">
              <w:rPr>
                <w:rFonts w:asciiTheme="minorHAnsi" w:eastAsia="Calibri" w:hAnsiTheme="minorHAnsi" w:cstheme="minorHAnsi"/>
                <w:iCs/>
                <w:sz w:val="22"/>
                <w:szCs w:val="22"/>
              </w:rPr>
              <w:t>4</w:t>
            </w:r>
          </w:p>
        </w:tc>
        <w:tc>
          <w:tcPr>
            <w:tcW w:w="2126" w:type="dxa"/>
            <w:shd w:val="clear" w:color="auto" w:fill="E7E6E6" w:themeFill="background2"/>
            <w:vAlign w:val="center"/>
          </w:tcPr>
          <w:p w14:paraId="0E55A2B5" w14:textId="217CE557" w:rsidR="009F23BC" w:rsidRPr="003627C3" w:rsidRDefault="009F23BC" w:rsidP="009F23BC">
            <w:pPr>
              <w:pStyle w:val="Zkladntext3"/>
              <w:spacing w:after="0"/>
              <w:ind w:left="-57" w:right="-57"/>
              <w:rPr>
                <w:rFonts w:asciiTheme="minorHAnsi" w:eastAsia="Calibri" w:hAnsiTheme="minorHAnsi" w:cstheme="minorHAnsi"/>
                <w:iCs/>
                <w:sz w:val="22"/>
                <w:szCs w:val="22"/>
              </w:rPr>
            </w:pPr>
            <w:r w:rsidRPr="003627C3">
              <w:rPr>
                <w:rFonts w:asciiTheme="minorHAnsi" w:eastAsia="Calibri" w:hAnsiTheme="minorHAnsi" w:cstheme="minorHAnsi"/>
                <w:iCs/>
                <w:sz w:val="22"/>
                <w:szCs w:val="22"/>
              </w:rPr>
              <w:t>Zpracování a schválení závěrečného účtu</w:t>
            </w:r>
          </w:p>
        </w:tc>
        <w:tc>
          <w:tcPr>
            <w:tcW w:w="5480" w:type="dxa"/>
            <w:vAlign w:val="center"/>
          </w:tcPr>
          <w:p w14:paraId="14DB77FC" w14:textId="77777777" w:rsidR="009F23BC" w:rsidRDefault="009F23BC" w:rsidP="00D673D1">
            <w:pPr>
              <w:pStyle w:val="Zkladntextodsazen"/>
              <w:spacing w:after="0"/>
              <w:ind w:left="0"/>
              <w:jc w:val="both"/>
              <w:rPr>
                <w:rFonts w:asciiTheme="minorHAnsi" w:hAnsiTheme="minorHAnsi" w:cstheme="minorHAnsi"/>
                <w:sz w:val="22"/>
                <w:szCs w:val="22"/>
              </w:rPr>
            </w:pPr>
            <w:r>
              <w:rPr>
                <w:rFonts w:asciiTheme="minorHAnsi" w:hAnsiTheme="minorHAnsi" w:cstheme="minorHAnsi"/>
                <w:sz w:val="22"/>
                <w:szCs w:val="22"/>
              </w:rPr>
              <w:t xml:space="preserve">Do 30. 4.: </w:t>
            </w:r>
            <w:r w:rsidRPr="003627C3">
              <w:rPr>
                <w:rFonts w:asciiTheme="minorHAnsi" w:hAnsiTheme="minorHAnsi" w:cstheme="minorHAnsi"/>
                <w:sz w:val="22"/>
                <w:szCs w:val="22"/>
              </w:rPr>
              <w:t xml:space="preserve">Vláda předkládá návrh státního závěrečného účtu </w:t>
            </w:r>
            <w:r>
              <w:rPr>
                <w:rFonts w:asciiTheme="minorHAnsi" w:hAnsiTheme="minorHAnsi" w:cstheme="minorHAnsi"/>
                <w:sz w:val="22"/>
                <w:szCs w:val="22"/>
              </w:rPr>
              <w:t>Poslanecké sněmovně.</w:t>
            </w:r>
          </w:p>
          <w:p w14:paraId="064FA6A4" w14:textId="77BC7B84" w:rsidR="009F23BC" w:rsidRPr="003627C3" w:rsidRDefault="009F23BC" w:rsidP="00D673D1">
            <w:pPr>
              <w:pStyle w:val="Zkladntextodsazen"/>
              <w:spacing w:after="0"/>
              <w:ind w:left="0"/>
              <w:jc w:val="both"/>
              <w:rPr>
                <w:rFonts w:asciiTheme="minorHAnsi" w:eastAsia="Calibri" w:hAnsiTheme="minorHAnsi" w:cstheme="minorHAnsi"/>
                <w:iCs/>
                <w:sz w:val="22"/>
                <w:szCs w:val="22"/>
              </w:rPr>
            </w:pPr>
            <w:r>
              <w:rPr>
                <w:rFonts w:asciiTheme="minorHAnsi" w:hAnsiTheme="minorHAnsi" w:cstheme="minorHAnsi"/>
                <w:sz w:val="22"/>
                <w:szCs w:val="22"/>
              </w:rPr>
              <w:t>Následuje projednání a schválení v Poslanecké sněmovně.</w:t>
            </w:r>
          </w:p>
        </w:tc>
        <w:tc>
          <w:tcPr>
            <w:tcW w:w="1131" w:type="dxa"/>
            <w:vAlign w:val="center"/>
          </w:tcPr>
          <w:p w14:paraId="2AE81F89" w14:textId="43BC7A6C" w:rsidR="009F23BC" w:rsidRPr="003627C3" w:rsidRDefault="009F23BC" w:rsidP="009F23BC">
            <w:pPr>
              <w:pStyle w:val="Zkladntext3"/>
              <w:spacing w:after="0"/>
              <w:ind w:left="-57" w:right="-57"/>
              <w:rPr>
                <w:rFonts w:asciiTheme="minorHAnsi" w:eastAsia="Calibri" w:hAnsiTheme="minorHAnsi" w:cstheme="minorHAnsi"/>
                <w:iCs/>
                <w:sz w:val="22"/>
                <w:szCs w:val="22"/>
              </w:rPr>
            </w:pPr>
            <w:r>
              <w:rPr>
                <w:rFonts w:asciiTheme="minorHAnsi" w:eastAsia="Calibri" w:hAnsiTheme="minorHAnsi" w:cstheme="minorHAnsi"/>
                <w:iCs/>
                <w:sz w:val="22"/>
                <w:szCs w:val="22"/>
              </w:rPr>
              <w:t>Následující rok</w:t>
            </w:r>
          </w:p>
        </w:tc>
      </w:tr>
    </w:tbl>
    <w:p w14:paraId="3F1CB8F3" w14:textId="77777777" w:rsidR="004C4FE1" w:rsidRDefault="004C4FE1" w:rsidP="004C4FE1">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Zdroj: autoři</w:t>
      </w:r>
    </w:p>
    <w:p w14:paraId="6BF9EAD0" w14:textId="77777777" w:rsidR="004C4FE1" w:rsidRDefault="004C4FE1" w:rsidP="000706E6">
      <w:pPr>
        <w:pStyle w:val="Zkladntextodsazen"/>
        <w:spacing w:after="0" w:line="360" w:lineRule="auto"/>
        <w:ind w:left="0"/>
        <w:jc w:val="both"/>
        <w:rPr>
          <w:rFonts w:asciiTheme="minorHAnsi" w:hAnsiTheme="minorHAnsi" w:cstheme="minorHAnsi"/>
        </w:rPr>
      </w:pPr>
    </w:p>
    <w:p w14:paraId="5CF56240" w14:textId="0E5A3579" w:rsidR="00F65092" w:rsidRPr="00CD4AAE" w:rsidRDefault="00CD4AAE" w:rsidP="00CD4AAE">
      <w:pPr>
        <w:pStyle w:val="Nadpis2"/>
        <w:spacing w:before="240" w:after="120"/>
        <w:ind w:left="578" w:hanging="578"/>
        <w:rPr>
          <w:rFonts w:asciiTheme="minorHAnsi" w:hAnsiTheme="minorHAnsi" w:cstheme="minorHAnsi"/>
          <w:color w:val="7493B0"/>
          <w:sz w:val="24"/>
          <w:szCs w:val="24"/>
          <w:lang w:val="cs-CZ"/>
        </w:rPr>
      </w:pPr>
      <w:bookmarkStart w:id="16" w:name="_Toc117269989"/>
      <w:r>
        <w:rPr>
          <w:rFonts w:asciiTheme="minorHAnsi" w:hAnsiTheme="minorHAnsi" w:cstheme="minorHAnsi"/>
          <w:color w:val="7493B0"/>
          <w:sz w:val="24"/>
          <w:szCs w:val="24"/>
          <w:lang w:val="cs-CZ"/>
        </w:rPr>
        <w:t xml:space="preserve">Fáze </w:t>
      </w:r>
      <w:r w:rsidRPr="008B40EA">
        <w:rPr>
          <w:rFonts w:asciiTheme="minorHAnsi" w:hAnsiTheme="minorHAnsi" w:cstheme="minorHAnsi"/>
          <w:color w:val="7493B0"/>
          <w:sz w:val="24"/>
          <w:szCs w:val="24"/>
          <w:lang w:val="cs-CZ"/>
        </w:rPr>
        <w:t>rozpočtu</w:t>
      </w:r>
      <w:r>
        <w:rPr>
          <w:rFonts w:asciiTheme="minorHAnsi" w:hAnsiTheme="minorHAnsi" w:cstheme="minorHAnsi"/>
          <w:color w:val="7493B0"/>
          <w:sz w:val="24"/>
          <w:szCs w:val="24"/>
          <w:lang w:val="cs-CZ"/>
        </w:rPr>
        <w:t xml:space="preserve"> – </w:t>
      </w:r>
      <w:r w:rsidR="000706E6" w:rsidRPr="00CD4AAE">
        <w:rPr>
          <w:rFonts w:asciiTheme="minorHAnsi" w:hAnsiTheme="minorHAnsi" w:cstheme="minorHAnsi"/>
          <w:color w:val="7493B0"/>
          <w:sz w:val="24"/>
          <w:szCs w:val="24"/>
          <w:lang w:val="cs-CZ"/>
        </w:rPr>
        <w:t>na příkladu obce</w:t>
      </w:r>
      <w:bookmarkEnd w:id="16"/>
    </w:p>
    <w:p w14:paraId="4CC714FB" w14:textId="2B75412D" w:rsidR="00F65092" w:rsidRPr="003D1574" w:rsidRDefault="00F65092" w:rsidP="00F65092">
      <w:pPr>
        <w:pStyle w:val="A1-text"/>
        <w:spacing w:after="0"/>
        <w:rPr>
          <w:rFonts w:ascii="Calibri" w:hAnsi="Calibri"/>
          <w:lang w:val="cs-CZ"/>
        </w:rPr>
      </w:pPr>
      <w:r>
        <w:rPr>
          <w:rFonts w:ascii="Calibri" w:hAnsi="Calibri"/>
          <w:lang w:val="cs-CZ"/>
        </w:rPr>
        <w:t xml:space="preserve">Problematika rozpočtu </w:t>
      </w:r>
      <w:r w:rsidR="00CD4AAE">
        <w:rPr>
          <w:rFonts w:ascii="Calibri" w:hAnsi="Calibri"/>
          <w:lang w:val="cs-CZ"/>
        </w:rPr>
        <w:t xml:space="preserve">je </w:t>
      </w:r>
      <w:r>
        <w:rPr>
          <w:rFonts w:ascii="Calibri" w:hAnsi="Calibri"/>
          <w:lang w:val="cs-CZ"/>
        </w:rPr>
        <w:t xml:space="preserve">vysvětlena </w:t>
      </w:r>
      <w:r w:rsidR="00CD4AAE">
        <w:rPr>
          <w:rFonts w:ascii="Calibri" w:hAnsi="Calibri"/>
          <w:lang w:val="cs-CZ"/>
        </w:rPr>
        <w:t xml:space="preserve">také </w:t>
      </w:r>
      <w:r>
        <w:rPr>
          <w:rFonts w:ascii="Calibri" w:hAnsi="Calibri"/>
          <w:lang w:val="cs-CZ"/>
        </w:rPr>
        <w:t xml:space="preserve">na příkladu obce. </w:t>
      </w:r>
      <w:r w:rsidRPr="003D1574">
        <w:rPr>
          <w:rFonts w:ascii="Calibri" w:hAnsi="Calibri"/>
        </w:rPr>
        <w:t xml:space="preserve">Následující obrázek zjednodušeně zobrazuje </w:t>
      </w:r>
      <w:r w:rsidRPr="00CE32DC">
        <w:rPr>
          <w:rFonts w:ascii="Calibri" w:hAnsi="Calibri"/>
          <w:b/>
        </w:rPr>
        <w:t>rozpočet</w:t>
      </w:r>
      <w:r w:rsidRPr="00CE32DC">
        <w:rPr>
          <w:rFonts w:ascii="Calibri" w:hAnsi="Calibri"/>
          <w:b/>
          <w:lang w:val="cs-CZ"/>
        </w:rPr>
        <w:t xml:space="preserve"> obce</w:t>
      </w:r>
      <w:r w:rsidRPr="003D1574">
        <w:rPr>
          <w:rFonts w:ascii="Calibri" w:hAnsi="Calibri"/>
          <w:lang w:val="cs-CZ"/>
        </w:rPr>
        <w:t xml:space="preserve"> </w:t>
      </w:r>
      <w:r w:rsidR="00B5324F">
        <w:rPr>
          <w:rFonts w:ascii="Calibri" w:hAnsi="Calibri"/>
          <w:lang w:val="cs-CZ"/>
        </w:rPr>
        <w:t>(</w:t>
      </w:r>
      <w:r w:rsidRPr="003D1574">
        <w:rPr>
          <w:rFonts w:ascii="Calibri" w:hAnsi="Calibri"/>
          <w:lang w:val="cs-CZ"/>
        </w:rPr>
        <w:t>nebo</w:t>
      </w:r>
      <w:r w:rsidR="00B5324F">
        <w:rPr>
          <w:rFonts w:ascii="Calibri" w:hAnsi="Calibri"/>
          <w:lang w:val="cs-CZ"/>
        </w:rPr>
        <w:t xml:space="preserve"> případně</w:t>
      </w:r>
      <w:r w:rsidRPr="003D1574">
        <w:rPr>
          <w:rFonts w:ascii="Calibri" w:hAnsi="Calibri"/>
          <w:lang w:val="cs-CZ"/>
        </w:rPr>
        <w:t xml:space="preserve"> kraje</w:t>
      </w:r>
      <w:r w:rsidR="00B5324F">
        <w:rPr>
          <w:rFonts w:ascii="Calibri" w:hAnsi="Calibri"/>
          <w:lang w:val="cs-CZ"/>
        </w:rPr>
        <w:t xml:space="preserve">), </w:t>
      </w:r>
      <w:r w:rsidR="006132A9">
        <w:rPr>
          <w:rFonts w:ascii="Calibri" w:hAnsi="Calibri"/>
          <w:lang w:val="cs-CZ"/>
        </w:rPr>
        <w:t xml:space="preserve">kde </w:t>
      </w:r>
      <w:r w:rsidR="00B5324F">
        <w:rPr>
          <w:rFonts w:ascii="Calibri" w:hAnsi="Calibri"/>
          <w:lang w:val="cs-CZ"/>
        </w:rPr>
        <w:t>jsou plánovány</w:t>
      </w:r>
      <w:r w:rsidRPr="003D1574">
        <w:rPr>
          <w:rFonts w:ascii="Calibri" w:hAnsi="Calibri"/>
          <w:lang w:val="cs-CZ"/>
        </w:rPr>
        <w:t>:</w:t>
      </w:r>
    </w:p>
    <w:p w14:paraId="0C7CB1F6" w14:textId="77777777" w:rsidR="00F65092" w:rsidRPr="003D1574" w:rsidRDefault="00F65092" w:rsidP="0065698B">
      <w:pPr>
        <w:pStyle w:val="A1-text"/>
        <w:numPr>
          <w:ilvl w:val="0"/>
          <w:numId w:val="22"/>
        </w:numPr>
        <w:spacing w:after="0"/>
        <w:rPr>
          <w:rFonts w:ascii="Calibri" w:hAnsi="Calibri"/>
          <w:lang w:val="cs-CZ"/>
        </w:rPr>
      </w:pPr>
      <w:r w:rsidRPr="003D1574">
        <w:rPr>
          <w:rFonts w:ascii="Calibri" w:hAnsi="Calibri"/>
          <w:lang w:val="cs-CZ"/>
        </w:rPr>
        <w:t xml:space="preserve">výdaje, </w:t>
      </w:r>
    </w:p>
    <w:p w14:paraId="26C3D680" w14:textId="77777777" w:rsidR="00F65092" w:rsidRPr="003D1574" w:rsidRDefault="00F65092" w:rsidP="0065698B">
      <w:pPr>
        <w:pStyle w:val="A1-text"/>
        <w:numPr>
          <w:ilvl w:val="0"/>
          <w:numId w:val="22"/>
        </w:numPr>
        <w:spacing w:after="0"/>
        <w:rPr>
          <w:rFonts w:ascii="Calibri" w:hAnsi="Calibri"/>
          <w:lang w:val="cs-CZ"/>
        </w:rPr>
      </w:pPr>
      <w:r w:rsidRPr="003D1574">
        <w:rPr>
          <w:rFonts w:ascii="Calibri" w:hAnsi="Calibri"/>
          <w:lang w:val="cs-CZ"/>
        </w:rPr>
        <w:t xml:space="preserve">příjmy a </w:t>
      </w:r>
    </w:p>
    <w:p w14:paraId="4208C5D1" w14:textId="77777777" w:rsidR="00F65092" w:rsidRDefault="00F65092" w:rsidP="0065698B">
      <w:pPr>
        <w:pStyle w:val="A1-text"/>
        <w:numPr>
          <w:ilvl w:val="0"/>
          <w:numId w:val="22"/>
        </w:numPr>
        <w:spacing w:after="120"/>
        <w:rPr>
          <w:rFonts w:ascii="Calibri" w:hAnsi="Calibri"/>
          <w:lang w:val="cs-CZ"/>
        </w:rPr>
      </w:pPr>
      <w:r w:rsidRPr="003D1574">
        <w:rPr>
          <w:rFonts w:ascii="Calibri" w:hAnsi="Calibri"/>
          <w:lang w:val="cs-CZ"/>
        </w:rPr>
        <w:t xml:space="preserve">případný schodek / přebytek rozpočtu. </w:t>
      </w:r>
    </w:p>
    <w:p w14:paraId="01455925" w14:textId="0271D457" w:rsidR="00F65092" w:rsidRPr="000C7ECF" w:rsidRDefault="00F65092" w:rsidP="00F65092">
      <w:pPr>
        <w:pStyle w:val="A1-text"/>
        <w:spacing w:after="0" w:line="240" w:lineRule="auto"/>
        <w:rPr>
          <w:rFonts w:asciiTheme="minorHAnsi" w:eastAsia="Calibri" w:hAnsiTheme="minorHAnsi" w:cstheme="minorHAnsi"/>
          <w:i/>
          <w:iCs/>
          <w:lang w:val="cs-CZ" w:eastAsia="cs-CZ"/>
        </w:rPr>
      </w:pPr>
      <w:r w:rsidRPr="000C7ECF">
        <w:rPr>
          <w:rFonts w:asciiTheme="minorHAnsi" w:eastAsia="Calibri" w:hAnsiTheme="minorHAnsi" w:cstheme="minorHAnsi"/>
          <w:i/>
          <w:iCs/>
          <w:lang w:val="cs-CZ" w:eastAsia="cs-CZ"/>
        </w:rPr>
        <w:t xml:space="preserve">Obr. </w:t>
      </w:r>
      <w:r w:rsidR="00257449">
        <w:rPr>
          <w:rFonts w:asciiTheme="minorHAnsi" w:eastAsia="Calibri" w:hAnsiTheme="minorHAnsi" w:cstheme="minorHAnsi"/>
          <w:i/>
          <w:iCs/>
          <w:lang w:val="cs-CZ" w:eastAsia="cs-CZ"/>
        </w:rPr>
        <w:t>12</w:t>
      </w:r>
      <w:r w:rsidRPr="000C7ECF">
        <w:rPr>
          <w:rFonts w:asciiTheme="minorHAnsi" w:eastAsia="Calibri" w:hAnsiTheme="minorHAnsi" w:cstheme="minorHAnsi"/>
          <w:i/>
          <w:iCs/>
          <w:lang w:val="cs-CZ" w:eastAsia="cs-CZ"/>
        </w:rPr>
        <w:t xml:space="preserve"> Zjednodušené zobrazení rozpočtu obce</w:t>
      </w:r>
      <w:r w:rsidR="00E43FFC" w:rsidRPr="000C7ECF">
        <w:rPr>
          <w:rFonts w:asciiTheme="minorHAnsi" w:eastAsia="Calibri" w:hAnsiTheme="minorHAnsi" w:cstheme="minorHAnsi"/>
          <w:i/>
          <w:iCs/>
          <w:lang w:val="cs-CZ" w:eastAsia="cs-CZ"/>
        </w:rPr>
        <w:t xml:space="preserve"> (druhové členění)</w:t>
      </w:r>
    </w:p>
    <w:p w14:paraId="5C79A333" w14:textId="77777777" w:rsidR="00F65092" w:rsidRPr="003D1574" w:rsidRDefault="00F65092" w:rsidP="00F65092">
      <w:pPr>
        <w:rPr>
          <w:rFonts w:ascii="Garamond" w:hAnsi="Garamond"/>
          <w:sz w:val="16"/>
          <w:szCs w:val="16"/>
        </w:rPr>
      </w:pPr>
      <w:r w:rsidRPr="003D1574">
        <w:rPr>
          <w:rFonts w:ascii="Garamond" w:hAnsi="Garamond"/>
          <w:noProof/>
          <w:sz w:val="28"/>
          <w:szCs w:val="28"/>
        </w:rPr>
        <mc:AlternateContent>
          <mc:Choice Requires="wpg">
            <w:drawing>
              <wp:anchor distT="0" distB="0" distL="114300" distR="114300" simplePos="0" relativeHeight="251532800" behindDoc="0" locked="0" layoutInCell="1" allowOverlap="1" wp14:anchorId="6ED485BB" wp14:editId="173B55A0">
                <wp:simplePos x="0" y="0"/>
                <wp:positionH relativeFrom="column">
                  <wp:posOffset>-114300</wp:posOffset>
                </wp:positionH>
                <wp:positionV relativeFrom="paragraph">
                  <wp:posOffset>53975</wp:posOffset>
                </wp:positionV>
                <wp:extent cx="5943600" cy="2910840"/>
                <wp:effectExtent l="4445" t="1905" r="5080" b="1905"/>
                <wp:wrapNone/>
                <wp:docPr id="23656" name="Group 3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910840"/>
                          <a:chOff x="1238" y="5121"/>
                          <a:chExt cx="9360" cy="4584"/>
                        </a:xfrm>
                      </wpg:grpSpPr>
                      <wps:wsp>
                        <wps:cNvPr id="23674" name="Text Box 3745"/>
                        <wps:cNvSpPr txBox="1">
                          <a:spLocks noChangeArrowheads="1"/>
                        </wps:cNvSpPr>
                        <wps:spPr bwMode="auto">
                          <a:xfrm>
                            <a:off x="1775" y="5121"/>
                            <a:ext cx="14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E4F81" w14:textId="77777777" w:rsidR="00511D9B" w:rsidRPr="00486155" w:rsidRDefault="00511D9B" w:rsidP="00F65092">
                              <w:pPr>
                                <w:rPr>
                                  <w:rFonts w:ascii="Garamond" w:hAnsi="Garamond"/>
                                  <w:u w:val="single"/>
                                </w:rPr>
                              </w:pPr>
                              <w:r w:rsidRPr="00486155">
                                <w:rPr>
                                  <w:rFonts w:ascii="Garamond" w:hAnsi="Garamond"/>
                                  <w:u w:val="single"/>
                                </w:rPr>
                                <w:t>VÝDAJE:</w:t>
                              </w:r>
                            </w:p>
                          </w:txbxContent>
                        </wps:txbx>
                        <wps:bodyPr rot="0" vert="horz" wrap="square" lIns="18000" tIns="45720" rIns="18000" bIns="45720" anchor="t" anchorCtr="0" upright="1">
                          <a:noAutofit/>
                        </wps:bodyPr>
                      </wps:wsp>
                      <wps:wsp>
                        <wps:cNvPr id="23675" name="Text Box 3746"/>
                        <wps:cNvSpPr txBox="1">
                          <a:spLocks noChangeArrowheads="1"/>
                        </wps:cNvSpPr>
                        <wps:spPr bwMode="auto">
                          <a:xfrm>
                            <a:off x="7898" y="5166"/>
                            <a:ext cx="14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E1A1" w14:textId="77777777" w:rsidR="00511D9B" w:rsidRPr="00486155" w:rsidRDefault="00511D9B" w:rsidP="00F65092">
                              <w:pPr>
                                <w:rPr>
                                  <w:rFonts w:ascii="Garamond" w:hAnsi="Garamond"/>
                                  <w:u w:val="single"/>
                                </w:rPr>
                              </w:pPr>
                              <w:r w:rsidRPr="00486155">
                                <w:rPr>
                                  <w:rFonts w:ascii="Garamond" w:hAnsi="Garamond"/>
                                  <w:u w:val="single"/>
                                </w:rPr>
                                <w:t>PŘÍJMY:</w:t>
                              </w:r>
                            </w:p>
                          </w:txbxContent>
                        </wps:txbx>
                        <wps:bodyPr rot="0" vert="horz" wrap="square" lIns="18000" tIns="45720" rIns="18000" bIns="45720" anchor="t" anchorCtr="0" upright="1">
                          <a:noAutofit/>
                        </wps:bodyPr>
                      </wps:wsp>
                      <wps:wsp>
                        <wps:cNvPr id="23676" name="Text Box 3747"/>
                        <wps:cNvSpPr txBox="1">
                          <a:spLocks noChangeArrowheads="1"/>
                        </wps:cNvSpPr>
                        <wps:spPr bwMode="auto">
                          <a:xfrm>
                            <a:off x="1238" y="5518"/>
                            <a:ext cx="3076" cy="2428"/>
                          </a:xfrm>
                          <a:prstGeom prst="rect">
                            <a:avLst/>
                          </a:prstGeom>
                          <a:solidFill>
                            <a:srgbClr val="C0C0C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8A830" w14:textId="77777777" w:rsidR="00511D9B" w:rsidRPr="00486155" w:rsidRDefault="00511D9B" w:rsidP="00F65092">
                              <w:pPr>
                                <w:shd w:val="clear" w:color="auto" w:fill="FFF2CC"/>
                                <w:spacing w:line="240" w:lineRule="auto"/>
                                <w:rPr>
                                  <w:rFonts w:ascii="Garamond" w:hAnsi="Garamond"/>
                                  <w:b/>
                                </w:rPr>
                              </w:pPr>
                              <w:r w:rsidRPr="00486155">
                                <w:rPr>
                                  <w:rFonts w:ascii="Garamond" w:hAnsi="Garamond"/>
                                  <w:b/>
                                </w:rPr>
                                <w:t>Běžné výdaje</w:t>
                              </w:r>
                            </w:p>
                            <w:p w14:paraId="57093D4F" w14:textId="424A0A6D" w:rsidR="00511D9B" w:rsidRPr="00486155" w:rsidRDefault="00511D9B" w:rsidP="00F65092">
                              <w:pPr>
                                <w:shd w:val="clear" w:color="auto" w:fill="FFF2CC"/>
                                <w:spacing w:line="240" w:lineRule="auto"/>
                                <w:rPr>
                                  <w:rFonts w:ascii="Garamond" w:hAnsi="Garamond"/>
                                  <w:sz w:val="22"/>
                                  <w:szCs w:val="22"/>
                                </w:rPr>
                              </w:pPr>
                              <w:r w:rsidRPr="00486155">
                                <w:rPr>
                                  <w:rFonts w:ascii="Garamond" w:hAnsi="Garamond"/>
                                  <w:sz w:val="22"/>
                                  <w:szCs w:val="22"/>
                                </w:rPr>
                                <w:t>(platy; povinné pojistné; nákup zboží a materiálu; nákup energií; dopravní obslužnost; nákup služeb; výdaje na opravy a údržbu; dotace, příspěvky, dary; příspěvky přísp</w:t>
                              </w:r>
                              <w:r>
                                <w:rPr>
                                  <w:rFonts w:ascii="Garamond" w:hAnsi="Garamond"/>
                                  <w:sz w:val="22"/>
                                  <w:szCs w:val="22"/>
                                </w:rPr>
                                <w:t xml:space="preserve">ěvkovým </w:t>
                              </w:r>
                              <w:r w:rsidRPr="00486155">
                                <w:rPr>
                                  <w:rFonts w:ascii="Garamond" w:hAnsi="Garamond"/>
                                  <w:sz w:val="22"/>
                                  <w:szCs w:val="22"/>
                                </w:rPr>
                                <w:t>organizacím; dotace veřejným rozpočtům; sankč</w:t>
                              </w:r>
                              <w:r>
                                <w:rPr>
                                  <w:rFonts w:ascii="Garamond" w:hAnsi="Garamond"/>
                                  <w:sz w:val="22"/>
                                  <w:szCs w:val="22"/>
                                </w:rPr>
                                <w:t>ní</w:t>
                              </w:r>
                              <w:r w:rsidRPr="00486155">
                                <w:rPr>
                                  <w:rFonts w:ascii="Garamond" w:hAnsi="Garamond"/>
                                  <w:sz w:val="22"/>
                                  <w:szCs w:val="22"/>
                                </w:rPr>
                                <w:t xml:space="preserve"> platby; úroky a fin</w:t>
                              </w:r>
                              <w:r>
                                <w:rPr>
                                  <w:rFonts w:ascii="Garamond" w:hAnsi="Garamond"/>
                                  <w:sz w:val="22"/>
                                  <w:szCs w:val="22"/>
                                </w:rPr>
                                <w:t xml:space="preserve">anční </w:t>
                              </w:r>
                              <w:r w:rsidRPr="00486155">
                                <w:rPr>
                                  <w:rFonts w:ascii="Garamond" w:hAnsi="Garamond"/>
                                  <w:sz w:val="22"/>
                                  <w:szCs w:val="22"/>
                                </w:rPr>
                                <w:t>výdaje)</w:t>
                              </w:r>
                            </w:p>
                          </w:txbxContent>
                        </wps:txbx>
                        <wps:bodyPr rot="0" vert="horz" wrap="square" lIns="18000" tIns="10800" rIns="18000" bIns="10800" anchor="t" anchorCtr="0" upright="1">
                          <a:noAutofit/>
                        </wps:bodyPr>
                      </wps:wsp>
                      <wps:wsp>
                        <wps:cNvPr id="23677" name="Line 3748"/>
                        <wps:cNvCnPr>
                          <a:cxnSpLocks noChangeShapeType="1"/>
                        </wps:cNvCnPr>
                        <wps:spPr bwMode="auto">
                          <a:xfrm flipH="1" flipV="1">
                            <a:off x="4314" y="6741"/>
                            <a:ext cx="543" cy="324"/>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678" name="Text Box 3749"/>
                        <wps:cNvSpPr txBox="1">
                          <a:spLocks noChangeArrowheads="1"/>
                        </wps:cNvSpPr>
                        <wps:spPr bwMode="auto">
                          <a:xfrm>
                            <a:off x="1238" y="8126"/>
                            <a:ext cx="3076" cy="1579"/>
                          </a:xfrm>
                          <a:prstGeom prst="rect">
                            <a:avLst/>
                          </a:prstGeom>
                          <a:solidFill>
                            <a:srgbClr val="C0C0C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1F3EA" w14:textId="77777777" w:rsidR="00511D9B" w:rsidRPr="00486155" w:rsidRDefault="00511D9B" w:rsidP="00F65092">
                              <w:pPr>
                                <w:shd w:val="clear" w:color="auto" w:fill="FFF2CC"/>
                                <w:spacing w:line="240" w:lineRule="auto"/>
                                <w:rPr>
                                  <w:rFonts w:ascii="Garamond" w:hAnsi="Garamond"/>
                                  <w:b/>
                                </w:rPr>
                              </w:pPr>
                              <w:r w:rsidRPr="00486155">
                                <w:rPr>
                                  <w:rFonts w:ascii="Garamond" w:hAnsi="Garamond"/>
                                  <w:b/>
                                </w:rPr>
                                <w:t>Kapitálové výdaje</w:t>
                              </w:r>
                            </w:p>
                            <w:p w14:paraId="4C772748" w14:textId="77777777" w:rsidR="00511D9B" w:rsidRPr="00486155" w:rsidRDefault="00511D9B" w:rsidP="00F65092">
                              <w:pPr>
                                <w:shd w:val="clear" w:color="auto" w:fill="FFF2CC"/>
                                <w:spacing w:line="240" w:lineRule="auto"/>
                                <w:rPr>
                                  <w:rFonts w:ascii="Garamond" w:hAnsi="Garamond"/>
                                  <w:sz w:val="22"/>
                                  <w:szCs w:val="22"/>
                                </w:rPr>
                              </w:pPr>
                              <w:r w:rsidRPr="00486155">
                                <w:rPr>
                                  <w:rFonts w:ascii="Garamond" w:hAnsi="Garamond"/>
                                  <w:sz w:val="22"/>
                                  <w:szCs w:val="22"/>
                                </w:rPr>
                                <w:t>(pořízení hmotného majetku; pořízení nehmotného majetku; nákup pozemků; akcie a majetkové podíly; dotace a příspěvky; investiční půjčky)</w:t>
                              </w:r>
                            </w:p>
                          </w:txbxContent>
                        </wps:txbx>
                        <wps:bodyPr rot="0" vert="horz" wrap="square" lIns="18000" tIns="10800" rIns="18000" bIns="10800" anchor="t" anchorCtr="0" upright="1">
                          <a:noAutofit/>
                        </wps:bodyPr>
                      </wps:wsp>
                      <wps:wsp>
                        <wps:cNvPr id="23679" name="Line 3750"/>
                        <wps:cNvCnPr>
                          <a:cxnSpLocks noChangeShapeType="1"/>
                        </wps:cNvCnPr>
                        <wps:spPr bwMode="auto">
                          <a:xfrm flipV="1">
                            <a:off x="4133" y="7065"/>
                            <a:ext cx="720" cy="1266"/>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3936" name="Text Box 3751"/>
                        <wps:cNvSpPr txBox="1">
                          <a:spLocks noChangeArrowheads="1"/>
                        </wps:cNvSpPr>
                        <wps:spPr bwMode="auto">
                          <a:xfrm>
                            <a:off x="4691" y="8556"/>
                            <a:ext cx="245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AD5BE" w14:textId="77777777" w:rsidR="00511D9B" w:rsidRPr="00344035" w:rsidRDefault="00511D9B" w:rsidP="00F65092">
                              <w:pPr>
                                <w:spacing w:line="228" w:lineRule="auto"/>
                                <w:rPr>
                                  <w:rFonts w:ascii="Garamond" w:hAnsi="Garamond"/>
                                  <w:sz w:val="22"/>
                                </w:rPr>
                              </w:pPr>
                              <w:r w:rsidRPr="00344035">
                                <w:rPr>
                                  <w:rFonts w:ascii="Garamond" w:hAnsi="Garamond"/>
                                  <w:sz w:val="22"/>
                                </w:rPr>
                                <w:t>Řeší se např. přijetím úvěru (důležitá jsou pravidla pro (</w:t>
                              </w:r>
                              <w:r>
                                <w:rPr>
                                  <w:rFonts w:ascii="Garamond" w:hAnsi="Garamond"/>
                                  <w:sz w:val="22"/>
                                </w:rPr>
                                <w:t>ne)</w:t>
                              </w:r>
                              <w:r w:rsidRPr="00344035">
                                <w:rPr>
                                  <w:rFonts w:ascii="Garamond" w:hAnsi="Garamond"/>
                                  <w:sz w:val="22"/>
                                </w:rPr>
                                <w:t>zadlužování</w:t>
                              </w:r>
                              <w:r>
                                <w:rPr>
                                  <w:rFonts w:ascii="Garamond" w:hAnsi="Garamond"/>
                                  <w:sz w:val="22"/>
                                </w:rPr>
                                <w:t xml:space="preserve"> schválená zastupitelstvem)</w:t>
                              </w:r>
                            </w:p>
                          </w:txbxContent>
                        </wps:txbx>
                        <wps:bodyPr rot="0" vert="horz" wrap="square" lIns="18000" tIns="10800" rIns="18000" bIns="10800" anchor="t" anchorCtr="0" upright="1">
                          <a:noAutofit/>
                        </wps:bodyPr>
                      </wps:wsp>
                      <wps:wsp>
                        <wps:cNvPr id="23937" name="Line 3752"/>
                        <wps:cNvCnPr>
                          <a:cxnSpLocks noChangeShapeType="1"/>
                        </wps:cNvCnPr>
                        <wps:spPr bwMode="auto">
                          <a:xfrm flipV="1">
                            <a:off x="5400" y="8150"/>
                            <a:ext cx="0" cy="454"/>
                          </a:xfrm>
                          <a:prstGeom prst="line">
                            <a:avLst/>
                          </a:prstGeom>
                          <a:noFill/>
                          <a:ln w="12700">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s:wsp>
                        <wps:cNvPr id="23938" name="Line 3753"/>
                        <wps:cNvCnPr>
                          <a:cxnSpLocks noChangeShapeType="1"/>
                        </wps:cNvCnPr>
                        <wps:spPr bwMode="auto">
                          <a:xfrm flipH="1">
                            <a:off x="7029" y="5799"/>
                            <a:ext cx="362" cy="723"/>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939" name="Line 3754"/>
                        <wps:cNvCnPr>
                          <a:cxnSpLocks noChangeShapeType="1"/>
                        </wps:cNvCnPr>
                        <wps:spPr bwMode="auto">
                          <a:xfrm flipH="1">
                            <a:off x="6969" y="6967"/>
                            <a:ext cx="340" cy="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940" name="Line 3755"/>
                        <wps:cNvCnPr>
                          <a:cxnSpLocks noChangeShapeType="1"/>
                        </wps:cNvCnPr>
                        <wps:spPr bwMode="auto">
                          <a:xfrm flipH="1" flipV="1">
                            <a:off x="7029" y="7065"/>
                            <a:ext cx="362" cy="1085"/>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941" name="Line 3756"/>
                        <wps:cNvCnPr>
                          <a:cxnSpLocks noChangeShapeType="1"/>
                        </wps:cNvCnPr>
                        <wps:spPr bwMode="auto">
                          <a:xfrm flipH="1" flipV="1">
                            <a:off x="7029" y="7426"/>
                            <a:ext cx="362" cy="1628"/>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942" name="Text Box 3757"/>
                        <wps:cNvSpPr txBox="1">
                          <a:spLocks noChangeArrowheads="1"/>
                        </wps:cNvSpPr>
                        <wps:spPr bwMode="auto">
                          <a:xfrm>
                            <a:off x="5097" y="5145"/>
                            <a:ext cx="1620" cy="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5692AC" w14:textId="77777777" w:rsidR="00511D9B" w:rsidRPr="00486155" w:rsidRDefault="00511D9B" w:rsidP="00F65092">
                              <w:pPr>
                                <w:spacing w:line="228" w:lineRule="auto"/>
                                <w:jc w:val="center"/>
                                <w:rPr>
                                  <w:rFonts w:ascii="Garamond" w:hAnsi="Garamond"/>
                                </w:rPr>
                              </w:pPr>
                              <w:r>
                                <w:rPr>
                                  <w:rFonts w:ascii="Garamond" w:hAnsi="Garamond"/>
                                </w:rPr>
                                <w:t>Provázání se strategickým řízením</w:t>
                              </w:r>
                            </w:p>
                          </w:txbxContent>
                        </wps:txbx>
                        <wps:bodyPr rot="0" vert="horz" wrap="square" lIns="18000" tIns="10800" rIns="18000" bIns="10800" anchor="t" anchorCtr="0" upright="1">
                          <a:noAutofit/>
                        </wps:bodyPr>
                      </wps:wsp>
                      <wps:wsp>
                        <wps:cNvPr id="23943" name="Text Box 3758"/>
                        <wps:cNvSpPr txBox="1">
                          <a:spLocks noChangeArrowheads="1"/>
                        </wps:cNvSpPr>
                        <wps:spPr bwMode="auto">
                          <a:xfrm>
                            <a:off x="4838" y="6327"/>
                            <a:ext cx="2160" cy="1459"/>
                          </a:xfrm>
                          <a:prstGeom prst="rect">
                            <a:avLst/>
                          </a:prstGeom>
                          <a:solidFill>
                            <a:srgbClr val="5A5A5A"/>
                          </a:solidFill>
                          <a:ln w="22225">
                            <a:solidFill>
                              <a:srgbClr val="000000"/>
                            </a:solidFill>
                            <a:miter lim="800000"/>
                            <a:headEnd/>
                            <a:tailEnd/>
                          </a:ln>
                        </wps:spPr>
                        <wps:txbx>
                          <w:txbxContent>
                            <w:p w14:paraId="6445903F" w14:textId="77777777" w:rsidR="00511D9B" w:rsidRPr="00486155" w:rsidRDefault="00511D9B" w:rsidP="00F65092">
                              <w:pPr>
                                <w:jc w:val="center"/>
                                <w:rPr>
                                  <w:rFonts w:ascii="Garamond" w:hAnsi="Garamond"/>
                                  <w:b/>
                                  <w:sz w:val="36"/>
                                  <w:szCs w:val="36"/>
                                </w:rPr>
                              </w:pPr>
                            </w:p>
                            <w:p w14:paraId="5BBBB0D4" w14:textId="77777777" w:rsidR="00511D9B" w:rsidRPr="00486155" w:rsidRDefault="00511D9B" w:rsidP="00F65092">
                              <w:pPr>
                                <w:jc w:val="center"/>
                                <w:rPr>
                                  <w:rFonts w:ascii="Garamond" w:hAnsi="Garamond"/>
                                  <w:b/>
                                  <w:color w:val="FFFFFF"/>
                                  <w:sz w:val="48"/>
                                  <w:szCs w:val="48"/>
                                </w:rPr>
                              </w:pPr>
                              <w:r w:rsidRPr="00486155">
                                <w:rPr>
                                  <w:rFonts w:ascii="Garamond" w:hAnsi="Garamond"/>
                                  <w:b/>
                                  <w:color w:val="FFFFFF"/>
                                  <w:sz w:val="48"/>
                                  <w:szCs w:val="48"/>
                                </w:rPr>
                                <w:t>Rozpočet</w:t>
                              </w:r>
                            </w:p>
                          </w:txbxContent>
                        </wps:txbx>
                        <wps:bodyPr rot="0" vert="horz" wrap="square" lIns="0" tIns="0" rIns="0" bIns="0" anchor="t" anchorCtr="0" upright="1">
                          <a:noAutofit/>
                        </wps:bodyPr>
                      </wps:wsp>
                      <wps:wsp>
                        <wps:cNvPr id="23944" name="Text Box 3759"/>
                        <wps:cNvSpPr txBox="1">
                          <a:spLocks noChangeArrowheads="1"/>
                        </wps:cNvSpPr>
                        <wps:spPr bwMode="auto">
                          <a:xfrm>
                            <a:off x="4838" y="7786"/>
                            <a:ext cx="2160" cy="5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7B9D17" w14:textId="77777777" w:rsidR="00511D9B" w:rsidRPr="00486155" w:rsidRDefault="00511D9B" w:rsidP="00F65092">
                              <w:pPr>
                                <w:jc w:val="center"/>
                                <w:rPr>
                                  <w:rFonts w:ascii="Garamond" w:hAnsi="Garamond"/>
                                  <w:b/>
                                </w:rPr>
                              </w:pPr>
                              <w:r w:rsidRPr="00486155">
                                <w:rPr>
                                  <w:rFonts w:ascii="Garamond" w:hAnsi="Garamond"/>
                                  <w:b/>
                                </w:rPr>
                                <w:t>Schodek/Přebytek</w:t>
                              </w:r>
                            </w:p>
                          </w:txbxContent>
                        </wps:txbx>
                        <wps:bodyPr rot="0" vert="horz" wrap="square" lIns="0" tIns="45720" rIns="0" bIns="45720" anchor="t" anchorCtr="0" upright="1">
                          <a:noAutofit/>
                        </wps:bodyPr>
                      </wps:wsp>
                      <wps:wsp>
                        <wps:cNvPr id="23945" name="Line 3760"/>
                        <wps:cNvCnPr>
                          <a:cxnSpLocks noChangeShapeType="1"/>
                        </wps:cNvCnPr>
                        <wps:spPr bwMode="auto">
                          <a:xfrm flipV="1">
                            <a:off x="5933" y="5867"/>
                            <a:ext cx="0" cy="679"/>
                          </a:xfrm>
                          <a:prstGeom prst="line">
                            <a:avLst/>
                          </a:prstGeom>
                          <a:noFill/>
                          <a:ln w="381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3946" name="Text Box 3761"/>
                        <wps:cNvSpPr txBox="1">
                          <a:spLocks noChangeArrowheads="1"/>
                        </wps:cNvSpPr>
                        <wps:spPr bwMode="auto">
                          <a:xfrm>
                            <a:off x="7358" y="5564"/>
                            <a:ext cx="3240" cy="4001"/>
                          </a:xfrm>
                          <a:prstGeom prst="rect">
                            <a:avLst/>
                          </a:prstGeom>
                          <a:solidFill>
                            <a:srgbClr val="C0C0C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660AA" w14:textId="77777777" w:rsidR="00511D9B" w:rsidRPr="00486155" w:rsidRDefault="00511D9B" w:rsidP="00F65092">
                              <w:pPr>
                                <w:shd w:val="clear" w:color="auto" w:fill="FFF2CC"/>
                                <w:spacing w:line="228" w:lineRule="auto"/>
                                <w:rPr>
                                  <w:rFonts w:ascii="Garamond" w:hAnsi="Garamond"/>
                                  <w:b/>
                                </w:rPr>
                              </w:pPr>
                              <w:r w:rsidRPr="00486155">
                                <w:rPr>
                                  <w:rFonts w:ascii="Garamond" w:hAnsi="Garamond"/>
                                  <w:b/>
                                </w:rPr>
                                <w:t>Daňové příjmy</w:t>
                              </w:r>
                            </w:p>
                            <w:p w14:paraId="3DF6FD0D" w14:textId="77777777"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sz w:val="22"/>
                                  <w:szCs w:val="22"/>
                                </w:rPr>
                                <w:t>(</w:t>
                              </w:r>
                              <w:r>
                                <w:rPr>
                                  <w:rFonts w:ascii="Garamond" w:hAnsi="Garamond"/>
                                  <w:sz w:val="22"/>
                                  <w:szCs w:val="22"/>
                                </w:rPr>
                                <w:t>daně z příjmů, zisku a kapitálových výnosů; daně ze zboží a služeb; majetkové daně</w:t>
                              </w:r>
                              <w:r w:rsidRPr="00486155">
                                <w:rPr>
                                  <w:rFonts w:ascii="Garamond" w:hAnsi="Garamond"/>
                                  <w:sz w:val="22"/>
                                  <w:szCs w:val="22"/>
                                </w:rPr>
                                <w:t>; místní poplatky; správní poplatky</w:t>
                              </w:r>
                              <w:r>
                                <w:rPr>
                                  <w:rFonts w:ascii="Garamond" w:hAnsi="Garamond"/>
                                  <w:sz w:val="22"/>
                                  <w:szCs w:val="22"/>
                                </w:rPr>
                                <w:t xml:space="preserve"> atd.</w:t>
                              </w:r>
                              <w:r w:rsidRPr="00486155">
                                <w:rPr>
                                  <w:rFonts w:ascii="Garamond" w:hAnsi="Garamond"/>
                                  <w:sz w:val="22"/>
                                  <w:szCs w:val="22"/>
                                </w:rPr>
                                <w:t>)</w:t>
                              </w:r>
                            </w:p>
                            <w:p w14:paraId="4756A468" w14:textId="77777777" w:rsidR="00511D9B" w:rsidRPr="00EC499E" w:rsidRDefault="00511D9B" w:rsidP="00F65092">
                              <w:pPr>
                                <w:shd w:val="clear" w:color="auto" w:fill="FFF2CC"/>
                                <w:spacing w:line="228" w:lineRule="auto"/>
                                <w:rPr>
                                  <w:rFonts w:ascii="Garamond" w:hAnsi="Garamond"/>
                                  <w:sz w:val="8"/>
                                  <w:szCs w:val="20"/>
                                </w:rPr>
                              </w:pPr>
                            </w:p>
                            <w:p w14:paraId="61EDFB9A" w14:textId="77777777" w:rsidR="00511D9B" w:rsidRPr="00486155" w:rsidRDefault="00511D9B" w:rsidP="00F65092">
                              <w:pPr>
                                <w:shd w:val="clear" w:color="auto" w:fill="FFF2CC"/>
                                <w:spacing w:line="228" w:lineRule="auto"/>
                                <w:rPr>
                                  <w:rFonts w:ascii="Garamond" w:hAnsi="Garamond"/>
                                  <w:b/>
                                </w:rPr>
                              </w:pPr>
                              <w:r w:rsidRPr="00486155">
                                <w:rPr>
                                  <w:rFonts w:ascii="Garamond" w:hAnsi="Garamond"/>
                                  <w:b/>
                                </w:rPr>
                                <w:t>Nedaňové příjmy</w:t>
                              </w:r>
                            </w:p>
                            <w:p w14:paraId="01DA2A47" w14:textId="6B3920CB"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sz w:val="22"/>
                                  <w:szCs w:val="22"/>
                                </w:rPr>
                                <w:t>(příjmy z vlast</w:t>
                              </w:r>
                              <w:r>
                                <w:rPr>
                                  <w:rFonts w:ascii="Garamond" w:hAnsi="Garamond"/>
                                  <w:sz w:val="22"/>
                                  <w:szCs w:val="22"/>
                                </w:rPr>
                                <w:t>ní</w:t>
                              </w:r>
                              <w:r w:rsidRPr="00486155">
                                <w:rPr>
                                  <w:rFonts w:ascii="Garamond" w:hAnsi="Garamond"/>
                                  <w:sz w:val="22"/>
                                  <w:szCs w:val="22"/>
                                </w:rPr>
                                <w:t xml:space="preserve"> činnosti; příjmy z nájmu; odvody přísp</w:t>
                              </w:r>
                              <w:r>
                                <w:rPr>
                                  <w:rFonts w:ascii="Garamond" w:hAnsi="Garamond"/>
                                  <w:sz w:val="22"/>
                                  <w:szCs w:val="22"/>
                                </w:rPr>
                                <w:t>ěvkových</w:t>
                              </w:r>
                              <w:r w:rsidRPr="00486155">
                                <w:rPr>
                                  <w:rFonts w:ascii="Garamond" w:hAnsi="Garamond"/>
                                  <w:sz w:val="22"/>
                                  <w:szCs w:val="22"/>
                                </w:rPr>
                                <w:t>.</w:t>
                              </w:r>
                              <w:r>
                                <w:rPr>
                                  <w:rFonts w:ascii="Garamond" w:hAnsi="Garamond"/>
                                  <w:sz w:val="22"/>
                                  <w:szCs w:val="22"/>
                                </w:rPr>
                                <w:t xml:space="preserve"> </w:t>
                              </w:r>
                              <w:r w:rsidRPr="00486155">
                                <w:rPr>
                                  <w:rFonts w:ascii="Garamond" w:hAnsi="Garamond"/>
                                  <w:sz w:val="22"/>
                                  <w:szCs w:val="22"/>
                                </w:rPr>
                                <w:t>organizací; úroky; sankční platby; splátky půjček)</w:t>
                              </w:r>
                            </w:p>
                            <w:p w14:paraId="2994856A" w14:textId="77777777" w:rsidR="00511D9B" w:rsidRPr="00EC499E" w:rsidRDefault="00511D9B" w:rsidP="00F65092">
                              <w:pPr>
                                <w:shd w:val="clear" w:color="auto" w:fill="FFF2CC"/>
                                <w:spacing w:line="228" w:lineRule="auto"/>
                                <w:rPr>
                                  <w:rFonts w:ascii="Garamond" w:hAnsi="Garamond"/>
                                  <w:sz w:val="10"/>
                                  <w:szCs w:val="20"/>
                                </w:rPr>
                              </w:pPr>
                            </w:p>
                            <w:p w14:paraId="41CF0003" w14:textId="77777777" w:rsidR="00511D9B" w:rsidRPr="00486155" w:rsidRDefault="00511D9B" w:rsidP="00F65092">
                              <w:pPr>
                                <w:shd w:val="clear" w:color="auto" w:fill="FFF2CC"/>
                                <w:spacing w:line="228" w:lineRule="auto"/>
                                <w:rPr>
                                  <w:rFonts w:ascii="Garamond" w:hAnsi="Garamond"/>
                                  <w:b/>
                                </w:rPr>
                              </w:pPr>
                              <w:r w:rsidRPr="00486155">
                                <w:rPr>
                                  <w:rFonts w:ascii="Garamond" w:hAnsi="Garamond"/>
                                  <w:b/>
                                </w:rPr>
                                <w:t>Kapitálové příjmy</w:t>
                              </w:r>
                            </w:p>
                            <w:p w14:paraId="3D404F07" w14:textId="77777777"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sz w:val="22"/>
                                  <w:szCs w:val="22"/>
                                </w:rPr>
                                <w:t>(prodej investičního majetku; prodej akcií a majetkových podílů)</w:t>
                              </w:r>
                            </w:p>
                            <w:p w14:paraId="67249482" w14:textId="77777777" w:rsidR="00511D9B" w:rsidRPr="00EC499E" w:rsidRDefault="00511D9B" w:rsidP="00F65092">
                              <w:pPr>
                                <w:shd w:val="clear" w:color="auto" w:fill="FFF2CC"/>
                                <w:spacing w:line="228" w:lineRule="auto"/>
                                <w:rPr>
                                  <w:rFonts w:ascii="Garamond" w:hAnsi="Garamond"/>
                                  <w:sz w:val="12"/>
                                </w:rPr>
                              </w:pPr>
                            </w:p>
                            <w:p w14:paraId="01623EAF" w14:textId="77777777" w:rsidR="00511D9B" w:rsidRDefault="00511D9B" w:rsidP="00F65092">
                              <w:pPr>
                                <w:shd w:val="clear" w:color="auto" w:fill="FFF2CC"/>
                                <w:spacing w:line="228" w:lineRule="auto"/>
                                <w:rPr>
                                  <w:rFonts w:ascii="Garamond" w:hAnsi="Garamond"/>
                                  <w:b/>
                                </w:rPr>
                              </w:pPr>
                              <w:r>
                                <w:rPr>
                                  <w:rFonts w:ascii="Garamond" w:hAnsi="Garamond"/>
                                  <w:b/>
                                </w:rPr>
                                <w:t>Přijaté transfery (dotace)</w:t>
                              </w:r>
                            </w:p>
                            <w:p w14:paraId="310B71ED" w14:textId="77777777"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b/>
                                  <w:sz w:val="22"/>
                                  <w:szCs w:val="22"/>
                                </w:rPr>
                                <w:t xml:space="preserve"> </w:t>
                              </w:r>
                              <w:r w:rsidRPr="00486155">
                                <w:rPr>
                                  <w:rFonts w:ascii="Garamond" w:hAnsi="Garamond"/>
                                  <w:sz w:val="22"/>
                                  <w:szCs w:val="22"/>
                                </w:rPr>
                                <w:t>nárokové</w:t>
                              </w:r>
                              <w:r>
                                <w:rPr>
                                  <w:rFonts w:ascii="Garamond" w:hAnsi="Garamond"/>
                                  <w:sz w:val="22"/>
                                  <w:szCs w:val="22"/>
                                </w:rPr>
                                <w:t>; účelové</w:t>
                              </w:r>
                            </w:p>
                            <w:p w14:paraId="1F1E6D56" w14:textId="77777777" w:rsidR="00511D9B" w:rsidRPr="00486155" w:rsidRDefault="00511D9B" w:rsidP="00F65092">
                              <w:pPr>
                                <w:rPr>
                                  <w:rFonts w:ascii="Garamond" w:hAnsi="Garamond"/>
                                  <w:sz w:val="22"/>
                                  <w:szCs w:val="22"/>
                                </w:rPr>
                              </w:pP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485BB" id="Group 3744" o:spid="_x0000_s1181" style="position:absolute;margin-left:-9pt;margin-top:4.25pt;width:468pt;height:229.2pt;z-index:251532800;mso-position-horizontal-relative:text;mso-position-vertical-relative:text" coordorigin="1238,5121" coordsize="9360,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3sfUgcAADw7AAAOAAAAZHJzL2Uyb0RvYy54bWzsW1tvo0YUfq/U/4B495rLDBdrnVXWjreV&#10;0nal3fZ9AthGxUCBxE6r/veeOQPDxbG8TjbYqXCkCBsYZs6cy/edc3j/YbeJlIcgy8Mknqr6O01V&#10;gthL/DBeTdXfvy5GjqrkBYt9FiVxMFUfg1z9cPXjD++36SQwknUS+UGmwCBxPtmmU3VdFOlkPM69&#10;dbBh+bskDWI4uUyyDSvga7Ya+xnbwuibaGxomjXeJpmfZokX5Dn8Ohcn1Sscf7kMvOK35TIPCiWa&#10;qjC3Av9n+P+O/x9fvWeTVcbSdeiV02DPmMWGhTE8VA41ZwVT7rNwb6hN6GVJniyLd16yGSfLZegF&#10;uAZYja51VvMpS+5TXMtqsl2lUkwg2o6cnj2s9+vD50wJ/alqmBa1VCVmG9gmfLJi2oRwCW3T1QQu&#10;/JSlX9LPmVgmHN4m3p85nB53z/PvK3Gxcrf9JfFhRHZfJCih3TLb8CFg7coON+JRbkSwKxQPfqQu&#10;MS0N9suDc4araw4pt8pbw37y+3TDBNWC01Q3dLGN3vqmvN+Fu8XNhDq4hDGbiAfjZMvJ8ZWB2uW1&#10;ZPOXSfbLmqUBbljOBVZL1iaVZL/yNX5Mdly4VAgXr+WSVYodnIG1oaByIWAlTmZrFq+C6yxLtuuA&#10;+TBJXDEsRd4qlpLzQY5JXLdt2pFcJXedgJxR6MRy+OSk2NgkzfLiU5BsFH4wVTMwLZwme7jNC3Fp&#10;dQnf3jhZhFEEv7NJFLd+gDHFL/BUuJWf489Ha/nH1dwb58YhI2JYNyOizeej68WMjKyFbtO5OZ/N&#10;5vq//Lk6maxD3w9i/pjKcnXybftX+hBhc9J28yQKfT4cn1Kere5mUaY8MPAcC/yUAmlcNm5PA+UF&#10;a+ksSTeI9tFwRwvLsUdkQejItTVnpOnuR9fSiEvmi/aSbsM4ePmSlO1UdalBhTIdXJuGn/21sckm&#10;LMA3R+FmqjryIjbhKngT+7i1BQsjcdwQBZ9+LQrY7mqjUWG5jgptLXZ3O3Q9ljSEu8R/BBXOEtAw&#10;0EQILHCwTrK/VWULTnqq5n/dsyxQlejnmJsBnxd4dfxCqG3Al6x55q55hsUeDDVVC1URh7NCRIL7&#10;NAtXa3iSMLw4uQZntQxRq7mNiVmho0N30aPfAEsVHrnpN6yz+A3bcSuPa+EMhN1yf93wG5ox+I3B&#10;b/TkN6QhDH6jgzckkmv6DfssfqNGalRHUFH7DVOzYaII8ojxQsDRCMud6D3T+J8AK1G6ZiKmG5TH&#10;DgFcymCPQas1zknQZYjzJaA7GOelAr7EXoEN8KD/RJwvz7zFOG9XcR6xH3ADtIYS4M9iwbq8XVyy&#10;LkkKkHF8fUyBYbU4gbiF33+YEyjLKEx/4jfi0R8V/imZGTF1YC3AsCyblAyL43TkZ8QUZmsabXa1&#10;RxMiwILC8r6BJnDEqhs27C4i8GdAViDMJTJ9AqUqBcqJcR4FeHKqbgIfkGQAiQt+JFzBZVITyaYa&#10;MFswFQGvK7iNfKpjfsLW+Oq4OgDb7RG+AmDch6/uecOQoxsd+FqHIZ3aOLvn895W+GiRyCEMcSqN&#10;RFLG3aaJ90c3pW8dwlAHNrqVvZZhiOJO9RCG9oKPbkKIgeBjayI7UINGZPkcM4IdoyEfNtZzR5/j&#10;EYdNmimUC02Mvc3oA0ngSpsbJIgilCk1ur+kK7FcgFmgtA6FLDvmziowZRAKZscV2nWH5MmQdO0r&#10;6Sph2BAFW1HQNbtkjKJZniEKUsKZLvcauojEdRSE37nLIPSyCBgvAc1ZvhY5Fh+OhLMbiBlUhS6G&#10;mLm8diqIWQX0zAYpe/V8A6f3ZZbB1gyIfqDJwLzQI9UqblqGUHLbwNldLs7DeF4CueOYD9YxZBmw&#10;veOktoVDxXXX3GMt6BN78NeYPGsos+VaQpnhAHOdDWWuKusV9636IKqieVlXPzdlGVS5LPeeI2Hm&#10;ciVp+2VZGod+klf3y0/mgaWH3qfi0kND5h0nOrjoV+5ReaNUHAoIHb2WpdsL0GvoNWpT8lqvrWNl&#10;ycFfi+ZN6IR6Se/VW9VrQKh7BQ4qy5yg2/2lmKjmAnHlSFoXnYU1+NAt3hnF+aIjSvCH/fRJfX19&#10;t5hdKG4+XPM5uXEQNuZYt5wtc/JD4qaduOFV6X1rlNWeXq2ROGV/smUaHSpg6FV3Mhjqq5Ub6TX/&#10;43ENdKqloVHM7daAT2+9oWi4nfSHbP+0ZUr+RIUGnyZaP+FAtIPAgWj5hIO31wbiQrv9EwosE7Xn&#10;UWDbdjrwqFZgCnFFaNgBOntyOOlfLWuPKwLm/6oR/VviicxuP9f8Wp3X0gTLX9+iGcqu6zI7Cv4a&#10;tLyHhFK3DE7dsgxOnW5CCeTMAZ11rGHlZIJiOvr37MA6ng+VNfDjl4I6D6nT75g6JU+VyC0Zj3sN&#10;OLZJy/cLqIUJ3Jq/QJthqe5QEMPZgSI8M+K0oNDQoIWdls13nS6gQcuWxagTI1LrfaA++4QB2uIr&#10;mgi2y9dJ+Tugze9Y/6tfer36DwAA//8DAFBLAwQUAAYACAAAACEAlkrufN8AAAAJAQAADwAAAGRy&#10;cy9kb3ducmV2LnhtbEyPQUvDQBSE74L/YXmCt3YTtSGNeSmlqKcitBXE2zb7moRm34bsNkn/vasX&#10;PQ4zzHyTrybTioF611hGiOcRCOLS6oYrhI/D6ywF4bxirVrLhHAlB6vi9iZXmbYj72jY+0qEEnaZ&#10;Qqi97zIpXVmTUW5uO+LgnWxvlA+yr6Tu1RjKTSsfoiiRRjUcFmrV0aam8ry/GIS3UY3rx/hl2J5P&#10;m+vXYfH+uY0J8f5uWj+D8DT5vzD84Ad0KALT0V5YO9EizOI0fPEI6QJE8Je/+ojwlCRLkEUu/z8o&#10;vgEAAP//AwBQSwECLQAUAAYACAAAACEAtoM4kv4AAADhAQAAEwAAAAAAAAAAAAAAAAAAAAAAW0Nv&#10;bnRlbnRfVHlwZXNdLnhtbFBLAQItABQABgAIAAAAIQA4/SH/1gAAAJQBAAALAAAAAAAAAAAAAAAA&#10;AC8BAABfcmVscy8ucmVsc1BLAQItABQABgAIAAAAIQBSL3sfUgcAADw7AAAOAAAAAAAAAAAAAAAA&#10;AC4CAABkcnMvZTJvRG9jLnhtbFBLAQItABQABgAIAAAAIQCWSu583wAAAAkBAAAPAAAAAAAAAAAA&#10;AAAAAKwJAABkcnMvZG93bnJldi54bWxQSwUGAAAAAAQABADzAAAAuAoAAAAA&#10;">
                <v:shape id="Text Box 3745" o:spid="_x0000_s1182" type="#_x0000_t202" style="position:absolute;left:1775;top:5121;width:1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J3yAAAAN4AAAAPAAAAZHJzL2Rvd25yZXYueG1sRI9BS8NA&#10;FITvgv9heYI3u7HWNsRuiwgFEWppWlp6e2Sf2WD2bZrdJum/dwXB4zAz3zDz5WBr0VHrK8cKHkcJ&#10;COLC6YpLBfvd6iEF4QOyxtoxKbiSh+Xi9maOmXY9b6nLQykihH2GCkwITSalLwxZ9CPXEEfvy7UW&#10;Q5RtKXWLfYTbWo6TZCotVhwXDDb0Zqj4zi9Wwencpcf0evnwedNvzafePB/WUqn7u+H1BUSgIfyH&#10;/9rvWsH4aTqbwO+deAXk4gcAAP//AwBQSwECLQAUAAYACAAAACEA2+H2y+4AAACFAQAAEwAAAAAA&#10;AAAAAAAAAAAAAAAAW0NvbnRlbnRfVHlwZXNdLnhtbFBLAQItABQABgAIAAAAIQBa9CxbvwAAABUB&#10;AAALAAAAAAAAAAAAAAAAAB8BAABfcmVscy8ucmVsc1BLAQItABQABgAIAAAAIQBKbnJ3yAAAAN4A&#10;AAAPAAAAAAAAAAAAAAAAAAcCAABkcnMvZG93bnJldi54bWxQSwUGAAAAAAMAAwC3AAAA/AIAAAAA&#10;" filled="f" stroked="f">
                  <v:textbox inset=".5mm,,.5mm">
                    <w:txbxContent>
                      <w:p w14:paraId="3EBE4F81" w14:textId="77777777" w:rsidR="00511D9B" w:rsidRPr="00486155" w:rsidRDefault="00511D9B" w:rsidP="00F65092">
                        <w:pPr>
                          <w:rPr>
                            <w:rFonts w:ascii="Garamond" w:hAnsi="Garamond"/>
                            <w:u w:val="single"/>
                          </w:rPr>
                        </w:pPr>
                        <w:r w:rsidRPr="00486155">
                          <w:rPr>
                            <w:rFonts w:ascii="Garamond" w:hAnsi="Garamond"/>
                            <w:u w:val="single"/>
                          </w:rPr>
                          <w:t>VÝDAJE:</w:t>
                        </w:r>
                      </w:p>
                    </w:txbxContent>
                  </v:textbox>
                </v:shape>
                <v:shape id="Text Box 3746" o:spid="_x0000_s1183" type="#_x0000_t202" style="position:absolute;left:7898;top:5166;width:144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fsyAAAAN4AAAAPAAAAZHJzL2Rvd25yZXYueG1sRI9Ba8JA&#10;FITvQv/D8gredFNFG1JXKYVCKVQxLUpvj+xrNjT7Ns2uSfz3riD0OMzMN8xqM9hadNT6yrGCh2kC&#10;grhwuuJSwdfn6yQF4QOyxtoxKTiTh836brTCTLue99TloRQRwj5DBSaEJpPSF4Ys+qlriKP341qL&#10;Icq2lLrFPsJtLWdJspQWK44LBht6MVT85ier4PuvS4/p+fTu86bfm63eLQ4fUqnx/fD8BCLQEP7D&#10;t/abVjCbLx8XcL0Tr4BcXwAAAP//AwBQSwECLQAUAAYACAAAACEA2+H2y+4AAACFAQAAEwAAAAAA&#10;AAAAAAAAAAAAAAAAW0NvbnRlbnRfVHlwZXNdLnhtbFBLAQItABQABgAIAAAAIQBa9CxbvwAAABUB&#10;AAALAAAAAAAAAAAAAAAAAB8BAABfcmVscy8ucmVsc1BLAQItABQABgAIAAAAIQAlItfsyAAAAN4A&#10;AAAPAAAAAAAAAAAAAAAAAAcCAABkcnMvZG93bnJldi54bWxQSwUGAAAAAAMAAwC3AAAA/AIAAAAA&#10;" filled="f" stroked="f">
                  <v:textbox inset=".5mm,,.5mm">
                    <w:txbxContent>
                      <w:p w14:paraId="25FCE1A1" w14:textId="77777777" w:rsidR="00511D9B" w:rsidRPr="00486155" w:rsidRDefault="00511D9B" w:rsidP="00F65092">
                        <w:pPr>
                          <w:rPr>
                            <w:rFonts w:ascii="Garamond" w:hAnsi="Garamond"/>
                            <w:u w:val="single"/>
                          </w:rPr>
                        </w:pPr>
                        <w:r w:rsidRPr="00486155">
                          <w:rPr>
                            <w:rFonts w:ascii="Garamond" w:hAnsi="Garamond"/>
                            <w:u w:val="single"/>
                          </w:rPr>
                          <w:t>PŘÍJMY:</w:t>
                        </w:r>
                      </w:p>
                    </w:txbxContent>
                  </v:textbox>
                </v:shape>
                <v:shape id="Text Box 3747" o:spid="_x0000_s1184" type="#_x0000_t202" style="position:absolute;left:1238;top:5518;width:3076;height:2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OxgAAAN4AAAAPAAAAZHJzL2Rvd25yZXYueG1sRI9Ra8JA&#10;EITfhf6HYwu+iF5USErqJRRBEMFCbevzNrfNpc3thdyp8d97hYKPw+x8s7MqB9uKM/W+caxgPktA&#10;EFdON1wr+HjfTJ9A+ICssXVMCq7koSweRivMtbvwG50PoRYRwj5HBSaELpfSV4Ys+pnriKP37XqL&#10;Icq+lrrHS4TbVi6SJJUWG44NBjtaG6p+Dycb32he+Wfnq6Wlz30mj9ftxHw5pcaPw8sziEBDuB//&#10;p7dawWKZZin8zYkMkMUNAAD//wMAUEsBAi0AFAAGAAgAAAAhANvh9svuAAAAhQEAABMAAAAAAAAA&#10;AAAAAAAAAAAAAFtDb250ZW50X1R5cGVzXS54bWxQSwECLQAUAAYACAAAACEAWvQsW78AAAAVAQAA&#10;CwAAAAAAAAAAAAAAAAAfAQAAX3JlbHMvLnJlbHNQSwECLQAUAAYACAAAACEAGRvrDsYAAADeAAAA&#10;DwAAAAAAAAAAAAAAAAAHAgAAZHJzL2Rvd25yZXYueG1sUEsFBgAAAAADAAMAtwAAAPoCAAAAAA==&#10;" fillcolor="silver" stroked="f">
                  <v:fill opacity="16448f"/>
                  <v:textbox inset=".5mm,.3mm,.5mm,.3mm">
                    <w:txbxContent>
                      <w:p w14:paraId="7168A830" w14:textId="77777777" w:rsidR="00511D9B" w:rsidRPr="00486155" w:rsidRDefault="00511D9B" w:rsidP="00F65092">
                        <w:pPr>
                          <w:shd w:val="clear" w:color="auto" w:fill="FFF2CC"/>
                          <w:spacing w:line="240" w:lineRule="auto"/>
                          <w:rPr>
                            <w:rFonts w:ascii="Garamond" w:hAnsi="Garamond"/>
                            <w:b/>
                          </w:rPr>
                        </w:pPr>
                        <w:r w:rsidRPr="00486155">
                          <w:rPr>
                            <w:rFonts w:ascii="Garamond" w:hAnsi="Garamond"/>
                            <w:b/>
                          </w:rPr>
                          <w:t>Běžné výdaje</w:t>
                        </w:r>
                      </w:p>
                      <w:p w14:paraId="57093D4F" w14:textId="424A0A6D" w:rsidR="00511D9B" w:rsidRPr="00486155" w:rsidRDefault="00511D9B" w:rsidP="00F65092">
                        <w:pPr>
                          <w:shd w:val="clear" w:color="auto" w:fill="FFF2CC"/>
                          <w:spacing w:line="240" w:lineRule="auto"/>
                          <w:rPr>
                            <w:rFonts w:ascii="Garamond" w:hAnsi="Garamond"/>
                            <w:sz w:val="22"/>
                            <w:szCs w:val="22"/>
                          </w:rPr>
                        </w:pPr>
                        <w:r w:rsidRPr="00486155">
                          <w:rPr>
                            <w:rFonts w:ascii="Garamond" w:hAnsi="Garamond"/>
                            <w:sz w:val="22"/>
                            <w:szCs w:val="22"/>
                          </w:rPr>
                          <w:t>(platy; povinné pojistné; nákup zboží a materiálu; nákup energií; dopravní obslužnost; nákup služeb; výdaje na opravy a údržbu; dotace, příspěvky, dary; příspěvky přísp</w:t>
                        </w:r>
                        <w:r>
                          <w:rPr>
                            <w:rFonts w:ascii="Garamond" w:hAnsi="Garamond"/>
                            <w:sz w:val="22"/>
                            <w:szCs w:val="22"/>
                          </w:rPr>
                          <w:t xml:space="preserve">ěvkovým </w:t>
                        </w:r>
                        <w:r w:rsidRPr="00486155">
                          <w:rPr>
                            <w:rFonts w:ascii="Garamond" w:hAnsi="Garamond"/>
                            <w:sz w:val="22"/>
                            <w:szCs w:val="22"/>
                          </w:rPr>
                          <w:t>organizacím; dotace veřejným rozpočtům; sankč</w:t>
                        </w:r>
                        <w:r>
                          <w:rPr>
                            <w:rFonts w:ascii="Garamond" w:hAnsi="Garamond"/>
                            <w:sz w:val="22"/>
                            <w:szCs w:val="22"/>
                          </w:rPr>
                          <w:t>ní</w:t>
                        </w:r>
                        <w:r w:rsidRPr="00486155">
                          <w:rPr>
                            <w:rFonts w:ascii="Garamond" w:hAnsi="Garamond"/>
                            <w:sz w:val="22"/>
                            <w:szCs w:val="22"/>
                          </w:rPr>
                          <w:t xml:space="preserve"> platby; úroky a fin</w:t>
                        </w:r>
                        <w:r>
                          <w:rPr>
                            <w:rFonts w:ascii="Garamond" w:hAnsi="Garamond"/>
                            <w:sz w:val="22"/>
                            <w:szCs w:val="22"/>
                          </w:rPr>
                          <w:t xml:space="preserve">anční </w:t>
                        </w:r>
                        <w:r w:rsidRPr="00486155">
                          <w:rPr>
                            <w:rFonts w:ascii="Garamond" w:hAnsi="Garamond"/>
                            <w:sz w:val="22"/>
                            <w:szCs w:val="22"/>
                          </w:rPr>
                          <w:t>výdaje)</w:t>
                        </w:r>
                      </w:p>
                    </w:txbxContent>
                  </v:textbox>
                </v:shape>
                <v:line id="Line 3748" o:spid="_x0000_s1185" style="position:absolute;flip:x y;visibility:visible;mso-wrap-style:square" from="4314,6741" to="4857,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MGTyAAAAN4AAAAPAAAAZHJzL2Rvd25yZXYueG1sRI/NasJA&#10;FIX3Bd9huEJ3dVILWqKjqKUgdFGNCrq7Zm6TYOZOyIxJ2qd3BKHLw/n5ONN5Z0rRUO0KywpeBxEI&#10;4tTqgjMF+93nyzsI55E1lpZJwS85mM96T1OMtW15S03iMxFG2MWoIPe+iqV0aU4G3cBWxMH7sbVB&#10;H2SdSV1jG8ZNKYdRNJIGCw6EHCta5ZRekqsJ3Ou5OrTL4+ojaU7rr0Xyvfk7SKWe+91iAsJT5//D&#10;j/ZaKxi+jcZjuN8JV0DObgAAAP//AwBQSwECLQAUAAYACAAAACEA2+H2y+4AAACFAQAAEwAAAAAA&#10;AAAAAAAAAAAAAAAAW0NvbnRlbnRfVHlwZXNdLnhtbFBLAQItABQABgAIAAAAIQBa9CxbvwAAABUB&#10;AAALAAAAAAAAAAAAAAAAAB8BAABfcmVscy8ucmVsc1BLAQItABQABgAIAAAAIQD9jMGTyAAAAN4A&#10;AAAPAAAAAAAAAAAAAAAAAAcCAABkcnMvZG93bnJldi54bWxQSwUGAAAAAAMAAwC3AAAA/AIAAAAA&#10;" strokeweight="1pt">
                  <v:stroke endarrow="open"/>
                </v:line>
                <v:shape id="Text Box 3749" o:spid="_x0000_s1186" type="#_x0000_t202" style="position:absolute;left:1238;top:8126;width:3076;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NrnxgAAAN4AAAAPAAAAZHJzL2Rvd25yZXYueG1sRI/BagJB&#10;DIbvhb7DkIKXorNVUNk6iggFERRqted0J91Z3cksO6Oub28OhR7Dn//Ll9mi87W6UhurwAbeBhko&#10;4iLYiksDh6+P/hRUTMgW68Bk4E4RFvPnpxnmNtz4k677VCqBcMzRgEupybWOhSOPcRAaYsl+Q+sx&#10;ydiW2rZ4E7iv9TDLxtpjxXLBYUMrR8V5f/GiUe34tInFyNNxO9Hf9/Wr+wnG9F665TuoRF36X/5r&#10;r62B4Wg8EV95Rxig5w8AAAD//wMAUEsBAi0AFAAGAAgAAAAhANvh9svuAAAAhQEAABMAAAAAAAAA&#10;AAAAAAAAAAAAAFtDb250ZW50X1R5cGVzXS54bWxQSwECLQAUAAYACAAAACEAWvQsW78AAAAVAQAA&#10;CwAAAAAAAAAAAAAAAAAfAQAAX3JlbHMvLnJlbHNQSwECLQAUAAYACAAAACEAB8ja58YAAADeAAAA&#10;DwAAAAAAAAAAAAAAAAAHAgAAZHJzL2Rvd25yZXYueG1sUEsFBgAAAAADAAMAtwAAAPoCAAAAAA==&#10;" fillcolor="silver" stroked="f">
                  <v:fill opacity="16448f"/>
                  <v:textbox inset=".5mm,.3mm,.5mm,.3mm">
                    <w:txbxContent>
                      <w:p w14:paraId="1881F3EA" w14:textId="77777777" w:rsidR="00511D9B" w:rsidRPr="00486155" w:rsidRDefault="00511D9B" w:rsidP="00F65092">
                        <w:pPr>
                          <w:shd w:val="clear" w:color="auto" w:fill="FFF2CC"/>
                          <w:spacing w:line="240" w:lineRule="auto"/>
                          <w:rPr>
                            <w:rFonts w:ascii="Garamond" w:hAnsi="Garamond"/>
                            <w:b/>
                          </w:rPr>
                        </w:pPr>
                        <w:r w:rsidRPr="00486155">
                          <w:rPr>
                            <w:rFonts w:ascii="Garamond" w:hAnsi="Garamond"/>
                            <w:b/>
                          </w:rPr>
                          <w:t>Kapitálové výdaje</w:t>
                        </w:r>
                      </w:p>
                      <w:p w14:paraId="4C772748" w14:textId="77777777" w:rsidR="00511D9B" w:rsidRPr="00486155" w:rsidRDefault="00511D9B" w:rsidP="00F65092">
                        <w:pPr>
                          <w:shd w:val="clear" w:color="auto" w:fill="FFF2CC"/>
                          <w:spacing w:line="240" w:lineRule="auto"/>
                          <w:rPr>
                            <w:rFonts w:ascii="Garamond" w:hAnsi="Garamond"/>
                            <w:sz w:val="22"/>
                            <w:szCs w:val="22"/>
                          </w:rPr>
                        </w:pPr>
                        <w:r w:rsidRPr="00486155">
                          <w:rPr>
                            <w:rFonts w:ascii="Garamond" w:hAnsi="Garamond"/>
                            <w:sz w:val="22"/>
                            <w:szCs w:val="22"/>
                          </w:rPr>
                          <w:t>(pořízení hmotného majetku; pořízení nehmotného majetku; nákup pozemků; akcie a majetkové podíly; dotace a příspěvky; investiční půjčky)</w:t>
                        </w:r>
                      </w:p>
                    </w:txbxContent>
                  </v:textbox>
                </v:shape>
                <v:line id="Line 3750" o:spid="_x0000_s1187" style="position:absolute;flip:y;visibility:visible;mso-wrap-style:square" from="4133,7065" to="4853,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EkRxgAAAN4AAAAPAAAAZHJzL2Rvd25yZXYueG1sRI9Ba8JA&#10;FITvQv/D8gpeSt0YIW1TVxFB0ItaKz0/sq9JaPZt3F01+feuUPA4zMw3zHTemUZcyPnasoLxKAFB&#10;XFhdc6ng+L16fQfhA7LGxjIp6MnDfPY0mGKu7ZW/6HIIpYgQ9jkqqEJocyl9UZFBP7ItcfR+rTMY&#10;onSl1A6vEW4amSZJJg3WHBcqbGlZUfF3OBsFO3z5Kdyp91nY+02PTbpNjkap4XO3+AQRqAuP8H97&#10;rRWkk+ztA+534hWQsxsAAAD//wMAUEsBAi0AFAAGAAgAAAAhANvh9svuAAAAhQEAABMAAAAAAAAA&#10;AAAAAAAAAAAAAFtDb250ZW50X1R5cGVzXS54bWxQSwECLQAUAAYACAAAACEAWvQsW78AAAAVAQAA&#10;CwAAAAAAAAAAAAAAAAAfAQAAX3JlbHMvLnJlbHNQSwECLQAUAAYACAAAACEAWzxJEcYAAADeAAAA&#10;DwAAAAAAAAAAAAAAAAAHAgAAZHJzL2Rvd25yZXYueG1sUEsFBgAAAAADAAMAtwAAAPoCAAAAAA==&#10;" strokeweight="1pt">
                  <v:stroke startarrow="open"/>
                </v:line>
                <v:shape id="Text Box 3751" o:spid="_x0000_s1188" type="#_x0000_t202" style="position:absolute;left:4691;top:8556;width:2459;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7CxQAAAN4AAAAPAAAAZHJzL2Rvd25yZXYueG1sRI9BS8NA&#10;FITvgv9heYI3u9sUSo3dFltQ9JjoocdH9pkNzb4N2Wcb/fWuUOhxmJlvmPV2Cr060Zi6yBbmMwOK&#10;uImu49bC58fLwwpUEmSHfWSy8EMJtpvbmzWWLp65olMtrcoQTiVa8CJDqXVqPAVMszgQZ+8rjgEl&#10;y7HVbsRzhodeF8YsdcCO84LHgfaemmP9HSy0pqjmlfG//eF1V63ea5HD0Vl7fzc9P4ESmuQavrTf&#10;nIVi8bhYwv+dfAX05g8AAP//AwBQSwECLQAUAAYACAAAACEA2+H2y+4AAACFAQAAEwAAAAAAAAAA&#10;AAAAAAAAAAAAW0NvbnRlbnRfVHlwZXNdLnhtbFBLAQItABQABgAIAAAAIQBa9CxbvwAAABUBAAAL&#10;AAAAAAAAAAAAAAAAAB8BAABfcmVscy8ucmVsc1BLAQItABQABgAIAAAAIQDFlL7CxQAAAN4AAAAP&#10;AAAAAAAAAAAAAAAAAAcCAABkcnMvZG93bnJldi54bWxQSwUGAAAAAAMAAwC3AAAA+QIAAAAA&#10;" filled="f" stroked="f">
                  <v:textbox inset=".5mm,.3mm,.5mm,.3mm">
                    <w:txbxContent>
                      <w:p w14:paraId="122AD5BE" w14:textId="77777777" w:rsidR="00511D9B" w:rsidRPr="00344035" w:rsidRDefault="00511D9B" w:rsidP="00F65092">
                        <w:pPr>
                          <w:spacing w:line="228" w:lineRule="auto"/>
                          <w:rPr>
                            <w:rFonts w:ascii="Garamond" w:hAnsi="Garamond"/>
                            <w:sz w:val="22"/>
                          </w:rPr>
                        </w:pPr>
                        <w:r w:rsidRPr="00344035">
                          <w:rPr>
                            <w:rFonts w:ascii="Garamond" w:hAnsi="Garamond"/>
                            <w:sz w:val="22"/>
                          </w:rPr>
                          <w:t>Řeší se např. přijetím úvěru (důležitá jsou pravidla pro (</w:t>
                        </w:r>
                        <w:r>
                          <w:rPr>
                            <w:rFonts w:ascii="Garamond" w:hAnsi="Garamond"/>
                            <w:sz w:val="22"/>
                          </w:rPr>
                          <w:t>ne)</w:t>
                        </w:r>
                        <w:r w:rsidRPr="00344035">
                          <w:rPr>
                            <w:rFonts w:ascii="Garamond" w:hAnsi="Garamond"/>
                            <w:sz w:val="22"/>
                          </w:rPr>
                          <w:t>zadlužování</w:t>
                        </w:r>
                        <w:r>
                          <w:rPr>
                            <w:rFonts w:ascii="Garamond" w:hAnsi="Garamond"/>
                            <w:sz w:val="22"/>
                          </w:rPr>
                          <w:t xml:space="preserve"> schválená zastupitelstvem)</w:t>
                        </w:r>
                      </w:p>
                    </w:txbxContent>
                  </v:textbox>
                </v:shape>
                <v:line id="Line 3752" o:spid="_x0000_s1189" style="position:absolute;flip:y;visibility:visible;mso-wrap-style:square" from="5400,8150" to="5400,8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11dxwAAAN4AAAAPAAAAZHJzL2Rvd25yZXYueG1sRI9Ba8JA&#10;FITvBf/D8oTe6qYGahtdRazS4kWaas6P7DNJzb4N2W0S/70rFHocZuYbZrEaTC06al1lWcHzJAJB&#10;nFtdcaHg+L17egXhPLLG2jIpuJKD1XL0sMBE256/qEt9IQKEXYIKSu+bREqXl2TQTWxDHLyzbQ36&#10;INtC6hb7ADe1nEbRizRYcVgosaFNSfkl/TUKPrL97id7z/ps23fXQ7qN1yeMlXocD+s5CE+D/w//&#10;tT+1gmn8Fs/gfidcAbm8AQAA//8DAFBLAQItABQABgAIAAAAIQDb4fbL7gAAAIUBAAATAAAAAAAA&#10;AAAAAAAAAAAAAABbQ29udGVudF9UeXBlc10ueG1sUEsBAi0AFAAGAAgAAAAhAFr0LFu/AAAAFQEA&#10;AAsAAAAAAAAAAAAAAAAAHwEAAF9yZWxzLy5yZWxzUEsBAi0AFAAGAAgAAAAhAJj3XV3HAAAA3gAA&#10;AA8AAAAAAAAAAAAAAAAABwIAAGRycy9kb3ducmV2LnhtbFBLBQYAAAAAAwADALcAAAD7AgAAAAA=&#10;" strokeweight="1pt">
                  <v:stroke dashstyle="dash" endarrow="open"/>
                </v:line>
                <v:line id="Line 3753" o:spid="_x0000_s1190" style="position:absolute;flip:x;visibility:visible;mso-wrap-style:square" from="7029,5799" to="7391,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zzWxAAAAN4AAAAPAAAAZHJzL2Rvd25yZXYueG1sRE/LasJA&#10;FN0X/IfhCm5KnahUbOoYgiKUumrqwuUlc5sEM3fCzOTh33cWhS4P573PJtOKgZxvLCtYLRMQxKXV&#10;DVcKrt/nlx0IH5A1tpZJwYM8ZIfZ0x5TbUf+oqEIlYgh7FNUUIfQpVL6siaDfmk74sj9WGcwROgq&#10;qR2OMdy0cp0kW2mw4dhQY0fHmsp70RsFvcsLM24fl9dmZYrP28leno83pRbzKX8HEWgK/+I/94dW&#10;sN68beLeeCdeAXn4BQAA//8DAFBLAQItABQABgAIAAAAIQDb4fbL7gAAAIUBAAATAAAAAAAAAAAA&#10;AAAAAAAAAABbQ29udGVudF9UeXBlc10ueG1sUEsBAi0AFAAGAAgAAAAhAFr0LFu/AAAAFQEAAAsA&#10;AAAAAAAAAAAAAAAAHwEAAF9yZWxzLy5yZWxzUEsBAi0AFAAGAAgAAAAhAPoTPNbEAAAA3gAAAA8A&#10;AAAAAAAAAAAAAAAABwIAAGRycy9kb3ducmV2LnhtbFBLBQYAAAAAAwADALcAAAD4AgAAAAA=&#10;" strokeweight="1pt">
                  <v:stroke endarrow="open"/>
                </v:line>
                <v:line id="Line 3754" o:spid="_x0000_s1191" style="position:absolute;flip:x;visibility:visible;mso-wrap-style:square" from="6969,6967" to="7309,6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5lNxgAAAN4AAAAPAAAAZHJzL2Rvd25yZXYueG1sRI9Bi8Iw&#10;FITvgv8hPGEvoqnKilajiIuwrCerB4+P5tkWm5eSRFv/vVlY2OMwM98w621navEk5yvLCibjBARx&#10;bnXFhYLL+TBagPABWWNtmRS8yMN20++tMdW25RM9s1CICGGfooIyhCaV0uclGfRj2xBH72adwRCl&#10;K6R22Ea4qeU0SebSYMVxocSG9iXl9+xhFDzcLjPt/HX8rCYm+7l+2eNwf1XqY9DtViACdeE//Nf+&#10;1gqms+VsCb934hWQmzcAAAD//wMAUEsBAi0AFAAGAAgAAAAhANvh9svuAAAAhQEAABMAAAAAAAAA&#10;AAAAAAAAAAAAAFtDb250ZW50X1R5cGVzXS54bWxQSwECLQAUAAYACAAAACEAWvQsW78AAAAVAQAA&#10;CwAAAAAAAAAAAAAAAAAfAQAAX3JlbHMvLnJlbHNQSwECLQAUAAYACAAAACEAlV+ZTcYAAADeAAAA&#10;DwAAAAAAAAAAAAAAAAAHAgAAZHJzL2Rvd25yZXYueG1sUEsFBgAAAAADAAMAtwAAAPoCAAAAAA==&#10;" strokeweight="1pt">
                  <v:stroke endarrow="open"/>
                </v:line>
                <v:line id="Line 3755" o:spid="_x0000_s1192" style="position:absolute;flip:x y;visibility:visible;mso-wrap-style:square" from="7029,7065" to="7391,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cMyAAAAN4AAAAPAAAAZHJzL2Rvd25yZXYueG1sRI9NS8NA&#10;EIbvgv9hGcGb2VilaOy21IpQ6KE1WtDbmB2TYHY2ZLdJ2l/fOQgeX94vntlidI3qqQu1ZwO3SQqK&#10;uPC25tLAx/vrzQOoEJEtNp7JwJECLOaXFzPMrB/4jfo8lkpGOGRooIqxzbQORUUOQ+JbYvF+fOcw&#10;iuxKbTscZNw1epKmU+2wZnmosKVVRcVvfnDye/hu98Pz5+ol77/Wm2W+3Z322pjrq3H5BCrSGP/D&#10;f+21NTC5e7wXAMERFNDzMwAAAP//AwBQSwECLQAUAAYACAAAACEA2+H2y+4AAACFAQAAEwAAAAAA&#10;AAAAAAAAAAAAAAAAW0NvbnRlbnRfVHlwZXNdLnhtbFBLAQItABQABgAIAAAAIQBa9CxbvwAAABUB&#10;AAALAAAAAAAAAAAAAAAAAB8BAABfcmVscy8ucmVsc1BLAQItABQABgAIAAAAIQBKvQcMyAAAAN4A&#10;AAAPAAAAAAAAAAAAAAAAAAcCAABkcnMvZG93bnJldi54bWxQSwUGAAAAAAMAAwC3AAAA/AIAAAAA&#10;" strokeweight="1pt">
                  <v:stroke endarrow="open"/>
                </v:line>
                <v:line id="Line 3756" o:spid="_x0000_s1193" style="position:absolute;flip:x y;visibility:visible;mso-wrap-style:square" from="7029,7426" to="7391,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aKXyAAAAN4AAAAPAAAAZHJzL2Rvd25yZXYueG1sRI/NasJA&#10;FIX3Bd9huEJ3daKVUlNHsRZBcFEbFXR3m7kmwcydkBmTtE/vFAouD+fn40znnSlFQ7UrLCsYDiIQ&#10;xKnVBWcK9rvV0ysI55E1lpZJwQ85mM96D1OMtW35i5rEZyKMsItRQe59FUvp0pwMuoGtiIN3trVB&#10;H2SdSV1jG8ZNKUdR9CINFhwIOVa0zCm9JFcTuNfv6tC+H5cfSXNabxbJ5/b3IJV67HeLNxCeOn8P&#10;/7fXWsHoeTIewt+dcAXk7AYAAP//AwBQSwECLQAUAAYACAAAACEA2+H2y+4AAACFAQAAEwAAAAAA&#10;AAAAAAAAAAAAAAAAW0NvbnRlbnRfVHlwZXNdLnhtbFBLAQItABQABgAIAAAAIQBa9CxbvwAAABUB&#10;AAALAAAAAAAAAAAAAAAAAB8BAABfcmVscy8ucmVsc1BLAQItABQABgAIAAAAIQAl8aKXyAAAAN4A&#10;AAAPAAAAAAAAAAAAAAAAAAcCAABkcnMvZG93bnJldi54bWxQSwUGAAAAAAMAAwC3AAAA/AIAAAAA&#10;" strokeweight="1pt">
                  <v:stroke endarrow="open"/>
                </v:line>
                <v:shape id="Text Box 3757" o:spid="_x0000_s1194" type="#_x0000_t202" style="position:absolute;left:5097;top:5145;width:1620;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fPxQAAAN4AAAAPAAAAZHJzL2Rvd25yZXYueG1sRI9Ba8JA&#10;FITvQv/D8gq96YupSJu6ShGFXo1Sr6/Z1yRt9m3MbmP6711B8DjMzDfMYjXYRvXc+dqJhukkAcVS&#10;OFNLqeGw345fQPlAYqhxwhr+2cNq+TBaUGbcWXbc56FUESI+Iw1VCG2G6IuKLfmJa1mi9+06SyHK&#10;rkTT0TnCbYNpkszRUi1xoaKW1xUXv/mf1bD5yU/5cd+e8PNrG6bzI/brDWr99Di8v4EKPIR7+Nb+&#10;MBrS59dZCtc78Qrg8gIAAP//AwBQSwECLQAUAAYACAAAACEA2+H2y+4AAACFAQAAEwAAAAAAAAAA&#10;AAAAAAAAAAAAW0NvbnRlbnRfVHlwZXNdLnhtbFBLAQItABQABgAIAAAAIQBa9CxbvwAAABUBAAAL&#10;AAAAAAAAAAAAAAAAAB8BAABfcmVscy8ucmVsc1BLAQItABQABgAIAAAAIQDaqRfPxQAAAN4AAAAP&#10;AAAAAAAAAAAAAAAAAAcCAABkcnMvZG93bnJldi54bWxQSwUGAAAAAAMAAwC3AAAA+QIAAAAA&#10;" filled="f">
                  <v:textbox inset=".5mm,.3mm,.5mm,.3mm">
                    <w:txbxContent>
                      <w:p w14:paraId="105692AC" w14:textId="77777777" w:rsidR="00511D9B" w:rsidRPr="00486155" w:rsidRDefault="00511D9B" w:rsidP="00F65092">
                        <w:pPr>
                          <w:spacing w:line="228" w:lineRule="auto"/>
                          <w:jc w:val="center"/>
                          <w:rPr>
                            <w:rFonts w:ascii="Garamond" w:hAnsi="Garamond"/>
                          </w:rPr>
                        </w:pPr>
                        <w:r>
                          <w:rPr>
                            <w:rFonts w:ascii="Garamond" w:hAnsi="Garamond"/>
                          </w:rPr>
                          <w:t>Provázání se strategickým řízením</w:t>
                        </w:r>
                      </w:p>
                    </w:txbxContent>
                  </v:textbox>
                </v:shape>
                <v:shape id="Text Box 3758" o:spid="_x0000_s1195" type="#_x0000_t202" style="position:absolute;left:4838;top:6327;width:2160;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4WOxwAAAN4AAAAPAAAAZHJzL2Rvd25yZXYueG1sRI9Pa8JA&#10;FMTvBb/D8oReim5MRDS6iggtHkrx38XbI/vcBLNvQ3Yb47fvFgo9DjPzG2a16W0tOmp95VjBZJyA&#10;IC6crtgouJzfR3MQPiBrrB2Tgid52KwHLyvMtXvwkbpTMCJC2OeooAyhyaX0RUkW/dg1xNG7udZi&#10;iLI1Urf4iHBbyzRJZtJixXGhxIZ2JRX307dVcPT9pzRvGU0//DbtviaH87UwSr0O++0SRKA+/If/&#10;2nutIM0W0wx+78QrINc/AAAA//8DAFBLAQItABQABgAIAAAAIQDb4fbL7gAAAIUBAAATAAAAAAAA&#10;AAAAAAAAAAAAAABbQ29udGVudF9UeXBlc10ueG1sUEsBAi0AFAAGAAgAAAAhAFr0LFu/AAAAFQEA&#10;AAsAAAAAAAAAAAAAAAAAHwEAAF9yZWxzLy5yZWxzUEsBAi0AFAAGAAgAAAAhAOYDhY7HAAAA3gAA&#10;AA8AAAAAAAAAAAAAAAAABwIAAGRycy9kb3ducmV2LnhtbFBLBQYAAAAAAwADALcAAAD7AgAAAAA=&#10;" fillcolor="#5a5a5a" strokeweight="1.75pt">
                  <v:textbox inset="0,0,0,0">
                    <w:txbxContent>
                      <w:p w14:paraId="6445903F" w14:textId="77777777" w:rsidR="00511D9B" w:rsidRPr="00486155" w:rsidRDefault="00511D9B" w:rsidP="00F65092">
                        <w:pPr>
                          <w:jc w:val="center"/>
                          <w:rPr>
                            <w:rFonts w:ascii="Garamond" w:hAnsi="Garamond"/>
                            <w:b/>
                            <w:sz w:val="36"/>
                            <w:szCs w:val="36"/>
                          </w:rPr>
                        </w:pPr>
                      </w:p>
                      <w:p w14:paraId="5BBBB0D4" w14:textId="77777777" w:rsidR="00511D9B" w:rsidRPr="00486155" w:rsidRDefault="00511D9B" w:rsidP="00F65092">
                        <w:pPr>
                          <w:jc w:val="center"/>
                          <w:rPr>
                            <w:rFonts w:ascii="Garamond" w:hAnsi="Garamond"/>
                            <w:b/>
                            <w:color w:val="FFFFFF"/>
                            <w:sz w:val="48"/>
                            <w:szCs w:val="48"/>
                          </w:rPr>
                        </w:pPr>
                        <w:r w:rsidRPr="00486155">
                          <w:rPr>
                            <w:rFonts w:ascii="Garamond" w:hAnsi="Garamond"/>
                            <w:b/>
                            <w:color w:val="FFFFFF"/>
                            <w:sz w:val="48"/>
                            <w:szCs w:val="48"/>
                          </w:rPr>
                          <w:t>Rozpočet</w:t>
                        </w:r>
                      </w:p>
                    </w:txbxContent>
                  </v:textbox>
                </v:shape>
                <v:shape id="Text Box 3759" o:spid="_x0000_s1196" type="#_x0000_t202" style="position:absolute;left:4838;top:7786;width:216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2B4xwAAAN4AAAAPAAAAZHJzL2Rvd25yZXYueG1sRI9Ba8JA&#10;FITvgv9heUIvoptaEZO6ihSEQvFg0tAeH9nXJJh9G7KrSf69Wyj0OMzMN8zuMJhG3KlztWUFz8sI&#10;BHFhdc2lgs/stNiCcB5ZY2OZFIzk4LCfTnaYaNvzhe6pL0WAsEtQQeV9m0jpiooMuqVtiYP3YzuD&#10;PsiulLrDPsBNI1dRtJEGaw4LFbb0VlFxTW9GQRvFjPnX93wznud59jH6xrlYqafZcHwF4Wnw/+G/&#10;9rtWsHqJ12v4vROugNw/AAAA//8DAFBLAQItABQABgAIAAAAIQDb4fbL7gAAAIUBAAATAAAAAAAA&#10;AAAAAAAAAAAAAABbQ29udGVudF9UeXBlc10ueG1sUEsBAi0AFAAGAAgAAAAhAFr0LFu/AAAAFQEA&#10;AAsAAAAAAAAAAAAAAAAAHwEAAF9yZWxzLy5yZWxzUEsBAi0AFAAGAAgAAAAhANzDYHjHAAAA3gAA&#10;AA8AAAAAAAAAAAAAAAAABwIAAGRycy9kb3ducmV2LnhtbFBLBQYAAAAAAwADALcAAAD7AgAAAAA=&#10;" filled="f" strokeweight="1.75pt">
                  <v:textbox inset="0,,0">
                    <w:txbxContent>
                      <w:p w14:paraId="4A7B9D17" w14:textId="77777777" w:rsidR="00511D9B" w:rsidRPr="00486155" w:rsidRDefault="00511D9B" w:rsidP="00F65092">
                        <w:pPr>
                          <w:jc w:val="center"/>
                          <w:rPr>
                            <w:rFonts w:ascii="Garamond" w:hAnsi="Garamond"/>
                            <w:b/>
                          </w:rPr>
                        </w:pPr>
                        <w:r w:rsidRPr="00486155">
                          <w:rPr>
                            <w:rFonts w:ascii="Garamond" w:hAnsi="Garamond"/>
                            <w:b/>
                          </w:rPr>
                          <w:t>Schodek/Přebytek</w:t>
                        </w:r>
                      </w:p>
                    </w:txbxContent>
                  </v:textbox>
                </v:shape>
                <v:line id="Line 3760" o:spid="_x0000_s1197" style="position:absolute;flip:y;visibility:visible;mso-wrap-style:square" from="5933,5867" to="5933,6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6mxgAAAN4AAAAPAAAAZHJzL2Rvd25yZXYueG1sRI9Pa8JA&#10;FMTvQr/D8gq9iG6aWmljVkmEgjdp9ODxkX35g9m3IbvG+O27hUKPw8z8hkl3k+nESINrLSt4XUYg&#10;iEurW64VnE9fiw8QziNr7CyTggc52G2fZikm2t75m8bC1yJA2CWooPG+T6R0ZUMG3dL2xMGr7GDQ&#10;BznUUg94D3DTyTiK1tJgy2GhwZ72DZXX4mYU3Cpbc3nQxwIfl/m0N/nZZLlSL89TtgHhafL/4b/2&#10;QSuI3z5X7/B7J1wBuf0BAAD//wMAUEsBAi0AFAAGAAgAAAAhANvh9svuAAAAhQEAABMAAAAAAAAA&#10;AAAAAAAAAAAAAFtDb250ZW50X1R5cGVzXS54bWxQSwECLQAUAAYACAAAACEAWvQsW78AAAAVAQAA&#10;CwAAAAAAAAAAAAAAAAAfAQAAX3JlbHMvLnJlbHNQSwECLQAUAAYACAAAACEA6C6OpsYAAADeAAAA&#10;DwAAAAAAAAAAAAAAAAAHAgAAZHJzL2Rvd25yZXYueG1sUEsFBgAAAAADAAMAtwAAAPoCAAAAAA==&#10;" strokeweight="3pt">
                  <v:stroke startarrow="open" endarrow="open"/>
                </v:line>
                <v:shape id="Text Box 3761" o:spid="_x0000_s1198" type="#_x0000_t202" style="position:absolute;left:7358;top:5564;width:3240;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7XlxgAAAN4AAAAPAAAAZHJzL2Rvd25yZXYueG1sRI9bawIx&#10;EIXfC/6HMEJfimbV4mU1ihQEKbTg9XncjJvVzWTZRF3/fVMo9PFw5nxnzmzR2FLcqfaFYwW9bgKC&#10;OHO64FzBfrfqjEH4gKyxdEwKnuRhMW+9zDDV7sEbum9DLiKEfYoKTAhVKqXPDFn0XVcRR+/saosh&#10;yjqXusZHhNtS9pNkKC0WHBsMVvRhKLtubza+UXzz5dNnA0uHr5E8Ptdv5uSUem03yymIQE34P/5L&#10;r7WC/mDyPoTfOZEBcv4DAAD//wMAUEsBAi0AFAAGAAgAAAAhANvh9svuAAAAhQEAABMAAAAAAAAA&#10;AAAAAAAAAAAAAFtDb250ZW50X1R5cGVzXS54bWxQSwECLQAUAAYACAAAACEAWvQsW78AAAAVAQAA&#10;CwAAAAAAAAAAAAAAAAAfAQAAX3JlbHMvLnJlbHNQSwECLQAUAAYACAAAACEAIcO15cYAAADeAAAA&#10;DwAAAAAAAAAAAAAAAAAHAgAAZHJzL2Rvd25yZXYueG1sUEsFBgAAAAADAAMAtwAAAPoCAAAAAA==&#10;" fillcolor="silver" stroked="f">
                  <v:fill opacity="16448f"/>
                  <v:textbox inset=".5mm,.3mm,.5mm,.3mm">
                    <w:txbxContent>
                      <w:p w14:paraId="034660AA" w14:textId="77777777" w:rsidR="00511D9B" w:rsidRPr="00486155" w:rsidRDefault="00511D9B" w:rsidP="00F65092">
                        <w:pPr>
                          <w:shd w:val="clear" w:color="auto" w:fill="FFF2CC"/>
                          <w:spacing w:line="228" w:lineRule="auto"/>
                          <w:rPr>
                            <w:rFonts w:ascii="Garamond" w:hAnsi="Garamond"/>
                            <w:b/>
                          </w:rPr>
                        </w:pPr>
                        <w:r w:rsidRPr="00486155">
                          <w:rPr>
                            <w:rFonts w:ascii="Garamond" w:hAnsi="Garamond"/>
                            <w:b/>
                          </w:rPr>
                          <w:t>Daňové příjmy</w:t>
                        </w:r>
                      </w:p>
                      <w:p w14:paraId="3DF6FD0D" w14:textId="77777777"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sz w:val="22"/>
                            <w:szCs w:val="22"/>
                          </w:rPr>
                          <w:t>(</w:t>
                        </w:r>
                        <w:r>
                          <w:rPr>
                            <w:rFonts w:ascii="Garamond" w:hAnsi="Garamond"/>
                            <w:sz w:val="22"/>
                            <w:szCs w:val="22"/>
                          </w:rPr>
                          <w:t>daně z příjmů, zisku a kapitálových výnosů; daně ze zboží a služeb; majetkové daně</w:t>
                        </w:r>
                        <w:r w:rsidRPr="00486155">
                          <w:rPr>
                            <w:rFonts w:ascii="Garamond" w:hAnsi="Garamond"/>
                            <w:sz w:val="22"/>
                            <w:szCs w:val="22"/>
                          </w:rPr>
                          <w:t>; místní poplatky; správní poplatky</w:t>
                        </w:r>
                        <w:r>
                          <w:rPr>
                            <w:rFonts w:ascii="Garamond" w:hAnsi="Garamond"/>
                            <w:sz w:val="22"/>
                            <w:szCs w:val="22"/>
                          </w:rPr>
                          <w:t xml:space="preserve"> atd.</w:t>
                        </w:r>
                        <w:r w:rsidRPr="00486155">
                          <w:rPr>
                            <w:rFonts w:ascii="Garamond" w:hAnsi="Garamond"/>
                            <w:sz w:val="22"/>
                            <w:szCs w:val="22"/>
                          </w:rPr>
                          <w:t>)</w:t>
                        </w:r>
                      </w:p>
                      <w:p w14:paraId="4756A468" w14:textId="77777777" w:rsidR="00511D9B" w:rsidRPr="00EC499E" w:rsidRDefault="00511D9B" w:rsidP="00F65092">
                        <w:pPr>
                          <w:shd w:val="clear" w:color="auto" w:fill="FFF2CC"/>
                          <w:spacing w:line="228" w:lineRule="auto"/>
                          <w:rPr>
                            <w:rFonts w:ascii="Garamond" w:hAnsi="Garamond"/>
                            <w:sz w:val="8"/>
                            <w:szCs w:val="20"/>
                          </w:rPr>
                        </w:pPr>
                      </w:p>
                      <w:p w14:paraId="61EDFB9A" w14:textId="77777777" w:rsidR="00511D9B" w:rsidRPr="00486155" w:rsidRDefault="00511D9B" w:rsidP="00F65092">
                        <w:pPr>
                          <w:shd w:val="clear" w:color="auto" w:fill="FFF2CC"/>
                          <w:spacing w:line="228" w:lineRule="auto"/>
                          <w:rPr>
                            <w:rFonts w:ascii="Garamond" w:hAnsi="Garamond"/>
                            <w:b/>
                          </w:rPr>
                        </w:pPr>
                        <w:r w:rsidRPr="00486155">
                          <w:rPr>
                            <w:rFonts w:ascii="Garamond" w:hAnsi="Garamond"/>
                            <w:b/>
                          </w:rPr>
                          <w:t>Nedaňové příjmy</w:t>
                        </w:r>
                      </w:p>
                      <w:p w14:paraId="01DA2A47" w14:textId="6B3920CB"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sz w:val="22"/>
                            <w:szCs w:val="22"/>
                          </w:rPr>
                          <w:t>(příjmy z vlast</w:t>
                        </w:r>
                        <w:r>
                          <w:rPr>
                            <w:rFonts w:ascii="Garamond" w:hAnsi="Garamond"/>
                            <w:sz w:val="22"/>
                            <w:szCs w:val="22"/>
                          </w:rPr>
                          <w:t>ní</w:t>
                        </w:r>
                        <w:r w:rsidRPr="00486155">
                          <w:rPr>
                            <w:rFonts w:ascii="Garamond" w:hAnsi="Garamond"/>
                            <w:sz w:val="22"/>
                            <w:szCs w:val="22"/>
                          </w:rPr>
                          <w:t xml:space="preserve"> činnosti; příjmy z nájmu; odvody přísp</w:t>
                        </w:r>
                        <w:r>
                          <w:rPr>
                            <w:rFonts w:ascii="Garamond" w:hAnsi="Garamond"/>
                            <w:sz w:val="22"/>
                            <w:szCs w:val="22"/>
                          </w:rPr>
                          <w:t>ěvkových</w:t>
                        </w:r>
                        <w:r w:rsidRPr="00486155">
                          <w:rPr>
                            <w:rFonts w:ascii="Garamond" w:hAnsi="Garamond"/>
                            <w:sz w:val="22"/>
                            <w:szCs w:val="22"/>
                          </w:rPr>
                          <w:t>.</w:t>
                        </w:r>
                        <w:r>
                          <w:rPr>
                            <w:rFonts w:ascii="Garamond" w:hAnsi="Garamond"/>
                            <w:sz w:val="22"/>
                            <w:szCs w:val="22"/>
                          </w:rPr>
                          <w:t xml:space="preserve"> </w:t>
                        </w:r>
                        <w:r w:rsidRPr="00486155">
                          <w:rPr>
                            <w:rFonts w:ascii="Garamond" w:hAnsi="Garamond"/>
                            <w:sz w:val="22"/>
                            <w:szCs w:val="22"/>
                          </w:rPr>
                          <w:t>organizací; úroky; sankční platby; splátky půjček)</w:t>
                        </w:r>
                      </w:p>
                      <w:p w14:paraId="2994856A" w14:textId="77777777" w:rsidR="00511D9B" w:rsidRPr="00EC499E" w:rsidRDefault="00511D9B" w:rsidP="00F65092">
                        <w:pPr>
                          <w:shd w:val="clear" w:color="auto" w:fill="FFF2CC"/>
                          <w:spacing w:line="228" w:lineRule="auto"/>
                          <w:rPr>
                            <w:rFonts w:ascii="Garamond" w:hAnsi="Garamond"/>
                            <w:sz w:val="10"/>
                            <w:szCs w:val="20"/>
                          </w:rPr>
                        </w:pPr>
                      </w:p>
                      <w:p w14:paraId="41CF0003" w14:textId="77777777" w:rsidR="00511D9B" w:rsidRPr="00486155" w:rsidRDefault="00511D9B" w:rsidP="00F65092">
                        <w:pPr>
                          <w:shd w:val="clear" w:color="auto" w:fill="FFF2CC"/>
                          <w:spacing w:line="228" w:lineRule="auto"/>
                          <w:rPr>
                            <w:rFonts w:ascii="Garamond" w:hAnsi="Garamond"/>
                            <w:b/>
                          </w:rPr>
                        </w:pPr>
                        <w:r w:rsidRPr="00486155">
                          <w:rPr>
                            <w:rFonts w:ascii="Garamond" w:hAnsi="Garamond"/>
                            <w:b/>
                          </w:rPr>
                          <w:t>Kapitálové příjmy</w:t>
                        </w:r>
                      </w:p>
                      <w:p w14:paraId="3D404F07" w14:textId="77777777"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sz w:val="22"/>
                            <w:szCs w:val="22"/>
                          </w:rPr>
                          <w:t>(prodej investičního majetku; prodej akcií a majetkových podílů)</w:t>
                        </w:r>
                      </w:p>
                      <w:p w14:paraId="67249482" w14:textId="77777777" w:rsidR="00511D9B" w:rsidRPr="00EC499E" w:rsidRDefault="00511D9B" w:rsidP="00F65092">
                        <w:pPr>
                          <w:shd w:val="clear" w:color="auto" w:fill="FFF2CC"/>
                          <w:spacing w:line="228" w:lineRule="auto"/>
                          <w:rPr>
                            <w:rFonts w:ascii="Garamond" w:hAnsi="Garamond"/>
                            <w:sz w:val="12"/>
                          </w:rPr>
                        </w:pPr>
                      </w:p>
                      <w:p w14:paraId="01623EAF" w14:textId="77777777" w:rsidR="00511D9B" w:rsidRDefault="00511D9B" w:rsidP="00F65092">
                        <w:pPr>
                          <w:shd w:val="clear" w:color="auto" w:fill="FFF2CC"/>
                          <w:spacing w:line="228" w:lineRule="auto"/>
                          <w:rPr>
                            <w:rFonts w:ascii="Garamond" w:hAnsi="Garamond"/>
                            <w:b/>
                          </w:rPr>
                        </w:pPr>
                        <w:r>
                          <w:rPr>
                            <w:rFonts w:ascii="Garamond" w:hAnsi="Garamond"/>
                            <w:b/>
                          </w:rPr>
                          <w:t>Přijaté transfery (dotace)</w:t>
                        </w:r>
                      </w:p>
                      <w:p w14:paraId="310B71ED" w14:textId="77777777" w:rsidR="00511D9B" w:rsidRPr="00486155" w:rsidRDefault="00511D9B" w:rsidP="00F65092">
                        <w:pPr>
                          <w:shd w:val="clear" w:color="auto" w:fill="FFF2CC"/>
                          <w:spacing w:line="228" w:lineRule="auto"/>
                          <w:rPr>
                            <w:rFonts w:ascii="Garamond" w:hAnsi="Garamond"/>
                            <w:sz w:val="22"/>
                            <w:szCs w:val="22"/>
                          </w:rPr>
                        </w:pPr>
                        <w:r w:rsidRPr="00486155">
                          <w:rPr>
                            <w:rFonts w:ascii="Garamond" w:hAnsi="Garamond"/>
                            <w:b/>
                            <w:sz w:val="22"/>
                            <w:szCs w:val="22"/>
                          </w:rPr>
                          <w:t xml:space="preserve"> </w:t>
                        </w:r>
                        <w:r w:rsidRPr="00486155">
                          <w:rPr>
                            <w:rFonts w:ascii="Garamond" w:hAnsi="Garamond"/>
                            <w:sz w:val="22"/>
                            <w:szCs w:val="22"/>
                          </w:rPr>
                          <w:t>nárokové</w:t>
                        </w:r>
                        <w:r>
                          <w:rPr>
                            <w:rFonts w:ascii="Garamond" w:hAnsi="Garamond"/>
                            <w:sz w:val="22"/>
                            <w:szCs w:val="22"/>
                          </w:rPr>
                          <w:t>; účelové</w:t>
                        </w:r>
                      </w:p>
                      <w:p w14:paraId="1F1E6D56" w14:textId="77777777" w:rsidR="00511D9B" w:rsidRPr="00486155" w:rsidRDefault="00511D9B" w:rsidP="00F65092">
                        <w:pPr>
                          <w:rPr>
                            <w:rFonts w:ascii="Garamond" w:hAnsi="Garamond"/>
                            <w:sz w:val="22"/>
                            <w:szCs w:val="22"/>
                          </w:rPr>
                        </w:pPr>
                      </w:p>
                    </w:txbxContent>
                  </v:textbox>
                </v:shape>
              </v:group>
            </w:pict>
          </mc:Fallback>
        </mc:AlternateContent>
      </w:r>
    </w:p>
    <w:p w14:paraId="4176D5A9" w14:textId="77777777" w:rsidR="00F65092" w:rsidRPr="003D1574" w:rsidRDefault="00F65092" w:rsidP="00F65092">
      <w:pPr>
        <w:spacing w:after="120"/>
        <w:rPr>
          <w:rFonts w:ascii="Garamond" w:hAnsi="Garamond"/>
          <w:sz w:val="28"/>
          <w:szCs w:val="28"/>
        </w:rPr>
      </w:pPr>
    </w:p>
    <w:p w14:paraId="06EF9C8C" w14:textId="77777777" w:rsidR="00F65092" w:rsidRPr="003D1574" w:rsidRDefault="00F65092" w:rsidP="00F65092">
      <w:pPr>
        <w:spacing w:after="120"/>
        <w:rPr>
          <w:rFonts w:ascii="Garamond" w:hAnsi="Garamond"/>
          <w:sz w:val="28"/>
          <w:szCs w:val="28"/>
        </w:rPr>
      </w:pPr>
    </w:p>
    <w:p w14:paraId="31556CC5" w14:textId="77777777" w:rsidR="00F65092" w:rsidRPr="003D1574" w:rsidRDefault="00F65092" w:rsidP="00F65092">
      <w:pPr>
        <w:spacing w:after="120"/>
        <w:rPr>
          <w:rFonts w:ascii="Garamond" w:hAnsi="Garamond"/>
          <w:sz w:val="28"/>
          <w:szCs w:val="28"/>
        </w:rPr>
      </w:pPr>
    </w:p>
    <w:p w14:paraId="353A871A" w14:textId="77777777" w:rsidR="00F65092" w:rsidRPr="003D1574" w:rsidRDefault="00F65092" w:rsidP="00F65092">
      <w:pPr>
        <w:spacing w:after="120"/>
        <w:rPr>
          <w:rFonts w:ascii="Garamond" w:hAnsi="Garamond"/>
          <w:sz w:val="28"/>
          <w:szCs w:val="28"/>
        </w:rPr>
      </w:pPr>
    </w:p>
    <w:p w14:paraId="215DB981" w14:textId="77777777" w:rsidR="00F65092" w:rsidRPr="003D1574" w:rsidRDefault="00F65092" w:rsidP="00F65092">
      <w:pPr>
        <w:spacing w:after="120"/>
        <w:rPr>
          <w:rFonts w:ascii="Garamond" w:hAnsi="Garamond"/>
          <w:sz w:val="28"/>
          <w:szCs w:val="28"/>
        </w:rPr>
      </w:pPr>
    </w:p>
    <w:p w14:paraId="23A2412A" w14:textId="77777777" w:rsidR="00F65092" w:rsidRPr="003D1574" w:rsidRDefault="00F65092" w:rsidP="00F65092">
      <w:pPr>
        <w:spacing w:after="120"/>
        <w:rPr>
          <w:rFonts w:ascii="Garamond" w:hAnsi="Garamond"/>
          <w:sz w:val="28"/>
          <w:szCs w:val="28"/>
        </w:rPr>
      </w:pPr>
    </w:p>
    <w:p w14:paraId="22AA9DAF" w14:textId="77777777" w:rsidR="00F65092" w:rsidRPr="003D1574" w:rsidRDefault="00F65092" w:rsidP="00F65092">
      <w:pPr>
        <w:spacing w:after="120"/>
        <w:rPr>
          <w:rFonts w:ascii="Garamond" w:hAnsi="Garamond"/>
          <w:sz w:val="28"/>
          <w:szCs w:val="28"/>
        </w:rPr>
      </w:pPr>
    </w:p>
    <w:p w14:paraId="0670099C" w14:textId="77777777" w:rsidR="00F65092" w:rsidRPr="003D1574" w:rsidRDefault="00F65092" w:rsidP="00F65092">
      <w:pPr>
        <w:pStyle w:val="A-pramen"/>
        <w:spacing w:after="0" w:line="240" w:lineRule="auto"/>
        <w:rPr>
          <w:rFonts w:ascii="Calibri" w:hAnsi="Calibri"/>
        </w:rPr>
      </w:pPr>
    </w:p>
    <w:p w14:paraId="132D60A5" w14:textId="79703B04" w:rsidR="00F65092" w:rsidRPr="000C7ECF" w:rsidRDefault="00F65092" w:rsidP="00777A28">
      <w:pPr>
        <w:pStyle w:val="A-pramen"/>
        <w:spacing w:after="0"/>
        <w:rPr>
          <w:rFonts w:ascii="Calibri" w:hAnsi="Calibri"/>
          <w:i/>
          <w:iCs/>
          <w:lang w:val="cs-CZ"/>
        </w:rPr>
      </w:pPr>
      <w:r w:rsidRPr="000C7ECF">
        <w:rPr>
          <w:rFonts w:ascii="Calibri" w:hAnsi="Calibri"/>
          <w:i/>
          <w:iCs/>
        </w:rPr>
        <w:t xml:space="preserve">Zdroj: </w:t>
      </w:r>
      <w:r w:rsidR="005A2BFA" w:rsidRPr="000C7ECF">
        <w:rPr>
          <w:rFonts w:ascii="Calibri" w:hAnsi="Calibri"/>
          <w:i/>
          <w:iCs/>
        </w:rPr>
        <w:t>autoři</w:t>
      </w:r>
      <w:r w:rsidRPr="000C7ECF">
        <w:rPr>
          <w:rFonts w:ascii="Calibri" w:hAnsi="Calibri"/>
          <w:i/>
          <w:iCs/>
        </w:rPr>
        <w:t xml:space="preserve"> dle Půček</w:t>
      </w:r>
      <w:r w:rsidRPr="000C7ECF">
        <w:rPr>
          <w:rFonts w:ascii="Calibri" w:hAnsi="Calibri"/>
          <w:i/>
          <w:iCs/>
          <w:lang w:val="cs-CZ"/>
        </w:rPr>
        <w:t xml:space="preserve">, </w:t>
      </w:r>
      <w:r w:rsidRPr="000C7ECF">
        <w:rPr>
          <w:rFonts w:ascii="Calibri" w:hAnsi="Calibri"/>
          <w:i/>
          <w:iCs/>
        </w:rPr>
        <w:t>Matochová 200</w:t>
      </w:r>
      <w:r w:rsidR="00733A31">
        <w:rPr>
          <w:rFonts w:ascii="Calibri" w:hAnsi="Calibri"/>
          <w:i/>
          <w:iCs/>
          <w:lang w:val="cs-CZ"/>
        </w:rPr>
        <w:t>7</w:t>
      </w:r>
    </w:p>
    <w:p w14:paraId="5B052A8B" w14:textId="77777777" w:rsidR="00650077" w:rsidRDefault="00650077" w:rsidP="00F65092">
      <w:pPr>
        <w:pStyle w:val="A1-text"/>
        <w:spacing w:after="0"/>
        <w:rPr>
          <w:rFonts w:ascii="Calibri" w:hAnsi="Calibri"/>
          <w:lang w:val="cs-CZ"/>
        </w:rPr>
      </w:pPr>
    </w:p>
    <w:p w14:paraId="4EE14B8B" w14:textId="3A847680" w:rsidR="00F65092" w:rsidRPr="003D1574" w:rsidRDefault="00F65092" w:rsidP="00F65092">
      <w:pPr>
        <w:pStyle w:val="A1-text"/>
        <w:spacing w:after="0"/>
        <w:rPr>
          <w:rFonts w:ascii="Calibri" w:hAnsi="Calibri"/>
          <w:lang w:val="cs-CZ"/>
        </w:rPr>
      </w:pPr>
      <w:r w:rsidRPr="003D1574">
        <w:rPr>
          <w:rFonts w:ascii="Calibri" w:hAnsi="Calibri"/>
          <w:lang w:val="cs-CZ"/>
        </w:rPr>
        <w:t xml:space="preserve">Kromě </w:t>
      </w:r>
      <w:r>
        <w:rPr>
          <w:rFonts w:ascii="Calibri" w:hAnsi="Calibri"/>
          <w:lang w:val="cs-CZ"/>
        </w:rPr>
        <w:t>příjmů</w:t>
      </w:r>
      <w:r w:rsidRPr="003D1574">
        <w:rPr>
          <w:rFonts w:ascii="Calibri" w:hAnsi="Calibri"/>
          <w:lang w:val="cs-CZ"/>
        </w:rPr>
        <w:t xml:space="preserve"> a výdajů je třeba též plánovat </w:t>
      </w:r>
      <w:r w:rsidRPr="00A705DD">
        <w:rPr>
          <w:rFonts w:ascii="Calibri" w:hAnsi="Calibri"/>
          <w:b/>
          <w:lang w:val="cs-CZ"/>
        </w:rPr>
        <w:t>průběh přípravy rozpočtu a celý rozpočtový proces</w:t>
      </w:r>
      <w:r w:rsidRPr="003D1574">
        <w:rPr>
          <w:rFonts w:ascii="Calibri" w:hAnsi="Calibri"/>
          <w:lang w:val="cs-CZ"/>
        </w:rPr>
        <w:t xml:space="preserve">. Znalost rozpočtového procesu každému umožňuje v rámci přípravy rozpočtu </w:t>
      </w:r>
      <w:r w:rsidRPr="003D1574">
        <w:rPr>
          <w:rFonts w:ascii="Calibri" w:hAnsi="Calibri"/>
          <w:lang w:val="cs-CZ"/>
        </w:rPr>
        <w:lastRenderedPageBreak/>
        <w:t xml:space="preserve">navrhovat nebo připomínkovat výdaje nebo příjmy obce ve správný okamžik. </w:t>
      </w:r>
      <w:r w:rsidR="006132A9">
        <w:rPr>
          <w:rFonts w:ascii="Calibri" w:hAnsi="Calibri"/>
          <w:lang w:val="cs-CZ"/>
        </w:rPr>
        <w:t xml:space="preserve">A to platí i pro předkladatele veřejných strategií. </w:t>
      </w:r>
      <w:r w:rsidRPr="003D1574">
        <w:rPr>
          <w:rFonts w:ascii="Calibri" w:hAnsi="Calibri"/>
          <w:lang w:val="cs-CZ"/>
        </w:rPr>
        <w:t>Transparentnost tvorby rozpočtu u obce / kraje zvyšuje:</w:t>
      </w:r>
    </w:p>
    <w:p w14:paraId="341BF6C7" w14:textId="4A36F302" w:rsidR="00F65092" w:rsidRPr="003D1574" w:rsidRDefault="00F65092" w:rsidP="0065698B">
      <w:pPr>
        <w:pStyle w:val="A1-text"/>
        <w:numPr>
          <w:ilvl w:val="0"/>
          <w:numId w:val="24"/>
        </w:numPr>
        <w:spacing w:after="0"/>
        <w:rPr>
          <w:rFonts w:ascii="Calibri" w:hAnsi="Calibri"/>
          <w:lang w:val="cs-CZ"/>
        </w:rPr>
      </w:pPr>
      <w:r w:rsidRPr="003D1574">
        <w:rPr>
          <w:rFonts w:ascii="Calibri" w:hAnsi="Calibri"/>
          <w:lang w:val="cs-CZ"/>
        </w:rPr>
        <w:t xml:space="preserve">zveřejnění postupu a harmonogramu tvorby rozpočtu, </w:t>
      </w:r>
    </w:p>
    <w:p w14:paraId="2FD6FD9F" w14:textId="282FAB79" w:rsidR="00F65092" w:rsidRPr="003D1574" w:rsidRDefault="00F65092" w:rsidP="0065698B">
      <w:pPr>
        <w:pStyle w:val="A1-text"/>
        <w:numPr>
          <w:ilvl w:val="0"/>
          <w:numId w:val="24"/>
        </w:numPr>
        <w:spacing w:after="0"/>
        <w:rPr>
          <w:rFonts w:ascii="Calibri" w:hAnsi="Calibri"/>
          <w:lang w:val="cs-CZ"/>
        </w:rPr>
      </w:pPr>
      <w:r w:rsidRPr="003D1574">
        <w:rPr>
          <w:rFonts w:ascii="Calibri" w:hAnsi="Calibri"/>
          <w:lang w:val="cs-CZ"/>
        </w:rPr>
        <w:t xml:space="preserve">definování a zveřejnění postupu sběru a hodnocení podnětů od veřejnosti. </w:t>
      </w:r>
    </w:p>
    <w:p w14:paraId="65CC819E" w14:textId="374CAA5B" w:rsidR="00F65092" w:rsidRDefault="00F65092" w:rsidP="00777A28">
      <w:pPr>
        <w:pStyle w:val="A1-text"/>
        <w:spacing w:after="0"/>
        <w:rPr>
          <w:rFonts w:ascii="Calibri" w:hAnsi="Calibri"/>
          <w:lang w:val="cs-CZ"/>
        </w:rPr>
      </w:pPr>
      <w:r w:rsidRPr="003D1574">
        <w:rPr>
          <w:rFonts w:ascii="Calibri" w:hAnsi="Calibri"/>
          <w:lang w:val="cs-CZ"/>
        </w:rPr>
        <w:t>Běžně se stává, že aktivita, činnost či akce, která vyžaduje výdaje z rozpočtu obce je navržena v nevhodnou dobu – a přesto, že by s ní jinak byl vysloven souhlas a byla by financována, není to v nevhodnou dobu možné (například určené výdaje jsou v dané položce již vyčerpány).</w:t>
      </w:r>
    </w:p>
    <w:p w14:paraId="13304006" w14:textId="77777777" w:rsidR="00777A28" w:rsidRPr="003D1574" w:rsidRDefault="00777A28" w:rsidP="00777A28">
      <w:pPr>
        <w:pStyle w:val="A1-text"/>
        <w:spacing w:after="0"/>
        <w:rPr>
          <w:rFonts w:ascii="Calibri" w:hAnsi="Calibri"/>
          <w:lang w:val="cs-CZ"/>
        </w:rPr>
      </w:pPr>
    </w:p>
    <w:p w14:paraId="719587D3" w14:textId="1F9F244E" w:rsidR="00F65092" w:rsidRPr="00A705DD" w:rsidRDefault="00F65092" w:rsidP="00A705DD">
      <w:pPr>
        <w:pStyle w:val="A1-text"/>
        <w:spacing w:after="0"/>
        <w:rPr>
          <w:rFonts w:ascii="Calibri" w:hAnsi="Calibri"/>
          <w:b/>
          <w:lang w:val="cs-CZ"/>
        </w:rPr>
      </w:pPr>
      <w:r w:rsidRPr="00A705DD">
        <w:rPr>
          <w:rFonts w:ascii="Calibri" w:hAnsi="Calibri"/>
          <w:b/>
          <w:lang w:val="cs-CZ"/>
        </w:rPr>
        <w:t>Rozpoč</w:t>
      </w:r>
      <w:r w:rsidR="00FF59D8">
        <w:rPr>
          <w:rFonts w:ascii="Calibri" w:hAnsi="Calibri"/>
          <w:b/>
          <w:lang w:val="cs-CZ"/>
        </w:rPr>
        <w:t xml:space="preserve">tový proces </w:t>
      </w:r>
      <w:r w:rsidR="00CD4AAE">
        <w:rPr>
          <w:rFonts w:ascii="Calibri" w:hAnsi="Calibri"/>
          <w:b/>
          <w:lang w:val="cs-CZ"/>
        </w:rPr>
        <w:t xml:space="preserve">obce nebo kraje má stejně jako u státního rozpočtu </w:t>
      </w:r>
      <w:r w:rsidR="00FF59D8">
        <w:rPr>
          <w:rFonts w:ascii="Calibri" w:hAnsi="Calibri"/>
          <w:b/>
          <w:lang w:val="cs-CZ"/>
        </w:rPr>
        <w:t>čtyři fáze:</w:t>
      </w:r>
    </w:p>
    <w:p w14:paraId="1088AC68" w14:textId="59A5B9EB" w:rsidR="00F65092" w:rsidRPr="003D1574" w:rsidRDefault="00F65092" w:rsidP="0065698B">
      <w:pPr>
        <w:pStyle w:val="A1-text"/>
        <w:numPr>
          <w:ilvl w:val="0"/>
          <w:numId w:val="44"/>
        </w:numPr>
        <w:spacing w:after="0"/>
        <w:rPr>
          <w:rFonts w:ascii="Calibri" w:hAnsi="Calibri"/>
          <w:lang w:val="cs-CZ"/>
        </w:rPr>
      </w:pPr>
      <w:r w:rsidRPr="003D1574">
        <w:rPr>
          <w:rFonts w:ascii="Calibri" w:hAnsi="Calibri"/>
          <w:b/>
          <w:lang w:val="cs-CZ"/>
        </w:rPr>
        <w:t>příprava</w:t>
      </w:r>
      <w:r w:rsidRPr="003D1574">
        <w:rPr>
          <w:rFonts w:ascii="Calibri" w:hAnsi="Calibri"/>
          <w:lang w:val="cs-CZ"/>
        </w:rPr>
        <w:t xml:space="preserve"> rozpočtu (jde tedy o </w:t>
      </w:r>
      <w:r w:rsidRPr="003D1574">
        <w:rPr>
          <w:rFonts w:ascii="Calibri" w:hAnsi="Calibri"/>
          <w:b/>
          <w:lang w:val="cs-CZ"/>
        </w:rPr>
        <w:t>plán rozpočtu</w:t>
      </w:r>
      <w:r w:rsidRPr="003D1574">
        <w:rPr>
          <w:rFonts w:ascii="Calibri" w:hAnsi="Calibri"/>
          <w:lang w:val="cs-CZ"/>
        </w:rPr>
        <w:t xml:space="preserve">; je třeba provádět potřebné finanční analýzy, zajistit propojení se strategickým řízením a zapojení veřejnosti); </w:t>
      </w:r>
    </w:p>
    <w:p w14:paraId="664AC3E8" w14:textId="2297DF80" w:rsidR="00F65092" w:rsidRPr="003D1574" w:rsidRDefault="00F65092" w:rsidP="0065698B">
      <w:pPr>
        <w:pStyle w:val="A1-text"/>
        <w:numPr>
          <w:ilvl w:val="0"/>
          <w:numId w:val="44"/>
        </w:numPr>
        <w:spacing w:after="0"/>
        <w:rPr>
          <w:rFonts w:ascii="Calibri" w:hAnsi="Calibri"/>
          <w:lang w:val="cs-CZ"/>
        </w:rPr>
      </w:pPr>
      <w:r w:rsidRPr="003D1574">
        <w:rPr>
          <w:rFonts w:ascii="Calibri" w:hAnsi="Calibri"/>
          <w:b/>
          <w:lang w:val="cs-CZ"/>
        </w:rPr>
        <w:t>projednání a schvalování</w:t>
      </w:r>
      <w:r w:rsidRPr="003D1574">
        <w:rPr>
          <w:rFonts w:ascii="Calibri" w:hAnsi="Calibri"/>
          <w:lang w:val="cs-CZ"/>
        </w:rPr>
        <w:t xml:space="preserve"> rozpočtu (v rámci této fáze se z plánovaného rozpočtu stane schválený; v případě neschválení to vede k rozpočtovému provizóriu); </w:t>
      </w:r>
    </w:p>
    <w:p w14:paraId="5D4A88FA" w14:textId="3765E846" w:rsidR="00F65092" w:rsidRPr="003D1574" w:rsidRDefault="00F65092" w:rsidP="0065698B">
      <w:pPr>
        <w:pStyle w:val="A1-text"/>
        <w:numPr>
          <w:ilvl w:val="0"/>
          <w:numId w:val="44"/>
        </w:numPr>
        <w:spacing w:after="0"/>
        <w:rPr>
          <w:rFonts w:ascii="Calibri" w:hAnsi="Calibri"/>
          <w:lang w:val="cs-CZ"/>
        </w:rPr>
      </w:pPr>
      <w:r w:rsidRPr="003D1574">
        <w:rPr>
          <w:rFonts w:ascii="Calibri" w:hAnsi="Calibri"/>
          <w:b/>
          <w:lang w:val="cs-CZ"/>
        </w:rPr>
        <w:t xml:space="preserve">plnění </w:t>
      </w:r>
      <w:r w:rsidRPr="003D1574">
        <w:rPr>
          <w:rFonts w:ascii="Calibri" w:hAnsi="Calibri"/>
          <w:lang w:val="cs-CZ"/>
        </w:rPr>
        <w:t xml:space="preserve">rozpočtu (= </w:t>
      </w:r>
      <w:r w:rsidRPr="003D1574">
        <w:rPr>
          <w:rFonts w:ascii="Calibri" w:hAnsi="Calibri"/>
          <w:b/>
          <w:lang w:val="cs-CZ"/>
        </w:rPr>
        <w:t>hospodaření</w:t>
      </w:r>
      <w:r w:rsidRPr="003D1574">
        <w:rPr>
          <w:rFonts w:ascii="Calibri" w:hAnsi="Calibri"/>
          <w:lang w:val="cs-CZ"/>
        </w:rPr>
        <w:t xml:space="preserve"> podle schváleného plánu rozpočtu) a případné změny rozpočtu (při hospodaření je možné porovnávat skutečné čerpání jednotlivých položek rozpočtu se schváleným plánem); </w:t>
      </w:r>
    </w:p>
    <w:p w14:paraId="0F75B5AA" w14:textId="5B8C96CD" w:rsidR="00F65092" w:rsidRPr="003D1574" w:rsidRDefault="00A705DD" w:rsidP="0065698B">
      <w:pPr>
        <w:pStyle w:val="A1-text"/>
        <w:numPr>
          <w:ilvl w:val="0"/>
          <w:numId w:val="44"/>
        </w:numPr>
        <w:spacing w:after="0"/>
        <w:ind w:left="714" w:hanging="357"/>
        <w:rPr>
          <w:rFonts w:ascii="Calibri" w:hAnsi="Calibri"/>
          <w:lang w:val="cs-CZ"/>
        </w:rPr>
      </w:pPr>
      <w:r>
        <w:rPr>
          <w:rFonts w:ascii="Calibri" w:hAnsi="Calibri"/>
          <w:lang w:val="cs-CZ"/>
        </w:rPr>
        <w:t xml:space="preserve">zpracování a </w:t>
      </w:r>
      <w:r w:rsidR="00F65092" w:rsidRPr="003D1574">
        <w:rPr>
          <w:rFonts w:ascii="Calibri" w:hAnsi="Calibri"/>
          <w:b/>
          <w:lang w:val="cs-CZ"/>
        </w:rPr>
        <w:t>schválení závěrečného účtu</w:t>
      </w:r>
      <w:r w:rsidR="00F65092" w:rsidRPr="003D1574">
        <w:rPr>
          <w:rFonts w:ascii="Calibri" w:hAnsi="Calibri"/>
          <w:lang w:val="cs-CZ"/>
        </w:rPr>
        <w:t>.</w:t>
      </w:r>
    </w:p>
    <w:p w14:paraId="31C7023E" w14:textId="77777777" w:rsidR="00F65092" w:rsidRPr="003D1574" w:rsidRDefault="00F65092" w:rsidP="00F65092">
      <w:pPr>
        <w:pStyle w:val="A1-text"/>
        <w:spacing w:after="0"/>
        <w:rPr>
          <w:rFonts w:ascii="Calibri" w:hAnsi="Calibri"/>
          <w:lang w:val="cs-CZ"/>
        </w:rPr>
      </w:pPr>
      <w:r w:rsidRPr="003D1574">
        <w:rPr>
          <w:rFonts w:ascii="Calibri" w:hAnsi="Calibri"/>
          <w:lang w:val="cs-CZ"/>
        </w:rPr>
        <w:t xml:space="preserve">Rozpočtový proces obce či kraje je zobrazen pomocí následujícího obrázku. </w:t>
      </w:r>
    </w:p>
    <w:p w14:paraId="3AADC2F0" w14:textId="098C932B" w:rsidR="00F65092" w:rsidRPr="000828C6" w:rsidRDefault="00A705DD" w:rsidP="00F65092">
      <w:pPr>
        <w:pStyle w:val="A1-text"/>
        <w:spacing w:after="120"/>
        <w:rPr>
          <w:rFonts w:ascii="Calibri" w:hAnsi="Calibri"/>
          <w:i/>
          <w:iCs/>
          <w:lang w:val="cs-CZ"/>
        </w:rPr>
      </w:pPr>
      <w:r w:rsidRPr="000828C6">
        <w:rPr>
          <w:rFonts w:asciiTheme="minorHAnsi" w:eastAsia="Calibri" w:hAnsiTheme="minorHAnsi" w:cstheme="minorHAnsi"/>
          <w:i/>
          <w:iCs/>
          <w:noProof/>
          <w:lang w:val="cs-CZ" w:eastAsia="cs-CZ"/>
        </w:rPr>
        <mc:AlternateContent>
          <mc:Choice Requires="wpg">
            <w:drawing>
              <wp:anchor distT="0" distB="0" distL="114300" distR="114300" simplePos="0" relativeHeight="251533824" behindDoc="0" locked="0" layoutInCell="1" allowOverlap="1" wp14:anchorId="3432DF53" wp14:editId="5A5097E4">
                <wp:simplePos x="0" y="0"/>
                <wp:positionH relativeFrom="column">
                  <wp:posOffset>-38100</wp:posOffset>
                </wp:positionH>
                <wp:positionV relativeFrom="paragraph">
                  <wp:posOffset>221615</wp:posOffset>
                </wp:positionV>
                <wp:extent cx="5749925" cy="3022600"/>
                <wp:effectExtent l="0" t="0" r="41275" b="25400"/>
                <wp:wrapNone/>
                <wp:docPr id="23925" name="Group 3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925" cy="3022600"/>
                          <a:chOff x="1343" y="5493"/>
                          <a:chExt cx="9055" cy="4276"/>
                        </a:xfrm>
                      </wpg:grpSpPr>
                      <wps:wsp>
                        <wps:cNvPr id="23926" name="Text Box 3763"/>
                        <wps:cNvSpPr txBox="1">
                          <a:spLocks noChangeArrowheads="1"/>
                        </wps:cNvSpPr>
                        <wps:spPr bwMode="auto">
                          <a:xfrm>
                            <a:off x="8466" y="5526"/>
                            <a:ext cx="1607"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5238" w14:textId="77777777" w:rsidR="00511D9B" w:rsidRPr="00A705DD" w:rsidRDefault="00511D9B" w:rsidP="00F65092">
                              <w:pPr>
                                <w:pStyle w:val="A1-text"/>
                                <w:spacing w:line="204" w:lineRule="auto"/>
                                <w:rPr>
                                  <w:rFonts w:asciiTheme="minorHAnsi" w:hAnsiTheme="minorHAnsi" w:cstheme="minorHAnsi"/>
                                </w:rPr>
                              </w:pPr>
                              <w:r w:rsidRPr="00A705DD">
                                <w:rPr>
                                  <w:rFonts w:asciiTheme="minorHAnsi" w:hAnsiTheme="minorHAnsi" w:cstheme="minorHAnsi"/>
                                </w:rPr>
                                <w:t>Rozpočtový proces</w:t>
                              </w:r>
                              <w:bookmarkStart w:id="17" w:name="_Toc431063876"/>
                              <w:bookmarkStart w:id="18" w:name="_Toc461792611"/>
                              <w:bookmarkStart w:id="19" w:name="_Toc461792692"/>
                              <w:bookmarkEnd w:id="17"/>
                              <w:bookmarkEnd w:id="18"/>
                              <w:bookmarkEnd w:id="19"/>
                            </w:p>
                          </w:txbxContent>
                        </wps:txbx>
                        <wps:bodyPr rot="0" vert="horz" wrap="square" lIns="36000" tIns="46800" rIns="54000" bIns="0" anchor="t" anchorCtr="0" upright="1">
                          <a:noAutofit/>
                        </wps:bodyPr>
                      </wps:wsp>
                      <wps:wsp>
                        <wps:cNvPr id="23927" name="Text Box 3764"/>
                        <wps:cNvSpPr txBox="1">
                          <a:spLocks noChangeArrowheads="1"/>
                        </wps:cNvSpPr>
                        <wps:spPr bwMode="auto">
                          <a:xfrm>
                            <a:off x="1343" y="6774"/>
                            <a:ext cx="2827" cy="1540"/>
                          </a:xfrm>
                          <a:prstGeom prst="rect">
                            <a:avLst/>
                          </a:prstGeom>
                          <a:solidFill>
                            <a:srgbClr val="FFFFFF"/>
                          </a:solidFill>
                          <a:ln w="9525">
                            <a:solidFill>
                              <a:srgbClr val="000000"/>
                            </a:solidFill>
                            <a:miter lim="800000"/>
                            <a:headEnd/>
                            <a:tailEnd/>
                          </a:ln>
                        </wps:spPr>
                        <wps:txbx>
                          <w:txbxContent>
                            <w:p w14:paraId="2EA4BB32" w14:textId="77777777" w:rsidR="00511D9B" w:rsidRDefault="00511D9B" w:rsidP="00F65092">
                              <w:pPr>
                                <w:spacing w:line="204" w:lineRule="auto"/>
                                <w:jc w:val="center"/>
                                <w:rPr>
                                  <w:rFonts w:asciiTheme="minorHAnsi" w:hAnsiTheme="minorHAnsi" w:cstheme="minorHAnsi"/>
                                  <w:b/>
                                </w:rPr>
                              </w:pPr>
                            </w:p>
                            <w:p w14:paraId="75E4E7F5" w14:textId="29BC0F53" w:rsidR="00511D9B" w:rsidRDefault="00511D9B" w:rsidP="00F65092">
                              <w:pPr>
                                <w:spacing w:line="204" w:lineRule="auto"/>
                                <w:jc w:val="center"/>
                                <w:rPr>
                                  <w:rFonts w:asciiTheme="minorHAnsi" w:hAnsiTheme="minorHAnsi" w:cstheme="minorHAnsi"/>
                                  <w:b/>
                                  <w:sz w:val="22"/>
                                  <w:u w:val="single"/>
                                </w:rPr>
                              </w:pPr>
                              <w:r w:rsidRPr="00A705DD">
                                <w:rPr>
                                  <w:rFonts w:asciiTheme="minorHAnsi" w:hAnsiTheme="minorHAnsi" w:cstheme="minorHAnsi"/>
                                  <w:b/>
                                </w:rPr>
                                <w:sym w:font="Wingdings" w:char="F084"/>
                              </w:r>
                              <w:r w:rsidRPr="00A705DD">
                                <w:rPr>
                                  <w:rFonts w:asciiTheme="minorHAnsi" w:hAnsiTheme="minorHAnsi" w:cstheme="minorHAnsi"/>
                                  <w:b/>
                                  <w:sz w:val="22"/>
                                  <w:u w:val="single"/>
                                </w:rPr>
                                <w:t xml:space="preserve">Účetní závěrka, </w:t>
                              </w:r>
                            </w:p>
                            <w:p w14:paraId="7D402BF5" w14:textId="7A7BAE91" w:rsidR="00511D9B" w:rsidRPr="00A705DD" w:rsidRDefault="00511D9B" w:rsidP="00F65092">
                              <w:pPr>
                                <w:spacing w:line="204" w:lineRule="auto"/>
                                <w:jc w:val="center"/>
                                <w:rPr>
                                  <w:rFonts w:asciiTheme="minorHAnsi" w:hAnsiTheme="minorHAnsi" w:cstheme="minorHAnsi"/>
                                  <w:b/>
                                  <w:sz w:val="22"/>
                                  <w:u w:val="single"/>
                                </w:rPr>
                              </w:pPr>
                              <w:r w:rsidRPr="00A705DD">
                                <w:rPr>
                                  <w:rFonts w:asciiTheme="minorHAnsi" w:hAnsiTheme="minorHAnsi" w:cstheme="minorHAnsi"/>
                                  <w:b/>
                                  <w:sz w:val="22"/>
                                  <w:u w:val="single"/>
                                </w:rPr>
                                <w:t xml:space="preserve">schválení závěrečného účtu </w:t>
                              </w:r>
                            </w:p>
                            <w:p w14:paraId="21E3571C" w14:textId="77777777" w:rsidR="00511D9B" w:rsidRPr="00A705DD" w:rsidRDefault="00511D9B" w:rsidP="00F65092">
                              <w:pPr>
                                <w:spacing w:line="204" w:lineRule="auto"/>
                                <w:jc w:val="center"/>
                                <w:rPr>
                                  <w:rFonts w:asciiTheme="minorHAnsi" w:hAnsiTheme="minorHAnsi" w:cstheme="minorHAnsi"/>
                                  <w:sz w:val="22"/>
                                </w:rPr>
                              </w:pPr>
                              <w:r w:rsidRPr="00A705DD">
                                <w:rPr>
                                  <w:rFonts w:asciiTheme="minorHAnsi" w:hAnsiTheme="minorHAnsi" w:cstheme="minorHAnsi"/>
                                  <w:sz w:val="20"/>
                                  <w:szCs w:val="20"/>
                                </w:rPr>
                                <w:t>Probíhá: po ukončení rozpočtového období</w:t>
                              </w:r>
                              <w:r w:rsidRPr="00A705DD">
                                <w:rPr>
                                  <w:rFonts w:asciiTheme="minorHAnsi" w:hAnsiTheme="minorHAnsi" w:cstheme="minorHAnsi"/>
                                  <w:sz w:val="22"/>
                                </w:rPr>
                                <w:t xml:space="preserve"> </w:t>
                              </w:r>
                            </w:p>
                            <w:p w14:paraId="29917F73" w14:textId="77777777" w:rsidR="00511D9B" w:rsidRPr="00A705DD" w:rsidRDefault="00511D9B" w:rsidP="00F65092">
                              <w:pPr>
                                <w:spacing w:line="204" w:lineRule="auto"/>
                                <w:rPr>
                                  <w:rFonts w:asciiTheme="minorHAnsi" w:hAnsiTheme="minorHAnsi" w:cstheme="minorHAnsi"/>
                                  <w:sz w:val="22"/>
                                </w:rPr>
                              </w:pPr>
                            </w:p>
                          </w:txbxContent>
                        </wps:txbx>
                        <wps:bodyPr rot="0" vert="horz" wrap="square" lIns="18000" tIns="10800" rIns="18000" bIns="10800" anchor="t" anchorCtr="0" upright="1">
                          <a:noAutofit/>
                        </wps:bodyPr>
                      </wps:wsp>
                      <wps:wsp>
                        <wps:cNvPr id="23928" name="Text Box 3765"/>
                        <wps:cNvSpPr txBox="1">
                          <a:spLocks noChangeArrowheads="1"/>
                        </wps:cNvSpPr>
                        <wps:spPr bwMode="auto">
                          <a:xfrm>
                            <a:off x="4424" y="5493"/>
                            <a:ext cx="2903" cy="1204"/>
                          </a:xfrm>
                          <a:prstGeom prst="rect">
                            <a:avLst/>
                          </a:prstGeom>
                          <a:solidFill>
                            <a:srgbClr val="FFFFFF"/>
                          </a:solidFill>
                          <a:ln w="9525">
                            <a:solidFill>
                              <a:srgbClr val="000000"/>
                            </a:solidFill>
                            <a:miter lim="800000"/>
                            <a:headEnd/>
                            <a:tailEnd/>
                          </a:ln>
                        </wps:spPr>
                        <wps:txbx>
                          <w:txbxContent>
                            <w:p w14:paraId="4DD3340C" w14:textId="77777777" w:rsidR="00511D9B" w:rsidRPr="00A705DD" w:rsidRDefault="00511D9B" w:rsidP="00F65092">
                              <w:pPr>
                                <w:spacing w:line="204" w:lineRule="auto"/>
                                <w:jc w:val="center"/>
                                <w:rPr>
                                  <w:rFonts w:asciiTheme="minorHAnsi" w:hAnsiTheme="minorHAnsi" w:cstheme="minorHAnsi"/>
                                  <w:b/>
                                  <w:sz w:val="22"/>
                                  <w:szCs w:val="22"/>
                                  <w:u w:val="single"/>
                                </w:rPr>
                              </w:pPr>
                              <w:r w:rsidRPr="00A705DD">
                                <w:rPr>
                                  <w:rFonts w:asciiTheme="minorHAnsi" w:hAnsiTheme="minorHAnsi" w:cstheme="minorHAnsi"/>
                                  <w:b/>
                                </w:rPr>
                                <w:sym w:font="Wingdings" w:char="F081"/>
                              </w:r>
                              <w:r w:rsidRPr="00A705DD">
                                <w:rPr>
                                  <w:rFonts w:asciiTheme="minorHAnsi" w:hAnsiTheme="minorHAnsi" w:cstheme="minorHAnsi"/>
                                  <w:b/>
                                  <w:sz w:val="22"/>
                                  <w:szCs w:val="22"/>
                                  <w:u w:val="single"/>
                                </w:rPr>
                                <w:t>Příprava</w:t>
                              </w:r>
                            </w:p>
                            <w:p w14:paraId="3A807EF6" w14:textId="77777777" w:rsidR="00511D9B" w:rsidRPr="00A705DD" w:rsidRDefault="00511D9B" w:rsidP="00F65092">
                              <w:pPr>
                                <w:spacing w:line="204" w:lineRule="auto"/>
                                <w:jc w:val="center"/>
                                <w:rPr>
                                  <w:rFonts w:asciiTheme="minorHAnsi" w:hAnsiTheme="minorHAnsi" w:cstheme="minorHAnsi"/>
                                  <w:sz w:val="20"/>
                                  <w:szCs w:val="22"/>
                                </w:rPr>
                              </w:pPr>
                              <w:r w:rsidRPr="00A705DD">
                                <w:rPr>
                                  <w:rFonts w:asciiTheme="minorHAnsi" w:hAnsiTheme="minorHAnsi" w:cstheme="minorHAnsi"/>
                                  <w:sz w:val="20"/>
                                  <w:szCs w:val="22"/>
                                </w:rPr>
                                <w:t xml:space="preserve">(analýzy a sestavování rozpočtu, možnost participace veřejnosti) </w:t>
                              </w:r>
                            </w:p>
                            <w:p w14:paraId="6E936B98" w14:textId="77777777" w:rsidR="00511D9B" w:rsidRPr="00A705DD" w:rsidRDefault="00511D9B" w:rsidP="00F65092">
                              <w:pPr>
                                <w:spacing w:line="204" w:lineRule="auto"/>
                                <w:jc w:val="center"/>
                                <w:rPr>
                                  <w:rFonts w:asciiTheme="minorHAnsi" w:hAnsiTheme="minorHAnsi" w:cstheme="minorHAnsi"/>
                                  <w:sz w:val="20"/>
                                  <w:szCs w:val="22"/>
                                </w:rPr>
                              </w:pPr>
                              <w:r w:rsidRPr="00A705DD">
                                <w:rPr>
                                  <w:rFonts w:asciiTheme="minorHAnsi" w:hAnsiTheme="minorHAnsi" w:cstheme="minorHAnsi"/>
                                  <w:sz w:val="20"/>
                                  <w:szCs w:val="22"/>
                                </w:rPr>
                                <w:t>Probíhá: cca 6. až 1. měsíc před zahájením rozpočtového období</w:t>
                              </w:r>
                            </w:p>
                          </w:txbxContent>
                        </wps:txbx>
                        <wps:bodyPr rot="0" vert="horz" wrap="square" lIns="18000" tIns="10800" rIns="18000" bIns="10800" anchor="t" anchorCtr="0" upright="1">
                          <a:noAutofit/>
                        </wps:bodyPr>
                      </wps:wsp>
                      <wps:wsp>
                        <wps:cNvPr id="23929" name="Text Box 3766"/>
                        <wps:cNvSpPr txBox="1">
                          <a:spLocks noChangeArrowheads="1"/>
                        </wps:cNvSpPr>
                        <wps:spPr bwMode="auto">
                          <a:xfrm>
                            <a:off x="4436" y="8426"/>
                            <a:ext cx="2871" cy="1259"/>
                          </a:xfrm>
                          <a:prstGeom prst="rect">
                            <a:avLst/>
                          </a:prstGeom>
                          <a:solidFill>
                            <a:srgbClr val="FFFFFF"/>
                          </a:solidFill>
                          <a:ln w="9525">
                            <a:solidFill>
                              <a:srgbClr val="000000"/>
                            </a:solidFill>
                            <a:miter lim="800000"/>
                            <a:headEnd/>
                            <a:tailEnd/>
                          </a:ln>
                        </wps:spPr>
                        <wps:txbx>
                          <w:txbxContent>
                            <w:p w14:paraId="2893AA52" w14:textId="77777777" w:rsidR="00511D9B" w:rsidRPr="00A705DD" w:rsidRDefault="00511D9B" w:rsidP="00EB6FAF">
                              <w:pPr>
                                <w:spacing w:line="197" w:lineRule="auto"/>
                                <w:jc w:val="center"/>
                                <w:rPr>
                                  <w:rFonts w:asciiTheme="minorHAnsi" w:hAnsiTheme="minorHAnsi" w:cstheme="minorHAnsi"/>
                                  <w:b/>
                                  <w:sz w:val="22"/>
                                  <w:u w:val="single"/>
                                </w:rPr>
                              </w:pPr>
                              <w:r w:rsidRPr="00A705DD">
                                <w:rPr>
                                  <w:rFonts w:asciiTheme="minorHAnsi" w:hAnsiTheme="minorHAnsi" w:cstheme="minorHAnsi"/>
                                  <w:b/>
                                </w:rPr>
                                <w:sym w:font="Wingdings" w:char="F083"/>
                              </w:r>
                              <w:r w:rsidRPr="00A705DD">
                                <w:rPr>
                                  <w:rFonts w:asciiTheme="minorHAnsi" w:hAnsiTheme="minorHAnsi" w:cstheme="minorHAnsi"/>
                                  <w:b/>
                                  <w:sz w:val="22"/>
                                  <w:u w:val="single"/>
                                </w:rPr>
                                <w:t>Plnění a změny</w:t>
                              </w:r>
                            </w:p>
                            <w:p w14:paraId="43F9C842" w14:textId="577188A1" w:rsidR="00511D9B" w:rsidRPr="00A705DD" w:rsidRDefault="00511D9B" w:rsidP="00EB6FAF">
                              <w:pPr>
                                <w:spacing w:line="197" w:lineRule="auto"/>
                                <w:jc w:val="center"/>
                                <w:rPr>
                                  <w:rFonts w:asciiTheme="minorHAnsi" w:hAnsiTheme="minorHAnsi" w:cstheme="minorHAnsi"/>
                                  <w:sz w:val="22"/>
                                </w:rPr>
                              </w:pPr>
                              <w:r w:rsidRPr="00A705DD">
                                <w:rPr>
                                  <w:rFonts w:asciiTheme="minorHAnsi" w:hAnsiTheme="minorHAnsi" w:cstheme="minorHAnsi"/>
                                  <w:sz w:val="22"/>
                                </w:rPr>
                                <w:t>(</w:t>
                              </w:r>
                              <w:r>
                                <w:rPr>
                                  <w:rFonts w:asciiTheme="minorHAnsi" w:hAnsiTheme="minorHAnsi" w:cstheme="minorHAnsi"/>
                                  <w:sz w:val="22"/>
                                </w:rPr>
                                <w:t>hospodaření</w:t>
                              </w:r>
                              <w:r w:rsidRPr="00A705DD">
                                <w:rPr>
                                  <w:rFonts w:asciiTheme="minorHAnsi" w:hAnsiTheme="minorHAnsi" w:cstheme="minorHAnsi"/>
                                  <w:sz w:val="22"/>
                                </w:rPr>
                                <w:t xml:space="preserve">, průběžná kontrola, případné změny a opatření) </w:t>
                              </w:r>
                            </w:p>
                            <w:p w14:paraId="608455DB" w14:textId="77777777" w:rsidR="00511D9B" w:rsidRPr="00A705DD" w:rsidRDefault="00511D9B" w:rsidP="00EB6FAF">
                              <w:pPr>
                                <w:spacing w:line="197" w:lineRule="auto"/>
                                <w:jc w:val="center"/>
                                <w:rPr>
                                  <w:rFonts w:asciiTheme="minorHAnsi" w:hAnsiTheme="minorHAnsi" w:cstheme="minorHAnsi"/>
                                  <w:sz w:val="22"/>
                                </w:rPr>
                              </w:pPr>
                              <w:r w:rsidRPr="00A705DD">
                                <w:rPr>
                                  <w:rFonts w:asciiTheme="minorHAnsi" w:hAnsiTheme="minorHAnsi" w:cstheme="minorHAnsi"/>
                                  <w:sz w:val="22"/>
                                </w:rPr>
                                <w:t>Probíhá: v rozpočtovém období</w:t>
                              </w:r>
                            </w:p>
                          </w:txbxContent>
                        </wps:txbx>
                        <wps:bodyPr rot="0" vert="horz" wrap="square" lIns="54000" tIns="10800" rIns="54000" bIns="10800" anchor="t" anchorCtr="0" upright="1">
                          <a:noAutofit/>
                        </wps:bodyPr>
                      </wps:wsp>
                      <wps:wsp>
                        <wps:cNvPr id="23930" name="Text Box 3767"/>
                        <wps:cNvSpPr txBox="1">
                          <a:spLocks noChangeArrowheads="1"/>
                        </wps:cNvSpPr>
                        <wps:spPr bwMode="auto">
                          <a:xfrm>
                            <a:off x="7593" y="6722"/>
                            <a:ext cx="2805" cy="1592"/>
                          </a:xfrm>
                          <a:prstGeom prst="rect">
                            <a:avLst/>
                          </a:prstGeom>
                          <a:solidFill>
                            <a:srgbClr val="FFFFFF"/>
                          </a:solidFill>
                          <a:ln w="9525">
                            <a:solidFill>
                              <a:srgbClr val="000000"/>
                            </a:solidFill>
                            <a:miter lim="800000"/>
                            <a:headEnd/>
                            <a:tailEnd/>
                          </a:ln>
                        </wps:spPr>
                        <wps:txbx>
                          <w:txbxContent>
                            <w:p w14:paraId="4FDE9025" w14:textId="3C301C69" w:rsidR="00511D9B" w:rsidRPr="00A705DD" w:rsidRDefault="00511D9B" w:rsidP="00F65092">
                              <w:pPr>
                                <w:spacing w:line="204" w:lineRule="auto"/>
                                <w:jc w:val="center"/>
                                <w:rPr>
                                  <w:rFonts w:asciiTheme="minorHAnsi" w:hAnsiTheme="minorHAnsi" w:cstheme="minorHAnsi"/>
                                  <w:b/>
                                  <w:sz w:val="22"/>
                                  <w:u w:val="single"/>
                                </w:rPr>
                              </w:pPr>
                              <w:r w:rsidRPr="00A705DD">
                                <w:rPr>
                                  <w:rFonts w:asciiTheme="minorHAnsi" w:hAnsiTheme="minorHAnsi" w:cstheme="minorHAnsi"/>
                                  <w:b/>
                                </w:rPr>
                                <w:sym w:font="Wingdings" w:char="F082"/>
                              </w:r>
                              <w:r w:rsidRPr="00A705DD">
                                <w:rPr>
                                  <w:rFonts w:asciiTheme="minorHAnsi" w:hAnsiTheme="minorHAnsi" w:cstheme="minorHAnsi"/>
                                  <w:b/>
                                  <w:sz w:val="22"/>
                                  <w:u w:val="single"/>
                                </w:rPr>
                                <w:t xml:space="preserve">Projednání a schvalování rozpočtu </w:t>
                              </w:r>
                            </w:p>
                            <w:p w14:paraId="284CB043" w14:textId="77777777" w:rsidR="00511D9B" w:rsidRPr="00A705DD" w:rsidRDefault="00511D9B" w:rsidP="00F65092">
                              <w:pPr>
                                <w:spacing w:line="204" w:lineRule="auto"/>
                                <w:jc w:val="center"/>
                                <w:rPr>
                                  <w:rFonts w:asciiTheme="minorHAnsi" w:hAnsiTheme="minorHAnsi" w:cstheme="minorHAnsi"/>
                                  <w:sz w:val="22"/>
                                </w:rPr>
                              </w:pPr>
                              <w:r w:rsidRPr="00A705DD">
                                <w:rPr>
                                  <w:rFonts w:asciiTheme="minorHAnsi" w:hAnsiTheme="minorHAnsi" w:cstheme="minorHAnsi"/>
                                  <w:sz w:val="22"/>
                                </w:rPr>
                                <w:t xml:space="preserve">(včetně rozpisu rozpočtu) </w:t>
                              </w:r>
                            </w:p>
                            <w:p w14:paraId="2112C57F" w14:textId="77777777" w:rsidR="00511D9B" w:rsidRPr="00A705DD" w:rsidRDefault="00511D9B" w:rsidP="00F65092">
                              <w:pPr>
                                <w:spacing w:line="204" w:lineRule="auto"/>
                                <w:jc w:val="center"/>
                                <w:rPr>
                                  <w:rFonts w:asciiTheme="minorHAnsi" w:hAnsiTheme="minorHAnsi" w:cstheme="minorHAnsi"/>
                                  <w:sz w:val="22"/>
                                </w:rPr>
                              </w:pPr>
                              <w:r w:rsidRPr="00A705DD">
                                <w:rPr>
                                  <w:rFonts w:asciiTheme="minorHAnsi" w:hAnsiTheme="minorHAnsi" w:cstheme="minorHAnsi"/>
                                  <w:sz w:val="20"/>
                                  <w:szCs w:val="20"/>
                                </w:rPr>
                                <w:t>Probíhá: obvykle měsíc před zahájením rozpočtového období, musí být zveřejněno 15 dní před schvalováním</w:t>
                              </w:r>
                            </w:p>
                          </w:txbxContent>
                        </wps:txbx>
                        <wps:bodyPr rot="0" vert="horz" wrap="square" lIns="18000" tIns="10800" rIns="18000" bIns="10800" anchor="t" anchorCtr="0" upright="1">
                          <a:noAutofit/>
                        </wps:bodyPr>
                      </wps:wsp>
                      <wps:wsp>
                        <wps:cNvPr id="23931" name="Text Box 3768"/>
                        <wps:cNvSpPr txBox="1">
                          <a:spLocks noChangeArrowheads="1"/>
                        </wps:cNvSpPr>
                        <wps:spPr bwMode="auto">
                          <a:xfrm>
                            <a:off x="4540" y="7028"/>
                            <a:ext cx="2670" cy="1034"/>
                          </a:xfrm>
                          <a:prstGeom prst="rect">
                            <a:avLst/>
                          </a:prstGeom>
                          <a:solidFill>
                            <a:srgbClr val="FFFFFF"/>
                          </a:solidFill>
                          <a:ln w="28575">
                            <a:solidFill>
                              <a:srgbClr val="000000"/>
                            </a:solidFill>
                            <a:miter lim="800000"/>
                            <a:headEnd/>
                            <a:tailEnd/>
                          </a:ln>
                        </wps:spPr>
                        <wps:txbx>
                          <w:txbxContent>
                            <w:p w14:paraId="682F53BB" w14:textId="77777777" w:rsidR="00511D9B" w:rsidRPr="00A705DD" w:rsidRDefault="00511D9B" w:rsidP="00EB6FAF">
                              <w:pPr>
                                <w:spacing w:line="197" w:lineRule="auto"/>
                                <w:jc w:val="center"/>
                                <w:rPr>
                                  <w:rFonts w:asciiTheme="minorHAnsi" w:hAnsiTheme="minorHAnsi" w:cstheme="minorHAnsi"/>
                                  <w:b/>
                                  <w:sz w:val="22"/>
                                </w:rPr>
                              </w:pPr>
                              <w:r w:rsidRPr="00A705DD">
                                <w:rPr>
                                  <w:rFonts w:asciiTheme="minorHAnsi" w:hAnsiTheme="minorHAnsi" w:cstheme="minorHAnsi"/>
                                  <w:b/>
                                  <w:sz w:val="22"/>
                                  <w:u w:val="single"/>
                                </w:rPr>
                                <w:t>Řízení rozpočtu</w:t>
                              </w:r>
                              <w:r w:rsidRPr="00A705DD">
                                <w:rPr>
                                  <w:rFonts w:asciiTheme="minorHAnsi" w:hAnsiTheme="minorHAnsi" w:cstheme="minorHAnsi"/>
                                  <w:b/>
                                  <w:sz w:val="22"/>
                                </w:rPr>
                                <w:t xml:space="preserve">: </w:t>
                              </w:r>
                            </w:p>
                            <w:p w14:paraId="7CB10571" w14:textId="77777777" w:rsidR="00511D9B" w:rsidRDefault="00511D9B" w:rsidP="00EB6FAF">
                              <w:pPr>
                                <w:spacing w:line="197" w:lineRule="auto"/>
                                <w:jc w:val="center"/>
                                <w:rPr>
                                  <w:rFonts w:asciiTheme="minorHAnsi" w:hAnsiTheme="minorHAnsi" w:cstheme="minorHAnsi"/>
                                  <w:sz w:val="22"/>
                                </w:rPr>
                              </w:pPr>
                              <w:r w:rsidRPr="00A705DD">
                                <w:rPr>
                                  <w:rFonts w:asciiTheme="minorHAnsi" w:hAnsiTheme="minorHAnsi" w:cstheme="minorHAnsi"/>
                                  <w:sz w:val="22"/>
                                </w:rPr>
                                <w:t xml:space="preserve">plánování, organizování, </w:t>
                              </w:r>
                              <w:r>
                                <w:rPr>
                                  <w:rFonts w:asciiTheme="minorHAnsi" w:hAnsiTheme="minorHAnsi" w:cstheme="minorHAnsi"/>
                                  <w:sz w:val="22"/>
                                </w:rPr>
                                <w:t xml:space="preserve">vedení (a motivování) a </w:t>
                              </w:r>
                              <w:r w:rsidRPr="00A705DD">
                                <w:rPr>
                                  <w:rFonts w:asciiTheme="minorHAnsi" w:hAnsiTheme="minorHAnsi" w:cstheme="minorHAnsi"/>
                                  <w:sz w:val="22"/>
                                </w:rPr>
                                <w:t>kontrola</w:t>
                              </w:r>
                              <w:r>
                                <w:rPr>
                                  <w:rFonts w:asciiTheme="minorHAnsi" w:hAnsiTheme="minorHAnsi" w:cstheme="minorHAnsi"/>
                                  <w:sz w:val="22"/>
                                </w:rPr>
                                <w:t xml:space="preserve">, </w:t>
                              </w:r>
                            </w:p>
                            <w:p w14:paraId="7AAC086B" w14:textId="00CE12B9" w:rsidR="00511D9B" w:rsidRPr="00A705DD" w:rsidRDefault="00511D9B" w:rsidP="00EB6FAF">
                              <w:pPr>
                                <w:spacing w:line="197" w:lineRule="auto"/>
                                <w:jc w:val="center"/>
                                <w:rPr>
                                  <w:rFonts w:asciiTheme="minorHAnsi" w:hAnsiTheme="minorHAnsi" w:cstheme="minorHAnsi"/>
                                  <w:sz w:val="22"/>
                                </w:rPr>
                              </w:pPr>
                              <w:r>
                                <w:rPr>
                                  <w:rFonts w:asciiTheme="minorHAnsi" w:hAnsiTheme="minorHAnsi" w:cstheme="minorHAnsi"/>
                                  <w:sz w:val="22"/>
                                </w:rPr>
                                <w:t>správné rozhodování</w:t>
                              </w:r>
                            </w:p>
                          </w:txbxContent>
                        </wps:txbx>
                        <wps:bodyPr rot="0" vert="horz" wrap="square" lIns="18000" tIns="10800" rIns="18000" bIns="10800" anchor="t" anchorCtr="0" upright="1">
                          <a:noAutofit/>
                        </wps:bodyPr>
                      </wps:wsp>
                      <wps:wsp>
                        <wps:cNvPr id="23932" name="AutoShape 3769"/>
                        <wps:cNvSpPr>
                          <a:spLocks noChangeArrowheads="1"/>
                        </wps:cNvSpPr>
                        <wps:spPr bwMode="auto">
                          <a:xfrm rot="5400000">
                            <a:off x="7305" y="5881"/>
                            <a:ext cx="874" cy="906"/>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933" name="AutoShape 3770"/>
                        <wps:cNvSpPr>
                          <a:spLocks noChangeArrowheads="1"/>
                        </wps:cNvSpPr>
                        <wps:spPr bwMode="auto">
                          <a:xfrm rot="27000000" flipH="1" flipV="1">
                            <a:off x="3572" y="8240"/>
                            <a:ext cx="874" cy="90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934" name="Line 3771"/>
                        <wps:cNvCnPr>
                          <a:cxnSpLocks noChangeShapeType="1"/>
                        </wps:cNvCnPr>
                        <wps:spPr bwMode="auto">
                          <a:xfrm flipV="1">
                            <a:off x="7877" y="5745"/>
                            <a:ext cx="631"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35" name="AutoShape 3772"/>
                        <wps:cNvSpPr>
                          <a:spLocks noChangeArrowheads="1"/>
                        </wps:cNvSpPr>
                        <wps:spPr bwMode="auto">
                          <a:xfrm rot="27000000" flipH="1" flipV="1">
                            <a:off x="6785" y="6376"/>
                            <a:ext cx="874" cy="90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noFill/>
                          <a:ln w="9525">
                            <a:solidFill>
                              <a:srgbClr val="000000"/>
                            </a:solidFill>
                            <a:prstDash val="dash"/>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wps:wsp>
                        <wps:cNvPr id="23648" name="AutoShape 3773"/>
                        <wps:cNvSpPr>
                          <a:spLocks noChangeArrowheads="1"/>
                        </wps:cNvSpPr>
                        <wps:spPr bwMode="auto">
                          <a:xfrm rot="10800000" flipH="1" flipV="1">
                            <a:off x="6861" y="7741"/>
                            <a:ext cx="874" cy="90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noFill/>
                          <a:ln w="9525">
                            <a:solidFill>
                              <a:srgbClr val="000000"/>
                            </a:solidFill>
                            <a:prstDash val="dash"/>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wps:wsp>
                        <wps:cNvPr id="23649" name="AutoShape 3774"/>
                        <wps:cNvCnPr>
                          <a:cxnSpLocks noChangeShapeType="1"/>
                        </wps:cNvCnPr>
                        <wps:spPr bwMode="auto">
                          <a:xfrm flipV="1">
                            <a:off x="5889" y="6543"/>
                            <a:ext cx="0" cy="454"/>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50" name="AutoShape 3775"/>
                        <wps:cNvCnPr>
                          <a:cxnSpLocks noChangeShapeType="1"/>
                        </wps:cNvCnPr>
                        <wps:spPr bwMode="auto">
                          <a:xfrm flipV="1">
                            <a:off x="5939" y="8056"/>
                            <a:ext cx="0" cy="454"/>
                          </a:xfrm>
                          <a:prstGeom prst="straightConnector1">
                            <a:avLst/>
                          </a:prstGeom>
                          <a:noFill/>
                          <a:ln w="381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651" name="AutoShape 3776"/>
                        <wps:cNvCnPr>
                          <a:cxnSpLocks noChangeShapeType="1"/>
                        </wps:cNvCnPr>
                        <wps:spPr bwMode="auto">
                          <a:xfrm rot="5400000" flipV="1">
                            <a:off x="7478" y="7315"/>
                            <a:ext cx="0" cy="454"/>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52" name="AutoShape 3777"/>
                        <wps:cNvCnPr>
                          <a:cxnSpLocks noChangeShapeType="1"/>
                        </wps:cNvCnPr>
                        <wps:spPr bwMode="auto">
                          <a:xfrm rot="5400000" flipV="1">
                            <a:off x="4285" y="7315"/>
                            <a:ext cx="0" cy="454"/>
                          </a:xfrm>
                          <a:prstGeom prst="straightConnector1">
                            <a:avLst/>
                          </a:prstGeom>
                          <a:noFill/>
                          <a:ln w="381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653" name="Text Box 3778"/>
                        <wps:cNvSpPr txBox="1">
                          <a:spLocks noChangeArrowheads="1"/>
                        </wps:cNvSpPr>
                        <wps:spPr bwMode="auto">
                          <a:xfrm>
                            <a:off x="7985" y="8580"/>
                            <a:ext cx="2413" cy="1189"/>
                          </a:xfrm>
                          <a:prstGeom prst="rect">
                            <a:avLst/>
                          </a:prstGeom>
                          <a:solidFill>
                            <a:srgbClr val="FFFFFF"/>
                          </a:solidFill>
                          <a:ln w="9525">
                            <a:solidFill>
                              <a:srgbClr val="000000"/>
                            </a:solidFill>
                            <a:prstDash val="dash"/>
                            <a:miter lim="800000"/>
                            <a:headEnd/>
                            <a:tailEnd/>
                          </a:ln>
                        </wps:spPr>
                        <wps:txbx>
                          <w:txbxContent>
                            <w:p w14:paraId="34CBE8C2" w14:textId="77777777" w:rsidR="00511D9B" w:rsidRPr="00A705DD" w:rsidRDefault="00511D9B" w:rsidP="00F65092">
                              <w:pPr>
                                <w:spacing w:line="204" w:lineRule="auto"/>
                                <w:jc w:val="center"/>
                                <w:rPr>
                                  <w:rFonts w:asciiTheme="minorHAnsi" w:hAnsiTheme="minorHAnsi" w:cstheme="minorHAnsi"/>
                                  <w:b/>
                                  <w:sz w:val="22"/>
                                </w:rPr>
                              </w:pPr>
                              <w:r w:rsidRPr="00A705DD">
                                <w:rPr>
                                  <w:rFonts w:asciiTheme="minorHAnsi" w:hAnsiTheme="minorHAnsi" w:cstheme="minorHAnsi"/>
                                  <w:b/>
                                  <w:sz w:val="22"/>
                                </w:rPr>
                                <w:t xml:space="preserve">Rozpočtové </w:t>
                              </w:r>
                            </w:p>
                            <w:p w14:paraId="0DAD25EF" w14:textId="77777777" w:rsidR="00511D9B" w:rsidRPr="00A705DD" w:rsidRDefault="00511D9B" w:rsidP="00F65092">
                              <w:pPr>
                                <w:spacing w:line="204" w:lineRule="auto"/>
                                <w:jc w:val="center"/>
                                <w:rPr>
                                  <w:rFonts w:asciiTheme="minorHAnsi" w:hAnsiTheme="minorHAnsi" w:cstheme="minorHAnsi"/>
                                  <w:b/>
                                  <w:sz w:val="20"/>
                                  <w:szCs w:val="22"/>
                                  <w:u w:val="single"/>
                                </w:rPr>
                              </w:pPr>
                              <w:r w:rsidRPr="00A705DD">
                                <w:rPr>
                                  <w:rFonts w:asciiTheme="minorHAnsi" w:hAnsiTheme="minorHAnsi" w:cstheme="minorHAnsi"/>
                                  <w:b/>
                                  <w:sz w:val="22"/>
                                </w:rPr>
                                <w:t>provizorium</w:t>
                              </w:r>
                            </w:p>
                            <w:p w14:paraId="4694F1EE" w14:textId="77777777" w:rsidR="00511D9B" w:rsidRPr="00A705DD" w:rsidRDefault="00511D9B" w:rsidP="00F65092">
                              <w:pPr>
                                <w:spacing w:line="204" w:lineRule="auto"/>
                                <w:jc w:val="center"/>
                                <w:rPr>
                                  <w:rFonts w:asciiTheme="minorHAnsi" w:hAnsiTheme="minorHAnsi" w:cstheme="minorHAnsi"/>
                                  <w:sz w:val="20"/>
                                  <w:szCs w:val="20"/>
                                </w:rPr>
                              </w:pPr>
                              <w:r w:rsidRPr="00A705DD">
                                <w:rPr>
                                  <w:rFonts w:asciiTheme="minorHAnsi" w:hAnsiTheme="minorHAnsi" w:cstheme="minorHAnsi"/>
                                  <w:sz w:val="20"/>
                                  <w:szCs w:val="20"/>
                                </w:rPr>
                                <w:t xml:space="preserve">Od 1.1 rozpočtového období (není-li rozpočet schválen); </w:t>
                              </w:r>
                            </w:p>
                            <w:p w14:paraId="5B120276" w14:textId="77777777" w:rsidR="00511D9B" w:rsidRPr="00A705DD" w:rsidRDefault="00511D9B" w:rsidP="00F65092">
                              <w:pPr>
                                <w:spacing w:line="204" w:lineRule="auto"/>
                                <w:jc w:val="center"/>
                                <w:rPr>
                                  <w:rFonts w:asciiTheme="minorHAnsi" w:hAnsiTheme="minorHAnsi" w:cstheme="minorHAnsi"/>
                                  <w:sz w:val="22"/>
                                  <w:szCs w:val="22"/>
                                </w:rPr>
                              </w:pPr>
                              <w:r w:rsidRPr="00A705DD">
                                <w:rPr>
                                  <w:rFonts w:asciiTheme="minorHAnsi" w:hAnsiTheme="minorHAnsi" w:cstheme="minorHAnsi"/>
                                  <w:sz w:val="20"/>
                                  <w:szCs w:val="20"/>
                                </w:rPr>
                                <w:t>do doby jeho schválení</w:t>
                              </w:r>
                            </w:p>
                          </w:txbxContent>
                        </wps:txbx>
                        <wps:bodyPr rot="0" vert="horz" wrap="square" lIns="18000" tIns="10800" rIns="18000" bIns="10800" anchor="t" anchorCtr="0" upright="1">
                          <a:noAutofit/>
                        </wps:bodyPr>
                      </wps:wsp>
                      <wps:wsp>
                        <wps:cNvPr id="23654" name="AutoShape 3779"/>
                        <wps:cNvSpPr>
                          <a:spLocks noChangeArrowheads="1"/>
                        </wps:cNvSpPr>
                        <wps:spPr bwMode="auto">
                          <a:xfrm rot="5400000">
                            <a:off x="9858" y="8195"/>
                            <a:ext cx="587" cy="493"/>
                          </a:xfrm>
                          <a:prstGeom prst="notchedRightArrow">
                            <a:avLst>
                              <a:gd name="adj1" fmla="val 39315"/>
                              <a:gd name="adj2" fmla="val 56187"/>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655" name="AutoShape 3780"/>
                        <wps:cNvSpPr>
                          <a:spLocks noChangeArrowheads="1"/>
                        </wps:cNvSpPr>
                        <wps:spPr bwMode="auto">
                          <a:xfrm rot="10800000">
                            <a:off x="7251" y="8388"/>
                            <a:ext cx="909" cy="874"/>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32DF53" id="Group 3762" o:spid="_x0000_s1199" style="position:absolute;left:0;text-align:left;margin-left:-3pt;margin-top:17.45pt;width:452.75pt;height:238pt;z-index:251533824;mso-position-horizontal-relative:text;mso-position-vertical-relative:text" coordorigin="1343,5493" coordsize="9055,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9s2woAAA9fAAAOAAAAZHJzL2Uyb0RvYy54bWzsXFtz27oRfu9M/wOHj+0o4v2iiXImsWOd&#10;zqTtmR6177REXVqJVEnack6n/73fLgiQlEVHdhI5dmHPSJSwAhaLxWKvePvT3XZj3KZFuc6zsWm/&#10;sUwjzWb5fJ0tx+bfp1eDyDTKKsnmySbP0rH5OS3Nn979/ndv97tR6uSrfDNPCwOdZOVovxubq6ra&#10;jYbDcrZKt0n5Jt+lGRoXebFNKnwslsN5kezR+3YzdCwrGO7zYr4r8llalvj2UjSa77j/xSKdVX9d&#10;LMq0MjZjE7hV/Frw6zW9Dt+9TUbLItmt1rMajeQJWGyTdYZBVVeXSZUYN8X6Xlfb9azIy3xRvZnl&#10;22G+WKxnKc8Bs7Gtg9lMivxmx3NZjvbLnSITSHtApyd3O/vL7S+FsZ6PTceNHd80smSLZeKRDTcM&#10;HKLQfrccAXBS7H7d/VKIaeLxUz77V4nm4WE7fV4KYON6/+d8jh6TmypnCt0tii11gbkbd7wQn9VC&#10;pHeVMcOXfujFjM0Mba7lOIFVL9VshfWk39mu55oGmn0vdsUyzlYf69/Hlo+p0I89JwyodZiMxMCM&#10;bI0czQxsVzaULb+Osr+ukl3KC1YSwVqUDSRlpzTHD/kdEZfxJhQAS5Q1qju0YG5MqFIQ2Mjyi1WS&#10;LdP3RZHvV2kyB5I2z6n1UzGVkjr5EsUjLwA2RDnfYdokI0l3O7BCQbcYD22yJaNdUVaTNN8a9DA2&#10;C2wtRjO5/VRWAlSC0PJm+dV6s8H3yWiTdb7AUohvMCp+Sm00Pu+W/8RW/DH6GHkDzwk+Djzr8nLw&#10;/urCGwRXduhfupcXF5f2f2lc2xut1vN5mtEwcufa3mnrV8sQsefU3i3zzXpO3RFKZbG8vtgUxm0C&#10;yXHFfzVBWmDDLhrMZpjLwZRsx7M+OPHgKojCgXfl+YM4tKKBZccf4sDyYu/yqjulT+ss/fopGfux&#10;GfvY0zyd3rlZ/Hd/bslou64gmzfr7diMFFAyIhb8mM15aatkvRHPLVIQ+g0psNxyobH3yhHxqODW&#10;6u76jkVP6NHw1Hidzz+DhYscHAZxjYMFD6u8+M009hDSY7P8901SpKax+VOGbeBCLpBU5w9eACxN&#10;o+APvsct1/wB3ybZDN2MzUo+XlTiFLjZFevlCqOITZfl7yGoFmvm6AYjFnIsKs4oM7AVhTRuywxF&#10;qrPKDCVtg1AsViMznMipZYYNon+d0GhtrRN3IMmSczM6i69eXvafyMs27THJy7bV4uW6RfBy3fIS&#10;+Rmq4H1+VuQ6Kz97nuMdaA90BpHu4cQWFAvSHWzH4t2mdIdHH4KvgZ9ZRWgk4cmy+fXzc3yMnxW5&#10;zszPrtDpIuhNJIDa8jm0JT/7sZbPrNc+gZ9rjULoGh353NE1Xq58dnH63JfPilxn5efQh1FHNkoQ&#10;OmyCtvnZqm0724+57f9bPkda3zhuc7sQe/f5WZHrrPzskWpM/BxaDmPQ4ucgRBPrG5b7bPqGE/nh&#10;2SzFhxVoPqOeIKBfvcLhOpKhyUZlXxN5kRS9ao5mc/9b+o6EysenHCwU6r723YUuiWLyJEURe6Qa&#10;ro5gJjJTxxbrIy0ZPbsRjiTqSDqP4Did176g5bzetRNsi8V2A3fsHweG7dtOYFiG9NgqIGxyBeTE&#10;tnMMBnRTMLZj+xGACFYoSs2AOHIU3IR6OgaEeQmgPwyNiWu4cDBGeLWEbkUTkfiDNg2kZ9jGvQGh&#10;s6kBHTjfMD8x00PMYGE3XQWMlwFfHS99e0iYWKrDSSipdtDbVBEWUxCE3Rs8/CGgIi4ALWN1HEhR&#10;90u9KfISIC9DT49tEruOGxo96LUJLMjX06GiM0YWgD09tulM9O2bs6IzTQVb0AsdCwuCPyPwfeji&#10;rIIrVpjCVFDr50dxBI/gQ+B2e4VOge8u1AOIgOkbTOCYdHqJa7eXa2L3UcJuL9Yk6lsqu71W2Fut&#10;hYJoUJs/WQlncjKa3WW1QMAT3HeIeUwjFj67vKQAAHExRM9UuML5ByRRGui4A415EzS73DEiwLrQ&#10;IDl9ITvHrAicvRNHwYW7UIIL42sqfebcu/hZPQlyl1MMakoLAG/jlMgLD+SU6IdI1BQEYp7ZJRXR&#10;gHHBI/m2xNY0VvKJ2rb5bTrNGaoiatQwwFmKBQzfAG2yNjDveZ6g9NfJdvm+404bOCkI0akEke81&#10;KLESd3kEdHZzvZ59SH9r4+D7gaCxhAfteVCxrKHl19Ky/S1LDaIT0bbTaRcb0YegiYCW7fJd9Bp4&#10;dEyBaI8AbeMge+victC3jWBUfWyJlth2IQ8waux4taQQDbwfOy1fmGezQLKr/gWiA5T7PjqBTV6m&#10;glLEgExgxYmMRHNm9zu1Liz6r9enA/ZjOGkfGV2IbY+09jq64EPEy+hC3SI8sp5oeYEeWRcySFhI&#10;bYUS5gg4gRTw76tQOiGdl+TzXmzWu58pAsNP/5CxmFrLdEFfZlw6NYWQlL7alpYpRa8ML2stU+mh&#10;SvuBHs2CTmuZSEiYQvIrnUxrmVrL1FomyWKtZSLuBxeB1jLJGjowA7SWCaK0c16OeTK1ltnNfYNT&#10;u9YyOa/JDRGPbBTMi0xkFMJkrjMKVcIbezinn3c4rDv5buInpKD257sd1STDKBQ2KvILa3NbapIB&#10;RQs4YfCev1JmtdWJbxtkN7GrQPouYR5JELLHO4lvX52aggzQOtWqL+2KWZAdr7XbgKb0/Ml0igyt&#10;xDCRWwd6AUWZIMZIHyTTiB1E5igtMvIzz5d05cJPdcQkYl/Ej2MSBWEEPMnZA/+/NokEBZS3ddLx&#10;NWrHO5yejaXDyk3b/doKH2iTSDveteMdx7l2vCvlHyYhzhltEklX/zOaREql+iZJz6SzXiblSlQ4&#10;zPEkjtFHZv3/oOpnJ/rQqeXoC1I8WU89OSP2tccTAk9leHfiCYdlTmQlfdPiJrECnHl5QjwhiALY&#10;ehBqKGXoz1rR8QSkNky08qyVZyRggRVOiQ9QKI8Ttk6E11kr9/NQdNaKzlpBHEbkYkilU74L5VNn&#10;rdTZTLNHZK1o5fnYzQOPLYTWyvPuO10REHiqnKyjPLfrfc8ZK0FKt0hSC3yvvl9BxkpwzHOkxP9C&#10;tUJZFQnVVl/kWYb0x7wQOZOnxk3cyIYgZGPhCcXrDwZOjIqjSlWxRmLpJkVx+djcpnOUlae4xYSe&#10;pPyl4TFvHVo5+dKSvjswAiRBHguttAuAz8rgcZ2FGVn+QQzlZTL4SUx9JHytGfzNo67P6Wdw2DNH&#10;YofMXHXs8HsxOF+YISt0jse+vRDeGfJ6uDLVXMtzooAOlT98CVU/uyMr9wi7twuGn4/dPRQ0vip2&#10;19KdROjzZYYEvkqWb13HA5napDKd7wqvMK65O/Kjg5R4x6PKIi4ntqHBCz1WJsXLPKUT7/DqD6L0&#10;XYj1w0WmDjKL1JVTgmwNS50cxLFf+TU9MPeOivXnqzIGrwvNJbLjg6w9P0I+H9ui4g5ApJb1sHqW&#10;V7hScv43skf5Ir0mhY9MPJU7lMz/qbzSuPrNcGOlLrVhcPQJTzfB+IENPMROY+NWlE/V9+U9bMD2&#10;OVS+yUZ6Sij3YMPoZNZOMiuKe4/tjkaafN+SKRXiJKaSRfiOL8KZkRsdXC2ByxTF9qA6qe5JoMuj&#10;dHmULsLXRfh06UQtGnQRvi7ClyU/8ICSq0gX4dd7o1vg3w3H6iL83iuBX3J5FBRhvnWdlfn6hni6&#10;1r39mStUmnvs3/0PAAD//wMAUEsDBBQABgAIAAAAIQBcgYjt4QAAAAkBAAAPAAAAZHJzL2Rvd25y&#10;ZXYueG1sTI9BS8NAFITvgv9heYK3dhNrShOzKaWopyLYCuLtNfuahGbfhuw2Sf+968kehxlmvsnX&#10;k2nFQL1rLCuI5xEI4tLqhisFX4e32QqE88gaW8uk4EoO1sX9XY6ZtiN/0rD3lQgl7DJUUHvfZVK6&#10;siaDbm474uCdbG/QB9lXUvc4hnLTyqcoWkqDDYeFGjva1lSe9xej4H3EcbOIX4fd+bS9/hySj+9d&#10;TEo9PkybFxCeJv8fhj/8gA5FYDraC2snWgWzZbjiFSyeUxDBX6VpAuKoIImjFGSRy9sHxS8AAAD/&#10;/wMAUEsBAi0AFAAGAAgAAAAhALaDOJL+AAAA4QEAABMAAAAAAAAAAAAAAAAAAAAAAFtDb250ZW50&#10;X1R5cGVzXS54bWxQSwECLQAUAAYACAAAACEAOP0h/9YAAACUAQAACwAAAAAAAAAAAAAAAAAvAQAA&#10;X3JlbHMvLnJlbHNQSwECLQAUAAYACAAAACEAAc6fbNsKAAAPXwAADgAAAAAAAAAAAAAAAAAuAgAA&#10;ZHJzL2Uyb0RvYy54bWxQSwECLQAUAAYACAAAACEAXIGI7eEAAAAJAQAADwAAAAAAAAAAAAAAAAA1&#10;DQAAZHJzL2Rvd25yZXYueG1sUEsFBgAAAAAEAAQA8wAAAEMOAAAAAA==&#10;">
                <v:shape id="Text Box 3763" o:spid="_x0000_s1200" type="#_x0000_t202" style="position:absolute;left:8466;top:5526;width:1607;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9OxQAAAN4AAAAPAAAAZHJzL2Rvd25yZXYueG1sRI/dagIx&#10;FITvC75DOIJ3NdsVrG6NIkrRi1JQ+wCHzdkfmpysSarr25uC4OUwM98wi1VvjbiQD61jBW/jDARx&#10;6XTLtYKf0+frDESIyBqNY1JwowCr5eBlgYV2Vz7Q5RhrkSAcClTQxNgVUoayIYth7Dri5FXOW4xJ&#10;+lpqj9cEt0bmWTaVFltOCw12tGmo/D3+WQUbL+P71uXrW/ltzl/VfGcq3Ck1GvbrDxCR+vgMP9p7&#10;rSCfzPMp/N9JV0Au7wAAAP//AwBQSwECLQAUAAYACAAAACEA2+H2y+4AAACFAQAAEwAAAAAAAAAA&#10;AAAAAAAAAAAAW0NvbnRlbnRfVHlwZXNdLnhtbFBLAQItABQABgAIAAAAIQBa9CxbvwAAABUBAAAL&#10;AAAAAAAAAAAAAAAAAB8BAABfcmVscy8ucmVsc1BLAQItABQABgAIAAAAIQBV9Z9OxQAAAN4AAAAP&#10;AAAAAAAAAAAAAAAAAAcCAABkcnMvZG93bnJldi54bWxQSwUGAAAAAAMAAwC3AAAA+QIAAAAA&#10;" filled="f" stroked="f">
                  <v:textbox inset="1mm,1.3mm,1.5mm,0">
                    <w:txbxContent>
                      <w:p w14:paraId="6D555238" w14:textId="77777777" w:rsidR="00511D9B" w:rsidRPr="00A705DD" w:rsidRDefault="00511D9B" w:rsidP="00F65092">
                        <w:pPr>
                          <w:pStyle w:val="A1-text"/>
                          <w:spacing w:line="204" w:lineRule="auto"/>
                          <w:rPr>
                            <w:rFonts w:asciiTheme="minorHAnsi" w:hAnsiTheme="minorHAnsi" w:cstheme="minorHAnsi"/>
                          </w:rPr>
                        </w:pPr>
                        <w:r w:rsidRPr="00A705DD">
                          <w:rPr>
                            <w:rFonts w:asciiTheme="minorHAnsi" w:hAnsiTheme="minorHAnsi" w:cstheme="minorHAnsi"/>
                          </w:rPr>
                          <w:t>Rozpočtový proces</w:t>
                        </w:r>
                        <w:bookmarkStart w:id="21" w:name="_Toc431063876"/>
                        <w:bookmarkStart w:id="22" w:name="_Toc461792611"/>
                        <w:bookmarkStart w:id="23" w:name="_Toc461792692"/>
                        <w:bookmarkEnd w:id="21"/>
                        <w:bookmarkEnd w:id="22"/>
                        <w:bookmarkEnd w:id="23"/>
                      </w:p>
                    </w:txbxContent>
                  </v:textbox>
                </v:shape>
                <v:shape id="Text Box 3764" o:spid="_x0000_s1201" type="#_x0000_t202" style="position:absolute;left:1343;top:6774;width:2827;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E5xgAAAN4AAAAPAAAAZHJzL2Rvd25yZXYueG1sRI9Ba8JA&#10;FITvBf/D8gRvddMItaauIoLorUQtxdtr9pmEZt/G3TXGf+8WCj0OM/MNM1/2phEdOV9bVvAyTkAQ&#10;F1bXXCo4HjbPbyB8QNbYWCYFd/KwXAye5phpe+Ocun0oRYSwz1BBFUKbSemLigz6sW2Jo3e2zmCI&#10;0pVSO7xFuGlkmiSv0mDNcaHCltYVFT/7q1EwOXZT//2Zo7ucc3s45dv0Q38pNRr2q3cQgfrwH/5r&#10;77SCdDJLp/B7J14BuXgAAAD//wMAUEsBAi0AFAAGAAgAAAAhANvh9svuAAAAhQEAABMAAAAAAAAA&#10;AAAAAAAAAAAAAFtDb250ZW50X1R5cGVzXS54bWxQSwECLQAUAAYACAAAACEAWvQsW78AAAAVAQAA&#10;CwAAAAAAAAAAAAAAAAAfAQAAX3JlbHMvLnJlbHNQSwECLQAUAAYACAAAACEAz9SxOcYAAADeAAAA&#10;DwAAAAAAAAAAAAAAAAAHAgAAZHJzL2Rvd25yZXYueG1sUEsFBgAAAAADAAMAtwAAAPoCAAAAAA==&#10;">
                  <v:textbox inset=".5mm,.3mm,.5mm,.3mm">
                    <w:txbxContent>
                      <w:p w14:paraId="2EA4BB32" w14:textId="77777777" w:rsidR="00511D9B" w:rsidRDefault="00511D9B" w:rsidP="00F65092">
                        <w:pPr>
                          <w:spacing w:line="204" w:lineRule="auto"/>
                          <w:jc w:val="center"/>
                          <w:rPr>
                            <w:rFonts w:asciiTheme="minorHAnsi" w:hAnsiTheme="minorHAnsi" w:cstheme="minorHAnsi"/>
                            <w:b/>
                          </w:rPr>
                        </w:pPr>
                      </w:p>
                      <w:p w14:paraId="75E4E7F5" w14:textId="29BC0F53" w:rsidR="00511D9B" w:rsidRDefault="00511D9B" w:rsidP="00F65092">
                        <w:pPr>
                          <w:spacing w:line="204" w:lineRule="auto"/>
                          <w:jc w:val="center"/>
                          <w:rPr>
                            <w:rFonts w:asciiTheme="minorHAnsi" w:hAnsiTheme="minorHAnsi" w:cstheme="minorHAnsi"/>
                            <w:b/>
                            <w:sz w:val="22"/>
                            <w:u w:val="single"/>
                          </w:rPr>
                        </w:pPr>
                        <w:r w:rsidRPr="00A705DD">
                          <w:rPr>
                            <w:rFonts w:asciiTheme="minorHAnsi" w:hAnsiTheme="minorHAnsi" w:cstheme="minorHAnsi"/>
                            <w:b/>
                          </w:rPr>
                          <w:sym w:font="Wingdings" w:char="F084"/>
                        </w:r>
                        <w:r w:rsidRPr="00A705DD">
                          <w:rPr>
                            <w:rFonts w:asciiTheme="minorHAnsi" w:hAnsiTheme="minorHAnsi" w:cstheme="minorHAnsi"/>
                            <w:b/>
                            <w:sz w:val="22"/>
                            <w:u w:val="single"/>
                          </w:rPr>
                          <w:t xml:space="preserve">Účetní závěrka, </w:t>
                        </w:r>
                      </w:p>
                      <w:p w14:paraId="7D402BF5" w14:textId="7A7BAE91" w:rsidR="00511D9B" w:rsidRPr="00A705DD" w:rsidRDefault="00511D9B" w:rsidP="00F65092">
                        <w:pPr>
                          <w:spacing w:line="204" w:lineRule="auto"/>
                          <w:jc w:val="center"/>
                          <w:rPr>
                            <w:rFonts w:asciiTheme="minorHAnsi" w:hAnsiTheme="minorHAnsi" w:cstheme="minorHAnsi"/>
                            <w:b/>
                            <w:sz w:val="22"/>
                            <w:u w:val="single"/>
                          </w:rPr>
                        </w:pPr>
                        <w:r w:rsidRPr="00A705DD">
                          <w:rPr>
                            <w:rFonts w:asciiTheme="minorHAnsi" w:hAnsiTheme="minorHAnsi" w:cstheme="minorHAnsi"/>
                            <w:b/>
                            <w:sz w:val="22"/>
                            <w:u w:val="single"/>
                          </w:rPr>
                          <w:t xml:space="preserve">schválení závěrečného účtu </w:t>
                        </w:r>
                      </w:p>
                      <w:p w14:paraId="21E3571C" w14:textId="77777777" w:rsidR="00511D9B" w:rsidRPr="00A705DD" w:rsidRDefault="00511D9B" w:rsidP="00F65092">
                        <w:pPr>
                          <w:spacing w:line="204" w:lineRule="auto"/>
                          <w:jc w:val="center"/>
                          <w:rPr>
                            <w:rFonts w:asciiTheme="minorHAnsi" w:hAnsiTheme="minorHAnsi" w:cstheme="minorHAnsi"/>
                            <w:sz w:val="22"/>
                          </w:rPr>
                        </w:pPr>
                        <w:r w:rsidRPr="00A705DD">
                          <w:rPr>
                            <w:rFonts w:asciiTheme="minorHAnsi" w:hAnsiTheme="minorHAnsi" w:cstheme="minorHAnsi"/>
                            <w:sz w:val="20"/>
                            <w:szCs w:val="20"/>
                          </w:rPr>
                          <w:t>Probíhá: po ukončení rozpočtového období</w:t>
                        </w:r>
                        <w:r w:rsidRPr="00A705DD">
                          <w:rPr>
                            <w:rFonts w:asciiTheme="minorHAnsi" w:hAnsiTheme="minorHAnsi" w:cstheme="minorHAnsi"/>
                            <w:sz w:val="22"/>
                          </w:rPr>
                          <w:t xml:space="preserve"> </w:t>
                        </w:r>
                      </w:p>
                      <w:p w14:paraId="29917F73" w14:textId="77777777" w:rsidR="00511D9B" w:rsidRPr="00A705DD" w:rsidRDefault="00511D9B" w:rsidP="00F65092">
                        <w:pPr>
                          <w:spacing w:line="204" w:lineRule="auto"/>
                          <w:rPr>
                            <w:rFonts w:asciiTheme="minorHAnsi" w:hAnsiTheme="minorHAnsi" w:cstheme="minorHAnsi"/>
                            <w:sz w:val="22"/>
                          </w:rPr>
                        </w:pPr>
                      </w:p>
                    </w:txbxContent>
                  </v:textbox>
                </v:shape>
                <v:shape id="Text Box 3765" o:spid="_x0000_s1202" type="#_x0000_t202" style="position:absolute;left:4424;top:5493;width:2903;height: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LwwAAAN4AAAAPAAAAZHJzL2Rvd25yZXYueG1sRE/Pa8Iw&#10;FL4P/B/CE7zN1Apz64wiguhtVB1jt7fm2Rabl5rEWv97cxB2/Ph+z5e9aURHzteWFUzGCQjiwuqa&#10;SwXHw+b1HYQPyBoby6TgTh6Wi8HLHDNtb5xTtw+liCHsM1RQhdBmUvqiIoN+bFviyJ2sMxgidKXU&#10;Dm8x3DQyTZI3abDm2FBhS+uKivP+ahRMj93M/33n6C6n3B5+8236pX+UGg371SeIQH34Fz/dO60g&#10;nX6kcW+8E6+AXDwAAAD//wMAUEsBAi0AFAAGAAgAAAAhANvh9svuAAAAhQEAABMAAAAAAAAAAAAA&#10;AAAAAAAAAFtDb250ZW50X1R5cGVzXS54bWxQSwECLQAUAAYACAAAACEAWvQsW78AAAAVAQAACwAA&#10;AAAAAAAAAAAAAAAfAQAAX3JlbHMvLnJlbHNQSwECLQAUAAYACAAAACEAvkslS8MAAADeAAAADwAA&#10;AAAAAAAAAAAAAAAHAgAAZHJzL2Rvd25yZXYueG1sUEsFBgAAAAADAAMAtwAAAPcCAAAAAA==&#10;">
                  <v:textbox inset=".5mm,.3mm,.5mm,.3mm">
                    <w:txbxContent>
                      <w:p w14:paraId="4DD3340C" w14:textId="77777777" w:rsidR="00511D9B" w:rsidRPr="00A705DD" w:rsidRDefault="00511D9B" w:rsidP="00F65092">
                        <w:pPr>
                          <w:spacing w:line="204" w:lineRule="auto"/>
                          <w:jc w:val="center"/>
                          <w:rPr>
                            <w:rFonts w:asciiTheme="minorHAnsi" w:hAnsiTheme="minorHAnsi" w:cstheme="minorHAnsi"/>
                            <w:b/>
                            <w:sz w:val="22"/>
                            <w:szCs w:val="22"/>
                            <w:u w:val="single"/>
                          </w:rPr>
                        </w:pPr>
                        <w:r w:rsidRPr="00A705DD">
                          <w:rPr>
                            <w:rFonts w:asciiTheme="minorHAnsi" w:hAnsiTheme="minorHAnsi" w:cstheme="minorHAnsi"/>
                            <w:b/>
                          </w:rPr>
                          <w:sym w:font="Wingdings" w:char="F081"/>
                        </w:r>
                        <w:r w:rsidRPr="00A705DD">
                          <w:rPr>
                            <w:rFonts w:asciiTheme="minorHAnsi" w:hAnsiTheme="minorHAnsi" w:cstheme="minorHAnsi"/>
                            <w:b/>
                            <w:sz w:val="22"/>
                            <w:szCs w:val="22"/>
                            <w:u w:val="single"/>
                          </w:rPr>
                          <w:t>Příprava</w:t>
                        </w:r>
                      </w:p>
                      <w:p w14:paraId="3A807EF6" w14:textId="77777777" w:rsidR="00511D9B" w:rsidRPr="00A705DD" w:rsidRDefault="00511D9B" w:rsidP="00F65092">
                        <w:pPr>
                          <w:spacing w:line="204" w:lineRule="auto"/>
                          <w:jc w:val="center"/>
                          <w:rPr>
                            <w:rFonts w:asciiTheme="minorHAnsi" w:hAnsiTheme="minorHAnsi" w:cstheme="minorHAnsi"/>
                            <w:sz w:val="20"/>
                            <w:szCs w:val="22"/>
                          </w:rPr>
                        </w:pPr>
                        <w:r w:rsidRPr="00A705DD">
                          <w:rPr>
                            <w:rFonts w:asciiTheme="minorHAnsi" w:hAnsiTheme="minorHAnsi" w:cstheme="minorHAnsi"/>
                            <w:sz w:val="20"/>
                            <w:szCs w:val="22"/>
                          </w:rPr>
                          <w:t xml:space="preserve">(analýzy a sestavování rozpočtu, možnost participace veřejnosti) </w:t>
                        </w:r>
                      </w:p>
                      <w:p w14:paraId="6E936B98" w14:textId="77777777" w:rsidR="00511D9B" w:rsidRPr="00A705DD" w:rsidRDefault="00511D9B" w:rsidP="00F65092">
                        <w:pPr>
                          <w:spacing w:line="204" w:lineRule="auto"/>
                          <w:jc w:val="center"/>
                          <w:rPr>
                            <w:rFonts w:asciiTheme="minorHAnsi" w:hAnsiTheme="minorHAnsi" w:cstheme="minorHAnsi"/>
                            <w:sz w:val="20"/>
                            <w:szCs w:val="22"/>
                          </w:rPr>
                        </w:pPr>
                        <w:r w:rsidRPr="00A705DD">
                          <w:rPr>
                            <w:rFonts w:asciiTheme="minorHAnsi" w:hAnsiTheme="minorHAnsi" w:cstheme="minorHAnsi"/>
                            <w:sz w:val="20"/>
                            <w:szCs w:val="22"/>
                          </w:rPr>
                          <w:t>Probíhá: cca 6. až 1. měsíc před zahájením rozpočtového období</w:t>
                        </w:r>
                      </w:p>
                    </w:txbxContent>
                  </v:textbox>
                </v:shape>
                <v:shape id="Text Box 3766" o:spid="_x0000_s1203" type="#_x0000_t202" style="position:absolute;left:4436;top:8426;width:2871;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4myQAAAN4AAAAPAAAAZHJzL2Rvd25yZXYueG1sRI/RasJA&#10;FETfC/2H5Rb6phtTamrqKiJKW8HSWj/gNnubjcneDdlV4993C0Ifh5k5w0znvW3EiTpfOVYwGiYg&#10;iAunKy4V7L/WgycQPiBrbByTggt5mM9ub6aYa3fmTzrtQikihH2OCkwIbS6lLwxZ9EPXEkfvx3UW&#10;Q5RdKXWH5wi3jUyTZCwtVhwXDLa0NFTUu6NVkLXZi3mv3x432332PbocVvXiY6XU/V2/eAYRqA//&#10;4Wv7VStIHybpBP7uxCsgZ78AAAD//wMAUEsBAi0AFAAGAAgAAAAhANvh9svuAAAAhQEAABMAAAAA&#10;AAAAAAAAAAAAAAAAAFtDb250ZW50X1R5cGVzXS54bWxQSwECLQAUAAYACAAAACEAWvQsW78AAAAV&#10;AQAACwAAAAAAAAAAAAAAAAAfAQAAX3JlbHMvLnJlbHNQSwECLQAUAAYACAAAACEAlf6OJskAAADe&#10;AAAADwAAAAAAAAAAAAAAAAAHAgAAZHJzL2Rvd25yZXYueG1sUEsFBgAAAAADAAMAtwAAAP0CAAAA&#10;AA==&#10;">
                  <v:textbox inset="1.5mm,.3mm,1.5mm,.3mm">
                    <w:txbxContent>
                      <w:p w14:paraId="2893AA52" w14:textId="77777777" w:rsidR="00511D9B" w:rsidRPr="00A705DD" w:rsidRDefault="00511D9B" w:rsidP="00EB6FAF">
                        <w:pPr>
                          <w:spacing w:line="197" w:lineRule="auto"/>
                          <w:jc w:val="center"/>
                          <w:rPr>
                            <w:rFonts w:asciiTheme="minorHAnsi" w:hAnsiTheme="minorHAnsi" w:cstheme="minorHAnsi"/>
                            <w:b/>
                            <w:sz w:val="22"/>
                            <w:u w:val="single"/>
                          </w:rPr>
                        </w:pPr>
                        <w:r w:rsidRPr="00A705DD">
                          <w:rPr>
                            <w:rFonts w:asciiTheme="minorHAnsi" w:hAnsiTheme="minorHAnsi" w:cstheme="minorHAnsi"/>
                            <w:b/>
                          </w:rPr>
                          <w:sym w:font="Wingdings" w:char="F083"/>
                        </w:r>
                        <w:r w:rsidRPr="00A705DD">
                          <w:rPr>
                            <w:rFonts w:asciiTheme="minorHAnsi" w:hAnsiTheme="minorHAnsi" w:cstheme="minorHAnsi"/>
                            <w:b/>
                            <w:sz w:val="22"/>
                            <w:u w:val="single"/>
                          </w:rPr>
                          <w:t>Plnění a změny</w:t>
                        </w:r>
                      </w:p>
                      <w:p w14:paraId="43F9C842" w14:textId="577188A1" w:rsidR="00511D9B" w:rsidRPr="00A705DD" w:rsidRDefault="00511D9B" w:rsidP="00EB6FAF">
                        <w:pPr>
                          <w:spacing w:line="197" w:lineRule="auto"/>
                          <w:jc w:val="center"/>
                          <w:rPr>
                            <w:rFonts w:asciiTheme="minorHAnsi" w:hAnsiTheme="minorHAnsi" w:cstheme="minorHAnsi"/>
                            <w:sz w:val="22"/>
                          </w:rPr>
                        </w:pPr>
                        <w:r w:rsidRPr="00A705DD">
                          <w:rPr>
                            <w:rFonts w:asciiTheme="minorHAnsi" w:hAnsiTheme="minorHAnsi" w:cstheme="minorHAnsi"/>
                            <w:sz w:val="22"/>
                          </w:rPr>
                          <w:t>(</w:t>
                        </w:r>
                        <w:r>
                          <w:rPr>
                            <w:rFonts w:asciiTheme="minorHAnsi" w:hAnsiTheme="minorHAnsi" w:cstheme="minorHAnsi"/>
                            <w:sz w:val="22"/>
                          </w:rPr>
                          <w:t>hospodaření</w:t>
                        </w:r>
                        <w:r w:rsidRPr="00A705DD">
                          <w:rPr>
                            <w:rFonts w:asciiTheme="minorHAnsi" w:hAnsiTheme="minorHAnsi" w:cstheme="minorHAnsi"/>
                            <w:sz w:val="22"/>
                          </w:rPr>
                          <w:t xml:space="preserve">, průběžná kontrola, případné změny a opatření) </w:t>
                        </w:r>
                      </w:p>
                      <w:p w14:paraId="608455DB" w14:textId="77777777" w:rsidR="00511D9B" w:rsidRPr="00A705DD" w:rsidRDefault="00511D9B" w:rsidP="00EB6FAF">
                        <w:pPr>
                          <w:spacing w:line="197" w:lineRule="auto"/>
                          <w:jc w:val="center"/>
                          <w:rPr>
                            <w:rFonts w:asciiTheme="minorHAnsi" w:hAnsiTheme="minorHAnsi" w:cstheme="minorHAnsi"/>
                            <w:sz w:val="22"/>
                          </w:rPr>
                        </w:pPr>
                        <w:r w:rsidRPr="00A705DD">
                          <w:rPr>
                            <w:rFonts w:asciiTheme="minorHAnsi" w:hAnsiTheme="minorHAnsi" w:cstheme="minorHAnsi"/>
                            <w:sz w:val="22"/>
                          </w:rPr>
                          <w:t>Probíhá: v rozpočtovém období</w:t>
                        </w:r>
                      </w:p>
                    </w:txbxContent>
                  </v:textbox>
                </v:shape>
                <v:shape id="Text Box 3767" o:spid="_x0000_s1204" type="#_x0000_t202" style="position:absolute;left:7593;top:6722;width:2805;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QxQAAAN4AAAAPAAAAZHJzL2Rvd25yZXYueG1sRI/NasJA&#10;FIX3hb7DcAvu6qQJVE0dRQSxuxK1FHe3mWsSmrkTZ6Yxvr2zEFwezh/ffDmYVvTkfGNZwds4AUFc&#10;Wt1wpeCw37xOQfiArLG1TAqu5GG5eH6aY67thQvqd6EScYR9jgrqELpcSl/WZNCPbUccvZN1BkOU&#10;rpLa4SWOm1amSfIuDTYcH2rsaF1T+bf7NwqyQz/xv98FuvOpsPtjsU2/9I9So5dh9QEi0BAe4Xv7&#10;UytIs1kWASJORAG5uAEAAP//AwBQSwECLQAUAAYACAAAACEA2+H2y+4AAACFAQAAEwAAAAAAAAAA&#10;AAAAAAAAAAAAW0NvbnRlbnRfVHlwZXNdLnhtbFBLAQItABQABgAIAAAAIQBa9CxbvwAAABUBAAAL&#10;AAAAAAAAAAAAAAAAAB8BAABfcmVscy8ucmVsc1BLAQItABQABgAIAAAAIQDF5L+QxQAAAN4AAAAP&#10;AAAAAAAAAAAAAAAAAAcCAABkcnMvZG93bnJldi54bWxQSwUGAAAAAAMAAwC3AAAA+QIAAAAA&#10;">
                  <v:textbox inset=".5mm,.3mm,.5mm,.3mm">
                    <w:txbxContent>
                      <w:p w14:paraId="4FDE9025" w14:textId="3C301C69" w:rsidR="00511D9B" w:rsidRPr="00A705DD" w:rsidRDefault="00511D9B" w:rsidP="00F65092">
                        <w:pPr>
                          <w:spacing w:line="204" w:lineRule="auto"/>
                          <w:jc w:val="center"/>
                          <w:rPr>
                            <w:rFonts w:asciiTheme="minorHAnsi" w:hAnsiTheme="minorHAnsi" w:cstheme="minorHAnsi"/>
                            <w:b/>
                            <w:sz w:val="22"/>
                            <w:u w:val="single"/>
                          </w:rPr>
                        </w:pPr>
                        <w:r w:rsidRPr="00A705DD">
                          <w:rPr>
                            <w:rFonts w:asciiTheme="minorHAnsi" w:hAnsiTheme="minorHAnsi" w:cstheme="minorHAnsi"/>
                            <w:b/>
                          </w:rPr>
                          <w:sym w:font="Wingdings" w:char="F082"/>
                        </w:r>
                        <w:r w:rsidRPr="00A705DD">
                          <w:rPr>
                            <w:rFonts w:asciiTheme="minorHAnsi" w:hAnsiTheme="minorHAnsi" w:cstheme="minorHAnsi"/>
                            <w:b/>
                            <w:sz w:val="22"/>
                            <w:u w:val="single"/>
                          </w:rPr>
                          <w:t xml:space="preserve">Projednání a schvalování rozpočtu </w:t>
                        </w:r>
                      </w:p>
                      <w:p w14:paraId="284CB043" w14:textId="77777777" w:rsidR="00511D9B" w:rsidRPr="00A705DD" w:rsidRDefault="00511D9B" w:rsidP="00F65092">
                        <w:pPr>
                          <w:spacing w:line="204" w:lineRule="auto"/>
                          <w:jc w:val="center"/>
                          <w:rPr>
                            <w:rFonts w:asciiTheme="minorHAnsi" w:hAnsiTheme="minorHAnsi" w:cstheme="minorHAnsi"/>
                            <w:sz w:val="22"/>
                          </w:rPr>
                        </w:pPr>
                        <w:r w:rsidRPr="00A705DD">
                          <w:rPr>
                            <w:rFonts w:asciiTheme="minorHAnsi" w:hAnsiTheme="minorHAnsi" w:cstheme="minorHAnsi"/>
                            <w:sz w:val="22"/>
                          </w:rPr>
                          <w:t xml:space="preserve">(včetně rozpisu rozpočtu) </w:t>
                        </w:r>
                      </w:p>
                      <w:p w14:paraId="2112C57F" w14:textId="77777777" w:rsidR="00511D9B" w:rsidRPr="00A705DD" w:rsidRDefault="00511D9B" w:rsidP="00F65092">
                        <w:pPr>
                          <w:spacing w:line="204" w:lineRule="auto"/>
                          <w:jc w:val="center"/>
                          <w:rPr>
                            <w:rFonts w:asciiTheme="minorHAnsi" w:hAnsiTheme="minorHAnsi" w:cstheme="minorHAnsi"/>
                            <w:sz w:val="22"/>
                          </w:rPr>
                        </w:pPr>
                        <w:r w:rsidRPr="00A705DD">
                          <w:rPr>
                            <w:rFonts w:asciiTheme="minorHAnsi" w:hAnsiTheme="minorHAnsi" w:cstheme="minorHAnsi"/>
                            <w:sz w:val="20"/>
                            <w:szCs w:val="20"/>
                          </w:rPr>
                          <w:t>Probíhá: obvykle měsíc před zahájením rozpočtového období, musí být zveřejněno 15 dní před schvalováním</w:t>
                        </w:r>
                      </w:p>
                    </w:txbxContent>
                  </v:textbox>
                </v:shape>
                <v:shape id="Text Box 3768" o:spid="_x0000_s1205" type="#_x0000_t202" style="position:absolute;left:4540;top:7028;width:2670;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n5kxAAAAN4AAAAPAAAAZHJzL2Rvd25yZXYueG1sRI9Ba8JA&#10;FITvBf/D8gRvdWMCVaOriFDwaFVQb8/sMwlm34bdbYz/vlso9DjMzDfMct2bRnTkfG1ZwWScgCAu&#10;rK65VHA6fr7PQPiArLGxTApe5GG9GrwtMdf2yV/UHUIpIoR9jgqqENpcSl9UZNCPbUscvbt1BkOU&#10;rpTa4TPCTSPTJPmQBmuOCxW2tK2oeBy+jYLy6K7Tbp9sUt1Mb3i+ZNbKTKnRsN8sQATqw3/4r73T&#10;CtJsnk3g9068AnL1AwAA//8DAFBLAQItABQABgAIAAAAIQDb4fbL7gAAAIUBAAATAAAAAAAAAAAA&#10;AAAAAAAAAABbQ29udGVudF9UeXBlc10ueG1sUEsBAi0AFAAGAAgAAAAhAFr0LFu/AAAAFQEAAAsA&#10;AAAAAAAAAAAAAAAAHwEAAF9yZWxzLy5yZWxzUEsBAi0AFAAGAAgAAAAhALv2fmTEAAAA3gAAAA8A&#10;AAAAAAAAAAAAAAAABwIAAGRycy9kb3ducmV2LnhtbFBLBQYAAAAAAwADALcAAAD4AgAAAAA=&#10;" strokeweight="2.25pt">
                  <v:textbox inset=".5mm,.3mm,.5mm,.3mm">
                    <w:txbxContent>
                      <w:p w14:paraId="682F53BB" w14:textId="77777777" w:rsidR="00511D9B" w:rsidRPr="00A705DD" w:rsidRDefault="00511D9B" w:rsidP="00EB6FAF">
                        <w:pPr>
                          <w:spacing w:line="197" w:lineRule="auto"/>
                          <w:jc w:val="center"/>
                          <w:rPr>
                            <w:rFonts w:asciiTheme="minorHAnsi" w:hAnsiTheme="minorHAnsi" w:cstheme="minorHAnsi"/>
                            <w:b/>
                            <w:sz w:val="22"/>
                          </w:rPr>
                        </w:pPr>
                        <w:r w:rsidRPr="00A705DD">
                          <w:rPr>
                            <w:rFonts w:asciiTheme="minorHAnsi" w:hAnsiTheme="minorHAnsi" w:cstheme="minorHAnsi"/>
                            <w:b/>
                            <w:sz w:val="22"/>
                            <w:u w:val="single"/>
                          </w:rPr>
                          <w:t>Řízení rozpočtu</w:t>
                        </w:r>
                        <w:r w:rsidRPr="00A705DD">
                          <w:rPr>
                            <w:rFonts w:asciiTheme="minorHAnsi" w:hAnsiTheme="minorHAnsi" w:cstheme="minorHAnsi"/>
                            <w:b/>
                            <w:sz w:val="22"/>
                          </w:rPr>
                          <w:t xml:space="preserve">: </w:t>
                        </w:r>
                      </w:p>
                      <w:p w14:paraId="7CB10571" w14:textId="77777777" w:rsidR="00511D9B" w:rsidRDefault="00511D9B" w:rsidP="00EB6FAF">
                        <w:pPr>
                          <w:spacing w:line="197" w:lineRule="auto"/>
                          <w:jc w:val="center"/>
                          <w:rPr>
                            <w:rFonts w:asciiTheme="minorHAnsi" w:hAnsiTheme="minorHAnsi" w:cstheme="minorHAnsi"/>
                            <w:sz w:val="22"/>
                          </w:rPr>
                        </w:pPr>
                        <w:r w:rsidRPr="00A705DD">
                          <w:rPr>
                            <w:rFonts w:asciiTheme="minorHAnsi" w:hAnsiTheme="minorHAnsi" w:cstheme="minorHAnsi"/>
                            <w:sz w:val="22"/>
                          </w:rPr>
                          <w:t xml:space="preserve">plánování, organizování, </w:t>
                        </w:r>
                        <w:r>
                          <w:rPr>
                            <w:rFonts w:asciiTheme="minorHAnsi" w:hAnsiTheme="minorHAnsi" w:cstheme="minorHAnsi"/>
                            <w:sz w:val="22"/>
                          </w:rPr>
                          <w:t xml:space="preserve">vedení (a motivování) a </w:t>
                        </w:r>
                        <w:r w:rsidRPr="00A705DD">
                          <w:rPr>
                            <w:rFonts w:asciiTheme="minorHAnsi" w:hAnsiTheme="minorHAnsi" w:cstheme="minorHAnsi"/>
                            <w:sz w:val="22"/>
                          </w:rPr>
                          <w:t>kontrola</w:t>
                        </w:r>
                        <w:r>
                          <w:rPr>
                            <w:rFonts w:asciiTheme="minorHAnsi" w:hAnsiTheme="minorHAnsi" w:cstheme="minorHAnsi"/>
                            <w:sz w:val="22"/>
                          </w:rPr>
                          <w:t xml:space="preserve">, </w:t>
                        </w:r>
                      </w:p>
                      <w:p w14:paraId="7AAC086B" w14:textId="00CE12B9" w:rsidR="00511D9B" w:rsidRPr="00A705DD" w:rsidRDefault="00511D9B" w:rsidP="00EB6FAF">
                        <w:pPr>
                          <w:spacing w:line="197" w:lineRule="auto"/>
                          <w:jc w:val="center"/>
                          <w:rPr>
                            <w:rFonts w:asciiTheme="minorHAnsi" w:hAnsiTheme="minorHAnsi" w:cstheme="minorHAnsi"/>
                            <w:sz w:val="22"/>
                          </w:rPr>
                        </w:pPr>
                        <w:r>
                          <w:rPr>
                            <w:rFonts w:asciiTheme="minorHAnsi" w:hAnsiTheme="minorHAnsi" w:cstheme="minorHAnsi"/>
                            <w:sz w:val="22"/>
                          </w:rPr>
                          <w:t>správné rozhodování</w:t>
                        </w:r>
                      </w:p>
                    </w:txbxContent>
                  </v:textbox>
                </v:shape>
                <v:shape id="AutoShape 3769" o:spid="_x0000_s1206" style="position:absolute;left:7305;top:5881;width:874;height:90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3VSxwAAAN4AAAAPAAAAZHJzL2Rvd25yZXYueG1sRI9Ba8JA&#10;FITvBf/D8oTe6qYJlBpdxVrEWE9aL709ss8kNPs27K4a/fVuoeBxmJlvmOm8N604k/ONZQWvowQE&#10;cWl1w5WCw/fq5R2ED8gaW8uk4Eoe5rPB0xRzbS+8o/M+VCJC2OeooA6hy6X0ZU0G/ch2xNE7Wmcw&#10;ROkqqR1eIty0Mk2SN2mw4bhQY0fLmsrf/cko6A7Z9vO2Xn/8XLeL5aYoXHX7cko9D/vFBESgPjzC&#10;/+1CK0izcZbC3514BeTsDgAA//8DAFBLAQItABQABgAIAAAAIQDb4fbL7gAAAIUBAAATAAAAAAAA&#10;AAAAAAAAAAAAAABbQ29udGVudF9UeXBlc10ueG1sUEsBAi0AFAAGAAgAAAAhAFr0LFu/AAAAFQEA&#10;AAsAAAAAAAAAAAAAAAAAHwEAAF9yZWxzLy5yZWxzUEsBAi0AFAAGAAgAAAAhADKjdVLHAAAA3gAA&#10;AA8AAAAAAAAAAAAAAAAABwIAAGRycy9kb3ducmV2LnhtbFBLBQYAAAAAAwADALcAAAD7AgAAAAA=&#10;" path="m21600,6079l15126,r,2912l12427,2912c5564,2912,,7052,,12158r,9442l6474,21600r,-9442c6474,10550,9139,9246,12427,9246r2699,l15126,12158,21600,6079xe" fillcolor="silver">
                  <v:stroke joinstyle="miter"/>
                  <v:path o:connecttype="custom" o:connectlocs="612,0;612,510;131,906;874,255" o:connectangles="270,90,90,0" textboxrect="12431,2909,18239,9250"/>
                </v:shape>
                <v:shape id="AutoShape 3770" o:spid="_x0000_s1207" style="position:absolute;left:3572;top:8240;width:874;height:907;rotation:9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wwwAAAN4AAAAPAAAAZHJzL2Rvd25yZXYueG1sRI9Bi8Iw&#10;FITvgv8hPGFvmtrCotUoIgh7clndvT+aZ1tsXkISbfXXm4WFPQ4z8w2z3g6mE3fyobWsYD7LQBBX&#10;VrdcK/g+H6YLECEia+wsk4IHBdhuxqM1ltr2/EX3U6xFgnAoUUEToyulDFVDBsPMOuLkXaw3GJP0&#10;tdQe+wQ3ncyz7F0abDktNOho31B1Pd2MgoWjzyPnT+2z/vwwrjv+VMVNqbfJsFuBiDTE//Bf+0Mr&#10;yItlUcDvnXQF5OYFAAD//wMAUEsBAi0AFAAGAAgAAAAhANvh9svuAAAAhQEAABMAAAAAAAAAAAAA&#10;AAAAAAAAAFtDb250ZW50X1R5cGVzXS54bWxQSwECLQAUAAYACAAAACEAWvQsW78AAAAVAQAACwAA&#10;AAAAAAAAAAAAAAAfAQAAX3JlbHMvLnJlbHNQSwECLQAUAAYACAAAACEA8pmP8MMAAADeAAAADwAA&#10;AAAAAAAAAAAAAAAHAgAAZHJzL2Rvd25yZXYueG1sUEsFBgAAAAADAAMAtwAAAPcCAAAAAA==&#10;" path="m21600,6079l15126,r,2912l12427,2912c5564,2912,,7052,,12158r,9442l6474,21600r,-9442c6474,10550,9139,9246,12427,9246r2699,l15126,12158,21600,6079xe" fillcolor="silver">
                  <v:stroke joinstyle="miter"/>
                  <v:path o:connecttype="custom" o:connectlocs="612,0;612,511;131,907;874,255" o:connectangles="270,90,90,0" textboxrect="12431,2905,18239,9240"/>
                </v:shape>
                <v:line id="Line 3771" o:spid="_x0000_s1208" style="position:absolute;flip:y;visibility:visible;mso-wrap-style:square" from="7877,5745" to="8508,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313yAAAAN4AAAAPAAAAZHJzL2Rvd25yZXYueG1sRI9BawIx&#10;FITvhf6H8Aq9FM1WpehqFBEKPXiplhVvz83rZtnNy5qkuv57Uyj0OMzMN8xi1dtWXMiH2rGC12EG&#10;grh0uuZKwdf+fTAFESKyxtYxKbhRgNXy8WGBuXZX/qTLLlYiQTjkqMDE2OVShtKQxTB0HXHyvp23&#10;GJP0ldQerwluWznKsjdpsea0YLCjjaGy2f1YBXK6fTn79WnSFM3hMDNFWXTHrVLPT/16DiJSH//D&#10;f+0PrWA0no0n8HsnXQG5vAMAAP//AwBQSwECLQAUAAYACAAAACEA2+H2y+4AAACFAQAAEwAAAAAA&#10;AAAAAAAAAAAAAAAAW0NvbnRlbnRfVHlwZXNdLnhtbFBLAQItABQABgAIAAAAIQBa9CxbvwAAABUB&#10;AAALAAAAAAAAAAAAAAAAAB8BAABfcmVscy8ucmVsc1BLAQItABQABgAIAAAAIQBFa313yAAAAN4A&#10;AAAPAAAAAAAAAAAAAAAAAAcCAABkcnMvZG93bnJldi54bWxQSwUGAAAAAAMAAwC3AAAA/AIAAAAA&#10;"/>
                <v:shape id="AutoShape 3772" o:spid="_x0000_s1209" style="position:absolute;left:6785;top:6376;width:874;height:907;rotation:9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xAxQAAAN4AAAAPAAAAZHJzL2Rvd25yZXYueG1sRI9Pi8Iw&#10;FMTvC36H8ARva6riqtUoy7oL3sQ/4PXRPJti81KbqO23N8KCx2FmfsMsVo0txZ1qXzhWMOgnIIgz&#10;pwvOFRwPf59TED4gaywdk4KWPKyWnY8Fpto9eEf3fchFhLBPUYEJoUql9Jkhi77vKuLonV1tMURZ&#10;51LX+IhwW8phknxJiwXHBYMV/RjKLvubVeDaSZ78umZ9Ktrrdrs+7OSlNEr1us33HESgJrzD/+2N&#10;VjAczUZjeN2JV0AunwAAAP//AwBQSwECLQAUAAYACAAAACEA2+H2y+4AAACFAQAAEwAAAAAAAAAA&#10;AAAAAAAAAAAAW0NvbnRlbnRfVHlwZXNdLnhtbFBLAQItABQABgAIAAAAIQBa9CxbvwAAABUBAAAL&#10;AAAAAAAAAAAAAAAAAB8BAABfcmVscy8ucmVsc1BLAQItABQABgAIAAAAIQBV2mxAxQAAAN4AAAAP&#10;AAAAAAAAAAAAAAAAAAcCAABkcnMvZG93bnJldi54bWxQSwUGAAAAAAMAAwC3AAAA+QIAAAAA&#10;" path="m21600,6079l15126,r,2912l12427,2912c5564,2912,,7052,,12158r,9442l6474,21600r,-9442c6474,10550,9139,9246,12427,9246r2699,l15126,12158,21600,6079xe" filled="f" fillcolor="silver">
                  <v:stroke dashstyle="dash" joinstyle="miter"/>
                  <v:path o:connecttype="custom" o:connectlocs="612,0;612,511;131,907;874,255" o:connectangles="270,90,90,0" textboxrect="12431,2905,18239,9240"/>
                </v:shape>
                <v:shape id="AutoShape 3773" o:spid="_x0000_s1210" style="position:absolute;left:6861;top:7741;width:874;height:907;rotation:18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XvHwwAAAN4AAAAPAAAAZHJzL2Rvd25yZXYueG1sRE/LSsNA&#10;FN0L/YfhFrqzk1ZJS+wkFCFQ4spo99fMNYnN3AmZyaN/7ywEl4fzPmWL6cREg2stK9htIxDEldUt&#10;1wo+P/LHIwjnkTV2lknBnRxk6erhhIm2M7/TVPpahBB2CSpovO8TKV3VkEG3tT1x4L7tYNAHONRS&#10;DziHcNPJfRTF0mDLoaHBnl4bqm7laBRcxt3bz3WZ8qJA+orzsbjWh1ipzXo5v4DwtPh/8Z/7ohXs&#10;n+LnsDfcCVdApr8AAAD//wMAUEsBAi0AFAAGAAgAAAAhANvh9svuAAAAhQEAABMAAAAAAAAAAAAA&#10;AAAAAAAAAFtDb250ZW50X1R5cGVzXS54bWxQSwECLQAUAAYACAAAACEAWvQsW78AAAAVAQAACwAA&#10;AAAAAAAAAAAAAAAfAQAAX3JlbHMvLnJlbHNQSwECLQAUAAYACAAAACEAdsV7x8MAAADeAAAADwAA&#10;AAAAAAAAAAAAAAAHAgAAZHJzL2Rvd25yZXYueG1sUEsFBgAAAAADAAMAtwAAAPcCAAAAAA==&#10;" path="m21600,6079l15126,r,2912l12427,2912c5564,2912,,7052,,12158r,9442l6474,21600r,-9442c6474,10550,9139,9246,12427,9246r2699,l15126,12158,21600,6079xe" filled="f" fillcolor="silver">
                  <v:stroke dashstyle="dash" joinstyle="miter"/>
                  <v:path o:connecttype="custom" o:connectlocs="612,0;612,511;131,907;874,255" o:connectangles="270,90,90,0" textboxrect="12431,2905,18239,9240"/>
                </v:shape>
                <v:shape id="AutoShape 3774" o:spid="_x0000_s1211" type="#_x0000_t32" style="position:absolute;left:5889;top:6543;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VpyQAAAN4AAAAPAAAAZHJzL2Rvd25yZXYueG1sRI9BSwMx&#10;FITvgv8hPKE3m22rq902LaIItYdtrSI9PjbP3cXNS0jSdv33plDwOMzMN8x82ZtOHMmH1rKC0TAD&#10;QVxZ3XKt4PPj9fYRRIjIGjvLpOCXAiwX11dzLLQ98Tsdd7EWCcKhQAVNjK6QMlQNGQxD64iT9229&#10;wZikr6X2eEpw08lxluXSYMtpoUFHzw1VP7uDUfCWb16m+5F/MOUX3q/W2/LgXKnU4KZ/moGI1Mf/&#10;8KW90grGk/xuCuc76QrIxR8AAAD//wMAUEsBAi0AFAAGAAgAAAAhANvh9svuAAAAhQEAABMAAAAA&#10;AAAAAAAAAAAAAAAAAFtDb250ZW50X1R5cGVzXS54bWxQSwECLQAUAAYACAAAACEAWvQsW78AAAAV&#10;AQAACwAAAAAAAAAAAAAAAAAfAQAAX3JlbHMvLnJlbHNQSwECLQAUAAYACAAAACEAmlDlackAAADe&#10;AAAADwAAAAAAAAAAAAAAAAAHAgAAZHJzL2Rvd25yZXYueG1sUEsFBgAAAAADAAMAtwAAAP0CAAAA&#10;AA==&#10;" strokeweight="3pt">
                  <v:stroke endarrow="block"/>
                </v:shape>
                <v:shape id="AutoShape 3775" o:spid="_x0000_s1212" type="#_x0000_t32" style="position:absolute;left:5939;top:805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4VwQAAAN4AAAAPAAAAZHJzL2Rvd25yZXYueG1sRI/LisIw&#10;FIb3gu8QjjA7m1pRpBpFREG687Jxd2iObTE5KU2s9e0ni4FZ/vw3vs1usEb01PnGsYJZkoIgLp1u&#10;uFJwv52mKxA+IGs0jknBlzzstuPRBnPtPnyh/hoqEUfY56igDqHNpfRlTRZ94lri6D1dZzFE2VVS&#10;d/iJ49bILE2X0mLD8aHGlg41la/r2ypIzWPBZpjhA4+ueFUHLPqsUOpnMuzXIAIN4T/81z5rBdl8&#10;uYgAESeigNz+AgAA//8DAFBLAQItABQABgAIAAAAIQDb4fbL7gAAAIUBAAATAAAAAAAAAAAAAAAA&#10;AAAAAABbQ29udGVudF9UeXBlc10ueG1sUEsBAi0AFAAGAAgAAAAhAFr0LFu/AAAAFQEAAAsAAAAA&#10;AAAAAAAAAAAAHwEAAF9yZWxzLy5yZWxzUEsBAi0AFAAGAAgAAAAhAMvwzhXBAAAA3gAAAA8AAAAA&#10;AAAAAAAAAAAABwIAAGRycy9kb3ducmV2LnhtbFBLBQYAAAAAAwADALcAAAD1AgAAAAA=&#10;" strokeweight="3pt">
                  <v:stroke startarrow="block"/>
                </v:shape>
                <v:shape id="AutoShape 3776" o:spid="_x0000_s1213" type="#_x0000_t32" style="position:absolute;left:7478;top:7315;width:0;height:454;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P7xgAAAN4AAAAPAAAAZHJzL2Rvd25yZXYueG1sRI9Pa8JA&#10;FMTvQr/D8gredOOfik1dpQqClx6MPXh8ZJ9JMPs2ZJ8a/fSuUOhxmJnfMItV52p1pTZUng2Mhgko&#10;4tzbigsDv4ftYA4qCLLF2jMZuFOA1fKtt8DU+hvv6ZpJoSKEQ4oGSpEm1TrkJTkMQ98QR+/kW4cS&#10;ZVto2+Itwl2tx0ky0w4rjgslNrQpKT9nF2dAtg+h7HOfre/Tk/45H3d6/jga03/vvr9ACXXyH/5r&#10;76yB8WT2MYLXnXgF9PIJAAD//wMAUEsBAi0AFAAGAAgAAAAhANvh9svuAAAAhQEAABMAAAAAAAAA&#10;AAAAAAAAAAAAAFtDb250ZW50X1R5cGVzXS54bWxQSwECLQAUAAYACAAAACEAWvQsW78AAAAVAQAA&#10;CwAAAAAAAAAAAAAAAAAfAQAAX3JlbHMvLnJlbHNQSwECLQAUAAYACAAAACEABIAT+8YAAADeAAAA&#10;DwAAAAAAAAAAAAAAAAAHAgAAZHJzL2Rvd25yZXYueG1sUEsFBgAAAAADAAMAtwAAAPoCAAAAAA==&#10;" strokeweight="3pt">
                  <v:stroke endarrow="block"/>
                </v:shape>
                <v:shape id="AutoShape 3777" o:spid="_x0000_s1214" type="#_x0000_t32" style="position:absolute;left:4285;top:7315;width:0;height:454;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gixwAAAN4AAAAPAAAAZHJzL2Rvd25yZXYueG1sRI9Ba8JA&#10;FITvQv/D8gq9iNkYNdiYVUSxtMdaxesj+5oEs29jdquxv75bKPQ4zMw3TL7qTSOu1LnasoJxFIMg&#10;LqyuuVRw+NiN5iCcR9bYWCYFd3KwWj4Mcsy0vfE7Xfe+FAHCLkMFlfdtJqUrKjLoItsSB+/TdgZ9&#10;kF0pdYe3ADeNTOI4lQZrDgsVtrSpqDjvv4yCt9328jKRw0PPp+J7Opz5Y1o/K/X02K8XIDz1/j/8&#10;137VCpJJOkvg9064AnL5AwAA//8DAFBLAQItABQABgAIAAAAIQDb4fbL7gAAAIUBAAATAAAAAAAA&#10;AAAAAAAAAAAAAABbQ29udGVudF9UeXBlc10ueG1sUEsBAi0AFAAGAAgAAAAhAFr0LFu/AAAAFQEA&#10;AAsAAAAAAAAAAAAAAAAAHwEAAF9yZWxzLy5yZWxzUEsBAi0AFAAGAAgAAAAhAByJOCLHAAAA3gAA&#10;AA8AAAAAAAAAAAAAAAAABwIAAGRycy9kb3ducmV2LnhtbFBLBQYAAAAAAwADALcAAAD7AgAAAAA=&#10;" strokeweight="3pt">
                  <v:stroke startarrow="block"/>
                </v:shape>
                <v:shape id="Text Box 3778" o:spid="_x0000_s1215" type="#_x0000_t202" style="position:absolute;left:7985;top:8580;width:2413;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3DCxgAAAN4AAAAPAAAAZHJzL2Rvd25yZXYueG1sRI/BasMw&#10;EETvgf6D2EJvsVybhuJGCaUQyCWQODn0uEgby9RaGUu1nX59VSjkOMzMG2a9nV0nRhpC61nBc5aD&#10;INbetNwouJx3y1cQISIb7DyTghsF2G4eFmusjJ/4RGMdG5EgHCpUYGPsKymDtuQwZL4nTt7VDw5j&#10;kkMjzYBTgrtOFnm+kg5bTgsWe/qwpL/qb6dgjLUtdTl1B/1zLG7703T9pKNST4/z+xuISHO8h//b&#10;e6OgKFcvJfzdSVdAbn4BAAD//wMAUEsBAi0AFAAGAAgAAAAhANvh9svuAAAAhQEAABMAAAAAAAAA&#10;AAAAAAAAAAAAAFtDb250ZW50X1R5cGVzXS54bWxQSwECLQAUAAYACAAAACEAWvQsW78AAAAVAQAA&#10;CwAAAAAAAAAAAAAAAAAfAQAAX3JlbHMvLnJlbHNQSwECLQAUAAYACAAAACEAPINwwsYAAADeAAAA&#10;DwAAAAAAAAAAAAAAAAAHAgAAZHJzL2Rvd25yZXYueG1sUEsFBgAAAAADAAMAtwAAAPoCAAAAAA==&#10;">
                  <v:stroke dashstyle="dash"/>
                  <v:textbox inset=".5mm,.3mm,.5mm,.3mm">
                    <w:txbxContent>
                      <w:p w14:paraId="34CBE8C2" w14:textId="77777777" w:rsidR="00511D9B" w:rsidRPr="00A705DD" w:rsidRDefault="00511D9B" w:rsidP="00F65092">
                        <w:pPr>
                          <w:spacing w:line="204" w:lineRule="auto"/>
                          <w:jc w:val="center"/>
                          <w:rPr>
                            <w:rFonts w:asciiTheme="minorHAnsi" w:hAnsiTheme="minorHAnsi" w:cstheme="minorHAnsi"/>
                            <w:b/>
                            <w:sz w:val="22"/>
                          </w:rPr>
                        </w:pPr>
                        <w:r w:rsidRPr="00A705DD">
                          <w:rPr>
                            <w:rFonts w:asciiTheme="minorHAnsi" w:hAnsiTheme="minorHAnsi" w:cstheme="minorHAnsi"/>
                            <w:b/>
                            <w:sz w:val="22"/>
                          </w:rPr>
                          <w:t xml:space="preserve">Rozpočtové </w:t>
                        </w:r>
                      </w:p>
                      <w:p w14:paraId="0DAD25EF" w14:textId="77777777" w:rsidR="00511D9B" w:rsidRPr="00A705DD" w:rsidRDefault="00511D9B" w:rsidP="00F65092">
                        <w:pPr>
                          <w:spacing w:line="204" w:lineRule="auto"/>
                          <w:jc w:val="center"/>
                          <w:rPr>
                            <w:rFonts w:asciiTheme="minorHAnsi" w:hAnsiTheme="minorHAnsi" w:cstheme="minorHAnsi"/>
                            <w:b/>
                            <w:sz w:val="20"/>
                            <w:szCs w:val="22"/>
                            <w:u w:val="single"/>
                          </w:rPr>
                        </w:pPr>
                        <w:r w:rsidRPr="00A705DD">
                          <w:rPr>
                            <w:rFonts w:asciiTheme="minorHAnsi" w:hAnsiTheme="minorHAnsi" w:cstheme="minorHAnsi"/>
                            <w:b/>
                            <w:sz w:val="22"/>
                          </w:rPr>
                          <w:t>provizorium</w:t>
                        </w:r>
                      </w:p>
                      <w:p w14:paraId="4694F1EE" w14:textId="77777777" w:rsidR="00511D9B" w:rsidRPr="00A705DD" w:rsidRDefault="00511D9B" w:rsidP="00F65092">
                        <w:pPr>
                          <w:spacing w:line="204" w:lineRule="auto"/>
                          <w:jc w:val="center"/>
                          <w:rPr>
                            <w:rFonts w:asciiTheme="minorHAnsi" w:hAnsiTheme="minorHAnsi" w:cstheme="minorHAnsi"/>
                            <w:sz w:val="20"/>
                            <w:szCs w:val="20"/>
                          </w:rPr>
                        </w:pPr>
                        <w:r w:rsidRPr="00A705DD">
                          <w:rPr>
                            <w:rFonts w:asciiTheme="minorHAnsi" w:hAnsiTheme="minorHAnsi" w:cstheme="minorHAnsi"/>
                            <w:sz w:val="20"/>
                            <w:szCs w:val="20"/>
                          </w:rPr>
                          <w:t xml:space="preserve">Od 1.1 rozpočtového období (není-li rozpočet schválen); </w:t>
                        </w:r>
                      </w:p>
                      <w:p w14:paraId="5B120276" w14:textId="77777777" w:rsidR="00511D9B" w:rsidRPr="00A705DD" w:rsidRDefault="00511D9B" w:rsidP="00F65092">
                        <w:pPr>
                          <w:spacing w:line="204" w:lineRule="auto"/>
                          <w:jc w:val="center"/>
                          <w:rPr>
                            <w:rFonts w:asciiTheme="minorHAnsi" w:hAnsiTheme="minorHAnsi" w:cstheme="minorHAnsi"/>
                            <w:sz w:val="22"/>
                            <w:szCs w:val="22"/>
                          </w:rPr>
                        </w:pPr>
                        <w:r w:rsidRPr="00A705DD">
                          <w:rPr>
                            <w:rFonts w:asciiTheme="minorHAnsi" w:hAnsiTheme="minorHAnsi" w:cstheme="minorHAnsi"/>
                            <w:sz w:val="20"/>
                            <w:szCs w:val="20"/>
                          </w:rPr>
                          <w:t>do doby jeho schválení</w:t>
                        </w: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3779" o:spid="_x0000_s1216" type="#_x0000_t94" style="position:absolute;left:9858;top:8195;width:587;height:4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fVxgAAAN4AAAAPAAAAZHJzL2Rvd25yZXYueG1sRI9BawIx&#10;FITvBf9DeIK3mqitrKtRRBA8tIeuHnp83Tw3i5uXZRN1+++bguBxmJlvmNWmd424URdqzxomYwWC&#10;uPSm5krD6bh/zUCEiGyw8UwafinAZj14WWFu/J2/6FbESiQIhxw12BjbXMpQWnIYxr4lTt7Zdw5j&#10;kl0lTYf3BHeNnCo1lw5rTgsWW9pZKi/F1Wkobb/4VsW+cFlWGXU8ffwsPoPWo2G/XYKI1Mdn+NE+&#10;GA3T2fz9Df7vpCsg138AAAD//wMAUEsBAi0AFAAGAAgAAAAhANvh9svuAAAAhQEAABMAAAAAAAAA&#10;AAAAAAAAAAAAAFtDb250ZW50X1R5cGVzXS54bWxQSwECLQAUAAYACAAAACEAWvQsW78AAAAVAQAA&#10;CwAAAAAAAAAAAAAAAAAfAQAAX3JlbHMvLnJlbHNQSwECLQAUAAYACAAAACEA11G31cYAAADeAAAA&#10;DwAAAAAAAAAAAAAAAAAHAgAAZHJzL2Rvd25yZXYueG1sUEsFBgAAAAADAAMAtwAAAPoCAAAAAA==&#10;" adj="11407,6554" fillcolor="silver"/>
                <v:shape id="AutoShape 3780" o:spid="_x0000_s1217" style="position:absolute;left:7251;top:8388;width:909;height:874;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ipNxgAAAN4AAAAPAAAAZHJzL2Rvd25yZXYueG1sRI9BawIx&#10;FITvhf6H8ITeaqJFKatxKRWLnqRbe+jtuXndXdy8LElct//eCAWPw8x8wyzzwbaiJx8axxomYwWC&#10;uHSm4UrD4Wvz/AoiRGSDrWPS8EcB8tXjwxIz4y78SX0RK5EgHDLUUMfYZVKGsiaLYew64uT9Om8x&#10;JukraTxeEty2cqrUXFpsOC3U2NF7TeWpOFsN9tgV5Yfcqv3PSa2bcPj2O9po/TQa3hYgIg3xHv5v&#10;b42G6ct8NoPbnXQF5OoKAAD//wMAUEsBAi0AFAAGAAgAAAAhANvh9svuAAAAhQEAABMAAAAAAAAA&#10;AAAAAAAAAAAAAFtDb250ZW50X1R5cGVzXS54bWxQSwECLQAUAAYACAAAACEAWvQsW78AAAAVAQAA&#10;CwAAAAAAAAAAAAAAAAAfAQAAX3JlbHMvLnJlbHNQSwECLQAUAAYACAAAACEAOmoqTcYAAADeAAAA&#10;DwAAAAAAAAAAAAAAAAAHAgAAZHJzL2Rvd25yZXYueG1sUEsFBgAAAAADAAMAtwAAAPoCAAAAAA==&#10;" path="m21600,6079l15126,r,2912l12427,2912c5564,2912,,7052,,12158r,9442l6474,21600r,-9442c6474,10550,9139,9246,12427,9246r2699,l15126,12158,21600,6079xe" fillcolor="silver">
                  <v:stroke joinstyle="miter"/>
                  <v:path o:connecttype="custom" o:connectlocs="637,0;637,492;136,874;909,246" o:connectangles="270,90,90,0" textboxrect="12428,2916,18226,9243"/>
                </v:shape>
              </v:group>
            </w:pict>
          </mc:Fallback>
        </mc:AlternateContent>
      </w:r>
      <w:r w:rsidR="00F65092" w:rsidRPr="000828C6">
        <w:rPr>
          <w:rFonts w:asciiTheme="minorHAnsi" w:eastAsia="Calibri" w:hAnsiTheme="minorHAnsi" w:cstheme="minorHAnsi"/>
          <w:i/>
          <w:iCs/>
          <w:lang w:val="cs-CZ" w:eastAsia="cs-CZ"/>
        </w:rPr>
        <w:t>Obr.</w:t>
      </w:r>
      <w:r w:rsidRPr="000828C6">
        <w:rPr>
          <w:rFonts w:asciiTheme="minorHAnsi" w:eastAsia="Calibri" w:hAnsiTheme="minorHAnsi" w:cstheme="minorHAnsi"/>
          <w:i/>
          <w:iCs/>
          <w:lang w:val="cs-CZ" w:eastAsia="cs-CZ"/>
        </w:rPr>
        <w:t xml:space="preserve"> </w:t>
      </w:r>
      <w:r w:rsidR="00257449">
        <w:rPr>
          <w:rFonts w:asciiTheme="minorHAnsi" w:eastAsia="Calibri" w:hAnsiTheme="minorHAnsi" w:cstheme="minorHAnsi"/>
          <w:i/>
          <w:iCs/>
          <w:lang w:val="cs-CZ" w:eastAsia="cs-CZ"/>
        </w:rPr>
        <w:t>13</w:t>
      </w:r>
      <w:r w:rsidR="00F65092" w:rsidRPr="000828C6">
        <w:rPr>
          <w:rFonts w:asciiTheme="minorHAnsi" w:eastAsia="Calibri" w:hAnsiTheme="minorHAnsi" w:cstheme="minorHAnsi"/>
          <w:i/>
          <w:iCs/>
          <w:lang w:val="cs-CZ" w:eastAsia="cs-CZ"/>
        </w:rPr>
        <w:t xml:space="preserve"> Rozpočtový proces obce </w:t>
      </w:r>
      <w:r w:rsidR="00F65092" w:rsidRPr="000828C6">
        <w:rPr>
          <w:rFonts w:ascii="Calibri" w:hAnsi="Calibri"/>
          <w:i/>
          <w:iCs/>
          <w:lang w:val="cs-CZ"/>
        </w:rPr>
        <w:t>/ kraje</w:t>
      </w:r>
    </w:p>
    <w:p w14:paraId="371C56CB" w14:textId="2825B789" w:rsidR="00F65092" w:rsidRPr="003D1574" w:rsidRDefault="00F65092" w:rsidP="00F65092">
      <w:pPr>
        <w:pStyle w:val="A1-text"/>
        <w:spacing w:after="120"/>
        <w:rPr>
          <w:rFonts w:ascii="Calibri" w:hAnsi="Calibri"/>
          <w:lang w:val="cs-CZ"/>
        </w:rPr>
      </w:pPr>
    </w:p>
    <w:p w14:paraId="553A68E9" w14:textId="77777777" w:rsidR="00F65092" w:rsidRPr="003D1574" w:rsidRDefault="00F65092" w:rsidP="00F65092">
      <w:pPr>
        <w:pStyle w:val="A1-text"/>
        <w:spacing w:after="120"/>
        <w:rPr>
          <w:rFonts w:ascii="Calibri" w:hAnsi="Calibri"/>
          <w:lang w:val="cs-CZ"/>
        </w:rPr>
      </w:pPr>
    </w:p>
    <w:p w14:paraId="3CD79134" w14:textId="77777777" w:rsidR="00F65092" w:rsidRPr="003D1574" w:rsidRDefault="00F65092" w:rsidP="00F65092">
      <w:pPr>
        <w:pStyle w:val="A1-text"/>
        <w:spacing w:after="120"/>
        <w:rPr>
          <w:rFonts w:ascii="Calibri" w:hAnsi="Calibri"/>
          <w:lang w:val="cs-CZ"/>
        </w:rPr>
      </w:pPr>
    </w:p>
    <w:p w14:paraId="34EA5A92" w14:textId="77777777" w:rsidR="00F65092" w:rsidRPr="003D1574" w:rsidRDefault="00F65092" w:rsidP="00F65092">
      <w:pPr>
        <w:pStyle w:val="A1-text"/>
        <w:spacing w:after="120"/>
        <w:rPr>
          <w:rFonts w:ascii="Calibri" w:hAnsi="Calibri"/>
          <w:lang w:val="cs-CZ"/>
        </w:rPr>
      </w:pPr>
    </w:p>
    <w:p w14:paraId="1DA17559" w14:textId="77777777" w:rsidR="00F65092" w:rsidRPr="003D1574" w:rsidRDefault="00F65092" w:rsidP="00F65092">
      <w:pPr>
        <w:pStyle w:val="A1-text"/>
        <w:spacing w:after="120"/>
        <w:rPr>
          <w:rFonts w:ascii="Calibri" w:hAnsi="Calibri"/>
          <w:lang w:val="cs-CZ"/>
        </w:rPr>
      </w:pPr>
    </w:p>
    <w:p w14:paraId="561F96CC" w14:textId="77777777" w:rsidR="00F65092" w:rsidRPr="003D1574" w:rsidRDefault="00F65092" w:rsidP="00F65092">
      <w:pPr>
        <w:pStyle w:val="A1-text"/>
        <w:spacing w:after="120"/>
        <w:rPr>
          <w:rFonts w:ascii="Calibri" w:hAnsi="Calibri"/>
          <w:lang w:val="cs-CZ"/>
        </w:rPr>
      </w:pPr>
    </w:p>
    <w:p w14:paraId="14E8E42F" w14:textId="77777777" w:rsidR="00F65092" w:rsidRPr="003D1574" w:rsidRDefault="00F65092" w:rsidP="00F65092">
      <w:pPr>
        <w:pStyle w:val="A1-text"/>
        <w:spacing w:after="120"/>
        <w:rPr>
          <w:rFonts w:ascii="Calibri" w:hAnsi="Calibri"/>
          <w:lang w:val="cs-CZ"/>
        </w:rPr>
      </w:pPr>
    </w:p>
    <w:p w14:paraId="17972C06" w14:textId="77777777" w:rsidR="00EB6FAF" w:rsidRDefault="00EB6FAF" w:rsidP="007A352D">
      <w:pPr>
        <w:pStyle w:val="A1-text"/>
        <w:spacing w:after="120"/>
        <w:rPr>
          <w:rFonts w:ascii="Calibri" w:hAnsi="Calibri"/>
          <w:i/>
          <w:iCs/>
          <w:lang w:val="cs-CZ"/>
        </w:rPr>
      </w:pPr>
    </w:p>
    <w:p w14:paraId="6E403741" w14:textId="6BD9A4E1" w:rsidR="00A345DB" w:rsidRDefault="00F65092" w:rsidP="007A352D">
      <w:pPr>
        <w:pStyle w:val="A1-text"/>
        <w:spacing w:after="120"/>
        <w:rPr>
          <w:rFonts w:ascii="Calibri" w:hAnsi="Calibri"/>
          <w:i/>
          <w:iCs/>
          <w:lang w:val="cs-CZ"/>
        </w:rPr>
      </w:pPr>
      <w:r w:rsidRPr="000828C6">
        <w:rPr>
          <w:rFonts w:ascii="Calibri" w:hAnsi="Calibri"/>
          <w:i/>
          <w:iCs/>
          <w:lang w:val="cs-CZ"/>
        </w:rPr>
        <w:t>Zdroj: upraveno dle Ochrana, Půček, Špaček 2015</w:t>
      </w:r>
    </w:p>
    <w:p w14:paraId="5EDEE71B" w14:textId="1A25E4EF" w:rsidR="00A345DB" w:rsidRDefault="00A345DB" w:rsidP="00A345DB">
      <w:pPr>
        <w:pStyle w:val="Nadpis2"/>
        <w:spacing w:before="240" w:after="120"/>
        <w:ind w:left="578" w:hanging="578"/>
        <w:rPr>
          <w:rFonts w:asciiTheme="minorHAnsi" w:hAnsiTheme="minorHAnsi" w:cstheme="minorHAnsi"/>
          <w:color w:val="7493B0"/>
          <w:sz w:val="24"/>
          <w:szCs w:val="24"/>
          <w:lang w:val="cs-CZ"/>
        </w:rPr>
      </w:pPr>
      <w:bookmarkStart w:id="20" w:name="_Toc117269990"/>
      <w:r>
        <w:rPr>
          <w:rFonts w:asciiTheme="minorHAnsi" w:hAnsiTheme="minorHAnsi" w:cstheme="minorHAnsi"/>
          <w:color w:val="7493B0"/>
          <w:sz w:val="24"/>
          <w:szCs w:val="24"/>
          <w:lang w:val="cs-CZ"/>
        </w:rPr>
        <w:lastRenderedPageBreak/>
        <w:t>Rozpočtování jako součást finančního řízení</w:t>
      </w:r>
      <w:bookmarkEnd w:id="20"/>
      <w:r>
        <w:rPr>
          <w:rFonts w:asciiTheme="minorHAnsi" w:hAnsiTheme="minorHAnsi" w:cstheme="minorHAnsi"/>
          <w:color w:val="7493B0"/>
          <w:sz w:val="24"/>
          <w:szCs w:val="24"/>
          <w:lang w:val="cs-CZ"/>
        </w:rPr>
        <w:t xml:space="preserve"> </w:t>
      </w:r>
    </w:p>
    <w:p w14:paraId="3721F779" w14:textId="06046D51" w:rsidR="00A345DB" w:rsidRPr="004C55F5" w:rsidRDefault="00400F02" w:rsidP="00A345DB">
      <w:pPr>
        <w:pStyle w:val="A1-text"/>
        <w:spacing w:after="0"/>
        <w:contextualSpacing/>
        <w:rPr>
          <w:rFonts w:asciiTheme="minorHAnsi" w:hAnsiTheme="minorHAnsi" w:cstheme="minorHAnsi"/>
          <w:lang w:val="cs-CZ"/>
        </w:rPr>
      </w:pPr>
      <w:r w:rsidRPr="00B37DF3">
        <w:rPr>
          <w:rFonts w:asciiTheme="minorHAnsi" w:hAnsiTheme="minorHAnsi" w:cstheme="minorHAnsi"/>
        </w:rPr>
        <w:t xml:space="preserve">Jednou z důležitých zásad zdravého finančního řízení (viz kapitola 9.1) je propojení </w:t>
      </w:r>
      <w:r>
        <w:rPr>
          <w:rFonts w:asciiTheme="minorHAnsi" w:hAnsiTheme="minorHAnsi" w:cstheme="minorHAnsi"/>
        </w:rPr>
        <w:t xml:space="preserve">strategického řízení a rozpočtu, respektive </w:t>
      </w:r>
      <w:r>
        <w:rPr>
          <w:rFonts w:asciiTheme="minorHAnsi" w:hAnsiTheme="minorHAnsi" w:cstheme="minorHAnsi"/>
          <w:lang w:val="cs-CZ"/>
        </w:rPr>
        <w:t xml:space="preserve">obecněji propojení strategického řízení </w:t>
      </w:r>
      <w:r>
        <w:rPr>
          <w:rFonts w:asciiTheme="minorHAnsi" w:hAnsiTheme="minorHAnsi" w:cstheme="minorHAnsi"/>
        </w:rPr>
        <w:t>s finančním řízením.</w:t>
      </w:r>
      <w:r>
        <w:rPr>
          <w:rFonts w:asciiTheme="minorHAnsi" w:hAnsiTheme="minorHAnsi" w:cstheme="minorHAnsi"/>
          <w:lang w:val="cs-CZ"/>
        </w:rPr>
        <w:t xml:space="preserve"> </w:t>
      </w:r>
      <w:r w:rsidR="0087794B" w:rsidRPr="0087794B">
        <w:rPr>
          <w:rFonts w:asciiTheme="minorHAnsi" w:hAnsiTheme="minorHAnsi" w:cstheme="minorHAnsi"/>
        </w:rPr>
        <w:t>Rozpočtování a hospodaření dle schváleného rozpočtu je klíč</w:t>
      </w:r>
      <w:r>
        <w:rPr>
          <w:rFonts w:asciiTheme="minorHAnsi" w:hAnsiTheme="minorHAnsi" w:cstheme="minorHAnsi"/>
        </w:rPr>
        <w:t>ovou součástí finančního řízení</w:t>
      </w:r>
      <w:r w:rsidR="0087794B" w:rsidRPr="0087794B">
        <w:rPr>
          <w:rFonts w:asciiTheme="minorHAnsi" w:hAnsiTheme="minorHAnsi" w:cstheme="minorHAnsi"/>
        </w:rPr>
        <w:t>.</w:t>
      </w:r>
      <w:r w:rsidR="0087794B">
        <w:rPr>
          <w:rFonts w:asciiTheme="minorHAnsi" w:hAnsiTheme="minorHAnsi" w:cstheme="minorHAnsi"/>
          <w:lang w:val="cs-CZ"/>
        </w:rPr>
        <w:t xml:space="preserve"> </w:t>
      </w:r>
      <w:r w:rsidR="00A345DB" w:rsidRPr="0087794B">
        <w:rPr>
          <w:rFonts w:asciiTheme="minorHAnsi" w:hAnsiTheme="minorHAnsi" w:cstheme="minorHAnsi"/>
          <w:lang w:val="cs-CZ"/>
        </w:rPr>
        <w:t>V r</w:t>
      </w:r>
      <w:r w:rsidR="0087794B">
        <w:rPr>
          <w:rFonts w:asciiTheme="minorHAnsi" w:hAnsiTheme="minorHAnsi" w:cstheme="minorHAnsi"/>
          <w:lang w:val="cs-CZ"/>
        </w:rPr>
        <w:t>ámci tohoto tex</w:t>
      </w:r>
      <w:r>
        <w:rPr>
          <w:rFonts w:asciiTheme="minorHAnsi" w:hAnsiTheme="minorHAnsi" w:cstheme="minorHAnsi"/>
          <w:lang w:val="cs-CZ"/>
        </w:rPr>
        <w:t xml:space="preserve">tu chápeme </w:t>
      </w:r>
      <w:r w:rsidRPr="00400F02">
        <w:rPr>
          <w:rFonts w:asciiTheme="minorHAnsi" w:hAnsiTheme="minorHAnsi" w:cstheme="minorHAnsi"/>
          <w:b/>
          <w:lang w:val="cs-CZ"/>
        </w:rPr>
        <w:t xml:space="preserve">finanční řízení </w:t>
      </w:r>
      <w:r w:rsidR="00A345DB" w:rsidRPr="00400F02">
        <w:rPr>
          <w:rFonts w:asciiTheme="minorHAnsi" w:hAnsiTheme="minorHAnsi" w:cstheme="minorHAnsi"/>
          <w:b/>
        </w:rPr>
        <w:t>(</w:t>
      </w:r>
      <w:r w:rsidR="0087794B" w:rsidRPr="00400F02">
        <w:rPr>
          <w:rFonts w:asciiTheme="minorHAnsi" w:hAnsiTheme="minorHAnsi" w:cstheme="minorHAnsi"/>
          <w:b/>
          <w:lang w:val="cs-CZ"/>
        </w:rPr>
        <w:t>management</w:t>
      </w:r>
      <w:r w:rsidR="00A345DB" w:rsidRPr="00400F02">
        <w:rPr>
          <w:rFonts w:asciiTheme="minorHAnsi" w:hAnsiTheme="minorHAnsi" w:cstheme="minorHAnsi"/>
          <w:b/>
        </w:rPr>
        <w:t>)</w:t>
      </w:r>
      <w:r w:rsidR="00A345DB" w:rsidRPr="009E4AE5">
        <w:rPr>
          <w:rFonts w:asciiTheme="minorHAnsi" w:hAnsiTheme="minorHAnsi" w:cstheme="minorHAnsi"/>
        </w:rPr>
        <w:t xml:space="preserve"> </w:t>
      </w:r>
      <w:r w:rsidR="004C55F5">
        <w:rPr>
          <w:rFonts w:asciiTheme="minorHAnsi" w:hAnsiTheme="minorHAnsi" w:cstheme="minorHAnsi"/>
          <w:lang w:val="cs-CZ"/>
        </w:rPr>
        <w:t>j</w:t>
      </w:r>
      <w:r>
        <w:rPr>
          <w:rFonts w:asciiTheme="minorHAnsi" w:hAnsiTheme="minorHAnsi" w:cstheme="minorHAnsi"/>
          <w:lang w:val="cs-CZ"/>
        </w:rPr>
        <w:t>ako</w:t>
      </w:r>
      <w:r w:rsidR="004C55F5">
        <w:rPr>
          <w:rFonts w:asciiTheme="minorHAnsi" w:hAnsiTheme="minorHAnsi" w:cstheme="minorHAnsi"/>
          <w:lang w:val="cs-CZ"/>
        </w:rPr>
        <w:t xml:space="preserve"> proces systematického</w:t>
      </w:r>
    </w:p>
    <w:p w14:paraId="2D1FAB8F" w14:textId="6EE2B404" w:rsidR="00A345DB" w:rsidRPr="007A37DB" w:rsidRDefault="000A1555" w:rsidP="00A345DB">
      <w:pPr>
        <w:pStyle w:val="A1-text"/>
        <w:numPr>
          <w:ilvl w:val="0"/>
          <w:numId w:val="57"/>
        </w:numPr>
        <w:tabs>
          <w:tab w:val="clear" w:pos="284"/>
          <w:tab w:val="left" w:pos="426"/>
        </w:tabs>
        <w:spacing w:after="0"/>
        <w:ind w:left="426"/>
        <w:contextualSpacing/>
        <w:rPr>
          <w:rFonts w:asciiTheme="minorHAnsi" w:hAnsiTheme="minorHAnsi" w:cstheme="minorHAnsi"/>
          <w:lang w:val="cs-CZ"/>
        </w:rPr>
      </w:pPr>
      <w:r>
        <w:rPr>
          <w:rFonts w:asciiTheme="minorHAnsi" w:hAnsiTheme="minorHAnsi" w:cstheme="minorHAnsi"/>
          <w:b/>
          <w:lang w:val="cs-CZ"/>
        </w:rPr>
        <w:t xml:space="preserve">plánování </w:t>
      </w:r>
      <w:r w:rsidR="0087794B">
        <w:rPr>
          <w:rFonts w:asciiTheme="minorHAnsi" w:hAnsiTheme="minorHAnsi" w:cstheme="minorHAnsi"/>
          <w:lang w:val="cs-CZ"/>
        </w:rPr>
        <w:t>zdrojů (včetně rozpočtu) a ekonomicko-správních činností</w:t>
      </w:r>
      <w:r w:rsidR="00A345DB">
        <w:rPr>
          <w:rFonts w:asciiTheme="minorHAnsi" w:hAnsiTheme="minorHAnsi" w:cstheme="minorHAnsi"/>
        </w:rPr>
        <w:t>;</w:t>
      </w:r>
      <w:r w:rsidR="00A345DB" w:rsidRPr="007A37DB">
        <w:rPr>
          <w:rFonts w:asciiTheme="minorHAnsi" w:hAnsiTheme="minorHAnsi" w:cstheme="minorHAnsi"/>
          <w:lang w:val="cs-CZ"/>
        </w:rPr>
        <w:t xml:space="preserve"> </w:t>
      </w:r>
      <w:r w:rsidR="0087794B">
        <w:rPr>
          <w:rFonts w:asciiTheme="minorHAnsi" w:hAnsiTheme="minorHAnsi" w:cstheme="minorHAnsi"/>
          <w:lang w:val="cs-CZ"/>
        </w:rPr>
        <w:t xml:space="preserve">jejich </w:t>
      </w:r>
      <w:r w:rsidR="00A345DB" w:rsidRPr="007A37DB">
        <w:rPr>
          <w:rFonts w:asciiTheme="minorHAnsi" w:hAnsiTheme="minorHAnsi" w:cstheme="minorHAnsi"/>
          <w:b/>
        </w:rPr>
        <w:t xml:space="preserve">organizování a </w:t>
      </w:r>
      <w:r w:rsidR="00A345DB" w:rsidRPr="007A37DB">
        <w:rPr>
          <w:rFonts w:asciiTheme="minorHAnsi" w:hAnsiTheme="minorHAnsi" w:cstheme="minorHAnsi"/>
          <w:b/>
          <w:lang w:val="cs-CZ"/>
        </w:rPr>
        <w:t>koordinování</w:t>
      </w:r>
      <w:r w:rsidR="00A345DB">
        <w:rPr>
          <w:rFonts w:asciiTheme="minorHAnsi" w:hAnsiTheme="minorHAnsi" w:cstheme="minorHAnsi"/>
          <w:lang w:val="cs-CZ"/>
        </w:rPr>
        <w:t>;</w:t>
      </w:r>
      <w:r w:rsidR="00A345DB" w:rsidRPr="007A37DB">
        <w:rPr>
          <w:rFonts w:asciiTheme="minorHAnsi" w:hAnsiTheme="minorHAnsi" w:cstheme="minorHAnsi"/>
          <w:lang w:val="cs-CZ"/>
        </w:rPr>
        <w:t xml:space="preserve"> </w:t>
      </w:r>
      <w:r w:rsidR="00A345DB" w:rsidRPr="007A37DB">
        <w:rPr>
          <w:rFonts w:asciiTheme="minorHAnsi" w:hAnsiTheme="minorHAnsi" w:cstheme="minorHAnsi"/>
          <w:b/>
        </w:rPr>
        <w:t>vedení</w:t>
      </w:r>
      <w:r w:rsidR="00A345DB" w:rsidRPr="007A37DB">
        <w:rPr>
          <w:rFonts w:asciiTheme="minorHAnsi" w:hAnsiTheme="minorHAnsi" w:cstheme="minorHAnsi"/>
        </w:rPr>
        <w:t xml:space="preserve"> </w:t>
      </w:r>
      <w:r w:rsidR="0087794B">
        <w:rPr>
          <w:rFonts w:asciiTheme="minorHAnsi" w:hAnsiTheme="minorHAnsi" w:cstheme="minorHAnsi"/>
          <w:lang w:val="cs-CZ"/>
        </w:rPr>
        <w:t>podřízených</w:t>
      </w:r>
      <w:r w:rsidR="00A345DB" w:rsidRPr="007A37DB">
        <w:rPr>
          <w:rFonts w:asciiTheme="minorHAnsi" w:hAnsiTheme="minorHAnsi" w:cstheme="minorHAnsi"/>
        </w:rPr>
        <w:t xml:space="preserve"> </w:t>
      </w:r>
      <w:r w:rsidR="00A345DB" w:rsidRPr="007A37DB">
        <w:rPr>
          <w:rFonts w:asciiTheme="minorHAnsi" w:hAnsiTheme="minorHAnsi" w:cstheme="minorHAnsi"/>
          <w:b/>
        </w:rPr>
        <w:t>a motivování</w:t>
      </w:r>
      <w:r w:rsidR="00A345DB" w:rsidRPr="007A37DB">
        <w:rPr>
          <w:rFonts w:asciiTheme="minorHAnsi" w:hAnsiTheme="minorHAnsi" w:cstheme="minorHAnsi"/>
        </w:rPr>
        <w:t xml:space="preserve"> </w:t>
      </w:r>
      <w:r w:rsidR="00A345DB" w:rsidRPr="007A37DB">
        <w:rPr>
          <w:rFonts w:asciiTheme="minorHAnsi" w:hAnsiTheme="minorHAnsi" w:cstheme="minorHAnsi"/>
          <w:lang w:val="cs-CZ"/>
        </w:rPr>
        <w:t xml:space="preserve">sebe </w:t>
      </w:r>
      <w:r w:rsidR="00A345DB" w:rsidRPr="007A37DB">
        <w:rPr>
          <w:rFonts w:asciiTheme="minorHAnsi" w:hAnsiTheme="minorHAnsi" w:cstheme="minorHAnsi"/>
        </w:rPr>
        <w:t xml:space="preserve">a </w:t>
      </w:r>
      <w:r w:rsidR="00A345DB" w:rsidRPr="007A37DB">
        <w:rPr>
          <w:rFonts w:asciiTheme="minorHAnsi" w:hAnsiTheme="minorHAnsi" w:cstheme="minorHAnsi"/>
          <w:lang w:val="cs-CZ"/>
        </w:rPr>
        <w:t>všech</w:t>
      </w:r>
      <w:r w:rsidR="00A345DB" w:rsidRPr="007A37DB">
        <w:rPr>
          <w:rFonts w:asciiTheme="minorHAnsi" w:hAnsiTheme="minorHAnsi" w:cstheme="minorHAnsi"/>
        </w:rPr>
        <w:t xml:space="preserve"> zapojených osob</w:t>
      </w:r>
      <w:r w:rsidR="00A345DB">
        <w:rPr>
          <w:rFonts w:asciiTheme="minorHAnsi" w:hAnsiTheme="minorHAnsi" w:cstheme="minorHAnsi"/>
        </w:rPr>
        <w:t>;</w:t>
      </w:r>
      <w:r w:rsidR="00A345DB" w:rsidRPr="007A37DB">
        <w:rPr>
          <w:rFonts w:asciiTheme="minorHAnsi" w:hAnsiTheme="minorHAnsi" w:cstheme="minorHAnsi"/>
          <w:lang w:val="cs-CZ"/>
        </w:rPr>
        <w:t xml:space="preserve"> </w:t>
      </w:r>
      <w:r w:rsidR="0087794B">
        <w:rPr>
          <w:rFonts w:asciiTheme="minorHAnsi" w:hAnsiTheme="minorHAnsi" w:cstheme="minorHAnsi"/>
          <w:lang w:val="cs-CZ"/>
        </w:rPr>
        <w:t>finanční</w:t>
      </w:r>
      <w:r w:rsidR="00A345DB" w:rsidRPr="007A37DB">
        <w:rPr>
          <w:rFonts w:asciiTheme="minorHAnsi" w:hAnsiTheme="minorHAnsi" w:cstheme="minorHAnsi"/>
        </w:rPr>
        <w:t xml:space="preserve"> </w:t>
      </w:r>
      <w:r w:rsidR="00A345DB" w:rsidRPr="007A37DB">
        <w:rPr>
          <w:rFonts w:asciiTheme="minorHAnsi" w:hAnsiTheme="minorHAnsi" w:cstheme="minorHAnsi"/>
          <w:b/>
        </w:rPr>
        <w:t>kontrolu</w:t>
      </w:r>
      <w:r w:rsidR="00A345DB" w:rsidRPr="007A37DB">
        <w:rPr>
          <w:rFonts w:asciiTheme="minorHAnsi" w:hAnsiTheme="minorHAnsi" w:cstheme="minorHAnsi"/>
        </w:rPr>
        <w:t xml:space="preserve"> </w:t>
      </w:r>
      <w:r w:rsidR="0087794B">
        <w:rPr>
          <w:rFonts w:asciiTheme="minorHAnsi" w:hAnsiTheme="minorHAnsi" w:cstheme="minorHAnsi"/>
          <w:lang w:val="cs-CZ"/>
        </w:rPr>
        <w:t>prováděných činností</w:t>
      </w:r>
      <w:r w:rsidR="00A345DB" w:rsidRPr="007A37DB">
        <w:rPr>
          <w:rFonts w:asciiTheme="minorHAnsi" w:hAnsiTheme="minorHAnsi" w:cstheme="minorHAnsi"/>
          <w:lang w:val="cs-CZ"/>
        </w:rPr>
        <w:t>,</w:t>
      </w:r>
    </w:p>
    <w:p w14:paraId="3305552E" w14:textId="3FA3CF4D" w:rsidR="00A345DB" w:rsidRPr="00B5069C" w:rsidRDefault="00A345DB" w:rsidP="00A345DB">
      <w:pPr>
        <w:pStyle w:val="A1-text"/>
        <w:numPr>
          <w:ilvl w:val="0"/>
          <w:numId w:val="57"/>
        </w:numPr>
        <w:tabs>
          <w:tab w:val="clear" w:pos="284"/>
          <w:tab w:val="left" w:pos="426"/>
        </w:tabs>
        <w:spacing w:after="0"/>
        <w:ind w:left="426"/>
        <w:rPr>
          <w:rFonts w:asciiTheme="minorHAnsi" w:hAnsiTheme="minorHAnsi" w:cstheme="minorHAnsi"/>
          <w:lang w:val="cs-CZ"/>
        </w:rPr>
      </w:pPr>
      <w:r>
        <w:rPr>
          <w:rFonts w:asciiTheme="minorHAnsi" w:hAnsiTheme="minorHAnsi" w:cstheme="minorHAnsi"/>
          <w:lang w:val="cs-CZ"/>
        </w:rPr>
        <w:t xml:space="preserve">současně též při </w:t>
      </w:r>
      <w:r w:rsidR="0087794B">
        <w:rPr>
          <w:rFonts w:asciiTheme="minorHAnsi" w:hAnsiTheme="minorHAnsi" w:cstheme="minorHAnsi"/>
          <w:lang w:val="cs-CZ"/>
        </w:rPr>
        <w:t>provádění činností</w:t>
      </w:r>
      <w:r>
        <w:rPr>
          <w:rFonts w:asciiTheme="minorHAnsi" w:hAnsiTheme="minorHAnsi" w:cstheme="minorHAnsi"/>
          <w:lang w:val="cs-CZ"/>
        </w:rPr>
        <w:t xml:space="preserve"> </w:t>
      </w:r>
      <w:r w:rsidRPr="00AC40E5">
        <w:rPr>
          <w:rFonts w:asciiTheme="minorHAnsi" w:hAnsiTheme="minorHAnsi" w:cstheme="minorHAnsi"/>
          <w:b/>
          <w:lang w:val="cs-CZ"/>
        </w:rPr>
        <w:t>správné rozhodování</w:t>
      </w:r>
      <w:r>
        <w:rPr>
          <w:rFonts w:asciiTheme="minorHAnsi" w:hAnsiTheme="minorHAnsi" w:cstheme="minorHAnsi"/>
          <w:lang w:val="cs-CZ"/>
        </w:rPr>
        <w:t xml:space="preserve"> (na základě analýzy možných variant, přijetí správného rozhodnutí a jeho implementaci</w:t>
      </w:r>
      <w:r w:rsidR="0087794B">
        <w:rPr>
          <w:rFonts w:asciiTheme="minorHAnsi" w:hAnsiTheme="minorHAnsi" w:cstheme="minorHAnsi"/>
          <w:lang w:val="cs-CZ"/>
        </w:rPr>
        <w:t>)</w:t>
      </w:r>
      <w:r>
        <w:rPr>
          <w:rFonts w:asciiTheme="minorHAnsi" w:hAnsiTheme="minorHAnsi" w:cstheme="minorHAnsi"/>
          <w:lang w:val="cs-CZ"/>
        </w:rPr>
        <w:t>,</w:t>
      </w:r>
    </w:p>
    <w:p w14:paraId="5F45CA85" w14:textId="638F20FA" w:rsidR="004C55F5" w:rsidRPr="004C55F5" w:rsidRDefault="004C55F5" w:rsidP="004C55F5">
      <w:pPr>
        <w:pStyle w:val="A1-text"/>
        <w:spacing w:after="0"/>
        <w:rPr>
          <w:rFonts w:asciiTheme="minorHAnsi" w:hAnsiTheme="minorHAnsi" w:cstheme="minorHAnsi"/>
        </w:rPr>
      </w:pPr>
      <w:r>
        <w:rPr>
          <w:rFonts w:asciiTheme="minorHAnsi" w:hAnsiTheme="minorHAnsi" w:cstheme="minorHAnsi"/>
          <w:lang w:val="cs-CZ"/>
        </w:rPr>
        <w:t xml:space="preserve">tak, aby směřovaly </w:t>
      </w:r>
      <w:r w:rsidRPr="004C55F5">
        <w:rPr>
          <w:rFonts w:asciiTheme="minorHAnsi" w:hAnsiTheme="minorHAnsi" w:cstheme="minorHAnsi"/>
        </w:rPr>
        <w:t xml:space="preserve">k </w:t>
      </w:r>
      <w:r>
        <w:rPr>
          <w:rFonts w:asciiTheme="minorHAnsi" w:hAnsiTheme="minorHAnsi" w:cstheme="minorHAnsi"/>
        </w:rPr>
        <w:t xml:space="preserve">dosahování cílů </w:t>
      </w:r>
      <w:r w:rsidR="000178E8">
        <w:rPr>
          <w:rFonts w:asciiTheme="minorHAnsi" w:hAnsiTheme="minorHAnsi" w:cstheme="minorHAnsi"/>
          <w:lang w:val="cs-CZ"/>
        </w:rPr>
        <w:t>(</w:t>
      </w:r>
      <w:r w:rsidR="00400F02">
        <w:rPr>
          <w:rFonts w:asciiTheme="minorHAnsi" w:hAnsiTheme="minorHAnsi" w:cstheme="minorHAnsi"/>
          <w:lang w:val="cs-CZ"/>
        </w:rPr>
        <w:t xml:space="preserve">a to jak </w:t>
      </w:r>
      <w:r w:rsidR="00400F02" w:rsidRPr="00876592">
        <w:rPr>
          <w:rFonts w:asciiTheme="minorHAnsi" w:hAnsiTheme="minorHAnsi" w:cstheme="minorHAnsi"/>
          <w:b/>
          <w:lang w:val="cs-CZ"/>
        </w:rPr>
        <w:t xml:space="preserve">cílů vymezených ve </w:t>
      </w:r>
      <w:r w:rsidR="00876592">
        <w:rPr>
          <w:rFonts w:asciiTheme="minorHAnsi" w:hAnsiTheme="minorHAnsi" w:cstheme="minorHAnsi"/>
          <w:b/>
          <w:lang w:val="cs-CZ"/>
        </w:rPr>
        <w:t>strategických dokumentech</w:t>
      </w:r>
      <w:r w:rsidR="00400F02">
        <w:rPr>
          <w:rFonts w:asciiTheme="minorHAnsi" w:hAnsiTheme="minorHAnsi" w:cstheme="minorHAnsi"/>
          <w:lang w:val="cs-CZ"/>
        </w:rPr>
        <w:t xml:space="preserve">, tak případně z nich odvozených operativních </w:t>
      </w:r>
      <w:r>
        <w:rPr>
          <w:rFonts w:asciiTheme="minorHAnsi" w:hAnsiTheme="minorHAnsi" w:cstheme="minorHAnsi"/>
        </w:rPr>
        <w:t>cílů</w:t>
      </w:r>
      <w:r w:rsidR="000178E8">
        <w:rPr>
          <w:rFonts w:asciiTheme="minorHAnsi" w:hAnsiTheme="minorHAnsi" w:cstheme="minorHAnsi"/>
          <w:lang w:val="cs-CZ"/>
        </w:rPr>
        <w:t>)</w:t>
      </w:r>
      <w:r w:rsidRPr="004C55F5">
        <w:rPr>
          <w:rFonts w:asciiTheme="minorHAnsi" w:hAnsiTheme="minorHAnsi" w:cstheme="minorHAnsi"/>
        </w:rPr>
        <w:t>, přičemž cíle se musí vymezovat a dosahovat v souladu s</w:t>
      </w:r>
      <w:r>
        <w:rPr>
          <w:rFonts w:asciiTheme="minorHAnsi" w:hAnsiTheme="minorHAnsi" w:cstheme="minorHAnsi"/>
          <w:lang w:val="cs-CZ"/>
        </w:rPr>
        <w:t> předpisy a</w:t>
      </w:r>
      <w:r w:rsidRPr="004C55F5">
        <w:rPr>
          <w:rFonts w:asciiTheme="minorHAnsi" w:hAnsiTheme="minorHAnsi" w:cstheme="minorHAnsi"/>
        </w:rPr>
        <w:t> morálkou.</w:t>
      </w:r>
    </w:p>
    <w:p w14:paraId="36635F8B" w14:textId="77777777" w:rsidR="004C55F5" w:rsidRDefault="004C55F5" w:rsidP="00A345DB">
      <w:pPr>
        <w:pStyle w:val="A1-text"/>
        <w:spacing w:after="0"/>
        <w:rPr>
          <w:rFonts w:asciiTheme="minorHAnsi" w:hAnsiTheme="minorHAnsi" w:cstheme="minorHAnsi"/>
          <w:lang w:val="cs-CZ"/>
        </w:rPr>
      </w:pPr>
    </w:p>
    <w:p w14:paraId="4C8ED02E" w14:textId="77777777" w:rsidR="00D62CC2" w:rsidRDefault="00A345DB" w:rsidP="006C77C4">
      <w:pPr>
        <w:pStyle w:val="A1-text"/>
        <w:spacing w:after="0"/>
        <w:rPr>
          <w:rFonts w:asciiTheme="minorHAnsi" w:eastAsia="Calibri" w:hAnsiTheme="minorHAnsi" w:cstheme="minorHAnsi"/>
        </w:rPr>
      </w:pPr>
      <w:r>
        <w:rPr>
          <w:rFonts w:asciiTheme="minorHAnsi" w:hAnsiTheme="minorHAnsi" w:cstheme="minorHAnsi"/>
          <w:lang w:val="cs-CZ"/>
        </w:rPr>
        <w:t xml:space="preserve">Pokud definici vyjádříme obrázkem a doplníme k tomu nezbytné kompetence (ve smyslu způsobilosti) potřebné pro </w:t>
      </w:r>
      <w:r w:rsidR="00963F91">
        <w:rPr>
          <w:rFonts w:asciiTheme="minorHAnsi" w:hAnsiTheme="minorHAnsi" w:cstheme="minorHAnsi"/>
          <w:lang w:val="cs-CZ"/>
        </w:rPr>
        <w:t>finanční</w:t>
      </w:r>
      <w:r>
        <w:rPr>
          <w:rFonts w:asciiTheme="minorHAnsi" w:hAnsiTheme="minorHAnsi" w:cstheme="minorHAnsi"/>
          <w:lang w:val="cs-CZ"/>
        </w:rPr>
        <w:t xml:space="preserve"> řízení, vznikne následující obrázek </w:t>
      </w:r>
      <w:r>
        <w:rPr>
          <w:rFonts w:asciiTheme="minorHAnsi" w:eastAsia="Calibri" w:hAnsiTheme="minorHAnsi" w:cstheme="minorHAnsi"/>
        </w:rPr>
        <w:t xml:space="preserve">(model). </w:t>
      </w:r>
    </w:p>
    <w:p w14:paraId="24411866" w14:textId="526F039C" w:rsidR="00D62CC2" w:rsidRPr="001C4ABF" w:rsidRDefault="00D62CC2" w:rsidP="00D62CC2">
      <w:pPr>
        <w:pStyle w:val="Zkladntext3"/>
        <w:spacing w:after="0"/>
        <w:jc w:val="both"/>
        <w:rPr>
          <w:rFonts w:asciiTheme="minorHAnsi" w:eastAsia="Calibri" w:hAnsiTheme="minorHAnsi" w:cstheme="minorHAnsi"/>
          <w:i/>
          <w:sz w:val="24"/>
          <w:szCs w:val="24"/>
        </w:rPr>
      </w:pPr>
      <w:r w:rsidRPr="001C4ABF">
        <w:rPr>
          <w:rFonts w:asciiTheme="minorHAnsi" w:eastAsia="Calibri" w:hAnsiTheme="minorHAnsi" w:cstheme="minorHAnsi"/>
          <w:i/>
          <w:sz w:val="24"/>
          <w:szCs w:val="24"/>
        </w:rPr>
        <w:t xml:space="preserve">Obr. </w:t>
      </w:r>
      <w:r w:rsidR="00257449">
        <w:rPr>
          <w:rFonts w:asciiTheme="minorHAnsi" w:eastAsia="Calibri" w:hAnsiTheme="minorHAnsi" w:cstheme="minorHAnsi"/>
          <w:i/>
          <w:sz w:val="24"/>
          <w:szCs w:val="24"/>
        </w:rPr>
        <w:t>14</w:t>
      </w:r>
      <w:r>
        <w:rPr>
          <w:rFonts w:asciiTheme="minorHAnsi" w:eastAsia="Calibri" w:hAnsiTheme="minorHAnsi" w:cstheme="minorHAnsi"/>
          <w:i/>
          <w:sz w:val="24"/>
          <w:szCs w:val="24"/>
        </w:rPr>
        <w:t xml:space="preserve"> </w:t>
      </w:r>
      <w:r w:rsidRPr="001C4ABF">
        <w:rPr>
          <w:rFonts w:asciiTheme="minorHAnsi" w:eastAsia="Calibri" w:hAnsiTheme="minorHAnsi" w:cstheme="minorHAnsi"/>
          <w:i/>
          <w:sz w:val="24"/>
          <w:szCs w:val="24"/>
        </w:rPr>
        <w:t>Finanční řízení včetně kompetencí</w:t>
      </w:r>
    </w:p>
    <w:p w14:paraId="7051D7E5" w14:textId="013359CE" w:rsidR="00D62CC2" w:rsidRDefault="000A1555" w:rsidP="00D62CC2">
      <w:pPr>
        <w:pStyle w:val="Zkladntext3"/>
        <w:spacing w:after="0"/>
        <w:jc w:val="both"/>
        <w:rPr>
          <w:rFonts w:asciiTheme="minorHAnsi" w:eastAsia="Calibri" w:hAnsiTheme="minorHAnsi" w:cstheme="minorHAnsi"/>
        </w:rPr>
      </w:pPr>
      <w:r>
        <w:rPr>
          <w:rFonts w:asciiTheme="minorHAnsi" w:eastAsia="Calibri" w:hAnsiTheme="minorHAnsi" w:cstheme="minorHAnsi"/>
          <w:noProof/>
        </w:rPr>
        <mc:AlternateContent>
          <mc:Choice Requires="wpg">
            <w:drawing>
              <wp:anchor distT="0" distB="0" distL="114300" distR="114300" simplePos="0" relativeHeight="251634176" behindDoc="0" locked="0" layoutInCell="1" allowOverlap="1" wp14:anchorId="1DA1A1B5" wp14:editId="60DFEB94">
                <wp:simplePos x="0" y="0"/>
                <wp:positionH relativeFrom="column">
                  <wp:posOffset>66675</wp:posOffset>
                </wp:positionH>
                <wp:positionV relativeFrom="paragraph">
                  <wp:posOffset>80010</wp:posOffset>
                </wp:positionV>
                <wp:extent cx="5623560" cy="3211830"/>
                <wp:effectExtent l="38100" t="19050" r="0" b="26670"/>
                <wp:wrapNone/>
                <wp:docPr id="23623" name="Skupina 23623"/>
                <wp:cNvGraphicFramePr/>
                <a:graphic xmlns:a="http://schemas.openxmlformats.org/drawingml/2006/main">
                  <a:graphicData uri="http://schemas.microsoft.com/office/word/2010/wordprocessingGroup">
                    <wpg:wgp>
                      <wpg:cNvGrpSpPr/>
                      <wpg:grpSpPr>
                        <a:xfrm>
                          <a:off x="0" y="0"/>
                          <a:ext cx="5623560" cy="3211830"/>
                          <a:chOff x="0" y="0"/>
                          <a:chExt cx="5623560" cy="3211830"/>
                        </a:xfrm>
                      </wpg:grpSpPr>
                      <wps:wsp>
                        <wps:cNvPr id="23628" name="Textové pole 2"/>
                        <wps:cNvSpPr txBox="1">
                          <a:spLocks noChangeArrowheads="1"/>
                        </wps:cNvSpPr>
                        <wps:spPr bwMode="auto">
                          <a:xfrm rot="16200000">
                            <a:off x="1824990" y="1123950"/>
                            <a:ext cx="1950049" cy="803275"/>
                          </a:xfrm>
                          <a:prstGeom prst="rect">
                            <a:avLst/>
                          </a:prstGeom>
                          <a:solidFill>
                            <a:schemeClr val="bg1">
                              <a:lumMod val="95000"/>
                            </a:schemeClr>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2E6F5AC9"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4</w:t>
                              </w:r>
                              <w:r w:rsidRPr="00DF672A">
                                <w:rPr>
                                  <w:rFonts w:asciiTheme="minorHAnsi" w:hAnsiTheme="minorHAnsi" w:cstheme="minorHAnsi"/>
                                  <w:sz w:val="20"/>
                                </w:rPr>
                                <w:t xml:space="preserve">. pilíř </w:t>
                              </w:r>
                            </w:p>
                            <w:p w14:paraId="00FA9FD9"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Intuice, vnitřní hlas, </w:t>
                              </w:r>
                            </w:p>
                            <w:p w14:paraId="29D2FE9B"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cit pro spravedlnost / pravdu</w:t>
                              </w:r>
                            </w:p>
                            <w:p w14:paraId="1E7E51AF" w14:textId="77777777" w:rsidR="00511D9B" w:rsidRDefault="00511D9B" w:rsidP="00D62CC2">
                              <w:pPr>
                                <w:spacing w:line="180" w:lineRule="auto"/>
                                <w:jc w:val="center"/>
                                <w:rPr>
                                  <w:rFonts w:asciiTheme="minorHAnsi" w:hAnsiTheme="minorHAnsi" w:cstheme="minorHAnsi"/>
                                  <w:b/>
                                  <w:sz w:val="20"/>
                                </w:rPr>
                              </w:pPr>
                              <w:r w:rsidRPr="001D644E">
                                <w:rPr>
                                  <w:rFonts w:asciiTheme="minorHAnsi" w:hAnsiTheme="minorHAnsi" w:cstheme="minorHAnsi"/>
                                  <w:sz w:val="20"/>
                                </w:rPr>
                                <w:t>(</w:t>
                              </w:r>
                              <w:r>
                                <w:rPr>
                                  <w:rFonts w:asciiTheme="minorHAnsi" w:hAnsiTheme="minorHAnsi" w:cstheme="minorHAnsi"/>
                                  <w:sz w:val="20"/>
                                </w:rPr>
                                <w:t>tvůrčí / intuitivní myšlení</w:t>
                              </w:r>
                              <w:r w:rsidRPr="001D644E">
                                <w:rPr>
                                  <w:rFonts w:asciiTheme="minorHAnsi" w:hAnsiTheme="minorHAnsi" w:cstheme="minorHAnsi"/>
                                  <w:sz w:val="20"/>
                                </w:rPr>
                                <w:t>).</w:t>
                              </w:r>
                            </w:p>
                            <w:p w14:paraId="6F106F97" w14:textId="77777777" w:rsidR="00511D9B" w:rsidRPr="002407FA" w:rsidRDefault="00511D9B" w:rsidP="00D62CC2">
                              <w:pPr>
                                <w:spacing w:line="180" w:lineRule="auto"/>
                                <w:jc w:val="center"/>
                                <w:rPr>
                                  <w:rFonts w:asciiTheme="minorHAnsi" w:hAnsiTheme="minorHAnsi" w:cstheme="minorHAnsi"/>
                                  <w:sz w:val="20"/>
                                </w:rPr>
                              </w:pPr>
                              <w:r>
                                <w:rPr>
                                  <w:rFonts w:asciiTheme="minorHAnsi" w:hAnsiTheme="minorHAnsi" w:cstheme="minorHAnsi"/>
                                  <w:b/>
                                  <w:sz w:val="20"/>
                                </w:rPr>
                                <w:t xml:space="preserve">Management jako umění </w:t>
                              </w:r>
                              <w:r w:rsidRPr="002407FA">
                                <w:rPr>
                                  <w:rFonts w:asciiTheme="minorHAnsi" w:hAnsiTheme="minorHAnsi" w:cstheme="minorHAnsi"/>
                                  <w:sz w:val="20"/>
                                </w:rPr>
                                <w:t>(využívání kreativity a intuice)</w:t>
                              </w:r>
                            </w:p>
                          </w:txbxContent>
                        </wps:txbx>
                        <wps:bodyPr rot="0" vert="horz" wrap="square" lIns="91440" tIns="45720" rIns="91440" bIns="45720" anchor="t" anchorCtr="0">
                          <a:noAutofit/>
                        </wps:bodyPr>
                      </wps:wsp>
                      <wps:wsp>
                        <wps:cNvPr id="23633" name="Textové pole 2"/>
                        <wps:cNvSpPr txBox="1">
                          <a:spLocks noChangeArrowheads="1"/>
                        </wps:cNvSpPr>
                        <wps:spPr bwMode="auto">
                          <a:xfrm rot="16200000">
                            <a:off x="1024890" y="1123950"/>
                            <a:ext cx="1961826" cy="796290"/>
                          </a:xfrm>
                          <a:prstGeom prst="rect">
                            <a:avLst/>
                          </a:prstGeom>
                          <a:solidFill>
                            <a:schemeClr val="bg1">
                              <a:lumMod val="95000"/>
                            </a:schemeClr>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64EDC5AF" w14:textId="77777777" w:rsidR="00511D9B" w:rsidRDefault="00511D9B" w:rsidP="00D62CC2">
                              <w:pPr>
                                <w:spacing w:line="180" w:lineRule="auto"/>
                                <w:jc w:val="center"/>
                                <w:rPr>
                                  <w:rFonts w:asciiTheme="minorHAnsi" w:hAnsiTheme="minorHAnsi" w:cstheme="minorHAnsi"/>
                                  <w:sz w:val="20"/>
                                </w:rPr>
                              </w:pPr>
                            </w:p>
                            <w:p w14:paraId="10C5A817"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3</w:t>
                              </w:r>
                              <w:r w:rsidRPr="00DF672A">
                                <w:rPr>
                                  <w:rFonts w:asciiTheme="minorHAnsi" w:hAnsiTheme="minorHAnsi" w:cstheme="minorHAnsi"/>
                                  <w:sz w:val="20"/>
                                </w:rPr>
                                <w:t xml:space="preserve">. pilíř </w:t>
                              </w:r>
                            </w:p>
                            <w:p w14:paraId="09CE21D9"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Schopnosti, dovednosti, zkušenosti.</w:t>
                              </w:r>
                            </w:p>
                            <w:p w14:paraId="43F52ABE" w14:textId="77777777" w:rsidR="00511D9B" w:rsidRPr="004A1B8C"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Management jako dovednost</w:t>
                              </w:r>
                            </w:p>
                          </w:txbxContent>
                        </wps:txbx>
                        <wps:bodyPr rot="0" vert="horz" wrap="square" lIns="91440" tIns="45720" rIns="91440" bIns="45720" anchor="t" anchorCtr="0">
                          <a:noAutofit/>
                        </wps:bodyPr>
                      </wps:wsp>
                      <wps:wsp>
                        <wps:cNvPr id="23634" name="Textové pole 2"/>
                        <wps:cNvSpPr txBox="1">
                          <a:spLocks noChangeArrowheads="1"/>
                        </wps:cNvSpPr>
                        <wps:spPr bwMode="auto">
                          <a:xfrm rot="16200000">
                            <a:off x="228600" y="1112520"/>
                            <a:ext cx="1964783" cy="815340"/>
                          </a:xfrm>
                          <a:prstGeom prst="rect">
                            <a:avLst/>
                          </a:prstGeom>
                          <a:solidFill>
                            <a:schemeClr val="bg1">
                              <a:lumMod val="95000"/>
                            </a:schemeClr>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4DDF6851" w14:textId="77777777" w:rsidR="00511D9B" w:rsidRDefault="00511D9B" w:rsidP="00D62CC2">
                              <w:pPr>
                                <w:spacing w:before="120" w:line="180" w:lineRule="auto"/>
                                <w:jc w:val="center"/>
                                <w:rPr>
                                  <w:rFonts w:asciiTheme="minorHAnsi" w:hAnsiTheme="minorHAnsi" w:cstheme="minorHAnsi"/>
                                  <w:sz w:val="20"/>
                                </w:rPr>
                              </w:pPr>
                              <w:r>
                                <w:rPr>
                                  <w:rFonts w:asciiTheme="minorHAnsi" w:hAnsiTheme="minorHAnsi" w:cstheme="minorHAnsi"/>
                                  <w:sz w:val="20"/>
                                </w:rPr>
                                <w:t>2</w:t>
                              </w:r>
                              <w:r w:rsidRPr="00DF672A">
                                <w:rPr>
                                  <w:rFonts w:asciiTheme="minorHAnsi" w:hAnsiTheme="minorHAnsi" w:cstheme="minorHAnsi"/>
                                  <w:sz w:val="20"/>
                                </w:rPr>
                                <w:t xml:space="preserve">. pilíř </w:t>
                              </w:r>
                            </w:p>
                            <w:p w14:paraId="0EB1D18E"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Znalosti </w:t>
                              </w:r>
                            </w:p>
                            <w:p w14:paraId="56C0FE2A"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sz w:val="20"/>
                                </w:rPr>
                                <w:t xml:space="preserve">(učení </w:t>
                              </w:r>
                              <w:r w:rsidRPr="001D644E">
                                <w:rPr>
                                  <w:rFonts w:asciiTheme="minorHAnsi" w:hAnsiTheme="minorHAnsi" w:cstheme="minorHAnsi"/>
                                  <w:sz w:val="20"/>
                                </w:rPr>
                                <w:t>klasické / prožitím – zkušenostmi).</w:t>
                              </w:r>
                            </w:p>
                            <w:p w14:paraId="44E37955" w14:textId="77777777" w:rsidR="00511D9B" w:rsidRPr="004A1B8C"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Management jako řemeslo</w:t>
                              </w:r>
                            </w:p>
                          </w:txbxContent>
                        </wps:txbx>
                        <wps:bodyPr rot="0" vert="horz" wrap="square" lIns="91440" tIns="45720" rIns="91440" bIns="45720" anchor="t" anchorCtr="0">
                          <a:noAutofit/>
                        </wps:bodyPr>
                      </wps:wsp>
                      <wps:wsp>
                        <wps:cNvPr id="23636" name="Textové pole 2"/>
                        <wps:cNvSpPr txBox="1">
                          <a:spLocks noChangeArrowheads="1"/>
                        </wps:cNvSpPr>
                        <wps:spPr bwMode="auto">
                          <a:xfrm>
                            <a:off x="3322320" y="419100"/>
                            <a:ext cx="2301240" cy="2590800"/>
                          </a:xfrm>
                          <a:prstGeom prst="rect">
                            <a:avLst/>
                          </a:prstGeom>
                          <a:solidFill>
                            <a:schemeClr val="bg1"/>
                          </a:solidFill>
                          <a:ln>
                            <a:noFill/>
                            <a:headEnd/>
                            <a:tailEnd/>
                          </a:ln>
                        </wps:spPr>
                        <wps:style>
                          <a:lnRef idx="2">
                            <a:schemeClr val="accent1"/>
                          </a:lnRef>
                          <a:fillRef idx="1">
                            <a:schemeClr val="lt1"/>
                          </a:fillRef>
                          <a:effectRef idx="0">
                            <a:schemeClr val="accent1"/>
                          </a:effectRef>
                          <a:fontRef idx="minor">
                            <a:schemeClr val="dk1"/>
                          </a:fontRef>
                        </wps:style>
                        <wps:txbx>
                          <w:txbxContent>
                            <w:p w14:paraId="0F5EAFBB" w14:textId="77777777" w:rsidR="00511D9B" w:rsidRPr="00963F91" w:rsidRDefault="00511D9B" w:rsidP="00D62CC2">
                              <w:pPr>
                                <w:pStyle w:val="A1-text"/>
                                <w:spacing w:after="0" w:line="197" w:lineRule="auto"/>
                                <w:contextualSpacing/>
                                <w:rPr>
                                  <w:rFonts w:asciiTheme="minorHAnsi" w:hAnsiTheme="minorHAnsi" w:cstheme="minorHAnsi"/>
                                  <w:sz w:val="20"/>
                                  <w:lang w:val="cs-CZ"/>
                                </w:rPr>
                              </w:pPr>
                              <w:r w:rsidRPr="00963F91">
                                <w:rPr>
                                  <w:rFonts w:asciiTheme="minorHAnsi" w:hAnsiTheme="minorHAnsi" w:cstheme="minorHAnsi"/>
                                  <w:sz w:val="20"/>
                                  <w:lang w:val="cs-CZ"/>
                                </w:rPr>
                                <w:t xml:space="preserve">Finanční </w:t>
                              </w:r>
                              <w:r w:rsidRPr="00963F91">
                                <w:rPr>
                                  <w:rFonts w:asciiTheme="minorHAnsi" w:hAnsiTheme="minorHAnsi" w:cstheme="minorHAnsi"/>
                                  <w:sz w:val="20"/>
                                </w:rPr>
                                <w:t>řízení (</w:t>
                              </w:r>
                              <w:r w:rsidRPr="00963F91">
                                <w:rPr>
                                  <w:rFonts w:asciiTheme="minorHAnsi" w:hAnsiTheme="minorHAnsi" w:cstheme="minorHAnsi"/>
                                  <w:sz w:val="20"/>
                                  <w:lang w:val="cs-CZ"/>
                                </w:rPr>
                                <w:t>management</w:t>
                              </w:r>
                              <w:r w:rsidRPr="00963F91">
                                <w:rPr>
                                  <w:rFonts w:asciiTheme="minorHAnsi" w:hAnsiTheme="minorHAnsi" w:cstheme="minorHAnsi"/>
                                  <w:sz w:val="20"/>
                                </w:rPr>
                                <w:t xml:space="preserve">) </w:t>
                              </w:r>
                              <w:r w:rsidRPr="00963F91">
                                <w:rPr>
                                  <w:rFonts w:asciiTheme="minorHAnsi" w:hAnsiTheme="minorHAnsi" w:cstheme="minorHAnsi"/>
                                  <w:sz w:val="20"/>
                                  <w:lang w:val="cs-CZ"/>
                                </w:rPr>
                                <w:t>je proces systematického</w:t>
                              </w:r>
                            </w:p>
                            <w:p w14:paraId="3E88619D" w14:textId="02BE83EC" w:rsidR="00511D9B" w:rsidRPr="00963F91" w:rsidRDefault="00511D9B" w:rsidP="00D62CC2">
                              <w:pPr>
                                <w:pStyle w:val="A1-text"/>
                                <w:numPr>
                                  <w:ilvl w:val="0"/>
                                  <w:numId w:val="57"/>
                                </w:numPr>
                                <w:tabs>
                                  <w:tab w:val="clear" w:pos="284"/>
                                  <w:tab w:val="left" w:pos="0"/>
                                </w:tabs>
                                <w:spacing w:after="0" w:line="197" w:lineRule="auto"/>
                                <w:ind w:left="142" w:hanging="142"/>
                                <w:contextualSpacing/>
                                <w:rPr>
                                  <w:rFonts w:asciiTheme="minorHAnsi" w:hAnsiTheme="minorHAnsi" w:cstheme="minorHAnsi"/>
                                  <w:sz w:val="20"/>
                                  <w:lang w:val="cs-CZ"/>
                                </w:rPr>
                              </w:pPr>
                              <w:r w:rsidRPr="00876592">
                                <w:rPr>
                                  <w:rFonts w:asciiTheme="minorHAnsi" w:hAnsiTheme="minorHAnsi" w:cstheme="minorHAnsi"/>
                                  <w:b/>
                                  <w:sz w:val="20"/>
                                  <w:lang w:val="cs-CZ"/>
                                </w:rPr>
                                <w:t>plánování</w:t>
                              </w:r>
                              <w:r>
                                <w:rPr>
                                  <w:rFonts w:asciiTheme="minorHAnsi" w:hAnsiTheme="minorHAnsi" w:cstheme="minorHAnsi"/>
                                  <w:sz w:val="20"/>
                                  <w:lang w:val="cs-CZ"/>
                                </w:rPr>
                                <w:t xml:space="preserve"> </w:t>
                              </w:r>
                              <w:r w:rsidRPr="00963F91">
                                <w:rPr>
                                  <w:rFonts w:asciiTheme="minorHAnsi" w:hAnsiTheme="minorHAnsi" w:cstheme="minorHAnsi"/>
                                  <w:sz w:val="20"/>
                                  <w:lang w:val="cs-CZ"/>
                                </w:rPr>
                                <w:t>zdrojů (včetně rozpočtu) a ekonomicko-správních činností</w:t>
                              </w:r>
                              <w:r w:rsidRPr="00963F91">
                                <w:rPr>
                                  <w:rFonts w:asciiTheme="minorHAnsi" w:hAnsiTheme="minorHAnsi" w:cstheme="minorHAnsi"/>
                                  <w:sz w:val="20"/>
                                </w:rPr>
                                <w:t>;</w:t>
                              </w:r>
                              <w:r w:rsidRPr="00963F91">
                                <w:rPr>
                                  <w:rFonts w:asciiTheme="minorHAnsi" w:hAnsiTheme="minorHAnsi" w:cstheme="minorHAnsi"/>
                                  <w:sz w:val="20"/>
                                  <w:lang w:val="cs-CZ"/>
                                </w:rPr>
                                <w:t xml:space="preserve"> jejich </w:t>
                              </w:r>
                              <w:r w:rsidRPr="00963F91">
                                <w:rPr>
                                  <w:rFonts w:asciiTheme="minorHAnsi" w:hAnsiTheme="minorHAnsi" w:cstheme="minorHAnsi"/>
                                  <w:b/>
                                  <w:sz w:val="20"/>
                                </w:rPr>
                                <w:t xml:space="preserve">organizování a </w:t>
                              </w:r>
                              <w:r w:rsidRPr="00963F91">
                                <w:rPr>
                                  <w:rFonts w:asciiTheme="minorHAnsi" w:hAnsiTheme="minorHAnsi" w:cstheme="minorHAnsi"/>
                                  <w:b/>
                                  <w:sz w:val="20"/>
                                  <w:lang w:val="cs-CZ"/>
                                </w:rPr>
                                <w:t>koordinování</w:t>
                              </w:r>
                              <w:r w:rsidRPr="00963F91">
                                <w:rPr>
                                  <w:rFonts w:asciiTheme="minorHAnsi" w:hAnsiTheme="minorHAnsi" w:cstheme="minorHAnsi"/>
                                  <w:sz w:val="20"/>
                                  <w:lang w:val="cs-CZ"/>
                                </w:rPr>
                                <w:t xml:space="preserve">; </w:t>
                              </w:r>
                              <w:r w:rsidRPr="00963F91">
                                <w:rPr>
                                  <w:rFonts w:asciiTheme="minorHAnsi" w:hAnsiTheme="minorHAnsi" w:cstheme="minorHAnsi"/>
                                  <w:b/>
                                  <w:sz w:val="20"/>
                                </w:rPr>
                                <w:t>vedení</w:t>
                              </w:r>
                              <w:r w:rsidRPr="00963F91">
                                <w:rPr>
                                  <w:rFonts w:asciiTheme="minorHAnsi" w:hAnsiTheme="minorHAnsi" w:cstheme="minorHAnsi"/>
                                  <w:sz w:val="20"/>
                                </w:rPr>
                                <w:t xml:space="preserve"> </w:t>
                              </w:r>
                              <w:r w:rsidRPr="00963F91">
                                <w:rPr>
                                  <w:rFonts w:asciiTheme="minorHAnsi" w:hAnsiTheme="minorHAnsi" w:cstheme="minorHAnsi"/>
                                  <w:sz w:val="20"/>
                                  <w:lang w:val="cs-CZ"/>
                                </w:rPr>
                                <w:t>podřízených</w:t>
                              </w:r>
                              <w:r w:rsidRPr="00963F91">
                                <w:rPr>
                                  <w:rFonts w:asciiTheme="minorHAnsi" w:hAnsiTheme="minorHAnsi" w:cstheme="minorHAnsi"/>
                                  <w:sz w:val="20"/>
                                </w:rPr>
                                <w:t xml:space="preserve"> </w:t>
                              </w:r>
                              <w:r w:rsidRPr="00963F91">
                                <w:rPr>
                                  <w:rFonts w:asciiTheme="minorHAnsi" w:hAnsiTheme="minorHAnsi" w:cstheme="minorHAnsi"/>
                                  <w:b/>
                                  <w:sz w:val="20"/>
                                </w:rPr>
                                <w:t>a motivování</w:t>
                              </w:r>
                              <w:r w:rsidRPr="00963F91">
                                <w:rPr>
                                  <w:rFonts w:asciiTheme="minorHAnsi" w:hAnsiTheme="minorHAnsi" w:cstheme="minorHAnsi"/>
                                  <w:sz w:val="20"/>
                                </w:rPr>
                                <w:t xml:space="preserve"> </w:t>
                              </w:r>
                              <w:r w:rsidRPr="00963F91">
                                <w:rPr>
                                  <w:rFonts w:asciiTheme="minorHAnsi" w:hAnsiTheme="minorHAnsi" w:cstheme="minorHAnsi"/>
                                  <w:sz w:val="20"/>
                                  <w:lang w:val="cs-CZ"/>
                                </w:rPr>
                                <w:t xml:space="preserve">sebe </w:t>
                              </w:r>
                              <w:r w:rsidRPr="00963F91">
                                <w:rPr>
                                  <w:rFonts w:asciiTheme="minorHAnsi" w:hAnsiTheme="minorHAnsi" w:cstheme="minorHAnsi"/>
                                  <w:sz w:val="20"/>
                                </w:rPr>
                                <w:t xml:space="preserve">a </w:t>
                              </w:r>
                              <w:r w:rsidRPr="00963F91">
                                <w:rPr>
                                  <w:rFonts w:asciiTheme="minorHAnsi" w:hAnsiTheme="minorHAnsi" w:cstheme="minorHAnsi"/>
                                  <w:sz w:val="20"/>
                                  <w:lang w:val="cs-CZ"/>
                                </w:rPr>
                                <w:t>všech</w:t>
                              </w:r>
                              <w:r w:rsidRPr="00963F91">
                                <w:rPr>
                                  <w:rFonts w:asciiTheme="minorHAnsi" w:hAnsiTheme="minorHAnsi" w:cstheme="minorHAnsi"/>
                                  <w:sz w:val="20"/>
                                </w:rPr>
                                <w:t xml:space="preserve"> zapojených osob;</w:t>
                              </w:r>
                              <w:r w:rsidRPr="00963F91">
                                <w:rPr>
                                  <w:rFonts w:asciiTheme="minorHAnsi" w:hAnsiTheme="minorHAnsi" w:cstheme="minorHAnsi"/>
                                  <w:sz w:val="20"/>
                                  <w:lang w:val="cs-CZ"/>
                                </w:rPr>
                                <w:t xml:space="preserve"> finanční</w:t>
                              </w:r>
                              <w:r w:rsidRPr="00963F91">
                                <w:rPr>
                                  <w:rFonts w:asciiTheme="minorHAnsi" w:hAnsiTheme="minorHAnsi" w:cstheme="minorHAnsi"/>
                                  <w:sz w:val="20"/>
                                </w:rPr>
                                <w:t xml:space="preserve"> </w:t>
                              </w:r>
                              <w:r w:rsidRPr="00963F91">
                                <w:rPr>
                                  <w:rFonts w:asciiTheme="minorHAnsi" w:hAnsiTheme="minorHAnsi" w:cstheme="minorHAnsi"/>
                                  <w:b/>
                                  <w:sz w:val="20"/>
                                </w:rPr>
                                <w:t>kontrolu</w:t>
                              </w:r>
                              <w:r w:rsidRPr="00963F91">
                                <w:rPr>
                                  <w:rFonts w:asciiTheme="minorHAnsi" w:hAnsiTheme="minorHAnsi" w:cstheme="minorHAnsi"/>
                                  <w:sz w:val="20"/>
                                </w:rPr>
                                <w:t xml:space="preserve"> </w:t>
                              </w:r>
                              <w:r w:rsidRPr="00963F91">
                                <w:rPr>
                                  <w:rFonts w:asciiTheme="minorHAnsi" w:hAnsiTheme="minorHAnsi" w:cstheme="minorHAnsi"/>
                                  <w:sz w:val="20"/>
                                  <w:lang w:val="cs-CZ"/>
                                </w:rPr>
                                <w:t>prováděných činností,</w:t>
                              </w:r>
                            </w:p>
                            <w:p w14:paraId="1115A538" w14:textId="77777777" w:rsidR="00511D9B" w:rsidRPr="00963F91" w:rsidRDefault="00511D9B" w:rsidP="00D62CC2">
                              <w:pPr>
                                <w:pStyle w:val="A1-text"/>
                                <w:numPr>
                                  <w:ilvl w:val="0"/>
                                  <w:numId w:val="57"/>
                                </w:numPr>
                                <w:tabs>
                                  <w:tab w:val="clear" w:pos="284"/>
                                  <w:tab w:val="left" w:pos="0"/>
                                </w:tabs>
                                <w:spacing w:after="0" w:line="197" w:lineRule="auto"/>
                                <w:ind w:left="142" w:hanging="142"/>
                                <w:rPr>
                                  <w:rFonts w:asciiTheme="minorHAnsi" w:hAnsiTheme="minorHAnsi" w:cstheme="minorHAnsi"/>
                                  <w:sz w:val="20"/>
                                  <w:lang w:val="cs-CZ"/>
                                </w:rPr>
                              </w:pPr>
                              <w:r w:rsidRPr="00963F91">
                                <w:rPr>
                                  <w:rFonts w:asciiTheme="minorHAnsi" w:hAnsiTheme="minorHAnsi" w:cstheme="minorHAnsi"/>
                                  <w:sz w:val="20"/>
                                  <w:lang w:val="cs-CZ"/>
                                </w:rPr>
                                <w:t xml:space="preserve">současně též při provádění činností </w:t>
                              </w:r>
                              <w:r w:rsidRPr="00963F91">
                                <w:rPr>
                                  <w:rFonts w:asciiTheme="minorHAnsi" w:hAnsiTheme="minorHAnsi" w:cstheme="minorHAnsi"/>
                                  <w:b/>
                                  <w:sz w:val="20"/>
                                  <w:lang w:val="cs-CZ"/>
                                </w:rPr>
                                <w:t>správné rozhodování</w:t>
                              </w:r>
                              <w:r w:rsidRPr="00963F91">
                                <w:rPr>
                                  <w:rFonts w:asciiTheme="minorHAnsi" w:hAnsiTheme="minorHAnsi" w:cstheme="minorHAnsi"/>
                                  <w:sz w:val="20"/>
                                  <w:lang w:val="cs-CZ"/>
                                </w:rPr>
                                <w:t xml:space="preserve"> (na základě analýzy možných variant, přijetí správného rozhodnutí a jeho implementaci),</w:t>
                              </w:r>
                            </w:p>
                            <w:p w14:paraId="06701F60" w14:textId="0D551A8C" w:rsidR="00511D9B" w:rsidRPr="00963F91" w:rsidRDefault="00511D9B" w:rsidP="00D62CC2">
                              <w:pPr>
                                <w:pStyle w:val="A1-text"/>
                                <w:spacing w:after="0" w:line="197" w:lineRule="auto"/>
                                <w:rPr>
                                  <w:rFonts w:asciiTheme="minorHAnsi" w:hAnsiTheme="minorHAnsi" w:cstheme="minorHAnsi"/>
                                  <w:sz w:val="20"/>
                                </w:rPr>
                              </w:pPr>
                              <w:r w:rsidRPr="00963F91">
                                <w:rPr>
                                  <w:rFonts w:asciiTheme="minorHAnsi" w:hAnsiTheme="minorHAnsi" w:cstheme="minorHAnsi"/>
                                  <w:sz w:val="20"/>
                                  <w:lang w:val="cs-CZ"/>
                                </w:rPr>
                                <w:t xml:space="preserve">tak, aby směřovaly </w:t>
                              </w:r>
                              <w:r w:rsidRPr="00963F91">
                                <w:rPr>
                                  <w:rFonts w:asciiTheme="minorHAnsi" w:hAnsiTheme="minorHAnsi" w:cstheme="minorHAnsi"/>
                                  <w:sz w:val="20"/>
                                </w:rPr>
                                <w:t xml:space="preserve">k dosahování cílů </w:t>
                              </w:r>
                              <w:r w:rsidRPr="00876592">
                                <w:rPr>
                                  <w:rFonts w:asciiTheme="minorHAnsi" w:hAnsiTheme="minorHAnsi" w:cstheme="minorHAnsi"/>
                                  <w:sz w:val="20"/>
                                </w:rPr>
                                <w:t>(a to jak cílů vymezených ve strateg</w:t>
                              </w:r>
                              <w:r>
                                <w:rPr>
                                  <w:rFonts w:asciiTheme="minorHAnsi" w:hAnsiTheme="minorHAnsi" w:cstheme="minorHAnsi"/>
                                  <w:sz w:val="20"/>
                                  <w:lang w:val="cs-CZ"/>
                                </w:rPr>
                                <w:t>ických dokumentech</w:t>
                              </w:r>
                              <w:r w:rsidRPr="00876592">
                                <w:rPr>
                                  <w:rFonts w:asciiTheme="minorHAnsi" w:hAnsiTheme="minorHAnsi" w:cstheme="minorHAnsi"/>
                                  <w:sz w:val="20"/>
                                </w:rPr>
                                <w:t>, tak případně z nich odvozených operativních cílů)</w:t>
                              </w:r>
                              <w:r w:rsidRPr="00963F91">
                                <w:rPr>
                                  <w:rFonts w:asciiTheme="minorHAnsi" w:hAnsiTheme="minorHAnsi" w:cstheme="minorHAnsi"/>
                                  <w:sz w:val="20"/>
                                </w:rPr>
                                <w:t>, přičemž cíle se musí  vymezovat a dosahovat v souladu s</w:t>
                              </w:r>
                              <w:r w:rsidRPr="00963F91">
                                <w:rPr>
                                  <w:rFonts w:asciiTheme="minorHAnsi" w:hAnsiTheme="minorHAnsi" w:cstheme="minorHAnsi"/>
                                  <w:sz w:val="20"/>
                                  <w:lang w:val="cs-CZ"/>
                                </w:rPr>
                                <w:t> předpisy a</w:t>
                              </w:r>
                              <w:r w:rsidRPr="00963F91">
                                <w:rPr>
                                  <w:rFonts w:asciiTheme="minorHAnsi" w:hAnsiTheme="minorHAnsi" w:cstheme="minorHAnsi"/>
                                  <w:sz w:val="20"/>
                                </w:rPr>
                                <w:t> morálkou.</w:t>
                              </w:r>
                            </w:p>
                            <w:p w14:paraId="16706B09" w14:textId="77777777" w:rsidR="00511D9B" w:rsidRPr="00963F91" w:rsidRDefault="00511D9B" w:rsidP="00D62CC2">
                              <w:pPr>
                                <w:pStyle w:val="A1-text"/>
                                <w:spacing w:after="0" w:line="197" w:lineRule="auto"/>
                                <w:rPr>
                                  <w:rFonts w:asciiTheme="minorHAnsi" w:hAnsiTheme="minorHAnsi" w:cstheme="minorHAnsi"/>
                                  <w:sz w:val="12"/>
                                  <w:szCs w:val="20"/>
                                </w:rPr>
                              </w:pPr>
                            </w:p>
                          </w:txbxContent>
                        </wps:txbx>
                        <wps:bodyPr rot="0" vert="horz" wrap="square" lIns="91440" tIns="45720" rIns="91440" bIns="45720" anchor="t" anchorCtr="0">
                          <a:noAutofit/>
                        </wps:bodyPr>
                      </wps:wsp>
                      <wps:wsp>
                        <wps:cNvPr id="23638" name="Textové pole 2"/>
                        <wps:cNvSpPr txBox="1">
                          <a:spLocks noChangeArrowheads="1"/>
                        </wps:cNvSpPr>
                        <wps:spPr bwMode="auto">
                          <a:xfrm rot="16200000">
                            <a:off x="-579120" y="1127760"/>
                            <a:ext cx="1963822" cy="803275"/>
                          </a:xfrm>
                          <a:prstGeom prst="rect">
                            <a:avLst/>
                          </a:prstGeom>
                          <a:solidFill>
                            <a:schemeClr val="bg1">
                              <a:lumMod val="95000"/>
                            </a:schemeClr>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7B11C4BB"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1</w:t>
                              </w:r>
                              <w:r w:rsidRPr="00DF672A">
                                <w:rPr>
                                  <w:rFonts w:asciiTheme="minorHAnsi" w:hAnsiTheme="minorHAnsi" w:cstheme="minorHAnsi"/>
                                  <w:sz w:val="20"/>
                                </w:rPr>
                                <w:t xml:space="preserve">. pilíř </w:t>
                              </w:r>
                            </w:p>
                            <w:p w14:paraId="73B53A48"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Data, informace, poznatky</w:t>
                              </w:r>
                            </w:p>
                            <w:p w14:paraId="0A89E235" w14:textId="77777777" w:rsidR="00511D9B" w:rsidRDefault="00511D9B" w:rsidP="00D62CC2">
                              <w:pPr>
                                <w:spacing w:line="180" w:lineRule="auto"/>
                                <w:jc w:val="center"/>
                                <w:rPr>
                                  <w:rFonts w:asciiTheme="minorHAnsi" w:hAnsiTheme="minorHAnsi" w:cstheme="minorHAnsi"/>
                                  <w:b/>
                                  <w:sz w:val="20"/>
                                </w:rPr>
                              </w:pPr>
                              <w:r w:rsidRPr="001D644E">
                                <w:rPr>
                                  <w:rFonts w:asciiTheme="minorHAnsi" w:hAnsiTheme="minorHAnsi" w:cstheme="minorHAnsi"/>
                                  <w:sz w:val="20"/>
                                </w:rPr>
                                <w:t>(</w:t>
                              </w:r>
                              <w:r>
                                <w:rPr>
                                  <w:rFonts w:asciiTheme="minorHAnsi" w:hAnsiTheme="minorHAnsi" w:cstheme="minorHAnsi"/>
                                  <w:sz w:val="20"/>
                                </w:rPr>
                                <w:t>pravdivé</w:t>
                              </w:r>
                              <w:r w:rsidRPr="001D644E">
                                <w:rPr>
                                  <w:rFonts w:asciiTheme="minorHAnsi" w:hAnsiTheme="minorHAnsi" w:cstheme="minorHAnsi"/>
                                  <w:sz w:val="20"/>
                                </w:rPr>
                                <w:t xml:space="preserve"> / </w:t>
                              </w:r>
                              <w:r>
                                <w:rPr>
                                  <w:rFonts w:asciiTheme="minorHAnsi" w:hAnsiTheme="minorHAnsi" w:cstheme="minorHAnsi"/>
                                  <w:sz w:val="20"/>
                                </w:rPr>
                                <w:t>zkreslené / nepravdivé</w:t>
                              </w:r>
                              <w:r w:rsidRPr="001D644E">
                                <w:rPr>
                                  <w:rFonts w:asciiTheme="minorHAnsi" w:hAnsiTheme="minorHAnsi" w:cstheme="minorHAnsi"/>
                                  <w:sz w:val="20"/>
                                </w:rPr>
                                <w:t>).</w:t>
                              </w:r>
                            </w:p>
                            <w:p w14:paraId="66B7BD14" w14:textId="77777777" w:rsidR="00511D9B" w:rsidRPr="004A1B8C"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Management jako dolování dat a využívání informací a poznatků</w:t>
                              </w:r>
                            </w:p>
                          </w:txbxContent>
                        </wps:txbx>
                        <wps:bodyPr rot="0" vert="horz" wrap="square" lIns="91440" tIns="45720" rIns="91440" bIns="45720" anchor="t" anchorCtr="0">
                          <a:noAutofit/>
                        </wps:bodyPr>
                      </wps:wsp>
                      <wps:wsp>
                        <wps:cNvPr id="23639" name="Rovnoramenný trojúhelník 23639"/>
                        <wps:cNvSpPr/>
                        <wps:spPr>
                          <a:xfrm>
                            <a:off x="0" y="0"/>
                            <a:ext cx="3202940" cy="550545"/>
                          </a:xfrm>
                          <a:prstGeom prst="triangle">
                            <a:avLst>
                              <a:gd name="adj" fmla="val 50626"/>
                            </a:avLst>
                          </a:prstGeom>
                          <a:solidFill>
                            <a:schemeClr val="bg2"/>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60" name="Textové pole 2"/>
                        <wps:cNvSpPr txBox="1">
                          <a:spLocks noChangeArrowheads="1"/>
                        </wps:cNvSpPr>
                        <wps:spPr bwMode="auto">
                          <a:xfrm>
                            <a:off x="411480" y="66675"/>
                            <a:ext cx="2452370" cy="537798"/>
                          </a:xfrm>
                          <a:prstGeom prst="rect">
                            <a:avLst/>
                          </a:prstGeom>
                          <a:noFill/>
                          <a:ln w="3175">
                            <a:noFill/>
                            <a:prstDash val="dash"/>
                            <a:miter lim="800000"/>
                            <a:headEnd/>
                            <a:tailEnd/>
                          </a:ln>
                        </wps:spPr>
                        <wps:txbx>
                          <w:txbxContent>
                            <w:p w14:paraId="1E61431B"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 xml:space="preserve">Střecha: </w:t>
                              </w:r>
                            </w:p>
                            <w:p w14:paraId="0B8DDF40" w14:textId="77777777" w:rsidR="00511D9B" w:rsidRDefault="00511D9B" w:rsidP="00D62CC2">
                              <w:pPr>
                                <w:spacing w:line="180" w:lineRule="auto"/>
                                <w:jc w:val="center"/>
                                <w:rPr>
                                  <w:rFonts w:asciiTheme="minorHAnsi" w:hAnsiTheme="minorHAnsi" w:cstheme="minorHAnsi"/>
                                  <w:b/>
                                </w:rPr>
                              </w:pPr>
                              <w:r>
                                <w:rPr>
                                  <w:rFonts w:asciiTheme="minorHAnsi" w:hAnsiTheme="minorHAnsi" w:cstheme="minorHAnsi"/>
                                  <w:b/>
                                </w:rPr>
                                <w:t xml:space="preserve">Cíle strategie </w:t>
                              </w:r>
                            </w:p>
                            <w:p w14:paraId="145828CB" w14:textId="3BC20BFD" w:rsidR="00511D9B" w:rsidRPr="00583058" w:rsidRDefault="00511D9B" w:rsidP="00D62CC2">
                              <w:pPr>
                                <w:spacing w:line="180" w:lineRule="auto"/>
                                <w:jc w:val="center"/>
                                <w:rPr>
                                  <w:rFonts w:asciiTheme="minorHAnsi" w:hAnsiTheme="minorHAnsi" w:cstheme="minorHAnsi"/>
                                  <w:b/>
                                </w:rPr>
                              </w:pPr>
                              <w:r>
                                <w:rPr>
                                  <w:rFonts w:asciiTheme="minorHAnsi" w:hAnsiTheme="minorHAnsi" w:cstheme="minorHAnsi"/>
                                  <w:b/>
                                </w:rPr>
                                <w:t>a z nich odvozené operativní cíle</w:t>
                              </w:r>
                            </w:p>
                            <w:p w14:paraId="1521C040" w14:textId="77777777" w:rsidR="00511D9B" w:rsidRPr="00FD6662" w:rsidRDefault="00511D9B" w:rsidP="00D62CC2">
                              <w:pPr>
                                <w:spacing w:line="180" w:lineRule="auto"/>
                                <w:jc w:val="center"/>
                                <w:rPr>
                                  <w:rFonts w:asciiTheme="minorHAnsi" w:hAnsiTheme="minorHAnsi" w:cstheme="minorHAnsi"/>
                                  <w:b/>
                                </w:rPr>
                              </w:pPr>
                            </w:p>
                          </w:txbxContent>
                        </wps:txbx>
                        <wps:bodyPr rot="0" vert="horz" wrap="square" lIns="91440" tIns="45720" rIns="91440" bIns="45720" anchor="t" anchorCtr="0">
                          <a:noAutofit/>
                        </wps:bodyPr>
                      </wps:wsp>
                      <wps:wsp>
                        <wps:cNvPr id="23666" name="Pravá složená závorka 23666"/>
                        <wps:cNvSpPr/>
                        <wps:spPr>
                          <a:xfrm>
                            <a:off x="3200400" y="0"/>
                            <a:ext cx="224790" cy="3211830"/>
                          </a:xfrm>
                          <a:prstGeom prst="rightBrace">
                            <a:avLst>
                              <a:gd name="adj1" fmla="val 23231"/>
                              <a:gd name="adj2" fmla="val 49526"/>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67" name="Textové pole 2"/>
                        <wps:cNvSpPr txBox="1">
                          <a:spLocks noChangeArrowheads="1"/>
                        </wps:cNvSpPr>
                        <wps:spPr bwMode="auto">
                          <a:xfrm>
                            <a:off x="0" y="2499360"/>
                            <a:ext cx="3217864" cy="707245"/>
                          </a:xfrm>
                          <a:prstGeom prst="rect">
                            <a:avLst/>
                          </a:prstGeom>
                          <a:solidFill>
                            <a:schemeClr val="bg1">
                              <a:lumMod val="95000"/>
                            </a:schemeClr>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061B151D"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Základy</w:t>
                              </w:r>
                              <w:r w:rsidRPr="00042F4D">
                                <w:rPr>
                                  <w:rFonts w:asciiTheme="minorHAnsi" w:hAnsiTheme="minorHAnsi" w:cstheme="minorHAnsi"/>
                                  <w:b/>
                                  <w:sz w:val="20"/>
                                </w:rPr>
                                <w:t xml:space="preserve"> </w:t>
                              </w:r>
                              <w:r w:rsidRPr="00042F4D">
                                <w:rPr>
                                  <w:rFonts w:asciiTheme="minorHAnsi" w:hAnsiTheme="minorHAnsi" w:cstheme="minorHAnsi"/>
                                  <w:sz w:val="20"/>
                                </w:rPr>
                                <w:t xml:space="preserve">– jsou tvořeny zejména </w:t>
                              </w:r>
                              <w:r>
                                <w:rPr>
                                  <w:rFonts w:asciiTheme="minorHAnsi" w:hAnsiTheme="minorHAnsi" w:cstheme="minorHAnsi"/>
                                  <w:sz w:val="20"/>
                                </w:rPr>
                                <w:t>třemi</w:t>
                              </w:r>
                              <w:r w:rsidRPr="00042F4D">
                                <w:rPr>
                                  <w:rFonts w:asciiTheme="minorHAnsi" w:hAnsiTheme="minorHAnsi" w:cstheme="minorHAnsi"/>
                                  <w:sz w:val="20"/>
                                </w:rPr>
                                <w:t xml:space="preserve"> aspekty:</w:t>
                              </w:r>
                              <w:r>
                                <w:rPr>
                                  <w:rFonts w:asciiTheme="minorHAnsi" w:hAnsiTheme="minorHAnsi" w:cstheme="minorHAnsi"/>
                                  <w:b/>
                                  <w:sz w:val="20"/>
                                </w:rPr>
                                <w:t xml:space="preserve"> </w:t>
                              </w:r>
                            </w:p>
                            <w:p w14:paraId="5805AB70"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(1) morálka, morální chování </w:t>
                              </w:r>
                              <w:r w:rsidRPr="00042F4D">
                                <w:rPr>
                                  <w:rFonts w:asciiTheme="minorHAnsi" w:hAnsiTheme="minorHAnsi" w:cstheme="minorHAnsi"/>
                                  <w:sz w:val="20"/>
                                </w:rPr>
                                <w:t>(opakem je nemorální chování, morální hazard),</w:t>
                              </w:r>
                              <w:r>
                                <w:rPr>
                                  <w:rFonts w:asciiTheme="minorHAnsi" w:hAnsiTheme="minorHAnsi" w:cstheme="minorHAnsi"/>
                                  <w:b/>
                                  <w:sz w:val="20"/>
                                </w:rPr>
                                <w:t xml:space="preserve"> </w:t>
                              </w:r>
                            </w:p>
                            <w:p w14:paraId="6C8EC07A"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(2) adekvátní rozsah a kvalita zdrojů,</w:t>
                              </w:r>
                            </w:p>
                            <w:p w14:paraId="3B7AEB87" w14:textId="77777777" w:rsidR="00511D9B" w:rsidRPr="00042F4D"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(3) vnější rámcové podmínky </w:t>
                              </w:r>
                              <w:r w:rsidRPr="00082C1A">
                                <w:rPr>
                                  <w:rFonts w:asciiTheme="minorHAnsi" w:hAnsiTheme="minorHAnsi" w:cstheme="minorHAnsi"/>
                                  <w:sz w:val="20"/>
                                </w:rPr>
                                <w:t>(např. právní prostředí)</w:t>
                              </w:r>
                            </w:p>
                          </w:txbxContent>
                        </wps:txbx>
                        <wps:bodyPr rot="0" vert="horz" wrap="square" lIns="91440" tIns="45720" rIns="91440" bIns="45720" anchor="t" anchorCtr="0">
                          <a:noAutofit/>
                        </wps:bodyPr>
                      </wps:wsp>
                    </wpg:wgp>
                  </a:graphicData>
                </a:graphic>
              </wp:anchor>
            </w:drawing>
          </mc:Choice>
          <mc:Fallback>
            <w:pict>
              <v:group w14:anchorId="1DA1A1B5" id="Skupina 23623" o:spid="_x0000_s1218" style="position:absolute;left:0;text-align:left;margin-left:5.25pt;margin-top:6.3pt;width:442.8pt;height:252.9pt;z-index:251634176;mso-position-horizontal-relative:text;mso-position-vertical-relative:text" coordsize="56235,3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YLNSAYAAMIkAAAOAAAAZHJzL2Uyb0RvYy54bWzsWltv2zYUfh+w/yDovbVEXW3UKdL0ggFp&#10;GzQd+kxLlK1GIjWKsZ3+mz7uYX9gwPYS7H/tHJKSL3Vza9cFrfPgUBQvh+fO7+jR42VdOXMm21Lw&#10;ses/9FyH8UzkJZ+O3V/fPn+Quk6rKM9pJTgbuxesdR8f/PzTo0UzYkTMRJUz6cAivB0tmrE7U6oZ&#10;DQZtNmM1bR+KhnF4WQhZUwWPcjrIJV3A6nU1IJ4XDxZC5o0UGWtb6H1qXroHev2iYJl6XRQtU041&#10;doE2pX+l/p3g7+DgER1NJW1mZWbJoHegoqYlh037pZ5SRZ1zWX6yVF1mUrSiUA8zUQ9EUZQZ02eA&#10;0/je1mleSHHe6LNMR4tp07MJWLvFpzsvm72an0inzMcuCWISuA6nNYjp9Oy8KTl1TCcwadFMRzD2&#10;hWxOmxNpO6bmCc+9LGSN/+FEzlKz96JnL1sqJ4POCDaIYpBCBu8C4vtpYAWQzUBKn8zLZs+umTno&#10;Nh4gfT05iwaUqV3xq/0yfp3OaMO0GFrkwRq/QLkNv97CGcX88nenERVzCKoVEgGjkV2OWj4RwABf&#10;q0jbHIvsrHW4OJpRPmWHUorFjNEcyPRxJhymn2rWaXGRyeKlyEE29FwJvRDy3JECdNqPwRbgT3db&#10;EfgpCYdD4DYw2/dJMIwssztx+NDjhUMjjtQLSBLp3Tue0lEjW/WCidrBxtiVYE16Bzo/bhUSuhqC&#10;sm9FVebPy6rSD2jB7KiSzpyC7U2m5vDVeQ2nMH24v6YJ1tEGj8P1qhsrVfzTxeV00i/teYl31K+z&#10;TgMy9RnPgVI6UrSsTBt2wyU1l5GxlsXqomI4sOJvWAEWAfIi+rQ9aYZqmmWMKyMoOxqnFXDufqIV&#10;9CYLqn6SHYvTmPZR/UQjwSt37GfoXQVX/eS65ELuIjk/68gtzPju9ObMqG5qOVlqN5Dqodg1EfkF&#10;qJ1WMFAjcPKgAzMhP7jOAhzm2G1/O6eSuU71CwfVHfphiB5WP4RRQuBBrr+ZrL+hPIOlxq5yHdM8&#10;Utor46G4OAQVL0qtYitKLNFg2EZi38LCg94j3kcL90iYXm3hMXiB2Fh4MowJDDZm27nrvYWjwl1p&#10;b9ofaFv7Xiy8D097Cw/iILzHMZyQNIYQaUK4TyLwqTqYrUJ4HCYp+CjMqFI/CsAD7w38hw/hASrB&#10;KnD+4CEc4t//nKRj9LBZeRAQEmBqBAYb+kPfJMCQB9qbDgk8n2AehRZNoqGX9inyfxSzjb/YkXFz&#10;gbm89jf7RNrk/rdKpMO9Fa6uysF9vio/iJKhb40SrspJAiCF1vvOKv1hHKSE7K/KOqq0+6uyuSpr&#10;vGQfZw14GACSZOLsGzEHIAJwRM4v/3KUFO8v/5yxil/+cYaAIgy06YmFx+yTwWJW6NNVUCKEUDLs&#10;wmQUeVF4DXalZAlYW4UwHh1p/Aob09ySTPP3rlPUFWC/AFc5kRfDtRnoAqzIDr4V1qVvWIhqraNR&#10;FXcWAMWRxEZ0VJwvwJ+Q/nZGc2ZCE2JpXfLf32f1AW5xgd3Etr41TLUGkH0Optq6sbZN9rwEbPKY&#10;tuqESpAeZE4IVL2Gn6ISwG9hW66D0NWu/q8LbPHz+kgA4OlD3aPJdBNokqrqmoUU9TsoWhwinAav&#10;OiQsU7J7sFiYA2WPjB0e6mFQLmioOuanTYaLo/QRvHm7fEdlYwFaBfHqlejgaqu6RotXY3HmPULY&#10;sB5wf9Lz0PfDFCiC5DuOYwOIryXnYUSCBF5jch4FSTJMrZO4Y26+lmIb7xD4sKeRUJ98o+ie0nZm&#10;U1BomeSkLhWUzqqyhqs/Gr/NWW6Tq69QX+3t9qHMhLK4vzKeSDq//Oi0lfjnb8ah9eHy41zIM10Z&#10;g2G3CWQQs7wQpITKtZVfEhImCORuFcYggnxOscrpTD2RNLsioIEHWkU0uHQGGtnfDHqQ0q7GhMPo&#10;mqi3qxSzWeRQy67UsBH7duswnO+GlZidBZXNaLU7zN2goPKtw9yKRZ+txuzD3HcX5pL7FOaME8L6&#10;cLB91YW6fJLGAIqjL0q8hFyXWe+rwljfvokv2unE1pJeU1/C6N/XeE0d+gZOrJ+B061fMZO/TlU4&#10;6ULdlmv6uslzlwvfsSqsvwKBD2X0tcd+1INf4qw/Q3v906ODfwEAAP//AwBQSwMEFAAGAAgAAAAh&#10;AHklQMrgAAAACQEAAA8AAABkcnMvZG93bnJldi54bWxMj0FLw0AQhe+C/2EZwZvdpJoQYzalFPVU&#10;BFtBvG2z0yQ0Oxuy2yT9944nexoe7/Hme8Vqtp0YcfCtIwXxIgKBVDnTUq3ga//2kIHwQZPRnSNU&#10;cEEPq/L2ptC5cRN94rgLteAS8rlW0ITQ51L6qkGr/cL1SOwd3WB1YDnU0gx64nLbyWUUpdLqlvhD&#10;o3vcNFiddmer4H3S0/oxfh23p+Pm8rNPPr63MSp1fzevX0AEnMN/GP7wGR1KZjq4MxkvOtZRwkm+&#10;yxQE+9lzGoM4KEji7AlkWcjrBeUvAAAA//8DAFBLAQItABQABgAIAAAAIQC2gziS/gAAAOEBAAAT&#10;AAAAAAAAAAAAAAAAAAAAAABbQ29udGVudF9UeXBlc10ueG1sUEsBAi0AFAAGAAgAAAAhADj9If/W&#10;AAAAlAEAAAsAAAAAAAAAAAAAAAAALwEAAF9yZWxzLy5yZWxzUEsBAi0AFAAGAAgAAAAhAGfVgs1I&#10;BgAAwiQAAA4AAAAAAAAAAAAAAAAALgIAAGRycy9lMm9Eb2MueG1sUEsBAi0AFAAGAAgAAAAhAHkl&#10;QMrgAAAACQEAAA8AAAAAAAAAAAAAAAAAoggAAGRycy9kb3ducmV2LnhtbFBLBQYAAAAABAAEAPMA&#10;AACvCQAAAAA=&#10;">
                <v:shape id="_x0000_s1219" type="#_x0000_t202" style="position:absolute;left:18249;top:11239;width:19501;height:80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HOpwwAAAN4AAAAPAAAAZHJzL2Rvd25yZXYueG1sRE9Ni8Iw&#10;EL0v+B/CCN7W1Aq61KYioovgYbGr96EZ22ozKU1Wq7/eHBY8Pt53uuxNI27Uudqygsk4AkFcWF1z&#10;qeD4u/38AuE8ssbGMil4kINlNvhIMdH2zge65b4UIYRdggoq79tESldUZNCNbUscuLPtDPoAu1Lq&#10;Du8h3DQyjqKZNFhzaKiwpXVFxTX/Mwrq6ebyLE77+UUa+zgefmK933wrNRr2qwUIT71/i//dO60g&#10;ns7isDfcCVdAZi8AAAD//wMAUEsBAi0AFAAGAAgAAAAhANvh9svuAAAAhQEAABMAAAAAAAAAAAAA&#10;AAAAAAAAAFtDb250ZW50X1R5cGVzXS54bWxQSwECLQAUAAYACAAAACEAWvQsW78AAAAVAQAACwAA&#10;AAAAAAAAAAAAAAAfAQAAX3JlbHMvLnJlbHNQSwECLQAUAAYACAAAACEA2PBzqcMAAADeAAAADwAA&#10;AAAAAAAAAAAAAAAHAgAAZHJzL2Rvd25yZXYueG1sUEsFBgAAAAADAAMAtwAAAPcCAAAAAA==&#10;" fillcolor="#f2f2f2 [3052]" strokecolor="#0070c0" strokeweight="1pt">
                  <v:textbox>
                    <w:txbxContent>
                      <w:p w14:paraId="2E6F5AC9"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4</w:t>
                        </w:r>
                        <w:r w:rsidRPr="00DF672A">
                          <w:rPr>
                            <w:rFonts w:asciiTheme="minorHAnsi" w:hAnsiTheme="minorHAnsi" w:cstheme="minorHAnsi"/>
                            <w:sz w:val="20"/>
                          </w:rPr>
                          <w:t xml:space="preserve">. pilíř </w:t>
                        </w:r>
                      </w:p>
                      <w:p w14:paraId="00FA9FD9"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Intuice, vnitřní hlas, </w:t>
                        </w:r>
                      </w:p>
                      <w:p w14:paraId="29D2FE9B"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cit pro spravedlnost / pravdu</w:t>
                        </w:r>
                      </w:p>
                      <w:p w14:paraId="1E7E51AF" w14:textId="77777777" w:rsidR="00511D9B" w:rsidRDefault="00511D9B" w:rsidP="00D62CC2">
                        <w:pPr>
                          <w:spacing w:line="180" w:lineRule="auto"/>
                          <w:jc w:val="center"/>
                          <w:rPr>
                            <w:rFonts w:asciiTheme="minorHAnsi" w:hAnsiTheme="minorHAnsi" w:cstheme="minorHAnsi"/>
                            <w:b/>
                            <w:sz w:val="20"/>
                          </w:rPr>
                        </w:pPr>
                        <w:r w:rsidRPr="001D644E">
                          <w:rPr>
                            <w:rFonts w:asciiTheme="minorHAnsi" w:hAnsiTheme="minorHAnsi" w:cstheme="minorHAnsi"/>
                            <w:sz w:val="20"/>
                          </w:rPr>
                          <w:t>(</w:t>
                        </w:r>
                        <w:r>
                          <w:rPr>
                            <w:rFonts w:asciiTheme="minorHAnsi" w:hAnsiTheme="minorHAnsi" w:cstheme="minorHAnsi"/>
                            <w:sz w:val="20"/>
                          </w:rPr>
                          <w:t>tvůrčí / intuitivní myšlení</w:t>
                        </w:r>
                        <w:r w:rsidRPr="001D644E">
                          <w:rPr>
                            <w:rFonts w:asciiTheme="minorHAnsi" w:hAnsiTheme="minorHAnsi" w:cstheme="minorHAnsi"/>
                            <w:sz w:val="20"/>
                          </w:rPr>
                          <w:t>).</w:t>
                        </w:r>
                      </w:p>
                      <w:p w14:paraId="6F106F97" w14:textId="77777777" w:rsidR="00511D9B" w:rsidRPr="002407FA" w:rsidRDefault="00511D9B" w:rsidP="00D62CC2">
                        <w:pPr>
                          <w:spacing w:line="180" w:lineRule="auto"/>
                          <w:jc w:val="center"/>
                          <w:rPr>
                            <w:rFonts w:asciiTheme="minorHAnsi" w:hAnsiTheme="minorHAnsi" w:cstheme="minorHAnsi"/>
                            <w:sz w:val="20"/>
                          </w:rPr>
                        </w:pPr>
                        <w:r>
                          <w:rPr>
                            <w:rFonts w:asciiTheme="minorHAnsi" w:hAnsiTheme="minorHAnsi" w:cstheme="minorHAnsi"/>
                            <w:b/>
                            <w:sz w:val="20"/>
                          </w:rPr>
                          <w:t xml:space="preserve">Management jako umění </w:t>
                        </w:r>
                        <w:r w:rsidRPr="002407FA">
                          <w:rPr>
                            <w:rFonts w:asciiTheme="minorHAnsi" w:hAnsiTheme="minorHAnsi" w:cstheme="minorHAnsi"/>
                            <w:sz w:val="20"/>
                          </w:rPr>
                          <w:t>(využívání kreativity a intuice)</w:t>
                        </w:r>
                      </w:p>
                    </w:txbxContent>
                  </v:textbox>
                </v:shape>
                <v:shape id="_x0000_s1220" type="#_x0000_t202" style="position:absolute;left:10248;top:11239;width:19619;height:79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cFxQAAAN4AAAAPAAAAZHJzL2Rvd25yZXYueG1sRI9Pi8Iw&#10;FMTvwn6H8Ba8abotuFKNsoiK4EH8d380z7bavJQmavXTG2HB4zAzv2HG09ZU4kaNKy0r+OlHIIgz&#10;q0vOFRz2i94QhPPIGivLpOBBDqaTr84YU23vvKXbzuciQNilqKDwvk6ldFlBBl3f1sTBO9nGoA+y&#10;yaVu8B7gppJxFA2kwZLDQoE1zQrKLrurUVAm8/MzO65/z9LYx2G7ifV6vlSq+93+jUB4av0n/N9e&#10;aQVxMkgSeN8JV0BOXgAAAP//AwBQSwECLQAUAAYACAAAACEA2+H2y+4AAACFAQAAEwAAAAAAAAAA&#10;AAAAAAAAAAAAW0NvbnRlbnRfVHlwZXNdLnhtbFBLAQItABQABgAIAAAAIQBa9CxbvwAAABUBAAAL&#10;AAAAAAAAAAAAAAAAAB8BAABfcmVscy8ucmVsc1BLAQItABQABgAIAAAAIQBTjXcFxQAAAN4AAAAP&#10;AAAAAAAAAAAAAAAAAAcCAABkcnMvZG93bnJldi54bWxQSwUGAAAAAAMAAwC3AAAA+QIAAAAA&#10;" fillcolor="#f2f2f2 [3052]" strokecolor="#0070c0" strokeweight="1pt">
                  <v:textbox>
                    <w:txbxContent>
                      <w:p w14:paraId="64EDC5AF" w14:textId="77777777" w:rsidR="00511D9B" w:rsidRDefault="00511D9B" w:rsidP="00D62CC2">
                        <w:pPr>
                          <w:spacing w:line="180" w:lineRule="auto"/>
                          <w:jc w:val="center"/>
                          <w:rPr>
                            <w:rFonts w:asciiTheme="minorHAnsi" w:hAnsiTheme="minorHAnsi" w:cstheme="minorHAnsi"/>
                            <w:sz w:val="20"/>
                          </w:rPr>
                        </w:pPr>
                      </w:p>
                      <w:p w14:paraId="10C5A817"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3</w:t>
                        </w:r>
                        <w:r w:rsidRPr="00DF672A">
                          <w:rPr>
                            <w:rFonts w:asciiTheme="minorHAnsi" w:hAnsiTheme="minorHAnsi" w:cstheme="minorHAnsi"/>
                            <w:sz w:val="20"/>
                          </w:rPr>
                          <w:t xml:space="preserve">. pilíř </w:t>
                        </w:r>
                      </w:p>
                      <w:p w14:paraId="09CE21D9"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Schopnosti, dovednosti, zkušenosti.</w:t>
                        </w:r>
                      </w:p>
                      <w:p w14:paraId="43F52ABE" w14:textId="77777777" w:rsidR="00511D9B" w:rsidRPr="004A1B8C"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Management jako dovednost</w:t>
                        </w:r>
                      </w:p>
                    </w:txbxContent>
                  </v:textbox>
                </v:shape>
                <v:shape id="_x0000_s1221" type="#_x0000_t202" style="position:absolute;left:2286;top:11124;width:19648;height:81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O9xxgAAAN4AAAAPAAAAZHJzL2Rvd25yZXYueG1sRI9Pi8Iw&#10;FMTvgt8hPGFvmtqKK9UoIu6y4GHx3/3RPNtq81KaqNVPb4SFPQ4z8xtmtmhNJW7UuNKyguEgAkGc&#10;WV1yruCw/+pPQDiPrLGyTAoe5GAx73ZmmGp75y3ddj4XAcIuRQWF93UqpcsKMugGtiYO3sk2Bn2Q&#10;TS51g/cAN5WMo2gsDZYcFgqsaVVQdtldjYIyWZ+f2XHzeZbGPg7b31hv1t9KffTa5RSEp9b/h//a&#10;P1pBnIyTEbzvhCsg5y8AAAD//wMAUEsBAi0AFAAGAAgAAAAhANvh9svuAAAAhQEAABMAAAAAAAAA&#10;AAAAAAAAAAAAAFtDb250ZW50X1R5cGVzXS54bWxQSwECLQAUAAYACAAAACEAWvQsW78AAAAVAQAA&#10;CwAAAAAAAAAAAAAAAAAfAQAAX3JlbHMvLnJlbHNQSwECLQAUAAYACAAAACEA3GTvccYAAADeAAAA&#10;DwAAAAAAAAAAAAAAAAAHAgAAZHJzL2Rvd25yZXYueG1sUEsFBgAAAAADAAMAtwAAAPoCAAAAAA==&#10;" fillcolor="#f2f2f2 [3052]" strokecolor="#0070c0" strokeweight="1pt">
                  <v:textbox>
                    <w:txbxContent>
                      <w:p w14:paraId="4DDF6851" w14:textId="77777777" w:rsidR="00511D9B" w:rsidRDefault="00511D9B" w:rsidP="00D62CC2">
                        <w:pPr>
                          <w:spacing w:before="120" w:line="180" w:lineRule="auto"/>
                          <w:jc w:val="center"/>
                          <w:rPr>
                            <w:rFonts w:asciiTheme="minorHAnsi" w:hAnsiTheme="minorHAnsi" w:cstheme="minorHAnsi"/>
                            <w:sz w:val="20"/>
                          </w:rPr>
                        </w:pPr>
                        <w:r>
                          <w:rPr>
                            <w:rFonts w:asciiTheme="minorHAnsi" w:hAnsiTheme="minorHAnsi" w:cstheme="minorHAnsi"/>
                            <w:sz w:val="20"/>
                          </w:rPr>
                          <w:t>2</w:t>
                        </w:r>
                        <w:r w:rsidRPr="00DF672A">
                          <w:rPr>
                            <w:rFonts w:asciiTheme="minorHAnsi" w:hAnsiTheme="minorHAnsi" w:cstheme="minorHAnsi"/>
                            <w:sz w:val="20"/>
                          </w:rPr>
                          <w:t xml:space="preserve">. pilíř </w:t>
                        </w:r>
                      </w:p>
                      <w:p w14:paraId="0EB1D18E"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Znalosti </w:t>
                        </w:r>
                      </w:p>
                      <w:p w14:paraId="56C0FE2A"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sz w:val="20"/>
                          </w:rPr>
                          <w:t xml:space="preserve">(učení </w:t>
                        </w:r>
                        <w:r w:rsidRPr="001D644E">
                          <w:rPr>
                            <w:rFonts w:asciiTheme="minorHAnsi" w:hAnsiTheme="minorHAnsi" w:cstheme="minorHAnsi"/>
                            <w:sz w:val="20"/>
                          </w:rPr>
                          <w:t>klasické / prožitím – zkušenostmi).</w:t>
                        </w:r>
                      </w:p>
                      <w:p w14:paraId="44E37955" w14:textId="77777777" w:rsidR="00511D9B" w:rsidRPr="004A1B8C"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Management jako řemeslo</w:t>
                        </w:r>
                      </w:p>
                    </w:txbxContent>
                  </v:textbox>
                </v:shape>
                <v:shape id="_x0000_s1222" type="#_x0000_t202" style="position:absolute;left:33223;top:4191;width:23012;height:25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N4yQAAAN4AAAAPAAAAZHJzL2Rvd25yZXYueG1sRI9PSwMx&#10;FMTvgt8hPMGL2Gz/LXVtWkRauiehrVB6e2yem9XNy5LE7vrtjVDwOMzMb5jlerCtuJAPjWMF41EG&#10;grhyuuFawftx+7gAESKyxtYxKfihAOvV7c0SC+163tPlEGuRIBwKVGBi7AopQ2XIYhi5jjh5H85b&#10;jEn6WmqPfYLbVk6yLJcWG04LBjt6NVR9Hb6tgsW59Ga3HXbjp8+Ht9m+3Mz700ap+7vh5RlEpCH+&#10;h6/tUiuYTPNpDn930hWQq18AAAD//wMAUEsBAi0AFAAGAAgAAAAhANvh9svuAAAAhQEAABMAAAAA&#10;AAAAAAAAAAAAAAAAAFtDb250ZW50X1R5cGVzXS54bWxQSwECLQAUAAYACAAAACEAWvQsW78AAAAV&#10;AQAACwAAAAAAAAAAAAAAAAAfAQAAX3JlbHMvLnJlbHNQSwECLQAUAAYACAAAACEAtLIzeMkAAADe&#10;AAAADwAAAAAAAAAAAAAAAAAHAgAAZHJzL2Rvd25yZXYueG1sUEsFBgAAAAADAAMAtwAAAP0CAAAA&#10;AA==&#10;" fillcolor="white [3212]" stroked="f" strokeweight="1pt">
                  <v:textbox>
                    <w:txbxContent>
                      <w:p w14:paraId="0F5EAFBB" w14:textId="77777777" w:rsidR="00511D9B" w:rsidRPr="00963F91" w:rsidRDefault="00511D9B" w:rsidP="00D62CC2">
                        <w:pPr>
                          <w:pStyle w:val="A1-text"/>
                          <w:spacing w:after="0" w:line="197" w:lineRule="auto"/>
                          <w:contextualSpacing/>
                          <w:rPr>
                            <w:rFonts w:asciiTheme="minorHAnsi" w:hAnsiTheme="minorHAnsi" w:cstheme="minorHAnsi"/>
                            <w:sz w:val="20"/>
                            <w:lang w:val="cs-CZ"/>
                          </w:rPr>
                        </w:pPr>
                        <w:r w:rsidRPr="00963F91">
                          <w:rPr>
                            <w:rFonts w:asciiTheme="minorHAnsi" w:hAnsiTheme="minorHAnsi" w:cstheme="minorHAnsi"/>
                            <w:sz w:val="20"/>
                            <w:lang w:val="cs-CZ"/>
                          </w:rPr>
                          <w:t xml:space="preserve">Finanční </w:t>
                        </w:r>
                        <w:r w:rsidRPr="00963F91">
                          <w:rPr>
                            <w:rFonts w:asciiTheme="minorHAnsi" w:hAnsiTheme="minorHAnsi" w:cstheme="minorHAnsi"/>
                            <w:sz w:val="20"/>
                          </w:rPr>
                          <w:t>řízení (</w:t>
                        </w:r>
                        <w:r w:rsidRPr="00963F91">
                          <w:rPr>
                            <w:rFonts w:asciiTheme="minorHAnsi" w:hAnsiTheme="minorHAnsi" w:cstheme="minorHAnsi"/>
                            <w:sz w:val="20"/>
                            <w:lang w:val="cs-CZ"/>
                          </w:rPr>
                          <w:t>management</w:t>
                        </w:r>
                        <w:r w:rsidRPr="00963F91">
                          <w:rPr>
                            <w:rFonts w:asciiTheme="minorHAnsi" w:hAnsiTheme="minorHAnsi" w:cstheme="minorHAnsi"/>
                            <w:sz w:val="20"/>
                          </w:rPr>
                          <w:t xml:space="preserve">) </w:t>
                        </w:r>
                        <w:r w:rsidRPr="00963F91">
                          <w:rPr>
                            <w:rFonts w:asciiTheme="minorHAnsi" w:hAnsiTheme="minorHAnsi" w:cstheme="minorHAnsi"/>
                            <w:sz w:val="20"/>
                            <w:lang w:val="cs-CZ"/>
                          </w:rPr>
                          <w:t>je proces systematického</w:t>
                        </w:r>
                      </w:p>
                      <w:p w14:paraId="3E88619D" w14:textId="02BE83EC" w:rsidR="00511D9B" w:rsidRPr="00963F91" w:rsidRDefault="00511D9B" w:rsidP="00D62CC2">
                        <w:pPr>
                          <w:pStyle w:val="A1-text"/>
                          <w:numPr>
                            <w:ilvl w:val="0"/>
                            <w:numId w:val="57"/>
                          </w:numPr>
                          <w:tabs>
                            <w:tab w:val="clear" w:pos="284"/>
                            <w:tab w:val="left" w:pos="0"/>
                          </w:tabs>
                          <w:spacing w:after="0" w:line="197" w:lineRule="auto"/>
                          <w:ind w:left="142" w:hanging="142"/>
                          <w:contextualSpacing/>
                          <w:rPr>
                            <w:rFonts w:asciiTheme="minorHAnsi" w:hAnsiTheme="minorHAnsi" w:cstheme="minorHAnsi"/>
                            <w:sz w:val="20"/>
                            <w:lang w:val="cs-CZ"/>
                          </w:rPr>
                        </w:pPr>
                        <w:r w:rsidRPr="00876592">
                          <w:rPr>
                            <w:rFonts w:asciiTheme="minorHAnsi" w:hAnsiTheme="minorHAnsi" w:cstheme="minorHAnsi"/>
                            <w:b/>
                            <w:sz w:val="20"/>
                            <w:lang w:val="cs-CZ"/>
                          </w:rPr>
                          <w:t>plánování</w:t>
                        </w:r>
                        <w:r>
                          <w:rPr>
                            <w:rFonts w:asciiTheme="minorHAnsi" w:hAnsiTheme="minorHAnsi" w:cstheme="minorHAnsi"/>
                            <w:sz w:val="20"/>
                            <w:lang w:val="cs-CZ"/>
                          </w:rPr>
                          <w:t xml:space="preserve"> </w:t>
                        </w:r>
                        <w:r w:rsidRPr="00963F91">
                          <w:rPr>
                            <w:rFonts w:asciiTheme="minorHAnsi" w:hAnsiTheme="minorHAnsi" w:cstheme="minorHAnsi"/>
                            <w:sz w:val="20"/>
                            <w:lang w:val="cs-CZ"/>
                          </w:rPr>
                          <w:t>zdrojů (včetně rozpočtu) a ekonomicko-správních činností</w:t>
                        </w:r>
                        <w:r w:rsidRPr="00963F91">
                          <w:rPr>
                            <w:rFonts w:asciiTheme="minorHAnsi" w:hAnsiTheme="minorHAnsi" w:cstheme="minorHAnsi"/>
                            <w:sz w:val="20"/>
                          </w:rPr>
                          <w:t>;</w:t>
                        </w:r>
                        <w:r w:rsidRPr="00963F91">
                          <w:rPr>
                            <w:rFonts w:asciiTheme="minorHAnsi" w:hAnsiTheme="minorHAnsi" w:cstheme="minorHAnsi"/>
                            <w:sz w:val="20"/>
                            <w:lang w:val="cs-CZ"/>
                          </w:rPr>
                          <w:t xml:space="preserve"> jejich </w:t>
                        </w:r>
                        <w:r w:rsidRPr="00963F91">
                          <w:rPr>
                            <w:rFonts w:asciiTheme="minorHAnsi" w:hAnsiTheme="minorHAnsi" w:cstheme="minorHAnsi"/>
                            <w:b/>
                            <w:sz w:val="20"/>
                          </w:rPr>
                          <w:t xml:space="preserve">organizování a </w:t>
                        </w:r>
                        <w:r w:rsidRPr="00963F91">
                          <w:rPr>
                            <w:rFonts w:asciiTheme="minorHAnsi" w:hAnsiTheme="minorHAnsi" w:cstheme="minorHAnsi"/>
                            <w:b/>
                            <w:sz w:val="20"/>
                            <w:lang w:val="cs-CZ"/>
                          </w:rPr>
                          <w:t>koordinování</w:t>
                        </w:r>
                        <w:r w:rsidRPr="00963F91">
                          <w:rPr>
                            <w:rFonts w:asciiTheme="minorHAnsi" w:hAnsiTheme="minorHAnsi" w:cstheme="minorHAnsi"/>
                            <w:sz w:val="20"/>
                            <w:lang w:val="cs-CZ"/>
                          </w:rPr>
                          <w:t xml:space="preserve">; </w:t>
                        </w:r>
                        <w:r w:rsidRPr="00963F91">
                          <w:rPr>
                            <w:rFonts w:asciiTheme="minorHAnsi" w:hAnsiTheme="minorHAnsi" w:cstheme="minorHAnsi"/>
                            <w:b/>
                            <w:sz w:val="20"/>
                          </w:rPr>
                          <w:t>vedení</w:t>
                        </w:r>
                        <w:r w:rsidRPr="00963F91">
                          <w:rPr>
                            <w:rFonts w:asciiTheme="minorHAnsi" w:hAnsiTheme="minorHAnsi" w:cstheme="minorHAnsi"/>
                            <w:sz w:val="20"/>
                          </w:rPr>
                          <w:t xml:space="preserve"> </w:t>
                        </w:r>
                        <w:r w:rsidRPr="00963F91">
                          <w:rPr>
                            <w:rFonts w:asciiTheme="minorHAnsi" w:hAnsiTheme="minorHAnsi" w:cstheme="minorHAnsi"/>
                            <w:sz w:val="20"/>
                            <w:lang w:val="cs-CZ"/>
                          </w:rPr>
                          <w:t>podřízených</w:t>
                        </w:r>
                        <w:r w:rsidRPr="00963F91">
                          <w:rPr>
                            <w:rFonts w:asciiTheme="minorHAnsi" w:hAnsiTheme="minorHAnsi" w:cstheme="minorHAnsi"/>
                            <w:sz w:val="20"/>
                          </w:rPr>
                          <w:t xml:space="preserve"> </w:t>
                        </w:r>
                        <w:r w:rsidRPr="00963F91">
                          <w:rPr>
                            <w:rFonts w:asciiTheme="minorHAnsi" w:hAnsiTheme="minorHAnsi" w:cstheme="minorHAnsi"/>
                            <w:b/>
                            <w:sz w:val="20"/>
                          </w:rPr>
                          <w:t>a motivování</w:t>
                        </w:r>
                        <w:r w:rsidRPr="00963F91">
                          <w:rPr>
                            <w:rFonts w:asciiTheme="minorHAnsi" w:hAnsiTheme="minorHAnsi" w:cstheme="minorHAnsi"/>
                            <w:sz w:val="20"/>
                          </w:rPr>
                          <w:t xml:space="preserve"> </w:t>
                        </w:r>
                        <w:r w:rsidRPr="00963F91">
                          <w:rPr>
                            <w:rFonts w:asciiTheme="minorHAnsi" w:hAnsiTheme="minorHAnsi" w:cstheme="minorHAnsi"/>
                            <w:sz w:val="20"/>
                            <w:lang w:val="cs-CZ"/>
                          </w:rPr>
                          <w:t xml:space="preserve">sebe </w:t>
                        </w:r>
                        <w:r w:rsidRPr="00963F91">
                          <w:rPr>
                            <w:rFonts w:asciiTheme="minorHAnsi" w:hAnsiTheme="minorHAnsi" w:cstheme="minorHAnsi"/>
                            <w:sz w:val="20"/>
                          </w:rPr>
                          <w:t xml:space="preserve">a </w:t>
                        </w:r>
                        <w:r w:rsidRPr="00963F91">
                          <w:rPr>
                            <w:rFonts w:asciiTheme="minorHAnsi" w:hAnsiTheme="minorHAnsi" w:cstheme="minorHAnsi"/>
                            <w:sz w:val="20"/>
                            <w:lang w:val="cs-CZ"/>
                          </w:rPr>
                          <w:t>všech</w:t>
                        </w:r>
                        <w:r w:rsidRPr="00963F91">
                          <w:rPr>
                            <w:rFonts w:asciiTheme="minorHAnsi" w:hAnsiTheme="minorHAnsi" w:cstheme="minorHAnsi"/>
                            <w:sz w:val="20"/>
                          </w:rPr>
                          <w:t xml:space="preserve"> zapojených osob;</w:t>
                        </w:r>
                        <w:r w:rsidRPr="00963F91">
                          <w:rPr>
                            <w:rFonts w:asciiTheme="minorHAnsi" w:hAnsiTheme="minorHAnsi" w:cstheme="minorHAnsi"/>
                            <w:sz w:val="20"/>
                            <w:lang w:val="cs-CZ"/>
                          </w:rPr>
                          <w:t xml:space="preserve"> finanční</w:t>
                        </w:r>
                        <w:r w:rsidRPr="00963F91">
                          <w:rPr>
                            <w:rFonts w:asciiTheme="minorHAnsi" w:hAnsiTheme="minorHAnsi" w:cstheme="minorHAnsi"/>
                            <w:sz w:val="20"/>
                          </w:rPr>
                          <w:t xml:space="preserve"> </w:t>
                        </w:r>
                        <w:r w:rsidRPr="00963F91">
                          <w:rPr>
                            <w:rFonts w:asciiTheme="minorHAnsi" w:hAnsiTheme="minorHAnsi" w:cstheme="minorHAnsi"/>
                            <w:b/>
                            <w:sz w:val="20"/>
                          </w:rPr>
                          <w:t>kontrolu</w:t>
                        </w:r>
                        <w:r w:rsidRPr="00963F91">
                          <w:rPr>
                            <w:rFonts w:asciiTheme="minorHAnsi" w:hAnsiTheme="minorHAnsi" w:cstheme="minorHAnsi"/>
                            <w:sz w:val="20"/>
                          </w:rPr>
                          <w:t xml:space="preserve"> </w:t>
                        </w:r>
                        <w:r w:rsidRPr="00963F91">
                          <w:rPr>
                            <w:rFonts w:asciiTheme="minorHAnsi" w:hAnsiTheme="minorHAnsi" w:cstheme="minorHAnsi"/>
                            <w:sz w:val="20"/>
                            <w:lang w:val="cs-CZ"/>
                          </w:rPr>
                          <w:t>prováděných činností,</w:t>
                        </w:r>
                      </w:p>
                      <w:p w14:paraId="1115A538" w14:textId="77777777" w:rsidR="00511D9B" w:rsidRPr="00963F91" w:rsidRDefault="00511D9B" w:rsidP="00D62CC2">
                        <w:pPr>
                          <w:pStyle w:val="A1-text"/>
                          <w:numPr>
                            <w:ilvl w:val="0"/>
                            <w:numId w:val="57"/>
                          </w:numPr>
                          <w:tabs>
                            <w:tab w:val="clear" w:pos="284"/>
                            <w:tab w:val="left" w:pos="0"/>
                          </w:tabs>
                          <w:spacing w:after="0" w:line="197" w:lineRule="auto"/>
                          <w:ind w:left="142" w:hanging="142"/>
                          <w:rPr>
                            <w:rFonts w:asciiTheme="minorHAnsi" w:hAnsiTheme="minorHAnsi" w:cstheme="minorHAnsi"/>
                            <w:sz w:val="20"/>
                            <w:lang w:val="cs-CZ"/>
                          </w:rPr>
                        </w:pPr>
                        <w:r w:rsidRPr="00963F91">
                          <w:rPr>
                            <w:rFonts w:asciiTheme="minorHAnsi" w:hAnsiTheme="minorHAnsi" w:cstheme="minorHAnsi"/>
                            <w:sz w:val="20"/>
                            <w:lang w:val="cs-CZ"/>
                          </w:rPr>
                          <w:t xml:space="preserve">současně též při provádění činností </w:t>
                        </w:r>
                        <w:r w:rsidRPr="00963F91">
                          <w:rPr>
                            <w:rFonts w:asciiTheme="minorHAnsi" w:hAnsiTheme="minorHAnsi" w:cstheme="minorHAnsi"/>
                            <w:b/>
                            <w:sz w:val="20"/>
                            <w:lang w:val="cs-CZ"/>
                          </w:rPr>
                          <w:t>správné rozhodování</w:t>
                        </w:r>
                        <w:r w:rsidRPr="00963F91">
                          <w:rPr>
                            <w:rFonts w:asciiTheme="minorHAnsi" w:hAnsiTheme="minorHAnsi" w:cstheme="minorHAnsi"/>
                            <w:sz w:val="20"/>
                            <w:lang w:val="cs-CZ"/>
                          </w:rPr>
                          <w:t xml:space="preserve"> (na základě analýzy možných variant, přijetí správného rozhodnutí a jeho implementaci),</w:t>
                        </w:r>
                      </w:p>
                      <w:p w14:paraId="06701F60" w14:textId="0D551A8C" w:rsidR="00511D9B" w:rsidRPr="00963F91" w:rsidRDefault="00511D9B" w:rsidP="00D62CC2">
                        <w:pPr>
                          <w:pStyle w:val="A1-text"/>
                          <w:spacing w:after="0" w:line="197" w:lineRule="auto"/>
                          <w:rPr>
                            <w:rFonts w:asciiTheme="minorHAnsi" w:hAnsiTheme="minorHAnsi" w:cstheme="minorHAnsi"/>
                            <w:sz w:val="20"/>
                          </w:rPr>
                        </w:pPr>
                        <w:r w:rsidRPr="00963F91">
                          <w:rPr>
                            <w:rFonts w:asciiTheme="minorHAnsi" w:hAnsiTheme="minorHAnsi" w:cstheme="minorHAnsi"/>
                            <w:sz w:val="20"/>
                            <w:lang w:val="cs-CZ"/>
                          </w:rPr>
                          <w:t xml:space="preserve">tak, aby směřovaly </w:t>
                        </w:r>
                        <w:r w:rsidRPr="00963F91">
                          <w:rPr>
                            <w:rFonts w:asciiTheme="minorHAnsi" w:hAnsiTheme="minorHAnsi" w:cstheme="minorHAnsi"/>
                            <w:sz w:val="20"/>
                          </w:rPr>
                          <w:t xml:space="preserve">k dosahování cílů </w:t>
                        </w:r>
                        <w:r w:rsidRPr="00876592">
                          <w:rPr>
                            <w:rFonts w:asciiTheme="minorHAnsi" w:hAnsiTheme="minorHAnsi" w:cstheme="minorHAnsi"/>
                            <w:sz w:val="20"/>
                          </w:rPr>
                          <w:t>(a to jak cílů vymezených ve strateg</w:t>
                        </w:r>
                        <w:r>
                          <w:rPr>
                            <w:rFonts w:asciiTheme="minorHAnsi" w:hAnsiTheme="minorHAnsi" w:cstheme="minorHAnsi"/>
                            <w:sz w:val="20"/>
                            <w:lang w:val="cs-CZ"/>
                          </w:rPr>
                          <w:t>ických dokumentech</w:t>
                        </w:r>
                        <w:r w:rsidRPr="00876592">
                          <w:rPr>
                            <w:rFonts w:asciiTheme="minorHAnsi" w:hAnsiTheme="minorHAnsi" w:cstheme="minorHAnsi"/>
                            <w:sz w:val="20"/>
                          </w:rPr>
                          <w:t>, tak případně z nich odvozených operativních cílů)</w:t>
                        </w:r>
                        <w:r w:rsidRPr="00963F91">
                          <w:rPr>
                            <w:rFonts w:asciiTheme="minorHAnsi" w:hAnsiTheme="minorHAnsi" w:cstheme="minorHAnsi"/>
                            <w:sz w:val="20"/>
                          </w:rPr>
                          <w:t>, přičemž cíle se musí  vymezovat a dosahovat v souladu s</w:t>
                        </w:r>
                        <w:r w:rsidRPr="00963F91">
                          <w:rPr>
                            <w:rFonts w:asciiTheme="minorHAnsi" w:hAnsiTheme="minorHAnsi" w:cstheme="minorHAnsi"/>
                            <w:sz w:val="20"/>
                            <w:lang w:val="cs-CZ"/>
                          </w:rPr>
                          <w:t> předpisy a</w:t>
                        </w:r>
                        <w:r w:rsidRPr="00963F91">
                          <w:rPr>
                            <w:rFonts w:asciiTheme="minorHAnsi" w:hAnsiTheme="minorHAnsi" w:cstheme="minorHAnsi"/>
                            <w:sz w:val="20"/>
                          </w:rPr>
                          <w:t> morálkou.</w:t>
                        </w:r>
                      </w:p>
                      <w:p w14:paraId="16706B09" w14:textId="77777777" w:rsidR="00511D9B" w:rsidRPr="00963F91" w:rsidRDefault="00511D9B" w:rsidP="00D62CC2">
                        <w:pPr>
                          <w:pStyle w:val="A1-text"/>
                          <w:spacing w:after="0" w:line="197" w:lineRule="auto"/>
                          <w:rPr>
                            <w:rFonts w:asciiTheme="minorHAnsi" w:hAnsiTheme="minorHAnsi" w:cstheme="minorHAnsi"/>
                            <w:sz w:val="12"/>
                            <w:szCs w:val="20"/>
                          </w:rPr>
                        </w:pPr>
                      </w:p>
                    </w:txbxContent>
                  </v:textbox>
                </v:shape>
                <v:shape id="_x0000_s1223" type="#_x0000_t202" style="position:absolute;left:-5792;top:11277;width:19639;height:80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V0xAAAAN4AAAAPAAAAZHJzL2Rvd25yZXYueG1sRE9Na8JA&#10;EL0X/A/LCL3VTROwEl2lFCuFHIox3ofsmESzsyG7muivdw+FHh/ve7UZTStu1LvGsoL3WQSCuLS6&#10;4UpBcfh+W4BwHllja5kU3MnBZj15WWGq7cB7uuW+EiGEXYoKau+7VEpX1mTQzWxHHLiT7Q36APtK&#10;6h6HEG5aGUfRXBpsODTU2NFXTeUlvxoFTbI9P8pj9nGWxt6L/W+ss+1Oqdfp+LkE4Wn0/+I/949W&#10;ECfzJOwNd8IVkOsnAAAA//8DAFBLAQItABQABgAIAAAAIQDb4fbL7gAAAIUBAAATAAAAAAAAAAAA&#10;AAAAAAAAAABbQ29udGVudF9UeXBlc10ueG1sUEsBAi0AFAAGAAgAAAAhAFr0LFu/AAAAFQEAAAsA&#10;AAAAAAAAAAAAAAAAHwEAAF9yZWxzLy5yZWxzUEsBAi0AFAAGAAgAAAAhAF0p5XTEAAAA3gAAAA8A&#10;AAAAAAAAAAAAAAAABwIAAGRycy9kb3ducmV2LnhtbFBLBQYAAAAAAwADALcAAAD4AgAAAAA=&#10;" fillcolor="#f2f2f2 [3052]" strokecolor="#0070c0" strokeweight="1pt">
                  <v:textbox>
                    <w:txbxContent>
                      <w:p w14:paraId="7B11C4BB"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1</w:t>
                        </w:r>
                        <w:r w:rsidRPr="00DF672A">
                          <w:rPr>
                            <w:rFonts w:asciiTheme="minorHAnsi" w:hAnsiTheme="minorHAnsi" w:cstheme="minorHAnsi"/>
                            <w:sz w:val="20"/>
                          </w:rPr>
                          <w:t xml:space="preserve">. pilíř </w:t>
                        </w:r>
                      </w:p>
                      <w:p w14:paraId="73B53A48"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Data, informace, poznatky</w:t>
                        </w:r>
                      </w:p>
                      <w:p w14:paraId="0A89E235" w14:textId="77777777" w:rsidR="00511D9B" w:rsidRDefault="00511D9B" w:rsidP="00D62CC2">
                        <w:pPr>
                          <w:spacing w:line="180" w:lineRule="auto"/>
                          <w:jc w:val="center"/>
                          <w:rPr>
                            <w:rFonts w:asciiTheme="minorHAnsi" w:hAnsiTheme="minorHAnsi" w:cstheme="minorHAnsi"/>
                            <w:b/>
                            <w:sz w:val="20"/>
                          </w:rPr>
                        </w:pPr>
                        <w:r w:rsidRPr="001D644E">
                          <w:rPr>
                            <w:rFonts w:asciiTheme="minorHAnsi" w:hAnsiTheme="minorHAnsi" w:cstheme="minorHAnsi"/>
                            <w:sz w:val="20"/>
                          </w:rPr>
                          <w:t>(</w:t>
                        </w:r>
                        <w:r>
                          <w:rPr>
                            <w:rFonts w:asciiTheme="minorHAnsi" w:hAnsiTheme="minorHAnsi" w:cstheme="minorHAnsi"/>
                            <w:sz w:val="20"/>
                          </w:rPr>
                          <w:t>pravdivé</w:t>
                        </w:r>
                        <w:r w:rsidRPr="001D644E">
                          <w:rPr>
                            <w:rFonts w:asciiTheme="minorHAnsi" w:hAnsiTheme="minorHAnsi" w:cstheme="minorHAnsi"/>
                            <w:sz w:val="20"/>
                          </w:rPr>
                          <w:t xml:space="preserve"> / </w:t>
                        </w:r>
                        <w:r>
                          <w:rPr>
                            <w:rFonts w:asciiTheme="minorHAnsi" w:hAnsiTheme="minorHAnsi" w:cstheme="minorHAnsi"/>
                            <w:sz w:val="20"/>
                          </w:rPr>
                          <w:t>zkreslené / nepravdivé</w:t>
                        </w:r>
                        <w:r w:rsidRPr="001D644E">
                          <w:rPr>
                            <w:rFonts w:asciiTheme="minorHAnsi" w:hAnsiTheme="minorHAnsi" w:cstheme="minorHAnsi"/>
                            <w:sz w:val="20"/>
                          </w:rPr>
                          <w:t>).</w:t>
                        </w:r>
                      </w:p>
                      <w:p w14:paraId="66B7BD14" w14:textId="77777777" w:rsidR="00511D9B" w:rsidRPr="004A1B8C"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Management jako dolování dat a využívání informací a poznatků</w:t>
                        </w:r>
                      </w:p>
                    </w:txbxContent>
                  </v:textbox>
                </v:shape>
                <v:shape id="Rovnoramenný trojúhelník 23639" o:spid="_x0000_s1224" type="#_x0000_t5" style="position:absolute;width:32029;height:5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xLxwAAAN4AAAAPAAAAZHJzL2Rvd25yZXYueG1sRI9Ba8JA&#10;FITvBf/D8gRvdWMC0aauIoLgqWBa6PWZfSZps2+T7Mak/fXdQqHHYWa+Ybb7yTTiTr2rLStYLSMQ&#10;xIXVNZcK3l5PjxsQziNrbCyTgi9ysN/NHraYaTvyhe65L0WAsMtQQeV9m0npiooMuqVtiYN3s71B&#10;H2RfSt3jGOCmkXEUpdJgzWGhwpaOFRWf+WAUjB95+n5bD+eOXtz6elmhLb47pRbz6fAMwtPk/8N/&#10;7bNWECdp8gS/d8IVkLsfAAAA//8DAFBLAQItABQABgAIAAAAIQDb4fbL7gAAAIUBAAATAAAAAAAA&#10;AAAAAAAAAAAAAABbQ29udGVudF9UeXBlc10ueG1sUEsBAi0AFAAGAAgAAAAhAFr0LFu/AAAAFQEA&#10;AAsAAAAAAAAAAAAAAAAAHwEAAF9yZWxzLy5yZWxzUEsBAi0AFAAGAAgAAAAhAJEQvEvHAAAA3gAA&#10;AA8AAAAAAAAAAAAAAAAABwIAAGRycy9kb3ducmV2LnhtbFBLBQYAAAAAAwADALcAAAD7AgAAAAA=&#10;" adj="10935" fillcolor="#e7e6e6 [3214]" strokecolor="#1f3763 [1604]" strokeweight="1pt"/>
                <v:shape id="_x0000_s1225" type="#_x0000_t202" style="position:absolute;left:4114;top:666;width:24524;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C1xQAAAN4AAAAPAAAAZHJzL2Rvd25yZXYueG1sRI/BTsMw&#10;DIbvSLxDZCRuLN2QIlaWTVOnIY6wIXE1jdd0a5yuCVt5e3xA4vjLvz/7W6zG0KkLDamNbGE6KUAR&#10;19G13Fj42G8fnkCljOywi0wWfijBanl7s8DSxSu/02WXGyUQTiVa8Dn3pdap9hQwTWJPLLNDHAJm&#10;iUOj3YBXgYdOz4rC6IAtywWPPVWe6tPuO1jYnquvucHjZv5Sfcb1W2yMl3/s/d24fgaVacz/5b/t&#10;V2dh9miMCIiOqIBe/gIAAP//AwBQSwECLQAUAAYACAAAACEA2+H2y+4AAACFAQAAEwAAAAAAAAAA&#10;AAAAAAAAAAAAW0NvbnRlbnRfVHlwZXNdLnhtbFBLAQItABQABgAIAAAAIQBa9CxbvwAAABUBAAAL&#10;AAAAAAAAAAAAAAAAAB8BAABfcmVscy8ucmVsc1BLAQItABQABgAIAAAAIQDKCcC1xQAAAN4AAAAP&#10;AAAAAAAAAAAAAAAAAAcCAABkcnMvZG93bnJldi54bWxQSwUGAAAAAAMAAwC3AAAA+QIAAAAA&#10;" filled="f" stroked="f" strokeweight=".25pt">
                  <v:stroke dashstyle="dash"/>
                  <v:textbox>
                    <w:txbxContent>
                      <w:p w14:paraId="1E61431B" w14:textId="77777777" w:rsidR="00511D9B" w:rsidRDefault="00511D9B" w:rsidP="00D62CC2">
                        <w:pPr>
                          <w:spacing w:line="180" w:lineRule="auto"/>
                          <w:jc w:val="center"/>
                          <w:rPr>
                            <w:rFonts w:asciiTheme="minorHAnsi" w:hAnsiTheme="minorHAnsi" w:cstheme="minorHAnsi"/>
                            <w:sz w:val="20"/>
                          </w:rPr>
                        </w:pPr>
                        <w:r>
                          <w:rPr>
                            <w:rFonts w:asciiTheme="minorHAnsi" w:hAnsiTheme="minorHAnsi" w:cstheme="minorHAnsi"/>
                            <w:sz w:val="20"/>
                          </w:rPr>
                          <w:t xml:space="preserve">Střecha: </w:t>
                        </w:r>
                      </w:p>
                      <w:p w14:paraId="0B8DDF40" w14:textId="77777777" w:rsidR="00511D9B" w:rsidRDefault="00511D9B" w:rsidP="00D62CC2">
                        <w:pPr>
                          <w:spacing w:line="180" w:lineRule="auto"/>
                          <w:jc w:val="center"/>
                          <w:rPr>
                            <w:rFonts w:asciiTheme="minorHAnsi" w:hAnsiTheme="minorHAnsi" w:cstheme="minorHAnsi"/>
                            <w:b/>
                          </w:rPr>
                        </w:pPr>
                        <w:r>
                          <w:rPr>
                            <w:rFonts w:asciiTheme="minorHAnsi" w:hAnsiTheme="minorHAnsi" w:cstheme="minorHAnsi"/>
                            <w:b/>
                          </w:rPr>
                          <w:t xml:space="preserve">Cíle strategie </w:t>
                        </w:r>
                      </w:p>
                      <w:p w14:paraId="145828CB" w14:textId="3BC20BFD" w:rsidR="00511D9B" w:rsidRPr="00583058" w:rsidRDefault="00511D9B" w:rsidP="00D62CC2">
                        <w:pPr>
                          <w:spacing w:line="180" w:lineRule="auto"/>
                          <w:jc w:val="center"/>
                          <w:rPr>
                            <w:rFonts w:asciiTheme="minorHAnsi" w:hAnsiTheme="minorHAnsi" w:cstheme="minorHAnsi"/>
                            <w:b/>
                          </w:rPr>
                        </w:pPr>
                        <w:r>
                          <w:rPr>
                            <w:rFonts w:asciiTheme="minorHAnsi" w:hAnsiTheme="minorHAnsi" w:cstheme="minorHAnsi"/>
                            <w:b/>
                          </w:rPr>
                          <w:t>a z nich odvozené operativní cíle</w:t>
                        </w:r>
                      </w:p>
                      <w:p w14:paraId="1521C040" w14:textId="77777777" w:rsidR="00511D9B" w:rsidRPr="00FD6662" w:rsidRDefault="00511D9B" w:rsidP="00D62CC2">
                        <w:pPr>
                          <w:spacing w:line="180" w:lineRule="auto"/>
                          <w:jc w:val="center"/>
                          <w:rPr>
                            <w:rFonts w:asciiTheme="minorHAnsi" w:hAnsiTheme="minorHAnsi" w:cstheme="minorHAnsi"/>
                            <w:b/>
                          </w:rPr>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ravá složená závorka 23666" o:spid="_x0000_s1226" type="#_x0000_t88" style="position:absolute;left:32004;width:2247;height:32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nJxQAAAN4AAAAPAAAAZHJzL2Rvd25yZXYueG1sRI9Ra8Iw&#10;FIXfB/6HcIW9zVRlVTqjiFAQ3Mu0P+CuuTbF5qYmUbt/bwaDPR7OOd/hrDaD7cSdfGgdK5hOMhDE&#10;tdMtNwqqU/m2BBEissbOMSn4oQCb9ehlhYV2D/6i+zE2IkE4FKjAxNgXUobakMUwcT1x8s7OW4xJ&#10;+kZqj48Et52cZVkuLbacFgz2tDNUX443q6Dk5e7afg6lb6aLyrx/y0Nfn5V6HQ/bDxCRhvgf/mvv&#10;tYLZPM9z+L2TroBcPwEAAP//AwBQSwECLQAUAAYACAAAACEA2+H2y+4AAACFAQAAEwAAAAAAAAAA&#10;AAAAAAAAAAAAW0NvbnRlbnRfVHlwZXNdLnhtbFBLAQItABQABgAIAAAAIQBa9CxbvwAAABUBAAAL&#10;AAAAAAAAAAAAAAAAAB8BAABfcmVscy8ucmVsc1BLAQItABQABgAIAAAAIQBhifnJxQAAAN4AAAAP&#10;AAAAAAAAAAAAAAAAAAcCAABkcnMvZG93bnJldi54bWxQSwUGAAAAAAMAAwC3AAAA+QIAAAAA&#10;" adj="351,10698" strokecolor="black [3213]" strokeweight=".5pt">
                  <v:stroke dashstyle="dash" joinstyle="miter"/>
                </v:shape>
                <v:shape id="_x0000_s1227" type="#_x0000_t202" style="position:absolute;top:24993;width:32178;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y5yAAAAN4AAAAPAAAAZHJzL2Rvd25yZXYueG1sRI9BS8NA&#10;FITvgv9heYIXsRtbWWvstlQhUNpT2kKvj+wziWbfptk1if/eLQg9DjPzDbNYjbYRPXW+dqzhaZKA&#10;IC6cqbnUcDxkj3MQPiAbbByThl/ysFre3iwwNW7gnPp9KEWEsE9RQxVCm0rpi4os+olriaP36TqL&#10;IcqulKbDIcJtI6dJoqTFmuNChS19VFR873+shpl6V8+b0yC/+sPu9WGeNedtnml9fzeu30AEGsM1&#10;/N/eGA3TmVIvcLkTr4Bc/gEAAP//AwBQSwECLQAUAAYACAAAACEA2+H2y+4AAACFAQAAEwAAAAAA&#10;AAAAAAAAAAAAAAAAW0NvbnRlbnRfVHlwZXNdLnhtbFBLAQItABQABgAIAAAAIQBa9CxbvwAAABUB&#10;AAALAAAAAAAAAAAAAAAAAB8BAABfcmVscy8ucmVsc1BLAQItABQABgAIAAAAIQDfL8y5yAAAAN4A&#10;AAAPAAAAAAAAAAAAAAAAAAcCAABkcnMvZG93bnJldi54bWxQSwUGAAAAAAMAAwC3AAAA/AIAAAAA&#10;" fillcolor="#f2f2f2 [3052]" strokecolor="#0070c0" strokeweight="1pt">
                  <v:textbox>
                    <w:txbxContent>
                      <w:p w14:paraId="061B151D"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Základy</w:t>
                        </w:r>
                        <w:r w:rsidRPr="00042F4D">
                          <w:rPr>
                            <w:rFonts w:asciiTheme="minorHAnsi" w:hAnsiTheme="minorHAnsi" w:cstheme="minorHAnsi"/>
                            <w:b/>
                            <w:sz w:val="20"/>
                          </w:rPr>
                          <w:t xml:space="preserve"> </w:t>
                        </w:r>
                        <w:r w:rsidRPr="00042F4D">
                          <w:rPr>
                            <w:rFonts w:asciiTheme="minorHAnsi" w:hAnsiTheme="minorHAnsi" w:cstheme="minorHAnsi"/>
                            <w:sz w:val="20"/>
                          </w:rPr>
                          <w:t xml:space="preserve">– jsou tvořeny zejména </w:t>
                        </w:r>
                        <w:r>
                          <w:rPr>
                            <w:rFonts w:asciiTheme="minorHAnsi" w:hAnsiTheme="minorHAnsi" w:cstheme="minorHAnsi"/>
                            <w:sz w:val="20"/>
                          </w:rPr>
                          <w:t>třemi</w:t>
                        </w:r>
                        <w:r w:rsidRPr="00042F4D">
                          <w:rPr>
                            <w:rFonts w:asciiTheme="minorHAnsi" w:hAnsiTheme="minorHAnsi" w:cstheme="minorHAnsi"/>
                            <w:sz w:val="20"/>
                          </w:rPr>
                          <w:t xml:space="preserve"> aspekty:</w:t>
                        </w:r>
                        <w:r>
                          <w:rPr>
                            <w:rFonts w:asciiTheme="minorHAnsi" w:hAnsiTheme="minorHAnsi" w:cstheme="minorHAnsi"/>
                            <w:b/>
                            <w:sz w:val="20"/>
                          </w:rPr>
                          <w:t xml:space="preserve"> </w:t>
                        </w:r>
                      </w:p>
                      <w:p w14:paraId="5805AB70"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(1) morálka, morální chování </w:t>
                        </w:r>
                        <w:r w:rsidRPr="00042F4D">
                          <w:rPr>
                            <w:rFonts w:asciiTheme="minorHAnsi" w:hAnsiTheme="minorHAnsi" w:cstheme="minorHAnsi"/>
                            <w:sz w:val="20"/>
                          </w:rPr>
                          <w:t>(opakem je nemorální chování, morální hazard),</w:t>
                        </w:r>
                        <w:r>
                          <w:rPr>
                            <w:rFonts w:asciiTheme="minorHAnsi" w:hAnsiTheme="minorHAnsi" w:cstheme="minorHAnsi"/>
                            <w:b/>
                            <w:sz w:val="20"/>
                          </w:rPr>
                          <w:t xml:space="preserve"> </w:t>
                        </w:r>
                      </w:p>
                      <w:p w14:paraId="6C8EC07A" w14:textId="77777777" w:rsidR="00511D9B"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(2) adekvátní rozsah a kvalita zdrojů,</w:t>
                        </w:r>
                      </w:p>
                      <w:p w14:paraId="3B7AEB87" w14:textId="77777777" w:rsidR="00511D9B" w:rsidRPr="00042F4D" w:rsidRDefault="00511D9B" w:rsidP="00D62CC2">
                        <w:pPr>
                          <w:spacing w:line="180" w:lineRule="auto"/>
                          <w:jc w:val="center"/>
                          <w:rPr>
                            <w:rFonts w:asciiTheme="minorHAnsi" w:hAnsiTheme="minorHAnsi" w:cstheme="minorHAnsi"/>
                            <w:b/>
                            <w:sz w:val="20"/>
                          </w:rPr>
                        </w:pPr>
                        <w:r>
                          <w:rPr>
                            <w:rFonts w:asciiTheme="minorHAnsi" w:hAnsiTheme="minorHAnsi" w:cstheme="minorHAnsi"/>
                            <w:b/>
                            <w:sz w:val="20"/>
                          </w:rPr>
                          <w:t xml:space="preserve">(3) vnější rámcové podmínky </w:t>
                        </w:r>
                        <w:r w:rsidRPr="00082C1A">
                          <w:rPr>
                            <w:rFonts w:asciiTheme="minorHAnsi" w:hAnsiTheme="minorHAnsi" w:cstheme="minorHAnsi"/>
                            <w:sz w:val="20"/>
                          </w:rPr>
                          <w:t>(např. právní prostředí)</w:t>
                        </w:r>
                      </w:p>
                    </w:txbxContent>
                  </v:textbox>
                </v:shape>
              </v:group>
            </w:pict>
          </mc:Fallback>
        </mc:AlternateContent>
      </w:r>
    </w:p>
    <w:p w14:paraId="0ED45A0A" w14:textId="2928117B" w:rsidR="00D62CC2" w:rsidRPr="003D1574" w:rsidRDefault="00D62CC2" w:rsidP="00D62CC2">
      <w:pPr>
        <w:spacing w:after="120"/>
        <w:rPr>
          <w:rFonts w:asciiTheme="minorHAnsi" w:eastAsia="Calibri" w:hAnsiTheme="minorHAnsi" w:cstheme="minorHAnsi"/>
        </w:rPr>
      </w:pPr>
    </w:p>
    <w:p w14:paraId="038EF034" w14:textId="77777777" w:rsidR="00D62CC2" w:rsidRDefault="00D62CC2" w:rsidP="00D62CC2">
      <w:pPr>
        <w:spacing w:line="240" w:lineRule="auto"/>
      </w:pPr>
    </w:p>
    <w:p w14:paraId="1C417CBE" w14:textId="77777777" w:rsidR="00D62CC2" w:rsidRDefault="00D62CC2" w:rsidP="006C77C4">
      <w:pPr>
        <w:pStyle w:val="A1-text"/>
        <w:spacing w:after="0"/>
        <w:rPr>
          <w:rFonts w:asciiTheme="minorHAnsi" w:eastAsia="Calibri" w:hAnsiTheme="minorHAnsi" w:cstheme="minorHAnsi"/>
        </w:rPr>
      </w:pPr>
    </w:p>
    <w:p w14:paraId="175B344E" w14:textId="77777777" w:rsidR="00D62CC2" w:rsidRDefault="00D62CC2" w:rsidP="006C77C4">
      <w:pPr>
        <w:pStyle w:val="A1-text"/>
        <w:spacing w:after="0"/>
        <w:rPr>
          <w:rFonts w:asciiTheme="minorHAnsi" w:eastAsia="Calibri" w:hAnsiTheme="minorHAnsi" w:cstheme="minorHAnsi"/>
        </w:rPr>
      </w:pPr>
    </w:p>
    <w:p w14:paraId="20F25F6B" w14:textId="77777777" w:rsidR="00D62CC2" w:rsidRDefault="00D62CC2" w:rsidP="006C77C4">
      <w:pPr>
        <w:pStyle w:val="A1-text"/>
        <w:spacing w:after="0"/>
        <w:rPr>
          <w:rFonts w:asciiTheme="minorHAnsi" w:eastAsia="Calibri" w:hAnsiTheme="minorHAnsi" w:cstheme="minorHAnsi"/>
        </w:rPr>
      </w:pPr>
    </w:p>
    <w:p w14:paraId="0D433F80" w14:textId="77777777" w:rsidR="00D62CC2" w:rsidRDefault="00D62CC2" w:rsidP="006C77C4">
      <w:pPr>
        <w:pStyle w:val="A1-text"/>
        <w:spacing w:after="0"/>
        <w:rPr>
          <w:rFonts w:asciiTheme="minorHAnsi" w:eastAsia="Calibri" w:hAnsiTheme="minorHAnsi" w:cstheme="minorHAnsi"/>
        </w:rPr>
      </w:pPr>
    </w:p>
    <w:p w14:paraId="67E7CABE" w14:textId="77777777" w:rsidR="00D62CC2" w:rsidRDefault="00D62CC2" w:rsidP="006C77C4">
      <w:pPr>
        <w:pStyle w:val="A1-text"/>
        <w:spacing w:after="0"/>
        <w:rPr>
          <w:rFonts w:asciiTheme="minorHAnsi" w:eastAsia="Calibri" w:hAnsiTheme="minorHAnsi" w:cstheme="minorHAnsi"/>
        </w:rPr>
      </w:pPr>
    </w:p>
    <w:p w14:paraId="4259D289" w14:textId="77777777" w:rsidR="00D62CC2" w:rsidRDefault="00D62CC2" w:rsidP="006C77C4">
      <w:pPr>
        <w:pStyle w:val="A1-text"/>
        <w:spacing w:after="0"/>
        <w:rPr>
          <w:rFonts w:asciiTheme="minorHAnsi" w:eastAsia="Calibri" w:hAnsiTheme="minorHAnsi" w:cstheme="minorHAnsi"/>
        </w:rPr>
      </w:pPr>
    </w:p>
    <w:p w14:paraId="1988BDEE" w14:textId="77777777" w:rsidR="000A1555" w:rsidRDefault="000A1555" w:rsidP="006C77C4">
      <w:pPr>
        <w:pStyle w:val="A1-text"/>
        <w:spacing w:after="0"/>
        <w:rPr>
          <w:rFonts w:asciiTheme="minorHAnsi" w:eastAsia="Calibri" w:hAnsiTheme="minorHAnsi" w:cstheme="minorHAnsi"/>
          <w:lang w:val="cs-CZ"/>
        </w:rPr>
      </w:pPr>
    </w:p>
    <w:p w14:paraId="0CDE207A" w14:textId="77777777" w:rsidR="000A1555" w:rsidRDefault="000A1555" w:rsidP="006C77C4">
      <w:pPr>
        <w:pStyle w:val="A1-text"/>
        <w:spacing w:after="0"/>
        <w:rPr>
          <w:rFonts w:asciiTheme="minorHAnsi" w:eastAsia="Calibri" w:hAnsiTheme="minorHAnsi" w:cstheme="minorHAnsi"/>
          <w:lang w:val="cs-CZ"/>
        </w:rPr>
      </w:pPr>
    </w:p>
    <w:p w14:paraId="0B867E21" w14:textId="77777777" w:rsidR="000A1555" w:rsidRDefault="000A1555" w:rsidP="006C77C4">
      <w:pPr>
        <w:pStyle w:val="A1-text"/>
        <w:spacing w:after="0"/>
        <w:rPr>
          <w:rFonts w:asciiTheme="minorHAnsi" w:eastAsia="Calibri" w:hAnsiTheme="minorHAnsi" w:cstheme="minorHAnsi"/>
          <w:lang w:val="cs-CZ"/>
        </w:rPr>
      </w:pPr>
    </w:p>
    <w:p w14:paraId="0305CA2E" w14:textId="77777777" w:rsidR="000A1555" w:rsidRDefault="000A1555" w:rsidP="006C77C4">
      <w:pPr>
        <w:pStyle w:val="A1-text"/>
        <w:spacing w:after="0"/>
        <w:rPr>
          <w:rFonts w:asciiTheme="minorHAnsi" w:eastAsia="Calibri" w:hAnsiTheme="minorHAnsi" w:cstheme="minorHAnsi"/>
          <w:lang w:val="cs-CZ"/>
        </w:rPr>
      </w:pPr>
    </w:p>
    <w:p w14:paraId="2A040515" w14:textId="20C1B740" w:rsidR="000A1555" w:rsidRDefault="000A1555" w:rsidP="006C77C4">
      <w:pPr>
        <w:pStyle w:val="A1-text"/>
        <w:spacing w:after="0"/>
        <w:rPr>
          <w:rFonts w:asciiTheme="minorHAnsi" w:eastAsia="Calibri" w:hAnsiTheme="minorHAnsi" w:cstheme="minorHAnsi"/>
          <w:lang w:val="cs-CZ"/>
        </w:rPr>
      </w:pPr>
      <w:r w:rsidRPr="000828C6">
        <w:rPr>
          <w:rFonts w:ascii="Calibri" w:hAnsi="Calibri"/>
          <w:i/>
          <w:iCs/>
          <w:lang w:val="cs-CZ"/>
        </w:rPr>
        <w:t>Zdroj:</w:t>
      </w:r>
      <w:r>
        <w:rPr>
          <w:rFonts w:ascii="Calibri" w:hAnsi="Calibri"/>
          <w:i/>
          <w:iCs/>
          <w:lang w:val="cs-CZ"/>
        </w:rPr>
        <w:t xml:space="preserve"> autoři</w:t>
      </w:r>
    </w:p>
    <w:p w14:paraId="622A5277" w14:textId="77777777" w:rsidR="000A1555" w:rsidRDefault="000A1555" w:rsidP="006C77C4">
      <w:pPr>
        <w:pStyle w:val="A1-text"/>
        <w:spacing w:after="0"/>
        <w:rPr>
          <w:rFonts w:asciiTheme="minorHAnsi" w:eastAsia="Calibri" w:hAnsiTheme="minorHAnsi" w:cstheme="minorHAnsi"/>
          <w:lang w:val="cs-CZ"/>
        </w:rPr>
      </w:pPr>
    </w:p>
    <w:p w14:paraId="2119510B" w14:textId="3211710A" w:rsidR="00A77C43" w:rsidRDefault="00D62CC2" w:rsidP="006C77C4">
      <w:pPr>
        <w:pStyle w:val="A1-text"/>
        <w:spacing w:after="0"/>
        <w:rPr>
          <w:rFonts w:asciiTheme="minorHAnsi" w:eastAsia="Calibri" w:hAnsiTheme="minorHAnsi" w:cstheme="minorHAnsi"/>
          <w:lang w:val="cs-CZ"/>
        </w:rPr>
      </w:pPr>
      <w:r w:rsidRPr="000A1555">
        <w:rPr>
          <w:rFonts w:asciiTheme="minorHAnsi" w:eastAsia="Calibri" w:hAnsiTheme="minorHAnsi" w:cstheme="minorHAnsi"/>
          <w:b/>
          <w:lang w:val="cs-CZ"/>
        </w:rPr>
        <w:lastRenderedPageBreak/>
        <w:t>F</w:t>
      </w:r>
      <w:r w:rsidR="00963F91" w:rsidRPr="000A1555">
        <w:rPr>
          <w:rFonts w:asciiTheme="minorHAnsi" w:eastAsia="Calibri" w:hAnsiTheme="minorHAnsi" w:cstheme="minorHAnsi"/>
          <w:b/>
          <w:lang w:val="cs-CZ"/>
        </w:rPr>
        <w:t>inanční</w:t>
      </w:r>
      <w:r w:rsidR="00A345DB" w:rsidRPr="000A1555">
        <w:rPr>
          <w:rFonts w:asciiTheme="minorHAnsi" w:eastAsia="Calibri" w:hAnsiTheme="minorHAnsi" w:cstheme="minorHAnsi"/>
          <w:b/>
          <w:lang w:val="cs-CZ"/>
        </w:rPr>
        <w:t xml:space="preserve"> management</w:t>
      </w:r>
      <w:r w:rsidR="00A345DB">
        <w:rPr>
          <w:rFonts w:asciiTheme="minorHAnsi" w:eastAsia="Calibri" w:hAnsiTheme="minorHAnsi" w:cstheme="minorHAnsi"/>
          <w:lang w:val="cs-CZ"/>
        </w:rPr>
        <w:t xml:space="preserve"> je chápan jako stavba. </w:t>
      </w:r>
      <w:r w:rsidR="00A345DB">
        <w:rPr>
          <w:rFonts w:asciiTheme="minorHAnsi" w:eastAsia="Calibri" w:hAnsiTheme="minorHAnsi" w:cstheme="minorHAnsi"/>
        </w:rPr>
        <w:t>Předchozí definice je uv</w:t>
      </w:r>
      <w:r w:rsidR="00963F91">
        <w:rPr>
          <w:rFonts w:asciiTheme="minorHAnsi" w:eastAsia="Calibri" w:hAnsiTheme="minorHAnsi" w:cstheme="minorHAnsi"/>
        </w:rPr>
        <w:t>edena vpravo. Střechou stavby jsou</w:t>
      </w:r>
      <w:r w:rsidR="00A345DB">
        <w:rPr>
          <w:rFonts w:asciiTheme="minorHAnsi" w:eastAsia="Calibri" w:hAnsiTheme="minorHAnsi" w:cstheme="minorHAnsi"/>
        </w:rPr>
        <w:t xml:space="preserve"> cíl</w:t>
      </w:r>
      <w:r w:rsidR="00963F91">
        <w:rPr>
          <w:rFonts w:asciiTheme="minorHAnsi" w:eastAsia="Calibri" w:hAnsiTheme="minorHAnsi" w:cstheme="minorHAnsi"/>
          <w:lang w:val="cs-CZ"/>
        </w:rPr>
        <w:t>e instituce (například obce)</w:t>
      </w:r>
      <w:r w:rsidR="00A345DB">
        <w:rPr>
          <w:rFonts w:asciiTheme="minorHAnsi" w:eastAsia="Calibri" w:hAnsiTheme="minorHAnsi" w:cstheme="minorHAnsi"/>
        </w:rPr>
        <w:t xml:space="preserve">, respektive </w:t>
      </w:r>
      <w:r w:rsidR="00963F91">
        <w:rPr>
          <w:rFonts w:asciiTheme="minorHAnsi" w:eastAsia="Calibri" w:hAnsiTheme="minorHAnsi" w:cstheme="minorHAnsi"/>
          <w:lang w:val="cs-CZ"/>
        </w:rPr>
        <w:t>finanční cíle</w:t>
      </w:r>
      <w:r w:rsidR="00A345DB">
        <w:rPr>
          <w:rFonts w:asciiTheme="minorHAnsi" w:hAnsiTheme="minorHAnsi" w:cstheme="minorHAnsi"/>
          <w:lang w:val="cs-CZ"/>
        </w:rPr>
        <w:t xml:space="preserve">. </w:t>
      </w:r>
      <w:r w:rsidR="00A345DB">
        <w:rPr>
          <w:rFonts w:asciiTheme="minorHAnsi" w:eastAsia="Calibri" w:hAnsiTheme="minorHAnsi" w:cstheme="minorHAnsi"/>
        </w:rPr>
        <w:t>Základna je dána vnitřními rámcovými podmínkami (morálka, zdroje) a vnějšími podmínkami (například legislativa). Důležité jsou čtyři pilíře, které mů</w:t>
      </w:r>
      <w:r w:rsidR="00A77C43">
        <w:rPr>
          <w:rFonts w:asciiTheme="minorHAnsi" w:eastAsia="Calibri" w:hAnsiTheme="minorHAnsi" w:cstheme="minorHAnsi"/>
        </w:rPr>
        <w:t xml:space="preserve">žeme svojí aktivitou ovlivnit. </w:t>
      </w:r>
      <w:r w:rsidR="00A77C43">
        <w:rPr>
          <w:rFonts w:asciiTheme="minorHAnsi" w:eastAsia="Calibri" w:hAnsiTheme="minorHAnsi" w:cstheme="minorHAnsi"/>
          <w:lang w:val="cs-CZ"/>
        </w:rPr>
        <w:t>J</w:t>
      </w:r>
      <w:r w:rsidR="00A345DB">
        <w:rPr>
          <w:rFonts w:asciiTheme="minorHAnsi" w:eastAsia="Calibri" w:hAnsiTheme="minorHAnsi" w:cstheme="minorHAnsi"/>
        </w:rPr>
        <w:t>de o to, jak je využíváme</w:t>
      </w:r>
      <w:r w:rsidR="00963F91">
        <w:rPr>
          <w:rFonts w:asciiTheme="minorHAnsi" w:eastAsia="Calibri" w:hAnsiTheme="minorHAnsi" w:cstheme="minorHAnsi"/>
          <w:lang w:val="cs-CZ"/>
        </w:rPr>
        <w:t xml:space="preserve"> pro plnění úkolů a dosahování cílů</w:t>
      </w:r>
      <w:r w:rsidR="00A345DB">
        <w:rPr>
          <w:rFonts w:asciiTheme="minorHAnsi" w:eastAsia="Calibri" w:hAnsiTheme="minorHAnsi" w:cstheme="minorHAnsi"/>
        </w:rPr>
        <w:t xml:space="preserve"> (zda jsou </w:t>
      </w:r>
      <w:r w:rsidR="00963F91">
        <w:rPr>
          <w:rFonts w:asciiTheme="minorHAnsi" w:eastAsia="Calibri" w:hAnsiTheme="minorHAnsi" w:cstheme="minorHAnsi"/>
          <w:lang w:val="cs-CZ"/>
        </w:rPr>
        <w:t xml:space="preserve">naší </w:t>
      </w:r>
      <w:r w:rsidR="00A345DB">
        <w:rPr>
          <w:rFonts w:asciiTheme="minorHAnsi" w:eastAsia="Calibri" w:hAnsiTheme="minorHAnsi" w:cstheme="minorHAnsi"/>
        </w:rPr>
        <w:t xml:space="preserve">silnou stránkou) a jaký rozvojový potenciál </w:t>
      </w:r>
      <w:r w:rsidR="00963F91">
        <w:rPr>
          <w:rFonts w:asciiTheme="minorHAnsi" w:eastAsia="Calibri" w:hAnsiTheme="minorHAnsi" w:cstheme="minorHAnsi"/>
          <w:lang w:val="cs-CZ"/>
        </w:rPr>
        <w:t xml:space="preserve">v nich </w:t>
      </w:r>
      <w:r w:rsidR="00A77C43">
        <w:rPr>
          <w:rFonts w:asciiTheme="minorHAnsi" w:eastAsia="Calibri" w:hAnsiTheme="minorHAnsi" w:cstheme="minorHAnsi"/>
        </w:rPr>
        <w:t>máme</w:t>
      </w:r>
      <w:r w:rsidR="00A77C43">
        <w:rPr>
          <w:rFonts w:asciiTheme="minorHAnsi" w:eastAsia="Calibri" w:hAnsiTheme="minorHAnsi" w:cstheme="minorHAnsi"/>
          <w:lang w:val="cs-CZ"/>
        </w:rPr>
        <w:t>:</w:t>
      </w:r>
    </w:p>
    <w:p w14:paraId="29D193C9" w14:textId="77777777" w:rsidR="00A77C43" w:rsidRDefault="006C77C4" w:rsidP="00A77C43">
      <w:pPr>
        <w:pStyle w:val="A1-text"/>
        <w:numPr>
          <w:ilvl w:val="0"/>
          <w:numId w:val="22"/>
        </w:numPr>
        <w:spacing w:after="0"/>
        <w:rPr>
          <w:rFonts w:asciiTheme="minorHAnsi" w:hAnsiTheme="minorHAnsi" w:cstheme="minorHAnsi"/>
          <w:lang w:val="cs-CZ"/>
        </w:rPr>
      </w:pPr>
      <w:r>
        <w:rPr>
          <w:rFonts w:asciiTheme="minorHAnsi" w:eastAsia="Calibri" w:hAnsiTheme="minorHAnsi" w:cstheme="minorHAnsi"/>
          <w:lang w:val="cs-CZ"/>
        </w:rPr>
        <w:t xml:space="preserve">První pilíř se týká </w:t>
      </w:r>
      <w:r w:rsidRPr="000A1555">
        <w:rPr>
          <w:rFonts w:asciiTheme="minorHAnsi" w:eastAsia="Calibri" w:hAnsiTheme="minorHAnsi" w:cstheme="minorHAnsi"/>
          <w:b/>
          <w:lang w:val="cs-CZ"/>
        </w:rPr>
        <w:t>d</w:t>
      </w:r>
      <w:r w:rsidRPr="000A1555">
        <w:rPr>
          <w:rFonts w:asciiTheme="minorHAnsi" w:hAnsiTheme="minorHAnsi" w:cstheme="minorHAnsi"/>
          <w:b/>
          <w:lang w:val="cs-CZ"/>
        </w:rPr>
        <w:t>at, informací a poznatků</w:t>
      </w:r>
      <w:r>
        <w:rPr>
          <w:rFonts w:asciiTheme="minorHAnsi" w:hAnsiTheme="minorHAnsi" w:cstheme="minorHAnsi"/>
          <w:lang w:val="cs-CZ"/>
        </w:rPr>
        <w:t xml:space="preserve"> (pravdivé / zkreslené / nepravdivé). Pro finanční řízení je nezbytné pracovat s daty (mimo jiné je nezbytné je umět získat – dolovat) a umět využívat informace pro správná rozhodnutí. </w:t>
      </w:r>
    </w:p>
    <w:p w14:paraId="45C51B7D" w14:textId="77777777" w:rsidR="00A77C43" w:rsidRDefault="006C77C4" w:rsidP="00A77C43">
      <w:pPr>
        <w:pStyle w:val="A1-text"/>
        <w:numPr>
          <w:ilvl w:val="0"/>
          <w:numId w:val="22"/>
        </w:numPr>
        <w:spacing w:after="0"/>
        <w:rPr>
          <w:rFonts w:asciiTheme="minorHAnsi" w:hAnsiTheme="minorHAnsi" w:cstheme="minorHAnsi"/>
          <w:lang w:val="cs-CZ"/>
        </w:rPr>
      </w:pPr>
      <w:r>
        <w:rPr>
          <w:rFonts w:asciiTheme="minorHAnsi" w:hAnsiTheme="minorHAnsi" w:cstheme="minorHAnsi"/>
          <w:lang w:val="cs-CZ"/>
        </w:rPr>
        <w:t xml:space="preserve">Druhý pilíř jsou </w:t>
      </w:r>
      <w:r w:rsidRPr="000A1555">
        <w:rPr>
          <w:rFonts w:asciiTheme="minorHAnsi" w:hAnsiTheme="minorHAnsi" w:cstheme="minorHAnsi"/>
          <w:b/>
          <w:lang w:val="cs-CZ"/>
        </w:rPr>
        <w:t>znalosti</w:t>
      </w:r>
      <w:r>
        <w:rPr>
          <w:rFonts w:asciiTheme="minorHAnsi" w:hAnsiTheme="minorHAnsi" w:cstheme="minorHAnsi"/>
          <w:lang w:val="cs-CZ"/>
        </w:rPr>
        <w:t xml:space="preserve">, ty jsou pro finanční řízení naprosto nezbytné. Nezáleží na tom, zda znalosti získáme klasickým učením (například ve škole) nebo prožitím, tedy zkušenostmi. </w:t>
      </w:r>
    </w:p>
    <w:p w14:paraId="1AF133A8" w14:textId="77777777" w:rsidR="00A77C43" w:rsidRDefault="006C77C4" w:rsidP="00A77C43">
      <w:pPr>
        <w:pStyle w:val="A1-text"/>
        <w:numPr>
          <w:ilvl w:val="0"/>
          <w:numId w:val="22"/>
        </w:numPr>
        <w:spacing w:after="0"/>
        <w:rPr>
          <w:rFonts w:asciiTheme="minorHAnsi" w:hAnsiTheme="minorHAnsi" w:cstheme="minorHAnsi"/>
          <w:lang w:val="cs-CZ"/>
        </w:rPr>
      </w:pPr>
      <w:r>
        <w:rPr>
          <w:rFonts w:asciiTheme="minorHAnsi" w:hAnsiTheme="minorHAnsi" w:cstheme="minorHAnsi"/>
          <w:lang w:val="cs-CZ"/>
        </w:rPr>
        <w:t xml:space="preserve">Třetí pilíř jsou </w:t>
      </w:r>
      <w:r w:rsidRPr="000A1555">
        <w:rPr>
          <w:rFonts w:asciiTheme="minorHAnsi" w:hAnsiTheme="minorHAnsi" w:cstheme="minorHAnsi"/>
          <w:b/>
          <w:lang w:val="cs-CZ"/>
        </w:rPr>
        <w:t>schopnosti, dovednosti, zkušenosti</w:t>
      </w:r>
      <w:r>
        <w:rPr>
          <w:rFonts w:asciiTheme="minorHAnsi" w:hAnsiTheme="minorHAnsi" w:cstheme="minorHAnsi"/>
          <w:lang w:val="cs-CZ"/>
        </w:rPr>
        <w:t xml:space="preserve">. </w:t>
      </w:r>
    </w:p>
    <w:p w14:paraId="4B660B33" w14:textId="1DD7AF73" w:rsidR="006C77C4" w:rsidRPr="00A77C43" w:rsidRDefault="006C77C4" w:rsidP="0013328E">
      <w:pPr>
        <w:pStyle w:val="A1-text"/>
        <w:numPr>
          <w:ilvl w:val="0"/>
          <w:numId w:val="22"/>
        </w:numPr>
        <w:spacing w:after="0"/>
        <w:rPr>
          <w:rFonts w:asciiTheme="minorHAnsi" w:eastAsia="Calibri" w:hAnsiTheme="minorHAnsi" w:cstheme="minorHAnsi"/>
        </w:rPr>
      </w:pPr>
      <w:r w:rsidRPr="00A77C43">
        <w:rPr>
          <w:rFonts w:asciiTheme="minorHAnsi" w:hAnsiTheme="minorHAnsi" w:cstheme="minorHAnsi"/>
          <w:lang w:val="cs-CZ"/>
        </w:rPr>
        <w:t xml:space="preserve">Čtvrtý pilíř je </w:t>
      </w:r>
      <w:r w:rsidRPr="000A1555">
        <w:rPr>
          <w:rFonts w:asciiTheme="minorHAnsi" w:hAnsiTheme="minorHAnsi" w:cstheme="minorHAnsi"/>
          <w:b/>
          <w:lang w:val="cs-CZ"/>
        </w:rPr>
        <w:t>tvůrčí (kreativní) nebo intuitivní myšlení</w:t>
      </w:r>
      <w:r w:rsidR="00ED065C" w:rsidRPr="00A77C43">
        <w:rPr>
          <w:rFonts w:asciiTheme="minorHAnsi" w:hAnsiTheme="minorHAnsi" w:cstheme="minorHAnsi"/>
          <w:lang w:val="cs-CZ"/>
        </w:rPr>
        <w:t xml:space="preserve"> (zvažovat vše nejen rozumem, ale také citem)</w:t>
      </w:r>
      <w:r w:rsidRPr="00A77C43">
        <w:rPr>
          <w:rFonts w:asciiTheme="minorHAnsi" w:hAnsiTheme="minorHAnsi" w:cstheme="minorHAnsi"/>
          <w:lang w:val="cs-CZ"/>
        </w:rPr>
        <w:t>. To je důležité pro generování nápadů a hledání vhodných řešení pro vznikající těžkosti, problémy.</w:t>
      </w:r>
    </w:p>
    <w:p w14:paraId="4FAA7480" w14:textId="77777777" w:rsidR="0013024B" w:rsidRDefault="0013024B" w:rsidP="000A1555">
      <w:pPr>
        <w:spacing w:after="160"/>
        <w:jc w:val="both"/>
        <w:rPr>
          <w:rFonts w:asciiTheme="minorHAnsi" w:eastAsia="Calibri" w:hAnsiTheme="minorHAnsi" w:cstheme="minorHAnsi"/>
        </w:rPr>
      </w:pPr>
    </w:p>
    <w:p w14:paraId="2BE6073E" w14:textId="3CB15C95" w:rsidR="005B4B83" w:rsidRPr="005B4B83" w:rsidRDefault="003118F6" w:rsidP="008D5A0F">
      <w:pPr>
        <w:jc w:val="both"/>
        <w:rPr>
          <w:rFonts w:asciiTheme="minorHAnsi" w:hAnsiTheme="minorHAnsi" w:cstheme="minorHAnsi"/>
          <w:b/>
          <w:bCs/>
          <w:i/>
          <w:iCs/>
          <w:color w:val="7493B0"/>
        </w:rPr>
      </w:pPr>
      <w:r w:rsidRPr="000A1555">
        <w:rPr>
          <w:rFonts w:asciiTheme="minorHAnsi" w:eastAsia="Calibri" w:hAnsiTheme="minorHAnsi" w:cstheme="minorHAnsi"/>
        </w:rPr>
        <w:t xml:space="preserve">Při nastavování cílů je důležité si pojem „cíl“ vymezit. </w:t>
      </w:r>
      <w:r w:rsidR="00D02813" w:rsidRPr="000A1555">
        <w:rPr>
          <w:rFonts w:asciiTheme="minorHAnsi" w:hAnsiTheme="minorHAnsi" w:cstheme="minorHAnsi"/>
          <w:b/>
        </w:rPr>
        <w:t>Cíle</w:t>
      </w:r>
      <w:r w:rsidR="00D02813" w:rsidRPr="000A1555">
        <w:rPr>
          <w:rFonts w:asciiTheme="minorHAnsi" w:hAnsiTheme="minorHAnsi" w:cstheme="minorHAnsi"/>
        </w:rPr>
        <w:t xml:space="preserve"> jsou očekávané stavy, které chceme v budoucnosti dosáhnout. Je to tedy popis budoucího stavu. Cíle mohou být dlouhodobé (např. několikaleté nebo strategické</w:t>
      </w:r>
      <w:r w:rsidR="00F5124F">
        <w:rPr>
          <w:rFonts w:asciiTheme="minorHAnsi" w:hAnsiTheme="minorHAnsi" w:cstheme="minorHAnsi"/>
        </w:rPr>
        <w:t xml:space="preserve"> – jde zejména o cíle vymezené ve strategických dokumentech</w:t>
      </w:r>
      <w:r w:rsidR="00D02813" w:rsidRPr="000A1555">
        <w:rPr>
          <w:rFonts w:asciiTheme="minorHAnsi" w:hAnsiTheme="minorHAnsi" w:cstheme="minorHAnsi"/>
        </w:rPr>
        <w:t>) nebo i velmi krátkodobé (</w:t>
      </w:r>
      <w:r w:rsidR="00F5124F">
        <w:rPr>
          <w:rFonts w:asciiTheme="minorHAnsi" w:hAnsiTheme="minorHAnsi" w:cstheme="minorHAnsi"/>
        </w:rPr>
        <w:t xml:space="preserve">obvykle jde o operativní cíle odvozené </w:t>
      </w:r>
      <w:r w:rsidR="00B83BF4">
        <w:rPr>
          <w:rFonts w:asciiTheme="minorHAnsi" w:hAnsiTheme="minorHAnsi" w:cstheme="minorHAnsi"/>
        </w:rPr>
        <w:t>z cílů uvedených ve strategických dokumentech</w:t>
      </w:r>
      <w:r w:rsidR="00D02813" w:rsidRPr="000A1555">
        <w:rPr>
          <w:rFonts w:asciiTheme="minorHAnsi" w:hAnsiTheme="minorHAnsi" w:cstheme="minorHAnsi"/>
        </w:rPr>
        <w:t>). K dosažení dlouhodobého</w:t>
      </w:r>
      <w:r w:rsidR="00B83BF4">
        <w:rPr>
          <w:rFonts w:asciiTheme="minorHAnsi" w:hAnsiTheme="minorHAnsi" w:cstheme="minorHAnsi"/>
        </w:rPr>
        <w:t>/strategického</w:t>
      </w:r>
      <w:r w:rsidR="00D02813" w:rsidRPr="000A1555">
        <w:rPr>
          <w:rFonts w:asciiTheme="minorHAnsi" w:hAnsiTheme="minorHAnsi" w:cstheme="minorHAnsi"/>
        </w:rPr>
        <w:t xml:space="preserve"> cíle je potřeba dosáhnout celou řadu dílčích</w:t>
      </w:r>
      <w:r w:rsidR="00B83BF4">
        <w:rPr>
          <w:rFonts w:asciiTheme="minorHAnsi" w:hAnsiTheme="minorHAnsi" w:cstheme="minorHAnsi"/>
        </w:rPr>
        <w:t xml:space="preserve">/operativních </w:t>
      </w:r>
      <w:r w:rsidR="00D02813" w:rsidRPr="000A1555">
        <w:rPr>
          <w:rFonts w:asciiTheme="minorHAnsi" w:hAnsiTheme="minorHAnsi" w:cstheme="minorHAnsi"/>
        </w:rPr>
        <w:t xml:space="preserve">cílů. K dosažení dílčího cíle vede obvykle splnění několika nebo i mnoha jednotlivých </w:t>
      </w:r>
      <w:r w:rsidR="00B83BF4">
        <w:rPr>
          <w:rFonts w:asciiTheme="minorHAnsi" w:hAnsiTheme="minorHAnsi" w:cstheme="minorHAnsi"/>
        </w:rPr>
        <w:t xml:space="preserve">opatření nebo </w:t>
      </w:r>
      <w:r w:rsidR="00D02813" w:rsidRPr="000A1555">
        <w:rPr>
          <w:rFonts w:asciiTheme="minorHAnsi" w:hAnsiTheme="minorHAnsi" w:cstheme="minorHAnsi"/>
        </w:rPr>
        <w:t>úkolů</w:t>
      </w:r>
      <w:r w:rsidRPr="000A1555">
        <w:rPr>
          <w:rStyle w:val="Znakapoznpodarou"/>
          <w:rFonts w:asciiTheme="minorHAnsi" w:hAnsiTheme="minorHAnsi" w:cstheme="minorHAnsi"/>
        </w:rPr>
        <w:footnoteReference w:id="27"/>
      </w:r>
      <w:r w:rsidR="00D02813" w:rsidRPr="000A1555">
        <w:rPr>
          <w:rFonts w:asciiTheme="minorHAnsi" w:hAnsiTheme="minorHAnsi" w:cstheme="minorHAnsi"/>
        </w:rPr>
        <w:t xml:space="preserve">. I pro vymezení </w:t>
      </w:r>
      <w:r w:rsidRPr="000A1555">
        <w:rPr>
          <w:rFonts w:asciiTheme="minorHAnsi" w:hAnsiTheme="minorHAnsi" w:cstheme="minorHAnsi"/>
        </w:rPr>
        <w:t>cílů</w:t>
      </w:r>
      <w:r w:rsidR="00D02813" w:rsidRPr="000A1555">
        <w:rPr>
          <w:rFonts w:asciiTheme="minorHAnsi" w:hAnsiTheme="minorHAnsi" w:cstheme="minorHAnsi"/>
        </w:rPr>
        <w:t xml:space="preserve"> </w:t>
      </w:r>
      <w:r w:rsidR="0098506D">
        <w:rPr>
          <w:rFonts w:asciiTheme="minorHAnsi" w:hAnsiTheme="minorHAnsi" w:cstheme="minorHAnsi"/>
        </w:rPr>
        <w:t>je možné použít pravidlo SMART</w:t>
      </w:r>
      <w:r w:rsidR="00D02813" w:rsidRPr="000A1555">
        <w:rPr>
          <w:rStyle w:val="Znakapoznpodarou"/>
          <w:rFonts w:asciiTheme="minorHAnsi" w:hAnsiTheme="minorHAnsi" w:cstheme="minorHAnsi"/>
        </w:rPr>
        <w:footnoteReference w:id="28"/>
      </w:r>
      <w:r w:rsidR="00D02813" w:rsidRPr="000A1555">
        <w:rPr>
          <w:rFonts w:asciiTheme="minorHAnsi" w:hAnsiTheme="minorHAnsi" w:cstheme="minorHAnsi"/>
        </w:rPr>
        <w:t>.</w:t>
      </w:r>
      <w:r w:rsidRPr="000A1555">
        <w:rPr>
          <w:rFonts w:asciiTheme="minorHAnsi" w:hAnsiTheme="minorHAnsi" w:cstheme="minorHAnsi"/>
        </w:rPr>
        <w:t xml:space="preserve"> Při vymezování cílů</w:t>
      </w:r>
      <w:r w:rsidR="005B4B83">
        <w:rPr>
          <w:rFonts w:asciiTheme="minorHAnsi" w:hAnsiTheme="minorHAnsi" w:cstheme="minorHAnsi"/>
        </w:rPr>
        <w:t xml:space="preserve"> (včetně finančních)</w:t>
      </w:r>
      <w:r w:rsidRPr="000A1555">
        <w:rPr>
          <w:rFonts w:asciiTheme="minorHAnsi" w:hAnsiTheme="minorHAnsi" w:cstheme="minorHAnsi"/>
        </w:rPr>
        <w:t xml:space="preserve"> je nezbytné </w:t>
      </w:r>
      <w:r w:rsidRPr="000A1555">
        <w:rPr>
          <w:rFonts w:asciiTheme="minorHAnsi" w:hAnsiTheme="minorHAnsi" w:cstheme="minorHAnsi"/>
        </w:rPr>
        <w:lastRenderedPageBreak/>
        <w:t xml:space="preserve">dodržovat souslednost: </w:t>
      </w:r>
      <w:r w:rsidR="005A72EC">
        <w:rPr>
          <w:rFonts w:asciiTheme="minorHAnsi" w:hAnsiTheme="minorHAnsi" w:cstheme="minorHAnsi"/>
        </w:rPr>
        <w:t xml:space="preserve">operativní </w:t>
      </w:r>
      <w:r w:rsidRPr="000A1555">
        <w:rPr>
          <w:rFonts w:asciiTheme="minorHAnsi" w:hAnsiTheme="minorHAnsi" w:cstheme="minorHAnsi"/>
        </w:rPr>
        <w:t xml:space="preserve">cíle </w:t>
      </w:r>
      <w:r w:rsidR="005A72EC">
        <w:rPr>
          <w:rFonts w:asciiTheme="minorHAnsi" w:hAnsiTheme="minorHAnsi" w:cstheme="minorHAnsi"/>
        </w:rPr>
        <w:t xml:space="preserve">(včetně operativních finančních cílů) </w:t>
      </w:r>
      <w:r w:rsidRPr="000A1555">
        <w:rPr>
          <w:rFonts w:asciiTheme="minorHAnsi" w:hAnsiTheme="minorHAnsi" w:cstheme="minorHAnsi"/>
        </w:rPr>
        <w:t>→ cíle instituce jako celku (například</w:t>
      </w:r>
      <w:r w:rsidR="005A72EC">
        <w:rPr>
          <w:rFonts w:asciiTheme="minorHAnsi" w:hAnsiTheme="minorHAnsi" w:cstheme="minorHAnsi"/>
        </w:rPr>
        <w:t xml:space="preserve"> pro obec uvedené ve strategickém dokumentu</w:t>
      </w:r>
      <w:r w:rsidR="005B4B83">
        <w:rPr>
          <w:rFonts w:asciiTheme="minorHAnsi" w:hAnsiTheme="minorHAnsi" w:cstheme="minorHAnsi"/>
        </w:rPr>
        <w:t>; je nutné respektovat omezení, které jsou daná finančními zdroji</w:t>
      </w:r>
      <w:r w:rsidRPr="000A1555">
        <w:rPr>
          <w:rFonts w:asciiTheme="minorHAnsi" w:hAnsiTheme="minorHAnsi" w:cstheme="minorHAnsi"/>
        </w:rPr>
        <w:t xml:space="preserve">) → poslání instituce (například u obce je vymezeno zákonem o obcích) → společenská potřeba včetně dopadu na životní prostředí. Je tím myšleno, že </w:t>
      </w:r>
      <w:r w:rsidR="005B4B83">
        <w:rPr>
          <w:rFonts w:asciiTheme="minorHAnsi" w:hAnsiTheme="minorHAnsi" w:cstheme="minorHAnsi"/>
        </w:rPr>
        <w:t xml:space="preserve">operativní </w:t>
      </w:r>
      <w:r w:rsidRPr="000A1555">
        <w:rPr>
          <w:rFonts w:asciiTheme="minorHAnsi" w:hAnsiTheme="minorHAnsi" w:cstheme="minorHAnsi"/>
        </w:rPr>
        <w:t xml:space="preserve">cíle </w:t>
      </w:r>
      <w:r w:rsidR="005B4B83">
        <w:rPr>
          <w:rFonts w:asciiTheme="minorHAnsi" w:hAnsiTheme="minorHAnsi" w:cstheme="minorHAnsi"/>
        </w:rPr>
        <w:t xml:space="preserve">(včetně finančních cílů) </w:t>
      </w:r>
      <w:r w:rsidRPr="000A1555">
        <w:rPr>
          <w:rFonts w:asciiTheme="minorHAnsi" w:hAnsiTheme="minorHAnsi" w:cstheme="minorHAnsi"/>
        </w:rPr>
        <w:t>mají být nastaveny tak, aby přispívaly k dosahování cílů instituce</w:t>
      </w:r>
      <w:r w:rsidR="005B4B83">
        <w:rPr>
          <w:rFonts w:asciiTheme="minorHAnsi" w:hAnsiTheme="minorHAnsi" w:cstheme="minorHAnsi"/>
        </w:rPr>
        <w:t xml:space="preserve"> (popsané ve strategickém dokumentu)</w:t>
      </w:r>
      <w:r w:rsidRPr="000A1555">
        <w:rPr>
          <w:rFonts w:asciiTheme="minorHAnsi" w:hAnsiTheme="minorHAnsi" w:cstheme="minorHAnsi"/>
        </w:rPr>
        <w:t xml:space="preserve">, ty mají vést k naplňování poslání a </w:t>
      </w:r>
      <w:r w:rsidRPr="00BD7F26">
        <w:rPr>
          <w:rFonts w:asciiTheme="minorHAnsi" w:hAnsiTheme="minorHAnsi" w:cstheme="minorHAnsi"/>
        </w:rPr>
        <w:t>společenské potřeby.</w:t>
      </w:r>
      <w:r w:rsidR="005B4B83" w:rsidRPr="00BD7F26">
        <w:rPr>
          <w:rFonts w:asciiTheme="minorHAnsi" w:hAnsiTheme="minorHAnsi" w:cstheme="minorHAnsi"/>
        </w:rPr>
        <w:t xml:space="preserve"> K tomu je zapotřebí uplatňovat strategický přístup</w:t>
      </w:r>
      <w:r w:rsidR="008D5A0F" w:rsidRPr="00BD7F26">
        <w:rPr>
          <w:rStyle w:val="Znakapoznpodarou"/>
          <w:rFonts w:asciiTheme="minorHAnsi" w:hAnsiTheme="minorHAnsi" w:cstheme="minorHAnsi"/>
        </w:rPr>
        <w:footnoteReference w:id="29"/>
      </w:r>
      <w:r w:rsidR="005B4B83" w:rsidRPr="00BD7F26">
        <w:rPr>
          <w:rFonts w:asciiTheme="minorHAnsi" w:hAnsiTheme="minorHAnsi" w:cstheme="minorHAnsi"/>
        </w:rPr>
        <w:t xml:space="preserve"> ve dvou rovinách: </w:t>
      </w:r>
      <w:r w:rsidR="008D5A0F" w:rsidRPr="00BD7F26">
        <w:rPr>
          <w:rFonts w:asciiTheme="minorHAnsi" w:hAnsiTheme="minorHAnsi" w:cstheme="minorHAnsi"/>
        </w:rPr>
        <w:t xml:space="preserve">(1) </w:t>
      </w:r>
      <w:r w:rsidR="005B4B83" w:rsidRPr="00BD7F26">
        <w:rPr>
          <w:rFonts w:asciiTheme="minorHAnsi" w:hAnsiTheme="minorHAnsi" w:cstheme="minorHAnsi"/>
        </w:rPr>
        <w:t>Přenášet společenskou potřeby (včetně aktuálních výzev</w:t>
      </w:r>
      <w:r w:rsidR="009E3B4A" w:rsidRPr="00BD7F26">
        <w:rPr>
          <w:rFonts w:asciiTheme="minorHAnsi" w:hAnsiTheme="minorHAnsi" w:cstheme="minorHAnsi"/>
        </w:rPr>
        <w:t xml:space="preserve"> respektive hrozeb</w:t>
      </w:r>
      <w:r w:rsidR="005B4B83" w:rsidRPr="00BD7F26">
        <w:rPr>
          <w:rFonts w:asciiTheme="minorHAnsi" w:hAnsiTheme="minorHAnsi" w:cstheme="minorHAnsi"/>
        </w:rPr>
        <w:t>) do dlouhodobých cílů uvedených ve strategickém dokumentu</w:t>
      </w:r>
      <w:r w:rsidR="008D5A0F" w:rsidRPr="00BD7F26">
        <w:rPr>
          <w:rFonts w:asciiTheme="minorHAnsi" w:hAnsiTheme="minorHAnsi" w:cstheme="minorHAnsi"/>
        </w:rPr>
        <w:t xml:space="preserve">. </w:t>
      </w:r>
      <w:r w:rsidR="009E3B4A" w:rsidRPr="00BD7F26">
        <w:rPr>
          <w:rFonts w:asciiTheme="minorHAnsi" w:hAnsiTheme="minorHAnsi" w:cstheme="minorHAnsi"/>
        </w:rPr>
        <w:t xml:space="preserve">Tento přenos je možný změnou (úpravou, aktualizací) strategie. </w:t>
      </w:r>
      <w:r w:rsidR="008D5A0F" w:rsidRPr="00BD7F26">
        <w:rPr>
          <w:rFonts w:asciiTheme="minorHAnsi" w:hAnsiTheme="minorHAnsi" w:cstheme="minorHAnsi"/>
        </w:rPr>
        <w:t xml:space="preserve">(2) </w:t>
      </w:r>
      <w:r w:rsidR="005B4B83" w:rsidRPr="00BD7F26">
        <w:rPr>
          <w:rFonts w:asciiTheme="minorHAnsi" w:hAnsiTheme="minorHAnsi" w:cstheme="minorHAnsi"/>
        </w:rPr>
        <w:t>Přenášet společenskou potřebu (ideálně přes změny cílů ve strategickém dokumentu) do operativní (každodenní) cílů, respektive přenášet dlouhodobé cíle uvedené ve strategickém dokumentu</w:t>
      </w:r>
      <w:r w:rsidR="008D5A0F" w:rsidRPr="00BD7F26">
        <w:rPr>
          <w:rFonts w:asciiTheme="minorHAnsi" w:hAnsiTheme="minorHAnsi" w:cstheme="minorHAnsi"/>
        </w:rPr>
        <w:t xml:space="preserve"> do krátkodobých a operativních cílů (případně úkolů, opatření, projektů).</w:t>
      </w:r>
    </w:p>
    <w:p w14:paraId="53C9CF00" w14:textId="7ED3B007" w:rsidR="008177E2" w:rsidRPr="005B4B83" w:rsidRDefault="008177E2" w:rsidP="005B4B83">
      <w:pPr>
        <w:pStyle w:val="Odstavecseseznamem"/>
        <w:numPr>
          <w:ilvl w:val="0"/>
          <w:numId w:val="22"/>
        </w:numPr>
        <w:spacing w:after="160"/>
        <w:jc w:val="both"/>
        <w:rPr>
          <w:rFonts w:asciiTheme="minorHAnsi" w:hAnsiTheme="minorHAnsi" w:cstheme="minorHAnsi"/>
          <w:b/>
          <w:bCs/>
          <w:i/>
          <w:iCs/>
          <w:color w:val="7493B0"/>
        </w:rPr>
      </w:pPr>
      <w:r w:rsidRPr="005B4B83">
        <w:rPr>
          <w:rFonts w:asciiTheme="minorHAnsi" w:hAnsiTheme="minorHAnsi" w:cstheme="minorHAnsi"/>
          <w:i/>
          <w:iCs/>
          <w:color w:val="7493B0"/>
        </w:rPr>
        <w:br w:type="page"/>
      </w:r>
    </w:p>
    <w:p w14:paraId="538548FF" w14:textId="20CD043F" w:rsidR="008177E2" w:rsidRDefault="008177E2" w:rsidP="008177E2">
      <w:pPr>
        <w:pStyle w:val="Nadpis1"/>
        <w:spacing w:before="240" w:after="120"/>
        <w:ind w:left="431" w:hanging="431"/>
        <w:rPr>
          <w:rFonts w:ascii="Calibri" w:hAnsi="Calibri"/>
          <w:color w:val="7493B0"/>
          <w:sz w:val="32"/>
          <w:lang w:val="cs-CZ"/>
        </w:rPr>
      </w:pPr>
      <w:bookmarkStart w:id="21" w:name="_Toc117269991"/>
      <w:r>
        <w:rPr>
          <w:rFonts w:ascii="Calibri" w:hAnsi="Calibri"/>
          <w:color w:val="7493B0"/>
          <w:sz w:val="32"/>
          <w:lang w:val="cs-CZ"/>
        </w:rPr>
        <w:lastRenderedPageBreak/>
        <w:t>Strategická práce a p</w:t>
      </w:r>
      <w:r w:rsidRPr="00F85B23">
        <w:rPr>
          <w:rFonts w:ascii="Calibri" w:hAnsi="Calibri"/>
          <w:color w:val="7493B0"/>
          <w:sz w:val="32"/>
          <w:lang w:val="cs-CZ"/>
        </w:rPr>
        <w:t xml:space="preserve">rvní fáze </w:t>
      </w:r>
      <w:r>
        <w:rPr>
          <w:rFonts w:ascii="Calibri" w:hAnsi="Calibri"/>
          <w:color w:val="7493B0"/>
          <w:sz w:val="32"/>
          <w:lang w:val="cs-CZ"/>
        </w:rPr>
        <w:t>rozpočtového procesu</w:t>
      </w:r>
      <w:r w:rsidRPr="00F85B23">
        <w:rPr>
          <w:rFonts w:ascii="Calibri" w:hAnsi="Calibri"/>
          <w:color w:val="7493B0"/>
          <w:sz w:val="32"/>
          <w:lang w:val="cs-CZ"/>
        </w:rPr>
        <w:t>: příprava</w:t>
      </w:r>
      <w:r w:rsidR="00375C29">
        <w:rPr>
          <w:rFonts w:ascii="Calibri" w:hAnsi="Calibri"/>
          <w:color w:val="7493B0"/>
          <w:sz w:val="32"/>
          <w:lang w:val="cs-CZ"/>
        </w:rPr>
        <w:t xml:space="preserve"> rozpočtu, finanční data</w:t>
      </w:r>
      <w:r w:rsidRPr="00F85B23">
        <w:rPr>
          <w:rFonts w:ascii="Calibri" w:hAnsi="Calibri"/>
          <w:color w:val="7493B0"/>
          <w:sz w:val="32"/>
          <w:lang w:val="cs-CZ"/>
        </w:rPr>
        <w:t xml:space="preserve"> a analýzy</w:t>
      </w:r>
      <w:bookmarkEnd w:id="21"/>
    </w:p>
    <w:p w14:paraId="424AB960" w14:textId="11733156" w:rsidR="000240EA" w:rsidRDefault="000240EA" w:rsidP="008B40EA">
      <w:pPr>
        <w:pStyle w:val="Nadpis2"/>
        <w:spacing w:before="240" w:after="120"/>
        <w:ind w:left="578" w:hanging="578"/>
        <w:rPr>
          <w:rFonts w:asciiTheme="minorHAnsi" w:hAnsiTheme="minorHAnsi" w:cstheme="minorHAnsi"/>
          <w:color w:val="7493B0"/>
          <w:sz w:val="24"/>
          <w:szCs w:val="24"/>
          <w:lang w:val="cs-CZ"/>
        </w:rPr>
      </w:pPr>
      <w:bookmarkStart w:id="22" w:name="_Toc117269992"/>
      <w:r>
        <w:rPr>
          <w:rFonts w:asciiTheme="minorHAnsi" w:hAnsiTheme="minorHAnsi" w:cstheme="minorHAnsi"/>
          <w:color w:val="7493B0"/>
          <w:sz w:val="24"/>
          <w:szCs w:val="24"/>
          <w:lang w:val="cs-CZ"/>
        </w:rPr>
        <w:t>Příprava rozpočtu</w:t>
      </w:r>
      <w:bookmarkEnd w:id="22"/>
    </w:p>
    <w:p w14:paraId="3D7EC4E6" w14:textId="5C6D97C5" w:rsidR="0017160F" w:rsidRDefault="00FD0F64" w:rsidP="00ED3B0B">
      <w:pPr>
        <w:jc w:val="both"/>
        <w:rPr>
          <w:rFonts w:asciiTheme="minorHAnsi" w:hAnsiTheme="minorHAnsi" w:cstheme="minorHAnsi"/>
        </w:rPr>
      </w:pPr>
      <w:r>
        <w:rPr>
          <w:rFonts w:asciiTheme="minorHAnsi" w:hAnsiTheme="minorHAnsi" w:cstheme="minorHAnsi"/>
        </w:rPr>
        <w:t xml:space="preserve">Termíny přípravy </w:t>
      </w:r>
      <w:r w:rsidR="00ED3B0B">
        <w:rPr>
          <w:rFonts w:asciiTheme="minorHAnsi" w:hAnsiTheme="minorHAnsi" w:cstheme="minorHAnsi"/>
        </w:rPr>
        <w:t xml:space="preserve">státního </w:t>
      </w:r>
      <w:r>
        <w:rPr>
          <w:rFonts w:asciiTheme="minorHAnsi" w:hAnsiTheme="minorHAnsi" w:cstheme="minorHAnsi"/>
        </w:rPr>
        <w:t>rozpočtu byly uvedeny v</w:t>
      </w:r>
      <w:r w:rsidR="009A72AF">
        <w:rPr>
          <w:rFonts w:asciiTheme="minorHAnsi" w:hAnsiTheme="minorHAnsi" w:cstheme="minorHAnsi"/>
        </w:rPr>
        <w:t xml:space="preserve"> tabulce </w:t>
      </w:r>
      <w:r>
        <w:rPr>
          <w:rFonts w:asciiTheme="minorHAnsi" w:hAnsiTheme="minorHAnsi" w:cstheme="minorHAnsi"/>
        </w:rPr>
        <w:t xml:space="preserve">kapitole </w:t>
      </w:r>
      <w:r w:rsidR="0017160F">
        <w:rPr>
          <w:rFonts w:asciiTheme="minorHAnsi" w:hAnsiTheme="minorHAnsi" w:cstheme="minorHAnsi"/>
        </w:rPr>
        <w:t xml:space="preserve">4.3, případně u obcí  v obrázku rozpočtového procesu v této kapitole. </w:t>
      </w:r>
      <w:r w:rsidR="00493357">
        <w:rPr>
          <w:rFonts w:asciiTheme="minorHAnsi" w:hAnsiTheme="minorHAnsi" w:cstheme="minorHAnsi"/>
        </w:rPr>
        <w:t>Z hlediska přípravy rozpočtu j</w:t>
      </w:r>
      <w:r w:rsidR="0017160F">
        <w:rPr>
          <w:rFonts w:asciiTheme="minorHAnsi" w:hAnsiTheme="minorHAnsi" w:cstheme="minorHAnsi"/>
        </w:rPr>
        <w:t xml:space="preserve">e třeba brát v úvahu, že je </w:t>
      </w:r>
      <w:r w:rsidR="00493357">
        <w:rPr>
          <w:rFonts w:asciiTheme="minorHAnsi" w:hAnsiTheme="minorHAnsi" w:cstheme="minorHAnsi"/>
        </w:rPr>
        <w:t xml:space="preserve">nutné </w:t>
      </w:r>
      <w:r w:rsidR="0017160F">
        <w:rPr>
          <w:rFonts w:asciiTheme="minorHAnsi" w:hAnsiTheme="minorHAnsi" w:cstheme="minorHAnsi"/>
        </w:rPr>
        <w:t>hledat možnosti, jak propojit př</w:t>
      </w:r>
      <w:r w:rsidR="00493357">
        <w:rPr>
          <w:rFonts w:asciiTheme="minorHAnsi" w:hAnsiTheme="minorHAnsi" w:cstheme="minorHAnsi"/>
        </w:rPr>
        <w:t>ípravu rozpočtu na příští rok se strategií (například s přípravou</w:t>
      </w:r>
      <w:r w:rsidR="0017160F">
        <w:rPr>
          <w:rFonts w:asciiTheme="minorHAnsi" w:hAnsiTheme="minorHAnsi" w:cstheme="minorHAnsi"/>
        </w:rPr>
        <w:t xml:space="preserve"> implementačního dokumentu strategie na příští rok</w:t>
      </w:r>
      <w:r w:rsidR="00493357">
        <w:rPr>
          <w:rFonts w:asciiTheme="minorHAnsi" w:hAnsiTheme="minorHAnsi" w:cstheme="minorHAnsi"/>
        </w:rPr>
        <w:t>)</w:t>
      </w:r>
      <w:r w:rsidR="0017160F">
        <w:rPr>
          <w:rFonts w:asciiTheme="minorHAnsi" w:hAnsiTheme="minorHAnsi" w:cstheme="minorHAnsi"/>
        </w:rPr>
        <w:t xml:space="preserve">. </w:t>
      </w:r>
      <w:r w:rsidR="00493357">
        <w:rPr>
          <w:rFonts w:asciiTheme="minorHAnsi" w:hAnsiTheme="minorHAnsi" w:cstheme="minorHAnsi"/>
        </w:rPr>
        <w:t>U obcí se tento implementační dokument často nazývá akčním plánem. Konkrétní příklad propojení je popsán v kapitole 10.</w:t>
      </w:r>
    </w:p>
    <w:p w14:paraId="78FFC096" w14:textId="77777777" w:rsidR="0017160F" w:rsidRDefault="0017160F" w:rsidP="00ED3B0B">
      <w:pPr>
        <w:jc w:val="both"/>
        <w:rPr>
          <w:rFonts w:asciiTheme="minorHAnsi" w:hAnsiTheme="minorHAnsi" w:cstheme="minorHAnsi"/>
        </w:rPr>
      </w:pPr>
    </w:p>
    <w:p w14:paraId="0B387627" w14:textId="65FB6933" w:rsidR="000240EA" w:rsidRDefault="00AF03B8" w:rsidP="00ED3B0B">
      <w:pPr>
        <w:jc w:val="both"/>
        <w:rPr>
          <w:rFonts w:asciiTheme="minorHAnsi" w:hAnsiTheme="minorHAnsi" w:cstheme="minorHAnsi"/>
        </w:rPr>
      </w:pPr>
      <w:r>
        <w:rPr>
          <w:rFonts w:asciiTheme="minorHAnsi" w:hAnsiTheme="minorHAnsi" w:cstheme="minorHAnsi"/>
        </w:rPr>
        <w:t xml:space="preserve">Z hlediska strategické práce je nezbytné vědět, co </w:t>
      </w:r>
      <w:r w:rsidR="00ED3B0B">
        <w:rPr>
          <w:rFonts w:asciiTheme="minorHAnsi" w:hAnsiTheme="minorHAnsi" w:cstheme="minorHAnsi"/>
        </w:rPr>
        <w:t xml:space="preserve">obecně </w:t>
      </w:r>
      <w:r>
        <w:rPr>
          <w:rFonts w:asciiTheme="minorHAnsi" w:hAnsiTheme="minorHAnsi" w:cstheme="minorHAnsi"/>
        </w:rPr>
        <w:t>p</w:t>
      </w:r>
      <w:r w:rsidR="000240EA" w:rsidRPr="000240EA">
        <w:rPr>
          <w:rFonts w:asciiTheme="minorHAnsi" w:hAnsiTheme="minorHAnsi" w:cstheme="minorHAnsi"/>
        </w:rPr>
        <w:t xml:space="preserve">říprava rozpočtu </w:t>
      </w:r>
      <w:r w:rsidR="00ED3B0B">
        <w:rPr>
          <w:rFonts w:asciiTheme="minorHAnsi" w:hAnsiTheme="minorHAnsi" w:cstheme="minorHAnsi"/>
        </w:rPr>
        <w:t xml:space="preserve">pro konkrétní instituci (například obec nebo kraj) </w:t>
      </w:r>
      <w:r w:rsidR="000240EA" w:rsidRPr="000240EA">
        <w:rPr>
          <w:rFonts w:asciiTheme="minorHAnsi" w:hAnsiTheme="minorHAnsi" w:cstheme="minorHAnsi"/>
        </w:rPr>
        <w:t>zahrnuje</w:t>
      </w:r>
      <w:r w:rsidR="000240EA">
        <w:rPr>
          <w:rFonts w:asciiTheme="minorHAnsi" w:hAnsiTheme="minorHAnsi" w:cstheme="minorHAnsi"/>
        </w:rPr>
        <w:t>:</w:t>
      </w:r>
    </w:p>
    <w:p w14:paraId="614366F3" w14:textId="3374596A" w:rsidR="00ED0160" w:rsidRDefault="000240EA" w:rsidP="0065698B">
      <w:pPr>
        <w:pStyle w:val="Odstavecseseznamem"/>
        <w:numPr>
          <w:ilvl w:val="0"/>
          <w:numId w:val="22"/>
        </w:numPr>
        <w:jc w:val="both"/>
        <w:rPr>
          <w:rFonts w:asciiTheme="minorHAnsi" w:hAnsiTheme="minorHAnsi" w:cstheme="minorHAnsi"/>
        </w:rPr>
      </w:pPr>
      <w:r w:rsidRPr="00ED0160">
        <w:rPr>
          <w:rFonts w:asciiTheme="minorHAnsi" w:hAnsiTheme="minorHAnsi" w:cstheme="minorHAnsi"/>
        </w:rPr>
        <w:t xml:space="preserve">Zpracování pravidel </w:t>
      </w:r>
      <w:r w:rsidR="0012157B">
        <w:rPr>
          <w:rFonts w:asciiTheme="minorHAnsi" w:hAnsiTheme="minorHAnsi" w:cstheme="minorHAnsi"/>
        </w:rPr>
        <w:t>(pokynů, limitů</w:t>
      </w:r>
      <w:r w:rsidR="00065544">
        <w:rPr>
          <w:rFonts w:asciiTheme="minorHAnsi" w:hAnsiTheme="minorHAnsi" w:cstheme="minorHAnsi"/>
        </w:rPr>
        <w:t>, závazných ukazatelů</w:t>
      </w:r>
      <w:r w:rsidR="0012157B">
        <w:rPr>
          <w:rFonts w:asciiTheme="minorHAnsi" w:hAnsiTheme="minorHAnsi" w:cstheme="minorHAnsi"/>
        </w:rPr>
        <w:t xml:space="preserve">) </w:t>
      </w:r>
      <w:r w:rsidRPr="00ED0160">
        <w:rPr>
          <w:rFonts w:asciiTheme="minorHAnsi" w:hAnsiTheme="minorHAnsi" w:cstheme="minorHAnsi"/>
        </w:rPr>
        <w:t>pro přípravu a tvorbu rozpočtu</w:t>
      </w:r>
      <w:r w:rsidR="00D5278C" w:rsidRPr="00ED0160">
        <w:rPr>
          <w:rFonts w:asciiTheme="minorHAnsi" w:hAnsiTheme="minorHAnsi" w:cstheme="minorHAnsi"/>
        </w:rPr>
        <w:t xml:space="preserve"> (a u samospráv též rozpočtového výhledu)</w:t>
      </w:r>
      <w:r w:rsidRPr="00ED0160">
        <w:rPr>
          <w:rFonts w:asciiTheme="minorHAnsi" w:hAnsiTheme="minorHAnsi" w:cstheme="minorHAnsi"/>
        </w:rPr>
        <w:t>. Velmi často v podobě vnitřního předpisu, který stanovuje</w:t>
      </w:r>
      <w:r w:rsidR="00ED0160">
        <w:rPr>
          <w:rFonts w:asciiTheme="minorHAnsi" w:hAnsiTheme="minorHAnsi" w:cstheme="minorHAnsi"/>
        </w:rPr>
        <w:t>:</w:t>
      </w:r>
    </w:p>
    <w:p w14:paraId="13F2D7D7" w14:textId="77777777" w:rsidR="00D248EA" w:rsidRDefault="00D248EA" w:rsidP="0065698B">
      <w:pPr>
        <w:pStyle w:val="Odstavecseseznamem"/>
        <w:numPr>
          <w:ilvl w:val="1"/>
          <w:numId w:val="22"/>
        </w:numPr>
        <w:jc w:val="both"/>
        <w:rPr>
          <w:rFonts w:asciiTheme="minorHAnsi" w:hAnsiTheme="minorHAnsi" w:cstheme="minorHAnsi"/>
        </w:rPr>
      </w:pPr>
      <w:r w:rsidRPr="00ED0160">
        <w:rPr>
          <w:rFonts w:asciiTheme="minorHAnsi" w:hAnsiTheme="minorHAnsi" w:cstheme="minorHAnsi"/>
        </w:rPr>
        <w:t xml:space="preserve">pravomoci a odpovědnosti jednotlivých útvarů a osob, </w:t>
      </w:r>
    </w:p>
    <w:p w14:paraId="664F10B2" w14:textId="77777777" w:rsidR="00D248EA" w:rsidRDefault="00D248EA" w:rsidP="0065698B">
      <w:pPr>
        <w:pStyle w:val="Odstavecseseznamem"/>
        <w:numPr>
          <w:ilvl w:val="1"/>
          <w:numId w:val="22"/>
        </w:numPr>
        <w:jc w:val="both"/>
        <w:rPr>
          <w:rFonts w:asciiTheme="minorHAnsi" w:hAnsiTheme="minorHAnsi" w:cstheme="minorHAnsi"/>
        </w:rPr>
      </w:pPr>
      <w:r w:rsidRPr="00ED0160">
        <w:rPr>
          <w:rFonts w:asciiTheme="minorHAnsi" w:hAnsiTheme="minorHAnsi" w:cstheme="minorHAnsi"/>
        </w:rPr>
        <w:t>rozpočtové limity</w:t>
      </w:r>
      <w:r>
        <w:rPr>
          <w:rFonts w:asciiTheme="minorHAnsi" w:hAnsiTheme="minorHAnsi" w:cstheme="minorHAnsi"/>
        </w:rPr>
        <w:t xml:space="preserve"> (závazné ukazatele)</w:t>
      </w:r>
      <w:r w:rsidRPr="00ED0160">
        <w:rPr>
          <w:rFonts w:asciiTheme="minorHAnsi" w:hAnsiTheme="minorHAnsi" w:cstheme="minorHAnsi"/>
        </w:rPr>
        <w:t xml:space="preserve"> jednotlivých činností a útvarů, </w:t>
      </w:r>
    </w:p>
    <w:p w14:paraId="02406259" w14:textId="77777777" w:rsidR="00D248EA" w:rsidRDefault="00D248EA" w:rsidP="0065698B">
      <w:pPr>
        <w:pStyle w:val="Odstavecseseznamem"/>
        <w:numPr>
          <w:ilvl w:val="1"/>
          <w:numId w:val="22"/>
        </w:numPr>
        <w:jc w:val="both"/>
        <w:rPr>
          <w:rFonts w:asciiTheme="minorHAnsi" w:hAnsiTheme="minorHAnsi" w:cstheme="minorHAnsi"/>
        </w:rPr>
      </w:pPr>
      <w:r w:rsidRPr="00ED0160">
        <w:rPr>
          <w:rFonts w:asciiTheme="minorHAnsi" w:hAnsiTheme="minorHAnsi" w:cstheme="minorHAnsi"/>
        </w:rPr>
        <w:t>pokyny týkající se rozpočtu na investice</w:t>
      </w:r>
      <w:r>
        <w:rPr>
          <w:rFonts w:asciiTheme="minorHAnsi" w:hAnsiTheme="minorHAnsi" w:cstheme="minorHAnsi"/>
        </w:rPr>
        <w:t>,</w:t>
      </w:r>
    </w:p>
    <w:p w14:paraId="64B34329" w14:textId="45E4AA29" w:rsidR="00ED0160" w:rsidRDefault="000240EA" w:rsidP="0065698B">
      <w:pPr>
        <w:pStyle w:val="Odstavecseseznamem"/>
        <w:numPr>
          <w:ilvl w:val="1"/>
          <w:numId w:val="22"/>
        </w:numPr>
        <w:jc w:val="both"/>
        <w:rPr>
          <w:rFonts w:asciiTheme="minorHAnsi" w:hAnsiTheme="minorHAnsi" w:cstheme="minorHAnsi"/>
        </w:rPr>
      </w:pPr>
      <w:r w:rsidRPr="00ED0160">
        <w:rPr>
          <w:rFonts w:asciiTheme="minorHAnsi" w:hAnsiTheme="minorHAnsi" w:cstheme="minorHAnsi"/>
        </w:rPr>
        <w:t>harmonogram jednotlivých činností (příklad harmonogramu přípravy rozpočtu</w:t>
      </w:r>
      <w:r w:rsidR="00B00640">
        <w:rPr>
          <w:rFonts w:asciiTheme="minorHAnsi" w:hAnsiTheme="minorHAnsi" w:cstheme="minorHAnsi"/>
        </w:rPr>
        <w:t xml:space="preserve">, rozpočtového výhledu </w:t>
      </w:r>
      <w:r w:rsidR="00CA4072">
        <w:rPr>
          <w:rFonts w:asciiTheme="minorHAnsi" w:hAnsiTheme="minorHAnsi" w:cstheme="minorHAnsi"/>
        </w:rPr>
        <w:t>včetně</w:t>
      </w:r>
      <w:r w:rsidR="00B00640" w:rsidRPr="00CA4072">
        <w:rPr>
          <w:rFonts w:asciiTheme="minorHAnsi" w:hAnsiTheme="minorHAnsi" w:cstheme="minorHAnsi"/>
          <w:b/>
        </w:rPr>
        <w:t xml:space="preserve"> vazby na strategii</w:t>
      </w:r>
      <w:r w:rsidRPr="00CA4072">
        <w:rPr>
          <w:rFonts w:asciiTheme="minorHAnsi" w:hAnsiTheme="minorHAnsi" w:cstheme="minorHAnsi"/>
          <w:b/>
        </w:rPr>
        <w:t xml:space="preserve"> </w:t>
      </w:r>
      <w:r w:rsidRPr="00ED0160">
        <w:rPr>
          <w:rFonts w:asciiTheme="minorHAnsi" w:hAnsiTheme="minorHAnsi" w:cstheme="minorHAnsi"/>
        </w:rPr>
        <w:t xml:space="preserve">města Uherské Hradiště je v kapitole 10), </w:t>
      </w:r>
    </w:p>
    <w:p w14:paraId="5002DE60" w14:textId="77777777" w:rsidR="0012157B" w:rsidRDefault="00ED0160" w:rsidP="0065698B">
      <w:pPr>
        <w:pStyle w:val="Odstavecseseznamem"/>
        <w:numPr>
          <w:ilvl w:val="1"/>
          <w:numId w:val="22"/>
        </w:numPr>
        <w:jc w:val="both"/>
        <w:rPr>
          <w:rFonts w:asciiTheme="minorHAnsi" w:hAnsiTheme="minorHAnsi" w:cstheme="minorHAnsi"/>
        </w:rPr>
      </w:pPr>
      <w:r w:rsidRPr="0012157B">
        <w:rPr>
          <w:rFonts w:asciiTheme="minorHAnsi" w:hAnsiTheme="minorHAnsi" w:cstheme="minorHAnsi"/>
        </w:rPr>
        <w:t>d</w:t>
      </w:r>
      <w:r w:rsidR="00D5278C" w:rsidRPr="0012157B">
        <w:rPr>
          <w:rFonts w:asciiTheme="minorHAnsi" w:hAnsiTheme="minorHAnsi" w:cstheme="minorHAnsi"/>
        </w:rPr>
        <w:t xml:space="preserve">ůležité z hlediska strategické práce je též to, aby součástí byly </w:t>
      </w:r>
      <w:r w:rsidR="00D5278C" w:rsidRPr="007F5B6B">
        <w:rPr>
          <w:rFonts w:asciiTheme="minorHAnsi" w:hAnsiTheme="minorHAnsi" w:cstheme="minorHAnsi"/>
          <w:b/>
        </w:rPr>
        <w:t xml:space="preserve">pokyny pro provázání rozpočtu a </w:t>
      </w:r>
      <w:r w:rsidRPr="007F5B6B">
        <w:rPr>
          <w:rFonts w:asciiTheme="minorHAnsi" w:hAnsiTheme="minorHAnsi" w:cstheme="minorHAnsi"/>
          <w:b/>
        </w:rPr>
        <w:t>strategie</w:t>
      </w:r>
      <w:r w:rsidRPr="0012157B">
        <w:rPr>
          <w:rFonts w:asciiTheme="minorHAnsi" w:hAnsiTheme="minorHAnsi" w:cstheme="minorHAnsi"/>
        </w:rPr>
        <w:t xml:space="preserve"> (příklad řešení vazby mezi rozpočtem a strategickým plánem pomocí akčního plánu města Litoměřic je v kapitole 10</w:t>
      </w:r>
      <w:r w:rsidR="0012157B" w:rsidRPr="0012157B">
        <w:rPr>
          <w:rFonts w:asciiTheme="minorHAnsi" w:hAnsiTheme="minorHAnsi" w:cstheme="minorHAnsi"/>
        </w:rPr>
        <w:t xml:space="preserve">), </w:t>
      </w:r>
    </w:p>
    <w:p w14:paraId="69B7AD3E" w14:textId="77777777" w:rsidR="00D248EA" w:rsidRDefault="00D248EA" w:rsidP="0065698B">
      <w:pPr>
        <w:pStyle w:val="Odstavecseseznamem"/>
        <w:numPr>
          <w:ilvl w:val="1"/>
          <w:numId w:val="22"/>
        </w:numPr>
        <w:jc w:val="both"/>
        <w:rPr>
          <w:rFonts w:asciiTheme="minorHAnsi" w:hAnsiTheme="minorHAnsi" w:cstheme="minorHAnsi"/>
        </w:rPr>
      </w:pPr>
      <w:r>
        <w:rPr>
          <w:rFonts w:asciiTheme="minorHAnsi" w:hAnsiTheme="minorHAnsi" w:cstheme="minorHAnsi"/>
        </w:rPr>
        <w:t>s</w:t>
      </w:r>
      <w:r w:rsidRPr="00ED0160">
        <w:rPr>
          <w:rFonts w:asciiTheme="minorHAnsi" w:hAnsiTheme="minorHAnsi" w:cstheme="minorHAnsi"/>
        </w:rPr>
        <w:t>oučástí též mohou být pravidla pro zadlužování (příklad pravidel pro zadlužování města Chrudim je v kapitole 10</w:t>
      </w:r>
      <w:r>
        <w:rPr>
          <w:rFonts w:asciiTheme="minorHAnsi" w:hAnsiTheme="minorHAnsi" w:cstheme="minorHAnsi"/>
        </w:rPr>
        <w:t>),</w:t>
      </w:r>
    </w:p>
    <w:p w14:paraId="4B0FECF9" w14:textId="6B80CD8C" w:rsidR="00D5278C" w:rsidRPr="0012157B" w:rsidRDefault="00D5278C" w:rsidP="0065698B">
      <w:pPr>
        <w:pStyle w:val="Odstavecseseznamem"/>
        <w:numPr>
          <w:ilvl w:val="1"/>
          <w:numId w:val="22"/>
        </w:numPr>
        <w:jc w:val="both"/>
        <w:rPr>
          <w:rFonts w:asciiTheme="minorHAnsi" w:hAnsiTheme="minorHAnsi" w:cstheme="minorHAnsi"/>
        </w:rPr>
      </w:pPr>
      <w:r w:rsidRPr="0012157B">
        <w:rPr>
          <w:rFonts w:asciiTheme="minorHAnsi" w:hAnsiTheme="minorHAnsi" w:cstheme="minorHAnsi"/>
        </w:rPr>
        <w:t>další postupy důležité pro přípravu rozpočtu</w:t>
      </w:r>
      <w:r w:rsidR="007F5B6B">
        <w:rPr>
          <w:rFonts w:asciiTheme="minorHAnsi" w:hAnsiTheme="minorHAnsi" w:cstheme="minorHAnsi"/>
        </w:rPr>
        <w:t>.</w:t>
      </w:r>
    </w:p>
    <w:p w14:paraId="42E9BEF0" w14:textId="18AAC5A8" w:rsidR="00D5278C" w:rsidRDefault="00D5278C" w:rsidP="0065698B">
      <w:pPr>
        <w:pStyle w:val="Odstavecseseznamem"/>
        <w:numPr>
          <w:ilvl w:val="0"/>
          <w:numId w:val="22"/>
        </w:numPr>
        <w:jc w:val="both"/>
        <w:rPr>
          <w:rFonts w:asciiTheme="minorHAnsi" w:hAnsiTheme="minorHAnsi" w:cstheme="minorHAnsi"/>
        </w:rPr>
      </w:pPr>
      <w:r>
        <w:rPr>
          <w:rFonts w:asciiTheme="minorHAnsi" w:hAnsiTheme="minorHAnsi" w:cstheme="minorHAnsi"/>
        </w:rPr>
        <w:t>Získání potřebných dat a informací</w:t>
      </w:r>
      <w:r w:rsidR="007F5B6B">
        <w:rPr>
          <w:rFonts w:asciiTheme="minorHAnsi" w:hAnsiTheme="minorHAnsi" w:cstheme="minorHAnsi"/>
        </w:rPr>
        <w:t>.</w:t>
      </w:r>
    </w:p>
    <w:p w14:paraId="568E33D8" w14:textId="33812860" w:rsidR="00D5278C" w:rsidRDefault="00D5278C" w:rsidP="0065698B">
      <w:pPr>
        <w:pStyle w:val="Odstavecseseznamem"/>
        <w:numPr>
          <w:ilvl w:val="0"/>
          <w:numId w:val="22"/>
        </w:numPr>
        <w:jc w:val="both"/>
        <w:rPr>
          <w:rFonts w:asciiTheme="minorHAnsi" w:hAnsiTheme="minorHAnsi" w:cstheme="minorHAnsi"/>
        </w:rPr>
      </w:pPr>
      <w:r>
        <w:rPr>
          <w:rFonts w:asciiTheme="minorHAnsi" w:hAnsiTheme="minorHAnsi" w:cstheme="minorHAnsi"/>
        </w:rPr>
        <w:t>Provedení nezbytných finančních analýz</w:t>
      </w:r>
      <w:r w:rsidR="007F5B6B">
        <w:rPr>
          <w:rFonts w:asciiTheme="minorHAnsi" w:hAnsiTheme="minorHAnsi" w:cstheme="minorHAnsi"/>
        </w:rPr>
        <w:t>.</w:t>
      </w:r>
    </w:p>
    <w:p w14:paraId="7858ECE9" w14:textId="3185709F" w:rsidR="00D5278C" w:rsidRDefault="00D5278C" w:rsidP="0065698B">
      <w:pPr>
        <w:pStyle w:val="Odstavecseseznamem"/>
        <w:numPr>
          <w:ilvl w:val="0"/>
          <w:numId w:val="22"/>
        </w:numPr>
        <w:jc w:val="both"/>
        <w:rPr>
          <w:rFonts w:asciiTheme="minorHAnsi" w:hAnsiTheme="minorHAnsi" w:cstheme="minorHAnsi"/>
        </w:rPr>
      </w:pPr>
      <w:r w:rsidRPr="00D5278C">
        <w:rPr>
          <w:rFonts w:asciiTheme="minorHAnsi" w:hAnsiTheme="minorHAnsi" w:cstheme="minorHAnsi"/>
        </w:rPr>
        <w:t xml:space="preserve">Zpracování rozpočtu jednotlivých činností a projektů, a to jak běžného (provozního, neinvestičního) rozpočtu, tak investic (kapitálové příjmy a výdaje). </w:t>
      </w:r>
      <w:r>
        <w:rPr>
          <w:rFonts w:asciiTheme="minorHAnsi" w:hAnsiTheme="minorHAnsi" w:cstheme="minorHAnsi"/>
        </w:rPr>
        <w:t>Z</w:t>
      </w:r>
      <w:r w:rsidRPr="00D5278C">
        <w:rPr>
          <w:rFonts w:asciiTheme="minorHAnsi" w:hAnsiTheme="minorHAnsi" w:cstheme="minorHAnsi"/>
        </w:rPr>
        <w:t> toho p</w:t>
      </w:r>
      <w:r>
        <w:rPr>
          <w:rFonts w:asciiTheme="minorHAnsi" w:hAnsiTheme="minorHAnsi" w:cstheme="minorHAnsi"/>
        </w:rPr>
        <w:t xml:space="preserve">ak rozpočty </w:t>
      </w:r>
      <w:r>
        <w:rPr>
          <w:rFonts w:asciiTheme="minorHAnsi" w:hAnsiTheme="minorHAnsi" w:cstheme="minorHAnsi"/>
        </w:rPr>
        <w:lastRenderedPageBreak/>
        <w:t>jednotlivých útvarů nebo podřízených organizací (například město pro své příspěvkové organizace).</w:t>
      </w:r>
    </w:p>
    <w:p w14:paraId="673E4998" w14:textId="342E1097" w:rsidR="00D5278C" w:rsidRDefault="00D5278C" w:rsidP="0065698B">
      <w:pPr>
        <w:pStyle w:val="Odstavecseseznamem"/>
        <w:numPr>
          <w:ilvl w:val="0"/>
          <w:numId w:val="22"/>
        </w:numPr>
        <w:jc w:val="both"/>
        <w:rPr>
          <w:rFonts w:asciiTheme="minorHAnsi" w:hAnsiTheme="minorHAnsi" w:cstheme="minorHAnsi"/>
        </w:rPr>
      </w:pPr>
      <w:r>
        <w:rPr>
          <w:rFonts w:asciiTheme="minorHAnsi" w:hAnsiTheme="minorHAnsi" w:cstheme="minorHAnsi"/>
        </w:rPr>
        <w:t>Zpracování návrhu rozpočtu jako celku.</w:t>
      </w:r>
    </w:p>
    <w:p w14:paraId="7142CF8B" w14:textId="77777777" w:rsidR="004F685A" w:rsidRDefault="004F685A" w:rsidP="00CC7234">
      <w:pPr>
        <w:pStyle w:val="A1-text"/>
        <w:spacing w:after="0"/>
        <w:rPr>
          <w:rFonts w:asciiTheme="minorHAnsi" w:hAnsiTheme="minorHAnsi" w:cstheme="minorHAnsi"/>
          <w:lang w:val="cs-CZ"/>
        </w:rPr>
      </w:pPr>
    </w:p>
    <w:p w14:paraId="306C3B23" w14:textId="7D8BA4EB" w:rsidR="00CC7234" w:rsidRDefault="00ED3B0B" w:rsidP="00CC7234">
      <w:pPr>
        <w:pStyle w:val="A1-text"/>
        <w:spacing w:after="0"/>
        <w:rPr>
          <w:rFonts w:asciiTheme="minorHAnsi" w:hAnsiTheme="minorHAnsi" w:cstheme="minorHAnsi"/>
          <w:lang w:val="cs-CZ"/>
        </w:rPr>
      </w:pPr>
      <w:r>
        <w:rPr>
          <w:rFonts w:asciiTheme="minorHAnsi" w:hAnsiTheme="minorHAnsi" w:cstheme="minorHAnsi"/>
          <w:lang w:val="cs-CZ"/>
        </w:rPr>
        <w:t>K</w:t>
      </w:r>
      <w:r w:rsidR="00CC7234">
        <w:rPr>
          <w:rFonts w:asciiTheme="minorHAnsi" w:hAnsiTheme="minorHAnsi" w:cstheme="minorHAnsi"/>
          <w:lang w:val="cs-CZ"/>
        </w:rPr>
        <w:t>aždá</w:t>
      </w:r>
      <w:r w:rsidR="00CC7234" w:rsidRPr="00E628CC">
        <w:rPr>
          <w:rFonts w:asciiTheme="minorHAnsi" w:hAnsiTheme="minorHAnsi" w:cstheme="minorHAnsi"/>
        </w:rPr>
        <w:t xml:space="preserve"> obec </w:t>
      </w:r>
      <w:r w:rsidR="00CC7234" w:rsidRPr="00E628CC">
        <w:rPr>
          <w:rFonts w:asciiTheme="minorHAnsi" w:hAnsiTheme="minorHAnsi" w:cstheme="minorHAnsi"/>
          <w:lang w:val="cs-CZ"/>
        </w:rPr>
        <w:t xml:space="preserve">(kraj) </w:t>
      </w:r>
      <w:r w:rsidR="00CC7234">
        <w:rPr>
          <w:rFonts w:asciiTheme="minorHAnsi" w:hAnsiTheme="minorHAnsi" w:cstheme="minorHAnsi"/>
        </w:rPr>
        <w:t xml:space="preserve">připravuje svůj </w:t>
      </w:r>
      <w:r w:rsidR="00CC7234" w:rsidRPr="00E628CC">
        <w:rPr>
          <w:rFonts w:asciiTheme="minorHAnsi" w:hAnsiTheme="minorHAnsi" w:cstheme="minorHAnsi"/>
        </w:rPr>
        <w:t>rozpočet v návaznosti</w:t>
      </w:r>
      <w:r w:rsidR="00CC7234" w:rsidRPr="00E628CC">
        <w:rPr>
          <w:rFonts w:asciiTheme="minorHAnsi" w:hAnsiTheme="minorHAnsi" w:cstheme="minorHAnsi"/>
          <w:lang w:val="cs-CZ"/>
        </w:rPr>
        <w:t xml:space="preserve">: </w:t>
      </w:r>
    </w:p>
    <w:p w14:paraId="7BA7CC09" w14:textId="4203328D" w:rsidR="00CC7234" w:rsidRDefault="00CC7234" w:rsidP="0065698B">
      <w:pPr>
        <w:pStyle w:val="Odstavecseseznamem"/>
        <w:numPr>
          <w:ilvl w:val="0"/>
          <w:numId w:val="22"/>
        </w:numPr>
        <w:jc w:val="both"/>
        <w:rPr>
          <w:rFonts w:asciiTheme="minorHAnsi" w:hAnsiTheme="minorHAnsi" w:cstheme="minorHAnsi"/>
        </w:rPr>
      </w:pPr>
      <w:r>
        <w:rPr>
          <w:rFonts w:asciiTheme="minorHAnsi" w:hAnsiTheme="minorHAnsi" w:cstheme="minorHAnsi"/>
        </w:rPr>
        <w:t>na své interní předpisy a usnesení orgánu týkající se tvorby rozpočtu,</w:t>
      </w:r>
    </w:p>
    <w:p w14:paraId="13743375" w14:textId="0C06F33D" w:rsidR="00CC7234" w:rsidRDefault="00CC7234" w:rsidP="0065698B">
      <w:pPr>
        <w:pStyle w:val="Odstavecseseznamem"/>
        <w:numPr>
          <w:ilvl w:val="0"/>
          <w:numId w:val="22"/>
        </w:numPr>
        <w:jc w:val="both"/>
        <w:rPr>
          <w:rFonts w:asciiTheme="minorHAnsi" w:hAnsiTheme="minorHAnsi" w:cstheme="minorHAnsi"/>
        </w:rPr>
      </w:pPr>
      <w:r w:rsidRPr="00E628CC">
        <w:rPr>
          <w:rFonts w:asciiTheme="minorHAnsi" w:hAnsiTheme="minorHAnsi" w:cstheme="minorHAnsi"/>
        </w:rPr>
        <w:t>na proved</w:t>
      </w:r>
      <w:r>
        <w:rPr>
          <w:rFonts w:asciiTheme="minorHAnsi" w:hAnsiTheme="minorHAnsi" w:cstheme="minorHAnsi"/>
        </w:rPr>
        <w:t>ené analýzy, situaci a možnosti,</w:t>
      </w:r>
    </w:p>
    <w:p w14:paraId="12EAC95C" w14:textId="3BCC19E8" w:rsidR="00CC7234" w:rsidRDefault="00CC7234" w:rsidP="0065698B">
      <w:pPr>
        <w:pStyle w:val="Odstavecseseznamem"/>
        <w:numPr>
          <w:ilvl w:val="0"/>
          <w:numId w:val="22"/>
        </w:numPr>
        <w:jc w:val="both"/>
        <w:rPr>
          <w:rFonts w:asciiTheme="minorHAnsi" w:hAnsiTheme="minorHAnsi" w:cstheme="minorHAnsi"/>
        </w:rPr>
      </w:pPr>
      <w:r w:rsidRPr="00E628CC">
        <w:rPr>
          <w:rFonts w:asciiTheme="minorHAnsi" w:hAnsiTheme="minorHAnsi" w:cstheme="minorHAnsi"/>
        </w:rPr>
        <w:t xml:space="preserve">na svůj rozpočtový výhled (má-li jej schválen) a </w:t>
      </w:r>
    </w:p>
    <w:p w14:paraId="5A778B6C" w14:textId="77777777" w:rsidR="00CC7234" w:rsidRDefault="00CC7234" w:rsidP="0065698B">
      <w:pPr>
        <w:pStyle w:val="Odstavecseseznamem"/>
        <w:numPr>
          <w:ilvl w:val="0"/>
          <w:numId w:val="22"/>
        </w:numPr>
        <w:jc w:val="both"/>
        <w:rPr>
          <w:rFonts w:asciiTheme="minorHAnsi" w:hAnsiTheme="minorHAnsi" w:cstheme="minorHAnsi"/>
        </w:rPr>
      </w:pPr>
      <w:r w:rsidRPr="00E628CC">
        <w:rPr>
          <w:rFonts w:asciiTheme="minorHAnsi" w:hAnsiTheme="minorHAnsi" w:cstheme="minorHAnsi"/>
        </w:rPr>
        <w:t>na základě údajů z rozpisu platného státního rozpočtu</w:t>
      </w:r>
      <w:r>
        <w:rPr>
          <w:rFonts w:asciiTheme="minorHAnsi" w:hAnsiTheme="minorHAnsi" w:cstheme="minorHAnsi"/>
        </w:rPr>
        <w:t xml:space="preserve"> nebo rozpočtu kraje</w:t>
      </w:r>
      <w:r w:rsidRPr="00E628CC">
        <w:rPr>
          <w:rFonts w:asciiTheme="minorHAnsi" w:hAnsiTheme="minorHAnsi" w:cstheme="minorHAnsi"/>
        </w:rPr>
        <w:t>, kterým</w:t>
      </w:r>
      <w:r>
        <w:rPr>
          <w:rFonts w:asciiTheme="minorHAnsi" w:hAnsiTheme="minorHAnsi" w:cstheme="minorHAnsi"/>
        </w:rPr>
        <w:t>:</w:t>
      </w:r>
    </w:p>
    <w:p w14:paraId="7EE459FD" w14:textId="77777777" w:rsidR="00CC7234" w:rsidRDefault="00CC7234" w:rsidP="0065698B">
      <w:pPr>
        <w:pStyle w:val="Odstavecseseznamem"/>
        <w:numPr>
          <w:ilvl w:val="1"/>
          <w:numId w:val="22"/>
        </w:numPr>
        <w:jc w:val="both"/>
        <w:rPr>
          <w:rFonts w:asciiTheme="minorHAnsi" w:hAnsiTheme="minorHAnsi" w:cstheme="minorHAnsi"/>
        </w:rPr>
      </w:pPr>
      <w:r w:rsidRPr="00E628CC">
        <w:rPr>
          <w:rFonts w:asciiTheme="minorHAnsi" w:hAnsiTheme="minorHAnsi" w:cstheme="minorHAnsi"/>
        </w:rPr>
        <w:t xml:space="preserve">státní rozpočet určuje své vztahy k rozpočtům krajů nebo jednotlivých obcí, </w:t>
      </w:r>
    </w:p>
    <w:p w14:paraId="5CDC2919" w14:textId="64FDC525" w:rsidR="00CC7234" w:rsidRPr="00E628CC" w:rsidRDefault="00CC7234" w:rsidP="0065698B">
      <w:pPr>
        <w:pStyle w:val="Odstavecseseznamem"/>
        <w:numPr>
          <w:ilvl w:val="1"/>
          <w:numId w:val="22"/>
        </w:numPr>
        <w:jc w:val="both"/>
        <w:rPr>
          <w:rFonts w:asciiTheme="minorHAnsi" w:hAnsiTheme="minorHAnsi" w:cstheme="minorHAnsi"/>
        </w:rPr>
      </w:pPr>
      <w:r w:rsidRPr="00E628CC">
        <w:rPr>
          <w:rFonts w:asciiTheme="minorHAnsi" w:hAnsiTheme="minorHAnsi" w:cstheme="minorHAnsi"/>
        </w:rPr>
        <w:t xml:space="preserve">rozpočet kraje určuje své vztahy k rozpočtům obcí v kraji. </w:t>
      </w:r>
    </w:p>
    <w:p w14:paraId="14485FA1" w14:textId="77777777" w:rsidR="009E3B4A" w:rsidRDefault="009E3B4A" w:rsidP="00CC7234">
      <w:pPr>
        <w:pStyle w:val="A1-text"/>
        <w:spacing w:after="0"/>
        <w:rPr>
          <w:rFonts w:asciiTheme="minorHAnsi" w:hAnsiTheme="minorHAnsi" w:cstheme="minorHAnsi"/>
        </w:rPr>
      </w:pPr>
    </w:p>
    <w:p w14:paraId="05219826" w14:textId="6C9293B3" w:rsidR="00CC7234" w:rsidRDefault="00CC7234" w:rsidP="00CC7234">
      <w:pPr>
        <w:pStyle w:val="A1-text"/>
        <w:spacing w:after="0"/>
        <w:rPr>
          <w:rFonts w:asciiTheme="minorHAnsi" w:hAnsiTheme="minorHAnsi" w:cstheme="minorHAnsi"/>
        </w:rPr>
      </w:pPr>
      <w:r w:rsidRPr="00E628CC">
        <w:rPr>
          <w:rFonts w:asciiTheme="minorHAnsi" w:hAnsiTheme="minorHAnsi" w:cstheme="minorHAnsi"/>
        </w:rPr>
        <w:t>Samotná příprav</w:t>
      </w:r>
      <w:r>
        <w:rPr>
          <w:rFonts w:asciiTheme="minorHAnsi" w:hAnsiTheme="minorHAnsi" w:cstheme="minorHAnsi"/>
        </w:rPr>
        <w:t>a rozpočtu záleží na každé obci</w:t>
      </w:r>
      <w:r>
        <w:rPr>
          <w:rFonts w:asciiTheme="minorHAnsi" w:hAnsiTheme="minorHAnsi" w:cstheme="minorHAnsi"/>
          <w:lang w:val="cs-CZ"/>
        </w:rPr>
        <w:t>, záleží na místních podmínkách.</w:t>
      </w:r>
      <w:r w:rsidRPr="00E628CC">
        <w:rPr>
          <w:rFonts w:asciiTheme="minorHAnsi" w:hAnsiTheme="minorHAnsi" w:cstheme="minorHAnsi"/>
        </w:rPr>
        <w:t xml:space="preserve"> </w:t>
      </w:r>
      <w:r w:rsidRPr="00E628CC">
        <w:rPr>
          <w:rFonts w:asciiTheme="minorHAnsi" w:hAnsiTheme="minorHAnsi" w:cstheme="minorHAnsi"/>
          <w:lang w:val="cs-CZ"/>
        </w:rPr>
        <w:t xml:space="preserve">Důležitá je při tvorbě rozpočtu transparentnost (harmonogram, postupy a limity jsou známy předem) a rozsah participace veřejnosti. </w:t>
      </w:r>
      <w:r w:rsidRPr="00E628CC">
        <w:rPr>
          <w:rFonts w:asciiTheme="minorHAnsi" w:hAnsiTheme="minorHAnsi" w:cstheme="minorHAnsi"/>
        </w:rPr>
        <w:t>Obvykle rozpočet připravuje úřad (respektive pověřený odbor</w:t>
      </w:r>
      <w:r w:rsidRPr="00E628CC">
        <w:rPr>
          <w:rFonts w:asciiTheme="minorHAnsi" w:hAnsiTheme="minorHAnsi" w:cstheme="minorHAnsi"/>
          <w:lang w:val="cs-CZ"/>
        </w:rPr>
        <w:t xml:space="preserve"> – obvykle finanční či ekonomický</w:t>
      </w:r>
      <w:r w:rsidRPr="00E628CC">
        <w:rPr>
          <w:rFonts w:asciiTheme="minorHAnsi" w:hAnsiTheme="minorHAnsi" w:cstheme="minorHAnsi"/>
        </w:rPr>
        <w:t>) dle pokynů rady obce</w:t>
      </w:r>
      <w:r w:rsidRPr="00E628CC">
        <w:rPr>
          <w:rFonts w:asciiTheme="minorHAnsi" w:hAnsiTheme="minorHAnsi" w:cstheme="minorHAnsi"/>
          <w:lang w:val="cs-CZ"/>
        </w:rPr>
        <w:t xml:space="preserve"> (případně starosty obce)</w:t>
      </w:r>
      <w:r w:rsidRPr="00E628CC">
        <w:rPr>
          <w:rFonts w:asciiTheme="minorHAnsi" w:hAnsiTheme="minorHAnsi" w:cstheme="minorHAnsi"/>
        </w:rPr>
        <w:t xml:space="preserve">. </w:t>
      </w:r>
      <w:r w:rsidRPr="00E628CC">
        <w:rPr>
          <w:rFonts w:asciiTheme="minorHAnsi" w:hAnsiTheme="minorHAnsi" w:cstheme="minorHAnsi"/>
          <w:lang w:val="cs-CZ"/>
        </w:rPr>
        <w:t xml:space="preserve">Při přípravě je nezbytné provést potřebné finanční analýzy. </w:t>
      </w:r>
      <w:r w:rsidRPr="00CC7234">
        <w:rPr>
          <w:rFonts w:asciiTheme="minorHAnsi" w:hAnsiTheme="minorHAnsi" w:cstheme="minorHAnsi"/>
          <w:b/>
          <w:lang w:val="cs-CZ"/>
        </w:rPr>
        <w:t xml:space="preserve">Důležité jsou vazby mezi rozpočtem a </w:t>
      </w:r>
      <w:r w:rsidR="00592AB3">
        <w:rPr>
          <w:rFonts w:asciiTheme="minorHAnsi" w:hAnsiTheme="minorHAnsi" w:cstheme="minorHAnsi"/>
          <w:b/>
          <w:lang w:val="cs-CZ"/>
        </w:rPr>
        <w:t xml:space="preserve">strategií resp. jejím prováděcím </w:t>
      </w:r>
      <w:r w:rsidR="001B4BBD">
        <w:rPr>
          <w:rFonts w:asciiTheme="minorHAnsi" w:hAnsiTheme="minorHAnsi" w:cstheme="minorHAnsi"/>
          <w:b/>
          <w:lang w:val="cs-CZ"/>
        </w:rPr>
        <w:t xml:space="preserve">(implementačním, akčním) </w:t>
      </w:r>
      <w:r w:rsidR="00592AB3">
        <w:rPr>
          <w:rFonts w:asciiTheme="minorHAnsi" w:hAnsiTheme="minorHAnsi" w:cstheme="minorHAnsi"/>
          <w:b/>
          <w:lang w:val="cs-CZ"/>
        </w:rPr>
        <w:t xml:space="preserve">plánem. </w:t>
      </w:r>
      <w:r w:rsidRPr="00E628CC">
        <w:rPr>
          <w:rFonts w:asciiTheme="minorHAnsi" w:hAnsiTheme="minorHAnsi" w:cstheme="minorHAnsi"/>
          <w:lang w:val="cs-CZ"/>
        </w:rPr>
        <w:t xml:space="preserve"> V řadě obcí ekonomický odbor (dle pokynů rady) na začátku přípravy rozpočtu stanoví </w:t>
      </w:r>
      <w:r>
        <w:rPr>
          <w:rFonts w:asciiTheme="minorHAnsi" w:hAnsiTheme="minorHAnsi" w:cstheme="minorHAnsi"/>
          <w:lang w:val="cs-CZ"/>
        </w:rPr>
        <w:t xml:space="preserve">závazné </w:t>
      </w:r>
      <w:r w:rsidRPr="00E628CC">
        <w:rPr>
          <w:rFonts w:asciiTheme="minorHAnsi" w:hAnsiTheme="minorHAnsi" w:cstheme="minorHAnsi"/>
          <w:lang w:val="cs-CZ"/>
        </w:rPr>
        <w:t>limity</w:t>
      </w:r>
      <w:r>
        <w:rPr>
          <w:rFonts w:asciiTheme="minorHAnsi" w:hAnsiTheme="minorHAnsi" w:cstheme="minorHAnsi"/>
          <w:lang w:val="cs-CZ"/>
        </w:rPr>
        <w:t xml:space="preserve"> (respektive ukazatele)</w:t>
      </w:r>
      <w:r w:rsidRPr="00E628CC">
        <w:rPr>
          <w:rFonts w:asciiTheme="minorHAnsi" w:hAnsiTheme="minorHAnsi" w:cstheme="minorHAnsi"/>
          <w:lang w:val="cs-CZ"/>
        </w:rPr>
        <w:t xml:space="preserve"> jednotlivým správcům kapitol rozpočtu (obvykle odborům) – tedy kolik bude prostředků na školství, kulturu, životní prostředí atd. </w:t>
      </w:r>
      <w:r w:rsidR="009E3B4A" w:rsidRPr="009E3B4A">
        <w:rPr>
          <w:rFonts w:asciiTheme="minorHAnsi" w:hAnsiTheme="minorHAnsi" w:cstheme="minorHAnsi"/>
          <w:b/>
          <w:lang w:val="cs-CZ"/>
        </w:rPr>
        <w:t>Problémem je, že se to často dělá indexovou metodou</w:t>
      </w:r>
      <w:r w:rsidR="009E3B4A">
        <w:rPr>
          <w:rFonts w:asciiTheme="minorHAnsi" w:hAnsiTheme="minorHAnsi" w:cstheme="minorHAnsi"/>
          <w:lang w:val="cs-CZ"/>
        </w:rPr>
        <w:t xml:space="preserve"> (snížení nebo zvýšení o několik procent dle předchozího roku)</w:t>
      </w:r>
      <w:r w:rsidR="009E3B4A" w:rsidRPr="009E3B4A">
        <w:rPr>
          <w:rFonts w:asciiTheme="minorHAnsi" w:hAnsiTheme="minorHAnsi" w:cstheme="minorHAnsi"/>
          <w:lang w:val="cs-CZ"/>
        </w:rPr>
        <w:t xml:space="preserve"> </w:t>
      </w:r>
      <w:r w:rsidR="009E3B4A" w:rsidRPr="009E3B4A">
        <w:rPr>
          <w:rFonts w:asciiTheme="minorHAnsi" w:hAnsiTheme="minorHAnsi" w:cstheme="minorHAnsi"/>
          <w:b/>
          <w:lang w:val="cs-CZ"/>
        </w:rPr>
        <w:t>bez ohledu na strategické dokumenty</w:t>
      </w:r>
      <w:r w:rsidR="009E3B4A">
        <w:rPr>
          <w:rFonts w:asciiTheme="minorHAnsi" w:hAnsiTheme="minorHAnsi" w:cstheme="minorHAnsi"/>
          <w:lang w:val="cs-CZ"/>
        </w:rPr>
        <w:t xml:space="preserve"> obce. </w:t>
      </w:r>
      <w:r w:rsidRPr="00E628CC">
        <w:rPr>
          <w:rFonts w:asciiTheme="minorHAnsi" w:hAnsiTheme="minorHAnsi" w:cstheme="minorHAnsi"/>
          <w:lang w:val="cs-CZ"/>
        </w:rPr>
        <w:t xml:space="preserve">Každý správce rozpočtu (odbor úřadu) </w:t>
      </w:r>
      <w:r w:rsidR="004F685A">
        <w:rPr>
          <w:rFonts w:asciiTheme="minorHAnsi" w:hAnsiTheme="minorHAnsi" w:cstheme="minorHAnsi"/>
          <w:lang w:val="cs-CZ"/>
        </w:rPr>
        <w:t>výše zmíněný</w:t>
      </w:r>
      <w:r w:rsidRPr="00E628CC">
        <w:rPr>
          <w:rFonts w:asciiTheme="minorHAnsi" w:hAnsiTheme="minorHAnsi" w:cstheme="minorHAnsi"/>
          <w:lang w:val="cs-CZ"/>
        </w:rPr>
        <w:t xml:space="preserve"> limit rozepíše do konkrétních položek, a pokud mu limit nedostačuje, snaží se vyjednat vyšší. Řada zastupitelů a zástupců veřejnosti si dostatečně neuvědomují, že právě v této fázi mají největší prostor rozpočet ovlivnit. Pověřený odbor pak rozpočet sestaví jako celek. </w:t>
      </w:r>
      <w:r w:rsidRPr="00E628CC">
        <w:rPr>
          <w:rFonts w:asciiTheme="minorHAnsi" w:hAnsiTheme="minorHAnsi" w:cstheme="minorHAnsi"/>
        </w:rPr>
        <w:t>Obvykle rozpočet před předložením do zastupitelstva projednává finanční výbor zastupitelstva obce</w:t>
      </w:r>
      <w:r w:rsidRPr="00E628CC">
        <w:rPr>
          <w:rStyle w:val="Znakapoznpodarou"/>
          <w:rFonts w:asciiTheme="minorHAnsi" w:hAnsiTheme="minorHAnsi" w:cstheme="minorHAnsi"/>
        </w:rPr>
        <w:footnoteReference w:id="30"/>
      </w:r>
      <w:r w:rsidRPr="00E628CC">
        <w:rPr>
          <w:rFonts w:asciiTheme="minorHAnsi" w:hAnsiTheme="minorHAnsi" w:cstheme="minorHAnsi"/>
        </w:rPr>
        <w:t xml:space="preserve"> </w:t>
      </w:r>
      <w:r w:rsidRPr="00E628CC">
        <w:rPr>
          <w:rFonts w:asciiTheme="minorHAnsi" w:hAnsiTheme="minorHAnsi" w:cstheme="minorHAnsi"/>
          <w:lang w:val="cs-CZ"/>
        </w:rPr>
        <w:t xml:space="preserve"> </w:t>
      </w:r>
      <w:r w:rsidRPr="00E628CC">
        <w:rPr>
          <w:rFonts w:asciiTheme="minorHAnsi" w:hAnsiTheme="minorHAnsi" w:cstheme="minorHAnsi"/>
        </w:rPr>
        <w:t>a rada obce.</w:t>
      </w:r>
      <w:r w:rsidRPr="00E628CC">
        <w:rPr>
          <w:rFonts w:asciiTheme="minorHAnsi" w:hAnsiTheme="minorHAnsi" w:cstheme="minorHAnsi"/>
          <w:lang w:val="cs-CZ"/>
        </w:rPr>
        <w:t xml:space="preserve"> </w:t>
      </w:r>
      <w:r w:rsidRPr="00E628CC">
        <w:rPr>
          <w:rFonts w:asciiTheme="minorHAnsi" w:hAnsiTheme="minorHAnsi" w:cstheme="minorHAnsi"/>
        </w:rPr>
        <w:t>Pokud se obec podílí na realizaci projektu spolufinancovaného z rozpočtu EU, musí jeho rozpočet na příslušný kalendářní rok obsahovat stanovený objem finančních prostředků účelově určených na spolufinancování projektu EU.</w:t>
      </w:r>
    </w:p>
    <w:p w14:paraId="2879FA8C" w14:textId="1F884B9C" w:rsidR="00B65A0D" w:rsidRPr="00331D6F" w:rsidRDefault="00B65A0D" w:rsidP="00B65A0D">
      <w:pPr>
        <w:pStyle w:val="A1-text"/>
        <w:spacing w:after="120"/>
        <w:rPr>
          <w:rFonts w:ascii="Calibri" w:hAnsi="Calibri"/>
          <w:lang w:val="cs-CZ"/>
        </w:rPr>
      </w:pPr>
      <w:r w:rsidRPr="00BE6868">
        <w:rPr>
          <w:rFonts w:ascii="Calibri" w:hAnsi="Calibri"/>
          <w:lang w:val="cs-CZ"/>
        </w:rPr>
        <w:lastRenderedPageBreak/>
        <w:t xml:space="preserve">Co vše je možné </w:t>
      </w:r>
      <w:r>
        <w:rPr>
          <w:rFonts w:ascii="Calibri" w:hAnsi="Calibri"/>
          <w:lang w:val="cs-CZ"/>
        </w:rPr>
        <w:t xml:space="preserve">finančně </w:t>
      </w:r>
      <w:r w:rsidRPr="00BE6868">
        <w:rPr>
          <w:rFonts w:ascii="Calibri" w:hAnsi="Calibri"/>
          <w:lang w:val="cs-CZ"/>
        </w:rPr>
        <w:t>plánovat</w:t>
      </w:r>
      <w:r>
        <w:rPr>
          <w:rFonts w:ascii="Calibri" w:hAnsi="Calibri"/>
          <w:lang w:val="cs-CZ"/>
        </w:rPr>
        <w:t xml:space="preserve">, uvádí </w:t>
      </w:r>
      <w:r w:rsidRPr="00331D6F">
        <w:rPr>
          <w:rFonts w:ascii="Calibri" w:hAnsi="Calibri"/>
          <w:lang w:val="cs-CZ"/>
        </w:rPr>
        <w:t>tabulka</w:t>
      </w:r>
      <w:r>
        <w:rPr>
          <w:rFonts w:ascii="Calibri" w:hAnsi="Calibri"/>
          <w:lang w:val="cs-CZ"/>
        </w:rPr>
        <w:t xml:space="preserve">. Jde o </w:t>
      </w:r>
      <w:r w:rsidRPr="00BE6868">
        <w:rPr>
          <w:rFonts w:ascii="Calibri" w:hAnsi="Calibri"/>
          <w:b/>
          <w:lang w:val="cs-CZ"/>
        </w:rPr>
        <w:t>z</w:t>
      </w:r>
      <w:r w:rsidRPr="00331D6F">
        <w:rPr>
          <w:rFonts w:ascii="Calibri" w:hAnsi="Calibri"/>
          <w:b/>
          <w:lang w:val="cs-CZ"/>
        </w:rPr>
        <w:t xml:space="preserve">ákladní pojmy </w:t>
      </w:r>
      <w:r w:rsidR="00C14739">
        <w:rPr>
          <w:rFonts w:ascii="Calibri" w:hAnsi="Calibri"/>
          <w:b/>
          <w:lang w:val="cs-CZ"/>
        </w:rPr>
        <w:t xml:space="preserve">(indikátory) </w:t>
      </w:r>
      <w:r w:rsidRPr="00331D6F">
        <w:rPr>
          <w:rFonts w:ascii="Calibri" w:hAnsi="Calibri"/>
          <w:b/>
          <w:lang w:val="cs-CZ"/>
        </w:rPr>
        <w:t>ve vztahu k rozpočtu</w:t>
      </w:r>
      <w:r w:rsidRPr="00331D6F">
        <w:rPr>
          <w:rFonts w:ascii="Calibri" w:hAnsi="Calibri"/>
          <w:lang w:val="cs-CZ"/>
        </w:rPr>
        <w:t>.</w:t>
      </w:r>
    </w:p>
    <w:p w14:paraId="6A8DA460" w14:textId="206A3C48" w:rsidR="00B65A0D" w:rsidRPr="005C2307" w:rsidRDefault="00B65A0D" w:rsidP="00B65A0D">
      <w:pPr>
        <w:pStyle w:val="A1-text"/>
        <w:spacing w:after="0"/>
        <w:rPr>
          <w:rFonts w:ascii="Calibri" w:hAnsi="Calibri"/>
          <w:i/>
          <w:lang w:val="cs-CZ"/>
        </w:rPr>
      </w:pPr>
      <w:r w:rsidRPr="00C14739">
        <w:rPr>
          <w:rFonts w:ascii="Calibri" w:hAnsi="Calibri"/>
          <w:i/>
          <w:lang w:val="cs-CZ"/>
        </w:rPr>
        <w:t xml:space="preserve">Tab. </w:t>
      </w:r>
      <w:r w:rsidR="00C14739" w:rsidRPr="00C14739">
        <w:rPr>
          <w:rFonts w:ascii="Calibri" w:hAnsi="Calibri"/>
          <w:i/>
          <w:lang w:val="cs-CZ"/>
        </w:rPr>
        <w:t xml:space="preserve">8 Finanční indikátory </w:t>
      </w:r>
      <w:r w:rsidRPr="00C14739">
        <w:rPr>
          <w:rFonts w:ascii="Calibri" w:hAnsi="Calibri"/>
          <w:i/>
          <w:lang w:val="cs-CZ"/>
        </w:rPr>
        <w:t>– na příkladu obce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
        <w:gridCol w:w="2471"/>
        <w:gridCol w:w="6218"/>
      </w:tblGrid>
      <w:tr w:rsidR="00B65A0D" w:rsidRPr="00D93608" w14:paraId="46715765" w14:textId="77777777" w:rsidTr="00C14739">
        <w:tc>
          <w:tcPr>
            <w:tcW w:w="279" w:type="dxa"/>
            <w:shd w:val="clear" w:color="auto" w:fill="F2F2F2" w:themeFill="background1" w:themeFillShade="F2"/>
          </w:tcPr>
          <w:p w14:paraId="56E7D6B5"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Č.</w:t>
            </w:r>
          </w:p>
        </w:tc>
        <w:tc>
          <w:tcPr>
            <w:tcW w:w="2491" w:type="dxa"/>
            <w:shd w:val="clear" w:color="auto" w:fill="F2F2F2" w:themeFill="background1" w:themeFillShade="F2"/>
            <w:vAlign w:val="center"/>
          </w:tcPr>
          <w:p w14:paraId="1724C3CF"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lang w:val="cs-CZ"/>
              </w:rPr>
              <w:t>Pojem</w:t>
            </w:r>
          </w:p>
        </w:tc>
        <w:tc>
          <w:tcPr>
            <w:tcW w:w="6292" w:type="dxa"/>
            <w:shd w:val="clear" w:color="auto" w:fill="F2F2F2" w:themeFill="background1" w:themeFillShade="F2"/>
            <w:vAlign w:val="center"/>
          </w:tcPr>
          <w:p w14:paraId="78789ECF"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lang w:val="cs-CZ"/>
              </w:rPr>
              <w:t>Vysvětlení pojmu</w:t>
            </w:r>
          </w:p>
        </w:tc>
      </w:tr>
      <w:tr w:rsidR="00B65A0D" w:rsidRPr="00D93608" w14:paraId="23C2CF45" w14:textId="77777777" w:rsidTr="00C14739">
        <w:tc>
          <w:tcPr>
            <w:tcW w:w="279" w:type="dxa"/>
            <w:shd w:val="clear" w:color="auto" w:fill="F2F2F2" w:themeFill="background1" w:themeFillShade="F2"/>
            <w:vAlign w:val="center"/>
          </w:tcPr>
          <w:p w14:paraId="0532A2A0"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1</w:t>
            </w:r>
          </w:p>
        </w:tc>
        <w:tc>
          <w:tcPr>
            <w:tcW w:w="2491" w:type="dxa"/>
            <w:shd w:val="clear" w:color="auto" w:fill="auto"/>
            <w:vAlign w:val="center"/>
          </w:tcPr>
          <w:p w14:paraId="02957AF1"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Běžné příjmy</w:t>
            </w:r>
          </w:p>
        </w:tc>
        <w:tc>
          <w:tcPr>
            <w:tcW w:w="6292" w:type="dxa"/>
            <w:shd w:val="clear" w:color="auto" w:fill="auto"/>
            <w:vAlign w:val="center"/>
          </w:tcPr>
          <w:p w14:paraId="3B9A2679"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Daňové příjmy, nedaňové příjmy a provozní dotace (transfery).</w:t>
            </w:r>
          </w:p>
        </w:tc>
      </w:tr>
      <w:tr w:rsidR="00B65A0D" w:rsidRPr="00D93608" w14:paraId="496DBA6E" w14:textId="77777777" w:rsidTr="00C14739">
        <w:tc>
          <w:tcPr>
            <w:tcW w:w="279" w:type="dxa"/>
            <w:shd w:val="clear" w:color="auto" w:fill="F2F2F2" w:themeFill="background1" w:themeFillShade="F2"/>
            <w:vAlign w:val="center"/>
          </w:tcPr>
          <w:p w14:paraId="03965659"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2</w:t>
            </w:r>
          </w:p>
        </w:tc>
        <w:tc>
          <w:tcPr>
            <w:tcW w:w="2491" w:type="dxa"/>
            <w:shd w:val="clear" w:color="auto" w:fill="auto"/>
            <w:vAlign w:val="center"/>
          </w:tcPr>
          <w:p w14:paraId="397B445D"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Kapitálové příjmy</w:t>
            </w:r>
          </w:p>
        </w:tc>
        <w:tc>
          <w:tcPr>
            <w:tcW w:w="6292" w:type="dxa"/>
            <w:shd w:val="clear" w:color="auto" w:fill="auto"/>
            <w:vAlign w:val="center"/>
          </w:tcPr>
          <w:p w14:paraId="48FA67D2"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Prodej pozemků, ostatních nemovitostí, akcií a majetkových práv.</w:t>
            </w:r>
          </w:p>
        </w:tc>
      </w:tr>
      <w:tr w:rsidR="00B65A0D" w:rsidRPr="00D93608" w14:paraId="1805B45C" w14:textId="77777777" w:rsidTr="00C14739">
        <w:trPr>
          <w:trHeight w:val="58"/>
        </w:trPr>
        <w:tc>
          <w:tcPr>
            <w:tcW w:w="279" w:type="dxa"/>
            <w:shd w:val="clear" w:color="auto" w:fill="F2F2F2" w:themeFill="background1" w:themeFillShade="F2"/>
            <w:vAlign w:val="center"/>
          </w:tcPr>
          <w:p w14:paraId="1195F152"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3</w:t>
            </w:r>
          </w:p>
        </w:tc>
        <w:tc>
          <w:tcPr>
            <w:tcW w:w="2491" w:type="dxa"/>
            <w:shd w:val="clear" w:color="auto" w:fill="auto"/>
            <w:vAlign w:val="center"/>
          </w:tcPr>
          <w:p w14:paraId="405784B8"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Kapitálové příjmy celkem</w:t>
            </w:r>
          </w:p>
        </w:tc>
        <w:tc>
          <w:tcPr>
            <w:tcW w:w="6292" w:type="dxa"/>
            <w:shd w:val="clear" w:color="auto" w:fill="auto"/>
            <w:vAlign w:val="center"/>
          </w:tcPr>
          <w:p w14:paraId="788B6DF1"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Obsahují kapitálové příjmy a investiční dotace (transfery).</w:t>
            </w:r>
          </w:p>
        </w:tc>
      </w:tr>
      <w:tr w:rsidR="00B65A0D" w:rsidRPr="00D93608" w14:paraId="09578DAA" w14:textId="77777777" w:rsidTr="00C14739">
        <w:tc>
          <w:tcPr>
            <w:tcW w:w="279" w:type="dxa"/>
            <w:shd w:val="clear" w:color="auto" w:fill="F2F2F2" w:themeFill="background1" w:themeFillShade="F2"/>
            <w:vAlign w:val="center"/>
          </w:tcPr>
          <w:p w14:paraId="2DE4E000"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4</w:t>
            </w:r>
          </w:p>
        </w:tc>
        <w:tc>
          <w:tcPr>
            <w:tcW w:w="2491" w:type="dxa"/>
            <w:shd w:val="clear" w:color="auto" w:fill="auto"/>
            <w:vAlign w:val="center"/>
          </w:tcPr>
          <w:p w14:paraId="40722AC7"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Provozní přebytek (saldo provozního rozpočtu)</w:t>
            </w:r>
          </w:p>
        </w:tc>
        <w:tc>
          <w:tcPr>
            <w:tcW w:w="6292" w:type="dxa"/>
            <w:shd w:val="clear" w:color="auto" w:fill="auto"/>
            <w:vAlign w:val="center"/>
          </w:tcPr>
          <w:p w14:paraId="76DFF8C5"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Rozdíl běžných příjmů a běžných výdajů. Výše provozního přebytku by měla vždy nabývat kladných hodnot a neměla by v čase klesat.</w:t>
            </w:r>
          </w:p>
        </w:tc>
      </w:tr>
      <w:tr w:rsidR="00B65A0D" w:rsidRPr="00D93608" w14:paraId="03673EF1" w14:textId="77777777" w:rsidTr="00C14739">
        <w:tc>
          <w:tcPr>
            <w:tcW w:w="279" w:type="dxa"/>
            <w:shd w:val="clear" w:color="auto" w:fill="F2F2F2" w:themeFill="background1" w:themeFillShade="F2"/>
            <w:vAlign w:val="center"/>
          </w:tcPr>
          <w:p w14:paraId="7EE25C0A"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5</w:t>
            </w:r>
          </w:p>
        </w:tc>
        <w:tc>
          <w:tcPr>
            <w:tcW w:w="2491" w:type="dxa"/>
            <w:shd w:val="clear" w:color="auto" w:fill="auto"/>
            <w:vAlign w:val="center"/>
          </w:tcPr>
          <w:p w14:paraId="4CF1EF0E"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Rozdíl provozního přebytku a splátek jistin</w:t>
            </w:r>
          </w:p>
        </w:tc>
        <w:tc>
          <w:tcPr>
            <w:tcW w:w="6292" w:type="dxa"/>
            <w:shd w:val="clear" w:color="auto" w:fill="auto"/>
            <w:vAlign w:val="center"/>
          </w:tcPr>
          <w:p w14:paraId="786CDD00"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Rozdíl provozního salda a splátek krátkodobých i dlouhodobých úvěrů. Také výše tohoto ukazatele by měla být vždy kladná.</w:t>
            </w:r>
          </w:p>
        </w:tc>
      </w:tr>
      <w:tr w:rsidR="00B65A0D" w:rsidRPr="00D93608" w14:paraId="11205D02" w14:textId="77777777" w:rsidTr="00C14739">
        <w:tc>
          <w:tcPr>
            <w:tcW w:w="279" w:type="dxa"/>
            <w:shd w:val="clear" w:color="auto" w:fill="F2F2F2" w:themeFill="background1" w:themeFillShade="F2"/>
            <w:vAlign w:val="center"/>
          </w:tcPr>
          <w:p w14:paraId="2AE6536E"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6</w:t>
            </w:r>
          </w:p>
        </w:tc>
        <w:tc>
          <w:tcPr>
            <w:tcW w:w="2491" w:type="dxa"/>
            <w:shd w:val="clear" w:color="auto" w:fill="auto"/>
            <w:vAlign w:val="center"/>
          </w:tcPr>
          <w:p w14:paraId="611B7F6C"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Saldo bez financování</w:t>
            </w:r>
          </w:p>
        </w:tc>
        <w:tc>
          <w:tcPr>
            <w:tcW w:w="6292" w:type="dxa"/>
            <w:shd w:val="clear" w:color="auto" w:fill="auto"/>
            <w:vAlign w:val="center"/>
          </w:tcPr>
          <w:p w14:paraId="76F4319D"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Rozdíl celkových příjmů a výdajů.</w:t>
            </w:r>
          </w:p>
        </w:tc>
      </w:tr>
      <w:tr w:rsidR="00B65A0D" w:rsidRPr="00D93608" w14:paraId="03400DAD" w14:textId="77777777" w:rsidTr="00C14739">
        <w:tc>
          <w:tcPr>
            <w:tcW w:w="279" w:type="dxa"/>
            <w:shd w:val="clear" w:color="auto" w:fill="F2F2F2" w:themeFill="background1" w:themeFillShade="F2"/>
            <w:vAlign w:val="center"/>
          </w:tcPr>
          <w:p w14:paraId="219CCAB4"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7</w:t>
            </w:r>
          </w:p>
        </w:tc>
        <w:tc>
          <w:tcPr>
            <w:tcW w:w="2491" w:type="dxa"/>
            <w:shd w:val="clear" w:color="auto" w:fill="auto"/>
            <w:vAlign w:val="center"/>
          </w:tcPr>
          <w:p w14:paraId="17191EFB" w14:textId="77777777" w:rsidR="00B65A0D" w:rsidRPr="00D93608" w:rsidRDefault="00B65A0D" w:rsidP="00C14739">
            <w:pPr>
              <w:pStyle w:val="A1-text"/>
              <w:spacing w:after="0" w:line="240" w:lineRule="auto"/>
              <w:ind w:left="-57" w:right="-57"/>
              <w:jc w:val="left"/>
              <w:rPr>
                <w:rFonts w:ascii="Calibri" w:hAnsi="Calibri"/>
                <w:sz w:val="22"/>
                <w:szCs w:val="22"/>
                <w:lang w:val="cs-CZ"/>
              </w:rPr>
            </w:pPr>
            <w:r w:rsidRPr="00D93608">
              <w:rPr>
                <w:rFonts w:ascii="Calibri" w:hAnsi="Calibri"/>
                <w:sz w:val="22"/>
                <w:szCs w:val="22"/>
              </w:rPr>
              <w:t>Saldo úplné (saldo rozpočtu)</w:t>
            </w:r>
          </w:p>
        </w:tc>
        <w:tc>
          <w:tcPr>
            <w:tcW w:w="6292" w:type="dxa"/>
            <w:shd w:val="clear" w:color="auto" w:fill="auto"/>
            <w:vAlign w:val="center"/>
          </w:tcPr>
          <w:p w14:paraId="39C63084"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Celkové příjmy a přijaté úvěry minus celkové výdaje a uhrazené splátky úvěru</w:t>
            </w:r>
          </w:p>
        </w:tc>
      </w:tr>
      <w:tr w:rsidR="00B65A0D" w:rsidRPr="00D93608" w14:paraId="4C8FB56E" w14:textId="77777777" w:rsidTr="00C14739">
        <w:tc>
          <w:tcPr>
            <w:tcW w:w="279" w:type="dxa"/>
            <w:shd w:val="clear" w:color="auto" w:fill="F2F2F2" w:themeFill="background1" w:themeFillShade="F2"/>
            <w:vAlign w:val="center"/>
          </w:tcPr>
          <w:p w14:paraId="4B595188"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8</w:t>
            </w:r>
          </w:p>
        </w:tc>
        <w:tc>
          <w:tcPr>
            <w:tcW w:w="2491" w:type="dxa"/>
            <w:shd w:val="clear" w:color="auto" w:fill="auto"/>
            <w:vAlign w:val="center"/>
          </w:tcPr>
          <w:p w14:paraId="3C99A447" w14:textId="77777777" w:rsidR="00B65A0D" w:rsidRPr="00D93608" w:rsidRDefault="00B65A0D" w:rsidP="00C14739">
            <w:pPr>
              <w:pStyle w:val="A1-text"/>
              <w:spacing w:after="0" w:line="240" w:lineRule="auto"/>
              <w:ind w:left="-57" w:right="-57"/>
              <w:jc w:val="left"/>
              <w:rPr>
                <w:rFonts w:ascii="Calibri" w:hAnsi="Calibri"/>
                <w:sz w:val="22"/>
                <w:szCs w:val="22"/>
              </w:rPr>
            </w:pPr>
            <w:r w:rsidRPr="00D93608">
              <w:rPr>
                <w:rFonts w:ascii="Calibri" w:hAnsi="Calibri"/>
                <w:sz w:val="22"/>
                <w:szCs w:val="22"/>
              </w:rPr>
              <w:t>Dluhová základna</w:t>
            </w:r>
          </w:p>
        </w:tc>
        <w:tc>
          <w:tcPr>
            <w:tcW w:w="6292" w:type="dxa"/>
            <w:shd w:val="clear" w:color="auto" w:fill="auto"/>
            <w:vAlign w:val="center"/>
          </w:tcPr>
          <w:p w14:paraId="6D40086A"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Celkové příjmy po konsolidaci.</w:t>
            </w:r>
          </w:p>
        </w:tc>
      </w:tr>
      <w:tr w:rsidR="00B65A0D" w:rsidRPr="00D93608" w14:paraId="66E56AB1" w14:textId="77777777" w:rsidTr="00C14739">
        <w:tc>
          <w:tcPr>
            <w:tcW w:w="279" w:type="dxa"/>
            <w:shd w:val="clear" w:color="auto" w:fill="F2F2F2" w:themeFill="background1" w:themeFillShade="F2"/>
            <w:vAlign w:val="center"/>
          </w:tcPr>
          <w:p w14:paraId="40301E98"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9</w:t>
            </w:r>
          </w:p>
        </w:tc>
        <w:tc>
          <w:tcPr>
            <w:tcW w:w="2491" w:type="dxa"/>
            <w:shd w:val="clear" w:color="auto" w:fill="auto"/>
            <w:vAlign w:val="center"/>
          </w:tcPr>
          <w:p w14:paraId="11127AB3" w14:textId="77777777" w:rsidR="00B65A0D" w:rsidRPr="00D93608" w:rsidRDefault="00B65A0D" w:rsidP="00C14739">
            <w:pPr>
              <w:pStyle w:val="A1-text"/>
              <w:spacing w:after="0" w:line="240" w:lineRule="auto"/>
              <w:ind w:left="-57" w:right="-57"/>
              <w:jc w:val="left"/>
              <w:rPr>
                <w:rFonts w:ascii="Calibri" w:hAnsi="Calibri"/>
                <w:sz w:val="22"/>
                <w:szCs w:val="22"/>
              </w:rPr>
            </w:pPr>
            <w:r w:rsidRPr="00D93608">
              <w:rPr>
                <w:rFonts w:ascii="Calibri" w:hAnsi="Calibri"/>
                <w:sz w:val="22"/>
                <w:szCs w:val="22"/>
              </w:rPr>
              <w:t>Dluhová služba</w:t>
            </w:r>
          </w:p>
        </w:tc>
        <w:tc>
          <w:tcPr>
            <w:tcW w:w="6292" w:type="dxa"/>
            <w:shd w:val="clear" w:color="auto" w:fill="auto"/>
            <w:vAlign w:val="center"/>
          </w:tcPr>
          <w:p w14:paraId="0CF9D177"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Součet splátek úroků a splátek jistin.</w:t>
            </w:r>
          </w:p>
        </w:tc>
      </w:tr>
      <w:tr w:rsidR="00B65A0D" w:rsidRPr="00D93608" w14:paraId="2EC98F3A" w14:textId="77777777" w:rsidTr="00C14739">
        <w:tc>
          <w:tcPr>
            <w:tcW w:w="279" w:type="dxa"/>
            <w:shd w:val="clear" w:color="auto" w:fill="F2F2F2" w:themeFill="background1" w:themeFillShade="F2"/>
            <w:vAlign w:val="center"/>
          </w:tcPr>
          <w:p w14:paraId="0A3AE571"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10</w:t>
            </w:r>
          </w:p>
        </w:tc>
        <w:tc>
          <w:tcPr>
            <w:tcW w:w="2491" w:type="dxa"/>
            <w:shd w:val="clear" w:color="auto" w:fill="auto"/>
            <w:vAlign w:val="center"/>
          </w:tcPr>
          <w:p w14:paraId="1080CB10" w14:textId="77777777" w:rsidR="00B65A0D" w:rsidRPr="00D93608" w:rsidRDefault="00B65A0D" w:rsidP="00C14739">
            <w:pPr>
              <w:pStyle w:val="A1-text"/>
              <w:spacing w:after="0" w:line="240" w:lineRule="auto"/>
              <w:ind w:left="-57" w:right="-57"/>
              <w:jc w:val="left"/>
              <w:rPr>
                <w:rFonts w:ascii="Calibri" w:hAnsi="Calibri"/>
                <w:sz w:val="22"/>
                <w:szCs w:val="22"/>
              </w:rPr>
            </w:pPr>
            <w:r w:rsidRPr="00D93608">
              <w:rPr>
                <w:rFonts w:ascii="Calibri" w:hAnsi="Calibri"/>
                <w:sz w:val="22"/>
                <w:szCs w:val="22"/>
              </w:rPr>
              <w:t>Ukazatel dluhové služby</w:t>
            </w:r>
          </w:p>
        </w:tc>
        <w:tc>
          <w:tcPr>
            <w:tcW w:w="6292" w:type="dxa"/>
            <w:shd w:val="clear" w:color="auto" w:fill="auto"/>
            <w:vAlign w:val="center"/>
          </w:tcPr>
          <w:p w14:paraId="37FAE254"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Podíl dluhové služby a dluhové základny. Jeho hodnota by neměla přesáhnout 25 %.</w:t>
            </w:r>
          </w:p>
        </w:tc>
      </w:tr>
      <w:tr w:rsidR="00B65A0D" w:rsidRPr="00D93608" w14:paraId="193F8EFA" w14:textId="77777777" w:rsidTr="00C14739">
        <w:tc>
          <w:tcPr>
            <w:tcW w:w="279" w:type="dxa"/>
            <w:shd w:val="clear" w:color="auto" w:fill="F2F2F2" w:themeFill="background1" w:themeFillShade="F2"/>
            <w:vAlign w:val="center"/>
          </w:tcPr>
          <w:p w14:paraId="05886E54" w14:textId="77777777" w:rsidR="00B65A0D" w:rsidRPr="00D93608" w:rsidRDefault="00B65A0D" w:rsidP="00C14739">
            <w:pPr>
              <w:pStyle w:val="A1-text"/>
              <w:spacing w:after="0" w:line="240" w:lineRule="auto"/>
              <w:ind w:left="-113" w:right="-57"/>
              <w:jc w:val="center"/>
              <w:rPr>
                <w:rFonts w:ascii="Calibri" w:hAnsi="Calibri"/>
                <w:sz w:val="22"/>
                <w:szCs w:val="22"/>
                <w:lang w:val="cs-CZ"/>
              </w:rPr>
            </w:pPr>
            <w:r w:rsidRPr="00D93608">
              <w:rPr>
                <w:rFonts w:ascii="Calibri" w:hAnsi="Calibri"/>
                <w:sz w:val="22"/>
                <w:szCs w:val="22"/>
                <w:lang w:val="cs-CZ"/>
              </w:rPr>
              <w:t>11</w:t>
            </w:r>
          </w:p>
        </w:tc>
        <w:tc>
          <w:tcPr>
            <w:tcW w:w="2491" w:type="dxa"/>
            <w:shd w:val="clear" w:color="auto" w:fill="auto"/>
            <w:vAlign w:val="center"/>
          </w:tcPr>
          <w:p w14:paraId="5DFD4037" w14:textId="77777777" w:rsidR="00B65A0D" w:rsidRPr="00D93608" w:rsidRDefault="00B65A0D" w:rsidP="00C14739">
            <w:pPr>
              <w:pStyle w:val="A1-text"/>
              <w:spacing w:after="0" w:line="240" w:lineRule="auto"/>
              <w:ind w:left="-57" w:right="-57"/>
              <w:jc w:val="left"/>
              <w:rPr>
                <w:rFonts w:ascii="Calibri" w:hAnsi="Calibri"/>
                <w:sz w:val="22"/>
                <w:szCs w:val="22"/>
              </w:rPr>
            </w:pPr>
            <w:r w:rsidRPr="00D93608">
              <w:rPr>
                <w:rFonts w:ascii="Calibri" w:hAnsi="Calibri"/>
                <w:sz w:val="22"/>
                <w:szCs w:val="22"/>
              </w:rPr>
              <w:t>Index provozních úspor</w:t>
            </w:r>
          </w:p>
        </w:tc>
        <w:tc>
          <w:tcPr>
            <w:tcW w:w="6292" w:type="dxa"/>
            <w:shd w:val="clear" w:color="auto" w:fill="auto"/>
            <w:vAlign w:val="center"/>
          </w:tcPr>
          <w:p w14:paraId="5795648E" w14:textId="77777777" w:rsidR="00B65A0D" w:rsidRPr="00D93608" w:rsidRDefault="00B65A0D" w:rsidP="00C14739">
            <w:pPr>
              <w:pStyle w:val="Odstavecseseznamem"/>
              <w:spacing w:line="240" w:lineRule="auto"/>
              <w:ind w:left="-57" w:right="-57"/>
              <w:contextualSpacing/>
              <w:rPr>
                <w:rFonts w:ascii="Calibri" w:hAnsi="Calibri"/>
                <w:sz w:val="22"/>
                <w:szCs w:val="22"/>
              </w:rPr>
            </w:pPr>
            <w:r w:rsidRPr="00D93608">
              <w:rPr>
                <w:rFonts w:ascii="Calibri" w:hAnsi="Calibri"/>
                <w:sz w:val="22"/>
                <w:szCs w:val="22"/>
              </w:rPr>
              <w:t>Podíl provozního přebytku a běžných příjmů. Výše tohoto ukazatele by neměla klesnout pod 10 %. Ideální hodnota se nachází v intervalu 20 – 25 %.</w:t>
            </w:r>
          </w:p>
        </w:tc>
      </w:tr>
    </w:tbl>
    <w:p w14:paraId="365CDC2C" w14:textId="77777777" w:rsidR="00B65A0D" w:rsidRPr="005C2307" w:rsidRDefault="00B65A0D" w:rsidP="00B65A0D">
      <w:pPr>
        <w:pStyle w:val="A1-text"/>
        <w:spacing w:after="120"/>
        <w:rPr>
          <w:rFonts w:ascii="Calibri" w:hAnsi="Calibri"/>
          <w:i/>
          <w:lang w:val="cs-CZ"/>
        </w:rPr>
      </w:pPr>
      <w:r w:rsidRPr="005C2307">
        <w:rPr>
          <w:rFonts w:ascii="Calibri" w:hAnsi="Calibri"/>
          <w:i/>
          <w:lang w:val="cs-CZ"/>
        </w:rPr>
        <w:t>Zdroj: auto</w:t>
      </w:r>
      <w:r>
        <w:rPr>
          <w:rFonts w:ascii="Calibri" w:hAnsi="Calibri"/>
          <w:i/>
          <w:lang w:val="cs-CZ"/>
        </w:rPr>
        <w:t>ři</w:t>
      </w:r>
      <w:r w:rsidRPr="005C2307">
        <w:rPr>
          <w:rFonts w:ascii="Calibri" w:hAnsi="Calibri"/>
          <w:i/>
          <w:lang w:val="cs-CZ"/>
        </w:rPr>
        <w:t xml:space="preserve"> s využitím Rozpočtového </w:t>
      </w:r>
      <w:r w:rsidRPr="005C2307">
        <w:rPr>
          <w:rFonts w:ascii="Calibri" w:hAnsi="Calibri"/>
          <w:i/>
        </w:rPr>
        <w:t>výhled</w:t>
      </w:r>
      <w:r w:rsidRPr="005C2307">
        <w:rPr>
          <w:rFonts w:ascii="Calibri" w:hAnsi="Calibri"/>
          <w:i/>
          <w:lang w:val="cs-CZ"/>
        </w:rPr>
        <w:t>u města Znojma na roky 2015-2019</w:t>
      </w:r>
    </w:p>
    <w:p w14:paraId="39CE9D87" w14:textId="5554DFA7" w:rsidR="00CC7234" w:rsidRDefault="00CC7234" w:rsidP="00CC7234">
      <w:pPr>
        <w:jc w:val="both"/>
        <w:rPr>
          <w:rFonts w:asciiTheme="minorHAnsi" w:hAnsiTheme="minorHAnsi" w:cstheme="minorHAnsi"/>
        </w:rPr>
      </w:pPr>
    </w:p>
    <w:p w14:paraId="12DD17D3" w14:textId="4A47BB91" w:rsidR="008B40EA" w:rsidRDefault="008B40EA" w:rsidP="008B40EA">
      <w:pPr>
        <w:pStyle w:val="Nadpis2"/>
        <w:spacing w:before="240" w:after="120"/>
        <w:ind w:left="578" w:hanging="578"/>
        <w:rPr>
          <w:rFonts w:asciiTheme="minorHAnsi" w:hAnsiTheme="minorHAnsi" w:cstheme="minorHAnsi"/>
          <w:color w:val="7493B0"/>
          <w:sz w:val="24"/>
          <w:szCs w:val="24"/>
          <w:lang w:val="cs-CZ"/>
        </w:rPr>
      </w:pPr>
      <w:bookmarkStart w:id="23" w:name="_Toc117269993"/>
      <w:r>
        <w:rPr>
          <w:rFonts w:asciiTheme="minorHAnsi" w:hAnsiTheme="minorHAnsi" w:cstheme="minorHAnsi"/>
          <w:color w:val="7493B0"/>
          <w:sz w:val="24"/>
          <w:szCs w:val="24"/>
          <w:lang w:val="cs-CZ"/>
        </w:rPr>
        <w:t xml:space="preserve">Kde získat </w:t>
      </w:r>
      <w:r w:rsidR="009312E8">
        <w:rPr>
          <w:rFonts w:asciiTheme="minorHAnsi" w:hAnsiTheme="minorHAnsi" w:cstheme="minorHAnsi"/>
          <w:color w:val="7493B0"/>
          <w:sz w:val="24"/>
          <w:szCs w:val="24"/>
          <w:lang w:val="cs-CZ"/>
        </w:rPr>
        <w:t xml:space="preserve">informace a </w:t>
      </w:r>
      <w:r w:rsidRPr="00F85B23">
        <w:rPr>
          <w:rFonts w:asciiTheme="minorHAnsi" w:hAnsiTheme="minorHAnsi" w:cstheme="minorHAnsi"/>
          <w:color w:val="7493B0"/>
          <w:sz w:val="24"/>
          <w:szCs w:val="24"/>
          <w:lang w:val="cs-CZ"/>
        </w:rPr>
        <w:t xml:space="preserve">data </w:t>
      </w:r>
      <w:r w:rsidR="00DE3032">
        <w:rPr>
          <w:rFonts w:asciiTheme="minorHAnsi" w:hAnsiTheme="minorHAnsi" w:cstheme="minorHAnsi"/>
          <w:color w:val="7493B0"/>
          <w:sz w:val="24"/>
          <w:szCs w:val="24"/>
          <w:lang w:val="cs-CZ"/>
        </w:rPr>
        <w:t>pro přípravu rozpočtu</w:t>
      </w:r>
      <w:r w:rsidR="00AF03B8">
        <w:rPr>
          <w:rFonts w:asciiTheme="minorHAnsi" w:hAnsiTheme="minorHAnsi" w:cstheme="minorHAnsi"/>
          <w:color w:val="7493B0"/>
          <w:sz w:val="24"/>
          <w:szCs w:val="24"/>
          <w:lang w:val="cs-CZ"/>
        </w:rPr>
        <w:t xml:space="preserve"> nebo finanční analýzy</w:t>
      </w:r>
      <w:bookmarkEnd w:id="23"/>
    </w:p>
    <w:p w14:paraId="58195397" w14:textId="2ED07CFF" w:rsidR="0099055A" w:rsidRDefault="0099055A" w:rsidP="00F21077">
      <w:pPr>
        <w:jc w:val="both"/>
        <w:rPr>
          <w:rFonts w:ascii="Calibri" w:hAnsi="Calibri"/>
        </w:rPr>
      </w:pPr>
      <w:r>
        <w:rPr>
          <w:rFonts w:ascii="Calibri" w:hAnsi="Calibri"/>
        </w:rPr>
        <w:t xml:space="preserve">Problematika získávání informací a dat </w:t>
      </w:r>
      <w:r w:rsidR="002578CE">
        <w:rPr>
          <w:rFonts w:ascii="Calibri" w:hAnsi="Calibri"/>
        </w:rPr>
        <w:t xml:space="preserve">včetně vhodných metod při strategické práci </w:t>
      </w:r>
      <w:r>
        <w:rPr>
          <w:rFonts w:ascii="Calibri" w:hAnsi="Calibri"/>
        </w:rPr>
        <w:t xml:space="preserve">je </w:t>
      </w:r>
      <w:r w:rsidRPr="007D7EAD">
        <w:rPr>
          <w:rFonts w:ascii="Calibri" w:hAnsi="Calibri"/>
          <w:b/>
        </w:rPr>
        <w:t>popsána v samostatném nástroji</w:t>
      </w:r>
      <w:r>
        <w:rPr>
          <w:rFonts w:ascii="Calibri" w:hAnsi="Calibri"/>
        </w:rPr>
        <w:t xml:space="preserve">, který je dostupný </w:t>
      </w:r>
      <w:r w:rsidR="001B4BBD">
        <w:rPr>
          <w:rFonts w:ascii="Calibri" w:hAnsi="Calibri"/>
        </w:rPr>
        <w:t xml:space="preserve">na </w:t>
      </w:r>
      <w:r w:rsidR="00BD7F26">
        <w:rPr>
          <w:rFonts w:ascii="Calibri" w:hAnsi="Calibri"/>
        </w:rPr>
        <w:t>„P</w:t>
      </w:r>
      <w:r w:rsidR="001B4BBD">
        <w:rPr>
          <w:rFonts w:ascii="Calibri" w:hAnsi="Calibri"/>
        </w:rPr>
        <w:t>ortálu strategické práce v</w:t>
      </w:r>
      <w:r w:rsidR="00BD7F26">
        <w:rPr>
          <w:rFonts w:ascii="Calibri" w:hAnsi="Calibri"/>
        </w:rPr>
        <w:t> </w:t>
      </w:r>
      <w:r w:rsidR="001B4BBD">
        <w:rPr>
          <w:rFonts w:ascii="Calibri" w:hAnsi="Calibri"/>
        </w:rPr>
        <w:t>ČR</w:t>
      </w:r>
      <w:r w:rsidR="00BD7F26">
        <w:rPr>
          <w:rFonts w:ascii="Calibri" w:hAnsi="Calibri"/>
        </w:rPr>
        <w:t>“</w:t>
      </w:r>
      <w:r w:rsidR="00631EAE">
        <w:rPr>
          <w:rStyle w:val="Znakapoznpodarou"/>
          <w:rFonts w:ascii="Calibri" w:hAnsi="Calibri"/>
        </w:rPr>
        <w:footnoteReference w:id="31"/>
      </w:r>
      <w:r>
        <w:rPr>
          <w:rFonts w:ascii="Calibri" w:hAnsi="Calibri"/>
        </w:rPr>
        <w:t>.</w:t>
      </w:r>
    </w:p>
    <w:p w14:paraId="0006CDE3" w14:textId="54C29A9C" w:rsidR="00777A28" w:rsidRDefault="00777A28" w:rsidP="00F21077">
      <w:pPr>
        <w:jc w:val="both"/>
        <w:rPr>
          <w:rFonts w:ascii="Calibri" w:hAnsi="Calibri"/>
        </w:rPr>
      </w:pPr>
      <w:r>
        <w:rPr>
          <w:rFonts w:ascii="Calibri" w:hAnsi="Calibri"/>
        </w:rPr>
        <w:t>Pro strategickou práci platí, že k</w:t>
      </w:r>
      <w:r w:rsidR="00A92983">
        <w:rPr>
          <w:rFonts w:ascii="Calibri" w:hAnsi="Calibri"/>
        </w:rPr>
        <w:t xml:space="preserve">líčovým </w:t>
      </w:r>
      <w:r w:rsidR="00A92983" w:rsidRPr="000A1555">
        <w:rPr>
          <w:rFonts w:ascii="Calibri" w:hAnsi="Calibri"/>
          <w:b/>
        </w:rPr>
        <w:t xml:space="preserve">zdrojem </w:t>
      </w:r>
      <w:r w:rsidRPr="000A1555">
        <w:rPr>
          <w:rFonts w:ascii="Calibri" w:hAnsi="Calibri"/>
          <w:b/>
        </w:rPr>
        <w:t xml:space="preserve">finančních </w:t>
      </w:r>
      <w:r w:rsidR="00A92983" w:rsidRPr="000A1555">
        <w:rPr>
          <w:rFonts w:ascii="Calibri" w:hAnsi="Calibri"/>
          <w:b/>
        </w:rPr>
        <w:t xml:space="preserve">dat </w:t>
      </w:r>
      <w:r w:rsidR="00EB3F15" w:rsidRPr="000A1555">
        <w:rPr>
          <w:rFonts w:ascii="Calibri" w:hAnsi="Calibri"/>
          <w:b/>
        </w:rPr>
        <w:t>nebo informací</w:t>
      </w:r>
      <w:r w:rsidR="00EB3F15">
        <w:rPr>
          <w:rFonts w:ascii="Calibri" w:hAnsi="Calibri"/>
        </w:rPr>
        <w:t xml:space="preserve"> </w:t>
      </w:r>
      <w:r w:rsidR="00A92983">
        <w:rPr>
          <w:rFonts w:ascii="Calibri" w:hAnsi="Calibri"/>
        </w:rPr>
        <w:t>jsou</w:t>
      </w:r>
      <w:r>
        <w:rPr>
          <w:rFonts w:ascii="Calibri" w:hAnsi="Calibri"/>
        </w:rPr>
        <w:t>:</w:t>
      </w:r>
      <w:r w:rsidR="00A92983">
        <w:rPr>
          <w:rFonts w:ascii="Calibri" w:hAnsi="Calibri"/>
        </w:rPr>
        <w:t xml:space="preserve"> </w:t>
      </w:r>
    </w:p>
    <w:p w14:paraId="0219E66A" w14:textId="497941C6" w:rsidR="00777A28" w:rsidRPr="00777A28" w:rsidRDefault="00777A28" w:rsidP="009E0EFD">
      <w:pPr>
        <w:pStyle w:val="Odstavecseseznamem"/>
        <w:numPr>
          <w:ilvl w:val="0"/>
          <w:numId w:val="45"/>
        </w:numPr>
        <w:ind w:left="567"/>
        <w:jc w:val="both"/>
        <w:rPr>
          <w:rFonts w:ascii="Calibri" w:hAnsi="Calibri"/>
        </w:rPr>
      </w:pPr>
      <w:r>
        <w:rPr>
          <w:rFonts w:ascii="Calibri" w:hAnsi="Calibri"/>
        </w:rPr>
        <w:t>Ú</w:t>
      </w:r>
      <w:r w:rsidR="00A92983" w:rsidRPr="00777A28">
        <w:rPr>
          <w:rFonts w:ascii="Calibri" w:hAnsi="Calibri"/>
        </w:rPr>
        <w:t>četnictví dané instituce</w:t>
      </w:r>
      <w:r w:rsidR="003118F6">
        <w:rPr>
          <w:rFonts w:ascii="Calibri" w:hAnsi="Calibri"/>
        </w:rPr>
        <w:t xml:space="preserve"> (kromě ze zákona povinného finančního účetnictví je vhodné, pokud jsou nastavena pravidla pro manažerské účetnictví)</w:t>
      </w:r>
      <w:r w:rsidR="00A92983" w:rsidRPr="00777A28">
        <w:rPr>
          <w:rFonts w:ascii="Calibri" w:hAnsi="Calibri"/>
        </w:rPr>
        <w:t xml:space="preserve">. </w:t>
      </w:r>
    </w:p>
    <w:p w14:paraId="63BBAE04" w14:textId="2AF6B393" w:rsidR="00777A28" w:rsidRPr="00777A28" w:rsidRDefault="00A92983" w:rsidP="009E0EFD">
      <w:pPr>
        <w:pStyle w:val="Odstavecseseznamem"/>
        <w:numPr>
          <w:ilvl w:val="0"/>
          <w:numId w:val="45"/>
        </w:numPr>
        <w:ind w:left="567"/>
        <w:jc w:val="both"/>
        <w:rPr>
          <w:rFonts w:ascii="Calibri" w:hAnsi="Calibri"/>
        </w:rPr>
      </w:pPr>
      <w:r w:rsidRPr="00777A28">
        <w:rPr>
          <w:rFonts w:ascii="Calibri" w:hAnsi="Calibri"/>
        </w:rPr>
        <w:t xml:space="preserve">Z hlediska předchozích let jsou důležitá data též v závěrečném účtu – stát, kraj, obec mají povinnost závěrečný účet (stejně jako rozpočet) zveřejnit. </w:t>
      </w:r>
    </w:p>
    <w:p w14:paraId="5C0E09E4" w14:textId="37E2E071" w:rsidR="00A92983" w:rsidRPr="00777A28" w:rsidRDefault="00375C29" w:rsidP="009E0EFD">
      <w:pPr>
        <w:pStyle w:val="Odstavecseseznamem"/>
        <w:numPr>
          <w:ilvl w:val="0"/>
          <w:numId w:val="45"/>
        </w:numPr>
        <w:ind w:left="567"/>
        <w:jc w:val="both"/>
        <w:rPr>
          <w:rFonts w:ascii="Calibri" w:hAnsi="Calibri"/>
        </w:rPr>
      </w:pPr>
      <w:r w:rsidRPr="00777A28">
        <w:rPr>
          <w:rFonts w:ascii="Calibri" w:hAnsi="Calibri"/>
        </w:rPr>
        <w:t>Veřejně dostupná data v informačních syst</w:t>
      </w:r>
      <w:r w:rsidR="003118F6">
        <w:rPr>
          <w:rFonts w:ascii="Calibri" w:hAnsi="Calibri"/>
        </w:rPr>
        <w:t>émech ministerstev</w:t>
      </w:r>
      <w:r w:rsidRPr="00777A28">
        <w:rPr>
          <w:rFonts w:ascii="Calibri" w:hAnsi="Calibri"/>
        </w:rPr>
        <w:t xml:space="preserve"> a dalších institucí.</w:t>
      </w:r>
    </w:p>
    <w:p w14:paraId="612341C6" w14:textId="79514E68" w:rsidR="00F21077" w:rsidRPr="00B30D72" w:rsidRDefault="00F21077" w:rsidP="00F21077">
      <w:pPr>
        <w:jc w:val="both"/>
        <w:rPr>
          <w:rFonts w:ascii="Calibri" w:hAnsi="Calibri"/>
        </w:rPr>
      </w:pPr>
      <w:r w:rsidRPr="00B30D72">
        <w:rPr>
          <w:rFonts w:ascii="Calibri" w:hAnsi="Calibri"/>
        </w:rPr>
        <w:t xml:space="preserve">Zdroje </w:t>
      </w:r>
      <w:r w:rsidR="00A92983">
        <w:rPr>
          <w:rFonts w:ascii="Calibri" w:hAnsi="Calibri"/>
        </w:rPr>
        <w:t xml:space="preserve">veřejně dostupných </w:t>
      </w:r>
      <w:r w:rsidR="00240FBF">
        <w:rPr>
          <w:rFonts w:ascii="Calibri" w:hAnsi="Calibri"/>
        </w:rPr>
        <w:t xml:space="preserve">informací k rozpočtování a </w:t>
      </w:r>
      <w:r w:rsidRPr="00B30D72">
        <w:rPr>
          <w:rFonts w:ascii="Calibri" w:hAnsi="Calibri"/>
        </w:rPr>
        <w:t xml:space="preserve">finančních dat můžeme rozčlenit do </w:t>
      </w:r>
      <w:r w:rsidR="00240FBF">
        <w:rPr>
          <w:rFonts w:ascii="Calibri" w:hAnsi="Calibri"/>
        </w:rPr>
        <w:t xml:space="preserve">několika </w:t>
      </w:r>
      <w:r w:rsidRPr="00B30D72">
        <w:rPr>
          <w:rFonts w:ascii="Calibri" w:hAnsi="Calibri"/>
        </w:rPr>
        <w:t>oblastí</w:t>
      </w:r>
      <w:r w:rsidR="00440741">
        <w:rPr>
          <w:rFonts w:ascii="Calibri" w:hAnsi="Calibri"/>
        </w:rPr>
        <w:t xml:space="preserve"> </w:t>
      </w:r>
      <w:r w:rsidR="00440741" w:rsidRPr="0068611A">
        <w:rPr>
          <w:rFonts w:ascii="Calibri" w:hAnsi="Calibri"/>
          <w:b/>
        </w:rPr>
        <w:t>podle původce, respektive zpracovatele dat</w:t>
      </w:r>
      <w:r w:rsidRPr="00B30D72">
        <w:rPr>
          <w:rFonts w:ascii="Calibri" w:hAnsi="Calibri"/>
        </w:rPr>
        <w:t>:</w:t>
      </w:r>
    </w:p>
    <w:p w14:paraId="209F3893" w14:textId="77777777" w:rsidR="00F21077" w:rsidRPr="001B1E2C" w:rsidRDefault="00F21077" w:rsidP="00F21077">
      <w:pPr>
        <w:jc w:val="both"/>
        <w:rPr>
          <w:rFonts w:asciiTheme="minorHAnsi" w:hAnsiTheme="minorHAnsi"/>
        </w:rPr>
      </w:pPr>
      <w:r w:rsidRPr="001B1E2C">
        <w:rPr>
          <w:rFonts w:asciiTheme="minorHAnsi" w:hAnsiTheme="minorHAnsi"/>
          <w:b/>
          <w:bCs/>
        </w:rPr>
        <w:t>1. Ministerstvo financí</w:t>
      </w:r>
    </w:p>
    <w:p w14:paraId="4225FBDA" w14:textId="05B36DCA" w:rsidR="003C5260" w:rsidRPr="00320EC4" w:rsidRDefault="00F21077" w:rsidP="0065698B">
      <w:pPr>
        <w:numPr>
          <w:ilvl w:val="0"/>
          <w:numId w:val="30"/>
        </w:numPr>
        <w:ind w:left="714" w:hanging="357"/>
        <w:jc w:val="both"/>
        <w:rPr>
          <w:rFonts w:asciiTheme="minorHAnsi" w:hAnsiTheme="minorHAnsi" w:cstheme="minorHAnsi"/>
        </w:rPr>
      </w:pPr>
      <w:r w:rsidRPr="00DE3032">
        <w:rPr>
          <w:rFonts w:asciiTheme="minorHAnsi" w:hAnsiTheme="minorHAnsi"/>
        </w:rPr>
        <w:lastRenderedPageBreak/>
        <w:t xml:space="preserve">Databáze Ministerstva financí: </w:t>
      </w:r>
      <w:r w:rsidRPr="00B82FBF">
        <w:rPr>
          <w:rFonts w:asciiTheme="minorHAnsi" w:hAnsiTheme="minorHAnsi"/>
          <w:b/>
        </w:rPr>
        <w:t>MONITOR</w:t>
      </w:r>
      <w:r w:rsidRPr="00DE3032">
        <w:rPr>
          <w:rFonts w:asciiTheme="minorHAnsi" w:hAnsiTheme="minorHAnsi"/>
        </w:rPr>
        <w:t xml:space="preserve"> (</w:t>
      </w:r>
      <w:hyperlink r:id="rId14" w:history="1">
        <w:r w:rsidR="00C447CF" w:rsidRPr="000645C2">
          <w:rPr>
            <w:rStyle w:val="Hypertextovodkaz"/>
            <w:rFonts w:asciiTheme="minorHAnsi" w:hAnsiTheme="minorHAnsi"/>
          </w:rPr>
          <w:t>http://monitor.statnipokladna.cz/</w:t>
        </w:r>
      </w:hyperlink>
      <w:r w:rsidRPr="00DE3032">
        <w:rPr>
          <w:rFonts w:asciiTheme="minorHAnsi" w:hAnsiTheme="minorHAnsi"/>
        </w:rPr>
        <w:t>); zde jsou informace o hospodaření státu, jeho organizací a všech samospráv od roku 2013 do současnosti</w:t>
      </w:r>
      <w:r w:rsidR="00DE3032" w:rsidRPr="00DE3032">
        <w:rPr>
          <w:rFonts w:asciiTheme="minorHAnsi" w:hAnsiTheme="minorHAnsi"/>
        </w:rPr>
        <w:t xml:space="preserve"> (respektive v části analytické části jsou k dispozici data od roku 1997). </w:t>
      </w:r>
      <w:r w:rsidRPr="00DE3032">
        <w:rPr>
          <w:rFonts w:asciiTheme="minorHAnsi" w:hAnsiTheme="minorHAnsi"/>
        </w:rPr>
        <w:t>Důležité pro čerpání dat o hospodaření konkrétní zvolené instituce.</w:t>
      </w:r>
      <w:r w:rsidR="00DE3032" w:rsidRPr="00DE3032">
        <w:rPr>
          <w:rFonts w:asciiTheme="minorHAnsi" w:hAnsiTheme="minorHAnsi"/>
        </w:rPr>
        <w:t xml:space="preserve"> </w:t>
      </w:r>
      <w:r w:rsidRPr="00DE3032">
        <w:rPr>
          <w:rFonts w:asciiTheme="minorHAnsi" w:hAnsiTheme="minorHAnsi"/>
        </w:rPr>
        <w:t xml:space="preserve">Databáze MONITOR je specializovaný informační portál Ministerstva financí, který umožňuje veřejnosti volný přístup k rozpočtovým a účetním informacím ze všech úrovní státní správy a samosprávy. </w:t>
      </w:r>
      <w:r w:rsidR="003C5260" w:rsidRPr="003C5260">
        <w:rPr>
          <w:rFonts w:asciiTheme="minorHAnsi" w:hAnsiTheme="minorHAnsi"/>
        </w:rPr>
        <w:t xml:space="preserve">Data je možné zobrazit </w:t>
      </w:r>
      <w:r w:rsidR="003C5260">
        <w:rPr>
          <w:rFonts w:asciiTheme="minorHAnsi" w:hAnsiTheme="minorHAnsi"/>
        </w:rPr>
        <w:t xml:space="preserve">za stát (dle kapitol státního rozpočtu) a jeho organizace, </w:t>
      </w:r>
      <w:r w:rsidR="003C5260" w:rsidRPr="003C5260">
        <w:rPr>
          <w:rFonts w:asciiTheme="minorHAnsi" w:hAnsiTheme="minorHAnsi"/>
        </w:rPr>
        <w:t>pro každou obec, kraj (a jejich organizace), dobrovolný svazek obcí, regionální radu</w:t>
      </w:r>
      <w:r w:rsidR="003C5260">
        <w:rPr>
          <w:rFonts w:asciiTheme="minorHAnsi" w:hAnsiTheme="minorHAnsi"/>
        </w:rPr>
        <w:t xml:space="preserve"> atd</w:t>
      </w:r>
      <w:r w:rsidR="003C5260" w:rsidRPr="003C5260">
        <w:rPr>
          <w:rFonts w:asciiTheme="minorHAnsi" w:hAnsiTheme="minorHAnsi"/>
        </w:rPr>
        <w:t xml:space="preserve">. Databáze umožňuje zobrazit informace o příjmech a výdajích (také pomocí funkce „rozklikávací rozpočet“), dluhové služby, majetku, závazků, </w:t>
      </w:r>
      <w:r w:rsidR="003C5260" w:rsidRPr="00320EC4">
        <w:rPr>
          <w:rFonts w:asciiTheme="minorHAnsi" w:hAnsiTheme="minorHAnsi" w:cstheme="minorHAnsi"/>
        </w:rPr>
        <w:t>hospodaření. Je možné též zobrazit údaje o podřízených organizacích.</w:t>
      </w:r>
    </w:p>
    <w:p w14:paraId="4CC1BB80" w14:textId="2DC717E1" w:rsidR="00320EC4" w:rsidRPr="006D1A45" w:rsidRDefault="00320EC4" w:rsidP="0065698B">
      <w:pPr>
        <w:numPr>
          <w:ilvl w:val="0"/>
          <w:numId w:val="30"/>
        </w:numPr>
        <w:jc w:val="both"/>
        <w:rPr>
          <w:rFonts w:asciiTheme="minorHAnsi" w:hAnsiTheme="minorHAnsi" w:cstheme="minorHAnsi"/>
        </w:rPr>
      </w:pPr>
      <w:r w:rsidRPr="00320EC4">
        <w:rPr>
          <w:rFonts w:asciiTheme="minorHAnsi" w:hAnsiTheme="minorHAnsi" w:cstheme="minorHAnsi"/>
          <w:b/>
          <w:color w:val="000000"/>
        </w:rPr>
        <w:t>Rozpočtová strategie sektoru veřejných institucí</w:t>
      </w:r>
      <w:r w:rsidRPr="00320EC4">
        <w:rPr>
          <w:rFonts w:asciiTheme="minorHAnsi" w:hAnsiTheme="minorHAnsi" w:cstheme="minorHAnsi"/>
          <w:color w:val="000000"/>
        </w:rPr>
        <w:t xml:space="preserve"> dle zákona č. 23/2017 Sb., o </w:t>
      </w:r>
      <w:r w:rsidRPr="006D1A45">
        <w:rPr>
          <w:rFonts w:asciiTheme="minorHAnsi" w:hAnsiTheme="minorHAnsi" w:cstheme="minorHAnsi"/>
          <w:color w:val="000000"/>
        </w:rPr>
        <w:t xml:space="preserve">pravidlech rozpočtové odpovědnosti. Je zveřejněna vždy na konci dubna na 3 roky a je schvalována vládou. Dostupná na: </w:t>
      </w:r>
      <w:hyperlink r:id="rId15" w:history="1">
        <w:r w:rsidRPr="006D1A45">
          <w:rPr>
            <w:rStyle w:val="Hypertextovodkaz"/>
            <w:rFonts w:asciiTheme="minorHAnsi" w:hAnsiTheme="minorHAnsi" w:cstheme="minorHAnsi"/>
          </w:rPr>
          <w:t>https://www.mfcr.cz/cs/verejny-sektor/statni-rozpocet/rozpoctova-strategie</w:t>
        </w:r>
      </w:hyperlink>
    </w:p>
    <w:p w14:paraId="49EBCD2F" w14:textId="4AD37D7B" w:rsidR="006D1A45" w:rsidRPr="006D1A45" w:rsidRDefault="006D1A45" w:rsidP="0065698B">
      <w:pPr>
        <w:numPr>
          <w:ilvl w:val="0"/>
          <w:numId w:val="30"/>
        </w:numPr>
        <w:jc w:val="both"/>
        <w:rPr>
          <w:rFonts w:asciiTheme="minorHAnsi" w:hAnsiTheme="minorHAnsi" w:cstheme="minorHAnsi"/>
        </w:rPr>
      </w:pPr>
      <w:r w:rsidRPr="006D1A45">
        <w:rPr>
          <w:rFonts w:asciiTheme="minorHAnsi" w:hAnsiTheme="minorHAnsi" w:cstheme="minorHAnsi"/>
          <w:b/>
          <w:color w:val="000000"/>
        </w:rPr>
        <w:t>Konvergenční program</w:t>
      </w:r>
      <w:r w:rsidRPr="006D1A45">
        <w:rPr>
          <w:rFonts w:asciiTheme="minorHAnsi" w:hAnsiTheme="minorHAnsi" w:cstheme="minorHAnsi"/>
          <w:color w:val="000000"/>
        </w:rPr>
        <w:t xml:space="preserve"> </w:t>
      </w:r>
      <w:r>
        <w:rPr>
          <w:rFonts w:asciiTheme="minorHAnsi" w:hAnsiTheme="minorHAnsi" w:cstheme="minorHAnsi"/>
          <w:color w:val="000000"/>
        </w:rPr>
        <w:t xml:space="preserve">- strategický dokument, který </w:t>
      </w:r>
      <w:r w:rsidRPr="006D1A45">
        <w:rPr>
          <w:rFonts w:asciiTheme="minorHAnsi" w:hAnsiTheme="minorHAnsi" w:cstheme="minorHAnsi"/>
          <w:color w:val="000000"/>
        </w:rPr>
        <w:t xml:space="preserve">specifikuje základní souhrnné fiskální údaje a nejvýznamnější připravovaná opatření s rozpočtovým dopadem </w:t>
      </w:r>
      <w:r>
        <w:rPr>
          <w:rFonts w:asciiTheme="minorHAnsi" w:hAnsiTheme="minorHAnsi" w:cstheme="minorHAnsi"/>
          <w:color w:val="000000"/>
        </w:rPr>
        <w:t>na následující 3 roky</w:t>
      </w:r>
      <w:r w:rsidRPr="006D1A45">
        <w:rPr>
          <w:rFonts w:asciiTheme="minorHAnsi" w:hAnsiTheme="minorHAnsi" w:cstheme="minorHAnsi"/>
          <w:color w:val="000000"/>
        </w:rPr>
        <w:t>.</w:t>
      </w:r>
      <w:r>
        <w:rPr>
          <w:rFonts w:asciiTheme="minorHAnsi" w:hAnsiTheme="minorHAnsi" w:cstheme="minorHAnsi"/>
          <w:color w:val="000000"/>
        </w:rPr>
        <w:t xml:space="preserve"> </w:t>
      </w:r>
      <w:r w:rsidRPr="006D1A45">
        <w:rPr>
          <w:rFonts w:asciiTheme="minorHAnsi" w:hAnsiTheme="minorHAnsi" w:cstheme="minorHAnsi"/>
          <w:color w:val="000000"/>
        </w:rPr>
        <w:t>Dostupná na:</w:t>
      </w:r>
      <w:r>
        <w:rPr>
          <w:rFonts w:asciiTheme="minorHAnsi" w:hAnsiTheme="minorHAnsi" w:cstheme="minorHAnsi"/>
          <w:color w:val="000000"/>
        </w:rPr>
        <w:t xml:space="preserve"> </w:t>
      </w:r>
      <w:hyperlink r:id="rId16" w:history="1">
        <w:r w:rsidRPr="00782554">
          <w:rPr>
            <w:rStyle w:val="Hypertextovodkaz"/>
            <w:rFonts w:asciiTheme="minorHAnsi" w:hAnsiTheme="minorHAnsi" w:cstheme="minorHAnsi"/>
          </w:rPr>
          <w:t>https://www.mfcr.cz/cs/zahranicni-sektor/pristoupeni-cr-k-eurozone/konvergencni-program</w:t>
        </w:r>
      </w:hyperlink>
    </w:p>
    <w:p w14:paraId="615BDF4E" w14:textId="48F8ACD3" w:rsidR="00F21077" w:rsidRPr="001B1E2C" w:rsidRDefault="00F21077" w:rsidP="0065698B">
      <w:pPr>
        <w:numPr>
          <w:ilvl w:val="0"/>
          <w:numId w:val="30"/>
        </w:numPr>
        <w:jc w:val="both"/>
        <w:rPr>
          <w:rFonts w:asciiTheme="minorHAnsi" w:hAnsiTheme="minorHAnsi"/>
        </w:rPr>
      </w:pPr>
      <w:r w:rsidRPr="006D1A45">
        <w:rPr>
          <w:rFonts w:asciiTheme="minorHAnsi" w:hAnsiTheme="minorHAnsi" w:cstheme="minorHAnsi"/>
          <w:b/>
        </w:rPr>
        <w:t>Fiskální výhled</w:t>
      </w:r>
      <w:r w:rsidRPr="006D1A45">
        <w:rPr>
          <w:rFonts w:asciiTheme="minorHAnsi" w:hAnsiTheme="minorHAnsi" w:cstheme="minorHAnsi"/>
        </w:rPr>
        <w:t xml:space="preserve"> České republiky: zahrnuje predikci na běžný a také na následující rok, u některých ukazatelů pak i výhled na 2 roky. Dokument</w:t>
      </w:r>
      <w:r w:rsidRPr="00320EC4">
        <w:rPr>
          <w:rFonts w:asciiTheme="minorHAnsi" w:hAnsiTheme="minorHAnsi" w:cstheme="minorHAnsi"/>
        </w:rPr>
        <w:t xml:space="preserve"> dostupný na </w:t>
      </w:r>
      <w:hyperlink r:id="rId17" w:history="1">
        <w:r w:rsidRPr="00320EC4">
          <w:rPr>
            <w:rStyle w:val="Hypertextovodkaz"/>
            <w:rFonts w:asciiTheme="minorHAnsi" w:hAnsiTheme="minorHAnsi" w:cstheme="minorHAnsi"/>
          </w:rPr>
          <w:t>https://www.mfcr.cz/cs/verejny-sektor/makroekonomika/fiskalni-vyhled</w:t>
        </w:r>
      </w:hyperlink>
      <w:r>
        <w:rPr>
          <w:rFonts w:asciiTheme="minorHAnsi" w:hAnsiTheme="minorHAnsi"/>
        </w:rPr>
        <w:t xml:space="preserve">. </w:t>
      </w:r>
      <w:r w:rsidRPr="001B1E2C">
        <w:rPr>
          <w:rFonts w:asciiTheme="minorHAnsi" w:hAnsiTheme="minorHAnsi"/>
        </w:rPr>
        <w:t>Důležité pro stanovování očekávaného vývoje veřejných financí (například odhad budoucích daňových příjmů pro obec).</w:t>
      </w:r>
    </w:p>
    <w:p w14:paraId="1C92AA2D" w14:textId="35D9B249" w:rsidR="00F21077" w:rsidRDefault="00F21077" w:rsidP="0065698B">
      <w:pPr>
        <w:numPr>
          <w:ilvl w:val="0"/>
          <w:numId w:val="30"/>
        </w:numPr>
        <w:jc w:val="both"/>
        <w:rPr>
          <w:rFonts w:asciiTheme="minorHAnsi" w:hAnsiTheme="minorHAnsi"/>
        </w:rPr>
      </w:pPr>
      <w:r w:rsidRPr="00B82FBF">
        <w:rPr>
          <w:rFonts w:asciiTheme="minorHAnsi" w:hAnsiTheme="minorHAnsi"/>
          <w:b/>
        </w:rPr>
        <w:t>Makroekonomická predikce</w:t>
      </w:r>
      <w:r w:rsidRPr="001B1E2C">
        <w:rPr>
          <w:rFonts w:asciiTheme="minorHAnsi" w:hAnsiTheme="minorHAnsi"/>
        </w:rPr>
        <w:t xml:space="preserve"> (je zveřejňována se čtvrtletní periodicitou). Dostupná na: </w:t>
      </w:r>
      <w:hyperlink r:id="rId18" w:history="1">
        <w:r w:rsidRPr="001B1E2C">
          <w:rPr>
            <w:rStyle w:val="Hypertextovodkaz"/>
            <w:rFonts w:asciiTheme="minorHAnsi" w:hAnsiTheme="minorHAnsi"/>
          </w:rPr>
          <w:t>https</w:t>
        </w:r>
      </w:hyperlink>
      <w:hyperlink r:id="rId19" w:history="1">
        <w:r w:rsidRPr="001B1E2C">
          <w:rPr>
            <w:rStyle w:val="Hypertextovodkaz"/>
            <w:rFonts w:asciiTheme="minorHAnsi" w:hAnsiTheme="minorHAnsi"/>
          </w:rPr>
          <w:t>://www.mfcr.cz/cs/verejny-sektor/makroekonomika/makroekonomicka-predikce</w:t>
        </w:r>
      </w:hyperlink>
      <w:r>
        <w:rPr>
          <w:rFonts w:asciiTheme="minorHAnsi" w:hAnsiTheme="minorHAnsi"/>
        </w:rPr>
        <w:t xml:space="preserve">. </w:t>
      </w:r>
      <w:r w:rsidRPr="001B1E2C">
        <w:rPr>
          <w:rFonts w:asciiTheme="minorHAnsi" w:hAnsiTheme="minorHAnsi"/>
        </w:rPr>
        <w:t>Důležité pro stanovování očekávaného vývoje veřejných financí.</w:t>
      </w:r>
    </w:p>
    <w:p w14:paraId="21236E5E" w14:textId="6B6AEC88" w:rsidR="00320EC4" w:rsidRPr="00320EC4" w:rsidRDefault="009F7482" w:rsidP="0065698B">
      <w:pPr>
        <w:numPr>
          <w:ilvl w:val="0"/>
          <w:numId w:val="30"/>
        </w:numPr>
        <w:jc w:val="both"/>
        <w:rPr>
          <w:rFonts w:asciiTheme="minorHAnsi" w:hAnsiTheme="minorHAnsi"/>
        </w:rPr>
      </w:pPr>
      <w:r w:rsidRPr="00320EC4">
        <w:rPr>
          <w:rFonts w:asciiTheme="minorHAnsi" w:hAnsiTheme="minorHAnsi" w:cstheme="minorHAnsi"/>
          <w:b/>
        </w:rPr>
        <w:t>Informace k územním rozpočtům</w:t>
      </w:r>
      <w:r w:rsidRPr="00320EC4">
        <w:rPr>
          <w:rFonts w:asciiTheme="minorHAnsi" w:hAnsiTheme="minorHAnsi" w:cstheme="minorHAnsi"/>
        </w:rPr>
        <w:t xml:space="preserve"> a platné legislativě lze najít na: </w:t>
      </w:r>
      <w:hyperlink r:id="rId20" w:history="1">
        <w:r w:rsidRPr="00320EC4">
          <w:rPr>
            <w:rStyle w:val="Hypertextovodkaz"/>
            <w:rFonts w:asciiTheme="minorHAnsi" w:hAnsiTheme="minorHAnsi" w:cstheme="minorHAnsi"/>
          </w:rPr>
          <w:t>https://www.mfcr.cz/cs/verejny-sektor/uzemni-rozpocty</w:t>
        </w:r>
      </w:hyperlink>
      <w:r w:rsidRPr="00320EC4">
        <w:rPr>
          <w:rFonts w:asciiTheme="minorHAnsi" w:hAnsiTheme="minorHAnsi" w:cstheme="minorHAnsi"/>
        </w:rPr>
        <w:t xml:space="preserve">. </w:t>
      </w:r>
      <w:r w:rsidR="00807AB1" w:rsidRPr="00320EC4">
        <w:rPr>
          <w:rFonts w:asciiTheme="minorHAnsi" w:hAnsiTheme="minorHAnsi" w:cstheme="minorHAnsi"/>
        </w:rPr>
        <w:t xml:space="preserve">Přičemž </w:t>
      </w:r>
      <w:r w:rsidR="00807AB1" w:rsidRPr="00320EC4">
        <w:rPr>
          <w:rFonts w:asciiTheme="minorHAnsi" w:hAnsiTheme="minorHAnsi"/>
        </w:rPr>
        <w:t>souhrnná</w:t>
      </w:r>
      <w:r w:rsidRPr="00320EC4">
        <w:rPr>
          <w:rFonts w:asciiTheme="minorHAnsi" w:hAnsiTheme="minorHAnsi"/>
          <w:b/>
        </w:rPr>
        <w:t xml:space="preserve"> </w:t>
      </w:r>
      <w:r w:rsidR="00807AB1" w:rsidRPr="00320EC4">
        <w:rPr>
          <w:rFonts w:asciiTheme="minorHAnsi" w:hAnsiTheme="minorHAnsi"/>
        </w:rPr>
        <w:t>zpráva</w:t>
      </w:r>
      <w:r w:rsidRPr="00320EC4">
        <w:rPr>
          <w:rFonts w:asciiTheme="minorHAnsi" w:hAnsiTheme="minorHAnsi"/>
        </w:rPr>
        <w:t xml:space="preserve"> o výsledcích rozpočtového hospodaření územních samosprávných celků (obcí, krajů), dobrovolných svazků obcí a Regionálních rad regionů soudržnost je dostupná na:</w:t>
      </w:r>
      <w:r w:rsidRPr="00320EC4">
        <w:rPr>
          <w:rFonts w:asciiTheme="minorHAnsi" w:hAnsiTheme="minorHAnsi"/>
          <w:b/>
        </w:rPr>
        <w:t xml:space="preserve"> </w:t>
      </w:r>
      <w:hyperlink r:id="rId21" w:history="1">
        <w:r w:rsidRPr="00320EC4">
          <w:rPr>
            <w:rStyle w:val="Hypertextovodkaz"/>
            <w:rFonts w:asciiTheme="minorHAnsi" w:hAnsiTheme="minorHAnsi"/>
          </w:rPr>
          <w:t>https://www.mfcr.cz/cs/verejny-sektor/uzemni-rozpocty/statni-zaverecny-ucet-</w:t>
        </w:r>
        <w:r w:rsidRPr="00320EC4">
          <w:rPr>
            <w:rStyle w:val="Hypertextovodkaz"/>
            <w:rFonts w:asciiTheme="minorHAnsi" w:hAnsiTheme="minorHAnsi"/>
          </w:rPr>
          <w:lastRenderedPageBreak/>
          <w:t>uzemnich-rozpoctu</w:t>
        </w:r>
      </w:hyperlink>
      <w:r w:rsidR="00320EC4" w:rsidRPr="00320EC4">
        <w:rPr>
          <w:rFonts w:asciiTheme="minorHAnsi" w:hAnsiTheme="minorHAnsi"/>
        </w:rPr>
        <w:t xml:space="preserve">. Zadluženost územních rozpočtů, monitoring obcí. Dostupné na:  </w:t>
      </w:r>
      <w:hyperlink r:id="rId22" w:history="1">
        <w:r w:rsidR="00320EC4" w:rsidRPr="00320EC4">
          <w:rPr>
            <w:rStyle w:val="Hypertextovodkaz"/>
            <w:rFonts w:asciiTheme="minorHAnsi" w:hAnsiTheme="minorHAnsi"/>
          </w:rPr>
          <w:t>http://www.mfcr.cz/cs/verejny-sektor/monitoring/zadluzenost-uzemnich-rozpoctu</w:t>
        </w:r>
      </w:hyperlink>
    </w:p>
    <w:p w14:paraId="454B3D8D" w14:textId="4E00C610" w:rsidR="009F7482" w:rsidRPr="009F7482" w:rsidRDefault="009F7482" w:rsidP="0065698B">
      <w:pPr>
        <w:pStyle w:val="Textpoznpodarou"/>
        <w:numPr>
          <w:ilvl w:val="0"/>
          <w:numId w:val="30"/>
        </w:numPr>
        <w:spacing w:line="360" w:lineRule="auto"/>
        <w:ind w:left="714" w:hanging="357"/>
        <w:jc w:val="both"/>
        <w:rPr>
          <w:rFonts w:asciiTheme="minorHAnsi" w:hAnsiTheme="minorHAnsi" w:cstheme="minorHAnsi"/>
          <w:sz w:val="24"/>
        </w:rPr>
      </w:pPr>
      <w:r w:rsidRPr="00320EC4">
        <w:rPr>
          <w:rFonts w:asciiTheme="minorHAnsi" w:hAnsiTheme="minorHAnsi" w:cstheme="minorHAnsi"/>
          <w:b/>
          <w:sz w:val="24"/>
        </w:rPr>
        <w:t>Informace ke státnímu rozpočtu</w:t>
      </w:r>
      <w:r w:rsidRPr="009F7482">
        <w:rPr>
          <w:rFonts w:asciiTheme="minorHAnsi" w:hAnsiTheme="minorHAnsi" w:cstheme="minorHAnsi"/>
          <w:sz w:val="24"/>
        </w:rPr>
        <w:t xml:space="preserve"> a platné legislativě lze najít na: </w:t>
      </w:r>
      <w:hyperlink r:id="rId23" w:history="1">
        <w:r w:rsidRPr="009F7482">
          <w:rPr>
            <w:rStyle w:val="Hypertextovodkaz"/>
            <w:rFonts w:asciiTheme="minorHAnsi" w:hAnsiTheme="minorHAnsi" w:cstheme="minorHAnsi"/>
            <w:sz w:val="24"/>
          </w:rPr>
          <w:t>https://www.mfcr.cz/cs/verejny-sektor/statni-rozpocet</w:t>
        </w:r>
      </w:hyperlink>
      <w:r w:rsidRPr="009F7482">
        <w:rPr>
          <w:rFonts w:asciiTheme="minorHAnsi" w:hAnsiTheme="minorHAnsi" w:cstheme="minorHAnsi"/>
          <w:sz w:val="24"/>
        </w:rPr>
        <w:t xml:space="preserve"> </w:t>
      </w:r>
    </w:p>
    <w:p w14:paraId="70BC1A39" w14:textId="263D0B4B" w:rsidR="00D459B5" w:rsidRPr="003C5260" w:rsidRDefault="00D459B5" w:rsidP="0065698B">
      <w:pPr>
        <w:numPr>
          <w:ilvl w:val="0"/>
          <w:numId w:val="30"/>
        </w:numPr>
        <w:ind w:left="714" w:hanging="357"/>
        <w:jc w:val="both"/>
        <w:rPr>
          <w:rFonts w:asciiTheme="minorHAnsi" w:hAnsiTheme="minorHAnsi"/>
        </w:rPr>
      </w:pPr>
      <w:r w:rsidRPr="00B82FBF">
        <w:rPr>
          <w:rFonts w:asciiTheme="minorHAnsi" w:hAnsiTheme="minorHAnsi"/>
          <w:b/>
          <w:bCs/>
        </w:rPr>
        <w:t>Cityvizor</w:t>
      </w:r>
      <w:r w:rsidRPr="003C5260">
        <w:rPr>
          <w:rFonts w:asciiTheme="minorHAnsi" w:hAnsiTheme="minorHAnsi"/>
        </w:rPr>
        <w:t xml:space="preserve"> (MF</w:t>
      </w:r>
      <w:r w:rsidR="003C5260">
        <w:rPr>
          <w:rFonts w:asciiTheme="minorHAnsi" w:hAnsiTheme="minorHAnsi"/>
        </w:rPr>
        <w:t xml:space="preserve"> ČR společně s Hlavním městem</w:t>
      </w:r>
      <w:r w:rsidRPr="003C5260">
        <w:rPr>
          <w:rFonts w:asciiTheme="minorHAnsi" w:hAnsiTheme="minorHAnsi"/>
        </w:rPr>
        <w:t xml:space="preserve"> Praha) - vizualizuje rozpočet a plnění hlavního města Prahy </w:t>
      </w:r>
      <w:r w:rsidR="003C5260">
        <w:rPr>
          <w:rFonts w:asciiTheme="minorHAnsi" w:hAnsiTheme="minorHAnsi"/>
        </w:rPr>
        <w:t xml:space="preserve">a městských částí </w:t>
      </w:r>
      <w:r w:rsidRPr="003C5260">
        <w:rPr>
          <w:rFonts w:asciiTheme="minorHAnsi" w:hAnsiTheme="minorHAnsi"/>
        </w:rPr>
        <w:t xml:space="preserve">s vazbou na konkrétní dodavatele. Naleznete zde také provázání na úřední desky a registr smluv. </w:t>
      </w:r>
      <w:hyperlink r:id="rId24" w:history="1">
        <w:r w:rsidRPr="003C5260">
          <w:rPr>
            <w:rStyle w:val="Hypertextovodkaz"/>
            <w:rFonts w:asciiTheme="minorHAnsi" w:hAnsiTheme="minorHAnsi"/>
          </w:rPr>
          <w:t>https://cityvizor.praha.eu/</w:t>
        </w:r>
      </w:hyperlink>
    </w:p>
    <w:p w14:paraId="174392D9" w14:textId="4383B0D2" w:rsidR="00DE3032" w:rsidRPr="00DE3032" w:rsidRDefault="00DE3032" w:rsidP="0065698B">
      <w:pPr>
        <w:numPr>
          <w:ilvl w:val="0"/>
          <w:numId w:val="30"/>
        </w:numPr>
        <w:jc w:val="both"/>
        <w:rPr>
          <w:rFonts w:asciiTheme="minorHAnsi" w:hAnsiTheme="minorHAnsi" w:cstheme="minorHAnsi"/>
        </w:rPr>
      </w:pPr>
      <w:r w:rsidRPr="00DE3032">
        <w:rPr>
          <w:rFonts w:asciiTheme="minorHAnsi" w:hAnsiTheme="minorHAnsi"/>
        </w:rPr>
        <w:t xml:space="preserve">Odkaz na všechny </w:t>
      </w:r>
      <w:r w:rsidRPr="00B82FBF">
        <w:rPr>
          <w:rFonts w:asciiTheme="minorHAnsi" w:hAnsiTheme="minorHAnsi"/>
          <w:b/>
        </w:rPr>
        <w:t>i</w:t>
      </w:r>
      <w:r w:rsidRPr="00B82FBF">
        <w:rPr>
          <w:rFonts w:asciiTheme="minorHAnsi" w:hAnsiTheme="minorHAnsi" w:cstheme="minorHAnsi"/>
          <w:b/>
        </w:rPr>
        <w:t>nformační systém</w:t>
      </w:r>
      <w:r w:rsidR="00560CD3">
        <w:rPr>
          <w:rFonts w:asciiTheme="minorHAnsi" w:hAnsiTheme="minorHAnsi" w:cstheme="minorHAnsi"/>
          <w:b/>
        </w:rPr>
        <w:t>y</w:t>
      </w:r>
      <w:r w:rsidRPr="00B82FBF">
        <w:rPr>
          <w:rFonts w:asciiTheme="minorHAnsi" w:hAnsiTheme="minorHAnsi" w:cstheme="minorHAnsi"/>
          <w:b/>
        </w:rPr>
        <w:t xml:space="preserve"> MF ČR</w:t>
      </w:r>
      <w:r w:rsidRPr="00DE3032">
        <w:rPr>
          <w:rFonts w:asciiTheme="minorHAnsi" w:hAnsiTheme="minorHAnsi" w:cstheme="minorHAnsi"/>
        </w:rPr>
        <w:t xml:space="preserve">. Odkaz: </w:t>
      </w:r>
      <w:hyperlink r:id="rId25" w:history="1">
        <w:r w:rsidRPr="00DE3032">
          <w:rPr>
            <w:rStyle w:val="Hypertextovodkaz"/>
            <w:rFonts w:asciiTheme="minorHAnsi" w:hAnsiTheme="minorHAnsi" w:cstheme="minorHAnsi"/>
          </w:rPr>
          <w:t>https://www.mfcr.cz/cs/o-ministerstvu/informacni-systemy</w:t>
        </w:r>
      </w:hyperlink>
    </w:p>
    <w:p w14:paraId="419736F8" w14:textId="77777777" w:rsidR="00F21077" w:rsidRPr="001B1E2C" w:rsidRDefault="00F21077" w:rsidP="00F21077">
      <w:pPr>
        <w:jc w:val="both"/>
        <w:rPr>
          <w:rFonts w:asciiTheme="minorHAnsi" w:hAnsiTheme="minorHAnsi"/>
        </w:rPr>
      </w:pPr>
      <w:r w:rsidRPr="001B1E2C">
        <w:rPr>
          <w:rFonts w:asciiTheme="minorHAnsi" w:hAnsiTheme="minorHAnsi"/>
          <w:b/>
          <w:bCs/>
        </w:rPr>
        <w:t>2. Další zdroje státních institucí, například</w:t>
      </w:r>
    </w:p>
    <w:p w14:paraId="2C1A5F7D" w14:textId="720D2D58" w:rsidR="00B82FBF" w:rsidRPr="00B82FBF" w:rsidRDefault="00B82FBF" w:rsidP="0065698B">
      <w:pPr>
        <w:numPr>
          <w:ilvl w:val="0"/>
          <w:numId w:val="31"/>
        </w:numPr>
        <w:jc w:val="both"/>
        <w:rPr>
          <w:rFonts w:asciiTheme="minorHAnsi" w:hAnsiTheme="minorHAnsi"/>
        </w:rPr>
      </w:pPr>
      <w:r w:rsidRPr="00B82FBF">
        <w:rPr>
          <w:rFonts w:asciiTheme="minorHAnsi" w:hAnsiTheme="minorHAnsi"/>
          <w:b/>
          <w:bCs/>
        </w:rPr>
        <w:t xml:space="preserve">Registr smluv </w:t>
      </w:r>
      <w:r w:rsidRPr="00B82FBF">
        <w:rPr>
          <w:rFonts w:asciiTheme="minorHAnsi" w:hAnsiTheme="minorHAnsi"/>
        </w:rPr>
        <w:t xml:space="preserve">(Ministerstvo vnitra). Dle zákona č. 340/2015 Sb. se od roku 2016 zveřejňují všechny smlouvy nad 50 tis. Kč. Dostupné na: </w:t>
      </w:r>
      <w:hyperlink r:id="rId26" w:history="1">
        <w:r w:rsidRPr="00B82FBF">
          <w:rPr>
            <w:rStyle w:val="Hypertextovodkaz"/>
            <w:rFonts w:asciiTheme="minorHAnsi" w:hAnsiTheme="minorHAnsi"/>
          </w:rPr>
          <w:t>https://smlouvy.gov.cz/</w:t>
        </w:r>
      </w:hyperlink>
      <w:r w:rsidRPr="00B82FBF">
        <w:rPr>
          <w:rFonts w:asciiTheme="minorHAnsi" w:hAnsiTheme="minorHAnsi"/>
        </w:rPr>
        <w:t xml:space="preserve"> </w:t>
      </w:r>
    </w:p>
    <w:p w14:paraId="6124B1E4" w14:textId="10879F2B" w:rsidR="00F21077" w:rsidRPr="001B1E2C" w:rsidRDefault="00F21077" w:rsidP="0065698B">
      <w:pPr>
        <w:numPr>
          <w:ilvl w:val="0"/>
          <w:numId w:val="31"/>
        </w:numPr>
        <w:jc w:val="both"/>
        <w:rPr>
          <w:rFonts w:asciiTheme="minorHAnsi" w:hAnsiTheme="minorHAnsi"/>
        </w:rPr>
      </w:pPr>
      <w:r w:rsidRPr="001B1E2C">
        <w:rPr>
          <w:rFonts w:asciiTheme="minorHAnsi" w:hAnsiTheme="minorHAnsi"/>
        </w:rPr>
        <w:t>Data k </w:t>
      </w:r>
      <w:r w:rsidRPr="00B82FBF">
        <w:rPr>
          <w:rFonts w:asciiTheme="minorHAnsi" w:hAnsiTheme="minorHAnsi"/>
          <w:b/>
        </w:rPr>
        <w:t>veřejným zakázkám</w:t>
      </w:r>
      <w:r w:rsidRPr="001B1E2C">
        <w:rPr>
          <w:rFonts w:asciiTheme="minorHAnsi" w:hAnsiTheme="minorHAnsi"/>
        </w:rPr>
        <w:t xml:space="preserve"> </w:t>
      </w:r>
      <w:r w:rsidR="00B82FBF">
        <w:rPr>
          <w:rFonts w:asciiTheme="minorHAnsi" w:hAnsiTheme="minorHAnsi"/>
        </w:rPr>
        <w:t xml:space="preserve">(Ministerstvo pro místní rozvoj). </w:t>
      </w:r>
      <w:r w:rsidR="00B82FBF" w:rsidRPr="00B82FBF">
        <w:rPr>
          <w:rFonts w:asciiTheme="minorHAnsi" w:hAnsiTheme="minorHAnsi"/>
        </w:rPr>
        <w:t xml:space="preserve">Dostupné na: </w:t>
      </w:r>
      <w:hyperlink r:id="rId27" w:history="1">
        <w:r w:rsidRPr="001B1E2C">
          <w:rPr>
            <w:rStyle w:val="Hypertextovodkaz"/>
            <w:rFonts w:asciiTheme="minorHAnsi" w:hAnsiTheme="minorHAnsi"/>
          </w:rPr>
          <w:t>http://www.isvz.cz/ISVZ/Podpora/ISVZ.aspx</w:t>
        </w:r>
      </w:hyperlink>
    </w:p>
    <w:p w14:paraId="57C963F3" w14:textId="740D59FF" w:rsidR="00F21077" w:rsidRPr="003C5260" w:rsidRDefault="00F21077" w:rsidP="0065698B">
      <w:pPr>
        <w:numPr>
          <w:ilvl w:val="0"/>
          <w:numId w:val="31"/>
        </w:numPr>
        <w:rPr>
          <w:rStyle w:val="Hypertextovodkaz"/>
          <w:rFonts w:asciiTheme="minorHAnsi" w:hAnsiTheme="minorHAnsi"/>
          <w:color w:val="auto"/>
          <w:u w:val="none"/>
        </w:rPr>
      </w:pPr>
      <w:r w:rsidRPr="001B1E2C">
        <w:rPr>
          <w:rFonts w:asciiTheme="minorHAnsi" w:hAnsiTheme="minorHAnsi"/>
        </w:rPr>
        <w:t xml:space="preserve">Data o </w:t>
      </w:r>
      <w:r w:rsidRPr="00B82FBF">
        <w:rPr>
          <w:rFonts w:asciiTheme="minorHAnsi" w:hAnsiTheme="minorHAnsi"/>
          <w:b/>
        </w:rPr>
        <w:t>projektech čerpající prostředky z fondů EU</w:t>
      </w:r>
      <w:r w:rsidR="00B82FBF">
        <w:rPr>
          <w:rFonts w:asciiTheme="minorHAnsi" w:hAnsiTheme="minorHAnsi"/>
          <w:b/>
        </w:rPr>
        <w:t xml:space="preserve"> </w:t>
      </w:r>
      <w:r w:rsidR="00B82FBF">
        <w:rPr>
          <w:rFonts w:asciiTheme="minorHAnsi" w:hAnsiTheme="minorHAnsi"/>
        </w:rPr>
        <w:t xml:space="preserve">(Ministerstvo pro místní rozvoj). </w:t>
      </w:r>
      <w:r w:rsidR="00B82FBF" w:rsidRPr="00B82FBF">
        <w:rPr>
          <w:rFonts w:asciiTheme="minorHAnsi" w:hAnsiTheme="minorHAnsi"/>
        </w:rPr>
        <w:t>Dostupné na:</w:t>
      </w:r>
      <w:r w:rsidR="00B82FBF">
        <w:rPr>
          <w:rFonts w:asciiTheme="minorHAnsi" w:hAnsiTheme="minorHAnsi"/>
        </w:rPr>
        <w:t xml:space="preserve"> </w:t>
      </w:r>
      <w:hyperlink r:id="rId28" w:history="1">
        <w:r w:rsidRPr="001B1E2C">
          <w:rPr>
            <w:rStyle w:val="Hypertextovodkaz"/>
            <w:rFonts w:asciiTheme="minorHAnsi" w:hAnsiTheme="minorHAnsi"/>
          </w:rPr>
          <w:t>https://</w:t>
        </w:r>
      </w:hyperlink>
      <w:hyperlink r:id="rId29" w:history="1">
        <w:r w:rsidRPr="001B1E2C">
          <w:rPr>
            <w:rStyle w:val="Hypertextovodkaz"/>
            <w:rFonts w:asciiTheme="minorHAnsi" w:hAnsiTheme="minorHAnsi"/>
          </w:rPr>
          <w:t>dotaceeu.cz/cs/statistiky-a-analyzy</w:t>
        </w:r>
      </w:hyperlink>
      <w:r w:rsidRPr="001B1E2C">
        <w:rPr>
          <w:rFonts w:asciiTheme="minorHAnsi" w:hAnsiTheme="minorHAnsi"/>
        </w:rPr>
        <w:t xml:space="preserve"> nebo: </w:t>
      </w:r>
      <w:hyperlink r:id="rId30" w:history="1">
        <w:r w:rsidRPr="001B1E2C">
          <w:rPr>
            <w:rStyle w:val="Hypertextovodkaz"/>
            <w:rFonts w:asciiTheme="minorHAnsi" w:hAnsiTheme="minorHAnsi"/>
          </w:rPr>
          <w:t>https://</w:t>
        </w:r>
      </w:hyperlink>
      <w:hyperlink r:id="rId31" w:history="1">
        <w:r w:rsidRPr="001B1E2C">
          <w:rPr>
            <w:rStyle w:val="Hypertextovodkaz"/>
            <w:rFonts w:asciiTheme="minorHAnsi" w:hAnsiTheme="minorHAnsi"/>
          </w:rPr>
          <w:t>www.risy.cz/cs/vyhledavace/projekty-eu</w:t>
        </w:r>
      </w:hyperlink>
    </w:p>
    <w:p w14:paraId="60D63FFC" w14:textId="77777777" w:rsidR="00D459B5" w:rsidRPr="003C5260" w:rsidRDefault="00D459B5" w:rsidP="0065698B">
      <w:pPr>
        <w:numPr>
          <w:ilvl w:val="0"/>
          <w:numId w:val="31"/>
        </w:numPr>
        <w:jc w:val="both"/>
        <w:rPr>
          <w:rFonts w:asciiTheme="minorHAnsi" w:hAnsiTheme="minorHAnsi"/>
        </w:rPr>
      </w:pPr>
      <w:r w:rsidRPr="003C5260">
        <w:rPr>
          <w:rFonts w:asciiTheme="minorHAnsi" w:hAnsiTheme="minorHAnsi"/>
        </w:rPr>
        <w:t xml:space="preserve">Databáze </w:t>
      </w:r>
      <w:r w:rsidRPr="00B82FBF">
        <w:rPr>
          <w:rFonts w:asciiTheme="minorHAnsi" w:hAnsiTheme="minorHAnsi"/>
          <w:b/>
          <w:bCs/>
        </w:rPr>
        <w:t>ČSÚ</w:t>
      </w:r>
      <w:r w:rsidRPr="003C5260">
        <w:rPr>
          <w:rFonts w:asciiTheme="minorHAnsi" w:hAnsiTheme="minorHAnsi"/>
        </w:rPr>
        <w:t xml:space="preserve">: Veřejná databáze ČSÚ </w:t>
      </w:r>
      <w:hyperlink r:id="rId32" w:history="1">
        <w:r w:rsidRPr="003C5260">
          <w:rPr>
            <w:rStyle w:val="Hypertextovodkaz"/>
            <w:rFonts w:asciiTheme="minorHAnsi" w:hAnsiTheme="minorHAnsi"/>
          </w:rPr>
          <w:t>https://www.czso.cz/</w:t>
        </w:r>
      </w:hyperlink>
    </w:p>
    <w:p w14:paraId="49D8729C" w14:textId="38FBC747" w:rsidR="00F277FD" w:rsidRDefault="00F277FD" w:rsidP="0065698B">
      <w:pPr>
        <w:numPr>
          <w:ilvl w:val="0"/>
          <w:numId w:val="31"/>
        </w:numPr>
        <w:jc w:val="both"/>
        <w:rPr>
          <w:rFonts w:asciiTheme="minorHAnsi" w:hAnsiTheme="minorHAnsi"/>
        </w:rPr>
      </w:pPr>
      <w:r w:rsidRPr="00F277FD">
        <w:rPr>
          <w:rFonts w:asciiTheme="minorHAnsi" w:hAnsiTheme="minorHAnsi"/>
          <w:b/>
        </w:rPr>
        <w:t>Prognóza ČNB</w:t>
      </w:r>
      <w:r>
        <w:rPr>
          <w:rFonts w:asciiTheme="minorHAnsi" w:hAnsiTheme="minorHAnsi"/>
        </w:rPr>
        <w:t xml:space="preserve">. Dostupná na: </w:t>
      </w:r>
      <w:hyperlink r:id="rId33" w:history="1">
        <w:r w:rsidRPr="00782554">
          <w:rPr>
            <w:rStyle w:val="Hypertextovodkaz"/>
            <w:rFonts w:asciiTheme="minorHAnsi" w:hAnsiTheme="minorHAnsi"/>
          </w:rPr>
          <w:t>https://www.cnb.cz/cs/menova-politika/prognoza/</w:t>
        </w:r>
      </w:hyperlink>
    </w:p>
    <w:p w14:paraId="527DD17B" w14:textId="3200F580" w:rsidR="006D1A45" w:rsidRDefault="006D1A45" w:rsidP="0065698B">
      <w:pPr>
        <w:numPr>
          <w:ilvl w:val="0"/>
          <w:numId w:val="31"/>
        </w:numPr>
        <w:jc w:val="both"/>
        <w:rPr>
          <w:rFonts w:asciiTheme="minorHAnsi" w:hAnsiTheme="minorHAnsi"/>
        </w:rPr>
      </w:pPr>
      <w:r w:rsidRPr="00F277FD">
        <w:rPr>
          <w:rFonts w:asciiTheme="minorHAnsi" w:hAnsiTheme="minorHAnsi" w:cstheme="minorHAnsi"/>
          <w:b/>
          <w:shd w:val="clear" w:color="auto" w:fill="FFFFFF"/>
        </w:rPr>
        <w:t>Globální ekonomický výhled</w:t>
      </w:r>
      <w:r w:rsidRPr="00F277FD">
        <w:rPr>
          <w:rFonts w:asciiTheme="minorHAnsi" w:hAnsiTheme="minorHAnsi" w:cstheme="minorHAnsi"/>
          <w:shd w:val="clear" w:color="auto" w:fill="FFFFFF"/>
        </w:rPr>
        <w:t xml:space="preserve"> (vydává každý měsíc ČNB) - souhrn nejčerstvějších predikcí a výhledů mezinárodních institucí, vybraných centrálních bank.</w:t>
      </w:r>
      <w:r w:rsidR="00560CD3">
        <w:rPr>
          <w:rFonts w:asciiTheme="minorHAnsi" w:hAnsiTheme="minorHAnsi" w:cstheme="minorHAnsi"/>
          <w:shd w:val="clear" w:color="auto" w:fill="FFFFFF"/>
        </w:rPr>
        <w:t xml:space="preserve">. </w:t>
      </w:r>
      <w:r w:rsidRPr="00F277FD">
        <w:rPr>
          <w:rFonts w:asciiTheme="minorHAnsi" w:hAnsiTheme="minorHAnsi" w:cstheme="minorHAnsi"/>
        </w:rPr>
        <w:t>Dostupné na:</w:t>
      </w:r>
      <w:r w:rsidR="00F277FD" w:rsidRPr="00F277FD">
        <w:rPr>
          <w:rFonts w:asciiTheme="minorHAnsi" w:hAnsiTheme="minorHAnsi" w:cstheme="minorHAnsi"/>
        </w:rPr>
        <w:t xml:space="preserve"> </w:t>
      </w:r>
      <w:hyperlink r:id="rId34" w:history="1">
        <w:r w:rsidR="00F277FD" w:rsidRPr="00782554">
          <w:rPr>
            <w:rStyle w:val="Hypertextovodkaz"/>
            <w:rFonts w:asciiTheme="minorHAnsi" w:hAnsiTheme="minorHAnsi"/>
          </w:rPr>
          <w:t>https://www.cnb.cz/cs/menova-politika/gev/</w:t>
        </w:r>
      </w:hyperlink>
    </w:p>
    <w:p w14:paraId="15E86D2A" w14:textId="0664E285" w:rsidR="00BA0895" w:rsidRDefault="00BA0895" w:rsidP="0065698B">
      <w:pPr>
        <w:numPr>
          <w:ilvl w:val="0"/>
          <w:numId w:val="31"/>
        </w:numPr>
        <w:jc w:val="both"/>
        <w:rPr>
          <w:rFonts w:asciiTheme="minorHAnsi" w:hAnsiTheme="minorHAnsi"/>
        </w:rPr>
      </w:pPr>
      <w:r>
        <w:rPr>
          <w:rFonts w:asciiTheme="minorHAnsi" w:hAnsiTheme="minorHAnsi" w:cstheme="minorHAnsi"/>
          <w:b/>
          <w:shd w:val="clear" w:color="auto" w:fill="FFFFFF"/>
        </w:rPr>
        <w:t>Dokumenty a publikace NKÚ.</w:t>
      </w:r>
      <w:r>
        <w:rPr>
          <w:rFonts w:asciiTheme="minorHAnsi" w:hAnsiTheme="minorHAnsi"/>
        </w:rPr>
        <w:t xml:space="preserve"> Dostupné na: </w:t>
      </w:r>
      <w:hyperlink r:id="rId35" w:history="1">
        <w:r w:rsidRPr="00782554">
          <w:rPr>
            <w:rStyle w:val="Hypertextovodkaz"/>
            <w:rFonts w:asciiTheme="minorHAnsi" w:hAnsiTheme="minorHAnsi"/>
          </w:rPr>
          <w:t>https://www.nku.cz/cz/publikace-a-dokumenty/</w:t>
        </w:r>
      </w:hyperlink>
    </w:p>
    <w:p w14:paraId="640C3F3C" w14:textId="77777777" w:rsidR="00F21077" w:rsidRPr="001B1E2C" w:rsidRDefault="00F21077" w:rsidP="00F21077">
      <w:pPr>
        <w:jc w:val="both"/>
        <w:rPr>
          <w:rFonts w:asciiTheme="minorHAnsi" w:hAnsiTheme="minorHAnsi"/>
        </w:rPr>
      </w:pPr>
      <w:r w:rsidRPr="001B1E2C">
        <w:rPr>
          <w:rFonts w:asciiTheme="minorHAnsi" w:hAnsiTheme="minorHAnsi"/>
          <w:b/>
          <w:bCs/>
        </w:rPr>
        <w:t>3. Data EU, například:</w:t>
      </w:r>
    </w:p>
    <w:p w14:paraId="44E2D875" w14:textId="77777777" w:rsidR="00F21077" w:rsidRPr="001B1E2C" w:rsidRDefault="00F21077" w:rsidP="0065698B">
      <w:pPr>
        <w:numPr>
          <w:ilvl w:val="0"/>
          <w:numId w:val="32"/>
        </w:numPr>
        <w:rPr>
          <w:rFonts w:asciiTheme="minorHAnsi" w:hAnsiTheme="minorHAnsi"/>
        </w:rPr>
      </w:pPr>
      <w:r w:rsidRPr="001B1E2C">
        <w:rPr>
          <w:rFonts w:asciiTheme="minorHAnsi" w:hAnsiTheme="minorHAnsi"/>
        </w:rPr>
        <w:t xml:space="preserve">Portál veřejně přístupných dat EU. Dostupné z </w:t>
      </w:r>
      <w:hyperlink r:id="rId36" w:history="1">
        <w:r w:rsidRPr="001B1E2C">
          <w:rPr>
            <w:rStyle w:val="Hypertextovodkaz"/>
            <w:rFonts w:asciiTheme="minorHAnsi" w:hAnsiTheme="minorHAnsi"/>
          </w:rPr>
          <w:t>https://data.europa.eu/euodp/cs/data/</w:t>
        </w:r>
      </w:hyperlink>
    </w:p>
    <w:p w14:paraId="4D96DD6A" w14:textId="77777777" w:rsidR="00F21077" w:rsidRPr="001B1E2C" w:rsidRDefault="00F21077" w:rsidP="0065698B">
      <w:pPr>
        <w:numPr>
          <w:ilvl w:val="0"/>
          <w:numId w:val="32"/>
        </w:numPr>
        <w:jc w:val="both"/>
        <w:rPr>
          <w:rFonts w:asciiTheme="minorHAnsi" w:hAnsiTheme="minorHAnsi"/>
        </w:rPr>
      </w:pPr>
      <w:r w:rsidRPr="001B1E2C">
        <w:rPr>
          <w:rFonts w:asciiTheme="minorHAnsi" w:hAnsiTheme="minorHAnsi"/>
        </w:rPr>
        <w:t xml:space="preserve">Hospodaření státu EU a další data </w:t>
      </w:r>
      <w:hyperlink r:id="rId37" w:history="1">
        <w:r w:rsidRPr="001B1E2C">
          <w:rPr>
            <w:rStyle w:val="Hypertextovodkaz"/>
            <w:rFonts w:asciiTheme="minorHAnsi" w:hAnsiTheme="minorHAnsi"/>
          </w:rPr>
          <w:t>https://</w:t>
        </w:r>
      </w:hyperlink>
      <w:hyperlink r:id="rId38" w:history="1">
        <w:r w:rsidRPr="001B1E2C">
          <w:rPr>
            <w:rStyle w:val="Hypertextovodkaz"/>
            <w:rFonts w:asciiTheme="minorHAnsi" w:hAnsiTheme="minorHAnsi"/>
          </w:rPr>
          <w:t>ec.europa.eu/eurostat/data/database</w:t>
        </w:r>
      </w:hyperlink>
    </w:p>
    <w:p w14:paraId="2FB90E57" w14:textId="77777777" w:rsidR="00F21077" w:rsidRPr="001B1E2C" w:rsidRDefault="00F21077" w:rsidP="00F21077">
      <w:pPr>
        <w:jc w:val="both"/>
        <w:rPr>
          <w:rFonts w:asciiTheme="minorHAnsi" w:hAnsiTheme="minorHAnsi"/>
        </w:rPr>
      </w:pPr>
      <w:r w:rsidRPr="001B1E2C">
        <w:rPr>
          <w:rFonts w:asciiTheme="minorHAnsi" w:hAnsiTheme="minorHAnsi"/>
          <w:b/>
          <w:bCs/>
        </w:rPr>
        <w:t>4. Další zdroje – vytvořené neziskovým sektorem, například:</w:t>
      </w:r>
    </w:p>
    <w:p w14:paraId="6967E97C" w14:textId="77777777" w:rsidR="00F21077" w:rsidRPr="001B1E2C" w:rsidRDefault="00F21077" w:rsidP="0065698B">
      <w:pPr>
        <w:numPr>
          <w:ilvl w:val="0"/>
          <w:numId w:val="33"/>
        </w:numPr>
        <w:jc w:val="both"/>
        <w:rPr>
          <w:rFonts w:asciiTheme="minorHAnsi" w:hAnsiTheme="minorHAnsi"/>
        </w:rPr>
      </w:pPr>
      <w:r w:rsidRPr="001B1E2C">
        <w:rPr>
          <w:rFonts w:asciiTheme="minorHAnsi" w:hAnsiTheme="minorHAnsi"/>
        </w:rPr>
        <w:t xml:space="preserve">Ekonomická data v databázi „Hlídač státu“ </w:t>
      </w:r>
      <w:hyperlink r:id="rId39" w:history="1">
        <w:r w:rsidRPr="001B1E2C">
          <w:rPr>
            <w:rStyle w:val="Hypertextovodkaz"/>
            <w:rFonts w:asciiTheme="minorHAnsi" w:hAnsiTheme="minorHAnsi"/>
          </w:rPr>
          <w:t>https://www.hlidacstatu.cz/</w:t>
        </w:r>
      </w:hyperlink>
    </w:p>
    <w:p w14:paraId="527517A2" w14:textId="77777777" w:rsidR="00F21077" w:rsidRPr="001B1E2C" w:rsidRDefault="00F21077" w:rsidP="0065698B">
      <w:pPr>
        <w:numPr>
          <w:ilvl w:val="0"/>
          <w:numId w:val="33"/>
        </w:numPr>
        <w:jc w:val="both"/>
        <w:rPr>
          <w:rFonts w:asciiTheme="minorHAnsi" w:hAnsiTheme="minorHAnsi"/>
        </w:rPr>
      </w:pPr>
      <w:r w:rsidRPr="001B1E2C">
        <w:rPr>
          <w:rFonts w:asciiTheme="minorHAnsi" w:hAnsiTheme="minorHAnsi"/>
        </w:rPr>
        <w:t xml:space="preserve">Databáze veřejných strategií </w:t>
      </w:r>
      <w:hyperlink r:id="rId40" w:history="1">
        <w:r w:rsidRPr="001B1E2C">
          <w:rPr>
            <w:rStyle w:val="Hypertextovodkaz"/>
            <w:rFonts w:asciiTheme="minorHAnsi" w:hAnsiTheme="minorHAnsi"/>
          </w:rPr>
          <w:t>http://databaze-strategie.cz</w:t>
        </w:r>
      </w:hyperlink>
      <w:hyperlink r:id="rId41" w:history="1">
        <w:r w:rsidRPr="001B1E2C">
          <w:rPr>
            <w:rStyle w:val="Hypertextovodkaz"/>
            <w:rFonts w:asciiTheme="minorHAnsi" w:hAnsiTheme="minorHAnsi"/>
          </w:rPr>
          <w:t>/</w:t>
        </w:r>
      </w:hyperlink>
    </w:p>
    <w:p w14:paraId="711876AB" w14:textId="17646A72" w:rsidR="00F21077" w:rsidRDefault="00F21077" w:rsidP="00F21077">
      <w:pPr>
        <w:rPr>
          <w:rFonts w:ascii="Calibri" w:hAnsi="Calibri"/>
        </w:rPr>
      </w:pPr>
    </w:p>
    <w:p w14:paraId="0A3B8CAF" w14:textId="75C5DC82" w:rsidR="00A76C03" w:rsidRDefault="007723A2" w:rsidP="007723A2">
      <w:pPr>
        <w:jc w:val="both"/>
        <w:rPr>
          <w:rFonts w:ascii="Calibri" w:hAnsi="Calibri"/>
        </w:rPr>
      </w:pPr>
      <w:r>
        <w:rPr>
          <w:rFonts w:ascii="Calibri" w:hAnsi="Calibri"/>
        </w:rPr>
        <w:lastRenderedPageBreak/>
        <w:t xml:space="preserve">Jiný pohled na členění zdrojů finančních informací a dat při strategické práci je </w:t>
      </w:r>
      <w:r w:rsidRPr="0068611A">
        <w:rPr>
          <w:rFonts w:ascii="Calibri" w:hAnsi="Calibri"/>
          <w:b/>
        </w:rPr>
        <w:t>dle toho, čeho se týkají.</w:t>
      </w:r>
      <w:r>
        <w:rPr>
          <w:rFonts w:ascii="Calibri" w:hAnsi="Calibri"/>
        </w:rPr>
        <w:t xml:space="preserve"> </w:t>
      </w:r>
      <w:r w:rsidR="00A76C03">
        <w:rPr>
          <w:rFonts w:ascii="Calibri" w:hAnsi="Calibri"/>
        </w:rPr>
        <w:t xml:space="preserve">To zachycuje </w:t>
      </w:r>
      <w:r w:rsidR="00A76C03" w:rsidRPr="00A76C03">
        <w:rPr>
          <w:rFonts w:ascii="Calibri" w:hAnsi="Calibri"/>
        </w:rPr>
        <w:t>následující obrázek</w:t>
      </w:r>
      <w:r w:rsidR="00A76C03">
        <w:rPr>
          <w:rFonts w:ascii="Calibri" w:hAnsi="Calibri"/>
        </w:rPr>
        <w:t xml:space="preserve">. </w:t>
      </w:r>
      <w:r>
        <w:rPr>
          <w:rFonts w:ascii="Calibri" w:hAnsi="Calibri"/>
        </w:rPr>
        <w:t>Pak je můžeme členit na</w:t>
      </w:r>
      <w:r w:rsidR="00A76C03">
        <w:rPr>
          <w:rFonts w:ascii="Calibri" w:hAnsi="Calibri"/>
        </w:rPr>
        <w:t>:</w:t>
      </w:r>
      <w:r>
        <w:rPr>
          <w:rFonts w:ascii="Calibri" w:hAnsi="Calibri"/>
        </w:rPr>
        <w:t xml:space="preserve"> </w:t>
      </w:r>
    </w:p>
    <w:p w14:paraId="17625BA3" w14:textId="6CBB3B96" w:rsidR="00A76C03" w:rsidRDefault="00A76C03" w:rsidP="0065698B">
      <w:pPr>
        <w:pStyle w:val="Odstavecseseznamem"/>
        <w:numPr>
          <w:ilvl w:val="0"/>
          <w:numId w:val="46"/>
        </w:numPr>
        <w:jc w:val="both"/>
        <w:rPr>
          <w:rFonts w:ascii="Calibri" w:hAnsi="Calibri"/>
        </w:rPr>
      </w:pPr>
      <w:r>
        <w:rPr>
          <w:rFonts w:ascii="Calibri" w:hAnsi="Calibri"/>
          <w:b/>
        </w:rPr>
        <w:t>D</w:t>
      </w:r>
      <w:r w:rsidR="007723A2" w:rsidRPr="00A76C03">
        <w:rPr>
          <w:rFonts w:ascii="Calibri" w:hAnsi="Calibri"/>
          <w:b/>
        </w:rPr>
        <w:t>ata k současnosti nebo minulosti</w:t>
      </w:r>
      <w:r w:rsidR="00C032B1" w:rsidRPr="00A76C03">
        <w:rPr>
          <w:rFonts w:ascii="Calibri" w:hAnsi="Calibri"/>
          <w:b/>
        </w:rPr>
        <w:t xml:space="preserve"> </w:t>
      </w:r>
    </w:p>
    <w:p w14:paraId="20690C02" w14:textId="782CC751" w:rsidR="00A76C03" w:rsidRDefault="00A76C03" w:rsidP="0065698B">
      <w:pPr>
        <w:pStyle w:val="Odstavecseseznamem"/>
        <w:numPr>
          <w:ilvl w:val="1"/>
          <w:numId w:val="46"/>
        </w:numPr>
        <w:ind w:left="1134"/>
        <w:jc w:val="both"/>
        <w:rPr>
          <w:rFonts w:ascii="Calibri" w:hAnsi="Calibri"/>
        </w:rPr>
      </w:pPr>
      <w:r>
        <w:rPr>
          <w:rFonts w:ascii="Calibri" w:hAnsi="Calibri"/>
        </w:rPr>
        <w:t>T</w:t>
      </w:r>
      <w:r w:rsidR="00C032B1" w:rsidRPr="00A76C03">
        <w:rPr>
          <w:rFonts w:ascii="Calibri" w:hAnsi="Calibri"/>
        </w:rPr>
        <w:t>y potřebujeme k hodnocení vývoje neboli trendu</w:t>
      </w:r>
      <w:r>
        <w:rPr>
          <w:rFonts w:ascii="Calibri" w:hAnsi="Calibri"/>
        </w:rPr>
        <w:t xml:space="preserve"> – můžeme například hodnotit výdaje celkem nebo na konkrétní činnosti za posledních 10 let.</w:t>
      </w:r>
      <w:r w:rsidR="00C032B1" w:rsidRPr="00A76C03">
        <w:rPr>
          <w:rFonts w:ascii="Calibri" w:hAnsi="Calibri"/>
        </w:rPr>
        <w:t xml:space="preserve"> </w:t>
      </w:r>
      <w:r>
        <w:rPr>
          <w:rFonts w:ascii="Calibri" w:hAnsi="Calibri"/>
        </w:rPr>
        <w:t>V rámci trendu pak sledujeme, zda výdaje stoupají či klesají a hled</w:t>
      </w:r>
      <w:r w:rsidR="00560CD3">
        <w:rPr>
          <w:rFonts w:ascii="Calibri" w:hAnsi="Calibri"/>
        </w:rPr>
        <w:t>áme</w:t>
      </w:r>
      <w:r>
        <w:rPr>
          <w:rFonts w:ascii="Calibri" w:hAnsi="Calibri"/>
        </w:rPr>
        <w:t xml:space="preserve"> příčiny proč tomu tak je.</w:t>
      </w:r>
    </w:p>
    <w:p w14:paraId="28A48676" w14:textId="68E75A52" w:rsidR="00A76C03" w:rsidRDefault="00A76C03" w:rsidP="0065698B">
      <w:pPr>
        <w:pStyle w:val="Odstavecseseznamem"/>
        <w:numPr>
          <w:ilvl w:val="1"/>
          <w:numId w:val="46"/>
        </w:numPr>
        <w:ind w:left="1134"/>
        <w:jc w:val="both"/>
        <w:rPr>
          <w:rFonts w:ascii="Calibri" w:hAnsi="Calibri"/>
        </w:rPr>
      </w:pPr>
      <w:r>
        <w:rPr>
          <w:rFonts w:ascii="Calibri" w:hAnsi="Calibri"/>
        </w:rPr>
        <w:t>Lze hodnotit též poměrové ukazatele – například výdaje na jednoho zaměstnance, výdaje na jeden úkon a podobně</w:t>
      </w:r>
      <w:r w:rsidR="00560CD3">
        <w:rPr>
          <w:rFonts w:ascii="Calibri" w:hAnsi="Calibri"/>
        </w:rPr>
        <w:t>.</w:t>
      </w:r>
    </w:p>
    <w:p w14:paraId="144F649B" w14:textId="637B6AEB" w:rsidR="00A76C03" w:rsidRPr="00A76C03" w:rsidRDefault="00A76C03" w:rsidP="0065698B">
      <w:pPr>
        <w:pStyle w:val="Odstavecseseznamem"/>
        <w:numPr>
          <w:ilvl w:val="1"/>
          <w:numId w:val="46"/>
        </w:numPr>
        <w:ind w:left="1134"/>
        <w:jc w:val="both"/>
        <w:rPr>
          <w:rFonts w:ascii="Calibri" w:hAnsi="Calibri"/>
        </w:rPr>
      </w:pPr>
      <w:r>
        <w:rPr>
          <w:rFonts w:ascii="Calibri" w:hAnsi="Calibri"/>
        </w:rPr>
        <w:t>T</w:t>
      </w:r>
      <w:r w:rsidR="00C032B1" w:rsidRPr="00A76C03">
        <w:rPr>
          <w:rFonts w:ascii="Calibri" w:hAnsi="Calibri"/>
        </w:rPr>
        <w:t>éž můžeme provádět komparaci se srovnatelnými institucemi</w:t>
      </w:r>
      <w:r>
        <w:rPr>
          <w:rFonts w:ascii="Calibri" w:hAnsi="Calibri"/>
        </w:rPr>
        <w:t>, respektive provádět benchmarking.</w:t>
      </w:r>
    </w:p>
    <w:p w14:paraId="74D7EDBF" w14:textId="30AF47C7" w:rsidR="00A76C03" w:rsidRPr="00A76C03" w:rsidRDefault="00A76C03" w:rsidP="0065698B">
      <w:pPr>
        <w:pStyle w:val="Odstavecseseznamem"/>
        <w:numPr>
          <w:ilvl w:val="0"/>
          <w:numId w:val="46"/>
        </w:numPr>
        <w:jc w:val="both"/>
        <w:rPr>
          <w:rFonts w:ascii="Calibri" w:hAnsi="Calibri"/>
        </w:rPr>
      </w:pPr>
      <w:r>
        <w:rPr>
          <w:rFonts w:ascii="Calibri" w:hAnsi="Calibri"/>
          <w:b/>
        </w:rPr>
        <w:t>P</w:t>
      </w:r>
      <w:r w:rsidR="007723A2" w:rsidRPr="00A76C03">
        <w:rPr>
          <w:rFonts w:ascii="Calibri" w:hAnsi="Calibri"/>
          <w:b/>
        </w:rPr>
        <w:t>redikce, prognózy nebo výhledy</w:t>
      </w:r>
      <w:r w:rsidR="007723A2" w:rsidRPr="00A76C03">
        <w:rPr>
          <w:rFonts w:ascii="Calibri" w:hAnsi="Calibri"/>
        </w:rPr>
        <w:t xml:space="preserve"> (data k očekávanému vývoji, tedy k</w:t>
      </w:r>
      <w:r w:rsidR="00C032B1" w:rsidRPr="00A76C03">
        <w:rPr>
          <w:rFonts w:ascii="Calibri" w:hAnsi="Calibri"/>
        </w:rPr>
        <w:t> </w:t>
      </w:r>
      <w:r w:rsidR="007723A2" w:rsidRPr="00A76C03">
        <w:rPr>
          <w:rFonts w:ascii="Calibri" w:hAnsi="Calibri"/>
        </w:rPr>
        <w:t>budoucnosti</w:t>
      </w:r>
      <w:r w:rsidR="00C032B1" w:rsidRPr="00A76C03">
        <w:rPr>
          <w:rFonts w:ascii="Calibri" w:hAnsi="Calibri"/>
        </w:rPr>
        <w:t>; můžeme též provádět vlastní predikce – například pomocí tvorby scénářů nebo nástrojů systémové dynamiky</w:t>
      </w:r>
      <w:r w:rsidR="007723A2" w:rsidRPr="00A76C03">
        <w:rPr>
          <w:rFonts w:ascii="Calibri" w:hAnsi="Calibri"/>
        </w:rPr>
        <w:t>)</w:t>
      </w:r>
      <w:r w:rsidR="00560CD3">
        <w:rPr>
          <w:rFonts w:ascii="Calibri" w:hAnsi="Calibri"/>
        </w:rPr>
        <w:t>.</w:t>
      </w:r>
      <w:r w:rsidR="007723A2" w:rsidRPr="00A76C03">
        <w:rPr>
          <w:rFonts w:ascii="Calibri" w:hAnsi="Calibri"/>
        </w:rPr>
        <w:t xml:space="preserve"> </w:t>
      </w:r>
    </w:p>
    <w:p w14:paraId="66E75A36" w14:textId="03A53E5E" w:rsidR="007723A2" w:rsidRPr="00A76C03" w:rsidRDefault="00A76C03" w:rsidP="0065698B">
      <w:pPr>
        <w:pStyle w:val="Odstavecseseznamem"/>
        <w:numPr>
          <w:ilvl w:val="0"/>
          <w:numId w:val="46"/>
        </w:numPr>
        <w:jc w:val="both"/>
        <w:rPr>
          <w:rFonts w:ascii="Calibri" w:hAnsi="Calibri"/>
        </w:rPr>
      </w:pPr>
      <w:r>
        <w:rPr>
          <w:rFonts w:ascii="Calibri" w:hAnsi="Calibri"/>
          <w:b/>
        </w:rPr>
        <w:t>O</w:t>
      </w:r>
      <w:r w:rsidR="007723A2" w:rsidRPr="00A76C03">
        <w:rPr>
          <w:rFonts w:ascii="Calibri" w:hAnsi="Calibri"/>
          <w:b/>
        </w:rPr>
        <w:t>statní relevantní informace</w:t>
      </w:r>
      <w:r w:rsidR="007723A2" w:rsidRPr="00A76C03">
        <w:rPr>
          <w:rFonts w:ascii="Calibri" w:hAnsi="Calibri"/>
        </w:rPr>
        <w:t xml:space="preserve"> </w:t>
      </w:r>
      <w:r w:rsidR="00C032B1" w:rsidRPr="00A76C03">
        <w:rPr>
          <w:rFonts w:ascii="Calibri" w:hAnsi="Calibri"/>
        </w:rPr>
        <w:t xml:space="preserve">- </w:t>
      </w:r>
      <w:r w:rsidR="007723A2" w:rsidRPr="00A76C03">
        <w:rPr>
          <w:rFonts w:ascii="Calibri" w:hAnsi="Calibri"/>
        </w:rPr>
        <w:t xml:space="preserve">například postupy, </w:t>
      </w:r>
      <w:r w:rsidR="006C15AF" w:rsidRPr="00A76C03">
        <w:rPr>
          <w:rFonts w:ascii="Calibri" w:hAnsi="Calibri"/>
        </w:rPr>
        <w:t xml:space="preserve">závazné ukazatele, </w:t>
      </w:r>
      <w:r w:rsidR="007723A2" w:rsidRPr="00A76C03">
        <w:rPr>
          <w:rFonts w:ascii="Calibri" w:hAnsi="Calibri"/>
        </w:rPr>
        <w:t>návody, metodická doporučení a podobně.</w:t>
      </w:r>
      <w:r w:rsidR="0068611A" w:rsidRPr="00A76C03">
        <w:rPr>
          <w:rFonts w:ascii="Calibri" w:hAnsi="Calibri"/>
        </w:rPr>
        <w:t xml:space="preserve"> </w:t>
      </w:r>
    </w:p>
    <w:p w14:paraId="28D3DB2C" w14:textId="7B590712" w:rsidR="00454403" w:rsidRDefault="0068611A" w:rsidP="00454403">
      <w:pPr>
        <w:pStyle w:val="Zkladntext3"/>
        <w:spacing w:after="0" w:line="360" w:lineRule="auto"/>
        <w:jc w:val="both"/>
        <w:rPr>
          <w:rFonts w:asciiTheme="minorHAnsi" w:eastAsia="Calibri" w:hAnsiTheme="minorHAnsi" w:cstheme="minorHAnsi"/>
          <w:i/>
          <w:iCs/>
          <w:sz w:val="24"/>
          <w:szCs w:val="24"/>
        </w:rPr>
      </w:pPr>
      <w:r w:rsidRPr="006C15AF">
        <w:rPr>
          <w:rFonts w:asciiTheme="minorHAnsi" w:eastAsia="Calibri" w:hAnsiTheme="minorHAnsi" w:cstheme="minorHAnsi"/>
          <w:i/>
          <w:iCs/>
          <w:noProof/>
          <w:sz w:val="24"/>
          <w:szCs w:val="24"/>
        </w:rPr>
        <mc:AlternateContent>
          <mc:Choice Requires="wpg">
            <w:drawing>
              <wp:anchor distT="0" distB="0" distL="114300" distR="114300" simplePos="0" relativeHeight="251543040" behindDoc="0" locked="0" layoutInCell="1" allowOverlap="1" wp14:anchorId="01A10E4A" wp14:editId="095D803C">
                <wp:simplePos x="0" y="0"/>
                <wp:positionH relativeFrom="column">
                  <wp:posOffset>-15240</wp:posOffset>
                </wp:positionH>
                <wp:positionV relativeFrom="paragraph">
                  <wp:posOffset>280035</wp:posOffset>
                </wp:positionV>
                <wp:extent cx="5915025" cy="3356610"/>
                <wp:effectExtent l="0" t="0" r="28575" b="15240"/>
                <wp:wrapNone/>
                <wp:docPr id="23631" name="Skupina 23631"/>
                <wp:cNvGraphicFramePr/>
                <a:graphic xmlns:a="http://schemas.openxmlformats.org/drawingml/2006/main">
                  <a:graphicData uri="http://schemas.microsoft.com/office/word/2010/wordprocessingGroup">
                    <wpg:wgp>
                      <wpg:cNvGrpSpPr/>
                      <wpg:grpSpPr>
                        <a:xfrm>
                          <a:off x="0" y="0"/>
                          <a:ext cx="5915025" cy="3356610"/>
                          <a:chOff x="0" y="5443"/>
                          <a:chExt cx="5915025" cy="3356610"/>
                        </a:xfrm>
                      </wpg:grpSpPr>
                      <wps:wsp>
                        <wps:cNvPr id="24037" name="Textové pole 2"/>
                        <wps:cNvSpPr txBox="1">
                          <a:spLocks noChangeArrowheads="1"/>
                        </wps:cNvSpPr>
                        <wps:spPr bwMode="auto">
                          <a:xfrm>
                            <a:off x="1323975" y="247650"/>
                            <a:ext cx="1162050" cy="1085851"/>
                          </a:xfrm>
                          <a:prstGeom prst="rect">
                            <a:avLst/>
                          </a:prstGeom>
                          <a:solidFill>
                            <a:schemeClr val="bg1">
                              <a:lumMod val="95000"/>
                            </a:schemeClr>
                          </a:solidFill>
                          <a:ln w="3175">
                            <a:solidFill>
                              <a:srgbClr val="0070C0"/>
                            </a:solidFill>
                            <a:prstDash val="solid"/>
                            <a:miter lim="800000"/>
                            <a:headEnd/>
                            <a:tailEnd/>
                          </a:ln>
                        </wps:spPr>
                        <wps:txbx>
                          <w:txbxContent>
                            <w:p w14:paraId="774027F8" w14:textId="284ECA8C" w:rsidR="00511D9B" w:rsidRPr="0068611A" w:rsidRDefault="00511D9B" w:rsidP="00487065">
                              <w:pPr>
                                <w:spacing w:line="180" w:lineRule="auto"/>
                                <w:jc w:val="center"/>
                                <w:rPr>
                                  <w:rFonts w:asciiTheme="minorHAnsi" w:hAnsiTheme="minorHAnsi" w:cstheme="minorHAnsi"/>
                                  <w:sz w:val="22"/>
                                  <w:szCs w:val="20"/>
                                </w:rPr>
                              </w:pPr>
                              <w:r w:rsidRPr="00454403">
                                <w:rPr>
                                  <w:rFonts w:asciiTheme="minorHAnsi" w:hAnsiTheme="minorHAnsi" w:cstheme="minorHAnsi"/>
                                  <w:b/>
                                  <w:szCs w:val="20"/>
                                </w:rPr>
                                <w:t>Data k minulosti nebo současnosti</w:t>
                              </w:r>
                              <w:r>
                                <w:rPr>
                                  <w:rFonts w:asciiTheme="minorHAnsi" w:hAnsiTheme="minorHAnsi" w:cstheme="minorHAnsi"/>
                                  <w:b/>
                                  <w:szCs w:val="20"/>
                                </w:rPr>
                                <w:t xml:space="preserve"> </w:t>
                              </w:r>
                              <w:r w:rsidRPr="0068611A">
                                <w:rPr>
                                  <w:rFonts w:asciiTheme="minorHAnsi" w:hAnsiTheme="minorHAnsi" w:cstheme="minorHAnsi"/>
                                  <w:szCs w:val="20"/>
                                </w:rPr>
                                <w:t xml:space="preserve">(hodnotíme minulý vývoj, </w:t>
                              </w:r>
                              <w:r>
                                <w:rPr>
                                  <w:rFonts w:asciiTheme="minorHAnsi" w:hAnsiTheme="minorHAnsi" w:cstheme="minorHAnsi"/>
                                  <w:szCs w:val="20"/>
                                </w:rPr>
                                <w:t>obvykle</w:t>
                              </w:r>
                              <w:r w:rsidRPr="0068611A">
                                <w:rPr>
                                  <w:rFonts w:asciiTheme="minorHAnsi" w:hAnsiTheme="minorHAnsi" w:cstheme="minorHAnsi"/>
                                  <w:szCs w:val="20"/>
                                </w:rPr>
                                <w:t xml:space="preserve"> trend)</w:t>
                              </w:r>
                            </w:p>
                            <w:p w14:paraId="734A53F2" w14:textId="77777777" w:rsidR="00511D9B" w:rsidRPr="0068611A" w:rsidRDefault="00511D9B" w:rsidP="00454403">
                              <w:pPr>
                                <w:spacing w:line="180" w:lineRule="auto"/>
                                <w:rPr>
                                  <w:rFonts w:asciiTheme="minorHAnsi" w:hAnsiTheme="minorHAnsi" w:cstheme="minorHAnsi"/>
                                  <w:sz w:val="20"/>
                                </w:rPr>
                              </w:pPr>
                            </w:p>
                          </w:txbxContent>
                        </wps:txbx>
                        <wps:bodyPr rot="0" vert="horz" wrap="square" lIns="91440" tIns="45720" rIns="91440" bIns="45720" anchor="t" anchorCtr="0">
                          <a:noAutofit/>
                        </wps:bodyPr>
                      </wps:wsp>
                      <wps:wsp>
                        <wps:cNvPr id="24039" name="Textové pole 2"/>
                        <wps:cNvSpPr txBox="1">
                          <a:spLocks noChangeArrowheads="1"/>
                        </wps:cNvSpPr>
                        <wps:spPr bwMode="auto">
                          <a:xfrm>
                            <a:off x="0" y="1323975"/>
                            <a:ext cx="1082383" cy="617220"/>
                          </a:xfrm>
                          <a:prstGeom prst="rect">
                            <a:avLst/>
                          </a:prstGeom>
                          <a:solidFill>
                            <a:schemeClr val="bg1">
                              <a:lumMod val="95000"/>
                            </a:schemeClr>
                          </a:solidFill>
                          <a:ln w="3175">
                            <a:solidFill>
                              <a:srgbClr val="0070C0"/>
                            </a:solidFill>
                            <a:prstDash val="solid"/>
                            <a:miter lim="800000"/>
                            <a:headEnd/>
                            <a:tailEnd/>
                          </a:ln>
                        </wps:spPr>
                        <wps:txbx>
                          <w:txbxContent>
                            <w:p w14:paraId="1AEE0F76" w14:textId="1EDC20B4" w:rsidR="00511D9B" w:rsidRPr="00E20C04" w:rsidRDefault="00511D9B" w:rsidP="00454403">
                              <w:pPr>
                                <w:spacing w:line="180" w:lineRule="auto"/>
                                <w:jc w:val="center"/>
                                <w:rPr>
                                  <w:rFonts w:asciiTheme="minorHAnsi" w:hAnsiTheme="minorHAnsi" w:cstheme="minorHAnsi"/>
                                  <w:b/>
                                  <w:sz w:val="32"/>
                                </w:rPr>
                              </w:pPr>
                              <w:r>
                                <w:rPr>
                                  <w:rFonts w:asciiTheme="minorHAnsi" w:hAnsiTheme="minorHAnsi" w:cstheme="minorHAnsi"/>
                                  <w:b/>
                                  <w:sz w:val="32"/>
                                </w:rPr>
                                <w:t>Finanční data a informace</w:t>
                              </w:r>
                            </w:p>
                            <w:p w14:paraId="39D3EC32" w14:textId="77777777" w:rsidR="00511D9B" w:rsidRPr="00576CB4" w:rsidRDefault="00511D9B" w:rsidP="00454403">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4042" name="Textové pole 2"/>
                        <wps:cNvSpPr txBox="1">
                          <a:spLocks noChangeArrowheads="1"/>
                        </wps:cNvSpPr>
                        <wps:spPr bwMode="auto">
                          <a:xfrm>
                            <a:off x="1323975" y="1463040"/>
                            <a:ext cx="1162050" cy="647700"/>
                          </a:xfrm>
                          <a:prstGeom prst="rect">
                            <a:avLst/>
                          </a:prstGeom>
                          <a:solidFill>
                            <a:schemeClr val="bg1">
                              <a:lumMod val="95000"/>
                            </a:schemeClr>
                          </a:solidFill>
                          <a:ln w="3175">
                            <a:solidFill>
                              <a:srgbClr val="0070C0"/>
                            </a:solidFill>
                            <a:prstDash val="solid"/>
                            <a:miter lim="800000"/>
                            <a:headEnd/>
                            <a:tailEnd/>
                          </a:ln>
                        </wps:spPr>
                        <wps:txbx>
                          <w:txbxContent>
                            <w:p w14:paraId="0663E7B3" w14:textId="7BE01167" w:rsidR="00511D9B" w:rsidRPr="00454403" w:rsidRDefault="00511D9B" w:rsidP="00487065">
                              <w:pPr>
                                <w:spacing w:line="180" w:lineRule="auto"/>
                                <w:jc w:val="center"/>
                                <w:rPr>
                                  <w:rFonts w:asciiTheme="minorHAnsi" w:hAnsiTheme="minorHAnsi" w:cstheme="minorHAnsi"/>
                                  <w:sz w:val="22"/>
                                  <w:szCs w:val="20"/>
                                </w:rPr>
                              </w:pPr>
                              <w:r>
                                <w:rPr>
                                  <w:rFonts w:asciiTheme="minorHAnsi" w:hAnsiTheme="minorHAnsi" w:cstheme="minorHAnsi"/>
                                  <w:b/>
                                  <w:szCs w:val="20"/>
                                </w:rPr>
                                <w:t>Predikce, výhledy (data k budoucnosti)</w:t>
                              </w:r>
                            </w:p>
                            <w:p w14:paraId="12CACDF1" w14:textId="77777777" w:rsidR="00511D9B" w:rsidRPr="00576CB4" w:rsidRDefault="00511D9B" w:rsidP="00454403">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4043" name="Textové pole 2"/>
                        <wps:cNvSpPr txBox="1">
                          <a:spLocks noChangeArrowheads="1"/>
                        </wps:cNvSpPr>
                        <wps:spPr bwMode="auto">
                          <a:xfrm>
                            <a:off x="2790825" y="5443"/>
                            <a:ext cx="3124200" cy="247650"/>
                          </a:xfrm>
                          <a:prstGeom prst="rect">
                            <a:avLst/>
                          </a:prstGeom>
                          <a:solidFill>
                            <a:schemeClr val="bg1"/>
                          </a:solidFill>
                          <a:ln w="3175">
                            <a:solidFill>
                              <a:srgbClr val="0070C0"/>
                            </a:solidFill>
                            <a:prstDash val="solid"/>
                            <a:miter lim="800000"/>
                            <a:headEnd/>
                            <a:tailEnd/>
                          </a:ln>
                        </wps:spPr>
                        <wps:txbx>
                          <w:txbxContent>
                            <w:p w14:paraId="6BB9AA01" w14:textId="360B66C8" w:rsidR="00511D9B" w:rsidRPr="00EA7814" w:rsidRDefault="00511D9B" w:rsidP="00560CD3">
                              <w:pPr>
                                <w:spacing w:before="20" w:line="180" w:lineRule="auto"/>
                                <w:rPr>
                                  <w:rFonts w:asciiTheme="minorHAnsi" w:hAnsiTheme="minorHAnsi" w:cstheme="minorHAnsi"/>
                                  <w:sz w:val="22"/>
                                  <w:szCs w:val="20"/>
                                </w:rPr>
                              </w:pPr>
                              <w:r w:rsidRPr="00EA7814">
                                <w:rPr>
                                  <w:rFonts w:asciiTheme="minorHAnsi" w:hAnsiTheme="minorHAnsi" w:cstheme="minorHAnsi"/>
                                  <w:szCs w:val="20"/>
                                </w:rPr>
                                <w:t>Databáze MFČR: např. MONITOR</w:t>
                              </w:r>
                            </w:p>
                            <w:p w14:paraId="4CBBE0B3" w14:textId="77777777" w:rsidR="00511D9B" w:rsidRPr="00EA7814" w:rsidRDefault="00511D9B" w:rsidP="008A1A63">
                              <w:pPr>
                                <w:spacing w:line="180" w:lineRule="auto"/>
                                <w:rPr>
                                  <w:rFonts w:asciiTheme="minorHAnsi" w:hAnsiTheme="minorHAnsi" w:cstheme="minorHAnsi"/>
                                  <w:sz w:val="20"/>
                                </w:rPr>
                              </w:pPr>
                            </w:p>
                          </w:txbxContent>
                        </wps:txbx>
                        <wps:bodyPr rot="0" vert="horz" wrap="square" lIns="91440" tIns="45720" rIns="91440" bIns="45720" anchor="t" anchorCtr="0">
                          <a:noAutofit/>
                        </wps:bodyPr>
                      </wps:wsp>
                      <wps:wsp>
                        <wps:cNvPr id="24044" name="Textové pole 2"/>
                        <wps:cNvSpPr txBox="1">
                          <a:spLocks noChangeArrowheads="1"/>
                        </wps:cNvSpPr>
                        <wps:spPr bwMode="auto">
                          <a:xfrm>
                            <a:off x="2790825" y="253093"/>
                            <a:ext cx="3124200" cy="368935"/>
                          </a:xfrm>
                          <a:prstGeom prst="rect">
                            <a:avLst/>
                          </a:prstGeom>
                          <a:solidFill>
                            <a:schemeClr val="bg1"/>
                          </a:solidFill>
                          <a:ln w="3175">
                            <a:solidFill>
                              <a:srgbClr val="0070C0"/>
                            </a:solidFill>
                            <a:prstDash val="solid"/>
                            <a:miter lim="800000"/>
                            <a:headEnd/>
                            <a:tailEnd/>
                          </a:ln>
                        </wps:spPr>
                        <wps:txbx>
                          <w:txbxContent>
                            <w:p w14:paraId="7C4388C6" w14:textId="096E455C" w:rsidR="00511D9B" w:rsidRPr="00EA7814" w:rsidRDefault="00511D9B" w:rsidP="00560CD3">
                              <w:pPr>
                                <w:spacing w:before="20" w:line="180" w:lineRule="auto"/>
                                <w:rPr>
                                  <w:rFonts w:asciiTheme="minorHAnsi" w:hAnsiTheme="minorHAnsi" w:cstheme="minorHAnsi"/>
                                  <w:sz w:val="22"/>
                                  <w:szCs w:val="20"/>
                                </w:rPr>
                              </w:pPr>
                              <w:r w:rsidRPr="00EA7814">
                                <w:rPr>
                                  <w:rFonts w:asciiTheme="minorHAnsi" w:hAnsiTheme="minorHAnsi" w:cstheme="minorHAnsi"/>
                                  <w:szCs w:val="20"/>
                                </w:rPr>
                                <w:t>Veřejné databáze</w:t>
                              </w:r>
                              <w:r>
                                <w:rPr>
                                  <w:rFonts w:asciiTheme="minorHAnsi" w:hAnsiTheme="minorHAnsi" w:cstheme="minorHAnsi"/>
                                  <w:szCs w:val="20"/>
                                </w:rPr>
                                <w:t xml:space="preserve"> a zdroje</w:t>
                              </w:r>
                              <w:r w:rsidRPr="00EA7814">
                                <w:rPr>
                                  <w:rFonts w:asciiTheme="minorHAnsi" w:hAnsiTheme="minorHAnsi" w:cstheme="minorHAnsi"/>
                                  <w:szCs w:val="20"/>
                                </w:rPr>
                                <w:t>: ČSÚ, Registr smluv, databáze veřejných zakázek, …</w:t>
                              </w:r>
                            </w:p>
                            <w:p w14:paraId="45E3213F" w14:textId="77777777" w:rsidR="00511D9B" w:rsidRPr="00576CB4" w:rsidRDefault="00511D9B" w:rsidP="008A1A63">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4046" name="Textové pole 2"/>
                        <wps:cNvSpPr txBox="1">
                          <a:spLocks noChangeArrowheads="1"/>
                        </wps:cNvSpPr>
                        <wps:spPr bwMode="auto">
                          <a:xfrm>
                            <a:off x="2790825" y="619125"/>
                            <a:ext cx="3124200" cy="266700"/>
                          </a:xfrm>
                          <a:prstGeom prst="rect">
                            <a:avLst/>
                          </a:prstGeom>
                          <a:solidFill>
                            <a:schemeClr val="bg1"/>
                          </a:solidFill>
                          <a:ln w="3175">
                            <a:solidFill>
                              <a:srgbClr val="0070C0"/>
                            </a:solidFill>
                            <a:prstDash val="solid"/>
                            <a:miter lim="800000"/>
                            <a:headEnd/>
                            <a:tailEnd/>
                          </a:ln>
                        </wps:spPr>
                        <wps:txbx>
                          <w:txbxContent>
                            <w:p w14:paraId="2D98E125" w14:textId="0F2ED437" w:rsidR="00511D9B" w:rsidRPr="00EA7814" w:rsidRDefault="00511D9B" w:rsidP="008A1A63">
                              <w:pPr>
                                <w:spacing w:line="180" w:lineRule="auto"/>
                                <w:rPr>
                                  <w:rFonts w:asciiTheme="minorHAnsi" w:hAnsiTheme="minorHAnsi" w:cstheme="minorHAnsi"/>
                                  <w:sz w:val="22"/>
                                  <w:szCs w:val="20"/>
                                </w:rPr>
                              </w:pPr>
                              <w:r w:rsidRPr="00EA7814">
                                <w:rPr>
                                  <w:rFonts w:asciiTheme="minorHAnsi" w:hAnsiTheme="minorHAnsi" w:cstheme="minorHAnsi"/>
                                  <w:szCs w:val="20"/>
                                </w:rPr>
                                <w:t>Data EU: např. EUROSTAT, …</w:t>
                              </w:r>
                            </w:p>
                            <w:p w14:paraId="5D020309" w14:textId="77777777" w:rsidR="00511D9B" w:rsidRPr="00576CB4" w:rsidRDefault="00511D9B" w:rsidP="008A1A63">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4047" name="Textové pole 2"/>
                        <wps:cNvSpPr txBox="1">
                          <a:spLocks noChangeArrowheads="1"/>
                        </wps:cNvSpPr>
                        <wps:spPr bwMode="auto">
                          <a:xfrm>
                            <a:off x="2790825" y="876300"/>
                            <a:ext cx="3124200" cy="371475"/>
                          </a:xfrm>
                          <a:prstGeom prst="rect">
                            <a:avLst/>
                          </a:prstGeom>
                          <a:solidFill>
                            <a:schemeClr val="bg1"/>
                          </a:solidFill>
                          <a:ln w="3175">
                            <a:solidFill>
                              <a:srgbClr val="0070C0"/>
                            </a:solidFill>
                            <a:prstDash val="solid"/>
                            <a:miter lim="800000"/>
                            <a:headEnd/>
                            <a:tailEnd/>
                          </a:ln>
                        </wps:spPr>
                        <wps:txbx>
                          <w:txbxContent>
                            <w:p w14:paraId="438B021F" w14:textId="01FFDF8E" w:rsidR="00511D9B" w:rsidRPr="00EA7814" w:rsidRDefault="00511D9B" w:rsidP="008A1A63">
                              <w:pPr>
                                <w:spacing w:line="180" w:lineRule="auto"/>
                                <w:rPr>
                                  <w:rFonts w:asciiTheme="minorHAnsi" w:hAnsiTheme="minorHAnsi" w:cstheme="minorHAnsi"/>
                                  <w:sz w:val="22"/>
                                  <w:szCs w:val="20"/>
                                </w:rPr>
                              </w:pPr>
                              <w:r w:rsidRPr="00EA7814">
                                <w:rPr>
                                  <w:rFonts w:asciiTheme="minorHAnsi" w:hAnsiTheme="minorHAnsi" w:cstheme="minorHAnsi"/>
                                  <w:szCs w:val="20"/>
                                </w:rPr>
                                <w:t>Neziskový sektor: např. Hlídač státu, databáze veřejných strategií, …</w:t>
                              </w:r>
                            </w:p>
                            <w:p w14:paraId="46DD301C" w14:textId="77777777" w:rsidR="00511D9B" w:rsidRPr="00576CB4" w:rsidRDefault="00511D9B" w:rsidP="008A1A63">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4045" name="Textové pole 2"/>
                        <wps:cNvSpPr txBox="1">
                          <a:spLocks noChangeArrowheads="1"/>
                        </wps:cNvSpPr>
                        <wps:spPr bwMode="auto">
                          <a:xfrm>
                            <a:off x="2790825" y="1247775"/>
                            <a:ext cx="3124200" cy="257175"/>
                          </a:xfrm>
                          <a:prstGeom prst="rect">
                            <a:avLst/>
                          </a:prstGeom>
                          <a:solidFill>
                            <a:schemeClr val="bg1"/>
                          </a:solidFill>
                          <a:ln w="3175">
                            <a:solidFill>
                              <a:srgbClr val="0070C0"/>
                            </a:solidFill>
                            <a:prstDash val="solid"/>
                            <a:miter lim="800000"/>
                            <a:headEnd/>
                            <a:tailEnd/>
                          </a:ln>
                        </wps:spPr>
                        <wps:txbx>
                          <w:txbxContent>
                            <w:p w14:paraId="7F878058" w14:textId="6C8A9980" w:rsidR="00511D9B" w:rsidRPr="00EA7814" w:rsidRDefault="00511D9B" w:rsidP="008A1A63">
                              <w:pPr>
                                <w:spacing w:line="180" w:lineRule="auto"/>
                                <w:rPr>
                                  <w:rFonts w:asciiTheme="minorHAnsi" w:hAnsiTheme="minorHAnsi" w:cstheme="minorHAnsi"/>
                                  <w:sz w:val="22"/>
                                  <w:szCs w:val="20"/>
                                </w:rPr>
                              </w:pPr>
                              <w:r w:rsidRPr="00EA7814">
                                <w:rPr>
                                  <w:rFonts w:asciiTheme="minorHAnsi" w:hAnsiTheme="minorHAnsi" w:cstheme="minorHAnsi"/>
                                  <w:szCs w:val="20"/>
                                </w:rPr>
                                <w:t>Internetové stránky dané instituce</w:t>
                              </w:r>
                              <w:r>
                                <w:rPr>
                                  <w:rFonts w:asciiTheme="minorHAnsi" w:hAnsiTheme="minorHAnsi" w:cstheme="minorHAnsi"/>
                                  <w:szCs w:val="20"/>
                                </w:rPr>
                                <w:t>, jiné zdroje</w:t>
                              </w:r>
                            </w:p>
                          </w:txbxContent>
                        </wps:txbx>
                        <wps:bodyPr rot="0" vert="horz" wrap="square" lIns="91440" tIns="45720" rIns="91440" bIns="45720" anchor="t" anchorCtr="0">
                          <a:noAutofit/>
                        </wps:bodyPr>
                      </wps:wsp>
                      <wps:wsp>
                        <wps:cNvPr id="24048" name="Textové pole 2"/>
                        <wps:cNvSpPr txBox="1">
                          <a:spLocks noChangeArrowheads="1"/>
                        </wps:cNvSpPr>
                        <wps:spPr bwMode="auto">
                          <a:xfrm>
                            <a:off x="2790825" y="1590675"/>
                            <a:ext cx="3124200" cy="400050"/>
                          </a:xfrm>
                          <a:prstGeom prst="rect">
                            <a:avLst/>
                          </a:prstGeom>
                          <a:solidFill>
                            <a:schemeClr val="bg1"/>
                          </a:solidFill>
                          <a:ln w="3175">
                            <a:solidFill>
                              <a:srgbClr val="0070C0"/>
                            </a:solidFill>
                            <a:prstDash val="solid"/>
                            <a:miter lim="800000"/>
                            <a:headEnd/>
                            <a:tailEnd/>
                          </a:ln>
                        </wps:spPr>
                        <wps:txbx>
                          <w:txbxContent>
                            <w:p w14:paraId="3170914C" w14:textId="5427D632" w:rsidR="00511D9B" w:rsidRPr="00EA7814" w:rsidRDefault="00511D9B" w:rsidP="00560CD3">
                              <w:pPr>
                                <w:spacing w:before="20" w:line="180" w:lineRule="auto"/>
                                <w:rPr>
                                  <w:rFonts w:asciiTheme="minorHAnsi" w:hAnsiTheme="minorHAnsi" w:cstheme="minorHAnsi"/>
                                  <w:sz w:val="22"/>
                                  <w:szCs w:val="20"/>
                                </w:rPr>
                              </w:pPr>
                              <w:r w:rsidRPr="00EA7814">
                                <w:rPr>
                                  <w:rFonts w:asciiTheme="minorHAnsi" w:hAnsiTheme="minorHAnsi" w:cstheme="minorHAnsi"/>
                                  <w:szCs w:val="20"/>
                                </w:rPr>
                                <w:t xml:space="preserve">MFČR: výhled, predikce, </w:t>
                              </w:r>
                              <w:r w:rsidRPr="00EA7814">
                                <w:rPr>
                                  <w:rFonts w:asciiTheme="minorHAnsi" w:hAnsiTheme="minorHAnsi" w:cstheme="minorHAnsi"/>
                                  <w:color w:val="000000"/>
                                </w:rPr>
                                <w:t>rozpočtová strategie, konvergenční program, …</w:t>
                              </w:r>
                            </w:p>
                            <w:p w14:paraId="4682D7F1" w14:textId="77777777" w:rsidR="00511D9B" w:rsidRPr="00576CB4" w:rsidRDefault="00511D9B" w:rsidP="008A1A63">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4049" name="Textové pole 2"/>
                        <wps:cNvSpPr txBox="1">
                          <a:spLocks noChangeArrowheads="1"/>
                        </wps:cNvSpPr>
                        <wps:spPr bwMode="auto">
                          <a:xfrm>
                            <a:off x="2790825" y="1971675"/>
                            <a:ext cx="3124200" cy="771525"/>
                          </a:xfrm>
                          <a:prstGeom prst="rect">
                            <a:avLst/>
                          </a:prstGeom>
                          <a:solidFill>
                            <a:schemeClr val="bg1"/>
                          </a:solidFill>
                          <a:ln w="3175">
                            <a:solidFill>
                              <a:srgbClr val="0070C0"/>
                            </a:solidFill>
                            <a:prstDash val="solid"/>
                            <a:miter lim="800000"/>
                            <a:headEnd/>
                            <a:tailEnd/>
                          </a:ln>
                        </wps:spPr>
                        <wps:txbx>
                          <w:txbxContent>
                            <w:p w14:paraId="388C5CA8" w14:textId="60F24150"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Rozpočty:</w:t>
                              </w:r>
                            </w:p>
                            <w:p w14:paraId="099C462F" w14:textId="1ED084B2"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stát: rozpočet a výhled na 2 roky</w:t>
                              </w:r>
                            </w:p>
                            <w:p w14:paraId="407F5FE7" w14:textId="4EAF5436"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samosprávy: rozpočet a rozpočtový výhled na 2 až 5 let</w:t>
                              </w:r>
                            </w:p>
                            <w:p w14:paraId="373E8CAF" w14:textId="2A49521D"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EU: rozpočet a sedmiletý rámec</w:t>
                              </w:r>
                            </w:p>
                            <w:p w14:paraId="51CE90FF" w14:textId="77777777" w:rsidR="00511D9B" w:rsidRPr="00576CB4" w:rsidRDefault="00511D9B" w:rsidP="00EA7814">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4053" name="Zakřivená spojnice 24053"/>
                        <wps:cNvCnPr>
                          <a:stCxn id="24037" idx="3"/>
                          <a:endCxn id="24043" idx="1"/>
                        </wps:cNvCnPr>
                        <wps:spPr>
                          <a:xfrm flipV="1">
                            <a:off x="2486025" y="129268"/>
                            <a:ext cx="304800" cy="661308"/>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052" name="Zakřivená spojnice 24052"/>
                        <wps:cNvCnPr>
                          <a:stCxn id="24037" idx="3"/>
                          <a:endCxn id="24044" idx="1"/>
                        </wps:cNvCnPr>
                        <wps:spPr>
                          <a:xfrm flipV="1">
                            <a:off x="2486025" y="437561"/>
                            <a:ext cx="304800" cy="353015"/>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055" name="Zakřivená spojnice 24055"/>
                        <wps:cNvCnPr>
                          <a:stCxn id="24037" idx="3"/>
                          <a:endCxn id="24045" idx="1"/>
                        </wps:cNvCnPr>
                        <wps:spPr>
                          <a:xfrm>
                            <a:off x="2486025" y="790512"/>
                            <a:ext cx="304800" cy="585739"/>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22" name="Zakřivená spojnice 23622"/>
                        <wps:cNvCnPr>
                          <a:stCxn id="24037" idx="3"/>
                          <a:endCxn id="24046" idx="1"/>
                        </wps:cNvCnPr>
                        <wps:spPr>
                          <a:xfrm flipV="1">
                            <a:off x="2486025" y="752475"/>
                            <a:ext cx="304800" cy="38101"/>
                          </a:xfrm>
                          <a:prstGeom prst="curvedConnector3">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19" name="Zakřivená spojnice 23619"/>
                        <wps:cNvCnPr>
                          <a:stCxn id="24037" idx="3"/>
                          <a:endCxn id="24047" idx="1"/>
                        </wps:cNvCnPr>
                        <wps:spPr>
                          <a:xfrm>
                            <a:off x="2486025" y="790512"/>
                            <a:ext cx="304800" cy="271440"/>
                          </a:xfrm>
                          <a:prstGeom prst="curvedConnector3">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25" name="Zakřivená spojnice 23625"/>
                        <wps:cNvCnPr>
                          <a:stCxn id="24039" idx="3"/>
                          <a:endCxn id="24037" idx="1"/>
                        </wps:cNvCnPr>
                        <wps:spPr>
                          <a:xfrm flipV="1">
                            <a:off x="1082383" y="790576"/>
                            <a:ext cx="241592" cy="842009"/>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26" name="Zakřivená spojnice 23626"/>
                        <wps:cNvCnPr>
                          <a:stCxn id="24039" idx="3"/>
                          <a:endCxn id="24042" idx="1"/>
                        </wps:cNvCnPr>
                        <wps:spPr>
                          <a:xfrm>
                            <a:off x="1082383" y="1632585"/>
                            <a:ext cx="241592" cy="154305"/>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27" name="Zakřivená spojnice 23627"/>
                        <wps:cNvCnPr>
                          <a:stCxn id="24039" idx="3"/>
                          <a:endCxn id="24036" idx="1"/>
                        </wps:cNvCnPr>
                        <wps:spPr>
                          <a:xfrm>
                            <a:off x="1082383" y="1632585"/>
                            <a:ext cx="241592" cy="1001804"/>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054" name="Zakřivená spojnice 24054"/>
                        <wps:cNvCnPr>
                          <a:stCxn id="24042" idx="3"/>
                          <a:endCxn id="24048" idx="1"/>
                        </wps:cNvCnPr>
                        <wps:spPr>
                          <a:xfrm>
                            <a:off x="2486025" y="1786890"/>
                            <a:ext cx="304800" cy="3810"/>
                          </a:xfrm>
                          <a:prstGeom prst="curvedConnector3">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24" name="Zakřivená spojnice 23624"/>
                        <wps:cNvCnPr>
                          <a:stCxn id="24042" idx="3"/>
                          <a:endCxn id="24049" idx="1"/>
                        </wps:cNvCnPr>
                        <wps:spPr>
                          <a:xfrm>
                            <a:off x="2486025" y="1786890"/>
                            <a:ext cx="304800" cy="570548"/>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036" name="Textové pole 2"/>
                        <wps:cNvSpPr txBox="1">
                          <a:spLocks noChangeArrowheads="1"/>
                        </wps:cNvSpPr>
                        <wps:spPr bwMode="auto">
                          <a:xfrm>
                            <a:off x="1323975" y="2230303"/>
                            <a:ext cx="1162050" cy="808172"/>
                          </a:xfrm>
                          <a:prstGeom prst="rect">
                            <a:avLst/>
                          </a:prstGeom>
                          <a:solidFill>
                            <a:schemeClr val="bg1">
                              <a:lumMod val="95000"/>
                            </a:schemeClr>
                          </a:solidFill>
                          <a:ln w="3175">
                            <a:solidFill>
                              <a:srgbClr val="0070C0"/>
                            </a:solidFill>
                            <a:prstDash val="solid"/>
                            <a:miter lim="800000"/>
                            <a:headEnd/>
                            <a:tailEnd/>
                          </a:ln>
                        </wps:spPr>
                        <wps:txbx>
                          <w:txbxContent>
                            <w:p w14:paraId="2BC33675" w14:textId="643925A7" w:rsidR="00511D9B" w:rsidRPr="00454403" w:rsidRDefault="00511D9B" w:rsidP="00487065">
                              <w:pPr>
                                <w:spacing w:line="180" w:lineRule="auto"/>
                                <w:jc w:val="center"/>
                                <w:rPr>
                                  <w:rFonts w:asciiTheme="minorHAnsi" w:hAnsiTheme="minorHAnsi" w:cstheme="minorHAnsi"/>
                                  <w:b/>
                                  <w:szCs w:val="20"/>
                                </w:rPr>
                              </w:pPr>
                              <w:r w:rsidRPr="00454403">
                                <w:rPr>
                                  <w:rFonts w:asciiTheme="minorHAnsi" w:hAnsiTheme="minorHAnsi" w:cstheme="minorHAnsi"/>
                                  <w:b/>
                                  <w:szCs w:val="20"/>
                                </w:rPr>
                                <w:t>Ostatní relevantní informace</w:t>
                              </w:r>
                              <w:r>
                                <w:rPr>
                                  <w:rFonts w:asciiTheme="minorHAnsi" w:hAnsiTheme="minorHAnsi" w:cstheme="minorHAnsi"/>
                                  <w:b/>
                                  <w:szCs w:val="20"/>
                                </w:rPr>
                                <w:t xml:space="preserve"> </w:t>
                              </w:r>
                              <w:r w:rsidRPr="00487065">
                                <w:rPr>
                                  <w:rFonts w:asciiTheme="minorHAnsi" w:hAnsiTheme="minorHAnsi" w:cstheme="minorHAnsi"/>
                                  <w:szCs w:val="20"/>
                                </w:rPr>
                                <w:t>(postupy, metodiky atd.)</w:t>
                              </w:r>
                            </w:p>
                          </w:txbxContent>
                        </wps:txbx>
                        <wps:bodyPr rot="0" vert="horz" wrap="square" lIns="91440" tIns="45720" rIns="91440" bIns="45720" anchor="t" anchorCtr="0">
                          <a:noAutofit/>
                        </wps:bodyPr>
                      </wps:wsp>
                      <wps:wsp>
                        <wps:cNvPr id="24051" name="Zakřivená spojnice 24051"/>
                        <wps:cNvCnPr>
                          <a:stCxn id="24036" idx="3"/>
                          <a:endCxn id="24050" idx="1"/>
                        </wps:cNvCnPr>
                        <wps:spPr>
                          <a:xfrm>
                            <a:off x="2486025" y="2634389"/>
                            <a:ext cx="304800" cy="596219"/>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050" name="Textové pole 2"/>
                        <wps:cNvSpPr txBox="1">
                          <a:spLocks noChangeArrowheads="1"/>
                        </wps:cNvSpPr>
                        <wps:spPr bwMode="auto">
                          <a:xfrm>
                            <a:off x="2790825" y="3099163"/>
                            <a:ext cx="3124200" cy="262890"/>
                          </a:xfrm>
                          <a:prstGeom prst="rect">
                            <a:avLst/>
                          </a:prstGeom>
                          <a:solidFill>
                            <a:schemeClr val="bg1"/>
                          </a:solidFill>
                          <a:ln w="3175">
                            <a:solidFill>
                              <a:srgbClr val="0070C0"/>
                            </a:solidFill>
                            <a:prstDash val="solid"/>
                            <a:miter lim="800000"/>
                            <a:headEnd/>
                            <a:tailEnd/>
                          </a:ln>
                        </wps:spPr>
                        <wps:txbx>
                          <w:txbxContent>
                            <w:p w14:paraId="6BA1C495" w14:textId="79DABE6E" w:rsidR="00511D9B" w:rsidRPr="00EA7814" w:rsidRDefault="00511D9B" w:rsidP="00560CD3">
                              <w:pPr>
                                <w:spacing w:before="40" w:line="180" w:lineRule="auto"/>
                                <w:rPr>
                                  <w:rFonts w:asciiTheme="minorHAnsi" w:hAnsiTheme="minorHAnsi" w:cstheme="minorHAnsi"/>
                                  <w:sz w:val="22"/>
                                  <w:szCs w:val="20"/>
                                </w:rPr>
                              </w:pPr>
                              <w:r>
                                <w:rPr>
                                  <w:rFonts w:asciiTheme="minorHAnsi" w:hAnsiTheme="minorHAnsi" w:cstheme="minorHAnsi"/>
                                  <w:szCs w:val="20"/>
                                </w:rPr>
                                <w:t>Například MFČR, další ministerstva a úřady</w:t>
                              </w:r>
                            </w:p>
                            <w:p w14:paraId="37FF7F44" w14:textId="77777777" w:rsidR="00511D9B" w:rsidRPr="00576CB4" w:rsidRDefault="00511D9B" w:rsidP="00560CD3">
                              <w:pPr>
                                <w:spacing w:before="40"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29" name="Textové pole 2"/>
                        <wps:cNvSpPr txBox="1">
                          <a:spLocks noChangeArrowheads="1"/>
                        </wps:cNvSpPr>
                        <wps:spPr bwMode="auto">
                          <a:xfrm>
                            <a:off x="2790825" y="2743200"/>
                            <a:ext cx="3124200" cy="257175"/>
                          </a:xfrm>
                          <a:prstGeom prst="rect">
                            <a:avLst/>
                          </a:prstGeom>
                          <a:solidFill>
                            <a:schemeClr val="bg1"/>
                          </a:solidFill>
                          <a:ln w="3175">
                            <a:solidFill>
                              <a:srgbClr val="0070C0"/>
                            </a:solidFill>
                            <a:prstDash val="solid"/>
                            <a:miter lim="800000"/>
                            <a:headEnd/>
                            <a:tailEnd/>
                          </a:ln>
                        </wps:spPr>
                        <wps:txbx>
                          <w:txbxContent>
                            <w:p w14:paraId="11BDD45F" w14:textId="2FD24F0B" w:rsidR="00511D9B" w:rsidRPr="00EA7814" w:rsidRDefault="00511D9B" w:rsidP="0068611A">
                              <w:pPr>
                                <w:spacing w:line="180" w:lineRule="auto"/>
                                <w:rPr>
                                  <w:rFonts w:asciiTheme="minorHAnsi" w:hAnsiTheme="minorHAnsi" w:cstheme="minorHAnsi"/>
                                  <w:sz w:val="22"/>
                                  <w:szCs w:val="20"/>
                                </w:rPr>
                              </w:pPr>
                              <w:r>
                                <w:rPr>
                                  <w:rFonts w:asciiTheme="minorHAnsi" w:hAnsiTheme="minorHAnsi" w:cstheme="minorHAnsi"/>
                                  <w:szCs w:val="20"/>
                                </w:rPr>
                                <w:t>Strategické dokumenty (EU, stát, kraje, obce)</w:t>
                              </w:r>
                            </w:p>
                            <w:p w14:paraId="3A88FACE" w14:textId="77777777" w:rsidR="00511D9B" w:rsidRPr="00576CB4" w:rsidRDefault="00511D9B" w:rsidP="0068611A">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30" name="Zakřivená spojnice 23630"/>
                        <wps:cNvCnPr>
                          <a:stCxn id="24042" idx="3"/>
                          <a:endCxn id="23629" idx="1"/>
                        </wps:cNvCnPr>
                        <wps:spPr>
                          <a:xfrm>
                            <a:off x="2486025" y="1786890"/>
                            <a:ext cx="304800" cy="1084898"/>
                          </a:xfrm>
                          <a:prstGeom prst="curvedConnector3">
                            <a:avLst>
                              <a:gd name="adj1" fmla="val 375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1A10E4A" id="Skupina 23631" o:spid="_x0000_s1228" style="position:absolute;left:0;text-align:left;margin-left:-1.2pt;margin-top:22.05pt;width:465.75pt;height:264.3pt;z-index:251543040;mso-position-horizontal-relative:text;mso-position-vertical-relative:text;mso-height-relative:margin" coordorigin=",54" coordsize="59150,33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CVIwgAAL5PAAAOAAAAZHJzL2Uyb0RvYy54bWzsXMtynEYU3acq/0Cxj4fmzZRHLkd+VKry&#10;cMVOFtkhYGawgSaANKP8SZZZ5jtc+a+c7oYGZEYjjWR7ZHe5Sh6gaZrb9/R9nNs8frLNM+0iqeqU&#10;FgudPDJ0LSkiGqfFaqH/9ubFd76u1U1YxGFGi2ShXya1/uTk228eb8p5YtI1zeKk0tBJUc835UJf&#10;N005n83qaJ3kYf2IlkmBi0ta5WGDw2o1i6twg97zbGYahjvb0CouKxoldY2zz8RF/YT3v1wmUfPL&#10;clknjZYtdIyt4X8r/veM/Z2dPA7nqyos12nUDiM8YBR5mBZ4qOzqWdiE2nmVftBVnkYVremyeRTR&#10;fEaXyzRK+DvgbYhx5W1eVvS85O+ymm9WpRQTRHtFTgd3G/188arS0nihm5ZrEV0rwhzT9PrdeZkW&#10;oSZOQkibcjVH25dV+bp8VbUnVuKIvfd2WeXsf7yRtuXivZTiTbaNFuGkExDHMB1di3DNshzXJe0E&#10;RGvMUn+fY9uWmJlo/XzPzbPu2TM2RDmiTQl9qnuR1XcT2et1WCZ8Jmomhk5ktmF5ncje4DXpxft/&#10;tZJmiWay8bNBoDWTmNZsv6eQAeFaUpc/0uhdrRX0dB0Wq+RpVdHNOgljDJOwO/Ey8lbRT806Odv8&#10;RGNMT3jeUN7RFbETy7QCDxKGgE3bc51Wvt0MEOKaBk7yGSCG7/iOeFwnxHBeVnXzMqG5xn4s9AoI&#10;4k8KL36sGzayvgmb75pmafwizTJ+wFCbnGaVdhECb2cr8bbZeY5hi3OBYxh8UOiHg5w1572OesoK&#10;bQMdIXiXD59Src7kMwzDM05lh8PBsPE/C+u1eC7vXehUnjZYcrI0X+g+BiOGE86Z+J8XMV4xnDdh&#10;monfGGZWtPPBpkBMRrM923LQ+H43z2c0vsQMVVQsMVgS8WNNq790bYPlZaHXf56HVaJr2Q8FZjkg&#10;ts3WI35gO56Jg2p45Wx4JSwidLXQG10TP08bvoaxsRb0KbRhmfLJYWojRtKOGRgQQ/4kYAiOCQyQ&#10;KGDQQYLPq8SB4ZuWbwkcuMQzIX6h2x2gFAxuBYNAwaC3CbZ5TDDoAMDBYLuWgXVnDIahUXBtz5ML&#10;tALDITYh4PLtV+Kv2ybAk2t9ymNwkEwvwNIvHKTey+zMgkVMG0GFMAu9/yRdzN71uSfvSNicB+n5&#10;BNxxVFrOIifbsO1j1XLTsYygjaYm9dxy/cByPq7785D1XEZyysOHnrvHqucuCQgW9pFnM17PXfej&#10;ezYPWc/5GqHW83Y9P6q0ztBr8T248Fc8+JGeWx6xkTYRqviRPPiHrOc2E43S81bP4QqLjO+xeedw&#10;xT1P6HE4n3RcTMdj+UGl6Mj5TaQmAy4apeitooOHOlJFdwLDvVbRbeSoRSZfRaJTiu6qFX2QfDyq&#10;HPzQcyGBR65XdM8jjvDhlaJPKbqnFL1XdEcmFv8I3/33d3qRFO//0eqSvi3AqWtIyqBF6+qBhD0t&#10;GHkH0rE53RaC8BbsbRqDlu0SJEU8uMpSl/zqiJIVHTG7KqZIUKfaMkvL3zt+t2XBTdt3OeHNeCgz&#10;MF3OFg7cGcMGA9myUC6xDH59t+5H59VFEp/SogArSyuLc6OcmGVvtopbCxfGb0HkL/MMlQwgYjVG&#10;uXb8Vtsaz+gYLnYrozglA6o1lyU4ZopbwV0u9DyJwVomKO9gvyBRyY+2LZsqBYmdgducao1HTTCo&#10;dXOZJeLRvybLTszshGSFBXEbRlFSNB1LnRVozVotQTnLGw1BEo/Z5/GNbXt2a8LLQm5zs7yDP5kW&#10;jbw5TwtaTT292XZDXor2HYcs3rt3y5j7yo4+KVHrSIZqJ3Zk2utA7CAhem/YsS3Pcbk8p7FjIcdJ&#10;9kQCCjsKO7epvdpZ8ePIkHkndmTkdSB28ISbYoetSBPWBjSXQziEpxGDwh/P4qS9sjbDkqWx0VCI&#10;uQfEWK65x9rwFnfz1EBL3BQxez01z0HqiUN4GjuWT4zOuO/Ir+42NszcK9+r8/hu4Lh9Yb6XBZ6q&#10;y0RN2w/e4m5oAHlxUzQcaD9MkAyijugQ+6FAgPhNxhBfIwhYCY5Ix+4CgcgDschopxMFIHE1nwze&#10;WWH2TUEwaRJQHi1qRBG8M3fK42nG3iSYNnECWDZWzO6zsqHP606NioiuxNB9MDpq1VY8q3gfBfWj&#10;LMMXZ3NMWbaxE24yiX4Y3FjN603hNrA5Q5AR1zIRl4gMU8f4DVFGHNsyPm+YP8KPQpnKqvV7gRDF&#10;yKKRnSiTGfzDUGbdIs45GGWGQXyDV0kc4tuxx945E61gNrJHCmY9zEDryFrbaZjxFnsCKGmuJn1H&#10;G8UCBxizEd3j+airvVqnNeB7WBaBmbpDMKbip68+ftqDARgjWee2y9TswUAXXYlU1ygQYwdD8nNg&#10;am6FAccDmBXnqTjPT7I5VcZAx1DqONyVZ5qWgX/jwGe0Vds3fOJxOme3uVA7tafqDORO7UDt1B58&#10;tgDb/q/Nv8GH4uv+aNm/WjzTBSOd5o6KZ9hXBu7oQ5muZVs+T6v1aTfsX5U1M07gmkinH+hF3Uuk&#10;onJo8lMMX3QODYCAQh9nBTE2+AVIno3tx2hPiOmabTDy8eyHQOEocn8oX/EI+BrC1jq1xw+RgyQo&#10;j8FRGlYQm55tsf3ZULWBQRht2lZ7QiaKLaUTRITwlKazTSH43pVc0qczSbwFlO06L+i6KFpg6Y5e&#10;ENmXSQKHYvvCvd29uu+uSLnWDULhpSodFqXGfM053tJh/vkzfCSOZxTbD9qxr9ANj/F7+Nm9k/8B&#10;AAD//wMAUEsDBBQABgAIAAAAIQCimRUY4QAAAAkBAAAPAAAAZHJzL2Rvd25yZXYueG1sTI9BS8NA&#10;EIXvgv9hGcFbu0lMrY3ZlFLUUxFsBfE2zU6T0OxuyG6T9N87nvT2hvd475t8PZlWDNT7xlkF8TwC&#10;QbZ0urGVgs/D6+wJhA9oNbbOkoIreVgXtzc5ZtqN9oOGfagEl1ifoYI6hC6T0pc1GfRz15Fl7+R6&#10;g4HPvpK6x5HLTSuTKHqUBhvLCzV2tK2pPO8vRsHbiOPmIX4ZdufT9vp9WLx/7WJS6v5u2jyDCDSF&#10;vzD84jM6FMx0dBervWgVzJKUkwrSNAbB/ipZsTgqWCyTJcgil/8/KH4AAAD//wMAUEsBAi0AFAAG&#10;AAgAAAAhALaDOJL+AAAA4QEAABMAAAAAAAAAAAAAAAAAAAAAAFtDb250ZW50X1R5cGVzXS54bWxQ&#10;SwECLQAUAAYACAAAACEAOP0h/9YAAACUAQAACwAAAAAAAAAAAAAAAAAvAQAAX3JlbHMvLnJlbHNQ&#10;SwECLQAUAAYACAAAACEAcWRQlSMIAAC+TwAADgAAAAAAAAAAAAAAAAAuAgAAZHJzL2Uyb0RvYy54&#10;bWxQSwECLQAUAAYACAAAACEAopkVGOEAAAAJAQAADwAAAAAAAAAAAAAAAAB9CgAAZHJzL2Rvd25y&#10;ZXYueG1sUEsFBgAAAAAEAAQA8wAAAIsLAAAAAA==&#10;">
                <v:shape id="_x0000_s1229" type="#_x0000_t202" style="position:absolute;left:13239;top:2476;width:1162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GnPyAAAAN4AAAAPAAAAZHJzL2Rvd25yZXYueG1sRI9BTwIx&#10;FITvJv6H5plwMdCKRshKIUpAuQkLidfn9rlb2b5utoVd/r01MfE4mZlvMrNF72pxpjZYzxruRgoE&#10;ceGN5VLDYb8eTkGEiGyw9kwaLhRgMb++mmFmfMc7OuexFAnCIUMNVYxNJmUoKnIYRr4hTt6Xbx3G&#10;JNtSmha7BHe1HCv1KB1aTgsVNrSsqDjmJ6fh7fZ06Va7zxf7vc3fO9uoV/44aj246Z+fQETq43/4&#10;r70xGsYP6n4Cv3fSFZDzHwAAAP//AwBQSwECLQAUAAYACAAAACEA2+H2y+4AAACFAQAAEwAAAAAA&#10;AAAAAAAAAAAAAAAAW0NvbnRlbnRfVHlwZXNdLnhtbFBLAQItABQABgAIAAAAIQBa9CxbvwAAABUB&#10;AAALAAAAAAAAAAAAAAAAAB8BAABfcmVscy8ucmVsc1BLAQItABQABgAIAAAAIQDMLGnPyAAAAN4A&#10;AAAPAAAAAAAAAAAAAAAAAAcCAABkcnMvZG93bnJldi54bWxQSwUGAAAAAAMAAwC3AAAA/AIAAAAA&#10;" fillcolor="#f2f2f2 [3052]" strokecolor="#0070c0" strokeweight=".25pt">
                  <v:textbox>
                    <w:txbxContent>
                      <w:p w14:paraId="774027F8" w14:textId="284ECA8C" w:rsidR="00511D9B" w:rsidRPr="0068611A" w:rsidRDefault="00511D9B" w:rsidP="00487065">
                        <w:pPr>
                          <w:spacing w:line="180" w:lineRule="auto"/>
                          <w:jc w:val="center"/>
                          <w:rPr>
                            <w:rFonts w:asciiTheme="minorHAnsi" w:hAnsiTheme="minorHAnsi" w:cstheme="minorHAnsi"/>
                            <w:sz w:val="22"/>
                            <w:szCs w:val="20"/>
                          </w:rPr>
                        </w:pPr>
                        <w:r w:rsidRPr="00454403">
                          <w:rPr>
                            <w:rFonts w:asciiTheme="minorHAnsi" w:hAnsiTheme="minorHAnsi" w:cstheme="minorHAnsi"/>
                            <w:b/>
                            <w:szCs w:val="20"/>
                          </w:rPr>
                          <w:t>Data k minulosti nebo současnosti</w:t>
                        </w:r>
                        <w:r>
                          <w:rPr>
                            <w:rFonts w:asciiTheme="minorHAnsi" w:hAnsiTheme="minorHAnsi" w:cstheme="minorHAnsi"/>
                            <w:b/>
                            <w:szCs w:val="20"/>
                          </w:rPr>
                          <w:t xml:space="preserve"> </w:t>
                        </w:r>
                        <w:r w:rsidRPr="0068611A">
                          <w:rPr>
                            <w:rFonts w:asciiTheme="minorHAnsi" w:hAnsiTheme="minorHAnsi" w:cstheme="minorHAnsi"/>
                            <w:szCs w:val="20"/>
                          </w:rPr>
                          <w:t xml:space="preserve">(hodnotíme minulý vývoj, </w:t>
                        </w:r>
                        <w:r>
                          <w:rPr>
                            <w:rFonts w:asciiTheme="minorHAnsi" w:hAnsiTheme="minorHAnsi" w:cstheme="minorHAnsi"/>
                            <w:szCs w:val="20"/>
                          </w:rPr>
                          <w:t>obvykle</w:t>
                        </w:r>
                        <w:r w:rsidRPr="0068611A">
                          <w:rPr>
                            <w:rFonts w:asciiTheme="minorHAnsi" w:hAnsiTheme="minorHAnsi" w:cstheme="minorHAnsi"/>
                            <w:szCs w:val="20"/>
                          </w:rPr>
                          <w:t xml:space="preserve"> trend)</w:t>
                        </w:r>
                      </w:p>
                      <w:p w14:paraId="734A53F2" w14:textId="77777777" w:rsidR="00511D9B" w:rsidRPr="0068611A" w:rsidRDefault="00511D9B" w:rsidP="00454403">
                        <w:pPr>
                          <w:spacing w:line="180" w:lineRule="auto"/>
                          <w:rPr>
                            <w:rFonts w:asciiTheme="minorHAnsi" w:hAnsiTheme="minorHAnsi" w:cstheme="minorHAnsi"/>
                            <w:sz w:val="20"/>
                          </w:rPr>
                        </w:pPr>
                      </w:p>
                    </w:txbxContent>
                  </v:textbox>
                </v:shape>
                <v:shape id="_x0000_s1230" type="#_x0000_t202" style="position:absolute;top:13239;width:10823;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myAAAAN4AAAAPAAAAZHJzL2Rvd25yZXYueG1sRI9BTwIx&#10;FITvJv6H5plwMdCKxsBKIUpAuQkLidfn9rlb2b5utoVd/r01MfE4mZlvMrNF72pxpjZYzxruRgoE&#10;ceGN5VLDYb8eTkCEiGyw9kwaLhRgMb++mmFmfMc7OuexFAnCIUMNVYxNJmUoKnIYRr4hTt6Xbx3G&#10;JNtSmha7BHe1HCv1KB1aTgsVNrSsqDjmJ6fh7fZ06Va7zxf7vc3fO9uoV/44aj246Z+fQETq43/4&#10;r70xGsYP6n4Kv3fSFZDzHwAAAP//AwBQSwECLQAUAAYACAAAACEA2+H2y+4AAACFAQAAEwAAAAAA&#10;AAAAAAAAAAAAAAAAW0NvbnRlbnRfVHlwZXNdLnhtbFBLAQItABQABgAIAAAAIQBa9CxbvwAAABUB&#10;AAALAAAAAAAAAAAAAAAAAB8BAABfcmVscy8ucmVsc1BLAQItABQABgAIAAAAIQDS/1gmyAAAAN4A&#10;AAAPAAAAAAAAAAAAAAAAAAcCAABkcnMvZG93bnJldi54bWxQSwUGAAAAAAMAAwC3AAAA/AIAAAAA&#10;" fillcolor="#f2f2f2 [3052]" strokecolor="#0070c0" strokeweight=".25pt">
                  <v:textbox>
                    <w:txbxContent>
                      <w:p w14:paraId="1AEE0F76" w14:textId="1EDC20B4" w:rsidR="00511D9B" w:rsidRPr="00E20C04" w:rsidRDefault="00511D9B" w:rsidP="00454403">
                        <w:pPr>
                          <w:spacing w:line="180" w:lineRule="auto"/>
                          <w:jc w:val="center"/>
                          <w:rPr>
                            <w:rFonts w:asciiTheme="minorHAnsi" w:hAnsiTheme="minorHAnsi" w:cstheme="minorHAnsi"/>
                            <w:b/>
                            <w:sz w:val="32"/>
                          </w:rPr>
                        </w:pPr>
                        <w:r>
                          <w:rPr>
                            <w:rFonts w:asciiTheme="minorHAnsi" w:hAnsiTheme="minorHAnsi" w:cstheme="minorHAnsi"/>
                            <w:b/>
                            <w:sz w:val="32"/>
                          </w:rPr>
                          <w:t>Finanční data a informace</w:t>
                        </w:r>
                      </w:p>
                      <w:p w14:paraId="39D3EC32" w14:textId="77777777" w:rsidR="00511D9B" w:rsidRPr="00576CB4" w:rsidRDefault="00511D9B" w:rsidP="00454403">
                        <w:pPr>
                          <w:spacing w:line="180" w:lineRule="auto"/>
                          <w:jc w:val="center"/>
                          <w:rPr>
                            <w:rFonts w:asciiTheme="minorHAnsi" w:hAnsiTheme="minorHAnsi" w:cstheme="minorHAnsi"/>
                            <w:b/>
                            <w:sz w:val="20"/>
                          </w:rPr>
                        </w:pPr>
                      </w:p>
                    </w:txbxContent>
                  </v:textbox>
                </v:shape>
                <v:shape id="_x0000_s1231" type="#_x0000_t202" style="position:absolute;left:13239;top:14630;width:11621;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bkqxwAAAN4AAAAPAAAAZHJzL2Rvd25yZXYueG1sRI9PS8NA&#10;FMTvBb/D8gQvxe42FJG0m6BS/9y0Uej1mX0ma7NvQ3bbpN/eFQSPw8z8htmUk+vEiYZgPWtYLhQI&#10;4toby42Gj/fH61sQISIb7DyThjMFKIuL2QZz40fe0amKjUgQDjlqaGPscylD3ZLDsPA9cfK+/OAw&#10;Jjk00gw4JrjrZKbUjXRoOS202NNDS/WhOjoNz/PjedzuPu/t91v1OtpePfH+oPXV5XS3BhFpiv/h&#10;v/aL0ZCt1CqD3zvpCsjiBwAA//8DAFBLAQItABQABgAIAAAAIQDb4fbL7gAAAIUBAAATAAAAAAAA&#10;AAAAAAAAAAAAAABbQ29udGVudF9UeXBlc10ueG1sUEsBAi0AFAAGAAgAAAAhAFr0LFu/AAAAFQEA&#10;AAsAAAAAAAAAAAAAAAAAHwEAAF9yZWxzLy5yZWxzUEsBAi0AFAAGAAgAAAAhAIRduSrHAAAA3gAA&#10;AA8AAAAAAAAAAAAAAAAABwIAAGRycy9kb3ducmV2LnhtbFBLBQYAAAAAAwADALcAAAD7AgAAAAA=&#10;" fillcolor="#f2f2f2 [3052]" strokecolor="#0070c0" strokeweight=".25pt">
                  <v:textbox>
                    <w:txbxContent>
                      <w:p w14:paraId="0663E7B3" w14:textId="7BE01167" w:rsidR="00511D9B" w:rsidRPr="00454403" w:rsidRDefault="00511D9B" w:rsidP="00487065">
                        <w:pPr>
                          <w:spacing w:line="180" w:lineRule="auto"/>
                          <w:jc w:val="center"/>
                          <w:rPr>
                            <w:rFonts w:asciiTheme="minorHAnsi" w:hAnsiTheme="minorHAnsi" w:cstheme="minorHAnsi"/>
                            <w:sz w:val="22"/>
                            <w:szCs w:val="20"/>
                          </w:rPr>
                        </w:pPr>
                        <w:r>
                          <w:rPr>
                            <w:rFonts w:asciiTheme="minorHAnsi" w:hAnsiTheme="minorHAnsi" w:cstheme="minorHAnsi"/>
                            <w:b/>
                            <w:szCs w:val="20"/>
                          </w:rPr>
                          <w:t>Predikce, výhledy (data k budoucnosti)</w:t>
                        </w:r>
                      </w:p>
                      <w:p w14:paraId="12CACDF1" w14:textId="77777777" w:rsidR="00511D9B" w:rsidRPr="00576CB4" w:rsidRDefault="00511D9B" w:rsidP="00454403">
                        <w:pPr>
                          <w:spacing w:line="180" w:lineRule="auto"/>
                          <w:rPr>
                            <w:rFonts w:asciiTheme="minorHAnsi" w:hAnsiTheme="minorHAnsi" w:cstheme="minorHAnsi"/>
                            <w:b/>
                            <w:sz w:val="20"/>
                          </w:rPr>
                        </w:pPr>
                      </w:p>
                    </w:txbxContent>
                  </v:textbox>
                </v:shape>
                <v:shape id="_x0000_s1232" type="#_x0000_t202" style="position:absolute;left:27908;top:54;width:3124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axgAAAN4AAAAPAAAAZHJzL2Rvd25yZXYueG1sRI9Ba8JA&#10;FITvBf/D8gredJOopUY3IQi2Qk+1gh4f2dckmH0bsmtM/31XKPQ4zMw3zDYfTSsG6l1jWUE8j0AQ&#10;l1Y3XCk4fe1nryCcR9bYWiYFP+QgzyZPW0y1vfMnDUdfiQBhl6KC2vsuldKVNRl0c9sRB+/b9gZ9&#10;kH0ldY/3ADetTKLoRRpsOCzU2NGupvJ6vBkFeFkXb1Ssho/udIvNdTiv3/dnpabPY7EB4Wn0/+G/&#10;9kErSJbRcgGPO+EKyOwXAAD//wMAUEsBAi0AFAAGAAgAAAAhANvh9svuAAAAhQEAABMAAAAAAAAA&#10;AAAAAAAAAAAAAFtDb250ZW50X1R5cGVzXS54bWxQSwECLQAUAAYACAAAACEAWvQsW78AAAAVAQAA&#10;CwAAAAAAAAAAAAAAAAAfAQAAX3JlbHMvLnJlbHNQSwECLQAUAAYACAAAACEAv1w4GsYAAADeAAAA&#10;DwAAAAAAAAAAAAAAAAAHAgAAZHJzL2Rvd25yZXYueG1sUEsFBgAAAAADAAMAtwAAAPoCAAAAAA==&#10;" fillcolor="white [3212]" strokecolor="#0070c0" strokeweight=".25pt">
                  <v:textbox>
                    <w:txbxContent>
                      <w:p w14:paraId="6BB9AA01" w14:textId="360B66C8" w:rsidR="00511D9B" w:rsidRPr="00EA7814" w:rsidRDefault="00511D9B" w:rsidP="00560CD3">
                        <w:pPr>
                          <w:spacing w:before="20" w:line="180" w:lineRule="auto"/>
                          <w:rPr>
                            <w:rFonts w:asciiTheme="minorHAnsi" w:hAnsiTheme="minorHAnsi" w:cstheme="minorHAnsi"/>
                            <w:sz w:val="22"/>
                            <w:szCs w:val="20"/>
                          </w:rPr>
                        </w:pPr>
                        <w:r w:rsidRPr="00EA7814">
                          <w:rPr>
                            <w:rFonts w:asciiTheme="minorHAnsi" w:hAnsiTheme="minorHAnsi" w:cstheme="minorHAnsi"/>
                            <w:szCs w:val="20"/>
                          </w:rPr>
                          <w:t>Databáze MFČR: např. MONITOR</w:t>
                        </w:r>
                      </w:p>
                      <w:p w14:paraId="4CBBE0B3" w14:textId="77777777" w:rsidR="00511D9B" w:rsidRPr="00EA7814" w:rsidRDefault="00511D9B" w:rsidP="008A1A63">
                        <w:pPr>
                          <w:spacing w:line="180" w:lineRule="auto"/>
                          <w:rPr>
                            <w:rFonts w:asciiTheme="minorHAnsi" w:hAnsiTheme="minorHAnsi" w:cstheme="minorHAnsi"/>
                            <w:sz w:val="20"/>
                          </w:rPr>
                        </w:pPr>
                      </w:p>
                    </w:txbxContent>
                  </v:textbox>
                </v:shape>
                <v:shape id="_x0000_s1233" type="#_x0000_t202" style="position:absolute;left:27908;top:2530;width:31242;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BuxgAAAN4AAAAPAAAAZHJzL2Rvd25yZXYueG1sRI9Ba8JA&#10;FITvhf6H5RW8NRslLZq6CUFQCz1VA3p8ZF+TYPZtyK4x/nu3UOhxmJlvmHU+mU6MNLjWsoJ5FIMg&#10;rqxuuVZQHrevSxDOI2vsLJOCOznIs+enNaba3vibxoOvRYCwS1FB432fSumqhgy6yPbEwfuxg0Ef&#10;5FBLPeAtwE0nF3H8Lg22HBYa7GnTUHU5XI0CPK+KHRVv41dfXufmMp5W++1JqdnLVHyA8DT5//Bf&#10;+1MrWCRxksDvnXAFZPYAAAD//wMAUEsBAi0AFAAGAAgAAAAhANvh9svuAAAAhQEAABMAAAAAAAAA&#10;AAAAAAAAAAAAAFtDb250ZW50X1R5cGVzXS54bWxQSwECLQAUAAYACAAAACEAWvQsW78AAAAVAQAA&#10;CwAAAAAAAAAAAAAAAAAfAQAAX3JlbHMvLnJlbHNQSwECLQAUAAYACAAAACEAMLWgbsYAAADeAAAA&#10;DwAAAAAAAAAAAAAAAAAHAgAAZHJzL2Rvd25yZXYueG1sUEsFBgAAAAADAAMAtwAAAPoCAAAAAA==&#10;" fillcolor="white [3212]" strokecolor="#0070c0" strokeweight=".25pt">
                  <v:textbox>
                    <w:txbxContent>
                      <w:p w14:paraId="7C4388C6" w14:textId="096E455C" w:rsidR="00511D9B" w:rsidRPr="00EA7814" w:rsidRDefault="00511D9B" w:rsidP="00560CD3">
                        <w:pPr>
                          <w:spacing w:before="20" w:line="180" w:lineRule="auto"/>
                          <w:rPr>
                            <w:rFonts w:asciiTheme="minorHAnsi" w:hAnsiTheme="minorHAnsi" w:cstheme="minorHAnsi"/>
                            <w:sz w:val="22"/>
                            <w:szCs w:val="20"/>
                          </w:rPr>
                        </w:pPr>
                        <w:r w:rsidRPr="00EA7814">
                          <w:rPr>
                            <w:rFonts w:asciiTheme="minorHAnsi" w:hAnsiTheme="minorHAnsi" w:cstheme="minorHAnsi"/>
                            <w:szCs w:val="20"/>
                          </w:rPr>
                          <w:t>Veřejné databáze</w:t>
                        </w:r>
                        <w:r>
                          <w:rPr>
                            <w:rFonts w:asciiTheme="minorHAnsi" w:hAnsiTheme="minorHAnsi" w:cstheme="minorHAnsi"/>
                            <w:szCs w:val="20"/>
                          </w:rPr>
                          <w:t xml:space="preserve"> a zdroje</w:t>
                        </w:r>
                        <w:r w:rsidRPr="00EA7814">
                          <w:rPr>
                            <w:rFonts w:asciiTheme="minorHAnsi" w:hAnsiTheme="minorHAnsi" w:cstheme="minorHAnsi"/>
                            <w:szCs w:val="20"/>
                          </w:rPr>
                          <w:t>: ČSÚ, Registr smluv, databáze veřejných zakázek, …</w:t>
                        </w:r>
                      </w:p>
                      <w:p w14:paraId="45E3213F" w14:textId="77777777" w:rsidR="00511D9B" w:rsidRPr="00576CB4" w:rsidRDefault="00511D9B" w:rsidP="008A1A63">
                        <w:pPr>
                          <w:spacing w:line="180" w:lineRule="auto"/>
                          <w:rPr>
                            <w:rFonts w:asciiTheme="minorHAnsi" w:hAnsiTheme="minorHAnsi" w:cstheme="minorHAnsi"/>
                            <w:b/>
                            <w:sz w:val="20"/>
                          </w:rPr>
                        </w:pPr>
                      </w:p>
                    </w:txbxContent>
                  </v:textbox>
                </v:shape>
                <v:shape id="_x0000_s1234" type="#_x0000_t202" style="position:absolute;left:27908;top:6191;width:312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5uCxgAAAN4AAAAPAAAAZHJzL2Rvd25yZXYueG1sRI9Ba8JA&#10;FITvBf/D8oTe6sYQpUZXCUJqoadaQY+P7DMJZt+G7CbGf98VCj0OM/MNs9mNphEDda62rGA+i0AQ&#10;F1bXXCo4/eRv7yCcR9bYWCYFD3Kw205eNphqe+dvGo6+FAHCLkUFlfdtKqUrKjLoZrYlDt7VdgZ9&#10;kF0pdYf3ADeNjKNoKQ3WHBYqbGlfUXE79kYBXlbZB2WL4as99XNzG86rQ35W6nU6ZmsQnkb/H/5r&#10;f2oFcRIlS3jeCVdAbn8BAAD//wMAUEsBAi0AFAAGAAgAAAAhANvh9svuAAAAhQEAABMAAAAAAAAA&#10;AAAAAAAAAAAAAFtDb250ZW50X1R5cGVzXS54bWxQSwECLQAUAAYACAAAACEAWvQsW78AAAAVAQAA&#10;CwAAAAAAAAAAAAAAAAAfAQAAX3JlbHMvLnJlbHNQSwECLQAUAAYACAAAACEAryubgsYAAADeAAAA&#10;DwAAAAAAAAAAAAAAAAAHAgAAZHJzL2Rvd25yZXYueG1sUEsFBgAAAAADAAMAtwAAAPoCAAAAAA==&#10;" fillcolor="white [3212]" strokecolor="#0070c0" strokeweight=".25pt">
                  <v:textbox>
                    <w:txbxContent>
                      <w:p w14:paraId="2D98E125" w14:textId="0F2ED437" w:rsidR="00511D9B" w:rsidRPr="00EA7814" w:rsidRDefault="00511D9B" w:rsidP="008A1A63">
                        <w:pPr>
                          <w:spacing w:line="180" w:lineRule="auto"/>
                          <w:rPr>
                            <w:rFonts w:asciiTheme="minorHAnsi" w:hAnsiTheme="minorHAnsi" w:cstheme="minorHAnsi"/>
                            <w:sz w:val="22"/>
                            <w:szCs w:val="20"/>
                          </w:rPr>
                        </w:pPr>
                        <w:r w:rsidRPr="00EA7814">
                          <w:rPr>
                            <w:rFonts w:asciiTheme="minorHAnsi" w:hAnsiTheme="minorHAnsi" w:cstheme="minorHAnsi"/>
                            <w:szCs w:val="20"/>
                          </w:rPr>
                          <w:t>Data EU: např. EUROSTAT, …</w:t>
                        </w:r>
                      </w:p>
                      <w:p w14:paraId="5D020309" w14:textId="77777777" w:rsidR="00511D9B" w:rsidRPr="00576CB4" w:rsidRDefault="00511D9B" w:rsidP="008A1A63">
                        <w:pPr>
                          <w:spacing w:line="180" w:lineRule="auto"/>
                          <w:rPr>
                            <w:rFonts w:asciiTheme="minorHAnsi" w:hAnsiTheme="minorHAnsi" w:cstheme="minorHAnsi"/>
                            <w:b/>
                            <w:sz w:val="20"/>
                          </w:rPr>
                        </w:pPr>
                      </w:p>
                    </w:txbxContent>
                  </v:textbox>
                </v:shape>
                <v:shape id="_x0000_s1235" type="#_x0000_t202" style="position:absolute;left:27908;top:8763;width:31242;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4ZxwAAAN4AAAAPAAAAZHJzL2Rvd25yZXYueG1sRI9Ba8JA&#10;FITvBf/D8gre6iaS1hrdSBC0hZ5MBT0+sq9JMPs2ZDcx/ffdQqHHYWa+Yba7ybRipN41lhXEiwgE&#10;cWl1w5WC8+fh6RWE88gaW8uk4Jsc7LLZwxZTbe98orHwlQgQdikqqL3vUildWZNBt7AdcfC+bG/Q&#10;B9lXUvd4D3DTymUUvUiDDYeFGjva11TeisEowOs6P1L+PH505yE2t/GyfjtclJo/TvkGhKfJ/4f/&#10;2u9awTKJkhX83glXQGY/AAAA//8DAFBLAQItABQABgAIAAAAIQDb4fbL7gAAAIUBAAATAAAAAAAA&#10;AAAAAAAAAAAAAABbQ29udGVudF9UeXBlc10ueG1sUEsBAi0AFAAGAAgAAAAhAFr0LFu/AAAAFQEA&#10;AAsAAAAAAAAAAAAAAAAAHwEAAF9yZWxzLy5yZWxzUEsBAi0AFAAGAAgAAAAhAMBnPhnHAAAA3gAA&#10;AA8AAAAAAAAAAAAAAAAABwIAAGRycy9kb3ducmV2LnhtbFBLBQYAAAAAAwADALcAAAD7AgAAAAA=&#10;" fillcolor="white [3212]" strokecolor="#0070c0" strokeweight=".25pt">
                  <v:textbox>
                    <w:txbxContent>
                      <w:p w14:paraId="438B021F" w14:textId="01FFDF8E" w:rsidR="00511D9B" w:rsidRPr="00EA7814" w:rsidRDefault="00511D9B" w:rsidP="008A1A63">
                        <w:pPr>
                          <w:spacing w:line="180" w:lineRule="auto"/>
                          <w:rPr>
                            <w:rFonts w:asciiTheme="minorHAnsi" w:hAnsiTheme="minorHAnsi" w:cstheme="minorHAnsi"/>
                            <w:sz w:val="22"/>
                            <w:szCs w:val="20"/>
                          </w:rPr>
                        </w:pPr>
                        <w:r w:rsidRPr="00EA7814">
                          <w:rPr>
                            <w:rFonts w:asciiTheme="minorHAnsi" w:hAnsiTheme="minorHAnsi" w:cstheme="minorHAnsi"/>
                            <w:szCs w:val="20"/>
                          </w:rPr>
                          <w:t>Neziskový sektor: např. Hlídač státu, databáze veřejných strategií, …</w:t>
                        </w:r>
                      </w:p>
                      <w:p w14:paraId="46DD301C" w14:textId="77777777" w:rsidR="00511D9B" w:rsidRPr="00576CB4" w:rsidRDefault="00511D9B" w:rsidP="008A1A63">
                        <w:pPr>
                          <w:spacing w:line="180" w:lineRule="auto"/>
                          <w:rPr>
                            <w:rFonts w:asciiTheme="minorHAnsi" w:hAnsiTheme="minorHAnsi" w:cstheme="minorHAnsi"/>
                            <w:b/>
                            <w:sz w:val="20"/>
                          </w:rPr>
                        </w:pPr>
                      </w:p>
                    </w:txbxContent>
                  </v:textbox>
                </v:shape>
                <v:shape id="_x0000_s1236" type="#_x0000_t202" style="position:absolute;left:27908;top:12477;width:3124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1xgAAAN4AAAAPAAAAZHJzL2Rvd25yZXYueG1sRI9Pi8Iw&#10;FMTvwn6H8ARvmioqttsoZUFX2JN/wD0+mmdbbF5KE2v325sFweMwM79h0k1vatFR6yrLCqaTCARx&#10;bnXFhYLzaTtegXAeWWNtmRT8kYPN+mOQYqLtgw/UHX0hAoRdggpK75tESpeXZNBNbEMcvKttDfog&#10;20LqFh8Bbmo5i6KlNFhxWCixoa+S8tvxbhTgb5ztKFt0P835PjW37hJ/by9KjYZ99gnCU+/f4Vd7&#10;rxXM5tF8Af93whWQ6ycAAAD//wMAUEsBAi0AFAAGAAgAAAAhANvh9svuAAAAhQEAABMAAAAAAAAA&#10;AAAAAAAAAAAAAFtDb250ZW50X1R5cGVzXS54bWxQSwECLQAUAAYACAAAACEAWvQsW78AAAAVAQAA&#10;CwAAAAAAAAAAAAAAAAAfAQAAX3JlbHMvLnJlbHNQSwECLQAUAAYACAAAACEAX/kF9cYAAADeAAAA&#10;DwAAAAAAAAAAAAAAAAAHAgAAZHJzL2Rvd25yZXYueG1sUEsFBgAAAAADAAMAtwAAAPoCAAAAAA==&#10;" fillcolor="white [3212]" strokecolor="#0070c0" strokeweight=".25pt">
                  <v:textbox>
                    <w:txbxContent>
                      <w:p w14:paraId="7F878058" w14:textId="6C8A9980" w:rsidR="00511D9B" w:rsidRPr="00EA7814" w:rsidRDefault="00511D9B" w:rsidP="008A1A63">
                        <w:pPr>
                          <w:spacing w:line="180" w:lineRule="auto"/>
                          <w:rPr>
                            <w:rFonts w:asciiTheme="minorHAnsi" w:hAnsiTheme="minorHAnsi" w:cstheme="minorHAnsi"/>
                            <w:sz w:val="22"/>
                            <w:szCs w:val="20"/>
                          </w:rPr>
                        </w:pPr>
                        <w:r w:rsidRPr="00EA7814">
                          <w:rPr>
                            <w:rFonts w:asciiTheme="minorHAnsi" w:hAnsiTheme="minorHAnsi" w:cstheme="minorHAnsi"/>
                            <w:szCs w:val="20"/>
                          </w:rPr>
                          <w:t>Internetové stránky dané instituce</w:t>
                        </w:r>
                        <w:r>
                          <w:rPr>
                            <w:rFonts w:asciiTheme="minorHAnsi" w:hAnsiTheme="minorHAnsi" w:cstheme="minorHAnsi"/>
                            <w:szCs w:val="20"/>
                          </w:rPr>
                          <w:t>, jiné zdroje</w:t>
                        </w:r>
                      </w:p>
                    </w:txbxContent>
                  </v:textbox>
                </v:shape>
                <v:shape id="_x0000_s1237" type="#_x0000_t202" style="position:absolute;left:27908;top:15906;width:31242;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rwgAAAN4AAAAPAAAAZHJzL2Rvd25yZXYueG1sRE/LisIw&#10;FN0L/kO4A7PTVFHRTqMUwVFw5QOc5aW505Y2N6WJtf69WQguD+edbHpTi45aV1pWMBlHIIgzq0vO&#10;FVwvu9EShPPIGmvLpOBJDjbr4SDBWNsHn6g7+1yEEHYxKii8b2IpXVaQQTe2DXHg/m1r0AfY5lK3&#10;+AjhppbTKFpIgyWHhgIb2haUVee7UYB/q/SX0nl3bK73iam622q/uyn1/dWnPyA89f4jfrsPWsF0&#10;Fs3C3nAnXAG5fgEAAP//AwBQSwECLQAUAAYACAAAACEA2+H2y+4AAACFAQAAEwAAAAAAAAAAAAAA&#10;AAAAAAAAW0NvbnRlbnRfVHlwZXNdLnhtbFBLAQItABQABgAIAAAAIQBa9CxbvwAAABUBAAALAAAA&#10;AAAAAAAAAAAAAB8BAABfcmVscy8ucmVsc1BLAQItABQABgAIAAAAIQCx+KprwgAAAN4AAAAPAAAA&#10;AAAAAAAAAAAAAAcCAABkcnMvZG93bnJldi54bWxQSwUGAAAAAAMAAwC3AAAA9gIAAAAA&#10;" fillcolor="white [3212]" strokecolor="#0070c0" strokeweight=".25pt">
                  <v:textbox>
                    <w:txbxContent>
                      <w:p w14:paraId="3170914C" w14:textId="5427D632" w:rsidR="00511D9B" w:rsidRPr="00EA7814" w:rsidRDefault="00511D9B" w:rsidP="00560CD3">
                        <w:pPr>
                          <w:spacing w:before="20" w:line="180" w:lineRule="auto"/>
                          <w:rPr>
                            <w:rFonts w:asciiTheme="minorHAnsi" w:hAnsiTheme="minorHAnsi" w:cstheme="minorHAnsi"/>
                            <w:sz w:val="22"/>
                            <w:szCs w:val="20"/>
                          </w:rPr>
                        </w:pPr>
                        <w:r w:rsidRPr="00EA7814">
                          <w:rPr>
                            <w:rFonts w:asciiTheme="minorHAnsi" w:hAnsiTheme="minorHAnsi" w:cstheme="minorHAnsi"/>
                            <w:szCs w:val="20"/>
                          </w:rPr>
                          <w:t xml:space="preserve">MFČR: výhled, predikce, </w:t>
                        </w:r>
                        <w:r w:rsidRPr="00EA7814">
                          <w:rPr>
                            <w:rFonts w:asciiTheme="minorHAnsi" w:hAnsiTheme="minorHAnsi" w:cstheme="minorHAnsi"/>
                            <w:color w:val="000000"/>
                          </w:rPr>
                          <w:t>rozpočtová strategie, konvergenční program, …</w:t>
                        </w:r>
                      </w:p>
                      <w:p w14:paraId="4682D7F1" w14:textId="77777777" w:rsidR="00511D9B" w:rsidRPr="00576CB4" w:rsidRDefault="00511D9B" w:rsidP="008A1A63">
                        <w:pPr>
                          <w:spacing w:line="180" w:lineRule="auto"/>
                          <w:rPr>
                            <w:rFonts w:asciiTheme="minorHAnsi" w:hAnsiTheme="minorHAnsi" w:cstheme="minorHAnsi"/>
                            <w:b/>
                            <w:sz w:val="20"/>
                          </w:rPr>
                        </w:pPr>
                      </w:p>
                    </w:txbxContent>
                  </v:textbox>
                </v:shape>
                <v:shape id="_x0000_s1238" type="#_x0000_t202" style="position:absolute;left:27908;top:19716;width:31242;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wxQAAAN4AAAAPAAAAZHJzL2Rvd25yZXYueG1sRI9Bi8Iw&#10;FITvwv6H8Bb2pqmisq1GKQvuCp6sgnt8NM+22LyUJtb6740geBxm5htmue5NLTpqXWVZwXgUgSDO&#10;ra64UHA8bIbfIJxH1lhbJgV3crBefQyWmGh74z11mS9EgLBLUEHpfZNI6fKSDLqRbYiDd7atQR9k&#10;W0jd4i3ATS0nUTSXBisOCyU29FNSfsmuRgH+x+kvpbNu1xyvY3PpTvHf5qTU12efLkB46v07/Gpv&#10;tYLJNJrG8LwTroBcPQAAAP//AwBQSwECLQAUAAYACAAAACEA2+H2y+4AAACFAQAAEwAAAAAAAAAA&#10;AAAAAAAAAAAAW0NvbnRlbnRfVHlwZXNdLnhtbFBLAQItABQABgAIAAAAIQBa9CxbvwAAABUBAAAL&#10;AAAAAAAAAAAAAAAAAB8BAABfcmVscy8ucmVsc1BLAQItABQABgAIAAAAIQDetA/wxQAAAN4AAAAP&#10;AAAAAAAAAAAAAAAAAAcCAABkcnMvZG93bnJldi54bWxQSwUGAAAAAAMAAwC3AAAA+QIAAAAA&#10;" fillcolor="white [3212]" strokecolor="#0070c0" strokeweight=".25pt">
                  <v:textbox>
                    <w:txbxContent>
                      <w:p w14:paraId="388C5CA8" w14:textId="60F24150"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Rozpočty:</w:t>
                        </w:r>
                      </w:p>
                      <w:p w14:paraId="099C462F" w14:textId="1ED084B2"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stát: rozpočet a výhled na 2 roky</w:t>
                        </w:r>
                      </w:p>
                      <w:p w14:paraId="407F5FE7" w14:textId="4EAF5436"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samosprávy: rozpočet a rozpočtový výhled na 2 až 5 let</w:t>
                        </w:r>
                      </w:p>
                      <w:p w14:paraId="373E8CAF" w14:textId="2A49521D" w:rsidR="00511D9B" w:rsidRPr="00EA7814" w:rsidRDefault="00511D9B" w:rsidP="00EA7814">
                        <w:pPr>
                          <w:spacing w:line="180" w:lineRule="auto"/>
                          <w:rPr>
                            <w:rFonts w:asciiTheme="minorHAnsi" w:hAnsiTheme="minorHAnsi" w:cstheme="minorHAnsi"/>
                            <w:szCs w:val="20"/>
                          </w:rPr>
                        </w:pPr>
                        <w:r w:rsidRPr="00EA7814">
                          <w:rPr>
                            <w:rFonts w:asciiTheme="minorHAnsi" w:hAnsiTheme="minorHAnsi" w:cstheme="minorHAnsi"/>
                            <w:szCs w:val="20"/>
                          </w:rPr>
                          <w:t>EU: rozpočet a sedmiletý rámec</w:t>
                        </w:r>
                      </w:p>
                      <w:p w14:paraId="51CE90FF" w14:textId="77777777" w:rsidR="00511D9B" w:rsidRPr="00576CB4" w:rsidRDefault="00511D9B" w:rsidP="00EA7814">
                        <w:pPr>
                          <w:spacing w:line="180" w:lineRule="auto"/>
                          <w:rPr>
                            <w:rFonts w:asciiTheme="minorHAnsi" w:hAnsiTheme="minorHAnsi" w:cstheme="minorHAnsi"/>
                            <w:b/>
                            <w:sz w:val="20"/>
                          </w:rPr>
                        </w:pPr>
                      </w:p>
                    </w:txbxContent>
                  </v:textbox>
                </v:shape>
                <v:shape id="Zakřivená spojnice 24053" o:spid="_x0000_s1239" type="#_x0000_t38" style="position:absolute;left:24860;top:1292;width:3048;height:661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SCxAAAAN4AAAAPAAAAZHJzL2Rvd25yZXYueG1sRI9BawIx&#10;FITvBf9DeEJvmmh10a1RRCt4klaL58fmdXfp5mVJom7/vRGEHoeZ+YZZrDrbiCv5UDvWMBoqEMSF&#10;MzWXGr5Pu8EMRIjIBhvHpOGPAqyWvZcF5sbd+Iuux1iKBOGQo4YqxjaXMhQVWQxD1xIn78d5izFJ&#10;X0rj8ZbgtpFjpTJpsea0UGFLm4qK3+PFJsqZ5WG/qz9QbbP52avL/LM7aP3a79bvICJ18T/8bO+N&#10;hvFETd/gcSddAbm8AwAA//8DAFBLAQItABQABgAIAAAAIQDb4fbL7gAAAIUBAAATAAAAAAAAAAAA&#10;AAAAAAAAAABbQ29udGVudF9UeXBlc10ueG1sUEsBAi0AFAAGAAgAAAAhAFr0LFu/AAAAFQEAAAsA&#10;AAAAAAAAAAAAAAAAHwEAAF9yZWxzLy5yZWxzUEsBAi0AFAAGAAgAAAAhAK37tILEAAAA3gAAAA8A&#10;AAAAAAAAAAAAAAAABwIAAGRycy9kb3ducmV2LnhtbFBLBQYAAAAAAwADALcAAAD4AgAAAAA=&#10;" adj="10800" strokecolor="#4472c4 [3204]" strokeweight=".5pt">
                  <v:stroke startarrow="oval" endarrow="block" joinstyle="miter"/>
                </v:shape>
                <v:shape id="Zakřivená spojnice 24052" o:spid="_x0000_s1240" type="#_x0000_t38" style="position:absolute;left:24860;top:4375;width:3048;height:353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EZxAAAAN4AAAAPAAAAZHJzL2Rvd25yZXYueG1sRI9PawIx&#10;FMTvBb9DeIK3mri0oqtRpK3gSfyH58fmubu4eVmSqOu3bwoFj8PM/IaZLzvbiDv5UDvWMBoqEMSF&#10;MzWXGk7H9fsERIjIBhvHpOFJAZaL3tscc+MevKf7IZYiQTjkqKGKsc2lDEVFFsPQtcTJuzhvMSbp&#10;S2k8PhLcNjJTaiwt1pwWKmzpq6LierjZRDmz3G7W9Q+q7/H07NVtuuu2Wg/63WoGIlIXX+H/9sZo&#10;yD7UZwZ/d9IVkItfAAAA//8DAFBLAQItABQABgAIAAAAIQDb4fbL7gAAAIUBAAATAAAAAAAAAAAA&#10;AAAAAAAAAABbQ29udGVudF9UeXBlc10ueG1sUEsBAi0AFAAGAAgAAAAhAFr0LFu/AAAAFQEAAAsA&#10;AAAAAAAAAAAAAAAAHwEAAF9yZWxzLy5yZWxzUEsBAi0AFAAGAAgAAAAhAMK3ERnEAAAA3gAAAA8A&#10;AAAAAAAAAAAAAAAABwIAAGRycy9kb3ducmV2LnhtbFBLBQYAAAAAAwADALcAAAD4AgAAAAA=&#10;" adj="10800" strokecolor="#4472c4 [3204]" strokeweight=".5pt">
                  <v:stroke startarrow="oval" endarrow="block" joinstyle="miter"/>
                </v:shape>
                <v:shape id="Zakřivená spojnice 24055" o:spid="_x0000_s1241" type="#_x0000_t38" style="position:absolute;left:24860;top:7905;width:3048;height:585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RLbxwAAAN4AAAAPAAAAZHJzL2Rvd25yZXYueG1sRI9BawIx&#10;FITvBf9DeIVeRLPVWsrWKEUpVBDBrdgeH5vX7OLmZUlSXf+9EQSPw8x8w0znnW3EkXyoHSt4HmYg&#10;iEunazYKdt+fgzcQISJrbByTgjMFmM96D1PMtTvxlo5FNCJBOOSooIqxzaUMZUUWw9C1xMn7c95i&#10;TNIbqT2eEtw2cpRlr9JizWmhwpYWFZWH4t8qWK/DbvX7g0XRH2/2S+p7Y1qv1NNj9/EOIlIX7+Fb&#10;+0srGL1kkwlc76QrIGcXAAAA//8DAFBLAQItABQABgAIAAAAIQDb4fbL7gAAAIUBAAATAAAAAAAA&#10;AAAAAAAAAAAAAABbQ29udGVudF9UeXBlc10ueG1sUEsBAi0AFAAGAAgAAAAhAFr0LFu/AAAAFQEA&#10;AAsAAAAAAAAAAAAAAAAAHwEAAF9yZWxzLy5yZWxzUEsBAi0AFAAGAAgAAAAhAOvZEtvHAAAA3gAA&#10;AA8AAAAAAAAAAAAAAAAABwIAAGRycy9kb3ducmV2LnhtbFBLBQYAAAAAAwADALcAAAD7AgAAAAA=&#10;" adj="10800" strokecolor="#4472c4 [3204]" strokeweight=".5pt">
                  <v:stroke startarrow="oval" endarrow="block" joinstyle="miter"/>
                </v:shape>
                <v:shape id="Zakřivená spojnice 23622" o:spid="_x0000_s1242" type="#_x0000_t38" style="position:absolute;left:24860;top:7524;width:3048;height:381;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aEHwwAAAN4AAAAPAAAAZHJzL2Rvd25yZXYueG1sRI9BawIx&#10;FITvBf9DeIK3mrjCUlejiK3gSawtnh+b5+7i5mVJoq7/3hQKHoeZ+YZZrHrbihv50DjWMBkrEMSl&#10;Mw1XGn5/tu8fIEJENtg6Jg0PCrBaDt4WWBh352+6HWMlEoRDgRrqGLtCylDWZDGMXUecvLPzFmOS&#10;vpLG4z3BbSszpXJpseG0UGNHm5rKy/FqE+XEcr/bNl+oPvPZyavr7NDvtR4N+/UcRKQ+vsL/7Z3R&#10;kE3zLIO/O+kKyOUTAAD//wMAUEsBAi0AFAAGAAgAAAAhANvh9svuAAAAhQEAABMAAAAAAAAAAAAA&#10;AAAAAAAAAFtDb250ZW50X1R5cGVzXS54bWxQSwECLQAUAAYACAAAACEAWvQsW78AAAAVAQAACwAA&#10;AAAAAAAAAAAAAAAfAQAAX3JlbHMvLnJlbHNQSwECLQAUAAYACAAAACEANvWhB8MAAADeAAAADwAA&#10;AAAAAAAAAAAAAAAHAgAAZHJzL2Rvd25yZXYueG1sUEsFBgAAAAADAAMAtwAAAPcCAAAAAA==&#10;" adj="10800" strokecolor="#4472c4 [3204]" strokeweight=".5pt">
                  <v:stroke startarrow="oval" endarrow="block" joinstyle="miter"/>
                </v:shape>
                <v:shape id="Zakřivená spojnice 23619" o:spid="_x0000_s1243" type="#_x0000_t38" style="position:absolute;left:24860;top:7905;width:3048;height:271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mJ9xgAAAN4AAAAPAAAAZHJzL2Rvd25yZXYueG1sRI9BawIx&#10;FITvhf6H8IReRLMqSLsapSiFCiJ0K+rxsXlmFzcvS5Lq+u+bgtDjMDPfMPNlZxtxJR9qxwpGwwwE&#10;cel0zUbB/vtj8AoiRGSNjWNScKcAy8Xz0xxz7W78RdciGpEgHHJUUMXY5lKGsiKLYeha4uSdnbcY&#10;k/RGao+3BLeNHGfZVFqsOS1U2NKqovJS/FgF223Yb05HLIr+ZHdYU98b03qlXnrd+wxEpC7+hx/t&#10;T61gPJmO3uDvTroCcvELAAD//wMAUEsBAi0AFAAGAAgAAAAhANvh9svuAAAAhQEAABMAAAAAAAAA&#10;AAAAAAAAAAAAAFtDb250ZW50X1R5cGVzXS54bWxQSwECLQAUAAYACAAAACEAWvQsW78AAAAVAQAA&#10;CwAAAAAAAAAAAAAAAAAfAQAAX3JlbHMvLnJlbHNQSwECLQAUAAYACAAAACEAULpifcYAAADeAAAA&#10;DwAAAAAAAAAAAAAAAAAHAgAAZHJzL2Rvd25yZXYueG1sUEsFBgAAAAADAAMAtwAAAPoCAAAAAA==&#10;" adj="10800" strokecolor="#4472c4 [3204]" strokeweight=".5pt">
                  <v:stroke startarrow="oval" endarrow="block" joinstyle="miter"/>
                </v:shape>
                <v:shape id="Zakřivená spojnice 23625" o:spid="_x0000_s1244" type="#_x0000_t38" style="position:absolute;left:10823;top:7905;width:2416;height:842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w5xgAAAN4AAAAPAAAAZHJzL2Rvd25yZXYueG1sRI9BSwMx&#10;FITvgv8hPKEXsVlTXMratEhBKe3JWjw/N8/d4OZlm8Tt9t83gtDjMDPfMIvV6DoxUIjWs4bHaQGC&#10;uPbGcqPh8PH6MAcRE7LBzjNpOFOE1fL2ZoGV8Sd+p2GfGpEhHCvU0KbUV1LGuiWHcep74ux9++Aw&#10;ZRkaaQKeMtx1UhVFKR1azgst9rRuqf7Z/zoN6X47j8dZaQ9mF77sZ/+mhqi0ntyNL88gEo3pGv5v&#10;b4wGNSvVE/zdyVdALi8AAAD//wMAUEsBAi0AFAAGAAgAAAAhANvh9svuAAAAhQEAABMAAAAAAAAA&#10;AAAAAAAAAAAAAFtDb250ZW50X1R5cGVzXS54bWxQSwECLQAUAAYACAAAACEAWvQsW78AAAAVAQAA&#10;CwAAAAAAAAAAAAAAAAAfAQAAX3JlbHMvLnJlbHNQSwECLQAUAAYACAAAACEAAlnsOcYAAADeAAAA&#10;DwAAAAAAAAAAAAAAAAAHAgAAZHJzL2Rvd25yZXYueG1sUEsFBgAAAAADAAMAtwAAAPoCAAAAAA==&#10;" adj="10800" strokecolor="black [3213]" strokeweight=".5pt">
                  <v:stroke startarrow="oval" endarrow="block" joinstyle="miter"/>
                </v:shape>
                <v:shape id="Zakřivená spojnice 23626" o:spid="_x0000_s1245" type="#_x0000_t38" style="position:absolute;left:10823;top:16325;width:2416;height:154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y6DxAAAAN4AAAAPAAAAZHJzL2Rvd25yZXYueG1sRI9Ba8JA&#10;FITvhf6H5RW81U0jDW10FREjvRo99PjYfU2C2bdpdjXx37uC4HGY+WaYxWq0rbhQ7xvHCj6mCQhi&#10;7UzDlYLjoXj/AuEDssHWMSm4kofV8vVlgblxA+/pUoZKxBL2OSqoQ+hyKb2uyaKfuo44en+utxii&#10;7CtpehxiuW1lmiSZtNhwXKixo01N+lSerYJ0+z3Tn+di818Ng9Opt+VvsVNq8jau5yACjeEZftA/&#10;JnKzLM3gfideAbm8AQAA//8DAFBLAQItABQABgAIAAAAIQDb4fbL7gAAAIUBAAATAAAAAAAAAAAA&#10;AAAAAAAAAABbQ29udGVudF9UeXBlc10ueG1sUEsBAi0AFAAGAAgAAAAhAFr0LFu/AAAAFQEAAAsA&#10;AAAAAAAAAAAAAAAAHwEAAF9yZWxzLy5yZWxzUEsBAi0AFAAGAAgAAAAhAGK/LoPEAAAA3gAAAA8A&#10;AAAAAAAAAAAAAAAABwIAAGRycy9kb3ducmV2LnhtbFBLBQYAAAAAAwADALcAAAD4AgAAAAA=&#10;" adj="10800" strokecolor="black [3213]" strokeweight=".5pt">
                  <v:stroke startarrow="oval" endarrow="block" joinstyle="miter"/>
                </v:shape>
                <v:shape id="Zakřivená spojnice 23627" o:spid="_x0000_s1246" type="#_x0000_t38" style="position:absolute;left:10823;top:16325;width:2416;height:1001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4sYxAAAAN4AAAAPAAAAZHJzL2Rvd25yZXYueG1sRI9Ba8JA&#10;FITvQv/D8oTedGNEq9FVijTSa2MPHh+7zySYfZtmV5P+e1co9DjMfDPMdj/YRtyp87VjBbNpAoJY&#10;O1NzqeD7lE9WIHxANtg4JgW/5GG/exltMTOu5y+6F6EUsYR9hgqqENpMSq8rsuinriWO3sV1FkOU&#10;XSlNh30st41Mk2QpLdYcFyps6VCRvhY3qyD9WM/14pYffsq+dzr1tjjnR6Vex8P7BkSgIfyH/+hP&#10;E7n5Mn2D5514BeTuAQAA//8DAFBLAQItABQABgAIAAAAIQDb4fbL7gAAAIUBAAATAAAAAAAAAAAA&#10;AAAAAAAAAABbQ29udGVudF9UeXBlc10ueG1sUEsBAi0AFAAGAAgAAAAhAFr0LFu/AAAAFQEAAAsA&#10;AAAAAAAAAAAAAAAAHwEAAF9yZWxzLy5yZWxzUEsBAi0AFAAGAAgAAAAhAA3zixjEAAAA3gAAAA8A&#10;AAAAAAAAAAAAAAAABwIAAGRycy9kb3ducmV2LnhtbFBLBQYAAAAAAwADALcAAAD4AgAAAAA=&#10;" adj="10800" strokecolor="black [3213]" strokeweight=".5pt">
                  <v:stroke startarrow="oval" endarrow="block" joinstyle="miter"/>
                </v:shape>
                <v:shape id="Zakřivená spojnice 24054" o:spid="_x0000_s1247" type="#_x0000_t38" style="position:absolute;left:24860;top:17868;width:3048;height:39;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dAxwAAAN4AAAAPAAAAZHJzL2Rvd25yZXYueG1sRI/dagIx&#10;FITvC75DOIXeiGbrTylboxSlUEEEt2J7edicZhc3J0uS6vr2RhB6OczMN8xs0dlGnMiH2rGC52EG&#10;grh0umajYP/1MXgFESKyxsYxKbhQgMW89zDDXLsz7+hURCMShEOOCqoY21zKUFZkMQxdS5y8X+ct&#10;xiS9kdrjOcFtI0dZ9iIt1pwWKmxpWVF5LP6sgs0m7Nc/31gU/fH2sKK+N6b1Sj09du9vICJ18T98&#10;b39qBaNJNp3A7U66AnJ+BQAA//8DAFBLAQItABQABgAIAAAAIQDb4fbL7gAAAIUBAAATAAAAAAAA&#10;AAAAAAAAAAAAAABbQ29udGVudF9UeXBlc10ueG1sUEsBAi0AFAAGAAgAAAAhAFr0LFu/AAAAFQEA&#10;AAsAAAAAAAAAAAAAAAAAHwEAAF9yZWxzLy5yZWxzUEsBAi0AFAAGAAgAAAAhAISVt0DHAAAA3gAA&#10;AA8AAAAAAAAAAAAAAAAABwIAAGRycy9kb3ducmV2LnhtbFBLBQYAAAAAAwADALcAAAD7AgAAAAA=&#10;" adj="10800" strokecolor="#4472c4 [3204]" strokeweight=".5pt">
                  <v:stroke startarrow="oval" endarrow="block" joinstyle="miter"/>
                </v:shape>
                <v:shape id="Zakřivená spojnice 23624" o:spid="_x0000_s1248" type="#_x0000_t38" style="position:absolute;left:24860;top:17868;width:3048;height:570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wdexwAAAN4AAAAPAAAAZHJzL2Rvd25yZXYueG1sRI9BawIx&#10;FITvBf9DeEIvotmuRWRrFLEUWpCCq7Q9PjbP7OLmZUlS3f57IxQ8DjPzDbNY9bYVZ/KhcazgaZKB&#10;IK6cbtgoOOzfxnMQISJrbB2Tgj8KsFoOHhZYaHfhHZ3LaESCcChQQR1jV0gZqposhonriJN3dN5i&#10;TNIbqT1eEty2Ms+ymbTYcFqosaNNTdWp/LUKtttw+Pj5xrIcTT+/Xmnkjem8Uo/Dfv0CIlIf7+H/&#10;9rtWkE9n+TPc7qQrIJdXAAAA//8DAFBLAQItABQABgAIAAAAIQDb4fbL7gAAAIUBAAATAAAAAAAA&#10;AAAAAAAAAAAAAABbQ29udGVudF9UeXBlc10ueG1sUEsBAi0AFAAGAAgAAAAhAFr0LFu/AAAAFQEA&#10;AAsAAAAAAAAAAAAAAAAAHwEAAF9yZWxzLy5yZWxzUEsBAi0AFAAGAAgAAAAhAHDXB17HAAAA3gAA&#10;AA8AAAAAAAAAAAAAAAAABwIAAGRycy9kb3ducmV2LnhtbFBLBQYAAAAAAwADALcAAAD7AgAAAAA=&#10;" adj="10800" strokecolor="#4472c4 [3204]" strokeweight=".5pt">
                  <v:stroke startarrow="oval" endarrow="block" joinstyle="miter"/>
                </v:shape>
                <v:shape id="_x0000_s1249" type="#_x0000_t202" style="position:absolute;left:13239;top:22303;width:11621;height:8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xUyAAAAN4AAAAPAAAAZHJzL2Rvd25yZXYueG1sRI9BawIx&#10;FITvQv9DeAUvUhO1SNkapZZqe7OuQq+vm9fd1M3Lsonu+u+bQqHHYWa+YRar3tXiQm2wnjVMxgoE&#10;ceGN5VLD8bC5ewARIrLB2jNpuFKA1fJmsMDM+I73dMljKRKEQ4YaqhibTMpQVOQwjH1DnLwv3zqM&#10;SbalNC12Ce5qOVVqLh1aTgsVNvRcUXHKz07D6+h87V72n2v7/Z7vOtuoLX+ctB7e9k+PICL18T/8&#10;134zGqb3ajaH3zvpCsjlDwAAAP//AwBQSwECLQAUAAYACAAAACEA2+H2y+4AAACFAQAAEwAAAAAA&#10;AAAAAAAAAAAAAAAAW0NvbnRlbnRfVHlwZXNdLnhtbFBLAQItABQABgAIAAAAIQBa9CxbvwAAABUB&#10;AAALAAAAAAAAAAAAAAAAAB8BAABfcmVscy8ucmVsc1BLAQItABQABgAIAAAAIQCjYMxUyAAAAN4A&#10;AAAPAAAAAAAAAAAAAAAAAAcCAABkcnMvZG93bnJldi54bWxQSwUGAAAAAAMAAwC3AAAA/AIAAAAA&#10;" fillcolor="#f2f2f2 [3052]" strokecolor="#0070c0" strokeweight=".25pt">
                  <v:textbox>
                    <w:txbxContent>
                      <w:p w14:paraId="2BC33675" w14:textId="643925A7" w:rsidR="00511D9B" w:rsidRPr="00454403" w:rsidRDefault="00511D9B" w:rsidP="00487065">
                        <w:pPr>
                          <w:spacing w:line="180" w:lineRule="auto"/>
                          <w:jc w:val="center"/>
                          <w:rPr>
                            <w:rFonts w:asciiTheme="minorHAnsi" w:hAnsiTheme="minorHAnsi" w:cstheme="minorHAnsi"/>
                            <w:b/>
                            <w:szCs w:val="20"/>
                          </w:rPr>
                        </w:pPr>
                        <w:r w:rsidRPr="00454403">
                          <w:rPr>
                            <w:rFonts w:asciiTheme="minorHAnsi" w:hAnsiTheme="minorHAnsi" w:cstheme="minorHAnsi"/>
                            <w:b/>
                            <w:szCs w:val="20"/>
                          </w:rPr>
                          <w:t>Ostatní relevantní informace</w:t>
                        </w:r>
                        <w:r>
                          <w:rPr>
                            <w:rFonts w:asciiTheme="minorHAnsi" w:hAnsiTheme="minorHAnsi" w:cstheme="minorHAnsi"/>
                            <w:b/>
                            <w:szCs w:val="20"/>
                          </w:rPr>
                          <w:t xml:space="preserve"> </w:t>
                        </w:r>
                        <w:r w:rsidRPr="00487065">
                          <w:rPr>
                            <w:rFonts w:asciiTheme="minorHAnsi" w:hAnsiTheme="minorHAnsi" w:cstheme="minorHAnsi"/>
                            <w:szCs w:val="20"/>
                          </w:rPr>
                          <w:t>(postupy, metodiky atd.)</w:t>
                        </w:r>
                      </w:p>
                    </w:txbxContent>
                  </v:textbox>
                </v:shape>
                <v:shape id="Zakřivená spojnice 24051" o:spid="_x0000_s1250" type="#_x0000_t38" style="position:absolute;left:24860;top:26343;width:3048;height:596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hTYxwAAAN4AAAAPAAAAZHJzL2Rvd25yZXYueG1sRI9BawIx&#10;FITvgv8hvIIX0axWS9kapVQKFURwK7bHx+Y1u7h5WZJU13/fFASPw8x8wyxWnW3EmXyoHSuYjDMQ&#10;xKXTNRsFh8/30TOIEJE1No5JwZUCrJb93gJz7S68p3MRjUgQDjkqqGJscylDWZHFMHYtcfJ+nLcY&#10;k/RGao+XBLeNnGbZk7RYc1qosKW3ispT8WsVbLfhsPn+wqIYPu6Oaxp6Y1qv1OChe30BEamL9/Ct&#10;/aEVTGfZfAL/d9IVkMs/AAAA//8DAFBLAQItABQABgAIAAAAIQDb4fbL7gAAAIUBAAATAAAAAAAA&#10;AAAAAAAAAAAAAABbQ29udGVudF9UeXBlc10ueG1sUEsBAi0AFAAGAAgAAAAhAFr0LFu/AAAAFQEA&#10;AAsAAAAAAAAAAAAAAAAAHwEAAF9yZWxzLy5yZWxzUEsBAi0AFAAGAAgAAAAhAJTiFNjHAAAA3gAA&#10;AA8AAAAAAAAAAAAAAAAABwIAAGRycy9kb3ducmV2LnhtbFBLBQYAAAAAAwADALcAAAD7AgAAAAA=&#10;" adj="10800" strokecolor="#4472c4 [3204]" strokeweight=".5pt">
                  <v:stroke startarrow="oval" endarrow="block" joinstyle="miter"/>
                </v:shape>
                <v:shape id="_x0000_s1251" type="#_x0000_t202" style="position:absolute;left:27908;top:30991;width:3124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CwxQAAAN4AAAAPAAAAZHJzL2Rvd25yZXYueG1sRI/LasJA&#10;FIb3Bd9hOAV3daI0RVNHCUJqwVWjYJeHzGkSzJwJmcnFt3cWBZc//41vu59MIwbqXG1ZwXIRgSAu&#10;rK65VHA5Z29rEM4ja2wsk4I7OdjvZi9bTLQd+YeG3JcijLBLUEHlfZtI6YqKDLqFbYmD92c7gz7I&#10;rpS6wzGMm0auouhDGqw5PFTY0qGi4pb3RgH+btIvSuPh1F76pbkN180xuyo1f53STxCeJv8M/7e/&#10;tYLVexQHgIATUEDuHgAAAP//AwBQSwECLQAUAAYACAAAACEA2+H2y+4AAACFAQAAEwAAAAAAAAAA&#10;AAAAAAAAAAAAW0NvbnRlbnRfVHlwZXNdLnhtbFBLAQItABQABgAIAAAAIQBa9CxbvwAAABUBAAAL&#10;AAAAAAAAAAAAAAAAAB8BAABfcmVscy8ucmVsc1BLAQItABQABgAIAAAAIQDKVzCwxQAAAN4AAAAP&#10;AAAAAAAAAAAAAAAAAAcCAABkcnMvZG93bnJldi54bWxQSwUGAAAAAAMAAwC3AAAA+QIAAAAA&#10;" fillcolor="white [3212]" strokecolor="#0070c0" strokeweight=".25pt">
                  <v:textbox>
                    <w:txbxContent>
                      <w:p w14:paraId="6BA1C495" w14:textId="79DABE6E" w:rsidR="00511D9B" w:rsidRPr="00EA7814" w:rsidRDefault="00511D9B" w:rsidP="00560CD3">
                        <w:pPr>
                          <w:spacing w:before="40" w:line="180" w:lineRule="auto"/>
                          <w:rPr>
                            <w:rFonts w:asciiTheme="minorHAnsi" w:hAnsiTheme="minorHAnsi" w:cstheme="minorHAnsi"/>
                            <w:sz w:val="22"/>
                            <w:szCs w:val="20"/>
                          </w:rPr>
                        </w:pPr>
                        <w:r>
                          <w:rPr>
                            <w:rFonts w:asciiTheme="minorHAnsi" w:hAnsiTheme="minorHAnsi" w:cstheme="minorHAnsi"/>
                            <w:szCs w:val="20"/>
                          </w:rPr>
                          <w:t>Například MFČR, další ministerstva a úřady</w:t>
                        </w:r>
                      </w:p>
                      <w:p w14:paraId="37FF7F44" w14:textId="77777777" w:rsidR="00511D9B" w:rsidRPr="00576CB4" w:rsidRDefault="00511D9B" w:rsidP="00560CD3">
                        <w:pPr>
                          <w:spacing w:before="40" w:line="180" w:lineRule="auto"/>
                          <w:rPr>
                            <w:rFonts w:asciiTheme="minorHAnsi" w:hAnsiTheme="minorHAnsi" w:cstheme="minorHAnsi"/>
                            <w:b/>
                            <w:sz w:val="20"/>
                          </w:rPr>
                        </w:pPr>
                      </w:p>
                    </w:txbxContent>
                  </v:textbox>
                </v:shape>
                <v:shape id="_x0000_s1252" type="#_x0000_t202" style="position:absolute;left:27908;top:27432;width:31242;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ykzxQAAAN4AAAAPAAAAZHJzL2Rvd25yZXYueG1sRI9Bi8Iw&#10;FITvC/6H8ARva2pFsdUoRVAX9rQq6PHRPNti81KaWOu/3wgLexxm5htmtelNLTpqXWVZwWQcgSDO&#10;ra64UHA+7T4XIJxH1lhbJgUvcrBZDz5WmGr75B/qjr4QAcIuRQWl900qpctLMujGtiEO3s22Bn2Q&#10;bSF1i88AN7WMo2guDVYcFkpsaFtSfj8+jAK8Jtmesln33ZwfE3PvLslhd1FqNOyzJQhPvf8P/7W/&#10;tIJ4Oo8TeN8JV0CufwEAAP//AwBQSwECLQAUAAYACAAAACEA2+H2y+4AAACFAQAAEwAAAAAAAAAA&#10;AAAAAAAAAAAAW0NvbnRlbnRfVHlwZXNdLnhtbFBLAQItABQABgAIAAAAIQBa9CxbvwAAABUBAAAL&#10;AAAAAAAAAAAAAAAAAB8BAABfcmVscy8ucmVsc1BLAQItABQABgAIAAAAIQCvLykzxQAAAN4AAAAP&#10;AAAAAAAAAAAAAAAAAAcCAABkcnMvZG93bnJldi54bWxQSwUGAAAAAAMAAwC3AAAA+QIAAAAA&#10;" fillcolor="white [3212]" strokecolor="#0070c0" strokeweight=".25pt">
                  <v:textbox>
                    <w:txbxContent>
                      <w:p w14:paraId="11BDD45F" w14:textId="2FD24F0B" w:rsidR="00511D9B" w:rsidRPr="00EA7814" w:rsidRDefault="00511D9B" w:rsidP="0068611A">
                        <w:pPr>
                          <w:spacing w:line="180" w:lineRule="auto"/>
                          <w:rPr>
                            <w:rFonts w:asciiTheme="minorHAnsi" w:hAnsiTheme="minorHAnsi" w:cstheme="minorHAnsi"/>
                            <w:sz w:val="22"/>
                            <w:szCs w:val="20"/>
                          </w:rPr>
                        </w:pPr>
                        <w:r>
                          <w:rPr>
                            <w:rFonts w:asciiTheme="minorHAnsi" w:hAnsiTheme="minorHAnsi" w:cstheme="minorHAnsi"/>
                            <w:szCs w:val="20"/>
                          </w:rPr>
                          <w:t>Strategické dokumenty (EU, stát, kraje, obce)</w:t>
                        </w:r>
                      </w:p>
                      <w:p w14:paraId="3A88FACE" w14:textId="77777777" w:rsidR="00511D9B" w:rsidRPr="00576CB4" w:rsidRDefault="00511D9B" w:rsidP="0068611A">
                        <w:pPr>
                          <w:spacing w:line="180" w:lineRule="auto"/>
                          <w:rPr>
                            <w:rFonts w:asciiTheme="minorHAnsi" w:hAnsiTheme="minorHAnsi" w:cstheme="minorHAnsi"/>
                            <w:b/>
                            <w:sz w:val="20"/>
                          </w:rPr>
                        </w:pPr>
                      </w:p>
                    </w:txbxContent>
                  </v:textbox>
                </v:shape>
                <v:shape id="Zakřivená spojnice 23630" o:spid="_x0000_s1253" type="#_x0000_t38" style="position:absolute;left:24860;top:17868;width:3048;height:10849;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6vNxAAAAN4AAAAPAAAAZHJzL2Rvd25yZXYueG1sRI/LasJA&#10;FIb3Bd9hOIKbohMTCBIdJbRIXbYacHvInFwwcyZmpia+vbModPnz3/h2h8l04kGDay0rWK8iEMSl&#10;1S3XCorLcbkB4Tyyxs4yKXiSg8N+9rbDTNuRf+hx9rUII+wyVNB432dSurIhg25le+LgVXYw6IMc&#10;aqkHHMO46WQcRak02HJ4aLCnj4bK2/nXKPi85l1ev7ffl/umKo5FxRWvv5RazKd8C8LT5P/Df+2T&#10;VhAnaRIAAk5AAbl/AQAA//8DAFBLAQItABQABgAIAAAAIQDb4fbL7gAAAIUBAAATAAAAAAAAAAAA&#10;AAAAAAAAAABbQ29udGVudF9UeXBlc10ueG1sUEsBAi0AFAAGAAgAAAAhAFr0LFu/AAAAFQEAAAsA&#10;AAAAAAAAAAAAAAAAHwEAAF9yZWxzLy5yZWxzUEsBAi0AFAAGAAgAAAAhACTbq83EAAAA3gAAAA8A&#10;AAAAAAAAAAAAAAAABwIAAGRycy9kb3ducmV2LnhtbFBLBQYAAAAAAwADALcAAAD4AgAAAAA=&#10;" adj="8100" strokecolor="#4472c4 [3204]" strokeweight=".5pt">
                  <v:stroke startarrow="oval" endarrow="block" joinstyle="miter"/>
                </v:shape>
              </v:group>
            </w:pict>
          </mc:Fallback>
        </mc:AlternateContent>
      </w:r>
      <w:r w:rsidR="00454403" w:rsidRPr="006C15AF">
        <w:rPr>
          <w:rFonts w:asciiTheme="minorHAnsi" w:eastAsia="Calibri" w:hAnsiTheme="minorHAnsi" w:cstheme="minorHAnsi"/>
          <w:i/>
          <w:iCs/>
          <w:sz w:val="24"/>
          <w:szCs w:val="24"/>
        </w:rPr>
        <w:t xml:space="preserve">Obr. </w:t>
      </w:r>
      <w:r w:rsidR="00081FD0">
        <w:rPr>
          <w:rFonts w:asciiTheme="minorHAnsi" w:eastAsia="Calibri" w:hAnsiTheme="minorHAnsi" w:cstheme="minorHAnsi"/>
          <w:i/>
          <w:iCs/>
          <w:sz w:val="24"/>
          <w:szCs w:val="24"/>
        </w:rPr>
        <w:t>1</w:t>
      </w:r>
      <w:r w:rsidR="00257449">
        <w:rPr>
          <w:rFonts w:asciiTheme="minorHAnsi" w:eastAsia="Calibri" w:hAnsiTheme="minorHAnsi" w:cstheme="minorHAnsi"/>
          <w:i/>
          <w:iCs/>
          <w:sz w:val="24"/>
          <w:szCs w:val="24"/>
        </w:rPr>
        <w:t>5</w:t>
      </w:r>
      <w:r w:rsidR="00454403" w:rsidRPr="006C15AF">
        <w:rPr>
          <w:rFonts w:asciiTheme="minorHAnsi" w:eastAsia="Calibri" w:hAnsiTheme="minorHAnsi" w:cstheme="minorHAnsi"/>
          <w:i/>
          <w:iCs/>
          <w:sz w:val="24"/>
          <w:szCs w:val="24"/>
        </w:rPr>
        <w:t xml:space="preserve"> </w:t>
      </w:r>
      <w:r w:rsidR="00C032B1" w:rsidRPr="006C15AF">
        <w:rPr>
          <w:rFonts w:asciiTheme="minorHAnsi" w:eastAsia="Calibri" w:hAnsiTheme="minorHAnsi" w:cstheme="minorHAnsi"/>
          <w:i/>
          <w:iCs/>
          <w:sz w:val="24"/>
          <w:szCs w:val="24"/>
        </w:rPr>
        <w:t>Finanční</w:t>
      </w:r>
      <w:r w:rsidR="00C032B1">
        <w:rPr>
          <w:rFonts w:asciiTheme="minorHAnsi" w:eastAsia="Calibri" w:hAnsiTheme="minorHAnsi" w:cstheme="minorHAnsi"/>
          <w:i/>
          <w:iCs/>
          <w:sz w:val="24"/>
          <w:szCs w:val="24"/>
        </w:rPr>
        <w:t xml:space="preserve"> data a informace – minulost a současnost / predikce / ostatní informace</w:t>
      </w:r>
    </w:p>
    <w:p w14:paraId="628BF91B" w14:textId="4F120E6E" w:rsidR="00454403" w:rsidRDefault="00454403" w:rsidP="00454403">
      <w:pPr>
        <w:pStyle w:val="Zkladntext3"/>
        <w:spacing w:after="0" w:line="360" w:lineRule="auto"/>
        <w:jc w:val="both"/>
        <w:rPr>
          <w:rFonts w:asciiTheme="minorHAnsi" w:eastAsia="Calibri" w:hAnsiTheme="minorHAnsi" w:cstheme="minorHAnsi"/>
          <w:i/>
          <w:iCs/>
          <w:sz w:val="24"/>
          <w:szCs w:val="24"/>
        </w:rPr>
      </w:pPr>
    </w:p>
    <w:p w14:paraId="2EE05DA5" w14:textId="49DB9D9D" w:rsidR="00454403" w:rsidRDefault="00454403" w:rsidP="00454403">
      <w:pPr>
        <w:pStyle w:val="Zkladntext3"/>
        <w:spacing w:after="0" w:line="360" w:lineRule="auto"/>
        <w:jc w:val="both"/>
        <w:rPr>
          <w:rFonts w:asciiTheme="minorHAnsi" w:eastAsia="Calibri" w:hAnsiTheme="minorHAnsi" w:cstheme="minorHAnsi"/>
          <w:i/>
          <w:iCs/>
          <w:sz w:val="24"/>
          <w:szCs w:val="24"/>
        </w:rPr>
      </w:pPr>
    </w:p>
    <w:p w14:paraId="70755ECD" w14:textId="389BB5A1" w:rsidR="00454403" w:rsidRDefault="00454403" w:rsidP="00454403">
      <w:pPr>
        <w:tabs>
          <w:tab w:val="num" w:pos="720"/>
        </w:tabs>
        <w:jc w:val="both"/>
        <w:rPr>
          <w:rFonts w:ascii="Calibri" w:hAnsi="Calibri" w:cs="Calibri"/>
        </w:rPr>
      </w:pPr>
    </w:p>
    <w:p w14:paraId="61C2D2D6" w14:textId="7BD9533E" w:rsidR="00454403" w:rsidRDefault="00454403" w:rsidP="00454403">
      <w:pPr>
        <w:tabs>
          <w:tab w:val="num" w:pos="720"/>
        </w:tabs>
        <w:jc w:val="both"/>
        <w:rPr>
          <w:rFonts w:ascii="Calibri" w:hAnsi="Calibri" w:cs="Calibri"/>
        </w:rPr>
      </w:pPr>
    </w:p>
    <w:p w14:paraId="0A1F3908" w14:textId="2F4B4F6B" w:rsidR="00454403" w:rsidRDefault="00454403" w:rsidP="00454403">
      <w:pPr>
        <w:tabs>
          <w:tab w:val="num" w:pos="720"/>
        </w:tabs>
        <w:jc w:val="both"/>
        <w:rPr>
          <w:rFonts w:asciiTheme="minorHAnsi" w:hAnsiTheme="minorHAnsi" w:cstheme="minorHAnsi"/>
        </w:rPr>
      </w:pPr>
    </w:p>
    <w:p w14:paraId="6ADBA0D9" w14:textId="1FB2F95D" w:rsidR="00454403" w:rsidRDefault="00454403" w:rsidP="00454403">
      <w:pPr>
        <w:pStyle w:val="Zkladntext3"/>
        <w:spacing w:after="0" w:line="360" w:lineRule="auto"/>
        <w:ind w:left="66" w:firstLine="294"/>
        <w:jc w:val="both"/>
        <w:rPr>
          <w:rFonts w:asciiTheme="minorHAnsi" w:eastAsia="Calibri" w:hAnsiTheme="minorHAnsi" w:cstheme="minorHAnsi"/>
          <w:i/>
          <w:iCs/>
          <w:sz w:val="24"/>
          <w:szCs w:val="24"/>
        </w:rPr>
      </w:pPr>
    </w:p>
    <w:p w14:paraId="06B6A6D6" w14:textId="0F5FF7E8" w:rsidR="00454403" w:rsidRDefault="00454403" w:rsidP="00454403">
      <w:pPr>
        <w:pStyle w:val="Zkladntext3"/>
        <w:spacing w:after="0" w:line="360" w:lineRule="auto"/>
        <w:ind w:left="66" w:firstLine="294"/>
        <w:jc w:val="both"/>
        <w:rPr>
          <w:rFonts w:asciiTheme="minorHAnsi" w:eastAsia="Calibri" w:hAnsiTheme="minorHAnsi" w:cstheme="minorHAnsi"/>
          <w:i/>
          <w:iCs/>
          <w:sz w:val="24"/>
          <w:szCs w:val="24"/>
        </w:rPr>
      </w:pPr>
    </w:p>
    <w:p w14:paraId="282B18EA" w14:textId="135F7495" w:rsidR="00454403" w:rsidRDefault="00454403" w:rsidP="00454403">
      <w:pPr>
        <w:pStyle w:val="Zkladntext3"/>
        <w:spacing w:after="0" w:line="360" w:lineRule="auto"/>
        <w:jc w:val="both"/>
        <w:rPr>
          <w:rFonts w:asciiTheme="minorHAnsi" w:eastAsia="Calibri" w:hAnsiTheme="minorHAnsi" w:cstheme="minorHAnsi"/>
          <w:i/>
          <w:iCs/>
          <w:sz w:val="24"/>
          <w:szCs w:val="24"/>
        </w:rPr>
      </w:pPr>
    </w:p>
    <w:p w14:paraId="18679331" w14:textId="6254241B" w:rsidR="00454403" w:rsidRDefault="00454403" w:rsidP="00454403">
      <w:pPr>
        <w:pStyle w:val="Zkladntext3"/>
        <w:spacing w:after="0" w:line="360" w:lineRule="auto"/>
        <w:jc w:val="both"/>
        <w:rPr>
          <w:rFonts w:asciiTheme="minorHAnsi" w:eastAsia="Calibri" w:hAnsiTheme="minorHAnsi" w:cstheme="minorHAnsi"/>
          <w:i/>
          <w:iCs/>
          <w:sz w:val="24"/>
          <w:szCs w:val="24"/>
        </w:rPr>
      </w:pPr>
    </w:p>
    <w:p w14:paraId="58866B88" w14:textId="113C2729" w:rsidR="00454403" w:rsidRDefault="00454403" w:rsidP="00454403">
      <w:pPr>
        <w:pStyle w:val="Zkladntext3"/>
        <w:spacing w:after="0" w:line="360" w:lineRule="auto"/>
        <w:jc w:val="both"/>
        <w:rPr>
          <w:rFonts w:asciiTheme="minorHAnsi" w:eastAsia="Calibri" w:hAnsiTheme="minorHAnsi" w:cstheme="minorHAnsi"/>
          <w:i/>
          <w:iCs/>
          <w:sz w:val="24"/>
          <w:szCs w:val="24"/>
        </w:rPr>
      </w:pPr>
    </w:p>
    <w:p w14:paraId="37D82B1B" w14:textId="5C4B4DDD" w:rsidR="00454403" w:rsidRDefault="00454403" w:rsidP="00454403">
      <w:pPr>
        <w:pStyle w:val="Zkladntext3"/>
        <w:spacing w:after="0" w:line="360" w:lineRule="auto"/>
        <w:jc w:val="both"/>
        <w:rPr>
          <w:rFonts w:asciiTheme="minorHAnsi" w:eastAsia="Calibri" w:hAnsiTheme="minorHAnsi" w:cstheme="minorHAnsi"/>
          <w:i/>
          <w:iCs/>
          <w:sz w:val="24"/>
          <w:szCs w:val="24"/>
        </w:rPr>
      </w:pPr>
    </w:p>
    <w:p w14:paraId="7C413C72" w14:textId="77777777" w:rsidR="000828C6" w:rsidRDefault="000828C6" w:rsidP="00454403">
      <w:pPr>
        <w:pStyle w:val="Zkladntext3"/>
        <w:spacing w:after="0" w:line="360" w:lineRule="auto"/>
        <w:jc w:val="both"/>
        <w:rPr>
          <w:rFonts w:asciiTheme="minorHAnsi" w:eastAsia="Calibri" w:hAnsiTheme="minorHAnsi" w:cstheme="minorHAnsi"/>
          <w:i/>
          <w:iCs/>
          <w:sz w:val="24"/>
          <w:szCs w:val="24"/>
        </w:rPr>
      </w:pPr>
    </w:p>
    <w:p w14:paraId="7AFA7775" w14:textId="48AEFD89" w:rsidR="00454403" w:rsidRPr="00A06E6A" w:rsidRDefault="00454403" w:rsidP="00454403">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6B96A6C8" w14:textId="77777777" w:rsidR="009A72AF" w:rsidRDefault="009A72AF" w:rsidP="00C032B1">
      <w:pPr>
        <w:jc w:val="both"/>
        <w:rPr>
          <w:rFonts w:ascii="Calibri" w:hAnsi="Calibri"/>
        </w:rPr>
      </w:pPr>
    </w:p>
    <w:p w14:paraId="33CDA8CF" w14:textId="15C237FF" w:rsidR="00C032B1" w:rsidRDefault="00C032B1" w:rsidP="00C032B1">
      <w:pPr>
        <w:jc w:val="both"/>
        <w:rPr>
          <w:rFonts w:ascii="Calibri" w:hAnsi="Calibri"/>
        </w:rPr>
      </w:pPr>
      <w:r>
        <w:rPr>
          <w:rFonts w:ascii="Calibri" w:hAnsi="Calibri"/>
        </w:rPr>
        <w:t xml:space="preserve">Při strategické práci </w:t>
      </w:r>
      <w:r w:rsidR="00902F88">
        <w:rPr>
          <w:rFonts w:ascii="Calibri" w:hAnsi="Calibri"/>
        </w:rPr>
        <w:t>potřebujeme</w:t>
      </w:r>
      <w:r>
        <w:rPr>
          <w:rFonts w:ascii="Calibri" w:hAnsi="Calibri"/>
        </w:rPr>
        <w:t xml:space="preserve"> jak hodnotit </w:t>
      </w:r>
      <w:r w:rsidR="00CE121B">
        <w:rPr>
          <w:rFonts w:ascii="Calibri" w:hAnsi="Calibri"/>
        </w:rPr>
        <w:t>minulý vývoj</w:t>
      </w:r>
      <w:r>
        <w:rPr>
          <w:rFonts w:ascii="Calibri" w:hAnsi="Calibri"/>
        </w:rPr>
        <w:t>, tak predikovat budoucnost. K tomu též musíme znát informace, které vymezují postupy (například dané zákonem</w:t>
      </w:r>
      <w:r w:rsidR="00CE121B">
        <w:rPr>
          <w:rFonts w:ascii="Calibri" w:hAnsi="Calibri"/>
        </w:rPr>
        <w:t xml:space="preserve"> nebo </w:t>
      </w:r>
      <w:r w:rsidR="00CE121B">
        <w:rPr>
          <w:rFonts w:ascii="Calibri" w:hAnsi="Calibri"/>
        </w:rPr>
        <w:lastRenderedPageBreak/>
        <w:t>jinými předpisy</w:t>
      </w:r>
      <w:r>
        <w:rPr>
          <w:rFonts w:ascii="Calibri" w:hAnsi="Calibri"/>
        </w:rPr>
        <w:t xml:space="preserve">), </w:t>
      </w:r>
      <w:r w:rsidR="006C15AF">
        <w:rPr>
          <w:rFonts w:ascii="Calibri" w:hAnsi="Calibri"/>
        </w:rPr>
        <w:t xml:space="preserve">závazné limity nebo ukazatele, příklady, </w:t>
      </w:r>
      <w:r>
        <w:rPr>
          <w:rFonts w:ascii="Calibri" w:hAnsi="Calibri"/>
        </w:rPr>
        <w:t>návody, metodické doporučení a podobně.</w:t>
      </w:r>
    </w:p>
    <w:p w14:paraId="4062832D" w14:textId="1AC74411" w:rsidR="00454403" w:rsidRDefault="00454403" w:rsidP="007723A2">
      <w:pPr>
        <w:jc w:val="both"/>
        <w:rPr>
          <w:rFonts w:ascii="Calibri" w:hAnsi="Calibri"/>
        </w:rPr>
      </w:pPr>
    </w:p>
    <w:p w14:paraId="687CA4CA" w14:textId="77777777" w:rsidR="007B1B0A" w:rsidRPr="00CE121B" w:rsidRDefault="007B1B0A" w:rsidP="00CE121B">
      <w:pPr>
        <w:pStyle w:val="Nadpis2"/>
        <w:spacing w:before="240" w:after="120"/>
        <w:ind w:left="578" w:hanging="578"/>
        <w:rPr>
          <w:rFonts w:asciiTheme="minorHAnsi" w:hAnsiTheme="minorHAnsi" w:cstheme="minorHAnsi"/>
          <w:color w:val="7493B0"/>
          <w:sz w:val="24"/>
          <w:szCs w:val="24"/>
          <w:lang w:val="cs-CZ"/>
        </w:rPr>
      </w:pPr>
      <w:bookmarkStart w:id="24" w:name="_Toc50113153"/>
      <w:bookmarkStart w:id="25" w:name="_Toc117269994"/>
      <w:r w:rsidRPr="00CE121B">
        <w:rPr>
          <w:rFonts w:asciiTheme="minorHAnsi" w:hAnsiTheme="minorHAnsi" w:cstheme="minorHAnsi"/>
          <w:color w:val="7493B0"/>
          <w:sz w:val="24"/>
          <w:szCs w:val="24"/>
          <w:lang w:val="cs-CZ"/>
        </w:rPr>
        <w:t>Finanční data: znát rozpočtovou skladbu</w:t>
      </w:r>
      <w:bookmarkEnd w:id="24"/>
      <w:bookmarkEnd w:id="25"/>
    </w:p>
    <w:p w14:paraId="10CAB566" w14:textId="07ABF0BC" w:rsidR="007B1B0A" w:rsidRDefault="00FC3C88" w:rsidP="009A72AF">
      <w:pPr>
        <w:pStyle w:val="A1-text"/>
        <w:spacing w:after="0"/>
        <w:rPr>
          <w:rFonts w:asciiTheme="minorHAnsi" w:hAnsiTheme="minorHAnsi"/>
        </w:rPr>
      </w:pPr>
      <w:r>
        <w:rPr>
          <w:rFonts w:asciiTheme="minorHAnsi" w:hAnsiTheme="minorHAnsi"/>
          <w:lang w:val="cs-CZ"/>
        </w:rPr>
        <w:t>Při strategické práci je nezbytné porozumět struktuře</w:t>
      </w:r>
      <w:r w:rsidR="00902F88">
        <w:rPr>
          <w:rFonts w:asciiTheme="minorHAnsi" w:hAnsiTheme="minorHAnsi"/>
          <w:lang w:val="cs-CZ"/>
        </w:rPr>
        <w:t>,</w:t>
      </w:r>
      <w:r>
        <w:rPr>
          <w:rFonts w:asciiTheme="minorHAnsi" w:hAnsiTheme="minorHAnsi"/>
          <w:lang w:val="cs-CZ"/>
        </w:rPr>
        <w:t xml:space="preserve"> respektive členění finančních dat. Jde o to chápat</w:t>
      </w:r>
      <w:r w:rsidR="00A76C03">
        <w:rPr>
          <w:rFonts w:asciiTheme="minorHAnsi" w:hAnsiTheme="minorHAnsi"/>
          <w:lang w:val="cs-CZ"/>
        </w:rPr>
        <w:t>, jak jsou data v závěrečném účtu, rozpočtu nebo například v databázi MONITOR</w:t>
      </w:r>
      <w:r>
        <w:rPr>
          <w:rFonts w:asciiTheme="minorHAnsi" w:hAnsiTheme="minorHAnsi"/>
          <w:lang w:val="cs-CZ"/>
        </w:rPr>
        <w:t xml:space="preserve"> strukturována – neboli porozumět rozpočtové skladbě. </w:t>
      </w:r>
      <w:r w:rsidR="007B1B0A" w:rsidRPr="00031D00">
        <w:rPr>
          <w:rFonts w:asciiTheme="minorHAnsi" w:hAnsiTheme="minorHAnsi"/>
          <w:b/>
        </w:rPr>
        <w:t>Rozpočtová skladba</w:t>
      </w:r>
      <w:r w:rsidR="007B1B0A" w:rsidRPr="00543F72">
        <w:rPr>
          <w:rFonts w:asciiTheme="minorHAnsi" w:hAnsiTheme="minorHAnsi"/>
        </w:rPr>
        <w:t xml:space="preserve"> se používá pro</w:t>
      </w:r>
      <w:r>
        <w:rPr>
          <w:rFonts w:asciiTheme="minorHAnsi" w:hAnsiTheme="minorHAnsi"/>
        </w:rPr>
        <w:t xml:space="preserve"> klasifikaci peněžních operací, což znamená, že jde o</w:t>
      </w:r>
      <w:r>
        <w:rPr>
          <w:rFonts w:asciiTheme="minorHAnsi" w:hAnsiTheme="minorHAnsi"/>
          <w:lang w:val="cs-CZ"/>
        </w:rPr>
        <w:t xml:space="preserve"> </w:t>
      </w:r>
      <w:r w:rsidR="007B1B0A" w:rsidRPr="00543F72">
        <w:rPr>
          <w:rFonts w:asciiTheme="minorHAnsi" w:hAnsiTheme="minorHAnsi"/>
        </w:rPr>
        <w:t>s</w:t>
      </w:r>
      <w:r w:rsidR="007B1B0A" w:rsidRPr="00543F72">
        <w:rPr>
          <w:rFonts w:asciiTheme="minorHAnsi" w:hAnsiTheme="minorHAnsi"/>
          <w:szCs w:val="19"/>
        </w:rPr>
        <w:t>ystematické, jednotné a závazné třídění příjmů a výdajů</w:t>
      </w:r>
      <w:r w:rsidR="007B1B0A" w:rsidRPr="00543F72">
        <w:rPr>
          <w:rFonts w:asciiTheme="minorHAnsi" w:hAnsiTheme="minorHAnsi"/>
        </w:rPr>
        <w:t xml:space="preserve">, které jsou obsaženy v rozpočtu. Rozpočtová skladba je stanovena vyhláškou </w:t>
      </w:r>
      <w:r>
        <w:rPr>
          <w:rFonts w:asciiTheme="minorHAnsi" w:hAnsiTheme="minorHAnsi"/>
          <w:lang w:val="cs-CZ"/>
        </w:rPr>
        <w:t xml:space="preserve">Ministerstva financí </w:t>
      </w:r>
      <w:r w:rsidR="007B1B0A" w:rsidRPr="00543F72">
        <w:rPr>
          <w:rFonts w:asciiTheme="minorHAnsi" w:hAnsiTheme="minorHAnsi"/>
        </w:rPr>
        <w:t>č</w:t>
      </w:r>
      <w:r w:rsidR="00CE121B">
        <w:rPr>
          <w:rFonts w:asciiTheme="minorHAnsi" w:hAnsiTheme="minorHAnsi"/>
          <w:lang w:val="cs-CZ"/>
        </w:rPr>
        <w:t>.</w:t>
      </w:r>
      <w:r w:rsidR="00CE121B" w:rsidRPr="00CE121B">
        <w:rPr>
          <w:rFonts w:asciiTheme="minorHAnsi" w:hAnsiTheme="minorHAnsi" w:cstheme="minorHAnsi"/>
          <w:lang w:val="cs-CZ"/>
        </w:rPr>
        <w:t xml:space="preserve"> </w:t>
      </w:r>
      <w:r w:rsidR="00CE121B" w:rsidRPr="0050111B">
        <w:rPr>
          <w:rFonts w:asciiTheme="minorHAnsi" w:hAnsiTheme="minorHAnsi" w:cstheme="minorHAnsi"/>
          <w:lang w:val="cs-CZ"/>
        </w:rPr>
        <w:t>412 / 2021 o rozpočtové skladbě</w:t>
      </w:r>
      <w:r w:rsidR="00CE121B" w:rsidRPr="0050111B">
        <w:rPr>
          <w:rStyle w:val="Znakapoznpodarou"/>
          <w:rFonts w:asciiTheme="minorHAnsi" w:hAnsiTheme="minorHAnsi" w:cstheme="minorHAnsi"/>
          <w:lang w:val="cs-CZ"/>
        </w:rPr>
        <w:footnoteReference w:id="32"/>
      </w:r>
      <w:r w:rsidR="00CE121B">
        <w:rPr>
          <w:rFonts w:asciiTheme="minorHAnsi" w:hAnsiTheme="minorHAnsi" w:cstheme="minorHAnsi"/>
          <w:lang w:val="cs-CZ"/>
        </w:rPr>
        <w:t xml:space="preserve">. </w:t>
      </w:r>
      <w:r>
        <w:rPr>
          <w:rFonts w:asciiTheme="minorHAnsi" w:hAnsiTheme="minorHAnsi" w:cstheme="minorHAnsi"/>
          <w:lang w:val="cs-CZ"/>
        </w:rPr>
        <w:t xml:space="preserve">Základní údaje k </w:t>
      </w:r>
      <w:r w:rsidRPr="00543F72">
        <w:rPr>
          <w:rFonts w:asciiTheme="minorHAnsi" w:hAnsiTheme="minorHAnsi"/>
        </w:rPr>
        <w:t>rozpočto</w:t>
      </w:r>
      <w:r>
        <w:rPr>
          <w:rFonts w:asciiTheme="minorHAnsi" w:hAnsiTheme="minorHAnsi"/>
          <w:lang w:val="cs-CZ"/>
        </w:rPr>
        <w:t>vé</w:t>
      </w:r>
      <w:r>
        <w:rPr>
          <w:rFonts w:asciiTheme="minorHAnsi" w:hAnsiTheme="minorHAnsi"/>
        </w:rPr>
        <w:t xml:space="preserve"> skladbě jsou</w:t>
      </w:r>
      <w:r w:rsidR="007B1B0A" w:rsidRPr="00543F72">
        <w:rPr>
          <w:rFonts w:asciiTheme="minorHAnsi" w:hAnsiTheme="minorHAnsi"/>
        </w:rPr>
        <w:t xml:space="preserve"> na následujícím obrázku. </w:t>
      </w:r>
    </w:p>
    <w:p w14:paraId="4B9DBFA1" w14:textId="23A6884A" w:rsidR="007B1B0A" w:rsidRPr="000828C6" w:rsidRDefault="007B1B0A" w:rsidP="009A72AF">
      <w:pPr>
        <w:pStyle w:val="A1-text"/>
        <w:spacing w:after="0" w:line="240" w:lineRule="auto"/>
        <w:rPr>
          <w:rFonts w:asciiTheme="minorHAnsi" w:hAnsiTheme="minorHAnsi"/>
          <w:i/>
          <w:iCs/>
          <w:lang w:val="cs-CZ"/>
        </w:rPr>
      </w:pPr>
      <w:r w:rsidRPr="000828C6">
        <w:rPr>
          <w:rFonts w:asciiTheme="minorHAnsi" w:hAnsiTheme="minorHAnsi"/>
          <w:i/>
          <w:iCs/>
        </w:rPr>
        <w:t>Obr.</w:t>
      </w:r>
      <w:r w:rsidR="00081FD0">
        <w:rPr>
          <w:rFonts w:asciiTheme="minorHAnsi" w:hAnsiTheme="minorHAnsi"/>
          <w:i/>
          <w:iCs/>
          <w:lang w:val="cs-CZ"/>
        </w:rPr>
        <w:t xml:space="preserve"> 1</w:t>
      </w:r>
      <w:r w:rsidR="00257449">
        <w:rPr>
          <w:rFonts w:asciiTheme="minorHAnsi" w:hAnsiTheme="minorHAnsi"/>
          <w:i/>
          <w:iCs/>
          <w:lang w:val="cs-CZ"/>
        </w:rPr>
        <w:t>6</w:t>
      </w:r>
      <w:r w:rsidRPr="000828C6">
        <w:rPr>
          <w:rFonts w:asciiTheme="minorHAnsi" w:hAnsiTheme="minorHAnsi"/>
          <w:i/>
          <w:iCs/>
        </w:rPr>
        <w:t xml:space="preserve"> </w:t>
      </w:r>
      <w:r w:rsidR="00CE121B" w:rsidRPr="000828C6">
        <w:rPr>
          <w:rFonts w:asciiTheme="minorHAnsi" w:hAnsiTheme="minorHAnsi"/>
          <w:i/>
          <w:iCs/>
          <w:lang w:val="cs-CZ"/>
        </w:rPr>
        <w:t>Princip rozpočtové</w:t>
      </w:r>
      <w:r w:rsidR="00CE121B" w:rsidRPr="000828C6">
        <w:rPr>
          <w:rFonts w:asciiTheme="minorHAnsi" w:hAnsiTheme="minorHAnsi"/>
          <w:i/>
          <w:iCs/>
        </w:rPr>
        <w:t xml:space="preserve"> skladby</w:t>
      </w:r>
    </w:p>
    <w:p w14:paraId="7DCD5874" w14:textId="77777777" w:rsidR="007B1B0A" w:rsidRDefault="007B1B0A" w:rsidP="007B1B0A">
      <w:pPr>
        <w:pStyle w:val="A1-text"/>
        <w:spacing w:after="0" w:line="240" w:lineRule="auto"/>
      </w:pPr>
      <w:r w:rsidRPr="00B562A7">
        <w:rPr>
          <w:noProof/>
          <w:lang w:val="cs-CZ" w:eastAsia="cs-CZ"/>
        </w:rPr>
        <w:drawing>
          <wp:inline distT="0" distB="0" distL="0" distR="0" wp14:anchorId="2B1DAD28" wp14:editId="630D2DC0">
            <wp:extent cx="5753100" cy="2110740"/>
            <wp:effectExtent l="0" t="0" r="0" b="3810"/>
            <wp:docPr id="23618" name="Obrázek 23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2110740"/>
                    </a:xfrm>
                    <a:prstGeom prst="rect">
                      <a:avLst/>
                    </a:prstGeom>
                    <a:noFill/>
                    <a:ln>
                      <a:noFill/>
                    </a:ln>
                  </pic:spPr>
                </pic:pic>
              </a:graphicData>
            </a:graphic>
          </wp:inline>
        </w:drawing>
      </w:r>
    </w:p>
    <w:p w14:paraId="49C75998" w14:textId="77777777" w:rsidR="007B1B0A" w:rsidRPr="000828C6" w:rsidRDefault="007B1B0A" w:rsidP="007B1B0A">
      <w:pPr>
        <w:pStyle w:val="A-pramen"/>
        <w:spacing w:after="120"/>
        <w:rPr>
          <w:rFonts w:asciiTheme="minorHAnsi" w:hAnsiTheme="minorHAnsi"/>
          <w:i/>
          <w:iCs/>
        </w:rPr>
      </w:pPr>
      <w:r w:rsidRPr="000828C6">
        <w:rPr>
          <w:rFonts w:asciiTheme="minorHAnsi" w:hAnsiTheme="minorHAnsi"/>
          <w:i/>
          <w:iCs/>
        </w:rPr>
        <w:t>Zdroj: Provazníková 2007, s. 104</w:t>
      </w:r>
    </w:p>
    <w:p w14:paraId="02F00075" w14:textId="74EE73AA" w:rsidR="00A514C6" w:rsidRDefault="00A514C6" w:rsidP="00A514C6">
      <w:pPr>
        <w:pStyle w:val="A1-text"/>
        <w:spacing w:after="0"/>
        <w:rPr>
          <w:rFonts w:asciiTheme="minorHAnsi" w:hAnsiTheme="minorHAnsi"/>
          <w:lang w:val="cs-CZ"/>
        </w:rPr>
      </w:pPr>
      <w:r>
        <w:rPr>
          <w:rFonts w:asciiTheme="minorHAnsi" w:hAnsiTheme="minorHAnsi"/>
          <w:lang w:val="cs-CZ"/>
        </w:rPr>
        <w:t>Vybrané údaje zejména ve vazbě na samosprávy jsou v následující tabulce.</w:t>
      </w:r>
    </w:p>
    <w:p w14:paraId="7B8A762E" w14:textId="34D110D1" w:rsidR="00113DF1" w:rsidRPr="000828C6" w:rsidRDefault="00A514C6" w:rsidP="007B1B0A">
      <w:pPr>
        <w:pStyle w:val="A1-text"/>
        <w:spacing w:after="0"/>
        <w:rPr>
          <w:rFonts w:asciiTheme="minorHAnsi" w:hAnsiTheme="minorHAnsi"/>
          <w:i/>
          <w:iCs/>
          <w:lang w:val="cs-CZ"/>
        </w:rPr>
      </w:pPr>
      <w:r w:rsidRPr="000828C6">
        <w:rPr>
          <w:rFonts w:asciiTheme="minorHAnsi" w:hAnsiTheme="minorHAnsi"/>
          <w:i/>
          <w:iCs/>
          <w:lang w:val="cs-CZ"/>
        </w:rPr>
        <w:t>Tab.</w:t>
      </w:r>
      <w:r w:rsidR="00081FD0">
        <w:rPr>
          <w:rFonts w:asciiTheme="minorHAnsi" w:hAnsiTheme="minorHAnsi"/>
          <w:i/>
          <w:iCs/>
          <w:lang w:val="cs-CZ"/>
        </w:rPr>
        <w:t xml:space="preserve"> </w:t>
      </w:r>
      <w:r w:rsidR="00C14739">
        <w:rPr>
          <w:rFonts w:asciiTheme="minorHAnsi" w:hAnsiTheme="minorHAnsi"/>
          <w:i/>
          <w:iCs/>
          <w:lang w:val="cs-CZ"/>
        </w:rPr>
        <w:t>9</w:t>
      </w:r>
      <w:r w:rsidRPr="000828C6">
        <w:rPr>
          <w:rFonts w:asciiTheme="minorHAnsi" w:hAnsiTheme="minorHAnsi"/>
          <w:i/>
          <w:iCs/>
          <w:lang w:val="cs-CZ"/>
        </w:rPr>
        <w:t xml:space="preserve"> Komentáře k rozpočtové skladbě</w:t>
      </w:r>
    </w:p>
    <w:tbl>
      <w:tblPr>
        <w:tblStyle w:val="Mkatabulky"/>
        <w:tblW w:w="0" w:type="auto"/>
        <w:tblLook w:val="04A0" w:firstRow="1" w:lastRow="0" w:firstColumn="1" w:lastColumn="0" w:noHBand="0" w:noVBand="1"/>
      </w:tblPr>
      <w:tblGrid>
        <w:gridCol w:w="1568"/>
        <w:gridCol w:w="7448"/>
      </w:tblGrid>
      <w:tr w:rsidR="00113DF1" w:rsidRPr="00A514C6" w14:paraId="75BBA4D3" w14:textId="77777777" w:rsidTr="005806E2">
        <w:tc>
          <w:tcPr>
            <w:tcW w:w="1271" w:type="dxa"/>
            <w:shd w:val="clear" w:color="auto" w:fill="E7E6E6" w:themeFill="background2"/>
            <w:vAlign w:val="center"/>
          </w:tcPr>
          <w:p w14:paraId="1C24E878" w14:textId="3695E3E0" w:rsidR="00113DF1" w:rsidRPr="00A514C6" w:rsidRDefault="00A514C6" w:rsidP="00A514C6">
            <w:pPr>
              <w:pStyle w:val="A1-text"/>
              <w:spacing w:after="0" w:line="240" w:lineRule="auto"/>
              <w:ind w:left="-57"/>
              <w:jc w:val="left"/>
              <w:rPr>
                <w:rFonts w:asciiTheme="minorHAnsi" w:hAnsiTheme="minorHAnsi"/>
                <w:b/>
                <w:sz w:val="22"/>
                <w:lang w:val="cs-CZ"/>
              </w:rPr>
            </w:pPr>
            <w:r w:rsidRPr="00A514C6">
              <w:rPr>
                <w:rFonts w:asciiTheme="minorHAnsi" w:hAnsiTheme="minorHAnsi"/>
                <w:b/>
                <w:sz w:val="22"/>
                <w:lang w:val="cs-CZ"/>
              </w:rPr>
              <w:t>Třídění</w:t>
            </w:r>
          </w:p>
        </w:tc>
        <w:tc>
          <w:tcPr>
            <w:tcW w:w="7745" w:type="dxa"/>
            <w:shd w:val="clear" w:color="auto" w:fill="E7E6E6" w:themeFill="background2"/>
          </w:tcPr>
          <w:p w14:paraId="4EF7065B" w14:textId="16AFF8EF" w:rsidR="00113DF1" w:rsidRPr="00A514C6" w:rsidRDefault="00A514C6" w:rsidP="00113DF1">
            <w:pPr>
              <w:pStyle w:val="A1-text"/>
              <w:spacing w:after="0" w:line="240" w:lineRule="auto"/>
              <w:rPr>
                <w:rFonts w:asciiTheme="minorHAnsi" w:hAnsiTheme="minorHAnsi"/>
                <w:b/>
                <w:sz w:val="22"/>
                <w:lang w:val="cs-CZ"/>
              </w:rPr>
            </w:pPr>
            <w:r w:rsidRPr="00A514C6">
              <w:rPr>
                <w:rFonts w:asciiTheme="minorHAnsi" w:hAnsiTheme="minorHAnsi"/>
                <w:b/>
                <w:sz w:val="22"/>
                <w:lang w:val="cs-CZ"/>
              </w:rPr>
              <w:t>Komentář</w:t>
            </w:r>
          </w:p>
        </w:tc>
      </w:tr>
      <w:tr w:rsidR="00113DF1" w:rsidRPr="00113DF1" w14:paraId="58CAC18A" w14:textId="77777777" w:rsidTr="005806E2">
        <w:tc>
          <w:tcPr>
            <w:tcW w:w="1271" w:type="dxa"/>
            <w:shd w:val="clear" w:color="auto" w:fill="E7E6E6" w:themeFill="background2"/>
            <w:vAlign w:val="center"/>
          </w:tcPr>
          <w:p w14:paraId="3AAF35B4" w14:textId="0E69984A" w:rsidR="00113DF1" w:rsidRPr="00113DF1" w:rsidRDefault="00A514C6" w:rsidP="00A514C6">
            <w:pPr>
              <w:pStyle w:val="A1-text"/>
              <w:spacing w:after="0" w:line="240" w:lineRule="auto"/>
              <w:ind w:left="-57"/>
              <w:jc w:val="left"/>
              <w:rPr>
                <w:rFonts w:asciiTheme="minorHAnsi" w:hAnsiTheme="minorHAnsi"/>
                <w:sz w:val="22"/>
              </w:rPr>
            </w:pPr>
            <w:r w:rsidRPr="00A514C6">
              <w:rPr>
                <w:rFonts w:asciiTheme="minorHAnsi" w:hAnsiTheme="minorHAnsi"/>
                <w:b/>
                <w:sz w:val="22"/>
              </w:rPr>
              <w:t xml:space="preserve">Odpovědnostní </w:t>
            </w:r>
          </w:p>
        </w:tc>
        <w:tc>
          <w:tcPr>
            <w:tcW w:w="7745" w:type="dxa"/>
          </w:tcPr>
          <w:p w14:paraId="6EAC0863" w14:textId="029E8881" w:rsidR="00113DF1" w:rsidRPr="00113DF1" w:rsidRDefault="00A514C6" w:rsidP="00113DF1">
            <w:pPr>
              <w:pStyle w:val="A1-text"/>
              <w:spacing w:after="0" w:line="240" w:lineRule="auto"/>
              <w:rPr>
                <w:rFonts w:asciiTheme="minorHAnsi" w:hAnsiTheme="minorHAnsi"/>
                <w:sz w:val="22"/>
              </w:rPr>
            </w:pPr>
            <w:r w:rsidRPr="00A514C6">
              <w:rPr>
                <w:rFonts w:asciiTheme="minorHAnsi" w:hAnsiTheme="minorHAnsi"/>
                <w:sz w:val="22"/>
              </w:rPr>
              <w:t>T</w:t>
            </w:r>
            <w:r w:rsidRPr="00A514C6">
              <w:rPr>
                <w:rFonts w:asciiTheme="minorHAnsi" w:hAnsiTheme="minorHAnsi"/>
                <w:sz w:val="22"/>
                <w:szCs w:val="19"/>
              </w:rPr>
              <w:t xml:space="preserve">řídí se příjmy a výdaje státního rozpočtu, a to podle správců kapitol. Pro obce je toto třídění nepovinné a je v jejich pravomoci ho využít. </w:t>
            </w:r>
            <w:r w:rsidRPr="00A514C6">
              <w:rPr>
                <w:rFonts w:asciiTheme="minorHAnsi" w:hAnsiTheme="minorHAnsi"/>
                <w:sz w:val="22"/>
                <w:szCs w:val="19"/>
                <w:lang w:val="cs-CZ"/>
              </w:rPr>
              <w:t>Obvykle v tomto členění je rozpočet v zastupitelstvu schvalován.</w:t>
            </w:r>
          </w:p>
        </w:tc>
      </w:tr>
      <w:tr w:rsidR="00113DF1" w:rsidRPr="00113DF1" w14:paraId="4C8FA3B7" w14:textId="77777777" w:rsidTr="005806E2">
        <w:tc>
          <w:tcPr>
            <w:tcW w:w="1271" w:type="dxa"/>
            <w:shd w:val="clear" w:color="auto" w:fill="E7E6E6" w:themeFill="background2"/>
            <w:vAlign w:val="center"/>
          </w:tcPr>
          <w:p w14:paraId="756FA378" w14:textId="7910B508" w:rsidR="00113DF1" w:rsidRPr="00113DF1" w:rsidRDefault="00A514C6" w:rsidP="00A514C6">
            <w:pPr>
              <w:pStyle w:val="A1-text"/>
              <w:spacing w:after="0" w:line="240" w:lineRule="auto"/>
              <w:ind w:left="-57"/>
              <w:jc w:val="left"/>
              <w:rPr>
                <w:rFonts w:asciiTheme="minorHAnsi" w:hAnsiTheme="minorHAnsi"/>
                <w:sz w:val="22"/>
              </w:rPr>
            </w:pPr>
            <w:r w:rsidRPr="00A514C6">
              <w:rPr>
                <w:rFonts w:asciiTheme="minorHAnsi" w:hAnsiTheme="minorHAnsi"/>
                <w:b/>
                <w:sz w:val="22"/>
                <w:szCs w:val="19"/>
              </w:rPr>
              <w:t xml:space="preserve">Druhové </w:t>
            </w:r>
          </w:p>
        </w:tc>
        <w:tc>
          <w:tcPr>
            <w:tcW w:w="7745" w:type="dxa"/>
          </w:tcPr>
          <w:p w14:paraId="54ACD357" w14:textId="7FF252DB" w:rsidR="00113DF1" w:rsidRDefault="00A514C6" w:rsidP="00113DF1">
            <w:pPr>
              <w:pStyle w:val="A1-text"/>
              <w:spacing w:after="0" w:line="240" w:lineRule="auto"/>
              <w:rPr>
                <w:rFonts w:asciiTheme="minorHAnsi" w:hAnsiTheme="minorHAnsi"/>
                <w:sz w:val="22"/>
              </w:rPr>
            </w:pPr>
            <w:r w:rsidRPr="00A514C6">
              <w:rPr>
                <w:rFonts w:asciiTheme="minorHAnsi" w:hAnsiTheme="minorHAnsi"/>
                <w:sz w:val="22"/>
              </w:rPr>
              <w:t>T</w:t>
            </w:r>
            <w:r w:rsidRPr="00A514C6">
              <w:rPr>
                <w:rFonts w:asciiTheme="minorHAnsi" w:hAnsiTheme="minorHAnsi"/>
                <w:sz w:val="22"/>
                <w:szCs w:val="19"/>
              </w:rPr>
              <w:t>řídí se všechny příjmy a výdaje, a to podle příjmových a výdajových druhů</w:t>
            </w:r>
            <w:r w:rsidRPr="00A514C6">
              <w:rPr>
                <w:rFonts w:asciiTheme="minorHAnsi" w:hAnsiTheme="minorHAnsi"/>
                <w:sz w:val="22"/>
                <w:szCs w:val="19"/>
                <w:lang w:val="cs-CZ"/>
              </w:rPr>
              <w:t xml:space="preserve"> (druhem je například plat, opravy, energie atd.)</w:t>
            </w:r>
            <w:r w:rsidRPr="00A514C6">
              <w:rPr>
                <w:rFonts w:asciiTheme="minorHAnsi" w:hAnsiTheme="minorHAnsi"/>
                <w:sz w:val="22"/>
                <w:szCs w:val="19"/>
              </w:rPr>
              <w:t>. Je pro obce povinné. Druhové</w:t>
            </w:r>
            <w:r w:rsidRPr="00A514C6">
              <w:rPr>
                <w:rFonts w:asciiTheme="minorHAnsi" w:hAnsiTheme="minorHAnsi"/>
                <w:sz w:val="22"/>
              </w:rPr>
              <w:t xml:space="preserve"> členění používá 4 úrovně podrobnosti - nejvyšší jsou třídy (jednomístný kód), další úrovní jsou seskupení položek (dvoumístný kód), podseskupení položek (třímístný kód) a nejnižší úrovní podrobnosti jsou položky (čtyřmístný kód).</w:t>
            </w:r>
          </w:p>
          <w:p w14:paraId="7E5E8774" w14:textId="77777777" w:rsidR="00A514C6" w:rsidRPr="00A514C6" w:rsidRDefault="00A514C6" w:rsidP="00A514C6">
            <w:pPr>
              <w:pStyle w:val="A1-text"/>
              <w:spacing w:after="0" w:line="240" w:lineRule="auto"/>
              <w:rPr>
                <w:rFonts w:asciiTheme="minorHAnsi" w:hAnsiTheme="minorHAnsi"/>
                <w:sz w:val="22"/>
              </w:rPr>
            </w:pPr>
            <w:r w:rsidRPr="00A514C6">
              <w:rPr>
                <w:rFonts w:asciiTheme="minorHAnsi" w:hAnsiTheme="minorHAnsi"/>
                <w:sz w:val="22"/>
              </w:rPr>
              <w:t xml:space="preserve">Druhové třídění </w:t>
            </w:r>
            <w:r w:rsidRPr="00A514C6">
              <w:rPr>
                <w:rFonts w:asciiTheme="minorHAnsi" w:hAnsiTheme="minorHAnsi"/>
                <w:bCs/>
                <w:sz w:val="22"/>
              </w:rPr>
              <w:t>dělí peněžní operace</w:t>
            </w:r>
            <w:r w:rsidRPr="00A514C6">
              <w:rPr>
                <w:rFonts w:asciiTheme="minorHAnsi" w:hAnsiTheme="minorHAnsi"/>
                <w:sz w:val="22"/>
              </w:rPr>
              <w:t xml:space="preserve"> následujícím způsobem:</w:t>
            </w:r>
          </w:p>
          <w:p w14:paraId="0B7F68ED" w14:textId="77777777" w:rsidR="00A514C6" w:rsidRPr="00A514C6" w:rsidRDefault="00A514C6" w:rsidP="0065698B">
            <w:pPr>
              <w:numPr>
                <w:ilvl w:val="0"/>
                <w:numId w:val="27"/>
              </w:numPr>
              <w:tabs>
                <w:tab w:val="clear" w:pos="720"/>
              </w:tabs>
              <w:spacing w:line="240" w:lineRule="auto"/>
              <w:ind w:left="731" w:hanging="426"/>
              <w:rPr>
                <w:rFonts w:asciiTheme="minorHAnsi" w:hAnsiTheme="minorHAnsi"/>
                <w:sz w:val="22"/>
              </w:rPr>
            </w:pPr>
            <w:r w:rsidRPr="00A514C6">
              <w:rPr>
                <w:rFonts w:asciiTheme="minorHAnsi" w:hAnsiTheme="minorHAnsi"/>
                <w:sz w:val="22"/>
              </w:rPr>
              <w:t xml:space="preserve">příjmové operace na třídy: 1. daňové příjmy, 2. nedaňové příjmy, 3. kapitálové příjmy, 4. přijaté transfery, </w:t>
            </w:r>
          </w:p>
          <w:p w14:paraId="31E90246" w14:textId="77777777" w:rsidR="00A514C6" w:rsidRPr="00A514C6" w:rsidRDefault="00A514C6" w:rsidP="0065698B">
            <w:pPr>
              <w:numPr>
                <w:ilvl w:val="0"/>
                <w:numId w:val="27"/>
              </w:numPr>
              <w:tabs>
                <w:tab w:val="clear" w:pos="720"/>
              </w:tabs>
              <w:spacing w:line="240" w:lineRule="auto"/>
              <w:ind w:left="731" w:hanging="426"/>
              <w:rPr>
                <w:rFonts w:asciiTheme="minorHAnsi" w:hAnsiTheme="minorHAnsi"/>
                <w:sz w:val="22"/>
              </w:rPr>
            </w:pPr>
            <w:r w:rsidRPr="00A514C6">
              <w:rPr>
                <w:rFonts w:asciiTheme="minorHAnsi" w:hAnsiTheme="minorHAnsi"/>
                <w:sz w:val="22"/>
              </w:rPr>
              <w:t xml:space="preserve">výdajové operace na třídy: 5. běžné výdaje, 6. kapitálové výdaje, </w:t>
            </w:r>
          </w:p>
          <w:p w14:paraId="56DF38B7" w14:textId="7952019D" w:rsidR="00A514C6" w:rsidRPr="00A514C6" w:rsidRDefault="00A514C6" w:rsidP="0065698B">
            <w:pPr>
              <w:numPr>
                <w:ilvl w:val="0"/>
                <w:numId w:val="27"/>
              </w:numPr>
              <w:tabs>
                <w:tab w:val="clear" w:pos="720"/>
              </w:tabs>
              <w:spacing w:line="240" w:lineRule="auto"/>
              <w:ind w:left="731" w:hanging="426"/>
              <w:rPr>
                <w:rFonts w:asciiTheme="minorHAnsi" w:hAnsiTheme="minorHAnsi"/>
                <w:sz w:val="22"/>
              </w:rPr>
            </w:pPr>
            <w:r w:rsidRPr="00A514C6">
              <w:rPr>
                <w:rFonts w:asciiTheme="minorHAnsi" w:hAnsiTheme="minorHAnsi"/>
                <w:sz w:val="22"/>
              </w:rPr>
              <w:lastRenderedPageBreak/>
              <w:t xml:space="preserve">financování: třída 8. </w:t>
            </w:r>
          </w:p>
        </w:tc>
      </w:tr>
      <w:tr w:rsidR="00113DF1" w:rsidRPr="00113DF1" w14:paraId="4BB7F1CD" w14:textId="77777777" w:rsidTr="005806E2">
        <w:tc>
          <w:tcPr>
            <w:tcW w:w="1271" w:type="dxa"/>
            <w:shd w:val="clear" w:color="auto" w:fill="E7E6E6" w:themeFill="background2"/>
            <w:vAlign w:val="center"/>
          </w:tcPr>
          <w:p w14:paraId="3D887826" w14:textId="0D3ACDF4" w:rsidR="00113DF1" w:rsidRPr="00113DF1" w:rsidRDefault="00A514C6" w:rsidP="00A514C6">
            <w:pPr>
              <w:pStyle w:val="A1-text"/>
              <w:spacing w:after="0" w:line="240" w:lineRule="auto"/>
              <w:ind w:left="-57"/>
              <w:jc w:val="left"/>
              <w:rPr>
                <w:rFonts w:asciiTheme="minorHAnsi" w:hAnsiTheme="minorHAnsi"/>
                <w:sz w:val="22"/>
              </w:rPr>
            </w:pPr>
            <w:r w:rsidRPr="00A514C6">
              <w:rPr>
                <w:rFonts w:asciiTheme="minorHAnsi" w:hAnsiTheme="minorHAnsi"/>
                <w:b/>
                <w:sz w:val="22"/>
                <w:szCs w:val="19"/>
              </w:rPr>
              <w:lastRenderedPageBreak/>
              <w:t xml:space="preserve">Odvětvové </w:t>
            </w:r>
          </w:p>
        </w:tc>
        <w:tc>
          <w:tcPr>
            <w:tcW w:w="7745" w:type="dxa"/>
          </w:tcPr>
          <w:p w14:paraId="0F759942" w14:textId="77777777" w:rsidR="00113DF1" w:rsidRDefault="00A514C6" w:rsidP="00113DF1">
            <w:pPr>
              <w:pStyle w:val="A1-text"/>
              <w:spacing w:after="0" w:line="240" w:lineRule="auto"/>
              <w:rPr>
                <w:rFonts w:asciiTheme="minorHAnsi" w:hAnsiTheme="minorHAnsi"/>
                <w:sz w:val="22"/>
                <w:lang w:val="cs-CZ"/>
              </w:rPr>
            </w:pPr>
            <w:r w:rsidRPr="00A514C6">
              <w:rPr>
                <w:rFonts w:asciiTheme="minorHAnsi" w:hAnsiTheme="minorHAnsi"/>
                <w:sz w:val="22"/>
              </w:rPr>
              <w:t>Pro obce je povinné. Člení příjmy a výdaje podle odvětví a doplňuje druhové členění tím, že poskytuje informace o účelu, na jaký byl daný výdaj použit, příp. z jaké oblasti byly příjmy realizovány. Využívá 4 úrovně podrobnosti - nejvyšší úrovní jsou skupiny (6 skupin</w:t>
            </w:r>
            <w:r w:rsidRPr="00A514C6">
              <w:rPr>
                <w:rFonts w:asciiTheme="minorHAnsi" w:hAnsiTheme="minorHAnsi"/>
                <w:sz w:val="22"/>
                <w:lang w:val="cs-CZ"/>
              </w:rPr>
              <w:t xml:space="preserve"> – viz dále</w:t>
            </w:r>
            <w:r w:rsidRPr="00A514C6">
              <w:rPr>
                <w:rFonts w:asciiTheme="minorHAnsi" w:hAnsiTheme="minorHAnsi"/>
                <w:sz w:val="22"/>
              </w:rPr>
              <w:t>), další jsou oddíly, pododdíly a nejnižší úrovní jsou paragrafy.</w:t>
            </w:r>
            <w:r w:rsidRPr="00A514C6">
              <w:rPr>
                <w:rFonts w:asciiTheme="minorHAnsi" w:hAnsiTheme="minorHAnsi"/>
                <w:sz w:val="22"/>
                <w:lang w:val="cs-CZ"/>
              </w:rPr>
              <w:t xml:space="preserve"> Pomocí odvětvového členění lze určit, zda se výdaj týká například základního školství nebo odpadového hospodářství nebo kultury atd.</w:t>
            </w:r>
          </w:p>
          <w:p w14:paraId="5A9C0848" w14:textId="77777777" w:rsidR="00A514C6" w:rsidRPr="00A514C6" w:rsidRDefault="00A514C6" w:rsidP="00A514C6">
            <w:pPr>
              <w:pStyle w:val="A1-text"/>
              <w:spacing w:after="0" w:line="240" w:lineRule="auto"/>
              <w:rPr>
                <w:rFonts w:asciiTheme="minorHAnsi" w:hAnsiTheme="minorHAnsi"/>
                <w:b/>
                <w:sz w:val="22"/>
                <w:szCs w:val="14"/>
              </w:rPr>
            </w:pPr>
            <w:r w:rsidRPr="00A514C6">
              <w:rPr>
                <w:rFonts w:asciiTheme="minorHAnsi" w:hAnsiTheme="minorHAnsi"/>
                <w:b/>
                <w:sz w:val="22"/>
                <w:szCs w:val="14"/>
              </w:rPr>
              <w:t xml:space="preserve">K odvětvovému členění: </w:t>
            </w:r>
            <w:r w:rsidRPr="00A514C6">
              <w:rPr>
                <w:rFonts w:asciiTheme="minorHAnsi" w:hAnsiTheme="minorHAnsi"/>
                <w:sz w:val="22"/>
                <w:szCs w:val="19"/>
              </w:rPr>
              <w:t>Rozpočtové skupiny se člení na</w:t>
            </w:r>
          </w:p>
          <w:p w14:paraId="2EF6AB64" w14:textId="77777777" w:rsidR="00A514C6" w:rsidRPr="00A514C6" w:rsidRDefault="00A514C6" w:rsidP="0065698B">
            <w:pPr>
              <w:numPr>
                <w:ilvl w:val="0"/>
                <w:numId w:val="28"/>
              </w:numPr>
              <w:spacing w:line="240" w:lineRule="auto"/>
              <w:ind w:left="426" w:hanging="142"/>
              <w:rPr>
                <w:rFonts w:asciiTheme="minorHAnsi" w:hAnsiTheme="minorHAnsi"/>
                <w:sz w:val="22"/>
              </w:rPr>
            </w:pPr>
            <w:r w:rsidRPr="00A514C6">
              <w:rPr>
                <w:rFonts w:asciiTheme="minorHAnsi" w:hAnsiTheme="minorHAnsi"/>
                <w:sz w:val="22"/>
              </w:rPr>
              <w:t xml:space="preserve">zemědělství, lesní hospodářství a rybářství </w:t>
            </w:r>
          </w:p>
          <w:p w14:paraId="4819F11F" w14:textId="77777777" w:rsidR="00A514C6" w:rsidRPr="00A514C6" w:rsidRDefault="00A514C6" w:rsidP="0065698B">
            <w:pPr>
              <w:numPr>
                <w:ilvl w:val="0"/>
                <w:numId w:val="28"/>
              </w:numPr>
              <w:spacing w:line="240" w:lineRule="auto"/>
              <w:ind w:left="426" w:hanging="142"/>
              <w:rPr>
                <w:rFonts w:asciiTheme="minorHAnsi" w:hAnsiTheme="minorHAnsi"/>
                <w:sz w:val="22"/>
              </w:rPr>
            </w:pPr>
            <w:r w:rsidRPr="00A514C6">
              <w:rPr>
                <w:rFonts w:asciiTheme="minorHAnsi" w:hAnsiTheme="minorHAnsi"/>
                <w:sz w:val="22"/>
              </w:rPr>
              <w:t xml:space="preserve">průmyslová a ostatní odvětví hospodářství </w:t>
            </w:r>
          </w:p>
          <w:p w14:paraId="26440B47" w14:textId="77777777" w:rsidR="00A514C6" w:rsidRPr="00A514C6" w:rsidRDefault="00A514C6" w:rsidP="0065698B">
            <w:pPr>
              <w:numPr>
                <w:ilvl w:val="0"/>
                <w:numId w:val="28"/>
              </w:numPr>
              <w:spacing w:line="240" w:lineRule="auto"/>
              <w:ind w:left="426" w:hanging="142"/>
              <w:rPr>
                <w:rFonts w:asciiTheme="minorHAnsi" w:hAnsiTheme="minorHAnsi"/>
                <w:sz w:val="22"/>
              </w:rPr>
            </w:pPr>
            <w:r w:rsidRPr="00A514C6">
              <w:rPr>
                <w:rFonts w:asciiTheme="minorHAnsi" w:hAnsiTheme="minorHAnsi"/>
                <w:sz w:val="22"/>
              </w:rPr>
              <w:t>služby pro obyvatelstvo (například školství, kultura atd.)</w:t>
            </w:r>
          </w:p>
          <w:p w14:paraId="1B71748B" w14:textId="77777777" w:rsidR="00A514C6" w:rsidRPr="00A514C6" w:rsidRDefault="00A514C6" w:rsidP="0065698B">
            <w:pPr>
              <w:numPr>
                <w:ilvl w:val="0"/>
                <w:numId w:val="28"/>
              </w:numPr>
              <w:spacing w:line="240" w:lineRule="auto"/>
              <w:ind w:left="426" w:hanging="142"/>
              <w:rPr>
                <w:rFonts w:asciiTheme="minorHAnsi" w:hAnsiTheme="minorHAnsi"/>
                <w:sz w:val="22"/>
              </w:rPr>
            </w:pPr>
            <w:r w:rsidRPr="00A514C6">
              <w:rPr>
                <w:rFonts w:asciiTheme="minorHAnsi" w:hAnsiTheme="minorHAnsi"/>
                <w:sz w:val="22"/>
              </w:rPr>
              <w:t xml:space="preserve">sociální věci a politika zaměstnanosti </w:t>
            </w:r>
          </w:p>
          <w:p w14:paraId="6A90B27D" w14:textId="77777777" w:rsidR="00A514C6" w:rsidRPr="00A514C6" w:rsidRDefault="00A514C6" w:rsidP="0065698B">
            <w:pPr>
              <w:numPr>
                <w:ilvl w:val="0"/>
                <w:numId w:val="28"/>
              </w:numPr>
              <w:spacing w:line="240" w:lineRule="auto"/>
              <w:ind w:left="426" w:hanging="142"/>
              <w:rPr>
                <w:rFonts w:asciiTheme="minorHAnsi" w:hAnsiTheme="minorHAnsi"/>
                <w:sz w:val="22"/>
              </w:rPr>
            </w:pPr>
            <w:r w:rsidRPr="00A514C6">
              <w:rPr>
                <w:rFonts w:asciiTheme="minorHAnsi" w:hAnsiTheme="minorHAnsi"/>
                <w:sz w:val="22"/>
              </w:rPr>
              <w:t xml:space="preserve">bezpečnost státu a právní ochrana </w:t>
            </w:r>
          </w:p>
          <w:p w14:paraId="37762D63" w14:textId="0752C3D5" w:rsidR="00A514C6" w:rsidRPr="00A514C6" w:rsidRDefault="00A514C6" w:rsidP="0065698B">
            <w:pPr>
              <w:numPr>
                <w:ilvl w:val="0"/>
                <w:numId w:val="28"/>
              </w:numPr>
              <w:spacing w:line="240" w:lineRule="auto"/>
              <w:ind w:left="425" w:hanging="142"/>
              <w:rPr>
                <w:rFonts w:asciiTheme="minorHAnsi" w:hAnsiTheme="minorHAnsi"/>
                <w:sz w:val="22"/>
              </w:rPr>
            </w:pPr>
            <w:r w:rsidRPr="00A514C6">
              <w:rPr>
                <w:rFonts w:asciiTheme="minorHAnsi" w:hAnsiTheme="minorHAnsi"/>
                <w:sz w:val="22"/>
              </w:rPr>
              <w:t>všeobecná veřejná správa a služby (například výdaje na úřad)</w:t>
            </w:r>
          </w:p>
        </w:tc>
      </w:tr>
      <w:tr w:rsidR="00113DF1" w:rsidRPr="00113DF1" w14:paraId="0CEC2961" w14:textId="77777777" w:rsidTr="005806E2">
        <w:tc>
          <w:tcPr>
            <w:tcW w:w="1271" w:type="dxa"/>
            <w:shd w:val="clear" w:color="auto" w:fill="E7E6E6" w:themeFill="background2"/>
            <w:vAlign w:val="center"/>
          </w:tcPr>
          <w:p w14:paraId="6AC42035" w14:textId="3943E472" w:rsidR="00113DF1" w:rsidRPr="00113DF1" w:rsidRDefault="00A514C6" w:rsidP="00A514C6">
            <w:pPr>
              <w:pStyle w:val="A1-text"/>
              <w:spacing w:after="0" w:line="240" w:lineRule="auto"/>
              <w:ind w:left="-57"/>
              <w:jc w:val="left"/>
              <w:rPr>
                <w:rFonts w:asciiTheme="minorHAnsi" w:hAnsiTheme="minorHAnsi"/>
                <w:sz w:val="22"/>
              </w:rPr>
            </w:pPr>
            <w:r w:rsidRPr="00A514C6">
              <w:rPr>
                <w:rFonts w:asciiTheme="minorHAnsi" w:hAnsiTheme="minorHAnsi"/>
                <w:b/>
                <w:sz w:val="22"/>
              </w:rPr>
              <w:t xml:space="preserve">Konsolidační </w:t>
            </w:r>
          </w:p>
        </w:tc>
        <w:tc>
          <w:tcPr>
            <w:tcW w:w="7745" w:type="dxa"/>
          </w:tcPr>
          <w:p w14:paraId="01149030" w14:textId="170615FD" w:rsidR="00113DF1" w:rsidRPr="00113DF1" w:rsidRDefault="00A514C6" w:rsidP="00113DF1">
            <w:pPr>
              <w:pStyle w:val="A1-text"/>
              <w:spacing w:after="0" w:line="240" w:lineRule="auto"/>
              <w:rPr>
                <w:rFonts w:asciiTheme="minorHAnsi" w:hAnsiTheme="minorHAnsi"/>
                <w:sz w:val="22"/>
              </w:rPr>
            </w:pPr>
            <w:r w:rsidRPr="00A514C6">
              <w:rPr>
                <w:rFonts w:asciiTheme="minorHAnsi" w:hAnsiTheme="minorHAnsi"/>
                <w:sz w:val="22"/>
              </w:rPr>
              <w:t>Smyslem tohoto členění je vyloučit duplicity, tzn. vyloučit převody prostředků uvnitř veřejných rozpočtů, vyloučit peněžní převody mezi fondy a rozpočtem, převody mezi zřizovatelem a organizační složkou a mezi veřejnými rozpočty na různých úrovních. Používá třímístný kód.</w:t>
            </w:r>
          </w:p>
        </w:tc>
      </w:tr>
      <w:tr w:rsidR="00A514C6" w:rsidRPr="00113DF1" w14:paraId="6E2DBC5F" w14:textId="77777777" w:rsidTr="005806E2">
        <w:tc>
          <w:tcPr>
            <w:tcW w:w="1271" w:type="dxa"/>
            <w:shd w:val="clear" w:color="auto" w:fill="E7E6E6" w:themeFill="background2"/>
            <w:vAlign w:val="center"/>
          </w:tcPr>
          <w:p w14:paraId="17394732" w14:textId="5B1F6EDF" w:rsidR="00A514C6" w:rsidRPr="00A514C6" w:rsidRDefault="00A514C6" w:rsidP="0065698B">
            <w:pPr>
              <w:pStyle w:val="A1-text"/>
              <w:numPr>
                <w:ilvl w:val="1"/>
                <w:numId w:val="47"/>
              </w:numPr>
              <w:spacing w:after="0" w:line="240" w:lineRule="auto"/>
              <w:ind w:left="-57" w:hanging="357"/>
              <w:jc w:val="left"/>
              <w:rPr>
                <w:rFonts w:asciiTheme="minorHAnsi" w:hAnsiTheme="minorHAnsi"/>
                <w:sz w:val="22"/>
                <w:szCs w:val="19"/>
              </w:rPr>
            </w:pPr>
            <w:r w:rsidRPr="00A514C6">
              <w:rPr>
                <w:rFonts w:asciiTheme="minorHAnsi" w:hAnsiTheme="minorHAnsi"/>
                <w:b/>
                <w:sz w:val="22"/>
                <w:szCs w:val="19"/>
              </w:rPr>
              <w:t>Ostatní</w:t>
            </w:r>
          </w:p>
        </w:tc>
        <w:tc>
          <w:tcPr>
            <w:tcW w:w="7745" w:type="dxa"/>
          </w:tcPr>
          <w:p w14:paraId="0B6CF633" w14:textId="2929BD4D" w:rsidR="00A514C6" w:rsidRPr="00113DF1" w:rsidRDefault="00A514C6" w:rsidP="00113DF1">
            <w:pPr>
              <w:pStyle w:val="A1-text"/>
              <w:spacing w:after="0" w:line="240" w:lineRule="auto"/>
              <w:rPr>
                <w:rFonts w:asciiTheme="minorHAnsi" w:hAnsiTheme="minorHAnsi"/>
                <w:sz w:val="22"/>
              </w:rPr>
            </w:pPr>
            <w:r>
              <w:rPr>
                <w:rFonts w:asciiTheme="minorHAnsi" w:hAnsiTheme="minorHAnsi"/>
                <w:bCs/>
                <w:sz w:val="22"/>
                <w:szCs w:val="19"/>
              </w:rPr>
              <w:t>Podkladové třídění; prostorové třídění; d</w:t>
            </w:r>
            <w:r w:rsidRPr="00A514C6">
              <w:rPr>
                <w:rFonts w:asciiTheme="minorHAnsi" w:hAnsiTheme="minorHAnsi"/>
                <w:bCs/>
                <w:sz w:val="22"/>
                <w:szCs w:val="19"/>
              </w:rPr>
              <w:t>oplňkové třídění</w:t>
            </w:r>
            <w:r>
              <w:rPr>
                <w:rFonts w:asciiTheme="minorHAnsi" w:hAnsiTheme="minorHAnsi"/>
                <w:bCs/>
                <w:sz w:val="22"/>
                <w:szCs w:val="19"/>
                <w:lang w:val="cs-CZ"/>
              </w:rPr>
              <w:t>; další viz vyhláška</w:t>
            </w:r>
          </w:p>
        </w:tc>
      </w:tr>
    </w:tbl>
    <w:p w14:paraId="37FBFC30" w14:textId="4897E666" w:rsidR="00113DF1" w:rsidRPr="000828C6" w:rsidRDefault="00A514C6" w:rsidP="007B1B0A">
      <w:pPr>
        <w:pStyle w:val="A1-text"/>
        <w:spacing w:after="0"/>
        <w:rPr>
          <w:rFonts w:asciiTheme="minorHAnsi" w:hAnsiTheme="minorHAnsi"/>
          <w:i/>
          <w:iCs/>
          <w:lang w:val="cs-CZ"/>
        </w:rPr>
      </w:pPr>
      <w:r w:rsidRPr="000828C6">
        <w:rPr>
          <w:rFonts w:asciiTheme="minorHAnsi" w:hAnsiTheme="minorHAnsi"/>
          <w:i/>
          <w:iCs/>
          <w:lang w:val="cs-CZ"/>
        </w:rPr>
        <w:t>Zdroj: autoři dle Ochrana, Půček, Špaček (2015)</w:t>
      </w:r>
    </w:p>
    <w:p w14:paraId="07EEF877" w14:textId="77777777" w:rsidR="004F685A" w:rsidRDefault="004F685A" w:rsidP="002D0EA2">
      <w:pPr>
        <w:spacing w:after="120"/>
        <w:jc w:val="both"/>
        <w:rPr>
          <w:rFonts w:asciiTheme="minorHAnsi" w:hAnsiTheme="minorHAnsi"/>
          <w:b/>
        </w:rPr>
      </w:pPr>
    </w:p>
    <w:p w14:paraId="3912C592" w14:textId="1EF3BEE4" w:rsidR="007B1B0A" w:rsidRPr="005806E2" w:rsidRDefault="007B1B0A" w:rsidP="002D0EA2">
      <w:pPr>
        <w:spacing w:after="120"/>
        <w:jc w:val="both"/>
        <w:rPr>
          <w:rFonts w:asciiTheme="minorHAnsi" w:hAnsiTheme="minorHAnsi"/>
          <w:highlight w:val="yellow"/>
        </w:rPr>
      </w:pPr>
      <w:r w:rsidRPr="00783F88">
        <w:rPr>
          <w:rFonts w:asciiTheme="minorHAnsi" w:hAnsiTheme="minorHAnsi"/>
          <w:b/>
        </w:rPr>
        <w:t>Data a průkazné účetnictví</w:t>
      </w:r>
      <w:r w:rsidR="002D0EA2">
        <w:rPr>
          <w:rFonts w:asciiTheme="minorHAnsi" w:hAnsiTheme="minorHAnsi"/>
          <w:b/>
        </w:rPr>
        <w:t xml:space="preserve">: </w:t>
      </w:r>
      <w:r w:rsidR="005806E2" w:rsidRPr="00865D10">
        <w:rPr>
          <w:rFonts w:asciiTheme="minorHAnsi" w:hAnsiTheme="minorHAnsi"/>
        </w:rPr>
        <w:t xml:space="preserve">Pro provádění finančních analýz v rámci strategické práce jsou </w:t>
      </w:r>
      <w:r w:rsidR="00865D10" w:rsidRPr="00865D10">
        <w:rPr>
          <w:rFonts w:asciiTheme="minorHAnsi" w:hAnsiTheme="minorHAnsi"/>
        </w:rPr>
        <w:t xml:space="preserve">důležitá </w:t>
      </w:r>
      <w:r w:rsidR="005806E2" w:rsidRPr="00865D10">
        <w:rPr>
          <w:rFonts w:asciiTheme="minorHAnsi" w:hAnsiTheme="minorHAnsi"/>
        </w:rPr>
        <w:t>též data dostupná</w:t>
      </w:r>
      <w:r w:rsidR="00865D10" w:rsidRPr="00865D10">
        <w:rPr>
          <w:rFonts w:asciiTheme="minorHAnsi" w:hAnsiTheme="minorHAnsi"/>
        </w:rPr>
        <w:t xml:space="preserve"> z účetnictví. Účetnictví musí </w:t>
      </w:r>
      <w:r w:rsidRPr="00865D10">
        <w:rPr>
          <w:rFonts w:asciiTheme="minorHAnsi" w:hAnsiTheme="minorHAnsi"/>
        </w:rPr>
        <w:t>být spolehlivé, průkazné, včasné</w:t>
      </w:r>
      <w:r w:rsidRPr="004240D6">
        <w:rPr>
          <w:rFonts w:asciiTheme="minorHAnsi" w:hAnsiTheme="minorHAnsi"/>
        </w:rPr>
        <w:t xml:space="preserve"> a </w:t>
      </w:r>
      <w:r>
        <w:rPr>
          <w:rFonts w:asciiTheme="minorHAnsi" w:hAnsiTheme="minorHAnsi"/>
        </w:rPr>
        <w:t xml:space="preserve">vedené </w:t>
      </w:r>
      <w:r w:rsidRPr="004240D6">
        <w:rPr>
          <w:rFonts w:asciiTheme="minorHAnsi" w:hAnsiTheme="minorHAnsi"/>
        </w:rPr>
        <w:t>v soula</w:t>
      </w:r>
      <w:r>
        <w:rPr>
          <w:rFonts w:asciiTheme="minorHAnsi" w:hAnsiTheme="minorHAnsi"/>
        </w:rPr>
        <w:t>du s platnou legislativou</w:t>
      </w:r>
      <w:r w:rsidRPr="004240D6">
        <w:rPr>
          <w:rFonts w:asciiTheme="minorHAnsi" w:hAnsiTheme="minorHAnsi"/>
        </w:rPr>
        <w:t xml:space="preserve">. </w:t>
      </w:r>
      <w:r w:rsidR="00865D10">
        <w:rPr>
          <w:rFonts w:asciiTheme="minorHAnsi" w:hAnsiTheme="minorHAnsi"/>
        </w:rPr>
        <w:t>Dle názoru autorů textu je ú</w:t>
      </w:r>
      <w:r w:rsidRPr="004240D6">
        <w:rPr>
          <w:rFonts w:asciiTheme="minorHAnsi" w:hAnsiTheme="minorHAnsi"/>
        </w:rPr>
        <w:t>čtování veřejných institucí složitější a nesnadnější než účtovaní dle p</w:t>
      </w:r>
      <w:r w:rsidR="00865D10">
        <w:rPr>
          <w:rFonts w:asciiTheme="minorHAnsi" w:hAnsiTheme="minorHAnsi"/>
        </w:rPr>
        <w:t xml:space="preserve">odnikatelské osnovy. Toto řada </w:t>
      </w:r>
      <w:r w:rsidRPr="004240D6">
        <w:rPr>
          <w:rFonts w:asciiTheme="minorHAnsi" w:hAnsiTheme="minorHAnsi"/>
        </w:rPr>
        <w:t xml:space="preserve">zejména začínajících </w:t>
      </w:r>
      <w:r w:rsidR="00865D10">
        <w:rPr>
          <w:rFonts w:asciiTheme="minorHAnsi" w:hAnsiTheme="minorHAnsi"/>
        </w:rPr>
        <w:t xml:space="preserve">volených zástupců (například starostů) </w:t>
      </w:r>
      <w:r w:rsidRPr="004240D6">
        <w:rPr>
          <w:rFonts w:asciiTheme="minorHAnsi" w:hAnsiTheme="minorHAnsi"/>
        </w:rPr>
        <w:t xml:space="preserve">podceňuje. </w:t>
      </w:r>
      <w:r w:rsidR="00865D10">
        <w:rPr>
          <w:rFonts w:asciiTheme="minorHAnsi" w:hAnsiTheme="minorHAnsi"/>
        </w:rPr>
        <w:t>Je třeba brát v úvahu, že k</w:t>
      </w:r>
      <w:r w:rsidRPr="004240D6">
        <w:rPr>
          <w:rFonts w:asciiTheme="minorHAnsi" w:hAnsiTheme="minorHAnsi"/>
        </w:rPr>
        <w:t xml:space="preserve">valitní účetní tým je základem řádného hospodaření a </w:t>
      </w:r>
      <w:r w:rsidR="00865D10">
        <w:rPr>
          <w:rFonts w:asciiTheme="minorHAnsi" w:hAnsiTheme="minorHAnsi"/>
        </w:rPr>
        <w:t xml:space="preserve">zajištění </w:t>
      </w:r>
      <w:r w:rsidRPr="004240D6">
        <w:rPr>
          <w:rFonts w:asciiTheme="minorHAnsi" w:hAnsiTheme="minorHAnsi"/>
        </w:rPr>
        <w:t xml:space="preserve">rozvoje. Též je třeba vědět, že legislativa definuje postupy rozpočtování, postupy účtování (klíčový je mimo jiné oběh účetních dokladů) a postupy finanční kontroly. Není v tom však zahrnuto manažerské účetnictví – to obec či kraj může, ale nemusí mít. </w:t>
      </w:r>
    </w:p>
    <w:p w14:paraId="25191003" w14:textId="2DD1A677" w:rsidR="009A72AF" w:rsidRDefault="009A72AF" w:rsidP="00CD40E1">
      <w:pPr>
        <w:pStyle w:val="Zkladntextodsazen"/>
        <w:ind w:left="0"/>
        <w:rPr>
          <w:rFonts w:asciiTheme="minorHAnsi" w:hAnsiTheme="minorHAnsi" w:cstheme="minorHAnsi"/>
        </w:rPr>
      </w:pPr>
    </w:p>
    <w:p w14:paraId="5EEBFD22" w14:textId="77777777" w:rsidR="009E0EFD" w:rsidRDefault="009E0EFD" w:rsidP="00CD40E1">
      <w:pPr>
        <w:pStyle w:val="Zkladntextodsazen"/>
        <w:ind w:left="0"/>
        <w:rPr>
          <w:rFonts w:asciiTheme="minorHAnsi" w:hAnsiTheme="minorHAnsi" w:cstheme="minorHAnsi"/>
        </w:rPr>
      </w:pPr>
    </w:p>
    <w:p w14:paraId="72AA0450" w14:textId="77777777" w:rsidR="00A80652" w:rsidRPr="00C52C8F" w:rsidRDefault="00A80652" w:rsidP="00A80652">
      <w:pPr>
        <w:pStyle w:val="Nadpis2"/>
        <w:spacing w:before="240" w:after="120"/>
        <w:ind w:left="578" w:hanging="578"/>
        <w:rPr>
          <w:rFonts w:asciiTheme="minorHAnsi" w:hAnsiTheme="minorHAnsi" w:cstheme="minorHAnsi"/>
          <w:color w:val="7493B0"/>
          <w:sz w:val="24"/>
          <w:szCs w:val="24"/>
          <w:lang w:val="cs-CZ"/>
        </w:rPr>
      </w:pPr>
      <w:bookmarkStart w:id="26" w:name="_Toc91522020"/>
      <w:bookmarkStart w:id="27" w:name="_Toc117269995"/>
      <w:r>
        <w:rPr>
          <w:rFonts w:asciiTheme="minorHAnsi" w:hAnsiTheme="minorHAnsi" w:cstheme="minorHAnsi"/>
          <w:color w:val="7493B0"/>
          <w:sz w:val="24"/>
          <w:szCs w:val="24"/>
          <w:lang w:val="cs-CZ"/>
        </w:rPr>
        <w:t>F</w:t>
      </w:r>
      <w:r w:rsidRPr="00C52C8F">
        <w:rPr>
          <w:rFonts w:asciiTheme="minorHAnsi" w:hAnsiTheme="minorHAnsi" w:cstheme="minorHAnsi"/>
          <w:color w:val="7493B0"/>
          <w:sz w:val="24"/>
          <w:szCs w:val="24"/>
          <w:lang w:val="cs-CZ"/>
        </w:rPr>
        <w:t>inanční analýza</w:t>
      </w:r>
      <w:bookmarkEnd w:id="26"/>
      <w:bookmarkEnd w:id="27"/>
    </w:p>
    <w:p w14:paraId="51455185" w14:textId="39D90A88" w:rsidR="00F85B23" w:rsidRPr="00A80652" w:rsidRDefault="00A80652" w:rsidP="00A80652">
      <w:pPr>
        <w:jc w:val="both"/>
        <w:rPr>
          <w:rFonts w:asciiTheme="minorHAnsi" w:hAnsiTheme="minorHAnsi" w:cstheme="minorHAnsi"/>
          <w:b/>
        </w:rPr>
      </w:pPr>
      <w:r>
        <w:rPr>
          <w:rFonts w:asciiTheme="minorHAnsi" w:hAnsiTheme="minorHAnsi" w:cstheme="minorHAnsi"/>
          <w:b/>
        </w:rPr>
        <w:t>A</w:t>
      </w:r>
      <w:r w:rsidR="00F85B23" w:rsidRPr="00A80652">
        <w:rPr>
          <w:rFonts w:asciiTheme="minorHAnsi" w:hAnsiTheme="minorHAnsi" w:cstheme="minorHAnsi"/>
          <w:b/>
        </w:rPr>
        <w:t xml:space="preserve">nalýza jako první </w:t>
      </w:r>
      <w:r w:rsidR="000B3DD8">
        <w:rPr>
          <w:rFonts w:asciiTheme="minorHAnsi" w:hAnsiTheme="minorHAnsi" w:cstheme="minorHAnsi"/>
          <w:b/>
        </w:rPr>
        <w:t>krok rozhodování</w:t>
      </w:r>
    </w:p>
    <w:p w14:paraId="6B554470" w14:textId="2C831CF3" w:rsidR="00F85B23" w:rsidRPr="00A252EC" w:rsidRDefault="00F85B23" w:rsidP="00F85B23">
      <w:pPr>
        <w:jc w:val="both"/>
        <w:rPr>
          <w:rFonts w:asciiTheme="minorHAnsi" w:hAnsiTheme="minorHAnsi" w:cstheme="minorHAnsi"/>
        </w:rPr>
      </w:pPr>
      <w:r>
        <w:rPr>
          <w:rFonts w:asciiTheme="minorHAnsi" w:hAnsiTheme="minorHAnsi" w:cstheme="minorHAnsi"/>
        </w:rPr>
        <w:t>V rámci strategické práce můžeme a</w:t>
      </w:r>
      <w:r w:rsidRPr="004F7E94">
        <w:rPr>
          <w:rFonts w:asciiTheme="minorHAnsi" w:hAnsiTheme="minorHAnsi" w:cstheme="minorHAnsi"/>
        </w:rPr>
        <w:t xml:space="preserve">nalýzu chápat jako </w:t>
      </w:r>
      <w:r w:rsidRPr="00A80652">
        <w:rPr>
          <w:rFonts w:asciiTheme="minorHAnsi" w:hAnsiTheme="minorHAnsi" w:cstheme="minorHAnsi"/>
          <w:b/>
        </w:rPr>
        <w:t xml:space="preserve">první </w:t>
      </w:r>
      <w:r w:rsidR="000B3DD8">
        <w:rPr>
          <w:rFonts w:asciiTheme="minorHAnsi" w:hAnsiTheme="minorHAnsi" w:cstheme="minorHAnsi"/>
          <w:b/>
        </w:rPr>
        <w:t>krok</w:t>
      </w:r>
      <w:r w:rsidRPr="00A80652">
        <w:rPr>
          <w:rFonts w:asciiTheme="minorHAnsi" w:hAnsiTheme="minorHAnsi" w:cstheme="minorHAnsi"/>
          <w:b/>
        </w:rPr>
        <w:t xml:space="preserve"> rozhodovacího procesu</w:t>
      </w:r>
      <w:r w:rsidRPr="004F7E94">
        <w:rPr>
          <w:rFonts w:asciiTheme="minorHAnsi" w:hAnsiTheme="minorHAnsi" w:cstheme="minorHAnsi"/>
        </w:rPr>
        <w:t>.</w:t>
      </w:r>
      <w:r w:rsidRPr="00A252EC">
        <w:rPr>
          <w:rFonts w:asciiTheme="minorHAnsi" w:hAnsiTheme="minorHAnsi" w:cstheme="minorHAnsi"/>
        </w:rPr>
        <w:t xml:space="preserve"> </w:t>
      </w:r>
      <w:r w:rsidR="00783F88">
        <w:rPr>
          <w:rFonts w:asciiTheme="minorHAnsi" w:hAnsiTheme="minorHAnsi" w:cstheme="minorHAnsi"/>
        </w:rPr>
        <w:t xml:space="preserve">To platí také pro finanční analýzy. </w:t>
      </w:r>
      <w:r>
        <w:rPr>
          <w:rFonts w:asciiTheme="minorHAnsi" w:hAnsiTheme="minorHAnsi" w:cstheme="minorHAnsi"/>
        </w:rPr>
        <w:t xml:space="preserve">Analýza nám pak slouží </w:t>
      </w:r>
      <w:r w:rsidRPr="004F7E94">
        <w:rPr>
          <w:rFonts w:asciiTheme="minorHAnsi" w:hAnsiTheme="minorHAnsi" w:cstheme="minorHAnsi"/>
        </w:rPr>
        <w:t xml:space="preserve">k identifikaci </w:t>
      </w:r>
      <w:r>
        <w:rPr>
          <w:rFonts w:asciiTheme="minorHAnsi" w:hAnsiTheme="minorHAnsi" w:cstheme="minorHAnsi"/>
        </w:rPr>
        <w:t xml:space="preserve">(rozpoznání) </w:t>
      </w:r>
      <w:r w:rsidRPr="004F7E94">
        <w:rPr>
          <w:rFonts w:asciiTheme="minorHAnsi" w:hAnsiTheme="minorHAnsi" w:cstheme="minorHAnsi"/>
        </w:rPr>
        <w:t xml:space="preserve">a hodnocení </w:t>
      </w:r>
      <w:r>
        <w:rPr>
          <w:rFonts w:asciiTheme="minorHAnsi" w:hAnsiTheme="minorHAnsi" w:cstheme="minorHAnsi"/>
        </w:rPr>
        <w:t xml:space="preserve">jednotlivých </w:t>
      </w:r>
      <w:r w:rsidRPr="004F7E94">
        <w:rPr>
          <w:rFonts w:asciiTheme="minorHAnsi" w:hAnsiTheme="minorHAnsi" w:cstheme="minorHAnsi"/>
        </w:rPr>
        <w:t xml:space="preserve">variant pro </w:t>
      </w:r>
      <w:r>
        <w:rPr>
          <w:rFonts w:asciiTheme="minorHAnsi" w:hAnsiTheme="minorHAnsi" w:cstheme="minorHAnsi"/>
        </w:rPr>
        <w:t>rozhodnutí</w:t>
      </w:r>
      <w:r w:rsidR="00783F88">
        <w:rPr>
          <w:rFonts w:asciiTheme="minorHAnsi" w:hAnsiTheme="minorHAnsi" w:cstheme="minorHAnsi"/>
        </w:rPr>
        <w:t xml:space="preserve"> (například, které položky zařadit do rozpočtu a v jaké výši)</w:t>
      </w:r>
      <w:r>
        <w:rPr>
          <w:rFonts w:asciiTheme="minorHAnsi" w:hAnsiTheme="minorHAnsi" w:cstheme="minorHAnsi"/>
        </w:rPr>
        <w:t>. N</w:t>
      </w:r>
      <w:r w:rsidRPr="00A252EC">
        <w:rPr>
          <w:rFonts w:asciiTheme="minorHAnsi" w:hAnsiTheme="minorHAnsi" w:cstheme="minorHAnsi"/>
        </w:rPr>
        <w:t xml:space="preserve">a </w:t>
      </w:r>
      <w:r>
        <w:rPr>
          <w:rFonts w:asciiTheme="minorHAnsi" w:hAnsiTheme="minorHAnsi" w:cstheme="minorHAnsi"/>
        </w:rPr>
        <w:t xml:space="preserve">následujícím </w:t>
      </w:r>
      <w:r w:rsidRPr="00A252EC">
        <w:rPr>
          <w:rFonts w:asciiTheme="minorHAnsi" w:hAnsiTheme="minorHAnsi" w:cstheme="minorHAnsi"/>
        </w:rPr>
        <w:t>obrázku</w:t>
      </w:r>
      <w:r w:rsidR="00BF59B2">
        <w:rPr>
          <w:rFonts w:asciiTheme="minorHAnsi" w:hAnsiTheme="minorHAnsi" w:cstheme="minorHAnsi"/>
        </w:rPr>
        <w:t xml:space="preserve"> jsou</w:t>
      </w:r>
      <w:r w:rsidRPr="00A252EC">
        <w:rPr>
          <w:rFonts w:asciiTheme="minorHAnsi" w:hAnsiTheme="minorHAnsi" w:cstheme="minorHAnsi"/>
        </w:rPr>
        <w:t xml:space="preserve"> doplněna témata, která jsou významná z hlediska analýz</w:t>
      </w:r>
      <w:r>
        <w:rPr>
          <w:rFonts w:asciiTheme="minorHAnsi" w:hAnsiTheme="minorHAnsi" w:cstheme="minorHAnsi"/>
        </w:rPr>
        <w:t>y jako podkladu pro rozhodování</w:t>
      </w:r>
      <w:r w:rsidRPr="00A252EC">
        <w:rPr>
          <w:rFonts w:asciiTheme="minorHAnsi" w:hAnsiTheme="minorHAnsi" w:cstheme="minorHAnsi"/>
        </w:rPr>
        <w:t>.</w:t>
      </w:r>
    </w:p>
    <w:p w14:paraId="412F76D2" w14:textId="457CEAE7" w:rsidR="00F85B23" w:rsidRPr="00A252EC" w:rsidRDefault="00F85B23" w:rsidP="00F85B23">
      <w:pPr>
        <w:pStyle w:val="Zkladntext3"/>
        <w:spacing w:after="0" w:line="360" w:lineRule="auto"/>
        <w:jc w:val="both"/>
        <w:rPr>
          <w:rFonts w:asciiTheme="minorHAnsi" w:eastAsia="Calibri" w:hAnsiTheme="minorHAnsi" w:cstheme="minorHAnsi"/>
          <w:i/>
          <w:iCs/>
          <w:sz w:val="24"/>
          <w:szCs w:val="24"/>
        </w:rPr>
      </w:pPr>
      <w:r>
        <w:rPr>
          <w:noProof/>
        </w:rPr>
        <w:lastRenderedPageBreak/>
        <mc:AlternateContent>
          <mc:Choice Requires="wpg">
            <w:drawing>
              <wp:anchor distT="0" distB="0" distL="114300" distR="114300" simplePos="0" relativeHeight="251530752" behindDoc="0" locked="0" layoutInCell="1" allowOverlap="1" wp14:anchorId="76CA544B" wp14:editId="0BA1022F">
                <wp:simplePos x="0" y="0"/>
                <wp:positionH relativeFrom="column">
                  <wp:posOffset>23495</wp:posOffset>
                </wp:positionH>
                <wp:positionV relativeFrom="paragraph">
                  <wp:posOffset>225024</wp:posOffset>
                </wp:positionV>
                <wp:extent cx="5666740" cy="2047240"/>
                <wp:effectExtent l="19050" t="0" r="10160" b="10160"/>
                <wp:wrapNone/>
                <wp:docPr id="24056" name="Skupina 24056"/>
                <wp:cNvGraphicFramePr/>
                <a:graphic xmlns:a="http://schemas.openxmlformats.org/drawingml/2006/main">
                  <a:graphicData uri="http://schemas.microsoft.com/office/word/2010/wordprocessingGroup">
                    <wpg:wgp>
                      <wpg:cNvGrpSpPr/>
                      <wpg:grpSpPr>
                        <a:xfrm>
                          <a:off x="0" y="0"/>
                          <a:ext cx="5666740" cy="2047240"/>
                          <a:chOff x="0" y="0"/>
                          <a:chExt cx="5667055" cy="2047607"/>
                        </a:xfrm>
                      </wpg:grpSpPr>
                      <wps:wsp>
                        <wps:cNvPr id="24057" name="Text Box 78"/>
                        <wps:cNvSpPr txBox="1">
                          <a:spLocks noChangeArrowheads="1"/>
                        </wps:cNvSpPr>
                        <wps:spPr bwMode="auto">
                          <a:xfrm>
                            <a:off x="0" y="1371600"/>
                            <a:ext cx="1714180" cy="676007"/>
                          </a:xfrm>
                          <a:prstGeom prst="rect">
                            <a:avLst/>
                          </a:prstGeom>
                          <a:solidFill>
                            <a:schemeClr val="bg1">
                              <a:lumMod val="95000"/>
                            </a:schemeClr>
                          </a:solidFill>
                          <a:ln w="38100">
                            <a:solidFill>
                              <a:srgbClr val="000000"/>
                            </a:solidFill>
                            <a:miter lim="800000"/>
                            <a:headEnd/>
                            <a:tailEnd/>
                          </a:ln>
                        </wps:spPr>
                        <wps:txbx>
                          <w:txbxContent>
                            <w:p w14:paraId="3BD2E6FA" w14:textId="77777777" w:rsidR="00511D9B" w:rsidRPr="00DE0462" w:rsidRDefault="00511D9B" w:rsidP="00F85B23">
                              <w:pPr>
                                <w:spacing w:line="192" w:lineRule="auto"/>
                                <w:jc w:val="center"/>
                                <w:rPr>
                                  <w:rFonts w:asciiTheme="minorHAnsi" w:hAnsiTheme="minorHAnsi" w:cstheme="minorHAnsi"/>
                                  <w:b/>
                                  <w:sz w:val="28"/>
                                </w:rPr>
                              </w:pPr>
                              <w:r w:rsidRPr="00BE5F3B">
                                <w:rPr>
                                  <w:rFonts w:asciiTheme="minorHAnsi" w:hAnsiTheme="minorHAnsi" w:cstheme="minorHAnsi"/>
                                  <w:b/>
                                  <w:color w:val="FF0000"/>
                                  <w:sz w:val="28"/>
                                </w:rPr>
                                <w:t>analýza</w:t>
                              </w:r>
                              <w:r w:rsidRPr="00DE0462">
                                <w:rPr>
                                  <w:rFonts w:asciiTheme="minorHAnsi" w:hAnsiTheme="minorHAnsi" w:cstheme="minorHAnsi"/>
                                  <w:b/>
                                  <w:sz w:val="28"/>
                                </w:rPr>
                                <w:t xml:space="preserve"> </w:t>
                              </w:r>
                            </w:p>
                            <w:p w14:paraId="24F3DDD6" w14:textId="77777777" w:rsidR="00511D9B" w:rsidRDefault="00511D9B" w:rsidP="00F85B23">
                              <w:pPr>
                                <w:spacing w:line="192" w:lineRule="auto"/>
                                <w:jc w:val="center"/>
                                <w:rPr>
                                  <w:rFonts w:asciiTheme="minorHAnsi" w:hAnsiTheme="minorHAnsi" w:cstheme="minorHAnsi"/>
                                  <w:color w:val="FF0000"/>
                                  <w:sz w:val="22"/>
                                </w:rPr>
                              </w:pPr>
                              <w:r w:rsidRPr="00492354">
                                <w:rPr>
                                  <w:rFonts w:asciiTheme="minorHAnsi" w:hAnsiTheme="minorHAnsi" w:cstheme="minorHAnsi"/>
                                  <w:color w:val="FF0000"/>
                                  <w:sz w:val="22"/>
                                </w:rPr>
                                <w:t xml:space="preserve">(slouží k identifikaci a hodnocení variant </w:t>
                              </w:r>
                            </w:p>
                            <w:p w14:paraId="3A922C7D" w14:textId="77777777" w:rsidR="00511D9B" w:rsidRPr="00163978" w:rsidRDefault="00511D9B" w:rsidP="00F85B23">
                              <w:pPr>
                                <w:spacing w:line="192" w:lineRule="auto"/>
                                <w:jc w:val="center"/>
                                <w:rPr>
                                  <w:rFonts w:asciiTheme="minorHAnsi" w:hAnsiTheme="minorHAnsi" w:cstheme="minorHAnsi"/>
                                  <w:color w:val="FF0000"/>
                                </w:rPr>
                              </w:pPr>
                              <w:r>
                                <w:rPr>
                                  <w:rFonts w:asciiTheme="minorHAnsi" w:hAnsiTheme="minorHAnsi" w:cstheme="minorHAnsi"/>
                                  <w:color w:val="FF0000"/>
                                  <w:sz w:val="22"/>
                                </w:rPr>
                                <w:t xml:space="preserve">pro </w:t>
                              </w:r>
                              <w:r w:rsidRPr="00492354">
                                <w:rPr>
                                  <w:rFonts w:asciiTheme="minorHAnsi" w:hAnsiTheme="minorHAnsi" w:cstheme="minorHAnsi"/>
                                  <w:color w:val="FF0000"/>
                                  <w:sz w:val="22"/>
                                </w:rPr>
                                <w:t>rozhodnutí)</w:t>
                              </w:r>
                            </w:p>
                            <w:p w14:paraId="14C197C5" w14:textId="77777777" w:rsidR="00511D9B" w:rsidRDefault="00511D9B" w:rsidP="00F85B23">
                              <w:pPr>
                                <w:spacing w:line="192" w:lineRule="auto"/>
                                <w:jc w:val="center"/>
                                <w:rPr>
                                  <w:b/>
                                </w:rPr>
                              </w:pPr>
                            </w:p>
                            <w:p w14:paraId="61E82AAB" w14:textId="77777777" w:rsidR="00511D9B" w:rsidRDefault="00511D9B" w:rsidP="00F85B23">
                              <w:pPr>
                                <w:spacing w:line="204" w:lineRule="auto"/>
                                <w:jc w:val="center"/>
                              </w:pPr>
                            </w:p>
                            <w:p w14:paraId="22B9D49D" w14:textId="77777777" w:rsidR="00511D9B" w:rsidRDefault="00511D9B" w:rsidP="00F85B23">
                              <w:pPr>
                                <w:spacing w:line="240" w:lineRule="auto"/>
                              </w:pPr>
                            </w:p>
                          </w:txbxContent>
                        </wps:txbx>
                        <wps:bodyPr rot="0" vert="horz" wrap="square" lIns="54000" tIns="36000" rIns="54000" bIns="10800" anchor="t" anchorCtr="0" upright="1">
                          <a:noAutofit/>
                        </wps:bodyPr>
                      </wps:wsp>
                      <wps:wsp>
                        <wps:cNvPr id="24058" name="Text Box 78"/>
                        <wps:cNvSpPr txBox="1">
                          <a:spLocks noChangeArrowheads="1"/>
                        </wps:cNvSpPr>
                        <wps:spPr bwMode="auto">
                          <a:xfrm>
                            <a:off x="1971675" y="1371600"/>
                            <a:ext cx="1714180" cy="676007"/>
                          </a:xfrm>
                          <a:prstGeom prst="rect">
                            <a:avLst/>
                          </a:prstGeom>
                          <a:solidFill>
                            <a:schemeClr val="bg1">
                              <a:lumMod val="95000"/>
                            </a:schemeClr>
                          </a:solidFill>
                          <a:ln w="3175">
                            <a:solidFill>
                              <a:srgbClr val="000000"/>
                            </a:solidFill>
                            <a:miter lim="800000"/>
                            <a:headEnd/>
                            <a:tailEnd/>
                          </a:ln>
                        </wps:spPr>
                        <wps:txbx>
                          <w:txbxContent>
                            <w:p w14:paraId="4E1E537E" w14:textId="77777777" w:rsidR="00511D9B" w:rsidRDefault="00511D9B" w:rsidP="00F85B23">
                              <w:pPr>
                                <w:spacing w:before="120" w:line="240" w:lineRule="auto"/>
                                <w:jc w:val="center"/>
                                <w:rPr>
                                  <w:rFonts w:asciiTheme="minorHAnsi" w:hAnsiTheme="minorHAnsi" w:cstheme="minorHAnsi"/>
                                  <w:b/>
                                  <w:sz w:val="28"/>
                                </w:rPr>
                              </w:pPr>
                              <w:r w:rsidRPr="00BE5F3B">
                                <w:rPr>
                                  <w:rFonts w:asciiTheme="minorHAnsi" w:hAnsiTheme="minorHAnsi" w:cstheme="minorHAnsi"/>
                                  <w:b/>
                                  <w:sz w:val="28"/>
                                </w:rPr>
                                <w:t>rozhodování</w:t>
                              </w:r>
                              <w:r w:rsidRPr="00904E5B">
                                <w:rPr>
                                  <w:rFonts w:asciiTheme="minorHAnsi" w:hAnsiTheme="minorHAnsi" w:cstheme="minorHAnsi"/>
                                  <w:b/>
                                  <w:sz w:val="28"/>
                                </w:rPr>
                                <w:t xml:space="preserve"> </w:t>
                              </w:r>
                            </w:p>
                            <w:p w14:paraId="7C75D50C" w14:textId="77777777" w:rsidR="00511D9B" w:rsidRPr="00492354" w:rsidRDefault="00511D9B" w:rsidP="00F85B23">
                              <w:pPr>
                                <w:spacing w:line="240" w:lineRule="auto"/>
                                <w:jc w:val="center"/>
                                <w:rPr>
                                  <w:rFonts w:asciiTheme="minorHAnsi" w:hAnsiTheme="minorHAnsi" w:cstheme="minorHAnsi"/>
                                  <w:sz w:val="22"/>
                                </w:rPr>
                              </w:pPr>
                              <w:r w:rsidRPr="00492354">
                                <w:rPr>
                                  <w:rFonts w:asciiTheme="minorHAnsi" w:hAnsiTheme="minorHAnsi" w:cstheme="minorHAnsi"/>
                                  <w:sz w:val="22"/>
                                </w:rPr>
                                <w:t>(volba z více variant)</w:t>
                              </w:r>
                            </w:p>
                            <w:p w14:paraId="4F7B2A1D" w14:textId="77777777" w:rsidR="00511D9B" w:rsidRDefault="00511D9B" w:rsidP="00F85B23">
                              <w:pPr>
                                <w:spacing w:line="204" w:lineRule="auto"/>
                                <w:jc w:val="center"/>
                                <w:rPr>
                                  <w:b/>
                                </w:rPr>
                              </w:pPr>
                            </w:p>
                            <w:p w14:paraId="430B8502" w14:textId="77777777" w:rsidR="00511D9B" w:rsidRDefault="00511D9B" w:rsidP="00F85B23">
                              <w:pPr>
                                <w:spacing w:line="204" w:lineRule="auto"/>
                                <w:jc w:val="center"/>
                              </w:pPr>
                            </w:p>
                            <w:p w14:paraId="2BFA7BD7" w14:textId="77777777" w:rsidR="00511D9B" w:rsidRDefault="00511D9B" w:rsidP="00F85B23">
                              <w:pPr>
                                <w:spacing w:line="240" w:lineRule="auto"/>
                              </w:pPr>
                            </w:p>
                          </w:txbxContent>
                        </wps:txbx>
                        <wps:bodyPr rot="0" vert="horz" wrap="square" lIns="54000" tIns="36000" rIns="54000" bIns="10800" anchor="t" anchorCtr="0" upright="1">
                          <a:noAutofit/>
                        </wps:bodyPr>
                      </wps:wsp>
                      <wps:wsp>
                        <wps:cNvPr id="24059" name="Text Box 78"/>
                        <wps:cNvSpPr txBox="1">
                          <a:spLocks noChangeArrowheads="1"/>
                        </wps:cNvSpPr>
                        <wps:spPr bwMode="auto">
                          <a:xfrm>
                            <a:off x="9525" y="0"/>
                            <a:ext cx="2566467" cy="691563"/>
                          </a:xfrm>
                          <a:prstGeom prst="rect">
                            <a:avLst/>
                          </a:prstGeom>
                          <a:solidFill>
                            <a:srgbClr val="FFFFFF"/>
                          </a:solidFill>
                          <a:ln w="9525">
                            <a:solidFill>
                              <a:srgbClr val="000000"/>
                            </a:solidFill>
                            <a:prstDash val="dash"/>
                            <a:miter lim="800000"/>
                            <a:headEnd/>
                            <a:tailEnd/>
                          </a:ln>
                        </wps:spPr>
                        <wps:txbx>
                          <w:txbxContent>
                            <w:p w14:paraId="436D9FFA" w14:textId="77777777" w:rsidR="00511D9B" w:rsidRDefault="00511D9B" w:rsidP="00F85B23">
                              <w:pPr>
                                <w:tabs>
                                  <w:tab w:val="left" w:pos="4014"/>
                                </w:tabs>
                                <w:spacing w:line="192" w:lineRule="auto"/>
                                <w:ind w:left="-57" w:right="-57"/>
                                <w:jc w:val="center"/>
                                <w:rPr>
                                  <w:rFonts w:asciiTheme="minorHAnsi" w:hAnsiTheme="minorHAnsi" w:cstheme="minorHAnsi"/>
                                  <w:b/>
                                  <w:sz w:val="22"/>
                                </w:rPr>
                              </w:pPr>
                              <w:r>
                                <w:rPr>
                                  <w:rFonts w:asciiTheme="minorHAnsi" w:hAnsiTheme="minorHAnsi" w:cstheme="minorHAnsi"/>
                                  <w:b/>
                                  <w:sz w:val="22"/>
                                </w:rPr>
                                <w:t>Vizualizace výsledků analýz (dat)</w:t>
                              </w:r>
                            </w:p>
                            <w:p w14:paraId="5F9F0E7D" w14:textId="77777777" w:rsidR="00511D9B" w:rsidRPr="00122B37" w:rsidRDefault="00511D9B" w:rsidP="00F85B23">
                              <w:pPr>
                                <w:tabs>
                                  <w:tab w:val="left" w:pos="4014"/>
                                </w:tabs>
                                <w:spacing w:line="192" w:lineRule="auto"/>
                                <w:ind w:left="-57" w:right="-57"/>
                                <w:jc w:val="center"/>
                                <w:rPr>
                                  <w:rFonts w:asciiTheme="minorHAnsi" w:hAnsiTheme="minorHAnsi" w:cstheme="minorHAnsi"/>
                                  <w:sz w:val="20"/>
                                </w:rPr>
                              </w:pPr>
                              <w:r>
                                <w:rPr>
                                  <w:rFonts w:asciiTheme="minorHAnsi" w:hAnsiTheme="minorHAnsi" w:cstheme="minorHAnsi"/>
                                  <w:sz w:val="20"/>
                                </w:rPr>
                                <w:t xml:space="preserve">(a) grafy a </w:t>
                              </w:r>
                              <w:r w:rsidRPr="00122B37">
                                <w:rPr>
                                  <w:rFonts w:asciiTheme="minorHAnsi" w:hAnsiTheme="minorHAnsi" w:cstheme="minorHAnsi"/>
                                  <w:sz w:val="20"/>
                                </w:rPr>
                                <w:t>tabulky</w:t>
                              </w:r>
                              <w:r>
                                <w:rPr>
                                  <w:rFonts w:asciiTheme="minorHAnsi" w:hAnsiTheme="minorHAnsi" w:cstheme="minorHAnsi"/>
                                  <w:sz w:val="20"/>
                                </w:rPr>
                                <w:t xml:space="preserve"> (např. komparace, hodnocení trendu)</w:t>
                              </w:r>
                              <w:r w:rsidRPr="00122B37">
                                <w:rPr>
                                  <w:rFonts w:asciiTheme="minorHAnsi" w:hAnsiTheme="minorHAnsi" w:cstheme="minorHAnsi"/>
                                  <w:sz w:val="20"/>
                                </w:rPr>
                                <w:t>, obrázky, strukturace textu atd.</w:t>
                              </w:r>
                            </w:p>
                            <w:p w14:paraId="73FBB4FD" w14:textId="77777777" w:rsidR="00511D9B" w:rsidRPr="00122B37" w:rsidRDefault="00511D9B" w:rsidP="00F85B23">
                              <w:pPr>
                                <w:tabs>
                                  <w:tab w:val="left" w:pos="4014"/>
                                </w:tabs>
                                <w:spacing w:line="192" w:lineRule="auto"/>
                                <w:ind w:left="-57" w:right="-57"/>
                                <w:jc w:val="center"/>
                                <w:rPr>
                                  <w:rFonts w:asciiTheme="minorHAnsi" w:hAnsiTheme="minorHAnsi" w:cstheme="minorHAnsi"/>
                                  <w:sz w:val="18"/>
                                </w:rPr>
                              </w:pPr>
                              <w:r>
                                <w:rPr>
                                  <w:rFonts w:asciiTheme="minorHAnsi" w:hAnsiTheme="minorHAnsi" w:cstheme="minorHAnsi"/>
                                  <w:sz w:val="20"/>
                                </w:rPr>
                                <w:t xml:space="preserve">(b) </w:t>
                              </w:r>
                              <w:r w:rsidRPr="00122B37">
                                <w:rPr>
                                  <w:rFonts w:asciiTheme="minorHAnsi" w:hAnsiTheme="minorHAnsi" w:cstheme="minorHAnsi"/>
                                  <w:sz w:val="20"/>
                                </w:rPr>
                                <w:t>vývojový diagram, Ishikawův diagram, strom problémů, mapy mysli (mentální mapy) atd.</w:t>
                              </w:r>
                            </w:p>
                            <w:p w14:paraId="1A5B371D" w14:textId="77777777" w:rsidR="00511D9B" w:rsidRPr="002A5C87" w:rsidRDefault="00511D9B" w:rsidP="00F85B23">
                              <w:pPr>
                                <w:spacing w:line="192" w:lineRule="auto"/>
                                <w:ind w:left="-57" w:right="-57"/>
                                <w:rPr>
                                  <w:sz w:val="22"/>
                                </w:rPr>
                              </w:pPr>
                            </w:p>
                          </w:txbxContent>
                        </wps:txbx>
                        <wps:bodyPr rot="0" vert="horz" wrap="square" lIns="54000" tIns="36000" rIns="54000" bIns="10800" anchor="t" anchorCtr="0" upright="1">
                          <a:noAutofit/>
                        </wps:bodyPr>
                      </wps:wsp>
                      <wps:wsp>
                        <wps:cNvPr id="24060" name="Text Box 78"/>
                        <wps:cNvSpPr txBox="1">
                          <a:spLocks noChangeArrowheads="1"/>
                        </wps:cNvSpPr>
                        <wps:spPr bwMode="auto">
                          <a:xfrm>
                            <a:off x="2666704" y="961681"/>
                            <a:ext cx="2166897" cy="225435"/>
                          </a:xfrm>
                          <a:prstGeom prst="rect">
                            <a:avLst/>
                          </a:prstGeom>
                          <a:solidFill>
                            <a:srgbClr val="FFFFFF"/>
                          </a:solidFill>
                          <a:ln w="9525">
                            <a:solidFill>
                              <a:srgbClr val="000000"/>
                            </a:solidFill>
                            <a:prstDash val="dash"/>
                            <a:miter lim="800000"/>
                            <a:headEnd/>
                            <a:tailEnd/>
                          </a:ln>
                        </wps:spPr>
                        <wps:txbx>
                          <w:txbxContent>
                            <w:p w14:paraId="385E07E9" w14:textId="77777777" w:rsidR="00511D9B" w:rsidRPr="00A6202A" w:rsidRDefault="00511D9B" w:rsidP="00F85B23">
                              <w:pPr>
                                <w:tabs>
                                  <w:tab w:val="left" w:pos="4014"/>
                                </w:tabs>
                                <w:spacing w:line="192" w:lineRule="auto"/>
                                <w:ind w:left="-57" w:right="-57"/>
                                <w:jc w:val="center"/>
                                <w:rPr>
                                  <w:rFonts w:asciiTheme="minorHAnsi" w:hAnsiTheme="minorHAnsi" w:cstheme="minorHAnsi"/>
                                  <w:b/>
                                  <w:sz w:val="22"/>
                                </w:rPr>
                              </w:pPr>
                              <w:r w:rsidRPr="00A6202A">
                                <w:rPr>
                                  <w:rFonts w:asciiTheme="minorHAnsi" w:hAnsiTheme="minorHAnsi" w:cstheme="minorHAnsi"/>
                                  <w:b/>
                                  <w:sz w:val="22"/>
                                </w:rPr>
                                <w:t xml:space="preserve">= </w:t>
                              </w:r>
                              <w:r>
                                <w:rPr>
                                  <w:rFonts w:asciiTheme="minorHAnsi" w:hAnsiTheme="minorHAnsi" w:cstheme="minorHAnsi"/>
                                  <w:b/>
                                  <w:sz w:val="22"/>
                                </w:rPr>
                                <w:t>P</w:t>
                              </w:r>
                              <w:r w:rsidRPr="00A6202A">
                                <w:rPr>
                                  <w:rFonts w:asciiTheme="minorHAnsi" w:hAnsiTheme="minorHAnsi" w:cstheme="minorHAnsi"/>
                                  <w:b/>
                                  <w:sz w:val="22"/>
                                </w:rPr>
                                <w:t>rvní fáze r</w:t>
                              </w:r>
                              <w:r>
                                <w:rPr>
                                  <w:rFonts w:asciiTheme="minorHAnsi" w:hAnsiTheme="minorHAnsi" w:cstheme="minorHAnsi"/>
                                  <w:b/>
                                  <w:sz w:val="22"/>
                                </w:rPr>
                                <w:t>ozhodovacího procesu</w:t>
                              </w:r>
                              <w:r w:rsidRPr="00A6202A">
                                <w:rPr>
                                  <w:rFonts w:asciiTheme="minorHAnsi" w:hAnsiTheme="minorHAnsi" w:cstheme="minorHAnsi"/>
                                  <w:b/>
                                  <w:sz w:val="22"/>
                                </w:rPr>
                                <w:t xml:space="preserve"> </w:t>
                              </w:r>
                            </w:p>
                          </w:txbxContent>
                        </wps:txbx>
                        <wps:bodyPr rot="0" vert="horz" wrap="square" lIns="54000" tIns="36000" rIns="54000" bIns="10800" anchor="t" anchorCtr="0" upright="1">
                          <a:noAutofit/>
                        </wps:bodyPr>
                      </wps:wsp>
                      <wps:wsp>
                        <wps:cNvPr id="24061" name="Text Box 78"/>
                        <wps:cNvSpPr txBox="1">
                          <a:spLocks noChangeArrowheads="1"/>
                        </wps:cNvSpPr>
                        <wps:spPr bwMode="auto">
                          <a:xfrm>
                            <a:off x="2657475" y="0"/>
                            <a:ext cx="3008854" cy="937452"/>
                          </a:xfrm>
                          <a:prstGeom prst="rect">
                            <a:avLst/>
                          </a:prstGeom>
                          <a:solidFill>
                            <a:srgbClr val="FFFFFF"/>
                          </a:solidFill>
                          <a:ln w="9525">
                            <a:solidFill>
                              <a:srgbClr val="000000"/>
                            </a:solidFill>
                            <a:prstDash val="dash"/>
                            <a:miter lim="800000"/>
                            <a:headEnd/>
                            <a:tailEnd/>
                          </a:ln>
                        </wps:spPr>
                        <wps:txbx>
                          <w:txbxContent>
                            <w:p w14:paraId="0A624E37" w14:textId="77777777" w:rsidR="00511D9B" w:rsidRDefault="00511D9B" w:rsidP="00F85B23">
                              <w:pPr>
                                <w:spacing w:line="192" w:lineRule="auto"/>
                                <w:ind w:left="-57" w:right="-57"/>
                                <w:jc w:val="center"/>
                                <w:rPr>
                                  <w:rFonts w:asciiTheme="minorHAnsi" w:hAnsiTheme="minorHAnsi" w:cstheme="minorHAnsi"/>
                                  <w:b/>
                                  <w:sz w:val="22"/>
                                </w:rPr>
                              </w:pPr>
                              <w:r>
                                <w:rPr>
                                  <w:rFonts w:asciiTheme="minorHAnsi" w:hAnsiTheme="minorHAnsi" w:cstheme="minorHAnsi"/>
                                  <w:b/>
                                  <w:sz w:val="22"/>
                                </w:rPr>
                                <w:t>Vybrané analýzy</w:t>
                              </w:r>
                              <w:r w:rsidRPr="002A5C87">
                                <w:rPr>
                                  <w:rFonts w:asciiTheme="minorHAnsi" w:hAnsiTheme="minorHAnsi" w:cstheme="minorHAnsi"/>
                                  <w:b/>
                                  <w:sz w:val="22"/>
                                </w:rPr>
                                <w:t>:</w:t>
                              </w:r>
                            </w:p>
                            <w:p w14:paraId="785F3BEA" w14:textId="77777777" w:rsidR="00511D9B" w:rsidRPr="00735F26" w:rsidRDefault="00511D9B" w:rsidP="00F85B23">
                              <w:pPr>
                                <w:tabs>
                                  <w:tab w:val="left" w:pos="4014"/>
                                </w:tabs>
                                <w:spacing w:line="192" w:lineRule="auto"/>
                                <w:ind w:right="-57"/>
                                <w:jc w:val="center"/>
                                <w:rPr>
                                  <w:rFonts w:asciiTheme="minorHAnsi" w:hAnsiTheme="minorHAnsi" w:cstheme="minorHAnsi"/>
                                  <w:sz w:val="20"/>
                                </w:rPr>
                              </w:pPr>
                              <w:r w:rsidRPr="00735F26">
                                <w:rPr>
                                  <w:rFonts w:asciiTheme="minorHAnsi" w:hAnsiTheme="minorHAnsi" w:cstheme="minorHAnsi"/>
                                  <w:sz w:val="20"/>
                                </w:rPr>
                                <w:t xml:space="preserve">(1) </w:t>
                              </w:r>
                              <w:r w:rsidRPr="00735F26">
                                <w:rPr>
                                  <w:rFonts w:asciiTheme="minorHAnsi" w:hAnsiTheme="minorHAnsi" w:cstheme="minorHAnsi"/>
                                  <w:b/>
                                  <w:sz w:val="20"/>
                                </w:rPr>
                                <w:t>Obsahová</w:t>
                              </w:r>
                              <w:r>
                                <w:rPr>
                                  <w:rFonts w:asciiTheme="minorHAnsi" w:hAnsiTheme="minorHAnsi" w:cstheme="minorHAnsi"/>
                                  <w:b/>
                                  <w:sz w:val="20"/>
                                </w:rPr>
                                <w:t>,</w:t>
                              </w:r>
                              <w:r w:rsidRPr="00735F26">
                                <w:rPr>
                                  <w:rFonts w:asciiTheme="minorHAnsi" w:hAnsiTheme="minorHAnsi" w:cstheme="minorHAnsi"/>
                                  <w:b/>
                                  <w:sz w:val="20"/>
                                </w:rPr>
                                <w:t xml:space="preserve"> </w:t>
                              </w:r>
                              <w:r w:rsidRPr="00735F26">
                                <w:rPr>
                                  <w:rFonts w:asciiTheme="minorHAnsi" w:hAnsiTheme="minorHAnsi" w:cstheme="minorHAnsi"/>
                                  <w:sz w:val="20"/>
                                </w:rPr>
                                <w:t xml:space="preserve">(2) </w:t>
                              </w:r>
                              <w:r w:rsidRPr="00735F26">
                                <w:rPr>
                                  <w:rFonts w:asciiTheme="minorHAnsi" w:hAnsiTheme="minorHAnsi" w:cstheme="minorHAnsi"/>
                                  <w:b/>
                                  <w:sz w:val="20"/>
                                </w:rPr>
                                <w:t>funkční</w:t>
                              </w:r>
                              <w:r w:rsidRPr="00735F26">
                                <w:rPr>
                                  <w:rFonts w:asciiTheme="minorHAnsi" w:hAnsiTheme="minorHAnsi" w:cstheme="minorHAnsi"/>
                                  <w:sz w:val="20"/>
                                </w:rPr>
                                <w:t xml:space="preserve"> analýza, (3) analýza </w:t>
                              </w:r>
                              <w:r w:rsidRPr="00735F26">
                                <w:rPr>
                                  <w:rFonts w:asciiTheme="minorHAnsi" w:hAnsiTheme="minorHAnsi" w:cstheme="minorHAnsi"/>
                                  <w:b/>
                                  <w:sz w:val="20"/>
                                </w:rPr>
                                <w:t>struktury</w:t>
                              </w:r>
                              <w:r>
                                <w:rPr>
                                  <w:rFonts w:asciiTheme="minorHAnsi" w:hAnsiTheme="minorHAnsi" w:cstheme="minorHAnsi"/>
                                  <w:b/>
                                  <w:sz w:val="20"/>
                                </w:rPr>
                                <w:t xml:space="preserve">, </w:t>
                              </w:r>
                            </w:p>
                            <w:p w14:paraId="788A7917" w14:textId="77777777" w:rsidR="00511D9B" w:rsidRDefault="00511D9B" w:rsidP="00F85B23">
                              <w:pPr>
                                <w:tabs>
                                  <w:tab w:val="left" w:pos="4014"/>
                                </w:tabs>
                                <w:spacing w:line="192" w:lineRule="auto"/>
                                <w:ind w:right="-57"/>
                                <w:jc w:val="center"/>
                                <w:rPr>
                                  <w:rFonts w:asciiTheme="minorHAnsi" w:hAnsiTheme="minorHAnsi" w:cstheme="minorHAnsi"/>
                                  <w:sz w:val="20"/>
                                </w:rPr>
                              </w:pPr>
                              <w:r>
                                <w:rPr>
                                  <w:rFonts w:asciiTheme="minorHAnsi" w:hAnsiTheme="minorHAnsi" w:cstheme="minorHAnsi"/>
                                  <w:sz w:val="20"/>
                                </w:rPr>
                                <w:t xml:space="preserve">(4) analýza </w:t>
                              </w:r>
                              <w:r w:rsidRPr="00735F26">
                                <w:rPr>
                                  <w:rFonts w:asciiTheme="minorHAnsi" w:hAnsiTheme="minorHAnsi" w:cstheme="minorHAnsi"/>
                                  <w:b/>
                                  <w:sz w:val="20"/>
                                </w:rPr>
                                <w:t>trendu</w:t>
                              </w:r>
                              <w:r>
                                <w:rPr>
                                  <w:rFonts w:asciiTheme="minorHAnsi" w:hAnsiTheme="minorHAnsi" w:cstheme="minorHAnsi"/>
                                  <w:sz w:val="20"/>
                                </w:rPr>
                                <w:t xml:space="preserve">, (5) </w:t>
                              </w:r>
                              <w:r w:rsidRPr="00735F26">
                                <w:rPr>
                                  <w:rFonts w:asciiTheme="minorHAnsi" w:hAnsiTheme="minorHAnsi" w:cstheme="minorHAnsi"/>
                                  <w:b/>
                                  <w:sz w:val="20"/>
                                </w:rPr>
                                <w:t>komparativní</w:t>
                              </w:r>
                              <w:r>
                                <w:rPr>
                                  <w:rFonts w:asciiTheme="minorHAnsi" w:hAnsiTheme="minorHAnsi" w:cstheme="minorHAnsi"/>
                                  <w:sz w:val="20"/>
                                </w:rPr>
                                <w:t xml:space="preserve"> analýzy, </w:t>
                              </w:r>
                            </w:p>
                            <w:p w14:paraId="73545592" w14:textId="77777777" w:rsidR="00511D9B" w:rsidRPr="00122B37" w:rsidRDefault="00511D9B" w:rsidP="00F85B23">
                              <w:pPr>
                                <w:tabs>
                                  <w:tab w:val="left" w:pos="4014"/>
                                </w:tabs>
                                <w:spacing w:line="192" w:lineRule="auto"/>
                                <w:ind w:right="-57"/>
                                <w:jc w:val="center"/>
                                <w:rPr>
                                  <w:rFonts w:asciiTheme="minorHAnsi" w:hAnsiTheme="minorHAnsi" w:cstheme="minorHAnsi"/>
                                  <w:sz w:val="20"/>
                                </w:rPr>
                              </w:pPr>
                              <w:r>
                                <w:rPr>
                                  <w:rFonts w:asciiTheme="minorHAnsi" w:hAnsiTheme="minorHAnsi" w:cstheme="minorHAnsi"/>
                                  <w:sz w:val="20"/>
                                </w:rPr>
                                <w:t>(6)</w:t>
                              </w:r>
                              <w:r>
                                <w:rPr>
                                  <w:rFonts w:asciiTheme="minorHAnsi" w:hAnsiTheme="minorHAnsi" w:cstheme="minorHAnsi"/>
                                  <w:b/>
                                  <w:sz w:val="20"/>
                                </w:rPr>
                                <w:t xml:space="preserve"> další analýzy: </w:t>
                              </w:r>
                              <w:r w:rsidRPr="00735F26">
                                <w:rPr>
                                  <w:rFonts w:asciiTheme="minorHAnsi" w:hAnsiTheme="minorHAnsi" w:cstheme="minorHAnsi"/>
                                  <w:sz w:val="20"/>
                                </w:rPr>
                                <w:t>(a)</w:t>
                              </w:r>
                              <w:r>
                                <w:rPr>
                                  <w:rFonts w:asciiTheme="minorHAnsi" w:hAnsiTheme="minorHAnsi" w:cstheme="minorHAnsi"/>
                                  <w:b/>
                                  <w:sz w:val="20"/>
                                </w:rPr>
                                <w:t xml:space="preserve"> </w:t>
                              </w:r>
                              <w:r w:rsidRPr="00122B37">
                                <w:rPr>
                                  <w:rFonts w:asciiTheme="minorHAnsi" w:hAnsiTheme="minorHAnsi" w:cstheme="minorHAnsi"/>
                                  <w:b/>
                                  <w:sz w:val="20"/>
                                </w:rPr>
                                <w:t>SWOT</w:t>
                              </w:r>
                              <w:r w:rsidRPr="00735F26">
                                <w:rPr>
                                  <w:rFonts w:asciiTheme="minorHAnsi" w:hAnsiTheme="minorHAnsi" w:cstheme="minorHAnsi"/>
                                  <w:sz w:val="20"/>
                                </w:rPr>
                                <w:t>, (b) Analýza</w:t>
                              </w:r>
                              <w:r w:rsidRPr="00122B37">
                                <w:rPr>
                                  <w:rFonts w:asciiTheme="minorHAnsi" w:hAnsiTheme="minorHAnsi" w:cstheme="minorHAnsi"/>
                                  <w:sz w:val="20"/>
                                </w:rPr>
                                <w:t xml:space="preserve"> </w:t>
                              </w:r>
                              <w:r w:rsidRPr="00122B37">
                                <w:rPr>
                                  <w:rFonts w:asciiTheme="minorHAnsi" w:hAnsiTheme="minorHAnsi" w:cstheme="minorHAnsi"/>
                                  <w:b/>
                                  <w:sz w:val="20"/>
                                </w:rPr>
                                <w:t>aktérů</w:t>
                              </w:r>
                              <w:r w:rsidRPr="00122B37">
                                <w:rPr>
                                  <w:rFonts w:asciiTheme="minorHAnsi" w:hAnsiTheme="minorHAnsi" w:cstheme="minorHAnsi"/>
                                  <w:sz w:val="20"/>
                                </w:rPr>
                                <w:t xml:space="preserve"> (</w:t>
                              </w:r>
                              <w:r w:rsidRPr="00122B37">
                                <w:rPr>
                                  <w:rFonts w:asciiTheme="minorHAnsi" w:hAnsiTheme="minorHAnsi" w:cstheme="minorHAnsi"/>
                                  <w:b/>
                                  <w:sz w:val="20"/>
                                </w:rPr>
                                <w:t>cílových skupin</w:t>
                              </w:r>
                              <w:r w:rsidRPr="00122B37">
                                <w:rPr>
                                  <w:rFonts w:asciiTheme="minorHAnsi" w:hAnsiTheme="minorHAnsi" w:cstheme="minorHAnsi"/>
                                  <w:sz w:val="20"/>
                                </w:rPr>
                                <w:t>)</w:t>
                              </w:r>
                              <w:r>
                                <w:rPr>
                                  <w:rFonts w:asciiTheme="minorHAnsi" w:hAnsiTheme="minorHAnsi" w:cstheme="minorHAnsi"/>
                                  <w:sz w:val="20"/>
                                </w:rPr>
                                <w:t xml:space="preserve">, (c) </w:t>
                              </w:r>
                              <w:r w:rsidRPr="00122B37">
                                <w:rPr>
                                  <w:rFonts w:asciiTheme="minorHAnsi" w:hAnsiTheme="minorHAnsi" w:cstheme="minorHAnsi"/>
                                  <w:sz w:val="20"/>
                                </w:rPr>
                                <w:t xml:space="preserve">Analýzy </w:t>
                              </w:r>
                              <w:r w:rsidRPr="00122B37">
                                <w:rPr>
                                  <w:rFonts w:asciiTheme="minorHAnsi" w:hAnsiTheme="minorHAnsi" w:cstheme="minorHAnsi"/>
                                  <w:b/>
                                  <w:sz w:val="20"/>
                                </w:rPr>
                                <w:t>rizik</w:t>
                              </w:r>
                              <w:r w:rsidRPr="00122B37">
                                <w:rPr>
                                  <w:rFonts w:asciiTheme="minorHAnsi" w:hAnsiTheme="minorHAnsi" w:cstheme="minorHAnsi"/>
                                  <w:sz w:val="20"/>
                                </w:rPr>
                                <w:t xml:space="preserve"> (příp</w:t>
                              </w:r>
                              <w:r>
                                <w:rPr>
                                  <w:rFonts w:asciiTheme="minorHAnsi" w:hAnsiTheme="minorHAnsi" w:cstheme="minorHAnsi"/>
                                  <w:sz w:val="20"/>
                                </w:rPr>
                                <w:t>a</w:t>
                              </w:r>
                              <w:r w:rsidRPr="00122B37">
                                <w:rPr>
                                  <w:rFonts w:asciiTheme="minorHAnsi" w:hAnsiTheme="minorHAnsi" w:cstheme="minorHAnsi"/>
                                  <w:sz w:val="20"/>
                                </w:rPr>
                                <w:t xml:space="preserve">dně </w:t>
                              </w:r>
                              <w:r w:rsidRPr="00735F26">
                                <w:rPr>
                                  <w:rFonts w:asciiTheme="minorHAnsi" w:hAnsiTheme="minorHAnsi" w:cstheme="minorHAnsi"/>
                                  <w:b/>
                                  <w:sz w:val="20"/>
                                </w:rPr>
                                <w:t>příležitostí</w:t>
                              </w:r>
                              <w:r w:rsidRPr="00122B37">
                                <w:rPr>
                                  <w:rFonts w:asciiTheme="minorHAnsi" w:hAnsiTheme="minorHAnsi" w:cstheme="minorHAnsi"/>
                                  <w:sz w:val="20"/>
                                </w:rPr>
                                <w:t>)</w:t>
                              </w:r>
                              <w:r>
                                <w:rPr>
                                  <w:rFonts w:asciiTheme="minorHAnsi" w:hAnsiTheme="minorHAnsi" w:cstheme="minorHAnsi"/>
                                  <w:sz w:val="20"/>
                                </w:rPr>
                                <w:t>,</w:t>
                              </w:r>
                            </w:p>
                            <w:p w14:paraId="0563C9BD" w14:textId="77777777" w:rsidR="00511D9B" w:rsidRDefault="00511D9B" w:rsidP="00F85B23">
                              <w:pPr>
                                <w:tabs>
                                  <w:tab w:val="left" w:pos="4014"/>
                                </w:tabs>
                                <w:spacing w:line="192" w:lineRule="auto"/>
                                <w:ind w:right="-57"/>
                                <w:jc w:val="center"/>
                                <w:rPr>
                                  <w:rFonts w:asciiTheme="minorHAnsi" w:hAnsiTheme="minorHAnsi" w:cstheme="minorHAnsi"/>
                                  <w:sz w:val="20"/>
                                </w:rPr>
                              </w:pPr>
                              <w:r>
                                <w:rPr>
                                  <w:rFonts w:asciiTheme="minorHAnsi" w:hAnsiTheme="minorHAnsi" w:cstheme="minorHAnsi"/>
                                  <w:sz w:val="20"/>
                                </w:rPr>
                                <w:t>(d) n</w:t>
                              </w:r>
                              <w:r w:rsidRPr="00735F26">
                                <w:rPr>
                                  <w:rFonts w:asciiTheme="minorHAnsi" w:hAnsiTheme="minorHAnsi" w:cstheme="minorHAnsi"/>
                                  <w:sz w:val="20"/>
                                </w:rPr>
                                <w:t>ákladově výstupové metody</w:t>
                              </w:r>
                              <w:r>
                                <w:rPr>
                                  <w:rFonts w:asciiTheme="minorHAnsi" w:hAnsiTheme="minorHAnsi" w:cstheme="minorHAnsi"/>
                                  <w:sz w:val="20"/>
                                </w:rPr>
                                <w:t xml:space="preserve"> (např. </w:t>
                              </w:r>
                            </w:p>
                            <w:p w14:paraId="603F0956" w14:textId="77777777" w:rsidR="00511D9B" w:rsidRDefault="00511D9B" w:rsidP="00F85B23">
                              <w:pPr>
                                <w:tabs>
                                  <w:tab w:val="left" w:pos="4014"/>
                                </w:tabs>
                                <w:spacing w:line="192" w:lineRule="auto"/>
                                <w:ind w:right="-57"/>
                                <w:jc w:val="center"/>
                                <w:rPr>
                                  <w:rFonts w:asciiTheme="minorHAnsi" w:hAnsiTheme="minorHAnsi" w:cstheme="minorHAnsi"/>
                                  <w:sz w:val="20"/>
                                </w:rPr>
                              </w:pPr>
                              <w:r w:rsidRPr="00735F26">
                                <w:rPr>
                                  <w:rFonts w:asciiTheme="minorHAnsi" w:hAnsiTheme="minorHAnsi" w:cstheme="minorHAnsi"/>
                                  <w:sz w:val="20"/>
                                </w:rPr>
                                <w:t>analýza nákladů a přínosů</w:t>
                              </w:r>
                              <w:r w:rsidRPr="00735F26">
                                <w:rPr>
                                  <w:rFonts w:asciiTheme="minorHAnsi" w:hAnsiTheme="minorHAnsi" w:cstheme="minorHAnsi"/>
                                  <w:b/>
                                  <w:sz w:val="20"/>
                                </w:rPr>
                                <w:t xml:space="preserve"> </w:t>
                              </w:r>
                              <w:r>
                                <w:rPr>
                                  <w:rFonts w:asciiTheme="minorHAnsi" w:hAnsiTheme="minorHAnsi" w:cstheme="minorHAnsi"/>
                                  <w:b/>
                                  <w:sz w:val="20"/>
                                </w:rPr>
                                <w:t xml:space="preserve">- </w:t>
                              </w:r>
                              <w:r w:rsidRPr="00735F26">
                                <w:rPr>
                                  <w:rFonts w:asciiTheme="minorHAnsi" w:hAnsiTheme="minorHAnsi" w:cstheme="minorHAnsi"/>
                                  <w:b/>
                                  <w:sz w:val="20"/>
                                </w:rPr>
                                <w:t>CBA</w:t>
                              </w:r>
                              <w:r>
                                <w:rPr>
                                  <w:rFonts w:asciiTheme="minorHAnsi" w:hAnsiTheme="minorHAnsi" w:cstheme="minorHAnsi"/>
                                  <w:sz w:val="20"/>
                                </w:rPr>
                                <w:t>), (e) jiné</w:t>
                              </w:r>
                            </w:p>
                            <w:p w14:paraId="6D56127D" w14:textId="77777777" w:rsidR="00511D9B" w:rsidRPr="002A5C87" w:rsidRDefault="00511D9B" w:rsidP="00F85B23">
                              <w:pPr>
                                <w:spacing w:line="192" w:lineRule="auto"/>
                                <w:ind w:left="-57" w:right="-57"/>
                                <w:rPr>
                                  <w:sz w:val="22"/>
                                </w:rPr>
                              </w:pPr>
                            </w:p>
                          </w:txbxContent>
                        </wps:txbx>
                        <wps:bodyPr rot="0" vert="horz" wrap="square" lIns="54000" tIns="36000" rIns="54000" bIns="10800" anchor="t" anchorCtr="0" upright="1">
                          <a:noAutofit/>
                        </wps:bodyPr>
                      </wps:wsp>
                      <wps:wsp>
                        <wps:cNvPr id="24062" name="Přímá spojnice se šipkou 24062"/>
                        <wps:cNvCnPr/>
                        <wps:spPr>
                          <a:xfrm flipH="1" flipV="1">
                            <a:off x="1666875" y="695325"/>
                            <a:ext cx="46103" cy="668624"/>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4063" name="Text Box 78"/>
                        <wps:cNvSpPr txBox="1">
                          <a:spLocks noChangeArrowheads="1"/>
                        </wps:cNvSpPr>
                        <wps:spPr bwMode="auto">
                          <a:xfrm>
                            <a:off x="9525" y="762000"/>
                            <a:ext cx="1360074" cy="467684"/>
                          </a:xfrm>
                          <a:prstGeom prst="rect">
                            <a:avLst/>
                          </a:prstGeom>
                          <a:solidFill>
                            <a:srgbClr val="FFFFFF"/>
                          </a:solidFill>
                          <a:ln w="9525">
                            <a:solidFill>
                              <a:srgbClr val="000000"/>
                            </a:solidFill>
                            <a:prstDash val="dash"/>
                            <a:miter lim="800000"/>
                            <a:headEnd/>
                            <a:tailEnd/>
                          </a:ln>
                        </wps:spPr>
                        <wps:txbx>
                          <w:txbxContent>
                            <w:p w14:paraId="1A1034FB" w14:textId="77777777" w:rsidR="00511D9B" w:rsidRPr="002A5C87" w:rsidRDefault="00511D9B" w:rsidP="00F85B23">
                              <w:pPr>
                                <w:spacing w:line="204" w:lineRule="auto"/>
                                <w:jc w:val="center"/>
                                <w:rPr>
                                  <w:rFonts w:asciiTheme="minorHAnsi" w:hAnsiTheme="minorHAnsi" w:cstheme="minorHAnsi"/>
                                  <w:b/>
                                  <w:sz w:val="22"/>
                                </w:rPr>
                              </w:pPr>
                              <w:r>
                                <w:rPr>
                                  <w:rFonts w:asciiTheme="minorHAnsi" w:hAnsiTheme="minorHAnsi" w:cstheme="minorHAnsi"/>
                                  <w:b/>
                                  <w:sz w:val="22"/>
                                </w:rPr>
                                <w:t>Zdroje dat</w:t>
                              </w:r>
                              <w:r w:rsidRPr="002A5C87">
                                <w:rPr>
                                  <w:rFonts w:asciiTheme="minorHAnsi" w:hAnsiTheme="minorHAnsi" w:cstheme="minorHAnsi"/>
                                  <w:b/>
                                  <w:sz w:val="22"/>
                                </w:rPr>
                                <w:t>:</w:t>
                              </w:r>
                            </w:p>
                            <w:p w14:paraId="7ACD467D" w14:textId="77777777" w:rsidR="00511D9B" w:rsidRPr="002754FA" w:rsidRDefault="00511D9B" w:rsidP="00F85B23">
                              <w:pPr>
                                <w:spacing w:line="204" w:lineRule="auto"/>
                                <w:jc w:val="center"/>
                                <w:rPr>
                                  <w:rFonts w:asciiTheme="minorHAnsi" w:hAnsiTheme="minorHAnsi" w:cstheme="minorHAnsi"/>
                                  <w:sz w:val="20"/>
                                </w:rPr>
                              </w:pPr>
                              <w:r>
                                <w:rPr>
                                  <w:rFonts w:asciiTheme="minorHAnsi" w:hAnsiTheme="minorHAnsi" w:cstheme="minorHAnsi"/>
                                  <w:sz w:val="20"/>
                                </w:rPr>
                                <w:t>(například finanční data - databáze MONITOR)</w:t>
                              </w:r>
                            </w:p>
                            <w:p w14:paraId="30162A4A" w14:textId="77777777" w:rsidR="00511D9B" w:rsidRPr="002A5C87" w:rsidRDefault="00511D9B" w:rsidP="00F85B23">
                              <w:pPr>
                                <w:spacing w:line="204" w:lineRule="auto"/>
                                <w:jc w:val="center"/>
                                <w:rPr>
                                  <w:sz w:val="22"/>
                                </w:rPr>
                              </w:pPr>
                            </w:p>
                            <w:p w14:paraId="5D611C8B" w14:textId="77777777" w:rsidR="00511D9B" w:rsidRPr="002A5C87" w:rsidRDefault="00511D9B" w:rsidP="00F85B23">
                              <w:pPr>
                                <w:spacing w:line="240" w:lineRule="auto"/>
                                <w:rPr>
                                  <w:sz w:val="22"/>
                                </w:rPr>
                              </w:pPr>
                            </w:p>
                          </w:txbxContent>
                        </wps:txbx>
                        <wps:bodyPr rot="0" vert="horz" wrap="square" lIns="54000" tIns="36000" rIns="54000" bIns="10800" anchor="t" anchorCtr="0" upright="1">
                          <a:noAutofit/>
                        </wps:bodyPr>
                      </wps:wsp>
                      <wps:wsp>
                        <wps:cNvPr id="24097" name="Přímá spojnice se šipkou 24097"/>
                        <wps:cNvCnPr/>
                        <wps:spPr>
                          <a:xfrm flipV="1">
                            <a:off x="1714500" y="828675"/>
                            <a:ext cx="941166" cy="530111"/>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4098" name="Přímá spojnice se šipkou 24098"/>
                        <wps:cNvCnPr/>
                        <wps:spPr>
                          <a:xfrm flipH="1" flipV="1">
                            <a:off x="1371600" y="990600"/>
                            <a:ext cx="345781" cy="372083"/>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4099" name="Přímá spojnice se šipkou 24099"/>
                        <wps:cNvCnPr/>
                        <wps:spPr>
                          <a:xfrm flipV="1">
                            <a:off x="1714500" y="1133475"/>
                            <a:ext cx="952820" cy="234523"/>
                          </a:xfrm>
                          <a:prstGeom prst="straightConnector1">
                            <a:avLst/>
                          </a:prstGeom>
                          <a:ln>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4100" name="Text Box 78"/>
                        <wps:cNvSpPr txBox="1">
                          <a:spLocks noChangeArrowheads="1"/>
                        </wps:cNvSpPr>
                        <wps:spPr bwMode="auto">
                          <a:xfrm>
                            <a:off x="3952875" y="1362075"/>
                            <a:ext cx="1714180" cy="676007"/>
                          </a:xfrm>
                          <a:prstGeom prst="rect">
                            <a:avLst/>
                          </a:prstGeom>
                          <a:solidFill>
                            <a:schemeClr val="bg1">
                              <a:lumMod val="95000"/>
                            </a:schemeClr>
                          </a:solidFill>
                          <a:ln w="9525">
                            <a:solidFill>
                              <a:srgbClr val="000000"/>
                            </a:solidFill>
                            <a:miter lim="800000"/>
                            <a:headEnd/>
                            <a:tailEnd/>
                          </a:ln>
                        </wps:spPr>
                        <wps:txbx>
                          <w:txbxContent>
                            <w:p w14:paraId="7190DB28" w14:textId="77777777" w:rsidR="00511D9B" w:rsidRDefault="00511D9B" w:rsidP="00F85B23">
                              <w:pPr>
                                <w:spacing w:before="120" w:line="240" w:lineRule="auto"/>
                                <w:jc w:val="center"/>
                                <w:rPr>
                                  <w:rFonts w:asciiTheme="minorHAnsi" w:hAnsiTheme="minorHAnsi" w:cstheme="minorHAnsi"/>
                                  <w:b/>
                                  <w:sz w:val="28"/>
                                </w:rPr>
                              </w:pPr>
                              <w:r>
                                <w:rPr>
                                  <w:rFonts w:asciiTheme="minorHAnsi" w:hAnsiTheme="minorHAnsi" w:cstheme="minorHAnsi"/>
                                  <w:b/>
                                  <w:sz w:val="28"/>
                                </w:rPr>
                                <w:t>implementace</w:t>
                              </w:r>
                              <w:r w:rsidRPr="00904E5B">
                                <w:rPr>
                                  <w:rFonts w:asciiTheme="minorHAnsi" w:hAnsiTheme="minorHAnsi" w:cstheme="minorHAnsi"/>
                                  <w:b/>
                                  <w:sz w:val="28"/>
                                </w:rPr>
                                <w:t xml:space="preserve"> </w:t>
                              </w:r>
                            </w:p>
                            <w:p w14:paraId="5D34857D" w14:textId="77777777" w:rsidR="00511D9B" w:rsidRPr="00492354" w:rsidRDefault="00511D9B" w:rsidP="00F85B23">
                              <w:pPr>
                                <w:spacing w:line="240" w:lineRule="auto"/>
                                <w:jc w:val="center"/>
                                <w:rPr>
                                  <w:rFonts w:asciiTheme="minorHAnsi" w:hAnsiTheme="minorHAnsi" w:cstheme="minorHAnsi"/>
                                  <w:sz w:val="22"/>
                                </w:rPr>
                              </w:pPr>
                              <w:r w:rsidRPr="00492354">
                                <w:rPr>
                                  <w:rFonts w:asciiTheme="minorHAnsi" w:hAnsiTheme="minorHAnsi" w:cstheme="minorHAnsi"/>
                                  <w:sz w:val="22"/>
                                </w:rPr>
                                <w:t>(realizace rozhodnutí)</w:t>
                              </w:r>
                            </w:p>
                            <w:p w14:paraId="42F20545" w14:textId="77777777" w:rsidR="00511D9B" w:rsidRDefault="00511D9B" w:rsidP="00F85B23">
                              <w:pPr>
                                <w:spacing w:line="204" w:lineRule="auto"/>
                                <w:jc w:val="center"/>
                                <w:rPr>
                                  <w:b/>
                                </w:rPr>
                              </w:pPr>
                            </w:p>
                            <w:p w14:paraId="59C10161" w14:textId="77777777" w:rsidR="00511D9B" w:rsidRDefault="00511D9B" w:rsidP="00F85B23">
                              <w:pPr>
                                <w:spacing w:line="204" w:lineRule="auto"/>
                                <w:jc w:val="center"/>
                              </w:pPr>
                            </w:p>
                            <w:p w14:paraId="5C5ED3DB" w14:textId="77777777" w:rsidR="00511D9B" w:rsidRDefault="00511D9B" w:rsidP="00F85B23">
                              <w:pPr>
                                <w:spacing w:line="240" w:lineRule="auto"/>
                              </w:pPr>
                            </w:p>
                          </w:txbxContent>
                        </wps:txbx>
                        <wps:bodyPr rot="0" vert="horz" wrap="square" lIns="54000" tIns="36000" rIns="54000" bIns="10800" anchor="t" anchorCtr="0" upright="1">
                          <a:noAutofit/>
                        </wps:bodyPr>
                      </wps:wsp>
                      <wps:wsp>
                        <wps:cNvPr id="24101" name="Přímá spojnice se šipkou 24101"/>
                        <wps:cNvCnPr/>
                        <wps:spPr>
                          <a:xfrm flipV="1">
                            <a:off x="1685925" y="1714500"/>
                            <a:ext cx="359343" cy="5713"/>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102" name="Přímá spojnice se šipkou 24102"/>
                        <wps:cNvCnPr/>
                        <wps:spPr>
                          <a:xfrm flipV="1">
                            <a:off x="3657600" y="1714500"/>
                            <a:ext cx="359933" cy="586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CA544B" id="Skupina 24056" o:spid="_x0000_s1254" style="position:absolute;left:0;text-align:left;margin-left:1.85pt;margin-top:17.7pt;width:446.2pt;height:161.2pt;z-index:251530752;mso-position-horizontal-relative:text;mso-position-vertical-relative:text" coordsize="56670,2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p26gUAADooAAAOAAAAZHJzL2Uyb0RvYy54bWzsWtmO2zYUfS/QfyD03rGohZKMeIJ0srRA&#10;2g6atO+0RNnqSKRK0WNP/qSP+YB+RZD/6iUpyZbHxqxIpoHmwaOFy+Xl4eE9l3r2fFOV6JLJphB8&#10;5uAT10GMpyIr+GLm/PH+9Q+xgxpFeUZLwdnMuWKN8/z0+++eresp88RSlBmTCBrhzXRdz5ylUvV0&#10;MmnSJatocyJqxuFlLmRFFdzKxSSTdA2tV+XEc10yWQuZ1VKkrGng6Uv70jk17ec5S9Vved4whcqZ&#10;A7Yp8yvN71z/Tk6f0elC0npZpK0Z9B5WVLTg0Gnf1EuqKFrJ4lpTVZFK0YhcnaSimog8L1JmxgCj&#10;we7eaN5IsarNWBbT9aLu3QSu3fPTvZtNf708l6jIZo4XuCFxEKcVTNO7i1VdcIrsQ3DSul5Moewb&#10;Wb+rz2X7YGHv9Lg3uaz0fxgR2hj3XvXuZRuFUngYEkKiAGYhhXeeG0TQup2AdAmzdK1euny1rRm5&#10;YbitSdxI15x0HU+0fb056xrA1Gz91TzMX++WtGZmGhrtgx1/RZ2/3usx/ig2KIq1XdoAKKldhdQG&#10;nsPSMPBo6rcivWgQF2dLyhfshZRivWQ0AxOxGdFOVdtOoxuZr38RGcwLXSlhGjrob+xHmLitTzuv&#10;4wgHOG69TiJ4P3QdndayUW+YqJC+mDkSFo3pg16+bZT1cldET3EjyiJ7XZSludELlZ2VEl1SWGLz&#10;hR1nuarAYPssCV1rE8yWWde6uJm7QUslR+uZ48cYCl/vRi7mfSfQ3E6Lu9ZUhQI2KYtq5sR9ITrV&#10;Dn7FMxgKnSpalPYazCk52KE9rp1s3a02841ZD9g1E6LfzkV2BZMghaUPoDu4WAr5wUFroI6Z0/y9&#10;opI5qPyZw0SGgTYPKXPjg8PhRu6+mZsb7IKNDqI8haZmjuouz5Tlp1Uti8USerIu5eIFTH5emBnZ&#10;WtUOAOBu7f8iuAdStzzxtXGPE0B8BMQAjPItoB/DWJ4G+L2Ox0bw75F+8lTAn4SeRf4e43uw0QYE&#10;9ia9z5IEh8QfbJYPZPxdKn5t/trWD9C5MfG+gNabzkvaLO02ksGV7ohOH5fljW+2fDqyfBcNEtic&#10;ngbLezpwdAPD8gnBJDY7M512IY6HCYmTFvCeFwZ+OAL+aFgTaN+MgO+C9G04T/DTAXwYBW1Ys0fu&#10;vuvGcQhrQZN74kdBaHbqXgmN5D7dCeEND4xYP4B1r8P6+ed/Pv1bffqImlr8xSEdgRqGPn8s6gux&#10;0vqf9JEgKNoz3or/TjJZAY7ysqh/0krFXP3ZaZY2GwD0TOIWziQJfQhbzEbe8XdAsOu34QqJiWcY&#10;6jiiGyWpVkZngnPQqkJagXRErmqN10tApK5qkNECxCpot5lTsQxUG4PUlb7aFYhtSSUL0OklaLtD&#10;pQ9LyEZdlUx3WvLfWQ7b6Vb+D9VydmE1f1tSV8lBV/eVWiF8rFJbVldjJtV124p9adOj4KqvWBVc&#10;SKtAhr2qTWdqbst3wtmOdbvEwIdGUX9RQQoB7hMJVfqYPCKQntzjbqyTAVHL3RChk/gGpN8tFfON&#10;BeZkjFMOpx11pGsD85u4G0q2sd4N3H2NsSFpCGk7E3HHXqxTLAPGTgIMpG4pO/RdjDt26PKSXcKw&#10;zSmOlK15saf3kbLdpM8h3gji3ZT6PQOQNjGu04RJ4l7LkftBGIGoNDG1H3lufEPCZITzCOdhVjDp&#10;s4I3wjl5BE7G2Pe1QByScujFHnC2OV4DSHsjim3wPcbRw1PyYwea+ujticTRPgTSnWSEsNlz98H+&#10;/zrWfFAe/HHz3X1IOB7sDChcn/feLqzeORm+a1hN4jBpD200gHWIPaBwP0z8oE2FhBF+ZALXOQxo&#10;NTx0wH5M7g8OddrD8/3ciA0GDhym3zoTQtOUcdWJCJM3uV02ZFjxjhmRYeVvLSuC3dvm+HRJmEOd&#10;xLkjoH0S6i9K7Pn7EUAnfgfoGI6ULFYeSSaOgB4u268EaPP1FXygZiRu+zGd/gJu996kBbef/J3+&#10;BwAA//8DAFBLAwQUAAYACAAAACEA0bOqUOAAAAAIAQAADwAAAGRycy9kb3ducmV2LnhtbEyPQU/C&#10;QBCF7yb+h82YeJNtRaDWbgkh6omYCCaE29Ad2obubtNd2vLvHU56msy8lzffy5ajaURPna+dVRBP&#10;IhBkC6drWyr42X08JSB8QKuxcZYUXMnDMr+/yzDVbrDf1G9DKTjE+hQVVCG0qZS+qMign7iWLGsn&#10;1xkMvHal1B0OHG4a+RxFc2mwtvyhwpbWFRXn7cUo+BxwWE3j935zPq2vh93sa7+JSanHh3H1BiLQ&#10;GP7McMNndMiZ6eguVnvRKJgu2Mhj9gKC5eR1HoM43g6LBGSeyf8F8l8AAAD//wMAUEsBAi0AFAAG&#10;AAgAAAAhALaDOJL+AAAA4QEAABMAAAAAAAAAAAAAAAAAAAAAAFtDb250ZW50X1R5cGVzXS54bWxQ&#10;SwECLQAUAAYACAAAACEAOP0h/9YAAACUAQAACwAAAAAAAAAAAAAAAAAvAQAAX3JlbHMvLnJlbHNQ&#10;SwECLQAUAAYACAAAACEAecV6duoFAAA6KAAADgAAAAAAAAAAAAAAAAAuAgAAZHJzL2Uyb0RvYy54&#10;bWxQSwECLQAUAAYACAAAACEA0bOqUOAAAAAIAQAADwAAAAAAAAAAAAAAAABECAAAZHJzL2Rvd25y&#10;ZXYueG1sUEsFBgAAAAAEAAQA8wAAAFEJAAAAAA==&#10;">
                <v:shape id="Text Box 78" o:spid="_x0000_s1255" type="#_x0000_t202" style="position:absolute;top:13716;width:17141;height:6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r+lyAAAAN4AAAAPAAAAZHJzL2Rvd25yZXYueG1sRI9Ba8JA&#10;FITvgv9heUIvUjeKTW3qKmIpqD01Cu3xkX0mwezbkN0m0V/fLRQ8DjPzDbNc96YSLTWutKxgOolA&#10;EGdWl5wrOB3fHxcgnEfWWFkmBVdysF4NB0tMtO34k9rU5yJA2CWooPC+TqR0WUEG3cTWxME728ag&#10;D7LJpW6wC3BTyVkUxdJgyWGhwJq2BWWX9McouH2/XP1U7venj1351cVvh7Qdx0o9jPrNKwhPvb+H&#10;/9s7rWA2j56e4e9OuAJy9QsAAP//AwBQSwECLQAUAAYACAAAACEA2+H2y+4AAACFAQAAEwAAAAAA&#10;AAAAAAAAAAAAAAAAW0NvbnRlbnRfVHlwZXNdLnhtbFBLAQItABQABgAIAAAAIQBa9CxbvwAAABUB&#10;AAALAAAAAAAAAAAAAAAAAB8BAABfcmVscy8ucmVsc1BLAQItABQABgAIAAAAIQC0Jr+lyAAAAN4A&#10;AAAPAAAAAAAAAAAAAAAAAAcCAABkcnMvZG93bnJldi54bWxQSwUGAAAAAAMAAwC3AAAA/AIAAAAA&#10;" fillcolor="#f2f2f2 [3052]" strokeweight="3pt">
                  <v:textbox inset="1.5mm,1mm,1.5mm,.3mm">
                    <w:txbxContent>
                      <w:p w14:paraId="3BD2E6FA" w14:textId="77777777" w:rsidR="00511D9B" w:rsidRPr="00DE0462" w:rsidRDefault="00511D9B" w:rsidP="00F85B23">
                        <w:pPr>
                          <w:spacing w:line="192" w:lineRule="auto"/>
                          <w:jc w:val="center"/>
                          <w:rPr>
                            <w:rFonts w:asciiTheme="minorHAnsi" w:hAnsiTheme="minorHAnsi" w:cstheme="minorHAnsi"/>
                            <w:b/>
                            <w:sz w:val="28"/>
                          </w:rPr>
                        </w:pPr>
                        <w:r w:rsidRPr="00BE5F3B">
                          <w:rPr>
                            <w:rFonts w:asciiTheme="minorHAnsi" w:hAnsiTheme="minorHAnsi" w:cstheme="minorHAnsi"/>
                            <w:b/>
                            <w:color w:val="FF0000"/>
                            <w:sz w:val="28"/>
                          </w:rPr>
                          <w:t>analýza</w:t>
                        </w:r>
                        <w:r w:rsidRPr="00DE0462">
                          <w:rPr>
                            <w:rFonts w:asciiTheme="minorHAnsi" w:hAnsiTheme="minorHAnsi" w:cstheme="minorHAnsi"/>
                            <w:b/>
                            <w:sz w:val="28"/>
                          </w:rPr>
                          <w:t xml:space="preserve"> </w:t>
                        </w:r>
                      </w:p>
                      <w:p w14:paraId="24F3DDD6" w14:textId="77777777" w:rsidR="00511D9B" w:rsidRDefault="00511D9B" w:rsidP="00F85B23">
                        <w:pPr>
                          <w:spacing w:line="192" w:lineRule="auto"/>
                          <w:jc w:val="center"/>
                          <w:rPr>
                            <w:rFonts w:asciiTheme="minorHAnsi" w:hAnsiTheme="minorHAnsi" w:cstheme="minorHAnsi"/>
                            <w:color w:val="FF0000"/>
                            <w:sz w:val="22"/>
                          </w:rPr>
                        </w:pPr>
                        <w:r w:rsidRPr="00492354">
                          <w:rPr>
                            <w:rFonts w:asciiTheme="minorHAnsi" w:hAnsiTheme="minorHAnsi" w:cstheme="minorHAnsi"/>
                            <w:color w:val="FF0000"/>
                            <w:sz w:val="22"/>
                          </w:rPr>
                          <w:t xml:space="preserve">(slouží k identifikaci a hodnocení variant </w:t>
                        </w:r>
                      </w:p>
                      <w:p w14:paraId="3A922C7D" w14:textId="77777777" w:rsidR="00511D9B" w:rsidRPr="00163978" w:rsidRDefault="00511D9B" w:rsidP="00F85B23">
                        <w:pPr>
                          <w:spacing w:line="192" w:lineRule="auto"/>
                          <w:jc w:val="center"/>
                          <w:rPr>
                            <w:rFonts w:asciiTheme="minorHAnsi" w:hAnsiTheme="minorHAnsi" w:cstheme="minorHAnsi"/>
                            <w:color w:val="FF0000"/>
                          </w:rPr>
                        </w:pPr>
                        <w:r>
                          <w:rPr>
                            <w:rFonts w:asciiTheme="minorHAnsi" w:hAnsiTheme="minorHAnsi" w:cstheme="minorHAnsi"/>
                            <w:color w:val="FF0000"/>
                            <w:sz w:val="22"/>
                          </w:rPr>
                          <w:t xml:space="preserve">pro </w:t>
                        </w:r>
                        <w:r w:rsidRPr="00492354">
                          <w:rPr>
                            <w:rFonts w:asciiTheme="minorHAnsi" w:hAnsiTheme="minorHAnsi" w:cstheme="minorHAnsi"/>
                            <w:color w:val="FF0000"/>
                            <w:sz w:val="22"/>
                          </w:rPr>
                          <w:t>rozhodnutí)</w:t>
                        </w:r>
                      </w:p>
                      <w:p w14:paraId="14C197C5" w14:textId="77777777" w:rsidR="00511D9B" w:rsidRDefault="00511D9B" w:rsidP="00F85B23">
                        <w:pPr>
                          <w:spacing w:line="192" w:lineRule="auto"/>
                          <w:jc w:val="center"/>
                          <w:rPr>
                            <w:b/>
                          </w:rPr>
                        </w:pPr>
                      </w:p>
                      <w:p w14:paraId="61E82AAB" w14:textId="77777777" w:rsidR="00511D9B" w:rsidRDefault="00511D9B" w:rsidP="00F85B23">
                        <w:pPr>
                          <w:spacing w:line="204" w:lineRule="auto"/>
                          <w:jc w:val="center"/>
                        </w:pPr>
                      </w:p>
                      <w:p w14:paraId="22B9D49D" w14:textId="77777777" w:rsidR="00511D9B" w:rsidRDefault="00511D9B" w:rsidP="00F85B23">
                        <w:pPr>
                          <w:spacing w:line="240" w:lineRule="auto"/>
                        </w:pPr>
                      </w:p>
                    </w:txbxContent>
                  </v:textbox>
                </v:shape>
                <v:shape id="Text Box 78" o:spid="_x0000_s1256" type="#_x0000_t202" style="position:absolute;left:19716;top:13716;width:17142;height:6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MzbvwAAAN4AAAAPAAAAZHJzL2Rvd25yZXYueG1sRE9Ni8Iw&#10;EL0v+B/CCHtbU0VFq1FUULxaBa9jM6bFZlKbqN1/bw6Cx8f7ni9bW4knNb50rKDfS0AQ506XbBSc&#10;jtu/CQgfkDVWjknBP3lYLjo/c0y1e/GBnlkwIoawT1FBEUKdSunzgiz6nquJI3d1jcUQYWOkbvAV&#10;w20lB0kylhZLjg0F1rQpKL9lD6tgRPZM1+l9NzRybS7nR1bZXanUb7ddzUAEasNX/HHvtYLBMBnF&#10;vfFOvAJy8QYAAP//AwBQSwECLQAUAAYACAAAACEA2+H2y+4AAACFAQAAEwAAAAAAAAAAAAAAAAAA&#10;AAAAW0NvbnRlbnRfVHlwZXNdLnhtbFBLAQItABQABgAIAAAAIQBa9CxbvwAAABUBAAALAAAAAAAA&#10;AAAAAAAAAB8BAABfcmVscy8ucmVsc1BLAQItABQABgAIAAAAIQAuuMzbvwAAAN4AAAAPAAAAAAAA&#10;AAAAAAAAAAcCAABkcnMvZG93bnJldi54bWxQSwUGAAAAAAMAAwC3AAAA8wIAAAAA&#10;" fillcolor="#f2f2f2 [3052]" strokeweight=".25pt">
                  <v:textbox inset="1.5mm,1mm,1.5mm,.3mm">
                    <w:txbxContent>
                      <w:p w14:paraId="4E1E537E" w14:textId="77777777" w:rsidR="00511D9B" w:rsidRDefault="00511D9B" w:rsidP="00F85B23">
                        <w:pPr>
                          <w:spacing w:before="120" w:line="240" w:lineRule="auto"/>
                          <w:jc w:val="center"/>
                          <w:rPr>
                            <w:rFonts w:asciiTheme="minorHAnsi" w:hAnsiTheme="minorHAnsi" w:cstheme="minorHAnsi"/>
                            <w:b/>
                            <w:sz w:val="28"/>
                          </w:rPr>
                        </w:pPr>
                        <w:r w:rsidRPr="00BE5F3B">
                          <w:rPr>
                            <w:rFonts w:asciiTheme="minorHAnsi" w:hAnsiTheme="minorHAnsi" w:cstheme="minorHAnsi"/>
                            <w:b/>
                            <w:sz w:val="28"/>
                          </w:rPr>
                          <w:t>rozhodování</w:t>
                        </w:r>
                        <w:r w:rsidRPr="00904E5B">
                          <w:rPr>
                            <w:rFonts w:asciiTheme="minorHAnsi" w:hAnsiTheme="minorHAnsi" w:cstheme="minorHAnsi"/>
                            <w:b/>
                            <w:sz w:val="28"/>
                          </w:rPr>
                          <w:t xml:space="preserve"> </w:t>
                        </w:r>
                      </w:p>
                      <w:p w14:paraId="7C75D50C" w14:textId="77777777" w:rsidR="00511D9B" w:rsidRPr="00492354" w:rsidRDefault="00511D9B" w:rsidP="00F85B23">
                        <w:pPr>
                          <w:spacing w:line="240" w:lineRule="auto"/>
                          <w:jc w:val="center"/>
                          <w:rPr>
                            <w:rFonts w:asciiTheme="minorHAnsi" w:hAnsiTheme="minorHAnsi" w:cstheme="minorHAnsi"/>
                            <w:sz w:val="22"/>
                          </w:rPr>
                        </w:pPr>
                        <w:r w:rsidRPr="00492354">
                          <w:rPr>
                            <w:rFonts w:asciiTheme="minorHAnsi" w:hAnsiTheme="minorHAnsi" w:cstheme="minorHAnsi"/>
                            <w:sz w:val="22"/>
                          </w:rPr>
                          <w:t>(volba z více variant)</w:t>
                        </w:r>
                      </w:p>
                      <w:p w14:paraId="4F7B2A1D" w14:textId="77777777" w:rsidR="00511D9B" w:rsidRDefault="00511D9B" w:rsidP="00F85B23">
                        <w:pPr>
                          <w:spacing w:line="204" w:lineRule="auto"/>
                          <w:jc w:val="center"/>
                          <w:rPr>
                            <w:b/>
                          </w:rPr>
                        </w:pPr>
                      </w:p>
                      <w:p w14:paraId="430B8502" w14:textId="77777777" w:rsidR="00511D9B" w:rsidRDefault="00511D9B" w:rsidP="00F85B23">
                        <w:pPr>
                          <w:spacing w:line="204" w:lineRule="auto"/>
                          <w:jc w:val="center"/>
                        </w:pPr>
                      </w:p>
                      <w:p w14:paraId="2BFA7BD7" w14:textId="77777777" w:rsidR="00511D9B" w:rsidRDefault="00511D9B" w:rsidP="00F85B23">
                        <w:pPr>
                          <w:spacing w:line="240" w:lineRule="auto"/>
                        </w:pPr>
                      </w:p>
                    </w:txbxContent>
                  </v:textbox>
                </v:shape>
                <v:shape id="Text Box 78" o:spid="_x0000_s1257" type="#_x0000_t202" style="position:absolute;left:95;width:25664;height:6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Eb9xgAAAN4AAAAPAAAAZHJzL2Rvd25yZXYueG1sRI9Pa8JA&#10;FMTvhX6H5RV6q5tqlSa6ShGEXuqfVO/P7DMbkn0bsluTfntXKPQ4zMxvmMVqsI24UucrxwpeRwkI&#10;4sLpiksFx+/NyzsIH5A1No5JwS95WC0fHxaYadfzga55KEWEsM9QgQmhzaT0hSGLfuRa4uhdXGcx&#10;RNmVUnfYR7ht5DhJZtJixXHBYEtrQ0Wd/1gF54on+3RrTpOvvA6y3x3TfFsr9fw0fMxBBBrCf/iv&#10;/akVjN+SaQr3O/EKyOUNAAD//wMAUEsBAi0AFAAGAAgAAAAhANvh9svuAAAAhQEAABMAAAAAAAAA&#10;AAAAAAAAAAAAAFtDb250ZW50X1R5cGVzXS54bWxQSwECLQAUAAYACAAAACEAWvQsW78AAAAVAQAA&#10;CwAAAAAAAAAAAAAAAAAfAQAAX3JlbHMvLnJlbHNQSwECLQAUAAYACAAAACEA90RG/cYAAADeAAAA&#10;DwAAAAAAAAAAAAAAAAAHAgAAZHJzL2Rvd25yZXYueG1sUEsFBgAAAAADAAMAtwAAAPoCAAAAAA==&#10;">
                  <v:stroke dashstyle="dash"/>
                  <v:textbox inset="1.5mm,1mm,1.5mm,.3mm">
                    <w:txbxContent>
                      <w:p w14:paraId="436D9FFA" w14:textId="77777777" w:rsidR="00511D9B" w:rsidRDefault="00511D9B" w:rsidP="00F85B23">
                        <w:pPr>
                          <w:tabs>
                            <w:tab w:val="left" w:pos="4014"/>
                          </w:tabs>
                          <w:spacing w:line="192" w:lineRule="auto"/>
                          <w:ind w:left="-57" w:right="-57"/>
                          <w:jc w:val="center"/>
                          <w:rPr>
                            <w:rFonts w:asciiTheme="minorHAnsi" w:hAnsiTheme="minorHAnsi" w:cstheme="minorHAnsi"/>
                            <w:b/>
                            <w:sz w:val="22"/>
                          </w:rPr>
                        </w:pPr>
                        <w:r>
                          <w:rPr>
                            <w:rFonts w:asciiTheme="minorHAnsi" w:hAnsiTheme="minorHAnsi" w:cstheme="minorHAnsi"/>
                            <w:b/>
                            <w:sz w:val="22"/>
                          </w:rPr>
                          <w:t>Vizualizace výsledků analýz (dat)</w:t>
                        </w:r>
                      </w:p>
                      <w:p w14:paraId="5F9F0E7D" w14:textId="77777777" w:rsidR="00511D9B" w:rsidRPr="00122B37" w:rsidRDefault="00511D9B" w:rsidP="00F85B23">
                        <w:pPr>
                          <w:tabs>
                            <w:tab w:val="left" w:pos="4014"/>
                          </w:tabs>
                          <w:spacing w:line="192" w:lineRule="auto"/>
                          <w:ind w:left="-57" w:right="-57"/>
                          <w:jc w:val="center"/>
                          <w:rPr>
                            <w:rFonts w:asciiTheme="minorHAnsi" w:hAnsiTheme="minorHAnsi" w:cstheme="minorHAnsi"/>
                            <w:sz w:val="20"/>
                          </w:rPr>
                        </w:pPr>
                        <w:r>
                          <w:rPr>
                            <w:rFonts w:asciiTheme="minorHAnsi" w:hAnsiTheme="minorHAnsi" w:cstheme="minorHAnsi"/>
                            <w:sz w:val="20"/>
                          </w:rPr>
                          <w:t xml:space="preserve">(a) grafy a </w:t>
                        </w:r>
                        <w:r w:rsidRPr="00122B37">
                          <w:rPr>
                            <w:rFonts w:asciiTheme="minorHAnsi" w:hAnsiTheme="minorHAnsi" w:cstheme="minorHAnsi"/>
                            <w:sz w:val="20"/>
                          </w:rPr>
                          <w:t>tabulky</w:t>
                        </w:r>
                        <w:r>
                          <w:rPr>
                            <w:rFonts w:asciiTheme="minorHAnsi" w:hAnsiTheme="minorHAnsi" w:cstheme="minorHAnsi"/>
                            <w:sz w:val="20"/>
                          </w:rPr>
                          <w:t xml:space="preserve"> (např. komparace, hodnocení trendu)</w:t>
                        </w:r>
                        <w:r w:rsidRPr="00122B37">
                          <w:rPr>
                            <w:rFonts w:asciiTheme="minorHAnsi" w:hAnsiTheme="minorHAnsi" w:cstheme="minorHAnsi"/>
                            <w:sz w:val="20"/>
                          </w:rPr>
                          <w:t>, obrázky, strukturace textu atd.</w:t>
                        </w:r>
                      </w:p>
                      <w:p w14:paraId="73FBB4FD" w14:textId="77777777" w:rsidR="00511D9B" w:rsidRPr="00122B37" w:rsidRDefault="00511D9B" w:rsidP="00F85B23">
                        <w:pPr>
                          <w:tabs>
                            <w:tab w:val="left" w:pos="4014"/>
                          </w:tabs>
                          <w:spacing w:line="192" w:lineRule="auto"/>
                          <w:ind w:left="-57" w:right="-57"/>
                          <w:jc w:val="center"/>
                          <w:rPr>
                            <w:rFonts w:asciiTheme="minorHAnsi" w:hAnsiTheme="minorHAnsi" w:cstheme="minorHAnsi"/>
                            <w:sz w:val="18"/>
                          </w:rPr>
                        </w:pPr>
                        <w:r>
                          <w:rPr>
                            <w:rFonts w:asciiTheme="minorHAnsi" w:hAnsiTheme="minorHAnsi" w:cstheme="minorHAnsi"/>
                            <w:sz w:val="20"/>
                          </w:rPr>
                          <w:t xml:space="preserve">(b) </w:t>
                        </w:r>
                        <w:r w:rsidRPr="00122B37">
                          <w:rPr>
                            <w:rFonts w:asciiTheme="minorHAnsi" w:hAnsiTheme="minorHAnsi" w:cstheme="minorHAnsi"/>
                            <w:sz w:val="20"/>
                          </w:rPr>
                          <w:t>vývojový diagram, Ishikawův diagram, strom problémů, mapy mysli (mentální mapy) atd.</w:t>
                        </w:r>
                      </w:p>
                      <w:p w14:paraId="1A5B371D" w14:textId="77777777" w:rsidR="00511D9B" w:rsidRPr="002A5C87" w:rsidRDefault="00511D9B" w:rsidP="00F85B23">
                        <w:pPr>
                          <w:spacing w:line="192" w:lineRule="auto"/>
                          <w:ind w:left="-57" w:right="-57"/>
                          <w:rPr>
                            <w:sz w:val="22"/>
                          </w:rPr>
                        </w:pPr>
                      </w:p>
                    </w:txbxContent>
                  </v:textbox>
                </v:shape>
                <v:shape id="Text Box 78" o:spid="_x0000_s1258" type="#_x0000_t202" style="position:absolute;left:26667;top:9616;width:21669;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XdxQAAAN4AAAAPAAAAZHJzL2Rvd25yZXYueG1sRI/NasJA&#10;FIX3Bd9huIK7OlGL1DQTEUFwo21Tu7/NXDMhmTshM5r49p1FocvD+ePLtqNtxZ16XztWsJgnIIhL&#10;p2uuFFy+Ds+vIHxA1tg6JgUP8rDNJ08ZptoN/En3IlQijrBPUYEJoUul9KUhi37uOuLoXV1vMUTZ&#10;V1L3OMRx28plkqylxZrjg8GO9obKprhZBT81rz42Z/O9OhVNkMP7ZVOcG6Vm03H3BiLQGP7Df+2j&#10;VrB8SdYRIOJEFJD5LwAAAP//AwBQSwECLQAUAAYACAAAACEA2+H2y+4AAACFAQAAEwAAAAAAAAAA&#10;AAAAAAAAAAAAW0NvbnRlbnRfVHlwZXNdLnhtbFBLAQItABQABgAIAAAAIQBa9CxbvwAAABUBAAAL&#10;AAAAAAAAAAAAAAAAAB8BAABfcmVscy8ucmVsc1BLAQItABQABgAIAAAAIQCoEiXdxQAAAN4AAAAP&#10;AAAAAAAAAAAAAAAAAAcCAABkcnMvZG93bnJldi54bWxQSwUGAAAAAAMAAwC3AAAA+QIAAAAA&#10;">
                  <v:stroke dashstyle="dash"/>
                  <v:textbox inset="1.5mm,1mm,1.5mm,.3mm">
                    <w:txbxContent>
                      <w:p w14:paraId="385E07E9" w14:textId="77777777" w:rsidR="00511D9B" w:rsidRPr="00A6202A" w:rsidRDefault="00511D9B" w:rsidP="00F85B23">
                        <w:pPr>
                          <w:tabs>
                            <w:tab w:val="left" w:pos="4014"/>
                          </w:tabs>
                          <w:spacing w:line="192" w:lineRule="auto"/>
                          <w:ind w:left="-57" w:right="-57"/>
                          <w:jc w:val="center"/>
                          <w:rPr>
                            <w:rFonts w:asciiTheme="minorHAnsi" w:hAnsiTheme="minorHAnsi" w:cstheme="minorHAnsi"/>
                            <w:b/>
                            <w:sz w:val="22"/>
                          </w:rPr>
                        </w:pPr>
                        <w:r w:rsidRPr="00A6202A">
                          <w:rPr>
                            <w:rFonts w:asciiTheme="minorHAnsi" w:hAnsiTheme="minorHAnsi" w:cstheme="minorHAnsi"/>
                            <w:b/>
                            <w:sz w:val="22"/>
                          </w:rPr>
                          <w:t xml:space="preserve">= </w:t>
                        </w:r>
                        <w:r>
                          <w:rPr>
                            <w:rFonts w:asciiTheme="minorHAnsi" w:hAnsiTheme="minorHAnsi" w:cstheme="minorHAnsi"/>
                            <w:b/>
                            <w:sz w:val="22"/>
                          </w:rPr>
                          <w:t>P</w:t>
                        </w:r>
                        <w:r w:rsidRPr="00A6202A">
                          <w:rPr>
                            <w:rFonts w:asciiTheme="minorHAnsi" w:hAnsiTheme="minorHAnsi" w:cstheme="minorHAnsi"/>
                            <w:b/>
                            <w:sz w:val="22"/>
                          </w:rPr>
                          <w:t>rvní fáze r</w:t>
                        </w:r>
                        <w:r>
                          <w:rPr>
                            <w:rFonts w:asciiTheme="minorHAnsi" w:hAnsiTheme="minorHAnsi" w:cstheme="minorHAnsi"/>
                            <w:b/>
                            <w:sz w:val="22"/>
                          </w:rPr>
                          <w:t>ozhodovacího procesu</w:t>
                        </w:r>
                        <w:r w:rsidRPr="00A6202A">
                          <w:rPr>
                            <w:rFonts w:asciiTheme="minorHAnsi" w:hAnsiTheme="minorHAnsi" w:cstheme="minorHAnsi"/>
                            <w:b/>
                            <w:sz w:val="22"/>
                          </w:rPr>
                          <w:t xml:space="preserve"> </w:t>
                        </w:r>
                      </w:p>
                    </w:txbxContent>
                  </v:textbox>
                </v:shape>
                <v:shape id="Text Box 78" o:spid="_x0000_s1259" type="#_x0000_t202" style="position:absolute;left:26574;width:30089;height: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BGxQAAAN4AAAAPAAAAZHJzL2Rvd25yZXYueG1sRI9Ba8JA&#10;FITvBf/D8gRvdaMWqdFVRBC8aNuo92f2mQ3Jvg3Z1aT/vlso9DjMzDfMatPbWjyp9aVjBZNxAoI4&#10;d7rkQsHlvH99B+EDssbaMSn4Jg+b9eBlhal2HX/RMwuFiBD2KSowITSplD43ZNGPXUMcvbtrLYYo&#10;20LqFrsIt7WcJslcWiw5LhhsaGcor7KHVXArefa5OJnr7JhVQXYfl0V2qpQaDfvtEkSgPvyH/9oH&#10;rWD6lswn8HsnXgG5/gEAAP//AwBQSwECLQAUAAYACAAAACEA2+H2y+4AAACFAQAAEwAAAAAAAAAA&#10;AAAAAAAAAAAAW0NvbnRlbnRfVHlwZXNdLnhtbFBLAQItABQABgAIAAAAIQBa9CxbvwAAABUBAAAL&#10;AAAAAAAAAAAAAAAAAB8BAABfcmVscy8ucmVsc1BLAQItABQABgAIAAAAIQDHXoBGxQAAAN4AAAAP&#10;AAAAAAAAAAAAAAAAAAcCAABkcnMvZG93bnJldi54bWxQSwUGAAAAAAMAAwC3AAAA+QIAAAAA&#10;">
                  <v:stroke dashstyle="dash"/>
                  <v:textbox inset="1.5mm,1mm,1.5mm,.3mm">
                    <w:txbxContent>
                      <w:p w14:paraId="0A624E37" w14:textId="77777777" w:rsidR="00511D9B" w:rsidRDefault="00511D9B" w:rsidP="00F85B23">
                        <w:pPr>
                          <w:spacing w:line="192" w:lineRule="auto"/>
                          <w:ind w:left="-57" w:right="-57"/>
                          <w:jc w:val="center"/>
                          <w:rPr>
                            <w:rFonts w:asciiTheme="minorHAnsi" w:hAnsiTheme="minorHAnsi" w:cstheme="minorHAnsi"/>
                            <w:b/>
                            <w:sz w:val="22"/>
                          </w:rPr>
                        </w:pPr>
                        <w:r>
                          <w:rPr>
                            <w:rFonts w:asciiTheme="minorHAnsi" w:hAnsiTheme="minorHAnsi" w:cstheme="minorHAnsi"/>
                            <w:b/>
                            <w:sz w:val="22"/>
                          </w:rPr>
                          <w:t>Vybrané analýzy</w:t>
                        </w:r>
                        <w:r w:rsidRPr="002A5C87">
                          <w:rPr>
                            <w:rFonts w:asciiTheme="minorHAnsi" w:hAnsiTheme="minorHAnsi" w:cstheme="minorHAnsi"/>
                            <w:b/>
                            <w:sz w:val="22"/>
                          </w:rPr>
                          <w:t>:</w:t>
                        </w:r>
                      </w:p>
                      <w:p w14:paraId="785F3BEA" w14:textId="77777777" w:rsidR="00511D9B" w:rsidRPr="00735F26" w:rsidRDefault="00511D9B" w:rsidP="00F85B23">
                        <w:pPr>
                          <w:tabs>
                            <w:tab w:val="left" w:pos="4014"/>
                          </w:tabs>
                          <w:spacing w:line="192" w:lineRule="auto"/>
                          <w:ind w:right="-57"/>
                          <w:jc w:val="center"/>
                          <w:rPr>
                            <w:rFonts w:asciiTheme="minorHAnsi" w:hAnsiTheme="minorHAnsi" w:cstheme="minorHAnsi"/>
                            <w:sz w:val="20"/>
                          </w:rPr>
                        </w:pPr>
                        <w:r w:rsidRPr="00735F26">
                          <w:rPr>
                            <w:rFonts w:asciiTheme="minorHAnsi" w:hAnsiTheme="minorHAnsi" w:cstheme="minorHAnsi"/>
                            <w:sz w:val="20"/>
                          </w:rPr>
                          <w:t xml:space="preserve">(1) </w:t>
                        </w:r>
                        <w:r w:rsidRPr="00735F26">
                          <w:rPr>
                            <w:rFonts w:asciiTheme="minorHAnsi" w:hAnsiTheme="minorHAnsi" w:cstheme="minorHAnsi"/>
                            <w:b/>
                            <w:sz w:val="20"/>
                          </w:rPr>
                          <w:t>Obsahová</w:t>
                        </w:r>
                        <w:r>
                          <w:rPr>
                            <w:rFonts w:asciiTheme="minorHAnsi" w:hAnsiTheme="minorHAnsi" w:cstheme="minorHAnsi"/>
                            <w:b/>
                            <w:sz w:val="20"/>
                          </w:rPr>
                          <w:t>,</w:t>
                        </w:r>
                        <w:r w:rsidRPr="00735F26">
                          <w:rPr>
                            <w:rFonts w:asciiTheme="minorHAnsi" w:hAnsiTheme="minorHAnsi" w:cstheme="minorHAnsi"/>
                            <w:b/>
                            <w:sz w:val="20"/>
                          </w:rPr>
                          <w:t xml:space="preserve"> </w:t>
                        </w:r>
                        <w:r w:rsidRPr="00735F26">
                          <w:rPr>
                            <w:rFonts w:asciiTheme="minorHAnsi" w:hAnsiTheme="minorHAnsi" w:cstheme="minorHAnsi"/>
                            <w:sz w:val="20"/>
                          </w:rPr>
                          <w:t xml:space="preserve">(2) </w:t>
                        </w:r>
                        <w:r w:rsidRPr="00735F26">
                          <w:rPr>
                            <w:rFonts w:asciiTheme="minorHAnsi" w:hAnsiTheme="minorHAnsi" w:cstheme="minorHAnsi"/>
                            <w:b/>
                            <w:sz w:val="20"/>
                          </w:rPr>
                          <w:t>funkční</w:t>
                        </w:r>
                        <w:r w:rsidRPr="00735F26">
                          <w:rPr>
                            <w:rFonts w:asciiTheme="minorHAnsi" w:hAnsiTheme="minorHAnsi" w:cstheme="minorHAnsi"/>
                            <w:sz w:val="20"/>
                          </w:rPr>
                          <w:t xml:space="preserve"> analýza, (3) analýza </w:t>
                        </w:r>
                        <w:r w:rsidRPr="00735F26">
                          <w:rPr>
                            <w:rFonts w:asciiTheme="minorHAnsi" w:hAnsiTheme="minorHAnsi" w:cstheme="minorHAnsi"/>
                            <w:b/>
                            <w:sz w:val="20"/>
                          </w:rPr>
                          <w:t>struktury</w:t>
                        </w:r>
                        <w:r>
                          <w:rPr>
                            <w:rFonts w:asciiTheme="minorHAnsi" w:hAnsiTheme="minorHAnsi" w:cstheme="minorHAnsi"/>
                            <w:b/>
                            <w:sz w:val="20"/>
                          </w:rPr>
                          <w:t xml:space="preserve">, </w:t>
                        </w:r>
                      </w:p>
                      <w:p w14:paraId="788A7917" w14:textId="77777777" w:rsidR="00511D9B" w:rsidRDefault="00511D9B" w:rsidP="00F85B23">
                        <w:pPr>
                          <w:tabs>
                            <w:tab w:val="left" w:pos="4014"/>
                          </w:tabs>
                          <w:spacing w:line="192" w:lineRule="auto"/>
                          <w:ind w:right="-57"/>
                          <w:jc w:val="center"/>
                          <w:rPr>
                            <w:rFonts w:asciiTheme="minorHAnsi" w:hAnsiTheme="minorHAnsi" w:cstheme="minorHAnsi"/>
                            <w:sz w:val="20"/>
                          </w:rPr>
                        </w:pPr>
                        <w:r>
                          <w:rPr>
                            <w:rFonts w:asciiTheme="minorHAnsi" w:hAnsiTheme="minorHAnsi" w:cstheme="minorHAnsi"/>
                            <w:sz w:val="20"/>
                          </w:rPr>
                          <w:t xml:space="preserve">(4) analýza </w:t>
                        </w:r>
                        <w:r w:rsidRPr="00735F26">
                          <w:rPr>
                            <w:rFonts w:asciiTheme="minorHAnsi" w:hAnsiTheme="minorHAnsi" w:cstheme="minorHAnsi"/>
                            <w:b/>
                            <w:sz w:val="20"/>
                          </w:rPr>
                          <w:t>trendu</w:t>
                        </w:r>
                        <w:r>
                          <w:rPr>
                            <w:rFonts w:asciiTheme="minorHAnsi" w:hAnsiTheme="minorHAnsi" w:cstheme="minorHAnsi"/>
                            <w:sz w:val="20"/>
                          </w:rPr>
                          <w:t xml:space="preserve">, (5) </w:t>
                        </w:r>
                        <w:r w:rsidRPr="00735F26">
                          <w:rPr>
                            <w:rFonts w:asciiTheme="minorHAnsi" w:hAnsiTheme="minorHAnsi" w:cstheme="minorHAnsi"/>
                            <w:b/>
                            <w:sz w:val="20"/>
                          </w:rPr>
                          <w:t>komparativní</w:t>
                        </w:r>
                        <w:r>
                          <w:rPr>
                            <w:rFonts w:asciiTheme="minorHAnsi" w:hAnsiTheme="minorHAnsi" w:cstheme="minorHAnsi"/>
                            <w:sz w:val="20"/>
                          </w:rPr>
                          <w:t xml:space="preserve"> analýzy, </w:t>
                        </w:r>
                      </w:p>
                      <w:p w14:paraId="73545592" w14:textId="77777777" w:rsidR="00511D9B" w:rsidRPr="00122B37" w:rsidRDefault="00511D9B" w:rsidP="00F85B23">
                        <w:pPr>
                          <w:tabs>
                            <w:tab w:val="left" w:pos="4014"/>
                          </w:tabs>
                          <w:spacing w:line="192" w:lineRule="auto"/>
                          <w:ind w:right="-57"/>
                          <w:jc w:val="center"/>
                          <w:rPr>
                            <w:rFonts w:asciiTheme="minorHAnsi" w:hAnsiTheme="minorHAnsi" w:cstheme="minorHAnsi"/>
                            <w:sz w:val="20"/>
                          </w:rPr>
                        </w:pPr>
                        <w:r>
                          <w:rPr>
                            <w:rFonts w:asciiTheme="minorHAnsi" w:hAnsiTheme="minorHAnsi" w:cstheme="minorHAnsi"/>
                            <w:sz w:val="20"/>
                          </w:rPr>
                          <w:t>(6)</w:t>
                        </w:r>
                        <w:r>
                          <w:rPr>
                            <w:rFonts w:asciiTheme="minorHAnsi" w:hAnsiTheme="minorHAnsi" w:cstheme="minorHAnsi"/>
                            <w:b/>
                            <w:sz w:val="20"/>
                          </w:rPr>
                          <w:t xml:space="preserve"> další analýzy: </w:t>
                        </w:r>
                        <w:r w:rsidRPr="00735F26">
                          <w:rPr>
                            <w:rFonts w:asciiTheme="minorHAnsi" w:hAnsiTheme="minorHAnsi" w:cstheme="minorHAnsi"/>
                            <w:sz w:val="20"/>
                          </w:rPr>
                          <w:t>(a)</w:t>
                        </w:r>
                        <w:r>
                          <w:rPr>
                            <w:rFonts w:asciiTheme="minorHAnsi" w:hAnsiTheme="minorHAnsi" w:cstheme="minorHAnsi"/>
                            <w:b/>
                            <w:sz w:val="20"/>
                          </w:rPr>
                          <w:t xml:space="preserve"> </w:t>
                        </w:r>
                        <w:r w:rsidRPr="00122B37">
                          <w:rPr>
                            <w:rFonts w:asciiTheme="minorHAnsi" w:hAnsiTheme="minorHAnsi" w:cstheme="minorHAnsi"/>
                            <w:b/>
                            <w:sz w:val="20"/>
                          </w:rPr>
                          <w:t>SWOT</w:t>
                        </w:r>
                        <w:r w:rsidRPr="00735F26">
                          <w:rPr>
                            <w:rFonts w:asciiTheme="minorHAnsi" w:hAnsiTheme="minorHAnsi" w:cstheme="minorHAnsi"/>
                            <w:sz w:val="20"/>
                          </w:rPr>
                          <w:t>, (b) Analýza</w:t>
                        </w:r>
                        <w:r w:rsidRPr="00122B37">
                          <w:rPr>
                            <w:rFonts w:asciiTheme="minorHAnsi" w:hAnsiTheme="minorHAnsi" w:cstheme="minorHAnsi"/>
                            <w:sz w:val="20"/>
                          </w:rPr>
                          <w:t xml:space="preserve"> </w:t>
                        </w:r>
                        <w:r w:rsidRPr="00122B37">
                          <w:rPr>
                            <w:rFonts w:asciiTheme="minorHAnsi" w:hAnsiTheme="minorHAnsi" w:cstheme="minorHAnsi"/>
                            <w:b/>
                            <w:sz w:val="20"/>
                          </w:rPr>
                          <w:t>aktérů</w:t>
                        </w:r>
                        <w:r w:rsidRPr="00122B37">
                          <w:rPr>
                            <w:rFonts w:asciiTheme="minorHAnsi" w:hAnsiTheme="minorHAnsi" w:cstheme="minorHAnsi"/>
                            <w:sz w:val="20"/>
                          </w:rPr>
                          <w:t xml:space="preserve"> (</w:t>
                        </w:r>
                        <w:r w:rsidRPr="00122B37">
                          <w:rPr>
                            <w:rFonts w:asciiTheme="minorHAnsi" w:hAnsiTheme="minorHAnsi" w:cstheme="minorHAnsi"/>
                            <w:b/>
                            <w:sz w:val="20"/>
                          </w:rPr>
                          <w:t>cílových skupin</w:t>
                        </w:r>
                        <w:r w:rsidRPr="00122B37">
                          <w:rPr>
                            <w:rFonts w:asciiTheme="minorHAnsi" w:hAnsiTheme="minorHAnsi" w:cstheme="minorHAnsi"/>
                            <w:sz w:val="20"/>
                          </w:rPr>
                          <w:t>)</w:t>
                        </w:r>
                        <w:r>
                          <w:rPr>
                            <w:rFonts w:asciiTheme="minorHAnsi" w:hAnsiTheme="minorHAnsi" w:cstheme="minorHAnsi"/>
                            <w:sz w:val="20"/>
                          </w:rPr>
                          <w:t xml:space="preserve">, (c) </w:t>
                        </w:r>
                        <w:r w:rsidRPr="00122B37">
                          <w:rPr>
                            <w:rFonts w:asciiTheme="minorHAnsi" w:hAnsiTheme="minorHAnsi" w:cstheme="minorHAnsi"/>
                            <w:sz w:val="20"/>
                          </w:rPr>
                          <w:t xml:space="preserve">Analýzy </w:t>
                        </w:r>
                        <w:r w:rsidRPr="00122B37">
                          <w:rPr>
                            <w:rFonts w:asciiTheme="minorHAnsi" w:hAnsiTheme="minorHAnsi" w:cstheme="minorHAnsi"/>
                            <w:b/>
                            <w:sz w:val="20"/>
                          </w:rPr>
                          <w:t>rizik</w:t>
                        </w:r>
                        <w:r w:rsidRPr="00122B37">
                          <w:rPr>
                            <w:rFonts w:asciiTheme="minorHAnsi" w:hAnsiTheme="minorHAnsi" w:cstheme="minorHAnsi"/>
                            <w:sz w:val="20"/>
                          </w:rPr>
                          <w:t xml:space="preserve"> (příp</w:t>
                        </w:r>
                        <w:r>
                          <w:rPr>
                            <w:rFonts w:asciiTheme="minorHAnsi" w:hAnsiTheme="minorHAnsi" w:cstheme="minorHAnsi"/>
                            <w:sz w:val="20"/>
                          </w:rPr>
                          <w:t>a</w:t>
                        </w:r>
                        <w:r w:rsidRPr="00122B37">
                          <w:rPr>
                            <w:rFonts w:asciiTheme="minorHAnsi" w:hAnsiTheme="minorHAnsi" w:cstheme="minorHAnsi"/>
                            <w:sz w:val="20"/>
                          </w:rPr>
                          <w:t xml:space="preserve">dně </w:t>
                        </w:r>
                        <w:r w:rsidRPr="00735F26">
                          <w:rPr>
                            <w:rFonts w:asciiTheme="minorHAnsi" w:hAnsiTheme="minorHAnsi" w:cstheme="minorHAnsi"/>
                            <w:b/>
                            <w:sz w:val="20"/>
                          </w:rPr>
                          <w:t>příležitostí</w:t>
                        </w:r>
                        <w:r w:rsidRPr="00122B37">
                          <w:rPr>
                            <w:rFonts w:asciiTheme="minorHAnsi" w:hAnsiTheme="minorHAnsi" w:cstheme="minorHAnsi"/>
                            <w:sz w:val="20"/>
                          </w:rPr>
                          <w:t>)</w:t>
                        </w:r>
                        <w:r>
                          <w:rPr>
                            <w:rFonts w:asciiTheme="minorHAnsi" w:hAnsiTheme="minorHAnsi" w:cstheme="minorHAnsi"/>
                            <w:sz w:val="20"/>
                          </w:rPr>
                          <w:t>,</w:t>
                        </w:r>
                      </w:p>
                      <w:p w14:paraId="0563C9BD" w14:textId="77777777" w:rsidR="00511D9B" w:rsidRDefault="00511D9B" w:rsidP="00F85B23">
                        <w:pPr>
                          <w:tabs>
                            <w:tab w:val="left" w:pos="4014"/>
                          </w:tabs>
                          <w:spacing w:line="192" w:lineRule="auto"/>
                          <w:ind w:right="-57"/>
                          <w:jc w:val="center"/>
                          <w:rPr>
                            <w:rFonts w:asciiTheme="minorHAnsi" w:hAnsiTheme="minorHAnsi" w:cstheme="minorHAnsi"/>
                            <w:sz w:val="20"/>
                          </w:rPr>
                        </w:pPr>
                        <w:r>
                          <w:rPr>
                            <w:rFonts w:asciiTheme="minorHAnsi" w:hAnsiTheme="minorHAnsi" w:cstheme="minorHAnsi"/>
                            <w:sz w:val="20"/>
                          </w:rPr>
                          <w:t>(d) n</w:t>
                        </w:r>
                        <w:r w:rsidRPr="00735F26">
                          <w:rPr>
                            <w:rFonts w:asciiTheme="minorHAnsi" w:hAnsiTheme="minorHAnsi" w:cstheme="minorHAnsi"/>
                            <w:sz w:val="20"/>
                          </w:rPr>
                          <w:t>ákladově výstupové metody</w:t>
                        </w:r>
                        <w:r>
                          <w:rPr>
                            <w:rFonts w:asciiTheme="minorHAnsi" w:hAnsiTheme="minorHAnsi" w:cstheme="minorHAnsi"/>
                            <w:sz w:val="20"/>
                          </w:rPr>
                          <w:t xml:space="preserve"> (např. </w:t>
                        </w:r>
                      </w:p>
                      <w:p w14:paraId="603F0956" w14:textId="77777777" w:rsidR="00511D9B" w:rsidRDefault="00511D9B" w:rsidP="00F85B23">
                        <w:pPr>
                          <w:tabs>
                            <w:tab w:val="left" w:pos="4014"/>
                          </w:tabs>
                          <w:spacing w:line="192" w:lineRule="auto"/>
                          <w:ind w:right="-57"/>
                          <w:jc w:val="center"/>
                          <w:rPr>
                            <w:rFonts w:asciiTheme="minorHAnsi" w:hAnsiTheme="minorHAnsi" w:cstheme="minorHAnsi"/>
                            <w:sz w:val="20"/>
                          </w:rPr>
                        </w:pPr>
                        <w:r w:rsidRPr="00735F26">
                          <w:rPr>
                            <w:rFonts w:asciiTheme="minorHAnsi" w:hAnsiTheme="minorHAnsi" w:cstheme="minorHAnsi"/>
                            <w:sz w:val="20"/>
                          </w:rPr>
                          <w:t>analýza nákladů a přínosů</w:t>
                        </w:r>
                        <w:r w:rsidRPr="00735F26">
                          <w:rPr>
                            <w:rFonts w:asciiTheme="minorHAnsi" w:hAnsiTheme="minorHAnsi" w:cstheme="minorHAnsi"/>
                            <w:b/>
                            <w:sz w:val="20"/>
                          </w:rPr>
                          <w:t xml:space="preserve"> </w:t>
                        </w:r>
                        <w:r>
                          <w:rPr>
                            <w:rFonts w:asciiTheme="minorHAnsi" w:hAnsiTheme="minorHAnsi" w:cstheme="minorHAnsi"/>
                            <w:b/>
                            <w:sz w:val="20"/>
                          </w:rPr>
                          <w:t xml:space="preserve">- </w:t>
                        </w:r>
                        <w:r w:rsidRPr="00735F26">
                          <w:rPr>
                            <w:rFonts w:asciiTheme="minorHAnsi" w:hAnsiTheme="minorHAnsi" w:cstheme="minorHAnsi"/>
                            <w:b/>
                            <w:sz w:val="20"/>
                          </w:rPr>
                          <w:t>CBA</w:t>
                        </w:r>
                        <w:r>
                          <w:rPr>
                            <w:rFonts w:asciiTheme="minorHAnsi" w:hAnsiTheme="minorHAnsi" w:cstheme="minorHAnsi"/>
                            <w:sz w:val="20"/>
                          </w:rPr>
                          <w:t>), (e) jiné</w:t>
                        </w:r>
                      </w:p>
                      <w:p w14:paraId="6D56127D" w14:textId="77777777" w:rsidR="00511D9B" w:rsidRPr="002A5C87" w:rsidRDefault="00511D9B" w:rsidP="00F85B23">
                        <w:pPr>
                          <w:spacing w:line="192" w:lineRule="auto"/>
                          <w:ind w:left="-57" w:right="-57"/>
                          <w:rPr>
                            <w:sz w:val="22"/>
                          </w:rPr>
                        </w:pPr>
                      </w:p>
                    </w:txbxContent>
                  </v:textbox>
                </v:shape>
                <v:shape id="Přímá spojnice se šipkou 24062" o:spid="_x0000_s1260" type="#_x0000_t32" style="position:absolute;left:16668;top:6953;width:461;height:66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UYxwAAAN4AAAAPAAAAZHJzL2Rvd25yZXYueG1sRI9Ba8JA&#10;FITvBf/D8gRvdWNa1EZXkUJQsAqmvfT2yD6TYPZtzK4x/fduodDjMDPfMMt1b2rRUesqywom4wgE&#10;cW51xYWCr8/0eQ7CeWSNtWVS8EMO1qvB0xITbe98oi7zhQgQdgkqKL1vEildXpJBN7YNcfDOtjXo&#10;g2wLqVu8B7ipZRxFU2mw4rBQYkPvJeWX7GYUWPnRvV3N98smPRS8zapZOjnulRoN+80ChKfe/4f/&#10;2jutIH6NpjH83glXQK4eAAAA//8DAFBLAQItABQABgAIAAAAIQDb4fbL7gAAAIUBAAATAAAAAAAA&#10;AAAAAAAAAAAAAABbQ29udGVudF9UeXBlc10ueG1sUEsBAi0AFAAGAAgAAAAhAFr0LFu/AAAAFQEA&#10;AAsAAAAAAAAAAAAAAAAAHwEAAF9yZWxzLy5yZWxzUEsBAi0AFAAGAAgAAAAhANQdBRjHAAAA3gAA&#10;AA8AAAAAAAAAAAAAAAAABwIAAGRycy9kb3ducmV2LnhtbFBLBQYAAAAAAwADALcAAAD7AgAAAAA=&#10;" strokecolor="black [3200]" strokeweight=".5pt">
                  <v:stroke startarrow="oval" endarrow="block" joinstyle="miter"/>
                </v:shape>
                <v:shape id="Text Box 78" o:spid="_x0000_s1261" type="#_x0000_t202" style="position:absolute;left:95;top:7620;width:13600;height:4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uqxgAAAN4AAAAPAAAAZHJzL2Rvd25yZXYueG1sRI9Ba8JA&#10;FITvQv/D8gq91U2NiEldpRQKXmprtPfX7Gs2JPs2ZFcT/31XEDwOM/MNs9qMthVn6n3tWMHLNAFB&#10;XDpdc6XgePh4XoLwAVlj65gUXMjDZv0wWWGu3cB7OhehEhHCPkcFJoQul9KXhiz6qeuIo/fneosh&#10;yr6Suschwm0rZ0mykBZrjgsGO3o3VDbFySr4rTn9znbmJ/0smiCHr2NW7Bqlnh7Ht1cQgcZwD9/a&#10;W61gNk8WKVzvxCsg1/8AAAD//wMAUEsBAi0AFAAGAAgAAAAhANvh9svuAAAAhQEAABMAAAAAAAAA&#10;AAAAAAAAAAAAAFtDb250ZW50X1R5cGVzXS54bWxQSwECLQAUAAYACAAAACEAWvQsW78AAAAVAQAA&#10;CwAAAAAAAAAAAAAAAAAfAQAAX3JlbHMvLnJlbHNQSwECLQAUAAYACAAAACEAWMC7qsYAAADeAAAA&#10;DwAAAAAAAAAAAAAAAAAHAgAAZHJzL2Rvd25yZXYueG1sUEsFBgAAAAADAAMAtwAAAPoCAAAAAA==&#10;">
                  <v:stroke dashstyle="dash"/>
                  <v:textbox inset="1.5mm,1mm,1.5mm,.3mm">
                    <w:txbxContent>
                      <w:p w14:paraId="1A1034FB" w14:textId="77777777" w:rsidR="00511D9B" w:rsidRPr="002A5C87" w:rsidRDefault="00511D9B" w:rsidP="00F85B23">
                        <w:pPr>
                          <w:spacing w:line="204" w:lineRule="auto"/>
                          <w:jc w:val="center"/>
                          <w:rPr>
                            <w:rFonts w:asciiTheme="minorHAnsi" w:hAnsiTheme="minorHAnsi" w:cstheme="minorHAnsi"/>
                            <w:b/>
                            <w:sz w:val="22"/>
                          </w:rPr>
                        </w:pPr>
                        <w:r>
                          <w:rPr>
                            <w:rFonts w:asciiTheme="minorHAnsi" w:hAnsiTheme="minorHAnsi" w:cstheme="minorHAnsi"/>
                            <w:b/>
                            <w:sz w:val="22"/>
                          </w:rPr>
                          <w:t>Zdroje dat</w:t>
                        </w:r>
                        <w:r w:rsidRPr="002A5C87">
                          <w:rPr>
                            <w:rFonts w:asciiTheme="minorHAnsi" w:hAnsiTheme="minorHAnsi" w:cstheme="minorHAnsi"/>
                            <w:b/>
                            <w:sz w:val="22"/>
                          </w:rPr>
                          <w:t>:</w:t>
                        </w:r>
                      </w:p>
                      <w:p w14:paraId="7ACD467D" w14:textId="77777777" w:rsidR="00511D9B" w:rsidRPr="002754FA" w:rsidRDefault="00511D9B" w:rsidP="00F85B23">
                        <w:pPr>
                          <w:spacing w:line="204" w:lineRule="auto"/>
                          <w:jc w:val="center"/>
                          <w:rPr>
                            <w:rFonts w:asciiTheme="minorHAnsi" w:hAnsiTheme="minorHAnsi" w:cstheme="minorHAnsi"/>
                            <w:sz w:val="20"/>
                          </w:rPr>
                        </w:pPr>
                        <w:r>
                          <w:rPr>
                            <w:rFonts w:asciiTheme="minorHAnsi" w:hAnsiTheme="minorHAnsi" w:cstheme="minorHAnsi"/>
                            <w:sz w:val="20"/>
                          </w:rPr>
                          <w:t>(například finanční data - databáze MONITOR)</w:t>
                        </w:r>
                      </w:p>
                      <w:p w14:paraId="30162A4A" w14:textId="77777777" w:rsidR="00511D9B" w:rsidRPr="002A5C87" w:rsidRDefault="00511D9B" w:rsidP="00F85B23">
                        <w:pPr>
                          <w:spacing w:line="204" w:lineRule="auto"/>
                          <w:jc w:val="center"/>
                          <w:rPr>
                            <w:sz w:val="22"/>
                          </w:rPr>
                        </w:pPr>
                      </w:p>
                      <w:p w14:paraId="5D611C8B" w14:textId="77777777" w:rsidR="00511D9B" w:rsidRPr="002A5C87" w:rsidRDefault="00511D9B" w:rsidP="00F85B23">
                        <w:pPr>
                          <w:spacing w:line="240" w:lineRule="auto"/>
                          <w:rPr>
                            <w:sz w:val="22"/>
                          </w:rPr>
                        </w:pPr>
                      </w:p>
                    </w:txbxContent>
                  </v:textbox>
                </v:shape>
                <v:shape id="Přímá spojnice se šipkou 24097" o:spid="_x0000_s1262" type="#_x0000_t32" style="position:absolute;left:17145;top:8286;width:9411;height:53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O4yAAAAN4AAAAPAAAAZHJzL2Rvd25yZXYueG1sRI9BS8NA&#10;FITvQv/D8gRvdtcYtY3dFlEDxXqxlZwf2ddsavZtyK5t/PduQfA4zMw3zGI1uk4caQitZw03UwWC&#10;uPam5UbD5668noEIEdlg55k0/FCA1XJyscDC+BN/0HEbG5EgHArUYGPsCylDbclhmPqeOHl7PziM&#10;SQ6NNAOeEtx1MlPqXjpsOS1Y7OnZUv21/XYaDln+Oi9t9Xb7Uql9Veabu/dmo/XV5fj0CCLSGP/D&#10;f+210ZDlav4A5zvpCsjlLwAAAP//AwBQSwECLQAUAAYACAAAACEA2+H2y+4AAACFAQAAEwAAAAAA&#10;AAAAAAAAAAAAAAAAW0NvbnRlbnRfVHlwZXNdLnhtbFBLAQItABQABgAIAAAAIQBa9CxbvwAAABUB&#10;AAALAAAAAAAAAAAAAAAAAB8BAABfcmVscy8ucmVsc1BLAQItABQABgAIAAAAIQBfyPO4yAAAAN4A&#10;AAAPAAAAAAAAAAAAAAAAAAcCAABkcnMvZG93bnJldi54bWxQSwUGAAAAAAMAAwC3AAAA/AIAAAAA&#10;" strokecolor="black [3200]" strokeweight=".5pt">
                  <v:stroke startarrow="oval" endarrow="block" joinstyle="miter"/>
                </v:shape>
                <v:shape id="Přímá spojnice se šipkou 24098" o:spid="_x0000_s1263" type="#_x0000_t32" style="position:absolute;left:13716;top:9906;width:3457;height:37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LVxQAAAN4AAAAPAAAAZHJzL2Rvd25yZXYueG1sRE9Na8JA&#10;EL0X/A/LCN6aTbS0mroREUILtoVGL96G7DQJZmdjdo3pv3cPhR4f73u9GU0rBupdY1lBEsUgiEur&#10;G64UHA/54xKE88gaW8uk4JccbLLJwxpTbW/8TUPhKxFC2KWooPa+S6V0ZU0GXWQ74sD92N6gD7Cv&#10;pO7xFsJNK+dx/CwNNhwaauxoV1N5Lq5GgZUfw+piTott/lnxW9G85MnXXqnZdNy+gvA0+n/xn/td&#10;K5g/xauwN9wJV0BmdwAAAP//AwBQSwECLQAUAAYACAAAACEA2+H2y+4AAACFAQAAEwAAAAAAAAAA&#10;AAAAAAAAAAAAW0NvbnRlbnRfVHlwZXNdLnhtbFBLAQItABQABgAIAAAAIQBa9CxbvwAAABUBAAAL&#10;AAAAAAAAAAAAAAAAAB8BAABfcmVscy8ucmVsc1BLAQItABQABgAIAAAAIQCAIELVxQAAAN4AAAAP&#10;AAAAAAAAAAAAAAAAAAcCAABkcnMvZG93bnJldi54bWxQSwUGAAAAAAMAAwC3AAAA+QIAAAAA&#10;" strokecolor="black [3200]" strokeweight=".5pt">
                  <v:stroke startarrow="oval" endarrow="block" joinstyle="miter"/>
                </v:shape>
                <v:shape id="Přímá spojnice se šipkou 24099" o:spid="_x0000_s1264" type="#_x0000_t32" style="position:absolute;left:17145;top:11334;width:9528;height:23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8JRxwAAAN4AAAAPAAAAZHJzL2Rvd25yZXYueG1sRI9BS8NA&#10;FITvQv/D8gRvdtcYxcRui6iBYr1YJedH9jUbm30bsmsb/31XKHgcZuYbZrGaXC8ONIbOs4abuQJB&#10;3HjTcavh67O6fgARIrLB3jNp+KUAq+XsYoGl8Uf+oMM2tiJBOJSowcY4lFKGxpLDMPcDcfJ2fnQY&#10;kxxbaUY8JrjrZabUvXTYcVqwONCzpWa//XEavrP8tahs/Xb7UqtdXeWbu/d2o/XV5fT0CCLSFP/D&#10;5/baaMhyVRTwdyddAbk8AQAA//8DAFBLAQItABQABgAIAAAAIQDb4fbL7gAAAIUBAAATAAAAAAAA&#10;AAAAAAAAAAAAAABbQ29udGVudF9UeXBlc10ueG1sUEsBAi0AFAAGAAgAAAAhAFr0LFu/AAAAFQEA&#10;AAsAAAAAAAAAAAAAAAAAHwEAAF9yZWxzLy5yZWxzUEsBAi0AFAAGAAgAAAAhAEEbwlHHAAAA3gAA&#10;AA8AAAAAAAAAAAAAAAAABwIAAGRycy9kb3ducmV2LnhtbFBLBQYAAAAAAwADALcAAAD7AgAAAAA=&#10;" strokecolor="black [3200]" strokeweight=".5pt">
                  <v:stroke startarrow="oval" endarrow="block" joinstyle="miter"/>
                </v:shape>
                <v:shape id="Text Box 78" o:spid="_x0000_s1265" type="#_x0000_t202" style="position:absolute;left:39528;top:13620;width:17142;height:6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2DvxQAAAN4AAAAPAAAAZHJzL2Rvd25yZXYueG1sRI9Na8JA&#10;EIbvBf/DMkJvdVctRVJXEWlp6amNheptyE6TaHY2Zrcx/fedQ8Hjy/vFs1wPvlE9dbEObGE6MaCI&#10;i+BqLi187p7vFqBiQnbYBCYLvxRhvRrdLDFz4cIf1OepVDLCMUMLVUptpnUsKvIYJ6ElFu87dB6T&#10;yK7UrsOLjPtGz4x50B5rlocKW9pWVJzyHy8nby+HOD+bPR2/+vc0NyY/l0/W3o6HzSOoREO6hv/b&#10;r87C7H5qBEBwBAX06g8AAP//AwBQSwECLQAUAAYACAAAACEA2+H2y+4AAACFAQAAEwAAAAAAAAAA&#10;AAAAAAAAAAAAW0NvbnRlbnRfVHlwZXNdLnhtbFBLAQItABQABgAIAAAAIQBa9CxbvwAAABUBAAAL&#10;AAAAAAAAAAAAAAAAAB8BAABfcmVscy8ucmVsc1BLAQItABQABgAIAAAAIQARy2DvxQAAAN4AAAAP&#10;AAAAAAAAAAAAAAAAAAcCAABkcnMvZG93bnJldi54bWxQSwUGAAAAAAMAAwC3AAAA+QIAAAAA&#10;" fillcolor="#f2f2f2 [3052]">
                  <v:textbox inset="1.5mm,1mm,1.5mm,.3mm">
                    <w:txbxContent>
                      <w:p w14:paraId="7190DB28" w14:textId="77777777" w:rsidR="00511D9B" w:rsidRDefault="00511D9B" w:rsidP="00F85B23">
                        <w:pPr>
                          <w:spacing w:before="120" w:line="240" w:lineRule="auto"/>
                          <w:jc w:val="center"/>
                          <w:rPr>
                            <w:rFonts w:asciiTheme="minorHAnsi" w:hAnsiTheme="minorHAnsi" w:cstheme="minorHAnsi"/>
                            <w:b/>
                            <w:sz w:val="28"/>
                          </w:rPr>
                        </w:pPr>
                        <w:r>
                          <w:rPr>
                            <w:rFonts w:asciiTheme="minorHAnsi" w:hAnsiTheme="minorHAnsi" w:cstheme="minorHAnsi"/>
                            <w:b/>
                            <w:sz w:val="28"/>
                          </w:rPr>
                          <w:t>implementace</w:t>
                        </w:r>
                        <w:r w:rsidRPr="00904E5B">
                          <w:rPr>
                            <w:rFonts w:asciiTheme="minorHAnsi" w:hAnsiTheme="minorHAnsi" w:cstheme="minorHAnsi"/>
                            <w:b/>
                            <w:sz w:val="28"/>
                          </w:rPr>
                          <w:t xml:space="preserve"> </w:t>
                        </w:r>
                      </w:p>
                      <w:p w14:paraId="5D34857D" w14:textId="77777777" w:rsidR="00511D9B" w:rsidRPr="00492354" w:rsidRDefault="00511D9B" w:rsidP="00F85B23">
                        <w:pPr>
                          <w:spacing w:line="240" w:lineRule="auto"/>
                          <w:jc w:val="center"/>
                          <w:rPr>
                            <w:rFonts w:asciiTheme="minorHAnsi" w:hAnsiTheme="minorHAnsi" w:cstheme="minorHAnsi"/>
                            <w:sz w:val="22"/>
                          </w:rPr>
                        </w:pPr>
                        <w:r w:rsidRPr="00492354">
                          <w:rPr>
                            <w:rFonts w:asciiTheme="minorHAnsi" w:hAnsiTheme="minorHAnsi" w:cstheme="minorHAnsi"/>
                            <w:sz w:val="22"/>
                          </w:rPr>
                          <w:t>(realizace rozhodnutí)</w:t>
                        </w:r>
                      </w:p>
                      <w:p w14:paraId="42F20545" w14:textId="77777777" w:rsidR="00511D9B" w:rsidRDefault="00511D9B" w:rsidP="00F85B23">
                        <w:pPr>
                          <w:spacing w:line="204" w:lineRule="auto"/>
                          <w:jc w:val="center"/>
                          <w:rPr>
                            <w:b/>
                          </w:rPr>
                        </w:pPr>
                      </w:p>
                      <w:p w14:paraId="59C10161" w14:textId="77777777" w:rsidR="00511D9B" w:rsidRDefault="00511D9B" w:rsidP="00F85B23">
                        <w:pPr>
                          <w:spacing w:line="204" w:lineRule="auto"/>
                          <w:jc w:val="center"/>
                        </w:pPr>
                      </w:p>
                      <w:p w14:paraId="5C5ED3DB" w14:textId="77777777" w:rsidR="00511D9B" w:rsidRDefault="00511D9B" w:rsidP="00F85B23">
                        <w:pPr>
                          <w:spacing w:line="240" w:lineRule="auto"/>
                        </w:pPr>
                      </w:p>
                    </w:txbxContent>
                  </v:textbox>
                </v:shape>
                <v:shape id="Přímá spojnice se šipkou 24101" o:spid="_x0000_s1266" type="#_x0000_t32" style="position:absolute;left:16859;top:17145;width:3593;height: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47yAAAAN4AAAAPAAAAZHJzL2Rvd25yZXYueG1sRI9Ba8JA&#10;FITvhf6H5RV6q7uREkp0FZG2VJSCURBvj+wziWbfptmtRn99t1DocZiZb5jxtLeNOFPna8cakoEC&#10;QVw4U3OpYbt5e3oB4QOywcYxabiSh+nk/m6MmXEXXtM5D6WIEPYZaqhCaDMpfVGRRT9wLXH0Dq6z&#10;GKLsSmk6vES4beRQqVRarDkuVNjSvKLilH9bDfvlTb0r+7pYFiq3lO7Sz+PqS+vHh342AhGoD//h&#10;v/aH0TB8TlQCv3fiFZCTHwAAAP//AwBQSwECLQAUAAYACAAAACEA2+H2y+4AAACFAQAAEwAAAAAA&#10;AAAAAAAAAAAAAAAAW0NvbnRlbnRfVHlwZXNdLnhtbFBLAQItABQABgAIAAAAIQBa9CxbvwAAABUB&#10;AAALAAAAAAAAAAAAAAAAAB8BAABfcmVscy8ucmVsc1BLAQItABQABgAIAAAAIQBb6E47yAAAAN4A&#10;AAAPAAAAAAAAAAAAAAAAAAcCAABkcnMvZG93bnJldi54bWxQSwUGAAAAAAMAAwC3AAAA/AIAAAAA&#10;" strokecolor="black [3213]" strokeweight="4.5pt">
                  <v:stroke endarrow="block" joinstyle="miter"/>
                </v:shape>
                <v:shape id="Přímá spojnice se šipkou 24102" o:spid="_x0000_s1267" type="#_x0000_t32" style="position:absolute;left:36576;top:17145;width:3599;height: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BMyAAAAN4AAAAPAAAAZHJzL2Rvd25yZXYueG1sRI9BS8NA&#10;FITvBf/D8gRvzW6DhJJ2W4qoKJVCo1C8PbLPJDX7NmbXNvrru4VCj8PMfMPMl4NtxYF63zjWMEkU&#10;COLSmYYrDR/vT+MpCB+QDbaOScMfeVgubkZzzI078pYORahEhLDPUUMdQpdL6cuaLPrEdcTR+3K9&#10;xRBlX0nT4zHCbStTpTJpseG4UGNHDzWV38Wv1fC5/lfPyj6+rktVWMp22Wb/9qP13e2wmoEINIRr&#10;+NJ+MRrS+4lK4XwnXgG5OAEAAP//AwBQSwECLQAUAAYACAAAACEA2+H2y+4AAACFAQAAEwAAAAAA&#10;AAAAAAAAAAAAAAAAW0NvbnRlbnRfVHlwZXNdLnhtbFBLAQItABQABgAIAAAAIQBa9CxbvwAAABUB&#10;AAALAAAAAAAAAAAAAAAAAB8BAABfcmVscy8ucmVsc1BLAQItABQABgAIAAAAIQCrOtBMyAAAAN4A&#10;AAAPAAAAAAAAAAAAAAAAAAcCAABkcnMvZG93bnJldi54bWxQSwUGAAAAAAMAAwC3AAAA/AIAAAAA&#10;" strokecolor="black [3213]" strokeweight="4.5pt">
                  <v:stroke endarrow="block" joinstyle="miter"/>
                </v:shape>
              </v:group>
            </w:pict>
          </mc:Fallback>
        </mc:AlternateContent>
      </w:r>
      <w:r w:rsidRPr="00A252EC">
        <w:rPr>
          <w:rFonts w:asciiTheme="minorHAnsi" w:eastAsia="Calibri" w:hAnsiTheme="minorHAnsi" w:cstheme="minorHAnsi"/>
          <w:i/>
          <w:iCs/>
          <w:sz w:val="24"/>
          <w:szCs w:val="24"/>
        </w:rPr>
        <w:t xml:space="preserve">Obr. </w:t>
      </w:r>
      <w:r w:rsidR="00081FD0">
        <w:rPr>
          <w:rFonts w:asciiTheme="minorHAnsi" w:eastAsia="Calibri" w:hAnsiTheme="minorHAnsi" w:cstheme="minorHAnsi"/>
          <w:i/>
          <w:iCs/>
          <w:sz w:val="24"/>
          <w:szCs w:val="24"/>
        </w:rPr>
        <w:t>1</w:t>
      </w:r>
      <w:r w:rsidR="00257449">
        <w:rPr>
          <w:rFonts w:asciiTheme="minorHAnsi" w:eastAsia="Calibri" w:hAnsiTheme="minorHAnsi" w:cstheme="minorHAnsi"/>
          <w:i/>
          <w:iCs/>
          <w:sz w:val="24"/>
          <w:szCs w:val="24"/>
        </w:rPr>
        <w:t>7</w:t>
      </w:r>
      <w:r>
        <w:rPr>
          <w:rFonts w:asciiTheme="minorHAnsi" w:eastAsia="Calibri" w:hAnsiTheme="minorHAnsi" w:cstheme="minorHAnsi"/>
          <w:i/>
          <w:iCs/>
          <w:sz w:val="24"/>
          <w:szCs w:val="24"/>
        </w:rPr>
        <w:t xml:space="preserve"> </w:t>
      </w:r>
      <w:r w:rsidRPr="00A252EC">
        <w:rPr>
          <w:rFonts w:asciiTheme="minorHAnsi" w:eastAsia="Calibri" w:hAnsiTheme="minorHAnsi" w:cstheme="minorHAnsi"/>
          <w:i/>
          <w:iCs/>
          <w:sz w:val="24"/>
          <w:szCs w:val="24"/>
        </w:rPr>
        <w:t>Analýza jako první fáze rozhodovacího procesu – témata</w:t>
      </w:r>
    </w:p>
    <w:p w14:paraId="54EE3320" w14:textId="77777777" w:rsidR="00F85B23" w:rsidRDefault="00F85B23" w:rsidP="00F85B23"/>
    <w:p w14:paraId="512C2E7D" w14:textId="77777777" w:rsidR="00F85B23" w:rsidRDefault="00F85B23" w:rsidP="00F85B23"/>
    <w:p w14:paraId="27003F6A" w14:textId="77777777" w:rsidR="00F85B23" w:rsidRDefault="00F85B23" w:rsidP="00F85B23"/>
    <w:p w14:paraId="4F8D7C5B" w14:textId="77777777" w:rsidR="00F85B23" w:rsidRDefault="00F85B23" w:rsidP="00F85B23"/>
    <w:p w14:paraId="01E88767" w14:textId="77777777" w:rsidR="00F85B23" w:rsidRDefault="00F85B23" w:rsidP="00F85B23"/>
    <w:p w14:paraId="509F33D0" w14:textId="77777777" w:rsidR="00F85B23" w:rsidRDefault="00F85B23" w:rsidP="00F85B23"/>
    <w:p w14:paraId="069391A7" w14:textId="77777777" w:rsidR="00F85B23" w:rsidRDefault="00F85B23" w:rsidP="00F85B23"/>
    <w:p w14:paraId="66476B0A" w14:textId="77777777" w:rsidR="00F85B23" w:rsidRDefault="00F85B23" w:rsidP="00F85B23">
      <w:pPr>
        <w:spacing w:line="240" w:lineRule="auto"/>
      </w:pPr>
    </w:p>
    <w:p w14:paraId="5CE24163" w14:textId="1DC56009" w:rsidR="00F85B23" w:rsidRPr="004F7E94" w:rsidRDefault="00343F21" w:rsidP="00F85B23">
      <w:pPr>
        <w:pStyle w:val="Zkladntext3"/>
        <w:spacing w:after="0" w:line="360" w:lineRule="auto"/>
        <w:jc w:val="both"/>
        <w:rPr>
          <w:rFonts w:asciiTheme="minorHAnsi" w:eastAsia="Calibri" w:hAnsiTheme="minorHAnsi" w:cstheme="minorHAnsi"/>
          <w:i/>
          <w:iCs/>
          <w:sz w:val="24"/>
          <w:szCs w:val="24"/>
        </w:rPr>
      </w:pPr>
      <w:r w:rsidRPr="00343F21">
        <w:rPr>
          <w:rFonts w:asciiTheme="minorHAnsi" w:eastAsia="Calibri" w:hAnsiTheme="minorHAnsi" w:cstheme="minorHAnsi"/>
          <w:i/>
          <w:iCs/>
          <w:sz w:val="24"/>
          <w:szCs w:val="24"/>
        </w:rPr>
        <w:t>Zdroj: autoři</w:t>
      </w:r>
    </w:p>
    <w:p w14:paraId="32213565" w14:textId="6191F664" w:rsidR="00F85B23" w:rsidRPr="004F7E94" w:rsidRDefault="00F85B23" w:rsidP="00A80652">
      <w:pPr>
        <w:jc w:val="both"/>
        <w:rPr>
          <w:rFonts w:asciiTheme="minorHAnsi" w:hAnsiTheme="minorHAnsi" w:cstheme="minorHAnsi"/>
        </w:rPr>
      </w:pPr>
      <w:r w:rsidRPr="004F7E94">
        <w:rPr>
          <w:rFonts w:asciiTheme="minorHAnsi" w:hAnsiTheme="minorHAnsi" w:cstheme="minorHAnsi"/>
        </w:rPr>
        <w:t xml:space="preserve">Při </w:t>
      </w:r>
      <w:r>
        <w:rPr>
          <w:rFonts w:asciiTheme="minorHAnsi" w:hAnsiTheme="minorHAnsi" w:cstheme="minorHAnsi"/>
        </w:rPr>
        <w:t xml:space="preserve">plánování </w:t>
      </w:r>
      <w:r w:rsidRPr="004F7E94">
        <w:rPr>
          <w:rFonts w:asciiTheme="minorHAnsi" w:hAnsiTheme="minorHAnsi" w:cstheme="minorHAnsi"/>
        </w:rPr>
        <w:t xml:space="preserve">jakékoli </w:t>
      </w:r>
      <w:r w:rsidR="00343F21">
        <w:rPr>
          <w:rFonts w:asciiTheme="minorHAnsi" w:hAnsiTheme="minorHAnsi" w:cstheme="minorHAnsi"/>
        </w:rPr>
        <w:t>strategické práce</w:t>
      </w:r>
      <w:r>
        <w:rPr>
          <w:rFonts w:asciiTheme="minorHAnsi" w:hAnsiTheme="minorHAnsi" w:cstheme="minorHAnsi"/>
        </w:rPr>
        <w:t xml:space="preserve"> </w:t>
      </w:r>
      <w:r w:rsidR="00783F88">
        <w:rPr>
          <w:rFonts w:asciiTheme="minorHAnsi" w:hAnsiTheme="minorHAnsi" w:cstheme="minorHAnsi"/>
        </w:rPr>
        <w:t>včetně provádění finančních analýz</w:t>
      </w:r>
      <w:r w:rsidRPr="004F7E94">
        <w:rPr>
          <w:rFonts w:asciiTheme="minorHAnsi" w:hAnsiTheme="minorHAnsi" w:cstheme="minorHAnsi"/>
        </w:rPr>
        <w:t xml:space="preserve"> bychom měli </w:t>
      </w:r>
      <w:r w:rsidR="00A80652">
        <w:rPr>
          <w:rFonts w:asciiTheme="minorHAnsi" w:hAnsiTheme="minorHAnsi" w:cstheme="minorHAnsi"/>
        </w:rPr>
        <w:t xml:space="preserve">(1) </w:t>
      </w:r>
      <w:r w:rsidR="00BF59B2">
        <w:rPr>
          <w:rFonts w:asciiTheme="minorHAnsi" w:hAnsiTheme="minorHAnsi" w:cstheme="minorHAnsi"/>
          <w:b/>
        </w:rPr>
        <w:t>z</w:t>
      </w:r>
      <w:r w:rsidRPr="004F7E94">
        <w:rPr>
          <w:rFonts w:asciiTheme="minorHAnsi" w:hAnsiTheme="minorHAnsi" w:cstheme="minorHAnsi"/>
          <w:b/>
        </w:rPr>
        <w:t>ačít analýzou</w:t>
      </w:r>
      <w:r w:rsidR="00A80652">
        <w:rPr>
          <w:rFonts w:asciiTheme="minorHAnsi" w:hAnsiTheme="minorHAnsi" w:cstheme="minorHAnsi"/>
          <w:b/>
        </w:rPr>
        <w:t xml:space="preserve"> </w:t>
      </w:r>
      <w:r w:rsidR="00A80652" w:rsidRPr="00A80652">
        <w:rPr>
          <w:rFonts w:asciiTheme="minorHAnsi" w:hAnsiTheme="minorHAnsi" w:cstheme="minorHAnsi"/>
        </w:rPr>
        <w:t>včetně shromáždění potřebných dat, údajů a poznatků</w:t>
      </w:r>
      <w:r w:rsidRPr="004F7E94">
        <w:rPr>
          <w:rFonts w:asciiTheme="minorHAnsi" w:hAnsiTheme="minorHAnsi" w:cstheme="minorHAnsi"/>
        </w:rPr>
        <w:t xml:space="preserve">. </w:t>
      </w:r>
      <w:r w:rsidR="00A80652">
        <w:rPr>
          <w:rFonts w:asciiTheme="minorHAnsi" w:hAnsiTheme="minorHAnsi" w:cstheme="minorHAnsi"/>
        </w:rPr>
        <w:t xml:space="preserve">Analýza nám slouží k identifikaci všech dostupných variant pro rozhodnutí. (2) </w:t>
      </w:r>
      <w:r w:rsidRPr="004F7E94">
        <w:rPr>
          <w:rFonts w:asciiTheme="minorHAnsi" w:hAnsiTheme="minorHAnsi" w:cstheme="minorHAnsi"/>
        </w:rPr>
        <w:t xml:space="preserve">Pokud máme varianty </w:t>
      </w:r>
      <w:r w:rsidR="00A80652">
        <w:rPr>
          <w:rFonts w:asciiTheme="minorHAnsi" w:hAnsiTheme="minorHAnsi" w:cstheme="minorHAnsi"/>
        </w:rPr>
        <w:t>pro rozhodnutí</w:t>
      </w:r>
      <w:r w:rsidRPr="004F7E94">
        <w:rPr>
          <w:rFonts w:asciiTheme="minorHAnsi" w:hAnsiTheme="minorHAnsi" w:cstheme="minorHAnsi"/>
        </w:rPr>
        <w:t xml:space="preserve">, může následovat výběr nejvhodnější varianty – tedy </w:t>
      </w:r>
      <w:r w:rsidRPr="004F7E94">
        <w:rPr>
          <w:rFonts w:asciiTheme="minorHAnsi" w:hAnsiTheme="minorHAnsi" w:cstheme="minorHAnsi"/>
          <w:b/>
        </w:rPr>
        <w:t>rozhodnutí</w:t>
      </w:r>
      <w:r w:rsidRPr="004F7E94">
        <w:rPr>
          <w:rFonts w:asciiTheme="minorHAnsi" w:hAnsiTheme="minorHAnsi" w:cstheme="minorHAnsi"/>
        </w:rPr>
        <w:t xml:space="preserve">. </w:t>
      </w:r>
      <w:r w:rsidR="00A80652">
        <w:rPr>
          <w:rFonts w:asciiTheme="minorHAnsi" w:hAnsiTheme="minorHAnsi" w:cstheme="minorHAnsi"/>
        </w:rPr>
        <w:t xml:space="preserve">(3) </w:t>
      </w:r>
      <w:r w:rsidRPr="004F7E94">
        <w:rPr>
          <w:rFonts w:asciiTheme="minorHAnsi" w:hAnsiTheme="minorHAnsi" w:cstheme="minorHAnsi"/>
        </w:rPr>
        <w:t xml:space="preserve">Následovat by měla </w:t>
      </w:r>
      <w:r w:rsidRPr="004F7E94">
        <w:rPr>
          <w:rFonts w:asciiTheme="minorHAnsi" w:hAnsiTheme="minorHAnsi" w:cstheme="minorHAnsi"/>
          <w:b/>
        </w:rPr>
        <w:t>implementace rozhodnutí</w:t>
      </w:r>
      <w:r w:rsidRPr="004F7E94">
        <w:rPr>
          <w:rFonts w:asciiTheme="minorHAnsi" w:hAnsiTheme="minorHAnsi" w:cstheme="minorHAnsi"/>
        </w:rPr>
        <w:t>.</w:t>
      </w:r>
    </w:p>
    <w:p w14:paraId="22109C5A" w14:textId="7142FE4F" w:rsidR="00C52C8F" w:rsidRDefault="00C52C8F" w:rsidP="00C52C8F">
      <w:pPr>
        <w:shd w:val="clear" w:color="auto" w:fill="FFFFFF"/>
        <w:tabs>
          <w:tab w:val="left" w:pos="904"/>
        </w:tabs>
        <w:jc w:val="both"/>
        <w:rPr>
          <w:rFonts w:ascii="Calibri" w:hAnsi="Calibri"/>
        </w:rPr>
      </w:pPr>
      <w:r w:rsidRPr="001C2850">
        <w:rPr>
          <w:rFonts w:ascii="Calibri" w:hAnsi="Calibri"/>
        </w:rPr>
        <w:t xml:space="preserve">V některých případech bývá </w:t>
      </w:r>
      <w:r w:rsidRPr="00A80652">
        <w:rPr>
          <w:rFonts w:ascii="Calibri" w:hAnsi="Calibri"/>
          <w:b/>
        </w:rPr>
        <w:t>finanční analýza</w:t>
      </w:r>
      <w:r w:rsidRPr="001C2850">
        <w:rPr>
          <w:rFonts w:ascii="Calibri" w:hAnsi="Calibri"/>
        </w:rPr>
        <w:t xml:space="preserve"> součástí datové analýzy (fakticky jde o datovou analýzu ve finanční oblasti)</w:t>
      </w:r>
      <w:r>
        <w:rPr>
          <w:rFonts w:ascii="Calibri" w:hAnsi="Calibri"/>
        </w:rPr>
        <w:t xml:space="preserve">. </w:t>
      </w:r>
      <w:r w:rsidRPr="001C2850">
        <w:rPr>
          <w:rFonts w:ascii="Calibri" w:hAnsi="Calibri"/>
        </w:rPr>
        <w:t xml:space="preserve">Strategie bez jasné vazby na finance (jak v analytické, tak v návrhové </w:t>
      </w:r>
      <w:r>
        <w:rPr>
          <w:rFonts w:ascii="Calibri" w:hAnsi="Calibri"/>
        </w:rPr>
        <w:t xml:space="preserve">části) není kvalitně zpracovaná.  </w:t>
      </w:r>
      <w:r w:rsidRPr="001C2850">
        <w:rPr>
          <w:rFonts w:ascii="Calibri" w:hAnsi="Calibri"/>
        </w:rPr>
        <w:t xml:space="preserve">Finanční analýza zahrnuje </w:t>
      </w:r>
    </w:p>
    <w:p w14:paraId="791268BE" w14:textId="19A25711" w:rsidR="00C52C8F" w:rsidRPr="00C52C8F" w:rsidRDefault="00C52C8F" w:rsidP="0065698B">
      <w:pPr>
        <w:pStyle w:val="Odstavecseseznamem"/>
        <w:numPr>
          <w:ilvl w:val="0"/>
          <w:numId w:val="34"/>
        </w:numPr>
        <w:tabs>
          <w:tab w:val="left" w:pos="904"/>
        </w:tabs>
        <w:jc w:val="both"/>
        <w:rPr>
          <w:rFonts w:ascii="Calibri" w:hAnsi="Calibri"/>
        </w:rPr>
      </w:pPr>
      <w:r w:rsidRPr="00C52C8F">
        <w:rPr>
          <w:rFonts w:ascii="Calibri" w:hAnsi="Calibri"/>
          <w:b/>
        </w:rPr>
        <w:t xml:space="preserve">trendovou analýzu </w:t>
      </w:r>
      <w:r w:rsidRPr="00C52C8F">
        <w:rPr>
          <w:rFonts w:ascii="Calibri" w:hAnsi="Calibri"/>
        </w:rPr>
        <w:t>-</w:t>
      </w:r>
      <w:r w:rsidRPr="00C52C8F">
        <w:rPr>
          <w:rFonts w:ascii="Calibri" w:hAnsi="Calibri"/>
          <w:b/>
        </w:rPr>
        <w:t xml:space="preserve"> </w:t>
      </w:r>
      <w:r w:rsidRPr="00C52C8F">
        <w:rPr>
          <w:rFonts w:ascii="Calibri" w:hAnsi="Calibri"/>
        </w:rPr>
        <w:t xml:space="preserve">hodnocení jednoho jevu (například </w:t>
      </w:r>
      <w:r w:rsidR="00A80652">
        <w:rPr>
          <w:rFonts w:ascii="Calibri" w:hAnsi="Calibri"/>
        </w:rPr>
        <w:t>výdajů</w:t>
      </w:r>
      <w:r w:rsidRPr="00C52C8F">
        <w:rPr>
          <w:rFonts w:ascii="Calibri" w:hAnsi="Calibri"/>
        </w:rPr>
        <w:t xml:space="preserve"> za posledních 10 let); v rámci trendové analýzy pak hodnotíme vývoj tohoto jevu, respektive jeho trend (například v daném časovém období zkoumáme důvody pro klesání či růst) nebo</w:t>
      </w:r>
    </w:p>
    <w:p w14:paraId="3EB0A15A" w14:textId="39DEF25C" w:rsidR="00C52C8F" w:rsidRPr="00C52C8F" w:rsidRDefault="00C52C8F" w:rsidP="0065698B">
      <w:pPr>
        <w:pStyle w:val="Odstavecseseznamem"/>
        <w:numPr>
          <w:ilvl w:val="0"/>
          <w:numId w:val="34"/>
        </w:numPr>
        <w:tabs>
          <w:tab w:val="left" w:pos="904"/>
        </w:tabs>
        <w:jc w:val="both"/>
        <w:rPr>
          <w:rFonts w:ascii="Calibri" w:hAnsi="Calibri"/>
        </w:rPr>
      </w:pPr>
      <w:r w:rsidRPr="00C52C8F">
        <w:rPr>
          <w:rFonts w:ascii="Calibri" w:hAnsi="Calibri"/>
          <w:b/>
        </w:rPr>
        <w:t xml:space="preserve">porovnání (komparace, případně benchmarking) </w:t>
      </w:r>
      <w:r w:rsidRPr="00C52C8F">
        <w:rPr>
          <w:rFonts w:ascii="Calibri" w:hAnsi="Calibri"/>
        </w:rPr>
        <w:t>– porovnání jednoho jevu (například nákladů daného roku) se srovnatelnými institucemi; v rámci toho srovnáváme, jakou hodnotu má jev (např. náklady) v naší instituci ve srovnání s jinými a hledáme příčiny, proč tomu tak je.</w:t>
      </w:r>
    </w:p>
    <w:p w14:paraId="192AD855" w14:textId="29F2F6B1" w:rsidR="00C52C8F" w:rsidRPr="00C52C8F" w:rsidRDefault="00C52C8F" w:rsidP="0065698B">
      <w:pPr>
        <w:pStyle w:val="Odstavecseseznamem"/>
        <w:numPr>
          <w:ilvl w:val="0"/>
          <w:numId w:val="34"/>
        </w:numPr>
        <w:tabs>
          <w:tab w:val="left" w:pos="904"/>
        </w:tabs>
        <w:jc w:val="both"/>
        <w:rPr>
          <w:rFonts w:ascii="Calibri" w:hAnsi="Calibri"/>
        </w:rPr>
      </w:pPr>
      <w:r>
        <w:rPr>
          <w:rFonts w:ascii="Calibri" w:hAnsi="Calibri"/>
          <w:b/>
        </w:rPr>
        <w:t>p</w:t>
      </w:r>
      <w:r w:rsidRPr="00C52C8F">
        <w:rPr>
          <w:rFonts w:ascii="Calibri" w:hAnsi="Calibri"/>
          <w:b/>
        </w:rPr>
        <w:t>řípadně provádíme obojí</w:t>
      </w:r>
      <w:r w:rsidRPr="00C52C8F">
        <w:rPr>
          <w:rFonts w:ascii="Calibri" w:hAnsi="Calibri"/>
        </w:rPr>
        <w:t xml:space="preserve"> nebo použijeme další metody.</w:t>
      </w:r>
    </w:p>
    <w:p w14:paraId="047BC973" w14:textId="77777777" w:rsidR="00C52C8F" w:rsidRDefault="00C52C8F" w:rsidP="00C52C8F">
      <w:pPr>
        <w:tabs>
          <w:tab w:val="left" w:pos="904"/>
        </w:tabs>
        <w:jc w:val="both"/>
        <w:rPr>
          <w:rFonts w:ascii="Calibri" w:hAnsi="Calibri"/>
          <w:bCs/>
        </w:rPr>
      </w:pPr>
    </w:p>
    <w:p w14:paraId="1D4FD8A6" w14:textId="3B931688" w:rsidR="00C52C8F" w:rsidRDefault="00C52C8F" w:rsidP="00C52C8F">
      <w:pPr>
        <w:tabs>
          <w:tab w:val="left" w:pos="904"/>
        </w:tabs>
        <w:jc w:val="both"/>
        <w:rPr>
          <w:rFonts w:ascii="Calibri" w:hAnsi="Calibri"/>
          <w:bCs/>
        </w:rPr>
      </w:pPr>
      <w:r>
        <w:rPr>
          <w:rFonts w:ascii="Calibri" w:hAnsi="Calibri"/>
          <w:bCs/>
        </w:rPr>
        <w:t xml:space="preserve">Trend i porovnání je vhodné </w:t>
      </w:r>
      <w:r w:rsidRPr="00401F5E">
        <w:rPr>
          <w:rFonts w:ascii="Calibri" w:hAnsi="Calibri"/>
          <w:b/>
          <w:bCs/>
        </w:rPr>
        <w:t>vizualizovat pomocí grafů, tabulek či obrázků</w:t>
      </w:r>
      <w:r>
        <w:rPr>
          <w:rFonts w:ascii="Calibri" w:hAnsi="Calibri"/>
          <w:bCs/>
        </w:rPr>
        <w:t xml:space="preserve">. </w:t>
      </w:r>
    </w:p>
    <w:p w14:paraId="14D42D42" w14:textId="20129821" w:rsidR="002600C6" w:rsidRDefault="002600C6" w:rsidP="00C52C8F">
      <w:pPr>
        <w:tabs>
          <w:tab w:val="left" w:pos="904"/>
        </w:tabs>
        <w:jc w:val="both"/>
        <w:rPr>
          <w:rFonts w:ascii="Calibri" w:hAnsi="Calibri"/>
          <w:bCs/>
        </w:rPr>
      </w:pPr>
    </w:p>
    <w:p w14:paraId="74B2D5F9" w14:textId="4F684D17" w:rsidR="002600C6" w:rsidRPr="00092246" w:rsidRDefault="002600C6" w:rsidP="002600C6">
      <w:pPr>
        <w:jc w:val="both"/>
        <w:rPr>
          <w:rFonts w:asciiTheme="minorHAnsi" w:hAnsiTheme="minorHAnsi"/>
        </w:rPr>
      </w:pPr>
      <w:r>
        <w:rPr>
          <w:rFonts w:asciiTheme="minorHAnsi" w:hAnsiTheme="minorHAnsi" w:cstheme="minorHAnsi"/>
        </w:rPr>
        <w:t>V následující tabulce je k</w:t>
      </w:r>
      <w:r w:rsidRPr="00A81F02">
        <w:rPr>
          <w:rFonts w:asciiTheme="minorHAnsi" w:hAnsiTheme="minorHAnsi"/>
          <w:bCs/>
        </w:rPr>
        <w:t xml:space="preserve">omentář </w:t>
      </w:r>
      <w:r>
        <w:rPr>
          <w:rFonts w:asciiTheme="minorHAnsi" w:hAnsiTheme="minorHAnsi"/>
          <w:bCs/>
        </w:rPr>
        <w:t>k vybraným analýzám (metodám strategické práce)</w:t>
      </w:r>
      <w:r w:rsidRPr="00A81F02">
        <w:rPr>
          <w:rFonts w:asciiTheme="minorHAnsi" w:hAnsiTheme="minorHAnsi"/>
          <w:bCs/>
        </w:rPr>
        <w:t xml:space="preserve">. </w:t>
      </w:r>
      <w:r w:rsidRPr="0048252C">
        <w:rPr>
          <w:rFonts w:asciiTheme="minorHAnsi" w:hAnsiTheme="minorHAnsi"/>
          <w:b/>
        </w:rPr>
        <w:t>Analýza</w:t>
      </w:r>
      <w:r w:rsidRPr="00735F26">
        <w:rPr>
          <w:rFonts w:asciiTheme="minorHAnsi" w:hAnsiTheme="minorHAnsi"/>
        </w:rPr>
        <w:t xml:space="preserve"> má velmi mnoho </w:t>
      </w:r>
      <w:r>
        <w:rPr>
          <w:rFonts w:asciiTheme="minorHAnsi" w:hAnsiTheme="minorHAnsi"/>
        </w:rPr>
        <w:t>podob – navíc se běžně kombinují</w:t>
      </w:r>
      <w:r w:rsidRPr="00735F26">
        <w:rPr>
          <w:rFonts w:asciiTheme="minorHAnsi" w:hAnsiTheme="minorHAnsi"/>
        </w:rPr>
        <w:t xml:space="preserve"> </w:t>
      </w:r>
      <w:r>
        <w:rPr>
          <w:rFonts w:asciiTheme="minorHAnsi" w:hAnsiTheme="minorHAnsi"/>
        </w:rPr>
        <w:t>v tabulce</w:t>
      </w:r>
      <w:r w:rsidRPr="00735F26">
        <w:rPr>
          <w:rFonts w:asciiTheme="minorHAnsi" w:hAnsiTheme="minorHAnsi"/>
        </w:rPr>
        <w:t xml:space="preserve"> pojmenované druhy analýz (například jde současně o analýzu funkční i analýzu struktury). Jiných</w:t>
      </w:r>
      <w:r>
        <w:rPr>
          <w:rFonts w:asciiTheme="minorHAnsi" w:hAnsiTheme="minorHAnsi"/>
        </w:rPr>
        <w:t xml:space="preserve"> analýz je nepřeberné množství</w:t>
      </w:r>
      <w:r w:rsidRPr="00735F26">
        <w:rPr>
          <w:rFonts w:asciiTheme="minorHAnsi" w:hAnsiTheme="minorHAnsi"/>
        </w:rPr>
        <w:t xml:space="preserve">. </w:t>
      </w:r>
    </w:p>
    <w:p w14:paraId="0BC7B290" w14:textId="113EA172" w:rsidR="002600C6" w:rsidRPr="00735F26" w:rsidRDefault="002600C6" w:rsidP="002600C6">
      <w:pPr>
        <w:jc w:val="both"/>
        <w:rPr>
          <w:rFonts w:asciiTheme="minorHAnsi" w:eastAsia="Calibri" w:hAnsiTheme="minorHAnsi" w:cstheme="minorHAnsi"/>
          <w:i/>
          <w:iCs/>
        </w:rPr>
      </w:pPr>
      <w:r w:rsidRPr="00735F26">
        <w:rPr>
          <w:rFonts w:asciiTheme="minorHAnsi" w:eastAsia="Calibri" w:hAnsiTheme="minorHAnsi" w:cstheme="minorHAnsi"/>
          <w:i/>
          <w:iCs/>
        </w:rPr>
        <w:lastRenderedPageBreak/>
        <w:t xml:space="preserve">Tab. </w:t>
      </w:r>
      <w:r w:rsidR="00C14739">
        <w:rPr>
          <w:rFonts w:asciiTheme="minorHAnsi" w:eastAsia="Calibri" w:hAnsiTheme="minorHAnsi" w:cstheme="minorHAnsi"/>
          <w:i/>
          <w:iCs/>
        </w:rPr>
        <w:t>10</w:t>
      </w:r>
      <w:r>
        <w:rPr>
          <w:rFonts w:asciiTheme="minorHAnsi" w:eastAsia="Calibri" w:hAnsiTheme="minorHAnsi" w:cstheme="minorHAnsi"/>
          <w:i/>
          <w:iCs/>
        </w:rPr>
        <w:t xml:space="preserve"> Vybrané analýzy (metody) v rámci strategické práce</w:t>
      </w:r>
    </w:p>
    <w:tbl>
      <w:tblPr>
        <w:tblStyle w:val="Mkatabulky"/>
        <w:tblW w:w="0" w:type="auto"/>
        <w:tblLook w:val="04A0" w:firstRow="1" w:lastRow="0" w:firstColumn="1" w:lastColumn="0" w:noHBand="0" w:noVBand="1"/>
      </w:tblPr>
      <w:tblGrid>
        <w:gridCol w:w="1454"/>
        <w:gridCol w:w="7562"/>
      </w:tblGrid>
      <w:tr w:rsidR="002600C6" w:rsidRPr="00F03B05" w14:paraId="0404E83B" w14:textId="77777777" w:rsidTr="00D459B5">
        <w:tc>
          <w:tcPr>
            <w:tcW w:w="1250" w:type="dxa"/>
            <w:vAlign w:val="center"/>
          </w:tcPr>
          <w:p w14:paraId="0719F098" w14:textId="77777777" w:rsidR="002600C6" w:rsidRPr="00F03B05" w:rsidRDefault="002600C6" w:rsidP="00D459B5">
            <w:pPr>
              <w:spacing w:line="240" w:lineRule="auto"/>
              <w:ind w:right="-57"/>
              <w:rPr>
                <w:rFonts w:asciiTheme="minorHAnsi" w:hAnsiTheme="minorHAnsi"/>
                <w:b/>
                <w:sz w:val="22"/>
              </w:rPr>
            </w:pPr>
            <w:r w:rsidRPr="00F03B05">
              <w:rPr>
                <w:rFonts w:asciiTheme="minorHAnsi" w:hAnsiTheme="minorHAnsi"/>
                <w:b/>
                <w:sz w:val="22"/>
              </w:rPr>
              <w:t>Název</w:t>
            </w:r>
          </w:p>
        </w:tc>
        <w:tc>
          <w:tcPr>
            <w:tcW w:w="7812" w:type="dxa"/>
          </w:tcPr>
          <w:p w14:paraId="092FA621" w14:textId="77777777" w:rsidR="002600C6" w:rsidRPr="00F03B05" w:rsidRDefault="002600C6" w:rsidP="00D459B5">
            <w:pPr>
              <w:spacing w:line="240" w:lineRule="auto"/>
              <w:jc w:val="both"/>
              <w:rPr>
                <w:rFonts w:asciiTheme="minorHAnsi" w:hAnsiTheme="minorHAnsi"/>
                <w:b/>
                <w:sz w:val="22"/>
              </w:rPr>
            </w:pPr>
            <w:r w:rsidRPr="00F03B05">
              <w:rPr>
                <w:rFonts w:asciiTheme="minorHAnsi" w:hAnsiTheme="minorHAnsi"/>
                <w:b/>
                <w:sz w:val="22"/>
              </w:rPr>
              <w:t>Popis metody nebo komentář</w:t>
            </w:r>
          </w:p>
        </w:tc>
      </w:tr>
      <w:tr w:rsidR="002600C6" w:rsidRPr="00F03B05" w14:paraId="24019B23" w14:textId="77777777" w:rsidTr="00D459B5">
        <w:tc>
          <w:tcPr>
            <w:tcW w:w="1250" w:type="dxa"/>
            <w:vAlign w:val="center"/>
          </w:tcPr>
          <w:p w14:paraId="4B4DC14D" w14:textId="77777777" w:rsidR="002600C6" w:rsidRPr="00F03B05" w:rsidRDefault="002600C6" w:rsidP="00D459B5">
            <w:pPr>
              <w:spacing w:line="240" w:lineRule="auto"/>
              <w:ind w:right="-57"/>
              <w:rPr>
                <w:rFonts w:asciiTheme="minorHAnsi" w:hAnsiTheme="minorHAnsi"/>
                <w:b/>
                <w:sz w:val="22"/>
              </w:rPr>
            </w:pPr>
            <w:r w:rsidRPr="00F03B05">
              <w:rPr>
                <w:rFonts w:asciiTheme="minorHAnsi" w:hAnsiTheme="minorHAnsi"/>
                <w:b/>
                <w:sz w:val="22"/>
              </w:rPr>
              <w:t>Analýza</w:t>
            </w:r>
          </w:p>
        </w:tc>
        <w:tc>
          <w:tcPr>
            <w:tcW w:w="7812" w:type="dxa"/>
          </w:tcPr>
          <w:p w14:paraId="00FD84B6" w14:textId="77777777" w:rsidR="002600C6" w:rsidRPr="00F03B05" w:rsidRDefault="002600C6" w:rsidP="00D459B5">
            <w:pPr>
              <w:spacing w:line="240" w:lineRule="auto"/>
              <w:rPr>
                <w:rFonts w:asciiTheme="minorHAnsi" w:hAnsiTheme="minorHAnsi"/>
                <w:sz w:val="22"/>
              </w:rPr>
            </w:pPr>
            <w:r>
              <w:rPr>
                <w:rFonts w:asciiTheme="minorHAnsi" w:hAnsiTheme="minorHAnsi"/>
                <w:sz w:val="22"/>
              </w:rPr>
              <w:t>P</w:t>
            </w:r>
            <w:r w:rsidRPr="00F03B05">
              <w:rPr>
                <w:rFonts w:asciiTheme="minorHAnsi" w:hAnsiTheme="minorHAnsi"/>
                <w:sz w:val="22"/>
              </w:rPr>
              <w:t xml:space="preserve">odstatou </w:t>
            </w:r>
            <w:r>
              <w:rPr>
                <w:rFonts w:asciiTheme="minorHAnsi" w:hAnsiTheme="minorHAnsi"/>
                <w:sz w:val="22"/>
              </w:rPr>
              <w:t xml:space="preserve">analýzy </w:t>
            </w:r>
            <w:r w:rsidRPr="00F03B05">
              <w:rPr>
                <w:rFonts w:asciiTheme="minorHAnsi" w:hAnsiTheme="minorHAnsi"/>
                <w:sz w:val="22"/>
              </w:rPr>
              <w:t>je rozklad zkoumané věci, který je zaměřen na různé stránky zkoumaného předmětu. Podle tohoto zaměření rozlišujeme druhy analýzy – v případě zaměření se na strukturu (strukturální analýza), na funkce (funkční analýza), na obsah (obsahová analýza), na něco jiného (jiná analýza). Hranice mezi jednotlivými druhy analýz nejsou jednoznačně stanoveny nebo například současně probíhá obsahová i funkční analýza. Analýzu využíváme zejména v prvotní fázi výzkumu. Na výstupy z analýzy (například pro formulace dílčích závěrů či doporučení) navazuje syntéza.</w:t>
            </w:r>
          </w:p>
          <w:p w14:paraId="18D8F683" w14:textId="77777777" w:rsidR="002600C6" w:rsidRPr="00F03B05" w:rsidRDefault="002600C6" w:rsidP="0065698B">
            <w:pPr>
              <w:pStyle w:val="Odstavecseseznamem"/>
              <w:numPr>
                <w:ilvl w:val="0"/>
                <w:numId w:val="3"/>
              </w:numPr>
              <w:spacing w:line="240" w:lineRule="auto"/>
              <w:ind w:left="387"/>
              <w:rPr>
                <w:rFonts w:asciiTheme="minorHAnsi" w:hAnsiTheme="minorHAnsi"/>
                <w:sz w:val="22"/>
              </w:rPr>
            </w:pPr>
            <w:r w:rsidRPr="00F03B05">
              <w:rPr>
                <w:rFonts w:asciiTheme="minorHAnsi" w:hAnsiTheme="minorHAnsi"/>
                <w:b/>
                <w:sz w:val="22"/>
              </w:rPr>
              <w:t>Obsahová analýza</w:t>
            </w:r>
            <w:r w:rsidRPr="00F03B05">
              <w:rPr>
                <w:rFonts w:asciiTheme="minorHAnsi" w:hAnsiTheme="minorHAnsi"/>
                <w:sz w:val="22"/>
              </w:rPr>
              <w:t xml:space="preserve"> se velmi často používá jako analýza textů či dokumentů, někdy též bývá nazývána jako dokumentační analýza. Pokud se obsahová (dokumentační) analýza zaměří například na výdaje šetřené instituce, tak se zkoumá obsah jednotlivých dokumentů. Ověřuje se, zda mají všechny formální náležitosti, zda byly prostředky vydány v souladu se stanoveným postupem v zákoně nebo vnitřním předpisu a podobně. Hodnotí se tak úplnost či pravdivost evidence, shoda se stanoveným postupem a podobně.</w:t>
            </w:r>
          </w:p>
          <w:p w14:paraId="5675C280" w14:textId="77777777" w:rsidR="002600C6" w:rsidRPr="00F03B05" w:rsidRDefault="002600C6" w:rsidP="0065698B">
            <w:pPr>
              <w:pStyle w:val="Odstavecseseznamem"/>
              <w:numPr>
                <w:ilvl w:val="0"/>
                <w:numId w:val="3"/>
              </w:numPr>
              <w:spacing w:line="240" w:lineRule="auto"/>
              <w:ind w:left="387"/>
              <w:rPr>
                <w:rFonts w:asciiTheme="minorHAnsi" w:hAnsiTheme="minorHAnsi"/>
                <w:sz w:val="22"/>
              </w:rPr>
            </w:pPr>
            <w:r w:rsidRPr="00F03B05">
              <w:rPr>
                <w:rFonts w:asciiTheme="minorHAnsi" w:hAnsiTheme="minorHAnsi"/>
                <w:b/>
                <w:sz w:val="22"/>
              </w:rPr>
              <w:t>Funkční analýza</w:t>
            </w:r>
            <w:r w:rsidRPr="00F03B05">
              <w:rPr>
                <w:rFonts w:asciiTheme="minorHAnsi" w:hAnsiTheme="minorHAnsi"/>
                <w:sz w:val="22"/>
              </w:rPr>
              <w:t xml:space="preserve"> se zaměřuje na funkci (slouží k tomu, abychom porozuměli funkcím jednotlivých prvků systému) nebo funkčnost (zda jednotlivé prvky systému fungují tak, jak mají). Předmětem není zkoumání dokumentu (to je předmětem u obsahové analýzy), ale obsah ve vazbě na funkci. U výdajů to například znamená, že je ověřováno, zda byly hospodárné, efektivní či účelné. </w:t>
            </w:r>
          </w:p>
          <w:p w14:paraId="7EB395B4" w14:textId="516BC4B2" w:rsidR="002600C6" w:rsidRPr="00F03B05" w:rsidRDefault="002600C6" w:rsidP="0065698B">
            <w:pPr>
              <w:pStyle w:val="Odstavecseseznamem"/>
              <w:numPr>
                <w:ilvl w:val="0"/>
                <w:numId w:val="3"/>
              </w:numPr>
              <w:spacing w:line="240" w:lineRule="auto"/>
              <w:ind w:left="387"/>
              <w:rPr>
                <w:rFonts w:asciiTheme="minorHAnsi" w:hAnsiTheme="minorHAnsi"/>
                <w:sz w:val="22"/>
              </w:rPr>
            </w:pPr>
            <w:r w:rsidRPr="00F03B05">
              <w:rPr>
                <w:rFonts w:asciiTheme="minorHAnsi" w:hAnsiTheme="minorHAnsi"/>
                <w:b/>
                <w:sz w:val="22"/>
              </w:rPr>
              <w:t>Analýza struktury</w:t>
            </w:r>
            <w:r w:rsidRPr="00F03B05">
              <w:rPr>
                <w:rFonts w:asciiTheme="minorHAnsi" w:hAnsiTheme="minorHAnsi"/>
                <w:sz w:val="22"/>
              </w:rPr>
              <w:t xml:space="preserve"> zkoumá strukturu daného jevu. Například u výdajů to může být dle druhu výdajů (osobní výdaje, energie, cestovné, služby, materiál, ….), dle odvětví (např. kolik obec vydává na školství, dopravu, úpravu zeleně, ….). Struktura se dá zkoumat horizontálně (tentýž druh výdajů za posledních 10 let) nebo též vertikálně (porovnání mezi útvary nebo pomocí poměrových ukazatelů – například výdaje na jednoho zaměstnance). Strukturální analýz</w:t>
            </w:r>
            <w:r w:rsidR="00BF59B2">
              <w:rPr>
                <w:rFonts w:asciiTheme="minorHAnsi" w:hAnsiTheme="minorHAnsi"/>
                <w:sz w:val="22"/>
              </w:rPr>
              <w:t>u</w:t>
            </w:r>
            <w:r w:rsidRPr="00F03B05">
              <w:rPr>
                <w:rFonts w:asciiTheme="minorHAnsi" w:hAnsiTheme="minorHAnsi"/>
                <w:sz w:val="22"/>
              </w:rPr>
              <w:t xml:space="preserve"> </w:t>
            </w:r>
            <w:r w:rsidR="00BF59B2">
              <w:rPr>
                <w:rFonts w:asciiTheme="minorHAnsi" w:hAnsiTheme="minorHAnsi"/>
                <w:sz w:val="22"/>
              </w:rPr>
              <w:t>lze</w:t>
            </w:r>
            <w:r w:rsidRPr="00F03B05">
              <w:rPr>
                <w:rFonts w:asciiTheme="minorHAnsi" w:hAnsiTheme="minorHAnsi"/>
                <w:sz w:val="22"/>
              </w:rPr>
              <w:t xml:space="preserve"> použít prakticky ve všech oblastech – například v cestovním ruchu může jít o strukturu návštěvníků, u firmy struktura zákazníků nebo zaměstnanců, u obce věková struktura obyvatel atd.</w:t>
            </w:r>
          </w:p>
          <w:p w14:paraId="4A8323CF" w14:textId="2E65B2B6" w:rsidR="002600C6" w:rsidRPr="00F03B05" w:rsidRDefault="002600C6" w:rsidP="0065698B">
            <w:pPr>
              <w:pStyle w:val="Odstavecseseznamem"/>
              <w:numPr>
                <w:ilvl w:val="0"/>
                <w:numId w:val="3"/>
              </w:numPr>
              <w:spacing w:line="240" w:lineRule="auto"/>
              <w:ind w:left="387"/>
              <w:rPr>
                <w:rFonts w:asciiTheme="minorHAnsi" w:hAnsiTheme="minorHAnsi"/>
                <w:sz w:val="22"/>
              </w:rPr>
            </w:pPr>
            <w:r w:rsidRPr="00F03B05">
              <w:rPr>
                <w:rFonts w:asciiTheme="minorHAnsi" w:hAnsiTheme="minorHAnsi"/>
                <w:b/>
                <w:sz w:val="22"/>
              </w:rPr>
              <w:t>Jiná analýza</w:t>
            </w:r>
            <w:r w:rsidRPr="00F03B05">
              <w:rPr>
                <w:rFonts w:asciiTheme="minorHAnsi" w:hAnsiTheme="minorHAnsi"/>
                <w:sz w:val="22"/>
              </w:rPr>
              <w:t xml:space="preserve"> – existuje velmi mnoho dalších možností analýz či specifických analytických nástrojů. Například SWOT analýza (fakticky jde spíše o syntézu), analýza rizik, analýza cílových skupin, diagram příčin a následku, … K některým z nich existují samostatné video přednášky.</w:t>
            </w:r>
          </w:p>
        </w:tc>
      </w:tr>
      <w:tr w:rsidR="002600C6" w:rsidRPr="00F03B05" w14:paraId="49F047A9" w14:textId="77777777" w:rsidTr="00D459B5">
        <w:tc>
          <w:tcPr>
            <w:tcW w:w="1250" w:type="dxa"/>
            <w:vAlign w:val="center"/>
          </w:tcPr>
          <w:p w14:paraId="6CA94682" w14:textId="77777777" w:rsidR="002600C6" w:rsidRPr="00F03B05" w:rsidRDefault="002600C6" w:rsidP="00D459B5">
            <w:pPr>
              <w:spacing w:line="240" w:lineRule="auto"/>
              <w:rPr>
                <w:rFonts w:asciiTheme="minorHAnsi" w:hAnsiTheme="minorHAnsi"/>
                <w:b/>
                <w:sz w:val="22"/>
              </w:rPr>
            </w:pPr>
            <w:r w:rsidRPr="00F03B05">
              <w:rPr>
                <w:rFonts w:asciiTheme="minorHAnsi" w:hAnsiTheme="minorHAnsi"/>
                <w:b/>
                <w:bCs/>
                <w:sz w:val="22"/>
              </w:rPr>
              <w:t>Syntéza</w:t>
            </w:r>
          </w:p>
        </w:tc>
        <w:tc>
          <w:tcPr>
            <w:tcW w:w="7812" w:type="dxa"/>
          </w:tcPr>
          <w:p w14:paraId="3502DD4B" w14:textId="77777777" w:rsidR="002600C6" w:rsidRPr="00F03B05" w:rsidRDefault="002600C6" w:rsidP="00D459B5">
            <w:pPr>
              <w:spacing w:line="240" w:lineRule="auto"/>
              <w:rPr>
                <w:rFonts w:asciiTheme="minorHAnsi" w:hAnsiTheme="minorHAnsi"/>
                <w:sz w:val="22"/>
              </w:rPr>
            </w:pPr>
            <w:r w:rsidRPr="00F03B05">
              <w:rPr>
                <w:rFonts w:asciiTheme="minorHAnsi" w:hAnsiTheme="minorHAnsi"/>
                <w:sz w:val="22"/>
              </w:rPr>
              <w:t xml:space="preserve">Je ve srovnání s  analýzou opačným postupem v  tom smyslu, že těží z  výsledků analýzy. Analyzované souvislosti integruje do nového, uceleného odborného obrazu či odborné výpovědi. Syntéza přináší obohacení pro odborné poznání. </w:t>
            </w:r>
            <w:r w:rsidRPr="00F03B05">
              <w:rPr>
                <w:rFonts w:asciiTheme="minorHAnsi" w:hAnsiTheme="minorHAnsi"/>
                <w:b/>
                <w:sz w:val="22"/>
              </w:rPr>
              <w:t>Používá se zejména pro formulování dílčích závěrů, doporučení či celkového závěru</w:t>
            </w:r>
            <w:r w:rsidRPr="00F03B05">
              <w:rPr>
                <w:rFonts w:asciiTheme="minorHAnsi" w:hAnsiTheme="minorHAnsi"/>
                <w:sz w:val="22"/>
              </w:rPr>
              <w:t>.</w:t>
            </w:r>
          </w:p>
        </w:tc>
      </w:tr>
      <w:tr w:rsidR="002600C6" w:rsidRPr="00F03B05" w14:paraId="4AA3202B" w14:textId="77777777" w:rsidTr="00D459B5">
        <w:tc>
          <w:tcPr>
            <w:tcW w:w="1250" w:type="dxa"/>
            <w:vAlign w:val="center"/>
          </w:tcPr>
          <w:p w14:paraId="21F9E7D4" w14:textId="77777777" w:rsidR="002600C6" w:rsidRPr="00F03B05" w:rsidRDefault="002600C6" w:rsidP="00D459B5">
            <w:pPr>
              <w:spacing w:line="240" w:lineRule="auto"/>
              <w:rPr>
                <w:rFonts w:asciiTheme="minorHAnsi" w:hAnsiTheme="minorHAnsi"/>
                <w:b/>
                <w:sz w:val="22"/>
              </w:rPr>
            </w:pPr>
            <w:r>
              <w:rPr>
                <w:rFonts w:asciiTheme="minorHAnsi" w:hAnsiTheme="minorHAnsi"/>
                <w:b/>
                <w:sz w:val="22"/>
              </w:rPr>
              <w:t>Komparativní analýza (k</w:t>
            </w:r>
            <w:r w:rsidRPr="00F03B05">
              <w:rPr>
                <w:rFonts w:asciiTheme="minorHAnsi" w:hAnsiTheme="minorHAnsi"/>
                <w:b/>
                <w:sz w:val="22"/>
              </w:rPr>
              <w:t>omparace</w:t>
            </w:r>
            <w:r>
              <w:rPr>
                <w:rFonts w:asciiTheme="minorHAnsi" w:hAnsiTheme="minorHAnsi"/>
                <w:b/>
                <w:sz w:val="22"/>
              </w:rPr>
              <w:t>)</w:t>
            </w:r>
          </w:p>
          <w:p w14:paraId="0B3F63CB" w14:textId="77777777" w:rsidR="002600C6" w:rsidRPr="00F03B05" w:rsidRDefault="002600C6" w:rsidP="00D459B5">
            <w:pPr>
              <w:spacing w:line="240" w:lineRule="auto"/>
              <w:ind w:right="-57"/>
              <w:rPr>
                <w:rFonts w:asciiTheme="minorHAnsi" w:hAnsiTheme="minorHAnsi"/>
                <w:b/>
                <w:sz w:val="22"/>
              </w:rPr>
            </w:pPr>
          </w:p>
        </w:tc>
        <w:tc>
          <w:tcPr>
            <w:tcW w:w="7812" w:type="dxa"/>
          </w:tcPr>
          <w:p w14:paraId="19E429EE" w14:textId="77F808FB" w:rsidR="002600C6" w:rsidRPr="00F03B05" w:rsidRDefault="002600C6" w:rsidP="00D459B5">
            <w:pPr>
              <w:spacing w:line="240" w:lineRule="auto"/>
              <w:rPr>
                <w:rFonts w:asciiTheme="minorHAnsi" w:hAnsiTheme="minorHAnsi"/>
                <w:sz w:val="22"/>
              </w:rPr>
            </w:pPr>
            <w:r w:rsidRPr="00F03B05">
              <w:rPr>
                <w:rFonts w:asciiTheme="minorHAnsi" w:hAnsiTheme="minorHAnsi"/>
                <w:sz w:val="22"/>
              </w:rPr>
              <w:t xml:space="preserve">Podstatou </w:t>
            </w:r>
            <w:r>
              <w:rPr>
                <w:rFonts w:asciiTheme="minorHAnsi" w:hAnsiTheme="minorHAnsi"/>
                <w:sz w:val="22"/>
              </w:rPr>
              <w:t>komparativní analýzy (</w:t>
            </w:r>
            <w:r w:rsidRPr="00F03B05">
              <w:rPr>
                <w:rFonts w:asciiTheme="minorHAnsi" w:hAnsiTheme="minorHAnsi"/>
                <w:sz w:val="22"/>
              </w:rPr>
              <w:t>komparace</w:t>
            </w:r>
            <w:r>
              <w:rPr>
                <w:rFonts w:asciiTheme="minorHAnsi" w:hAnsiTheme="minorHAnsi"/>
                <w:sz w:val="22"/>
              </w:rPr>
              <w:t>)</w:t>
            </w:r>
            <w:r w:rsidRPr="00F03B05">
              <w:rPr>
                <w:rFonts w:asciiTheme="minorHAnsi" w:hAnsiTheme="minorHAnsi"/>
                <w:sz w:val="22"/>
              </w:rPr>
              <w:t xml:space="preserve"> je vyhledávání shody a odlišností u porovnávaných jevů. Pro komparaci se často používají tabulky, grafy. Rozlišujeme komparaci kvantitativní a </w:t>
            </w:r>
            <w:r w:rsidR="00BF59B2" w:rsidRPr="00F03B05">
              <w:rPr>
                <w:rFonts w:asciiTheme="minorHAnsi" w:hAnsiTheme="minorHAnsi"/>
                <w:sz w:val="22"/>
              </w:rPr>
              <w:t>komparaci</w:t>
            </w:r>
            <w:r w:rsidRPr="00F03B05">
              <w:rPr>
                <w:rFonts w:asciiTheme="minorHAnsi" w:hAnsiTheme="minorHAnsi"/>
                <w:sz w:val="22"/>
              </w:rPr>
              <w:t xml:space="preserve"> kvalitativní</w:t>
            </w:r>
            <w:r w:rsidR="00BF59B2">
              <w:rPr>
                <w:rFonts w:asciiTheme="minorHAnsi" w:hAnsiTheme="minorHAnsi"/>
                <w:sz w:val="22"/>
              </w:rPr>
              <w:t>:</w:t>
            </w:r>
          </w:p>
          <w:p w14:paraId="6129585D" w14:textId="77777777" w:rsidR="002600C6" w:rsidRPr="00F03B05" w:rsidRDefault="002600C6" w:rsidP="0065698B">
            <w:pPr>
              <w:pStyle w:val="Odstavecseseznamem"/>
              <w:numPr>
                <w:ilvl w:val="0"/>
                <w:numId w:val="4"/>
              </w:numPr>
              <w:spacing w:line="240" w:lineRule="auto"/>
              <w:ind w:left="387"/>
              <w:rPr>
                <w:rFonts w:asciiTheme="minorHAnsi" w:hAnsiTheme="minorHAnsi"/>
                <w:sz w:val="22"/>
              </w:rPr>
            </w:pPr>
            <w:r w:rsidRPr="00F03B05">
              <w:rPr>
                <w:rFonts w:asciiTheme="minorHAnsi" w:hAnsiTheme="minorHAnsi"/>
                <w:b/>
                <w:sz w:val="22"/>
              </w:rPr>
              <w:t>Kvantitativní komparace</w:t>
            </w:r>
            <w:r w:rsidRPr="00F03B05">
              <w:rPr>
                <w:rFonts w:asciiTheme="minorHAnsi" w:hAnsiTheme="minorHAnsi"/>
                <w:sz w:val="22"/>
              </w:rPr>
              <w:t xml:space="preserve"> je založena na číselném porovnávání (např. počet obyvatel obce, výdaje na zaměstnance atd.). Obvykle rozlišujeme </w:t>
            </w:r>
          </w:p>
          <w:p w14:paraId="0A2FDDE0" w14:textId="77777777" w:rsidR="002600C6" w:rsidRPr="00F03B05" w:rsidRDefault="002600C6" w:rsidP="0065698B">
            <w:pPr>
              <w:pStyle w:val="Odstavecseseznamem"/>
              <w:numPr>
                <w:ilvl w:val="0"/>
                <w:numId w:val="6"/>
              </w:numPr>
              <w:spacing w:line="240" w:lineRule="auto"/>
              <w:ind w:left="812"/>
              <w:rPr>
                <w:rFonts w:asciiTheme="minorHAnsi" w:hAnsiTheme="minorHAnsi"/>
                <w:sz w:val="22"/>
              </w:rPr>
            </w:pPr>
            <w:r w:rsidRPr="00F03B05">
              <w:rPr>
                <w:rFonts w:asciiTheme="minorHAnsi" w:hAnsiTheme="minorHAnsi"/>
                <w:b/>
                <w:sz w:val="22"/>
              </w:rPr>
              <w:t>porovnání trendu</w:t>
            </w:r>
            <w:r w:rsidRPr="00F03B05">
              <w:rPr>
                <w:rFonts w:asciiTheme="minorHAnsi" w:hAnsiTheme="minorHAnsi"/>
                <w:sz w:val="22"/>
              </w:rPr>
              <w:t xml:space="preserve"> (např. vývoj daného jevů v letech) a </w:t>
            </w:r>
          </w:p>
          <w:p w14:paraId="695F980A" w14:textId="77777777" w:rsidR="002600C6" w:rsidRPr="00F03B05" w:rsidRDefault="002600C6" w:rsidP="0065698B">
            <w:pPr>
              <w:pStyle w:val="Odstavecseseznamem"/>
              <w:numPr>
                <w:ilvl w:val="0"/>
                <w:numId w:val="6"/>
              </w:numPr>
              <w:spacing w:line="240" w:lineRule="auto"/>
              <w:ind w:left="812"/>
              <w:rPr>
                <w:rFonts w:asciiTheme="minorHAnsi" w:hAnsiTheme="minorHAnsi"/>
                <w:sz w:val="22"/>
              </w:rPr>
            </w:pPr>
            <w:r w:rsidRPr="00F03B05">
              <w:rPr>
                <w:rFonts w:asciiTheme="minorHAnsi" w:hAnsiTheme="minorHAnsi"/>
                <w:b/>
                <w:sz w:val="22"/>
              </w:rPr>
              <w:t>porovnávání srovnatelných institucí</w:t>
            </w:r>
            <w:r w:rsidRPr="00F03B05">
              <w:rPr>
                <w:rFonts w:asciiTheme="minorHAnsi" w:hAnsiTheme="minorHAnsi"/>
                <w:sz w:val="22"/>
              </w:rPr>
              <w:t xml:space="preserve"> (daný jev v jednom roce u různých institucí).</w:t>
            </w:r>
          </w:p>
          <w:p w14:paraId="1358A448" w14:textId="017D8C95" w:rsidR="002600C6" w:rsidRPr="00F03B05" w:rsidRDefault="002600C6" w:rsidP="0065698B">
            <w:pPr>
              <w:pStyle w:val="Odstavecseseznamem"/>
              <w:numPr>
                <w:ilvl w:val="0"/>
                <w:numId w:val="5"/>
              </w:numPr>
              <w:spacing w:line="240" w:lineRule="auto"/>
              <w:ind w:left="387"/>
              <w:rPr>
                <w:rFonts w:asciiTheme="minorHAnsi" w:hAnsiTheme="minorHAnsi"/>
                <w:sz w:val="22"/>
              </w:rPr>
            </w:pPr>
            <w:r w:rsidRPr="00F03B05">
              <w:rPr>
                <w:rFonts w:asciiTheme="minorHAnsi" w:hAnsiTheme="minorHAnsi"/>
                <w:b/>
                <w:sz w:val="22"/>
              </w:rPr>
              <w:t>Kvalitativní komparace</w:t>
            </w:r>
            <w:r w:rsidRPr="00F03B05">
              <w:rPr>
                <w:rFonts w:asciiTheme="minorHAnsi" w:hAnsiTheme="minorHAnsi"/>
                <w:sz w:val="22"/>
              </w:rPr>
              <w:t xml:space="preserve"> – nejprve vymezíme referenční jednotku a  ve vztahu k  ní pak provádíme srovnání. Například „</w:t>
            </w:r>
            <w:r w:rsidRPr="00F03B05">
              <w:rPr>
                <w:rFonts w:asciiTheme="minorHAnsi" w:hAnsiTheme="minorHAnsi"/>
                <w:i/>
                <w:iCs/>
                <w:sz w:val="22"/>
              </w:rPr>
              <w:t>kvalita veřejné služby X je dvakrát vyšší než Y</w:t>
            </w:r>
            <w:r w:rsidRPr="00F03B05">
              <w:rPr>
                <w:rFonts w:asciiTheme="minorHAnsi" w:hAnsiTheme="minorHAnsi"/>
                <w:sz w:val="22"/>
              </w:rPr>
              <w:t>“ nebo „</w:t>
            </w:r>
            <w:r w:rsidRPr="00F03B05">
              <w:rPr>
                <w:rFonts w:asciiTheme="minorHAnsi" w:hAnsiTheme="minorHAnsi"/>
                <w:i/>
                <w:iCs/>
                <w:sz w:val="22"/>
              </w:rPr>
              <w:t>riziko události X je poloviční než Y</w:t>
            </w:r>
            <w:r w:rsidRPr="00F03B05">
              <w:rPr>
                <w:rFonts w:asciiTheme="minorHAnsi" w:hAnsiTheme="minorHAnsi"/>
                <w:sz w:val="22"/>
              </w:rPr>
              <w:t xml:space="preserve">“) nebo pomocí </w:t>
            </w:r>
            <w:r w:rsidRPr="00F03B05">
              <w:rPr>
                <w:rFonts w:asciiTheme="minorHAnsi" w:hAnsiTheme="minorHAnsi"/>
                <w:sz w:val="22"/>
              </w:rPr>
              <w:lastRenderedPageBreak/>
              <w:t>nastavené škály (např. u kvality jako ve škole 1 výborná, …, 5 nedostatečná kvalita</w:t>
            </w:r>
            <w:r w:rsidR="00BF59B2">
              <w:rPr>
                <w:rFonts w:asciiTheme="minorHAnsi" w:hAnsiTheme="minorHAnsi"/>
                <w:sz w:val="22"/>
              </w:rPr>
              <w:t>)</w:t>
            </w:r>
            <w:r w:rsidRPr="00F03B05">
              <w:rPr>
                <w:rFonts w:asciiTheme="minorHAnsi" w:hAnsiTheme="minorHAnsi"/>
                <w:sz w:val="22"/>
              </w:rPr>
              <w:t xml:space="preserve">. </w:t>
            </w:r>
          </w:p>
        </w:tc>
      </w:tr>
    </w:tbl>
    <w:p w14:paraId="6F15EC6E" w14:textId="77777777" w:rsidR="002600C6" w:rsidRPr="00735F26" w:rsidRDefault="002600C6" w:rsidP="002600C6">
      <w:pPr>
        <w:pStyle w:val="Zkladntext3"/>
        <w:spacing w:after="0" w:line="360" w:lineRule="auto"/>
        <w:jc w:val="both"/>
        <w:rPr>
          <w:rFonts w:asciiTheme="minorHAnsi" w:eastAsia="Calibri" w:hAnsiTheme="minorHAnsi" w:cstheme="minorHAnsi"/>
          <w:i/>
          <w:iCs/>
          <w:sz w:val="24"/>
          <w:szCs w:val="24"/>
        </w:rPr>
      </w:pPr>
      <w:r w:rsidRPr="00735F26">
        <w:rPr>
          <w:rFonts w:asciiTheme="minorHAnsi" w:eastAsia="Calibri" w:hAnsiTheme="minorHAnsi" w:cstheme="minorHAnsi"/>
          <w:i/>
          <w:iCs/>
          <w:sz w:val="24"/>
          <w:szCs w:val="24"/>
        </w:rPr>
        <w:lastRenderedPageBreak/>
        <w:t>Zdroj: autoři dle Ochrana, Půček a kol. (2020, s. 86)</w:t>
      </w:r>
    </w:p>
    <w:p w14:paraId="0462EC9A" w14:textId="0BEF460B" w:rsidR="002600C6" w:rsidRDefault="0083610C" w:rsidP="00C52C8F">
      <w:pPr>
        <w:tabs>
          <w:tab w:val="left" w:pos="904"/>
        </w:tabs>
        <w:jc w:val="both"/>
        <w:rPr>
          <w:rFonts w:asciiTheme="minorHAnsi" w:hAnsiTheme="minorHAnsi"/>
        </w:rPr>
      </w:pPr>
      <w:r w:rsidRPr="00092246">
        <w:rPr>
          <w:rFonts w:asciiTheme="minorHAnsi" w:hAnsiTheme="minorHAnsi"/>
        </w:rPr>
        <w:t>Je třeba si též uvědomit, že</w:t>
      </w:r>
      <w:r>
        <w:rPr>
          <w:rFonts w:asciiTheme="minorHAnsi" w:hAnsiTheme="minorHAnsi"/>
        </w:rPr>
        <w:t xml:space="preserve"> komparativní analýza</w:t>
      </w:r>
      <w:r w:rsidRPr="00092246">
        <w:rPr>
          <w:rFonts w:asciiTheme="minorHAnsi" w:hAnsiTheme="minorHAnsi"/>
        </w:rPr>
        <w:t xml:space="preserve"> </w:t>
      </w:r>
      <w:r>
        <w:rPr>
          <w:rFonts w:asciiTheme="minorHAnsi" w:hAnsiTheme="minorHAnsi"/>
        </w:rPr>
        <w:t>(</w:t>
      </w:r>
      <w:r w:rsidRPr="00092246">
        <w:rPr>
          <w:rFonts w:asciiTheme="minorHAnsi" w:hAnsiTheme="minorHAnsi"/>
          <w:b/>
        </w:rPr>
        <w:t>komparace</w:t>
      </w:r>
      <w:r>
        <w:rPr>
          <w:rFonts w:asciiTheme="minorHAnsi" w:hAnsiTheme="minorHAnsi"/>
          <w:b/>
        </w:rPr>
        <w:t>)</w:t>
      </w:r>
      <w:r w:rsidRPr="00092246">
        <w:rPr>
          <w:rFonts w:asciiTheme="minorHAnsi" w:hAnsiTheme="minorHAnsi"/>
        </w:rPr>
        <w:t xml:space="preserve"> se vyznačuje tím, že porovnání vizualizuj</w:t>
      </w:r>
      <w:r>
        <w:rPr>
          <w:rFonts w:asciiTheme="minorHAnsi" w:hAnsiTheme="minorHAnsi"/>
        </w:rPr>
        <w:t>e</w:t>
      </w:r>
      <w:r w:rsidRPr="00092246">
        <w:rPr>
          <w:rFonts w:asciiTheme="minorHAnsi" w:hAnsiTheme="minorHAnsi"/>
        </w:rPr>
        <w:t>me pomocí tabulek</w:t>
      </w:r>
      <w:r>
        <w:rPr>
          <w:rFonts w:asciiTheme="minorHAnsi" w:hAnsiTheme="minorHAnsi"/>
        </w:rPr>
        <w:t>, grafů, obrázků</w:t>
      </w:r>
      <w:r w:rsidRPr="00092246">
        <w:rPr>
          <w:rFonts w:asciiTheme="minorHAnsi" w:hAnsiTheme="minorHAnsi"/>
        </w:rPr>
        <w:t xml:space="preserve">. Nejčastěji </w:t>
      </w:r>
      <w:r>
        <w:rPr>
          <w:rFonts w:asciiTheme="minorHAnsi" w:hAnsiTheme="minorHAnsi"/>
        </w:rPr>
        <w:t>se používá</w:t>
      </w:r>
      <w:r w:rsidRPr="00092246">
        <w:rPr>
          <w:rFonts w:asciiTheme="minorHAnsi" w:hAnsiTheme="minorHAnsi"/>
        </w:rPr>
        <w:t xml:space="preserve"> </w:t>
      </w:r>
      <w:r>
        <w:rPr>
          <w:rFonts w:asciiTheme="minorHAnsi" w:hAnsiTheme="minorHAnsi"/>
        </w:rPr>
        <w:t>kvantitativní komparace</w:t>
      </w:r>
      <w:r w:rsidRPr="00092246">
        <w:rPr>
          <w:rFonts w:asciiTheme="minorHAnsi" w:hAnsiTheme="minorHAnsi"/>
        </w:rPr>
        <w:t xml:space="preserve"> v podobě porovnání trendu </w:t>
      </w:r>
      <w:r>
        <w:rPr>
          <w:rFonts w:asciiTheme="minorHAnsi" w:hAnsiTheme="minorHAnsi"/>
        </w:rPr>
        <w:t xml:space="preserve">- </w:t>
      </w:r>
      <w:r w:rsidRPr="00092246">
        <w:rPr>
          <w:rFonts w:asciiTheme="minorHAnsi" w:hAnsiTheme="minorHAnsi"/>
        </w:rPr>
        <w:t xml:space="preserve">jeden jev </w:t>
      </w:r>
      <w:r>
        <w:rPr>
          <w:rFonts w:asciiTheme="minorHAnsi" w:hAnsiTheme="minorHAnsi"/>
        </w:rPr>
        <w:t>(například náklady, výnosy, počet zaměstnanců atd.) se uvádí</w:t>
      </w:r>
      <w:r w:rsidRPr="00092246">
        <w:rPr>
          <w:rFonts w:asciiTheme="minorHAnsi" w:hAnsiTheme="minorHAnsi"/>
        </w:rPr>
        <w:t xml:space="preserve"> do tabulky </w:t>
      </w:r>
      <w:r>
        <w:rPr>
          <w:rFonts w:asciiTheme="minorHAnsi" w:hAnsiTheme="minorHAnsi"/>
        </w:rPr>
        <w:t xml:space="preserve">nebo v grafu </w:t>
      </w:r>
      <w:r w:rsidRPr="00092246">
        <w:rPr>
          <w:rFonts w:asciiTheme="minorHAnsi" w:hAnsiTheme="minorHAnsi"/>
        </w:rPr>
        <w:t xml:space="preserve">v jednotlivých </w:t>
      </w:r>
      <w:r>
        <w:rPr>
          <w:rFonts w:asciiTheme="minorHAnsi" w:hAnsiTheme="minorHAnsi"/>
        </w:rPr>
        <w:t xml:space="preserve">časových obdobích, </w:t>
      </w:r>
      <w:r w:rsidRPr="00092246">
        <w:rPr>
          <w:rFonts w:asciiTheme="minorHAnsi" w:hAnsiTheme="minorHAnsi"/>
        </w:rPr>
        <w:t>například v</w:t>
      </w:r>
      <w:r>
        <w:rPr>
          <w:rFonts w:asciiTheme="minorHAnsi" w:hAnsiTheme="minorHAnsi"/>
        </w:rPr>
        <w:t> letech.</w:t>
      </w:r>
    </w:p>
    <w:p w14:paraId="755ECE10" w14:textId="77777777" w:rsidR="009E0EFD" w:rsidRDefault="009E0EFD" w:rsidP="00C52C8F">
      <w:pPr>
        <w:tabs>
          <w:tab w:val="left" w:pos="904"/>
        </w:tabs>
        <w:jc w:val="both"/>
        <w:rPr>
          <w:rFonts w:ascii="Calibri" w:hAnsi="Calibri"/>
        </w:rPr>
      </w:pPr>
    </w:p>
    <w:p w14:paraId="2B2D596C" w14:textId="45372788" w:rsidR="00C52C8F" w:rsidRPr="00C52C8F" w:rsidRDefault="00E92905" w:rsidP="00C52C8F">
      <w:pPr>
        <w:pStyle w:val="Nadpis2"/>
        <w:spacing w:before="240" w:after="120"/>
        <w:ind w:left="578" w:hanging="578"/>
        <w:rPr>
          <w:rFonts w:asciiTheme="minorHAnsi" w:hAnsiTheme="minorHAnsi" w:cstheme="minorHAnsi"/>
          <w:color w:val="7493B0"/>
          <w:sz w:val="24"/>
          <w:szCs w:val="24"/>
          <w:lang w:val="cs-CZ"/>
        </w:rPr>
      </w:pPr>
      <w:bookmarkStart w:id="28" w:name="_Toc91522021"/>
      <w:bookmarkStart w:id="29" w:name="_Toc117269996"/>
      <w:r>
        <w:rPr>
          <w:rFonts w:asciiTheme="minorHAnsi" w:hAnsiTheme="minorHAnsi" w:cstheme="minorHAnsi"/>
          <w:color w:val="7493B0"/>
          <w:sz w:val="24"/>
          <w:szCs w:val="24"/>
          <w:lang w:val="cs-CZ"/>
        </w:rPr>
        <w:t>F</w:t>
      </w:r>
      <w:r w:rsidR="00C52C8F" w:rsidRPr="00C52C8F">
        <w:rPr>
          <w:rFonts w:asciiTheme="minorHAnsi" w:hAnsiTheme="minorHAnsi" w:cstheme="minorHAnsi"/>
          <w:color w:val="7493B0"/>
          <w:sz w:val="24"/>
          <w:szCs w:val="24"/>
          <w:lang w:val="cs-CZ"/>
        </w:rPr>
        <w:t>inanční benchmarking</w:t>
      </w:r>
      <w:bookmarkEnd w:id="28"/>
      <w:bookmarkEnd w:id="29"/>
    </w:p>
    <w:p w14:paraId="0AF73F73" w14:textId="3A4397BE" w:rsidR="00C52C8F" w:rsidRPr="008B6851" w:rsidRDefault="00493357" w:rsidP="00815F61">
      <w:pPr>
        <w:jc w:val="both"/>
        <w:rPr>
          <w:rFonts w:asciiTheme="minorHAnsi" w:hAnsiTheme="minorHAnsi" w:cstheme="minorHAnsi"/>
        </w:rPr>
      </w:pPr>
      <w:r>
        <w:rPr>
          <w:rFonts w:asciiTheme="minorHAnsi" w:hAnsiTheme="minorHAnsi" w:cstheme="minorHAnsi"/>
        </w:rPr>
        <w:t xml:space="preserve">K metodám používaných v rámci strategické práce patří také benchmarking. </w:t>
      </w:r>
      <w:r w:rsidR="00C52C8F" w:rsidRPr="008B6851">
        <w:rPr>
          <w:rFonts w:asciiTheme="minorHAnsi" w:hAnsiTheme="minorHAnsi" w:cstheme="minorHAnsi"/>
        </w:rPr>
        <w:t xml:space="preserve">V literatuře </w:t>
      </w:r>
      <w:r w:rsidR="00C52C8F">
        <w:rPr>
          <w:rFonts w:asciiTheme="minorHAnsi" w:hAnsiTheme="minorHAnsi" w:cstheme="minorHAnsi"/>
        </w:rPr>
        <w:t>lze</w:t>
      </w:r>
      <w:r w:rsidR="00C52C8F" w:rsidRPr="008B6851">
        <w:rPr>
          <w:rFonts w:asciiTheme="minorHAnsi" w:hAnsiTheme="minorHAnsi" w:cstheme="minorHAnsi"/>
        </w:rPr>
        <w:t xml:space="preserve"> dohledat více definic pojmu benchmarking</w:t>
      </w:r>
      <w:r w:rsidR="00C52C8F" w:rsidRPr="008B6851">
        <w:rPr>
          <w:rStyle w:val="Znakapoznpodarou"/>
          <w:rFonts w:asciiTheme="minorHAnsi" w:hAnsiTheme="minorHAnsi" w:cstheme="minorHAnsi"/>
        </w:rPr>
        <w:footnoteReference w:id="33"/>
      </w:r>
      <w:r w:rsidR="00C52C8F" w:rsidRPr="008B6851">
        <w:rPr>
          <w:rFonts w:asciiTheme="minorHAnsi" w:hAnsiTheme="minorHAnsi" w:cstheme="minorHAnsi"/>
        </w:rPr>
        <w:t xml:space="preserve">. </w:t>
      </w:r>
      <w:r w:rsidR="00C52C8F">
        <w:rPr>
          <w:rFonts w:asciiTheme="minorHAnsi" w:hAnsiTheme="minorHAnsi" w:cstheme="minorHAnsi"/>
        </w:rPr>
        <w:t>Jedno z možných zobrazení uvádí následující obrázek.</w:t>
      </w:r>
      <w:r w:rsidR="00815F61">
        <w:rPr>
          <w:rFonts w:asciiTheme="minorHAnsi" w:hAnsiTheme="minorHAnsi" w:cstheme="minorHAnsi"/>
        </w:rPr>
        <w:t xml:space="preserve"> </w:t>
      </w:r>
      <w:r w:rsidR="00C52C8F" w:rsidRPr="00031D00">
        <w:rPr>
          <w:rFonts w:asciiTheme="minorHAnsi" w:hAnsiTheme="minorHAnsi" w:cstheme="minorHAnsi"/>
          <w:b/>
        </w:rPr>
        <w:t>Finanční benchmarking</w:t>
      </w:r>
      <w:r w:rsidR="00C52C8F" w:rsidRPr="008B6851">
        <w:rPr>
          <w:rFonts w:asciiTheme="minorHAnsi" w:hAnsiTheme="minorHAnsi" w:cstheme="minorHAnsi"/>
        </w:rPr>
        <w:t xml:space="preserve"> </w:t>
      </w:r>
      <w:r w:rsidR="00C52C8F">
        <w:rPr>
          <w:rFonts w:asciiTheme="minorHAnsi" w:hAnsiTheme="minorHAnsi" w:cstheme="minorHAnsi"/>
        </w:rPr>
        <w:t>je</w:t>
      </w:r>
      <w:r w:rsidR="00C52C8F" w:rsidRPr="008B6851">
        <w:rPr>
          <w:rFonts w:asciiTheme="minorHAnsi" w:hAnsiTheme="minorHAnsi" w:cstheme="minorHAnsi"/>
        </w:rPr>
        <w:t xml:space="preserve"> porovnávání s jinými</w:t>
      </w:r>
      <w:r w:rsidR="009D1EC7">
        <w:rPr>
          <w:rFonts w:asciiTheme="minorHAnsi" w:hAnsiTheme="minorHAnsi" w:cstheme="minorHAnsi"/>
        </w:rPr>
        <w:t xml:space="preserve"> za účelem nalezení dobré praxe, je to metoda učení se od jiných ve finanční oblasti.</w:t>
      </w:r>
    </w:p>
    <w:p w14:paraId="4A49DF5D" w14:textId="7B6D52BC" w:rsidR="00C52C8F" w:rsidRPr="000828C6" w:rsidRDefault="00C52C8F" w:rsidP="00C52C8F">
      <w:pPr>
        <w:jc w:val="both"/>
        <w:rPr>
          <w:rFonts w:asciiTheme="minorHAnsi" w:hAnsiTheme="minorHAnsi" w:cstheme="minorHAnsi"/>
          <w:i/>
          <w:iCs/>
          <w:color w:val="000000"/>
        </w:rPr>
      </w:pPr>
      <w:r w:rsidRPr="000828C6">
        <w:rPr>
          <w:rFonts w:asciiTheme="minorHAnsi" w:hAnsiTheme="minorHAnsi" w:cstheme="minorHAnsi"/>
          <w:i/>
          <w:iCs/>
        </w:rPr>
        <w:t xml:space="preserve">Obr. </w:t>
      </w:r>
      <w:r w:rsidR="00081FD0">
        <w:rPr>
          <w:rFonts w:asciiTheme="minorHAnsi" w:hAnsiTheme="minorHAnsi" w:cstheme="minorHAnsi"/>
          <w:i/>
          <w:iCs/>
        </w:rPr>
        <w:t>1</w:t>
      </w:r>
      <w:r w:rsidR="00257449">
        <w:rPr>
          <w:rFonts w:asciiTheme="minorHAnsi" w:hAnsiTheme="minorHAnsi" w:cstheme="minorHAnsi"/>
          <w:i/>
          <w:iCs/>
        </w:rPr>
        <w:t>8</w:t>
      </w:r>
      <w:r w:rsidRPr="000828C6">
        <w:rPr>
          <w:rFonts w:asciiTheme="minorHAnsi" w:hAnsiTheme="minorHAnsi" w:cstheme="minorHAnsi"/>
          <w:i/>
          <w:iCs/>
        </w:rPr>
        <w:t xml:space="preserve"> Příklad zobrazení postupu benchmarkingu měst</w:t>
      </w:r>
    </w:p>
    <w:p w14:paraId="0F0AE2A8" w14:textId="77777777" w:rsidR="00C52C8F" w:rsidRPr="006B1D3A" w:rsidRDefault="00C52C8F" w:rsidP="00C52C8F">
      <w:pPr>
        <w:rPr>
          <w:highlight w:val="yellow"/>
        </w:rPr>
      </w:pPr>
      <w:r w:rsidRPr="00F13B0C">
        <w:rPr>
          <w:noProof/>
        </w:rPr>
        <w:drawing>
          <wp:inline distT="0" distB="0" distL="0" distR="0" wp14:anchorId="0A60CED7" wp14:editId="3ADD79F9">
            <wp:extent cx="5505450" cy="2095500"/>
            <wp:effectExtent l="0" t="0" r="0" b="0"/>
            <wp:docPr id="23632" name="Obrázek 2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5450" cy="2095500"/>
                    </a:xfrm>
                    <a:prstGeom prst="rect">
                      <a:avLst/>
                    </a:prstGeom>
                    <a:noFill/>
                    <a:ln>
                      <a:noFill/>
                    </a:ln>
                  </pic:spPr>
                </pic:pic>
              </a:graphicData>
            </a:graphic>
          </wp:inline>
        </w:drawing>
      </w:r>
    </w:p>
    <w:p w14:paraId="2FA601C7" w14:textId="77777777" w:rsidR="00C52C8F" w:rsidRPr="000828C6" w:rsidRDefault="00C52C8F" w:rsidP="00C52C8F">
      <w:pPr>
        <w:spacing w:after="120"/>
        <w:jc w:val="both"/>
        <w:rPr>
          <w:rFonts w:asciiTheme="minorHAnsi" w:hAnsiTheme="minorHAnsi" w:cstheme="minorHAnsi"/>
          <w:i/>
          <w:iCs/>
        </w:rPr>
      </w:pPr>
      <w:r w:rsidRPr="000828C6">
        <w:rPr>
          <w:rFonts w:asciiTheme="minorHAnsi" w:hAnsiTheme="minorHAnsi" w:cstheme="minorHAnsi"/>
          <w:i/>
          <w:iCs/>
        </w:rPr>
        <w:t>Zdroj: Půček, Koppitz 2012, s. 81</w:t>
      </w:r>
    </w:p>
    <w:p w14:paraId="1D915464" w14:textId="77777777" w:rsidR="00815F61" w:rsidRDefault="00C52C8F" w:rsidP="00815F61">
      <w:pPr>
        <w:jc w:val="both"/>
        <w:rPr>
          <w:rFonts w:asciiTheme="minorHAnsi" w:hAnsiTheme="minorHAnsi" w:cstheme="minorHAnsi"/>
        </w:rPr>
      </w:pPr>
      <w:r w:rsidRPr="00622159">
        <w:rPr>
          <w:rFonts w:asciiTheme="minorHAnsi" w:hAnsiTheme="minorHAnsi" w:cstheme="minorHAnsi"/>
        </w:rPr>
        <w:lastRenderedPageBreak/>
        <w:t xml:space="preserve">Data k finančnímu benchmarkingu může poskytnout databáze MONITOR. </w:t>
      </w:r>
      <w:r w:rsidRPr="008B6851">
        <w:rPr>
          <w:rFonts w:asciiTheme="minorHAnsi" w:hAnsiTheme="minorHAnsi" w:cstheme="minorHAnsi"/>
        </w:rPr>
        <w:t>Benchmarkingu ve veřejné správě se věnuje řada autorů</w:t>
      </w:r>
      <w:r w:rsidRPr="008B6851">
        <w:rPr>
          <w:rStyle w:val="Znakapoznpodarou"/>
          <w:rFonts w:asciiTheme="minorHAnsi" w:hAnsiTheme="minorHAnsi" w:cstheme="minorHAnsi"/>
        </w:rPr>
        <w:footnoteReference w:id="34"/>
      </w:r>
      <w:r w:rsidRPr="008B6851">
        <w:rPr>
          <w:rFonts w:asciiTheme="minorHAnsi" w:hAnsiTheme="minorHAnsi" w:cstheme="minorHAnsi"/>
        </w:rPr>
        <w:t xml:space="preserve">. </w:t>
      </w:r>
      <w:r w:rsidRPr="00117DBA">
        <w:rPr>
          <w:rFonts w:asciiTheme="minorHAnsi" w:hAnsiTheme="minorHAnsi" w:cstheme="minorHAnsi"/>
        </w:rPr>
        <w:t>Metoda nese s sebou také řadu problémů spojených například s</w:t>
      </w:r>
      <w:r>
        <w:rPr>
          <w:rFonts w:asciiTheme="minorHAnsi" w:hAnsiTheme="minorHAnsi" w:cstheme="minorHAnsi"/>
        </w:rPr>
        <w:t>e</w:t>
      </w:r>
      <w:r w:rsidRPr="00117DBA">
        <w:rPr>
          <w:rFonts w:asciiTheme="minorHAnsi" w:hAnsiTheme="minorHAnsi" w:cstheme="minorHAnsi"/>
        </w:rPr>
        <w:t xml:space="preserve">: </w:t>
      </w:r>
    </w:p>
    <w:p w14:paraId="49320BEB" w14:textId="3B4A3258" w:rsidR="00815F61" w:rsidRPr="00815F61" w:rsidRDefault="00C52C8F" w:rsidP="0065698B">
      <w:pPr>
        <w:pStyle w:val="Odstavecseseznamem"/>
        <w:numPr>
          <w:ilvl w:val="0"/>
          <w:numId w:val="48"/>
        </w:numPr>
        <w:jc w:val="both"/>
        <w:rPr>
          <w:rFonts w:asciiTheme="minorHAnsi" w:hAnsiTheme="minorHAnsi" w:cstheme="minorHAnsi"/>
        </w:rPr>
      </w:pPr>
      <w:r w:rsidRPr="00815F61">
        <w:rPr>
          <w:rFonts w:asciiTheme="minorHAnsi" w:hAnsiTheme="minorHAnsi" w:cstheme="minorHAnsi"/>
        </w:rPr>
        <w:t xml:space="preserve">špatně stanovenou metodikou porovnávání nebo nekvalitním sběrem dat, záměrné zkreslování údajů atd., </w:t>
      </w:r>
    </w:p>
    <w:p w14:paraId="5AC07F8C" w14:textId="2E3430D7" w:rsidR="00C52C8F" w:rsidRDefault="00C52C8F" w:rsidP="0065698B">
      <w:pPr>
        <w:pStyle w:val="Odstavecseseznamem"/>
        <w:numPr>
          <w:ilvl w:val="0"/>
          <w:numId w:val="48"/>
        </w:numPr>
        <w:jc w:val="both"/>
        <w:rPr>
          <w:rFonts w:asciiTheme="minorHAnsi" w:hAnsiTheme="minorHAnsi" w:cstheme="minorHAnsi"/>
        </w:rPr>
      </w:pPr>
      <w:r w:rsidRPr="00815F61">
        <w:rPr>
          <w:rFonts w:asciiTheme="minorHAnsi" w:hAnsiTheme="minorHAnsi" w:cstheme="minorHAnsi"/>
        </w:rPr>
        <w:t>porovnáváním neporovnatelného nebo snahou “přenést nepřenositelné” – ne vždy jsou specifické místní podmínky vhodné pro porovnání nebo jako inspirace pro jiné.</w:t>
      </w:r>
    </w:p>
    <w:p w14:paraId="23426E2A" w14:textId="7E338E62" w:rsidR="00815F61" w:rsidRDefault="009D1EC7" w:rsidP="00815F61">
      <w:pPr>
        <w:jc w:val="both"/>
        <w:rPr>
          <w:rFonts w:asciiTheme="minorHAnsi" w:hAnsiTheme="minorHAnsi" w:cstheme="minorHAnsi"/>
        </w:rPr>
      </w:pPr>
      <w:r>
        <w:rPr>
          <w:rFonts w:asciiTheme="minorHAnsi" w:hAnsiTheme="minorHAnsi" w:cstheme="minorHAnsi"/>
        </w:rPr>
        <w:t>Příklad projektů benchmarkingu obcí jsou v kapitole 10.</w:t>
      </w:r>
    </w:p>
    <w:p w14:paraId="1AEA389E" w14:textId="5BEFA672" w:rsidR="009D1EC7" w:rsidRDefault="009D1EC7" w:rsidP="00815F61">
      <w:pPr>
        <w:jc w:val="both"/>
        <w:rPr>
          <w:rFonts w:asciiTheme="minorHAnsi" w:hAnsiTheme="minorHAnsi" w:cstheme="minorHAnsi"/>
        </w:rPr>
      </w:pPr>
    </w:p>
    <w:p w14:paraId="13D154DC" w14:textId="77777777" w:rsidR="009F3B51" w:rsidRPr="00815F61" w:rsidRDefault="009F3B51" w:rsidP="00815F61">
      <w:pPr>
        <w:jc w:val="both"/>
        <w:rPr>
          <w:rFonts w:asciiTheme="minorHAnsi" w:hAnsiTheme="minorHAnsi" w:cstheme="minorHAnsi"/>
        </w:rPr>
      </w:pPr>
    </w:p>
    <w:p w14:paraId="4E0D942A" w14:textId="1A509356" w:rsidR="0085238F" w:rsidRPr="00783F88" w:rsidRDefault="00E92905" w:rsidP="00783F88">
      <w:pPr>
        <w:pStyle w:val="Nadpis2"/>
        <w:spacing w:before="240" w:after="120"/>
        <w:ind w:left="578" w:hanging="578"/>
        <w:rPr>
          <w:rFonts w:asciiTheme="minorHAnsi" w:hAnsiTheme="minorHAnsi" w:cstheme="minorHAnsi"/>
          <w:color w:val="7493B0"/>
          <w:sz w:val="24"/>
          <w:szCs w:val="24"/>
          <w:lang w:val="cs-CZ"/>
        </w:rPr>
      </w:pPr>
      <w:bookmarkStart w:id="30" w:name="_Toc50113163"/>
      <w:bookmarkStart w:id="31" w:name="_Toc117269997"/>
      <w:r>
        <w:rPr>
          <w:rFonts w:asciiTheme="minorHAnsi" w:hAnsiTheme="minorHAnsi" w:cstheme="minorHAnsi"/>
          <w:color w:val="7493B0"/>
          <w:sz w:val="24"/>
          <w:szCs w:val="24"/>
          <w:lang w:val="cs-CZ"/>
        </w:rPr>
        <w:t>A</w:t>
      </w:r>
      <w:r w:rsidR="0085238F" w:rsidRPr="00783F88">
        <w:rPr>
          <w:rFonts w:asciiTheme="minorHAnsi" w:hAnsiTheme="minorHAnsi" w:cstheme="minorHAnsi"/>
          <w:color w:val="7493B0"/>
          <w:sz w:val="24"/>
          <w:szCs w:val="24"/>
          <w:lang w:val="cs-CZ"/>
        </w:rPr>
        <w:t>nalýza CBA, CMA, CEA, CUA</w:t>
      </w:r>
      <w:bookmarkEnd w:id="30"/>
      <w:bookmarkEnd w:id="31"/>
      <w:r w:rsidR="0085238F" w:rsidRPr="00783F88">
        <w:rPr>
          <w:rFonts w:asciiTheme="minorHAnsi" w:hAnsiTheme="minorHAnsi" w:cstheme="minorHAnsi"/>
          <w:color w:val="7493B0"/>
          <w:sz w:val="24"/>
          <w:szCs w:val="24"/>
          <w:lang w:val="cs-CZ"/>
        </w:rPr>
        <w:t xml:space="preserve"> </w:t>
      </w:r>
    </w:p>
    <w:p w14:paraId="79F9F887" w14:textId="12F7E444" w:rsidR="0085238F" w:rsidRPr="00117DBA" w:rsidRDefault="00493357" w:rsidP="0085238F">
      <w:pPr>
        <w:shd w:val="clear" w:color="auto" w:fill="FFFFFF" w:themeFill="background1"/>
        <w:jc w:val="both"/>
        <w:rPr>
          <w:rFonts w:asciiTheme="minorHAnsi" w:hAnsiTheme="minorHAnsi" w:cstheme="minorHAnsi"/>
        </w:rPr>
      </w:pPr>
      <w:r>
        <w:rPr>
          <w:rFonts w:asciiTheme="minorHAnsi" w:hAnsiTheme="minorHAnsi" w:cstheme="minorHAnsi"/>
        </w:rPr>
        <w:t xml:space="preserve">V rámci strategické práce je v některých případech nutné hodnotit důležité projekty. </w:t>
      </w:r>
      <w:r w:rsidR="0085238F">
        <w:rPr>
          <w:rFonts w:asciiTheme="minorHAnsi" w:hAnsiTheme="minorHAnsi" w:cstheme="minorHAnsi"/>
        </w:rPr>
        <w:t xml:space="preserve">Analýza </w:t>
      </w:r>
      <w:r w:rsidR="0085238F" w:rsidRPr="00117DBA">
        <w:rPr>
          <w:rFonts w:asciiTheme="minorHAnsi" w:hAnsiTheme="minorHAnsi" w:cstheme="minorHAnsi"/>
        </w:rPr>
        <w:t>CBA</w:t>
      </w:r>
      <w:r w:rsidR="0085238F">
        <w:rPr>
          <w:rFonts w:asciiTheme="minorHAnsi" w:hAnsiTheme="minorHAnsi" w:cstheme="minorHAnsi"/>
        </w:rPr>
        <w:t>, CMA, CEA a CUA</w:t>
      </w:r>
      <w:r w:rsidR="0085238F" w:rsidRPr="00117DBA">
        <w:rPr>
          <w:rFonts w:asciiTheme="minorHAnsi" w:hAnsiTheme="minorHAnsi" w:cstheme="minorHAnsi"/>
        </w:rPr>
        <w:t xml:space="preserve"> patří k </w:t>
      </w:r>
      <w:r w:rsidR="0085238F" w:rsidRPr="00031D00">
        <w:rPr>
          <w:rFonts w:asciiTheme="minorHAnsi" w:hAnsiTheme="minorHAnsi" w:cstheme="minorHAnsi"/>
          <w:b/>
        </w:rPr>
        <w:t>metodám ekonomické analýzy</w:t>
      </w:r>
      <w:r w:rsidR="0085238F" w:rsidRPr="00117DBA">
        <w:rPr>
          <w:rFonts w:asciiTheme="minorHAnsi" w:hAnsiTheme="minorHAnsi" w:cstheme="minorHAnsi"/>
        </w:rPr>
        <w:t>, které se někdy též nazývají „inputově - outputové metody“ nebo nákla</w:t>
      </w:r>
      <w:r w:rsidR="0085238F">
        <w:rPr>
          <w:rFonts w:asciiTheme="minorHAnsi" w:hAnsiTheme="minorHAnsi" w:cstheme="minorHAnsi"/>
        </w:rPr>
        <w:t xml:space="preserve">dově výstupové metody hodnocení. </w:t>
      </w:r>
      <w:r w:rsidR="0085238F" w:rsidRPr="00117DBA">
        <w:rPr>
          <w:rFonts w:asciiTheme="minorHAnsi" w:hAnsiTheme="minorHAnsi" w:cstheme="minorHAnsi"/>
        </w:rPr>
        <w:t xml:space="preserve">Cílem těchto metod je zjistit měřitelným způsobem, kdo co získá a s jakými společenskými náklady. </w:t>
      </w:r>
      <w:r w:rsidR="0085238F">
        <w:rPr>
          <w:rFonts w:asciiTheme="minorHAnsi" w:hAnsiTheme="minorHAnsi" w:cstheme="minorHAnsi"/>
        </w:rPr>
        <w:t xml:space="preserve">Často se používají v rámci hodnocení projektů, ale jsou využitelné i obecněji pro hodnocení vhodnosti jednotlivých variant. </w:t>
      </w:r>
      <w:r w:rsidR="0085238F" w:rsidRPr="003A3066">
        <w:rPr>
          <w:rFonts w:asciiTheme="minorHAnsi" w:hAnsiTheme="minorHAnsi" w:cstheme="minorHAnsi"/>
          <w:b/>
        </w:rPr>
        <w:t>Nejčastěji se používá CBA</w:t>
      </w:r>
      <w:r w:rsidR="0085238F">
        <w:rPr>
          <w:rFonts w:asciiTheme="minorHAnsi" w:hAnsiTheme="minorHAnsi" w:cstheme="minorHAnsi"/>
        </w:rPr>
        <w:t>.</w:t>
      </w:r>
      <w:r w:rsidR="009D1EC7">
        <w:rPr>
          <w:rFonts w:asciiTheme="minorHAnsi" w:hAnsiTheme="minorHAnsi" w:cstheme="minorHAnsi"/>
        </w:rPr>
        <w:t xml:space="preserve"> </w:t>
      </w:r>
      <w:r w:rsidR="00C75503">
        <w:rPr>
          <w:rFonts w:asciiTheme="minorHAnsi" w:hAnsiTheme="minorHAnsi" w:cstheme="minorHAnsi"/>
        </w:rPr>
        <w:t xml:space="preserve">K těmto metodám </w:t>
      </w:r>
      <w:r w:rsidR="00BA0A0D">
        <w:rPr>
          <w:rFonts w:asciiTheme="minorHAnsi" w:hAnsiTheme="minorHAnsi" w:cstheme="minorHAnsi"/>
        </w:rPr>
        <w:t>patří</w:t>
      </w:r>
      <w:r w:rsidR="009D1EC7">
        <w:rPr>
          <w:rFonts w:asciiTheme="minorHAnsi" w:hAnsiTheme="minorHAnsi" w:cstheme="minorHAnsi"/>
        </w:rPr>
        <w:t>:</w:t>
      </w:r>
    </w:p>
    <w:p w14:paraId="05C05B1E" w14:textId="68B461E8" w:rsidR="0085238F" w:rsidRPr="000B3DD8" w:rsidRDefault="0085238F" w:rsidP="000B3DD8">
      <w:pPr>
        <w:numPr>
          <w:ilvl w:val="0"/>
          <w:numId w:val="29"/>
        </w:numPr>
        <w:shd w:val="clear" w:color="auto" w:fill="FFFFFF" w:themeFill="background1"/>
        <w:ind w:left="360"/>
        <w:jc w:val="both"/>
        <w:rPr>
          <w:rFonts w:asciiTheme="minorHAnsi" w:hAnsiTheme="minorHAnsi" w:cstheme="minorHAnsi"/>
        </w:rPr>
      </w:pPr>
      <w:r w:rsidRPr="008418EE">
        <w:rPr>
          <w:rFonts w:asciiTheme="minorHAnsi" w:hAnsiTheme="minorHAnsi" w:cstheme="minorHAnsi"/>
          <w:b/>
        </w:rPr>
        <w:t>analýza minimalizace nákladů</w:t>
      </w:r>
      <w:r w:rsidRPr="00117DBA">
        <w:rPr>
          <w:rFonts w:asciiTheme="minorHAnsi" w:hAnsiTheme="minorHAnsi" w:cstheme="minorHAnsi"/>
        </w:rPr>
        <w:t xml:space="preserve"> – analýza CMA (</w:t>
      </w:r>
      <w:r w:rsidR="000B3DD8" w:rsidRPr="000B3DD8">
        <w:rPr>
          <w:rFonts w:asciiTheme="minorHAnsi" w:hAnsiTheme="minorHAnsi" w:cstheme="minorHAnsi"/>
        </w:rPr>
        <w:t>Cost-minimization Analysis</w:t>
      </w:r>
      <w:r w:rsidRPr="000B3DD8">
        <w:rPr>
          <w:rFonts w:asciiTheme="minorHAnsi" w:hAnsiTheme="minorHAnsi" w:cstheme="minorHAnsi"/>
        </w:rPr>
        <w:t>); podstatou je hledání alternativy projektu, která má nejnižší náklady.</w:t>
      </w:r>
    </w:p>
    <w:p w14:paraId="3F743BFB" w14:textId="77777777" w:rsidR="0085238F" w:rsidRPr="00117DBA" w:rsidRDefault="0085238F" w:rsidP="0065698B">
      <w:pPr>
        <w:numPr>
          <w:ilvl w:val="0"/>
          <w:numId w:val="29"/>
        </w:numPr>
        <w:shd w:val="clear" w:color="auto" w:fill="FFFFFF" w:themeFill="background1"/>
        <w:ind w:left="360"/>
        <w:jc w:val="both"/>
        <w:rPr>
          <w:rFonts w:asciiTheme="minorHAnsi" w:hAnsiTheme="minorHAnsi" w:cstheme="minorHAnsi"/>
        </w:rPr>
      </w:pPr>
      <w:r w:rsidRPr="008418EE">
        <w:rPr>
          <w:rFonts w:asciiTheme="minorHAnsi" w:hAnsiTheme="minorHAnsi" w:cstheme="minorHAnsi"/>
          <w:b/>
        </w:rPr>
        <w:t>analýza nákladů a přínosů</w:t>
      </w:r>
      <w:r w:rsidRPr="00117DBA">
        <w:rPr>
          <w:rFonts w:asciiTheme="minorHAnsi" w:hAnsiTheme="minorHAnsi" w:cstheme="minorHAnsi"/>
        </w:rPr>
        <w:t xml:space="preserve"> – analýza CBA (Cost-benefit Analysis); slouží k hodnocení zejména veřejných projektů, obsahuje postup řešení problémů, které jsou s těmito projekty spojené. Analýza CBA porovnává:</w:t>
      </w:r>
    </w:p>
    <w:p w14:paraId="692DDADB" w14:textId="77777777" w:rsidR="0085238F" w:rsidRPr="00117DBA" w:rsidRDefault="0085238F" w:rsidP="0065698B">
      <w:pPr>
        <w:numPr>
          <w:ilvl w:val="1"/>
          <w:numId w:val="29"/>
        </w:numPr>
        <w:shd w:val="clear" w:color="auto" w:fill="FFFFFF" w:themeFill="background1"/>
        <w:ind w:left="851" w:hanging="426"/>
        <w:jc w:val="both"/>
        <w:rPr>
          <w:rFonts w:asciiTheme="minorHAnsi" w:hAnsiTheme="minorHAnsi" w:cstheme="minorHAnsi"/>
        </w:rPr>
      </w:pPr>
      <w:r w:rsidRPr="00117DBA">
        <w:rPr>
          <w:rFonts w:asciiTheme="minorHAnsi" w:hAnsiTheme="minorHAnsi" w:cstheme="minorHAnsi"/>
        </w:rPr>
        <w:t xml:space="preserve">přínosy (benefity), které vyjadřují jakékoli pozitivní efekty, </w:t>
      </w:r>
    </w:p>
    <w:p w14:paraId="1F31F920" w14:textId="77777777" w:rsidR="0085238F" w:rsidRPr="00117DBA" w:rsidRDefault="0085238F" w:rsidP="0065698B">
      <w:pPr>
        <w:numPr>
          <w:ilvl w:val="1"/>
          <w:numId w:val="29"/>
        </w:numPr>
        <w:shd w:val="clear" w:color="auto" w:fill="FFFFFF" w:themeFill="background1"/>
        <w:ind w:left="851" w:hanging="426"/>
        <w:jc w:val="both"/>
        <w:rPr>
          <w:rFonts w:asciiTheme="minorHAnsi" w:hAnsiTheme="minorHAnsi" w:cstheme="minorHAnsi"/>
        </w:rPr>
      </w:pPr>
      <w:r>
        <w:rPr>
          <w:rFonts w:asciiTheme="minorHAnsi" w:hAnsiTheme="minorHAnsi" w:cstheme="minorHAnsi"/>
        </w:rPr>
        <w:t>s náklady (újmami), které</w:t>
      </w:r>
      <w:r w:rsidRPr="00117DBA">
        <w:rPr>
          <w:rFonts w:asciiTheme="minorHAnsi" w:hAnsiTheme="minorHAnsi" w:cstheme="minorHAnsi"/>
        </w:rPr>
        <w:t xml:space="preserve"> jsou zachyceny jako negativní efekty investice</w:t>
      </w:r>
      <w:r>
        <w:rPr>
          <w:rFonts w:asciiTheme="minorHAnsi" w:hAnsiTheme="minorHAnsi" w:cstheme="minorHAnsi"/>
        </w:rPr>
        <w:t>.</w:t>
      </w:r>
    </w:p>
    <w:p w14:paraId="5B2EF3E0" w14:textId="64896B13" w:rsidR="0085238F" w:rsidRPr="00117DBA" w:rsidRDefault="0085238F" w:rsidP="0065698B">
      <w:pPr>
        <w:numPr>
          <w:ilvl w:val="0"/>
          <w:numId w:val="29"/>
        </w:numPr>
        <w:ind w:left="360"/>
        <w:jc w:val="both"/>
        <w:rPr>
          <w:rFonts w:asciiTheme="minorHAnsi" w:hAnsiTheme="minorHAnsi" w:cstheme="minorHAnsi"/>
        </w:rPr>
      </w:pPr>
      <w:r w:rsidRPr="008418EE">
        <w:rPr>
          <w:rFonts w:asciiTheme="minorHAnsi" w:hAnsiTheme="minorHAnsi" w:cstheme="minorHAnsi"/>
          <w:b/>
        </w:rPr>
        <w:t>analýza efektivnosti nákladů</w:t>
      </w:r>
      <w:r w:rsidRPr="00117DBA">
        <w:rPr>
          <w:rFonts w:asciiTheme="minorHAnsi" w:hAnsiTheme="minorHAnsi" w:cstheme="minorHAnsi"/>
        </w:rPr>
        <w:t xml:space="preserve"> – analýza CEA (Cost-effectiveness Analysis); používá se zejména v těch případech, kdy je ocenění přínosů pomocí analýzy CBA obtížné.</w:t>
      </w:r>
    </w:p>
    <w:p w14:paraId="334EBB82" w14:textId="77777777" w:rsidR="0085238F" w:rsidRPr="00117DBA" w:rsidRDefault="0085238F" w:rsidP="0065698B">
      <w:pPr>
        <w:numPr>
          <w:ilvl w:val="0"/>
          <w:numId w:val="29"/>
        </w:numPr>
        <w:spacing w:after="120"/>
        <w:ind w:left="357" w:hanging="357"/>
        <w:jc w:val="both"/>
        <w:rPr>
          <w:rFonts w:asciiTheme="minorHAnsi" w:hAnsiTheme="minorHAnsi" w:cstheme="minorHAnsi"/>
        </w:rPr>
      </w:pPr>
      <w:r w:rsidRPr="008418EE">
        <w:rPr>
          <w:rFonts w:asciiTheme="minorHAnsi" w:hAnsiTheme="minorHAnsi" w:cstheme="minorHAnsi"/>
          <w:b/>
        </w:rPr>
        <w:t>analýza nákladů a užitku</w:t>
      </w:r>
      <w:r w:rsidRPr="00117DBA">
        <w:rPr>
          <w:rFonts w:asciiTheme="minorHAnsi" w:hAnsiTheme="minorHAnsi" w:cstheme="minorHAnsi"/>
        </w:rPr>
        <w:t xml:space="preserve"> – analýza CUA (Cost-utility Analysis); jde o variantu analýzy nákladů a přínosů, která vznikla ve vazbě na ekonomickou analýzu zdraví.</w:t>
      </w:r>
    </w:p>
    <w:p w14:paraId="6E7C299D" w14:textId="3F5E54EE" w:rsidR="0085238F" w:rsidRPr="00117DBA" w:rsidRDefault="009D1EC7" w:rsidP="0085238F">
      <w:pPr>
        <w:spacing w:after="120"/>
        <w:jc w:val="both"/>
        <w:rPr>
          <w:rFonts w:asciiTheme="minorHAnsi" w:hAnsiTheme="minorHAnsi" w:cstheme="minorHAnsi"/>
        </w:rPr>
      </w:pPr>
      <w:r>
        <w:rPr>
          <w:rFonts w:asciiTheme="minorHAnsi" w:hAnsiTheme="minorHAnsi" w:cstheme="minorHAnsi"/>
        </w:rPr>
        <w:t>Vybrané údaje uvádí n</w:t>
      </w:r>
      <w:r w:rsidR="0085238F" w:rsidRPr="00117DBA">
        <w:rPr>
          <w:rFonts w:asciiTheme="minorHAnsi" w:hAnsiTheme="minorHAnsi" w:cstheme="minorHAnsi"/>
        </w:rPr>
        <w:t>ásledující tabulka.</w:t>
      </w:r>
    </w:p>
    <w:p w14:paraId="2C555F80" w14:textId="16BFB1CA" w:rsidR="0085238F" w:rsidRPr="000828C6" w:rsidRDefault="0085238F" w:rsidP="0085238F">
      <w:pPr>
        <w:rPr>
          <w:rFonts w:asciiTheme="minorHAnsi" w:hAnsiTheme="minorHAnsi" w:cstheme="minorHAnsi"/>
          <w:i/>
          <w:iCs/>
        </w:rPr>
      </w:pPr>
      <w:r w:rsidRPr="000828C6">
        <w:rPr>
          <w:rFonts w:asciiTheme="minorHAnsi" w:hAnsiTheme="minorHAnsi" w:cstheme="minorHAnsi"/>
          <w:i/>
          <w:iCs/>
        </w:rPr>
        <w:lastRenderedPageBreak/>
        <w:t xml:space="preserve">Tab. </w:t>
      </w:r>
      <w:r w:rsidR="00C14739">
        <w:rPr>
          <w:rFonts w:asciiTheme="minorHAnsi" w:hAnsiTheme="minorHAnsi" w:cstheme="minorHAnsi"/>
          <w:i/>
          <w:iCs/>
        </w:rPr>
        <w:t>11</w:t>
      </w:r>
      <w:r w:rsidRPr="000828C6">
        <w:rPr>
          <w:rFonts w:asciiTheme="minorHAnsi" w:hAnsiTheme="minorHAnsi" w:cstheme="minorHAnsi"/>
          <w:i/>
          <w:iCs/>
        </w:rPr>
        <w:t xml:space="preserve"> Nákladově výstupové metody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1299"/>
        <w:gridCol w:w="1383"/>
        <w:gridCol w:w="1572"/>
        <w:gridCol w:w="2019"/>
        <w:gridCol w:w="1935"/>
      </w:tblGrid>
      <w:tr w:rsidR="0085238F" w:rsidRPr="007334FE" w14:paraId="62D11CD6" w14:textId="77777777" w:rsidTr="000240EA">
        <w:tc>
          <w:tcPr>
            <w:tcW w:w="0" w:type="auto"/>
            <w:shd w:val="clear" w:color="auto" w:fill="E7E6E6"/>
            <w:vAlign w:val="center"/>
          </w:tcPr>
          <w:p w14:paraId="623D87E4"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Metoda</w:t>
            </w:r>
          </w:p>
        </w:tc>
        <w:tc>
          <w:tcPr>
            <w:tcW w:w="0" w:type="auto"/>
            <w:shd w:val="clear" w:color="auto" w:fill="E7E6E6"/>
            <w:vAlign w:val="center"/>
          </w:tcPr>
          <w:p w14:paraId="6D932039"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Název</w:t>
            </w:r>
          </w:p>
        </w:tc>
        <w:tc>
          <w:tcPr>
            <w:tcW w:w="0" w:type="auto"/>
            <w:shd w:val="clear" w:color="auto" w:fill="E7E6E6"/>
            <w:vAlign w:val="center"/>
          </w:tcPr>
          <w:p w14:paraId="40482836"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Forma měření výstupu</w:t>
            </w:r>
          </w:p>
        </w:tc>
        <w:tc>
          <w:tcPr>
            <w:tcW w:w="0" w:type="auto"/>
            <w:shd w:val="clear" w:color="auto" w:fill="E7E6E6"/>
            <w:vAlign w:val="center"/>
          </w:tcPr>
          <w:p w14:paraId="2B3B830C"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Předpoklady pro použití</w:t>
            </w:r>
          </w:p>
        </w:tc>
        <w:tc>
          <w:tcPr>
            <w:tcW w:w="0" w:type="auto"/>
            <w:shd w:val="clear" w:color="auto" w:fill="E7E6E6"/>
            <w:vAlign w:val="center"/>
          </w:tcPr>
          <w:p w14:paraId="251F3EA0"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Základní princip</w:t>
            </w:r>
          </w:p>
        </w:tc>
        <w:tc>
          <w:tcPr>
            <w:tcW w:w="0" w:type="auto"/>
            <w:shd w:val="clear" w:color="auto" w:fill="E7E6E6"/>
            <w:vAlign w:val="center"/>
          </w:tcPr>
          <w:p w14:paraId="3AB23CBE"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Obory použití</w:t>
            </w:r>
          </w:p>
        </w:tc>
      </w:tr>
      <w:tr w:rsidR="0085238F" w:rsidRPr="007334FE" w14:paraId="6676AB9C" w14:textId="77777777" w:rsidTr="000240EA">
        <w:tc>
          <w:tcPr>
            <w:tcW w:w="0" w:type="auto"/>
            <w:shd w:val="clear" w:color="auto" w:fill="E7E6E6"/>
            <w:vAlign w:val="center"/>
          </w:tcPr>
          <w:p w14:paraId="0B4C3974" w14:textId="77777777" w:rsidR="0085238F" w:rsidRPr="007334FE" w:rsidRDefault="0085238F" w:rsidP="000240EA">
            <w:pPr>
              <w:spacing w:line="216" w:lineRule="auto"/>
              <w:ind w:left="-57" w:right="-57"/>
              <w:rPr>
                <w:rFonts w:asciiTheme="minorHAnsi" w:hAnsiTheme="minorHAnsi"/>
                <w:b/>
                <w:sz w:val="20"/>
              </w:rPr>
            </w:pPr>
            <w:r w:rsidRPr="007334FE">
              <w:rPr>
                <w:rFonts w:asciiTheme="minorHAnsi" w:hAnsiTheme="minorHAnsi"/>
                <w:b/>
                <w:sz w:val="20"/>
              </w:rPr>
              <w:t>CMA</w:t>
            </w:r>
          </w:p>
        </w:tc>
        <w:tc>
          <w:tcPr>
            <w:tcW w:w="0" w:type="auto"/>
            <w:shd w:val="clear" w:color="auto" w:fill="E7E6E6"/>
            <w:vAlign w:val="center"/>
          </w:tcPr>
          <w:p w14:paraId="0644C659"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analýza minimalizace nákladů</w:t>
            </w:r>
          </w:p>
        </w:tc>
        <w:tc>
          <w:tcPr>
            <w:tcW w:w="0" w:type="auto"/>
            <w:shd w:val="clear" w:color="auto" w:fill="auto"/>
            <w:vAlign w:val="center"/>
          </w:tcPr>
          <w:p w14:paraId="177A0872"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neměří se</w:t>
            </w:r>
          </w:p>
        </w:tc>
        <w:tc>
          <w:tcPr>
            <w:tcW w:w="0" w:type="auto"/>
            <w:shd w:val="clear" w:color="auto" w:fill="auto"/>
            <w:vAlign w:val="center"/>
          </w:tcPr>
          <w:p w14:paraId="3FA2B529" w14:textId="77777777" w:rsidR="0085238F" w:rsidRPr="007334FE" w:rsidRDefault="0085238F" w:rsidP="000240EA">
            <w:pPr>
              <w:spacing w:line="216" w:lineRule="auto"/>
              <w:ind w:left="-57" w:right="-57"/>
              <w:rPr>
                <w:rFonts w:asciiTheme="minorHAnsi" w:hAnsiTheme="minorHAnsi"/>
                <w:sz w:val="20"/>
              </w:rPr>
            </w:pPr>
            <w:r>
              <w:rPr>
                <w:rFonts w:asciiTheme="minorHAnsi" w:hAnsiTheme="minorHAnsi"/>
                <w:sz w:val="20"/>
              </w:rPr>
              <w:t xml:space="preserve">shodnost výstupů nebo výsledků </w:t>
            </w:r>
          </w:p>
        </w:tc>
        <w:tc>
          <w:tcPr>
            <w:tcW w:w="0" w:type="auto"/>
            <w:shd w:val="clear" w:color="auto" w:fill="auto"/>
            <w:vAlign w:val="center"/>
          </w:tcPr>
          <w:p w14:paraId="600CC520"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poměřování celkových nákladů záměru </w:t>
            </w:r>
          </w:p>
        </w:tc>
        <w:tc>
          <w:tcPr>
            <w:tcW w:w="0" w:type="auto"/>
            <w:shd w:val="clear" w:color="auto" w:fill="auto"/>
            <w:vAlign w:val="center"/>
          </w:tcPr>
          <w:p w14:paraId="64F357A8"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činnosti s přesně definovaným předmětem zakázky </w:t>
            </w:r>
          </w:p>
        </w:tc>
      </w:tr>
      <w:tr w:rsidR="0085238F" w:rsidRPr="007334FE" w14:paraId="2C07FD04" w14:textId="77777777" w:rsidTr="000240EA">
        <w:tc>
          <w:tcPr>
            <w:tcW w:w="0" w:type="auto"/>
            <w:shd w:val="clear" w:color="auto" w:fill="E7E6E6"/>
            <w:vAlign w:val="center"/>
          </w:tcPr>
          <w:p w14:paraId="71A268DE" w14:textId="77777777" w:rsidR="0085238F" w:rsidRPr="007334FE" w:rsidRDefault="0085238F" w:rsidP="000240EA">
            <w:pPr>
              <w:spacing w:line="216" w:lineRule="auto"/>
              <w:ind w:left="-57" w:right="-57"/>
              <w:rPr>
                <w:rFonts w:asciiTheme="minorHAnsi" w:hAnsiTheme="minorHAnsi"/>
                <w:b/>
                <w:sz w:val="20"/>
              </w:rPr>
            </w:pPr>
            <w:r w:rsidRPr="007334FE">
              <w:rPr>
                <w:rFonts w:asciiTheme="minorHAnsi" w:hAnsiTheme="minorHAnsi"/>
                <w:b/>
                <w:sz w:val="20"/>
              </w:rPr>
              <w:t>CBA</w:t>
            </w:r>
          </w:p>
        </w:tc>
        <w:tc>
          <w:tcPr>
            <w:tcW w:w="0" w:type="auto"/>
            <w:shd w:val="clear" w:color="auto" w:fill="E7E6E6"/>
            <w:vAlign w:val="center"/>
          </w:tcPr>
          <w:p w14:paraId="7E9E0DBF"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analýza nákladů a přínosů</w:t>
            </w:r>
          </w:p>
        </w:tc>
        <w:tc>
          <w:tcPr>
            <w:tcW w:w="0" w:type="auto"/>
            <w:shd w:val="clear" w:color="auto" w:fill="auto"/>
            <w:vAlign w:val="center"/>
          </w:tcPr>
          <w:p w14:paraId="10825765"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peněžní jednotky</w:t>
            </w:r>
          </w:p>
        </w:tc>
        <w:tc>
          <w:tcPr>
            <w:tcW w:w="0" w:type="auto"/>
            <w:shd w:val="clear" w:color="auto" w:fill="auto"/>
            <w:vAlign w:val="center"/>
          </w:tcPr>
          <w:p w14:paraId="735F6CAB"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možnost peněžního ocenění jednotlivých nákladů a výnosů (přínosů) </w:t>
            </w:r>
          </w:p>
        </w:tc>
        <w:tc>
          <w:tcPr>
            <w:tcW w:w="0" w:type="auto"/>
            <w:shd w:val="clear" w:color="auto" w:fill="auto"/>
            <w:vAlign w:val="center"/>
          </w:tcPr>
          <w:p w14:paraId="2ED8D80E"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přiřazení vah jednotlivým nákladům a výnosům formou jejich peněžního oceněni, zohlednění časového aspektu, zahrnutí všech dotčených skupin do hodnocení </w:t>
            </w:r>
          </w:p>
        </w:tc>
        <w:tc>
          <w:tcPr>
            <w:tcW w:w="0" w:type="auto"/>
            <w:shd w:val="clear" w:color="auto" w:fill="auto"/>
            <w:vAlign w:val="center"/>
          </w:tcPr>
          <w:p w14:paraId="4FE55558"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technická, komunální a dopravní infrastruktura, cestovní ruch, rozvojové záměry (např. výstavba průmyslových zón), průmyslové (industriální) záměry  </w:t>
            </w:r>
          </w:p>
        </w:tc>
      </w:tr>
      <w:tr w:rsidR="0085238F" w:rsidRPr="007334FE" w14:paraId="366D75B4" w14:textId="77777777" w:rsidTr="000240EA">
        <w:tc>
          <w:tcPr>
            <w:tcW w:w="0" w:type="auto"/>
            <w:shd w:val="clear" w:color="auto" w:fill="E7E6E6"/>
            <w:vAlign w:val="center"/>
          </w:tcPr>
          <w:p w14:paraId="49825972" w14:textId="77777777" w:rsidR="0085238F" w:rsidRPr="007334FE" w:rsidRDefault="0085238F" w:rsidP="000240EA">
            <w:pPr>
              <w:spacing w:line="216" w:lineRule="auto"/>
              <w:ind w:left="-57" w:right="-57"/>
              <w:rPr>
                <w:rFonts w:asciiTheme="minorHAnsi" w:hAnsiTheme="minorHAnsi"/>
                <w:b/>
                <w:sz w:val="20"/>
              </w:rPr>
            </w:pPr>
            <w:r w:rsidRPr="007334FE">
              <w:rPr>
                <w:rFonts w:asciiTheme="minorHAnsi" w:hAnsiTheme="minorHAnsi"/>
                <w:b/>
                <w:sz w:val="20"/>
              </w:rPr>
              <w:t>CEA</w:t>
            </w:r>
          </w:p>
        </w:tc>
        <w:tc>
          <w:tcPr>
            <w:tcW w:w="0" w:type="auto"/>
            <w:shd w:val="clear" w:color="auto" w:fill="E7E6E6"/>
            <w:vAlign w:val="center"/>
          </w:tcPr>
          <w:p w14:paraId="28AE3FD6"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analýza efektivnosti nákladů</w:t>
            </w:r>
          </w:p>
        </w:tc>
        <w:tc>
          <w:tcPr>
            <w:tcW w:w="0" w:type="auto"/>
            <w:shd w:val="clear" w:color="auto" w:fill="auto"/>
            <w:vAlign w:val="center"/>
          </w:tcPr>
          <w:p w14:paraId="3FD3AAEA"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počet výstupových jednotek z realizované jednotky nákladů</w:t>
            </w:r>
          </w:p>
        </w:tc>
        <w:tc>
          <w:tcPr>
            <w:tcW w:w="0" w:type="auto"/>
            <w:shd w:val="clear" w:color="auto" w:fill="auto"/>
            <w:vAlign w:val="center"/>
          </w:tcPr>
          <w:p w14:paraId="3650B95C"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srovnatelnost toku výstupů nebo výsledků (lze definovat ve stejných jednotkách) </w:t>
            </w:r>
          </w:p>
        </w:tc>
        <w:tc>
          <w:tcPr>
            <w:tcW w:w="0" w:type="auto"/>
            <w:shd w:val="clear" w:color="auto" w:fill="auto"/>
            <w:vAlign w:val="center"/>
          </w:tcPr>
          <w:p w14:paraId="51E3DCE8"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výpočet měrných nákladů na jednotku výstupu, resp. podíl výstupu na jednotku nákladů, zohledňuje pouze kvantitativní rozměr </w:t>
            </w:r>
          </w:p>
        </w:tc>
        <w:tc>
          <w:tcPr>
            <w:tcW w:w="0" w:type="auto"/>
            <w:shd w:val="clear" w:color="auto" w:fill="auto"/>
            <w:vAlign w:val="center"/>
          </w:tcPr>
          <w:p w14:paraId="2D9E8BFF"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školství (počet žáků, počet odučených hodin), dopravní infrastruktura (počet přepravených osob, t/km v nákladní dopravě) apod. </w:t>
            </w:r>
          </w:p>
        </w:tc>
      </w:tr>
      <w:tr w:rsidR="0085238F" w:rsidRPr="007334FE" w14:paraId="04990593" w14:textId="77777777" w:rsidTr="000240EA">
        <w:tc>
          <w:tcPr>
            <w:tcW w:w="0" w:type="auto"/>
            <w:shd w:val="clear" w:color="auto" w:fill="E7E6E6"/>
            <w:vAlign w:val="center"/>
          </w:tcPr>
          <w:p w14:paraId="2049397C" w14:textId="77777777" w:rsidR="0085238F" w:rsidRPr="007334FE" w:rsidRDefault="0085238F" w:rsidP="000240EA">
            <w:pPr>
              <w:spacing w:line="216" w:lineRule="auto"/>
              <w:ind w:left="-57" w:right="-57"/>
              <w:rPr>
                <w:rFonts w:asciiTheme="minorHAnsi" w:hAnsiTheme="minorHAnsi"/>
                <w:b/>
                <w:sz w:val="20"/>
              </w:rPr>
            </w:pPr>
            <w:r w:rsidRPr="007334FE">
              <w:rPr>
                <w:rFonts w:asciiTheme="minorHAnsi" w:hAnsiTheme="minorHAnsi"/>
                <w:b/>
                <w:sz w:val="20"/>
              </w:rPr>
              <w:t>CUA</w:t>
            </w:r>
          </w:p>
        </w:tc>
        <w:tc>
          <w:tcPr>
            <w:tcW w:w="0" w:type="auto"/>
            <w:shd w:val="clear" w:color="auto" w:fill="E7E6E6"/>
            <w:vAlign w:val="center"/>
          </w:tcPr>
          <w:p w14:paraId="342EFB47"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analýza nákladů a užitku</w:t>
            </w:r>
          </w:p>
        </w:tc>
        <w:tc>
          <w:tcPr>
            <w:tcW w:w="0" w:type="auto"/>
            <w:shd w:val="clear" w:color="auto" w:fill="auto"/>
            <w:vAlign w:val="center"/>
          </w:tcPr>
          <w:p w14:paraId="096A933C"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užitek plynoucí z projektu</w:t>
            </w:r>
          </w:p>
        </w:tc>
        <w:tc>
          <w:tcPr>
            <w:tcW w:w="0" w:type="auto"/>
            <w:shd w:val="clear" w:color="auto" w:fill="auto"/>
            <w:vAlign w:val="center"/>
          </w:tcPr>
          <w:p w14:paraId="589F205D"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nutnost zohlednit kvalitu výstupů, možnost přiřadit váhy </w:t>
            </w:r>
          </w:p>
        </w:tc>
        <w:tc>
          <w:tcPr>
            <w:tcW w:w="0" w:type="auto"/>
            <w:shd w:val="clear" w:color="auto" w:fill="auto"/>
            <w:vAlign w:val="center"/>
          </w:tcPr>
          <w:p w14:paraId="6BA97922"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výpočet měrných nákladů na jednotku užitečnosti (kombinace kvantitativního a kvalitativního rozměru) </w:t>
            </w:r>
          </w:p>
        </w:tc>
        <w:tc>
          <w:tcPr>
            <w:tcW w:w="0" w:type="auto"/>
            <w:shd w:val="clear" w:color="auto" w:fill="auto"/>
            <w:vAlign w:val="center"/>
          </w:tcPr>
          <w:p w14:paraId="5F98F606" w14:textId="77777777" w:rsidR="0085238F" w:rsidRPr="007334FE" w:rsidRDefault="0085238F" w:rsidP="000240EA">
            <w:pPr>
              <w:spacing w:line="216" w:lineRule="auto"/>
              <w:ind w:left="-57" w:right="-57"/>
              <w:rPr>
                <w:rFonts w:asciiTheme="minorHAnsi" w:hAnsiTheme="minorHAnsi"/>
                <w:sz w:val="20"/>
              </w:rPr>
            </w:pPr>
            <w:r w:rsidRPr="007334FE">
              <w:rPr>
                <w:rFonts w:asciiTheme="minorHAnsi" w:hAnsiTheme="minorHAnsi"/>
                <w:sz w:val="20"/>
              </w:rPr>
              <w:t xml:space="preserve">šetření spokojenosti ve vazbě na veřejné projekty </w:t>
            </w:r>
          </w:p>
          <w:p w14:paraId="0A233AF2" w14:textId="77777777" w:rsidR="0085238F" w:rsidRPr="007334FE" w:rsidRDefault="0085238F" w:rsidP="000240EA">
            <w:pPr>
              <w:spacing w:line="216" w:lineRule="auto"/>
              <w:ind w:left="-57" w:right="-57"/>
              <w:rPr>
                <w:rFonts w:asciiTheme="minorHAnsi" w:hAnsiTheme="minorHAnsi"/>
                <w:sz w:val="20"/>
              </w:rPr>
            </w:pPr>
          </w:p>
        </w:tc>
      </w:tr>
    </w:tbl>
    <w:p w14:paraId="51857DC9" w14:textId="5A327076" w:rsidR="009D1EC7" w:rsidRDefault="0085238F" w:rsidP="009A72AF">
      <w:pPr>
        <w:spacing w:after="120"/>
        <w:rPr>
          <w:rFonts w:asciiTheme="minorHAnsi" w:hAnsiTheme="minorHAnsi" w:cstheme="minorHAnsi"/>
          <w:i/>
          <w:iCs/>
        </w:rPr>
      </w:pPr>
      <w:r w:rsidRPr="000828C6">
        <w:rPr>
          <w:rFonts w:asciiTheme="minorHAnsi" w:hAnsiTheme="minorHAnsi" w:cstheme="minorHAnsi"/>
          <w:i/>
          <w:iCs/>
        </w:rPr>
        <w:t xml:space="preserve">Zdroj: </w:t>
      </w:r>
      <w:r w:rsidR="005A2BFA" w:rsidRPr="000828C6">
        <w:rPr>
          <w:rFonts w:asciiTheme="minorHAnsi" w:hAnsiTheme="minorHAnsi" w:cstheme="minorHAnsi"/>
          <w:i/>
          <w:iCs/>
        </w:rPr>
        <w:t>autoři</w:t>
      </w:r>
      <w:r w:rsidRPr="000828C6">
        <w:rPr>
          <w:rFonts w:asciiTheme="minorHAnsi" w:hAnsiTheme="minorHAnsi" w:cstheme="minorHAnsi"/>
          <w:i/>
          <w:iCs/>
        </w:rPr>
        <w:t xml:space="preserve"> dle Ochrana, 2004; Město Valašské Meziříčí</w:t>
      </w:r>
    </w:p>
    <w:p w14:paraId="5C114C30" w14:textId="77777777" w:rsidR="0052240C" w:rsidRPr="0052240C" w:rsidRDefault="0052240C" w:rsidP="009A72AF">
      <w:pPr>
        <w:spacing w:after="120"/>
        <w:rPr>
          <w:rFonts w:asciiTheme="minorHAnsi" w:hAnsiTheme="minorHAnsi" w:cstheme="minorHAnsi"/>
          <w:iCs/>
        </w:rPr>
      </w:pPr>
    </w:p>
    <w:p w14:paraId="7351E3DE" w14:textId="77777777" w:rsidR="00B65A0D" w:rsidRPr="0052240C" w:rsidRDefault="00B65A0D" w:rsidP="00B65A0D">
      <w:pPr>
        <w:pStyle w:val="Nadpis2"/>
        <w:spacing w:before="240" w:after="120"/>
        <w:ind w:left="578" w:hanging="578"/>
        <w:rPr>
          <w:rFonts w:ascii="Calibri" w:hAnsi="Calibri"/>
          <w:color w:val="7493B0"/>
          <w:sz w:val="24"/>
          <w:szCs w:val="24"/>
          <w:lang w:val="cs-CZ"/>
        </w:rPr>
      </w:pPr>
      <w:bookmarkStart w:id="32" w:name="_Toc114912170"/>
      <w:bookmarkStart w:id="33" w:name="_Toc117269998"/>
      <w:r w:rsidRPr="0052240C">
        <w:rPr>
          <w:rFonts w:ascii="Calibri" w:hAnsi="Calibri"/>
          <w:color w:val="7493B0"/>
          <w:sz w:val="24"/>
          <w:szCs w:val="24"/>
          <w:lang w:val="cs-CZ"/>
        </w:rPr>
        <w:t>Analýzy k návratnosti investice</w:t>
      </w:r>
      <w:bookmarkEnd w:id="32"/>
      <w:bookmarkEnd w:id="33"/>
    </w:p>
    <w:p w14:paraId="279FC166" w14:textId="77777777" w:rsidR="00B65A0D" w:rsidRPr="00B65A0D" w:rsidRDefault="00B65A0D" w:rsidP="00B65A0D">
      <w:pPr>
        <w:pStyle w:val="A1-text"/>
        <w:spacing w:after="120"/>
        <w:rPr>
          <w:rFonts w:asciiTheme="minorHAnsi" w:hAnsiTheme="minorHAnsi" w:cstheme="minorHAnsi"/>
          <w:lang w:val="cs-CZ"/>
        </w:rPr>
      </w:pPr>
      <w:r w:rsidRPr="00B65A0D">
        <w:rPr>
          <w:rFonts w:asciiTheme="minorHAnsi" w:hAnsiTheme="minorHAnsi" w:cstheme="minorHAnsi"/>
          <w:lang w:val="cs-CZ"/>
        </w:rPr>
        <w:t>Většina investic ve veřejném sektoru nemá žádnou návratnost, respektive tyto investice mají významné přínosy, které je možné vypočítat například pomocí CBA analýzy (viz předchozí kapitola), ale nevedou k žádným tržbám nebo úsporám. U některých investic je však možné návratnost analyzovat – typickým příkladem může být situace, kdy obec zatepluje školu nebo jinou budovu, modernizuje veřejné osvětlení a podobně. Návratnost je možné počítat z úspor.</w:t>
      </w:r>
    </w:p>
    <w:p w14:paraId="36CB225F" w14:textId="77777777" w:rsidR="00B65A0D" w:rsidRPr="00B65A0D" w:rsidRDefault="00B65A0D" w:rsidP="00B65A0D">
      <w:pPr>
        <w:pStyle w:val="A1-text"/>
        <w:spacing w:after="120"/>
        <w:rPr>
          <w:rFonts w:asciiTheme="minorHAnsi" w:hAnsiTheme="minorHAnsi" w:cstheme="minorHAnsi"/>
          <w:lang w:val="cs-CZ"/>
        </w:rPr>
      </w:pPr>
      <w:r w:rsidRPr="00B65A0D">
        <w:rPr>
          <w:rFonts w:asciiTheme="minorHAnsi" w:hAnsiTheme="minorHAnsi" w:cstheme="minorHAnsi"/>
          <w:lang w:val="cs-CZ"/>
        </w:rPr>
        <w:t>Metody návratnosti neboli rentability patří k nejstarším způsobům měření ekonomických efektů, přičemž se zjišťuje návratnost vložených prostředků za celou dobu projektu. Pokud se posuzuje delší období či složitější projekt, lze dobu, po kterou je rentabilita projektu sledována, rozdělit na kratší časové úseky a ty posuzovat každý zvlášť. Ze zjištěných hodnot dílčích rentabilit pak můžeme získat průměrnou rentabilitu za sledované období projektu.</w:t>
      </w:r>
    </w:p>
    <w:p w14:paraId="29F278D2" w14:textId="2E395BB8" w:rsidR="00B65A0D" w:rsidRPr="00B65A0D" w:rsidRDefault="00B65A0D" w:rsidP="00B65A0D">
      <w:pPr>
        <w:pStyle w:val="A1-text"/>
        <w:spacing w:after="120"/>
        <w:rPr>
          <w:rFonts w:asciiTheme="minorHAnsi" w:hAnsiTheme="minorHAnsi" w:cstheme="minorHAnsi"/>
          <w:lang w:val="cs-CZ"/>
        </w:rPr>
      </w:pPr>
      <w:r w:rsidRPr="00B65A0D">
        <w:rPr>
          <w:rFonts w:asciiTheme="minorHAnsi" w:hAnsiTheme="minorHAnsi" w:cstheme="minorHAnsi"/>
          <w:b/>
          <w:lang w:val="cs-CZ"/>
        </w:rPr>
        <w:t>Návratnost investic</w:t>
      </w:r>
      <w:r w:rsidRPr="00B65A0D">
        <w:rPr>
          <w:rFonts w:asciiTheme="minorHAnsi" w:hAnsiTheme="minorHAnsi" w:cstheme="minorHAnsi"/>
          <w:lang w:val="cs-CZ"/>
        </w:rPr>
        <w:t xml:space="preserve"> (ROI, Return On Investment) lze vypočítat dle vztahu (Soukupová, 2006):</w:t>
      </w:r>
    </w:p>
    <w:p w14:paraId="5611CFC1" w14:textId="77777777" w:rsidR="00B65A0D" w:rsidRPr="00B65A0D" w:rsidRDefault="00B65A0D" w:rsidP="00B65A0D">
      <w:pPr>
        <w:pStyle w:val="A1-text"/>
        <w:spacing w:after="120"/>
        <w:jc w:val="right"/>
        <w:rPr>
          <w:rFonts w:asciiTheme="minorHAnsi" w:hAnsiTheme="minorHAnsi" w:cstheme="minorHAnsi"/>
          <w:lang w:val="cs-CZ"/>
        </w:rPr>
      </w:pPr>
      <m:oMath>
        <m:r>
          <w:rPr>
            <w:rFonts w:ascii="Cambria Math" w:hAnsi="Cambria Math" w:cstheme="minorHAnsi"/>
            <w:lang w:val="cs-CZ"/>
          </w:rPr>
          <m:t xml:space="preserve">ROI= </m:t>
        </m:r>
        <m:f>
          <m:fPr>
            <m:ctrlPr>
              <w:rPr>
                <w:rFonts w:ascii="Cambria Math" w:hAnsi="Cambria Math" w:cstheme="minorHAnsi"/>
                <w:i/>
                <w:lang w:val="cs-CZ"/>
              </w:rPr>
            </m:ctrlPr>
          </m:fPr>
          <m:num>
            <m:r>
              <w:rPr>
                <w:rFonts w:ascii="Cambria Math" w:hAnsi="Cambria Math" w:cstheme="minorHAnsi"/>
                <w:lang w:val="cs-CZ"/>
              </w:rPr>
              <m:t>Zisk</m:t>
            </m:r>
          </m:num>
          <m:den>
            <m:r>
              <w:rPr>
                <w:rFonts w:ascii="Cambria Math" w:hAnsi="Cambria Math" w:cstheme="minorHAnsi"/>
                <w:lang w:val="cs-CZ"/>
              </w:rPr>
              <m:t>I</m:t>
            </m:r>
          </m:den>
        </m:f>
        <m:r>
          <w:rPr>
            <w:rFonts w:ascii="Cambria Math" w:hAnsi="Cambria Math" w:cstheme="minorHAnsi"/>
            <w:lang w:val="cs-CZ"/>
          </w:rPr>
          <m:t xml:space="preserve">= </m:t>
        </m:r>
        <m:f>
          <m:fPr>
            <m:ctrlPr>
              <w:rPr>
                <w:rFonts w:ascii="Cambria Math" w:hAnsi="Cambria Math" w:cstheme="minorHAnsi"/>
                <w:i/>
                <w:lang w:val="cs-CZ"/>
              </w:rPr>
            </m:ctrlPr>
          </m:fPr>
          <m:num>
            <m:nary>
              <m:naryPr>
                <m:chr m:val="∑"/>
                <m:limLoc m:val="undOvr"/>
                <m:ctrlPr>
                  <w:rPr>
                    <w:rFonts w:ascii="Cambria Math" w:hAnsi="Cambria Math" w:cstheme="minorHAnsi"/>
                    <w:i/>
                    <w:lang w:val="cs-CZ"/>
                  </w:rPr>
                </m:ctrlPr>
              </m:naryPr>
              <m:sub>
                <m:r>
                  <w:rPr>
                    <w:rFonts w:ascii="Cambria Math" w:hAnsi="Cambria Math" w:cstheme="minorHAnsi"/>
                    <w:lang w:val="cs-CZ"/>
                  </w:rPr>
                  <m:t>t=1</m:t>
                </m:r>
              </m:sub>
              <m:sup>
                <m:r>
                  <w:rPr>
                    <w:rFonts w:ascii="Cambria Math" w:hAnsi="Cambria Math" w:cstheme="minorHAnsi"/>
                    <w:lang w:val="cs-CZ"/>
                  </w:rPr>
                  <m:t>n</m:t>
                </m:r>
              </m:sup>
              <m:e>
                <m:sSub>
                  <m:sSubPr>
                    <m:ctrlPr>
                      <w:rPr>
                        <w:rFonts w:ascii="Cambria Math" w:hAnsi="Cambria Math" w:cstheme="minorHAnsi"/>
                        <w:i/>
                        <w:lang w:val="cs-CZ"/>
                      </w:rPr>
                    </m:ctrlPr>
                  </m:sSubPr>
                  <m:e>
                    <m:r>
                      <w:rPr>
                        <w:rFonts w:ascii="Cambria Math" w:hAnsi="Cambria Math" w:cstheme="minorHAnsi"/>
                        <w:lang w:val="cs-CZ"/>
                      </w:rPr>
                      <m:t>CF</m:t>
                    </m:r>
                  </m:e>
                  <m:sub>
                    <m:r>
                      <w:rPr>
                        <w:rFonts w:ascii="Cambria Math" w:hAnsi="Cambria Math" w:cstheme="minorHAnsi"/>
                        <w:lang w:val="cs-CZ"/>
                      </w:rPr>
                      <m:t>t</m:t>
                    </m:r>
                  </m:sub>
                </m:sSub>
              </m:e>
            </m:nary>
          </m:num>
          <m:den>
            <m:r>
              <w:rPr>
                <w:rFonts w:ascii="Cambria Math" w:hAnsi="Cambria Math" w:cstheme="minorHAnsi"/>
                <w:lang w:val="cs-CZ"/>
              </w:rPr>
              <m:t>I</m:t>
            </m:r>
          </m:den>
        </m:f>
      </m:oMath>
      <w:r w:rsidRPr="00B65A0D">
        <w:rPr>
          <w:rFonts w:asciiTheme="minorHAnsi" w:hAnsiTheme="minorHAnsi" w:cstheme="minorHAnsi"/>
          <w:lang w:val="cs-CZ"/>
        </w:rPr>
        <w:t xml:space="preserve">                                                                     (1)</w:t>
      </w:r>
    </w:p>
    <w:p w14:paraId="568D2445" w14:textId="409211BB" w:rsidR="00B65A0D" w:rsidRDefault="00B65A0D" w:rsidP="00B65A0D">
      <w:pPr>
        <w:spacing w:after="120"/>
        <w:jc w:val="both"/>
        <w:rPr>
          <w:rFonts w:asciiTheme="minorHAnsi" w:hAnsiTheme="minorHAnsi" w:cstheme="minorHAnsi"/>
          <w:lang w:eastAsia="x-none"/>
        </w:rPr>
      </w:pPr>
      <w:r w:rsidRPr="00B65A0D">
        <w:rPr>
          <w:rFonts w:asciiTheme="minorHAnsi" w:hAnsiTheme="minorHAnsi" w:cstheme="minorHAnsi"/>
          <w:lang w:eastAsia="x-none"/>
        </w:rPr>
        <w:lastRenderedPageBreak/>
        <w:t>Kde ROI je výnosnost projektu, I je velikost investičních výdajů, Zisk je zisk (respektive ve veřejném sektoru může jít o racionální úsporu), CF je roční Cash Flow, t je časové období od 1 do n, n je životnost projektu. Investiční projekt je možné považovat za přijatelný, pokud je splněno kritérium, že je výsledná rentabilita projektu kladná.</w:t>
      </w:r>
    </w:p>
    <w:p w14:paraId="3EBF067B" w14:textId="6858F622" w:rsidR="00B65A0D" w:rsidRPr="00B65A0D" w:rsidRDefault="00B65A0D" w:rsidP="00B65A0D">
      <w:pPr>
        <w:spacing w:after="120"/>
        <w:jc w:val="both"/>
        <w:rPr>
          <w:rFonts w:asciiTheme="minorHAnsi" w:hAnsiTheme="minorHAnsi" w:cstheme="minorHAnsi"/>
          <w:lang w:eastAsia="x-none"/>
        </w:rPr>
      </w:pPr>
      <w:r>
        <w:rPr>
          <w:rFonts w:asciiTheme="minorHAnsi" w:hAnsiTheme="minorHAnsi" w:cstheme="minorHAnsi"/>
          <w:lang w:eastAsia="x-none"/>
        </w:rPr>
        <w:t xml:space="preserve">Běžně se v praxi používá </w:t>
      </w:r>
      <w:r w:rsidR="00E07ED6">
        <w:rPr>
          <w:rFonts w:asciiTheme="minorHAnsi" w:hAnsiTheme="minorHAnsi" w:cstheme="minorHAnsi"/>
          <w:lang w:eastAsia="x-none"/>
        </w:rPr>
        <w:t xml:space="preserve">spíše </w:t>
      </w:r>
      <w:r w:rsidRPr="00B65A0D">
        <w:rPr>
          <w:rFonts w:asciiTheme="minorHAnsi" w:hAnsiTheme="minorHAnsi" w:cstheme="minorHAnsi"/>
          <w:lang w:eastAsia="x-none"/>
        </w:rPr>
        <w:t>výpočet</w:t>
      </w:r>
      <w:r w:rsidRPr="00B65A0D">
        <w:rPr>
          <w:rFonts w:asciiTheme="minorHAnsi" w:hAnsiTheme="minorHAnsi" w:cstheme="minorHAnsi"/>
          <w:b/>
          <w:lang w:eastAsia="x-none"/>
        </w:rPr>
        <w:t xml:space="preserve"> prosté doby návratnosti</w:t>
      </w:r>
      <w:r>
        <w:rPr>
          <w:rFonts w:asciiTheme="minorHAnsi" w:hAnsiTheme="minorHAnsi" w:cstheme="minorHAnsi"/>
          <w:b/>
          <w:lang w:eastAsia="x-none"/>
        </w:rPr>
        <w:t xml:space="preserve"> investice. </w:t>
      </w:r>
      <w:r w:rsidRPr="00B65A0D">
        <w:rPr>
          <w:rFonts w:asciiTheme="minorHAnsi" w:hAnsiTheme="minorHAnsi" w:cstheme="minorHAnsi"/>
          <w:lang w:eastAsia="x-none"/>
        </w:rPr>
        <w:t>Ta se počítá jako podíl investice a ročních úspor nákladů (případně zisku).</w:t>
      </w:r>
      <w:r w:rsidR="00E07ED6">
        <w:rPr>
          <w:rFonts w:asciiTheme="minorHAnsi" w:hAnsiTheme="minorHAnsi" w:cstheme="minorHAnsi"/>
          <w:lang w:eastAsia="x-none"/>
        </w:rPr>
        <w:t xml:space="preserve"> </w:t>
      </w:r>
    </w:p>
    <w:p w14:paraId="1126168F" w14:textId="48DA245A" w:rsidR="00E07ED6" w:rsidRDefault="00E07ED6" w:rsidP="00E07ED6">
      <w:pPr>
        <w:spacing w:after="120"/>
        <w:jc w:val="right"/>
        <w:rPr>
          <w:rFonts w:asciiTheme="minorHAnsi" w:hAnsiTheme="minorHAnsi" w:cstheme="minorHAnsi"/>
          <w:lang w:eastAsia="x-none"/>
        </w:rPr>
      </w:pPr>
      <w:r w:rsidRPr="00E07ED6">
        <w:rPr>
          <w:rFonts w:asciiTheme="minorHAnsi" w:hAnsiTheme="minorHAnsi" w:cstheme="minorHAnsi"/>
          <w:i/>
          <w:lang w:eastAsia="x-none"/>
        </w:rPr>
        <w:t xml:space="preserve">T = </w:t>
      </w:r>
      <w:r w:rsidR="001B3968" w:rsidRPr="00E07ED6">
        <w:rPr>
          <w:rFonts w:asciiTheme="minorHAnsi" w:hAnsiTheme="minorHAnsi" w:cstheme="minorHAnsi"/>
          <w:i/>
          <w:lang w:eastAsia="x-none"/>
        </w:rPr>
        <w:t xml:space="preserve">I </w:t>
      </w:r>
      <w:r w:rsidRPr="00E07ED6">
        <w:rPr>
          <w:rFonts w:asciiTheme="minorHAnsi" w:hAnsiTheme="minorHAnsi" w:cstheme="minorHAnsi"/>
          <w:i/>
          <w:lang w:eastAsia="x-none"/>
        </w:rPr>
        <w:t>/</w:t>
      </w:r>
      <w:r w:rsidR="001B3968">
        <w:rPr>
          <w:rFonts w:asciiTheme="minorHAnsi" w:hAnsiTheme="minorHAnsi" w:cstheme="minorHAnsi"/>
          <w:i/>
          <w:lang w:eastAsia="x-none"/>
        </w:rPr>
        <w:t xml:space="preserve"> </w:t>
      </w:r>
      <w:bookmarkStart w:id="34" w:name="_GoBack"/>
      <w:bookmarkEnd w:id="34"/>
      <w:r w:rsidRPr="00E07ED6">
        <w:rPr>
          <w:rFonts w:asciiTheme="minorHAnsi" w:hAnsiTheme="minorHAnsi" w:cstheme="minorHAnsi"/>
          <w:i/>
          <w:lang w:eastAsia="x-none"/>
        </w:rPr>
        <w:t xml:space="preserve"> </w:t>
      </w:r>
      <w:r w:rsidR="001B3968" w:rsidRPr="00E07ED6">
        <w:rPr>
          <w:rFonts w:asciiTheme="minorHAnsi" w:hAnsiTheme="minorHAnsi" w:cstheme="minorHAnsi"/>
          <w:i/>
          <w:lang w:eastAsia="x-none"/>
        </w:rPr>
        <w:t>CF</w:t>
      </w:r>
      <w:r w:rsidRPr="00E07ED6">
        <w:rPr>
          <w:rFonts w:asciiTheme="minorHAnsi" w:hAnsiTheme="minorHAnsi" w:cstheme="minorHAnsi"/>
          <w:i/>
          <w:lang w:eastAsia="x-none"/>
        </w:rPr>
        <w:t xml:space="preserve">                                                                           </w:t>
      </w:r>
      <w:r>
        <w:rPr>
          <w:rFonts w:asciiTheme="minorHAnsi" w:hAnsiTheme="minorHAnsi" w:cstheme="minorHAnsi"/>
          <w:lang w:eastAsia="x-none"/>
        </w:rPr>
        <w:t>(2)</w:t>
      </w:r>
    </w:p>
    <w:p w14:paraId="5C750992" w14:textId="536DD4A3" w:rsidR="00B65A0D" w:rsidRPr="00E07ED6" w:rsidRDefault="00E07ED6" w:rsidP="00E07ED6">
      <w:pPr>
        <w:spacing w:after="120"/>
        <w:jc w:val="both"/>
        <w:rPr>
          <w:rFonts w:asciiTheme="minorHAnsi" w:hAnsiTheme="minorHAnsi" w:cstheme="minorHAnsi"/>
          <w:lang w:eastAsia="x-none"/>
        </w:rPr>
      </w:pPr>
      <w:r w:rsidRPr="00E07ED6">
        <w:rPr>
          <w:rFonts w:asciiTheme="minorHAnsi" w:hAnsiTheme="minorHAnsi" w:cstheme="minorHAnsi"/>
          <w:lang w:eastAsia="x-none"/>
        </w:rPr>
        <w:t>kde T je prostá doba návratnosti, CF je roční úspora nákladů</w:t>
      </w:r>
      <w:r w:rsidR="00F015A7">
        <w:rPr>
          <w:rFonts w:asciiTheme="minorHAnsi" w:hAnsiTheme="minorHAnsi" w:cstheme="minorHAnsi"/>
          <w:lang w:eastAsia="x-none"/>
        </w:rPr>
        <w:t xml:space="preserve"> nebo navýšení výnosů</w:t>
      </w:r>
      <w:r w:rsidRPr="00E07ED6">
        <w:rPr>
          <w:rFonts w:asciiTheme="minorHAnsi" w:hAnsiTheme="minorHAnsi" w:cstheme="minorHAnsi"/>
          <w:lang w:eastAsia="x-none"/>
        </w:rPr>
        <w:t>, I je velikost investičních nákladů.</w:t>
      </w:r>
    </w:p>
    <w:p w14:paraId="3E5AEDDA" w14:textId="33BB41DD" w:rsidR="0052240C" w:rsidRDefault="0052240C" w:rsidP="0052240C">
      <w:pPr>
        <w:spacing w:after="120"/>
        <w:jc w:val="both"/>
        <w:rPr>
          <w:rFonts w:asciiTheme="minorHAnsi" w:hAnsiTheme="minorHAnsi" w:cstheme="minorHAnsi"/>
          <w:lang w:eastAsia="x-none"/>
        </w:rPr>
      </w:pPr>
      <w:r>
        <w:rPr>
          <w:rFonts w:asciiTheme="minorHAnsi" w:hAnsiTheme="minorHAnsi" w:cstheme="minorHAnsi"/>
          <w:lang w:eastAsia="x-none"/>
        </w:rPr>
        <w:t>Prostá doba</w:t>
      </w:r>
      <w:r w:rsidRPr="004601FF">
        <w:rPr>
          <w:rFonts w:asciiTheme="minorHAnsi" w:hAnsiTheme="minorHAnsi" w:cstheme="minorHAnsi"/>
          <w:lang w:eastAsia="x-none"/>
        </w:rPr>
        <w:t xml:space="preserve"> návratnosti investice</w:t>
      </w:r>
      <w:r>
        <w:rPr>
          <w:rFonts w:asciiTheme="minorHAnsi" w:hAnsiTheme="minorHAnsi" w:cstheme="minorHAnsi"/>
          <w:lang w:eastAsia="x-none"/>
        </w:rPr>
        <w:t xml:space="preserve"> je nejjednodušší možnost</w:t>
      </w:r>
      <w:r w:rsidRPr="004601FF">
        <w:rPr>
          <w:rFonts w:asciiTheme="minorHAnsi" w:hAnsiTheme="minorHAnsi" w:cstheme="minorHAnsi"/>
          <w:lang w:eastAsia="x-none"/>
        </w:rPr>
        <w:t>, ale lépe je pracovat s </w:t>
      </w:r>
      <w:r w:rsidRPr="0052240C">
        <w:rPr>
          <w:rFonts w:asciiTheme="minorHAnsi" w:hAnsiTheme="minorHAnsi" w:cstheme="minorHAnsi"/>
          <w:b/>
          <w:lang w:eastAsia="x-none"/>
        </w:rPr>
        <w:t>diskontovanou dobou návratnosti</w:t>
      </w:r>
      <w:r w:rsidRPr="004601FF">
        <w:rPr>
          <w:rFonts w:asciiTheme="minorHAnsi" w:hAnsiTheme="minorHAnsi" w:cstheme="minorHAnsi"/>
          <w:lang w:eastAsia="x-none"/>
        </w:rPr>
        <w:t xml:space="preserve"> investice nebo</w:t>
      </w:r>
      <w:r>
        <w:rPr>
          <w:rFonts w:asciiTheme="minorHAnsi" w:hAnsiTheme="minorHAnsi" w:cstheme="minorHAnsi"/>
          <w:lang w:eastAsia="x-none"/>
        </w:rPr>
        <w:t xml:space="preserve"> investici hodnotit </w:t>
      </w:r>
      <w:r w:rsidRPr="0052240C">
        <w:rPr>
          <w:rFonts w:asciiTheme="minorHAnsi" w:hAnsiTheme="minorHAnsi" w:cstheme="minorHAnsi"/>
          <w:b/>
          <w:lang w:eastAsia="x-none"/>
        </w:rPr>
        <w:t>pomocí čisté současné hodnoty</w:t>
      </w:r>
      <w:r w:rsidRPr="004601FF">
        <w:rPr>
          <w:rFonts w:asciiTheme="minorHAnsi" w:hAnsiTheme="minorHAnsi" w:cstheme="minorHAnsi"/>
          <w:lang w:eastAsia="x-none"/>
        </w:rPr>
        <w:t xml:space="preserve"> (NPV)</w:t>
      </w:r>
      <w:r>
        <w:rPr>
          <w:rStyle w:val="Znakapoznpodarou"/>
          <w:rFonts w:asciiTheme="minorHAnsi" w:hAnsiTheme="minorHAnsi" w:cstheme="minorHAnsi"/>
          <w:lang w:eastAsia="x-none"/>
        </w:rPr>
        <w:footnoteReference w:id="35"/>
      </w:r>
      <w:r w:rsidRPr="004601FF">
        <w:rPr>
          <w:rFonts w:asciiTheme="minorHAnsi" w:hAnsiTheme="minorHAnsi" w:cstheme="minorHAnsi"/>
          <w:lang w:eastAsia="x-none"/>
        </w:rPr>
        <w:t xml:space="preserve">. </w:t>
      </w:r>
    </w:p>
    <w:p w14:paraId="391404C5" w14:textId="77777777" w:rsidR="0052240C" w:rsidRDefault="0052240C" w:rsidP="0052240C">
      <w:pPr>
        <w:pStyle w:val="Textpoznpodarou"/>
        <w:jc w:val="both"/>
        <w:rPr>
          <w:rFonts w:asciiTheme="minorHAnsi" w:hAnsiTheme="minorHAnsi" w:cstheme="minorHAnsi"/>
        </w:rPr>
      </w:pPr>
    </w:p>
    <w:p w14:paraId="20CA7C15" w14:textId="4456E15C" w:rsidR="009D1EC7" w:rsidRPr="009D1EC7" w:rsidRDefault="009D1EC7" w:rsidP="009D1EC7">
      <w:pPr>
        <w:pStyle w:val="Nadpis2"/>
        <w:spacing w:before="240" w:after="120"/>
        <w:ind w:left="578" w:hanging="578"/>
        <w:rPr>
          <w:rFonts w:asciiTheme="minorHAnsi" w:hAnsiTheme="minorHAnsi" w:cstheme="minorHAnsi"/>
          <w:color w:val="7493B0"/>
          <w:sz w:val="24"/>
          <w:szCs w:val="24"/>
          <w:lang w:val="cs-CZ"/>
        </w:rPr>
      </w:pPr>
      <w:bookmarkStart w:id="35" w:name="_Toc117269999"/>
      <w:r w:rsidRPr="009D1EC7">
        <w:rPr>
          <w:rFonts w:asciiTheme="minorHAnsi" w:hAnsiTheme="minorHAnsi" w:cstheme="minorHAnsi"/>
          <w:color w:val="7493B0"/>
          <w:sz w:val="24"/>
          <w:szCs w:val="24"/>
          <w:lang w:val="cs-CZ"/>
        </w:rPr>
        <w:t>Analýza rizik, prověřování 3E a další možnosti</w:t>
      </w:r>
      <w:bookmarkEnd w:id="35"/>
    </w:p>
    <w:p w14:paraId="5ED00EC7" w14:textId="1ED58784" w:rsidR="00C75503" w:rsidRDefault="00C75503" w:rsidP="009D1EC7">
      <w:pPr>
        <w:jc w:val="both"/>
        <w:rPr>
          <w:rFonts w:asciiTheme="minorHAnsi" w:hAnsiTheme="minorHAnsi" w:cstheme="minorHAnsi"/>
        </w:rPr>
      </w:pPr>
      <w:r>
        <w:rPr>
          <w:rFonts w:asciiTheme="minorHAnsi" w:hAnsiTheme="minorHAnsi" w:cstheme="minorHAnsi"/>
        </w:rPr>
        <w:t xml:space="preserve">K finančním analýzám je možné zahrnout také </w:t>
      </w:r>
      <w:r w:rsidRPr="00031D00">
        <w:rPr>
          <w:rFonts w:asciiTheme="minorHAnsi" w:hAnsiTheme="minorHAnsi" w:cstheme="minorHAnsi"/>
          <w:b/>
        </w:rPr>
        <w:t>analýzu rizik a prověřování 3E</w:t>
      </w:r>
      <w:r>
        <w:rPr>
          <w:rFonts w:asciiTheme="minorHAnsi" w:hAnsiTheme="minorHAnsi" w:cstheme="minorHAnsi"/>
        </w:rPr>
        <w:t>. Analýzy rizik se v rámci strategické práce používají nejen při přípravě nebo změně strategického dokumentu, při přípravě a realizaci důležitých projektů, ale také při v rámci předběžné finanční kontroly při každém výdaji, který je nutný realizovat v rámci strategické práce. U každého výdaje je též nutné prověřit kritéria 3E. Problematika analýzy rizik je popsána v kapitole 3, stejně tak problematika prověřování 3E. K řízení rizik a využívání příležitostí je  zpracován samostatný nástroj</w:t>
      </w:r>
      <w:r>
        <w:rPr>
          <w:rStyle w:val="Znakapoznpodarou"/>
          <w:rFonts w:asciiTheme="minorHAnsi" w:hAnsiTheme="minorHAnsi" w:cstheme="minorHAnsi"/>
        </w:rPr>
        <w:footnoteReference w:id="36"/>
      </w:r>
      <w:r>
        <w:rPr>
          <w:rFonts w:asciiTheme="minorHAnsi" w:hAnsiTheme="minorHAnsi" w:cstheme="minorHAnsi"/>
        </w:rPr>
        <w:t xml:space="preserve">. V kapitole 10 jsou  příklady prověření 3E a také příklad postupu v rámci předběžné kontroly. </w:t>
      </w:r>
    </w:p>
    <w:p w14:paraId="6B475CCC" w14:textId="0F3CF25C" w:rsidR="00C75503" w:rsidRDefault="00C75503" w:rsidP="009D1EC7">
      <w:pPr>
        <w:jc w:val="both"/>
        <w:rPr>
          <w:rFonts w:asciiTheme="minorHAnsi" w:hAnsiTheme="minorHAnsi" w:cstheme="minorHAnsi"/>
        </w:rPr>
      </w:pPr>
    </w:p>
    <w:p w14:paraId="20D26B2D" w14:textId="780B9858" w:rsidR="00733A31" w:rsidRDefault="009D1EC7" w:rsidP="009D1EC7">
      <w:pPr>
        <w:jc w:val="both"/>
        <w:rPr>
          <w:rFonts w:asciiTheme="minorHAnsi" w:hAnsiTheme="minorHAnsi" w:cstheme="minorHAnsi"/>
        </w:rPr>
      </w:pPr>
      <w:r>
        <w:rPr>
          <w:rFonts w:asciiTheme="minorHAnsi" w:hAnsiTheme="minorHAnsi" w:cstheme="minorHAnsi"/>
        </w:rPr>
        <w:t xml:space="preserve">K finančním analýzám je  možné přiřadit další metody, které hodnotí výdaje nebo příjmy, respektive hospodaření dané instituce. Například některé procesní, výkonové nebo personální </w:t>
      </w:r>
      <w:r w:rsidRPr="00031D00">
        <w:rPr>
          <w:rFonts w:asciiTheme="minorHAnsi" w:hAnsiTheme="minorHAnsi" w:cstheme="minorHAnsi"/>
          <w:b/>
        </w:rPr>
        <w:t>audity</w:t>
      </w:r>
      <w:r>
        <w:rPr>
          <w:rFonts w:asciiTheme="minorHAnsi" w:hAnsiTheme="minorHAnsi" w:cstheme="minorHAnsi"/>
        </w:rPr>
        <w:t xml:space="preserve"> se na optimalizaci hospodaření zaměřují.</w:t>
      </w:r>
      <w:r w:rsidR="00AD0EB3">
        <w:rPr>
          <w:rFonts w:asciiTheme="minorHAnsi" w:hAnsiTheme="minorHAnsi" w:cstheme="minorHAnsi"/>
        </w:rPr>
        <w:t xml:space="preserve"> Řada metod se též věnuje faktoru </w:t>
      </w:r>
      <w:r w:rsidR="00AD0EB3">
        <w:rPr>
          <w:rFonts w:asciiTheme="minorHAnsi" w:hAnsiTheme="minorHAnsi" w:cstheme="minorHAnsi"/>
        </w:rPr>
        <w:lastRenderedPageBreak/>
        <w:t>času</w:t>
      </w:r>
      <w:r w:rsidR="00AD0EB3">
        <w:rPr>
          <w:rStyle w:val="Znakapoznpodarou"/>
          <w:rFonts w:asciiTheme="minorHAnsi" w:hAnsiTheme="minorHAnsi" w:cstheme="minorHAnsi"/>
        </w:rPr>
        <w:footnoteReference w:id="37"/>
      </w:r>
      <w:r w:rsidR="00AD0EB3">
        <w:rPr>
          <w:rFonts w:asciiTheme="minorHAnsi" w:hAnsiTheme="minorHAnsi" w:cstheme="minorHAnsi"/>
        </w:rPr>
        <w:t>. Je třeba brát v úvahu, že časov</w:t>
      </w:r>
      <w:r w:rsidR="00BF59B2">
        <w:rPr>
          <w:rFonts w:asciiTheme="minorHAnsi" w:hAnsiTheme="minorHAnsi" w:cstheme="minorHAnsi"/>
        </w:rPr>
        <w:t>á</w:t>
      </w:r>
      <w:r w:rsidR="00AD0EB3">
        <w:rPr>
          <w:rFonts w:asciiTheme="minorHAnsi" w:hAnsiTheme="minorHAnsi" w:cstheme="minorHAnsi"/>
        </w:rPr>
        <w:t xml:space="preserve"> náročnost práce, která má být provedena, má na náklady významný vliv. Časová náročnost je dána rozsahem a kvalitou.</w:t>
      </w:r>
    </w:p>
    <w:p w14:paraId="097B26AE" w14:textId="7D9CF996" w:rsidR="00A22827" w:rsidRDefault="00A22827" w:rsidP="009D1EC7">
      <w:pPr>
        <w:jc w:val="both"/>
        <w:rPr>
          <w:rFonts w:asciiTheme="minorHAnsi" w:hAnsiTheme="minorHAnsi" w:cstheme="minorHAnsi"/>
          <w:color w:val="FF0000"/>
        </w:rPr>
      </w:pPr>
    </w:p>
    <w:p w14:paraId="0A1FEF06" w14:textId="7AC6B61A" w:rsidR="00FB2378" w:rsidRPr="00F67ABB" w:rsidRDefault="00FB2378" w:rsidP="009D1EC7">
      <w:pPr>
        <w:jc w:val="both"/>
        <w:rPr>
          <w:rFonts w:asciiTheme="minorHAnsi" w:hAnsiTheme="minorHAnsi" w:cstheme="minorHAnsi"/>
        </w:rPr>
      </w:pPr>
      <w:r w:rsidRPr="00E8329A">
        <w:rPr>
          <w:rFonts w:asciiTheme="minorHAnsi" w:hAnsiTheme="minorHAnsi" w:cstheme="minorHAnsi"/>
        </w:rPr>
        <w:t xml:space="preserve">V souvislosti s finančními analýzami projektů bývají často zmiňovány </w:t>
      </w:r>
      <w:r w:rsidRPr="00031D00">
        <w:rPr>
          <w:rFonts w:asciiTheme="minorHAnsi" w:hAnsiTheme="minorHAnsi" w:cstheme="minorHAnsi"/>
          <w:b/>
        </w:rPr>
        <w:t>tzv. kontingentní</w:t>
      </w:r>
      <w:r w:rsidRPr="00E8329A">
        <w:rPr>
          <w:rFonts w:asciiTheme="minorHAnsi" w:hAnsiTheme="minorHAnsi" w:cstheme="minorHAnsi"/>
        </w:rPr>
        <w:t xml:space="preserve"> </w:t>
      </w:r>
      <w:r w:rsidRPr="00031D00">
        <w:rPr>
          <w:rFonts w:asciiTheme="minorHAnsi" w:hAnsiTheme="minorHAnsi" w:cstheme="minorHAnsi"/>
          <w:b/>
        </w:rPr>
        <w:t>metody oceňování</w:t>
      </w:r>
      <w:r w:rsidRPr="00E8329A">
        <w:rPr>
          <w:rFonts w:asciiTheme="minorHAnsi" w:hAnsiTheme="minorHAnsi" w:cstheme="minorHAnsi"/>
        </w:rPr>
        <w:t>, které jsou zpravidla založeny na dotazníkových metodách, kdy dochází ke zjišťování preferencí uživatelů v rámci navrhovaných variant. Mezi tyto metody patří metody WTP (Willingness to Pay - ochota platit) a WTA (Willingness to Accept – ochota akceptovat)</w:t>
      </w:r>
      <w:r w:rsidR="00195F7D" w:rsidRPr="00E8329A">
        <w:rPr>
          <w:rFonts w:asciiTheme="minorHAnsi" w:hAnsiTheme="minorHAnsi" w:cstheme="minorHAnsi"/>
        </w:rPr>
        <w:t>. Dotazníkovým šetřením se vytváří simulovaný trh, na kterém dochází na základě odpovědí respondentů na otázky týkající se ochoty zaplatit za poskytnutý statek či službu (v případě metody WTP) či ochoty přijmout kompenzaci v případě neposkytnutí statku či služby (v případě metody WTA) ke stanovení hodnoty předmětného statku či služby. Metody jsou využívány zejména v případě projektů s obtížně definovatelnou hodnotou výstupu.</w:t>
      </w:r>
    </w:p>
    <w:p w14:paraId="4C38305B" w14:textId="77777777" w:rsidR="00FB2378" w:rsidRDefault="00FB2378" w:rsidP="009D1EC7">
      <w:pPr>
        <w:jc w:val="both"/>
        <w:rPr>
          <w:rFonts w:asciiTheme="minorHAnsi" w:hAnsiTheme="minorHAnsi" w:cstheme="minorHAnsi"/>
          <w:color w:val="FF0000"/>
        </w:rPr>
      </w:pPr>
    </w:p>
    <w:p w14:paraId="25599DB7" w14:textId="337E3B13" w:rsidR="00DE36E4" w:rsidRPr="0030017E" w:rsidRDefault="00DE36E4" w:rsidP="009D1EC7">
      <w:pPr>
        <w:jc w:val="both"/>
        <w:rPr>
          <w:rFonts w:ascii="Calibri" w:hAnsi="Calibri"/>
          <w:b/>
          <w:bCs/>
          <w:color w:val="FF0000"/>
          <w:sz w:val="32"/>
          <w:szCs w:val="28"/>
        </w:rPr>
      </w:pPr>
      <w:r w:rsidRPr="0030017E">
        <w:rPr>
          <w:rFonts w:ascii="Calibri" w:hAnsi="Calibri"/>
          <w:color w:val="FF0000"/>
          <w:sz w:val="32"/>
        </w:rPr>
        <w:br w:type="page"/>
      </w:r>
    </w:p>
    <w:p w14:paraId="5E3E5ADD" w14:textId="0BC87C6A" w:rsidR="00F85B23" w:rsidRPr="00F85B23" w:rsidRDefault="009D2B4B" w:rsidP="00F85B23">
      <w:pPr>
        <w:pStyle w:val="Nadpis1"/>
        <w:spacing w:before="240" w:after="120"/>
        <w:ind w:left="431" w:hanging="431"/>
        <w:rPr>
          <w:rFonts w:ascii="Calibri" w:hAnsi="Calibri"/>
          <w:color w:val="7493B0"/>
          <w:sz w:val="32"/>
          <w:lang w:val="cs-CZ"/>
        </w:rPr>
      </w:pPr>
      <w:bookmarkStart w:id="36" w:name="_Toc117270000"/>
      <w:r>
        <w:rPr>
          <w:rFonts w:ascii="Calibri" w:hAnsi="Calibri"/>
          <w:color w:val="7493B0"/>
          <w:sz w:val="32"/>
          <w:lang w:val="cs-CZ"/>
        </w:rPr>
        <w:lastRenderedPageBreak/>
        <w:t>Strategická práce a d</w:t>
      </w:r>
      <w:r w:rsidR="00F85B23">
        <w:rPr>
          <w:rFonts w:ascii="Calibri" w:hAnsi="Calibri"/>
          <w:color w:val="7493B0"/>
          <w:sz w:val="32"/>
          <w:lang w:val="cs-CZ"/>
        </w:rPr>
        <w:t xml:space="preserve">ruhá </w:t>
      </w:r>
      <w:r w:rsidR="00F85B23" w:rsidRPr="00F85B23">
        <w:rPr>
          <w:rFonts w:ascii="Calibri" w:hAnsi="Calibri"/>
          <w:color w:val="7493B0"/>
          <w:sz w:val="32"/>
          <w:lang w:val="cs-CZ"/>
        </w:rPr>
        <w:t xml:space="preserve">fáze </w:t>
      </w:r>
      <w:r w:rsidR="00F85B23">
        <w:rPr>
          <w:rFonts w:ascii="Calibri" w:hAnsi="Calibri"/>
          <w:color w:val="7493B0"/>
          <w:sz w:val="32"/>
          <w:lang w:val="cs-CZ"/>
        </w:rPr>
        <w:t>rozpočtového procesu</w:t>
      </w:r>
      <w:r w:rsidR="00F85B23" w:rsidRPr="00F85B23">
        <w:rPr>
          <w:rFonts w:ascii="Calibri" w:hAnsi="Calibri"/>
          <w:color w:val="7493B0"/>
          <w:sz w:val="32"/>
          <w:lang w:val="cs-CZ"/>
        </w:rPr>
        <w:t xml:space="preserve">: </w:t>
      </w:r>
      <w:r w:rsidR="00056983">
        <w:rPr>
          <w:rFonts w:ascii="Calibri" w:hAnsi="Calibri"/>
          <w:color w:val="7493B0"/>
          <w:sz w:val="32"/>
          <w:lang w:val="cs-CZ"/>
        </w:rPr>
        <w:t xml:space="preserve">projednání a </w:t>
      </w:r>
      <w:r w:rsidR="00F85B23">
        <w:rPr>
          <w:rFonts w:ascii="Calibri" w:hAnsi="Calibri"/>
          <w:color w:val="7493B0"/>
          <w:sz w:val="32"/>
          <w:lang w:val="cs-CZ"/>
        </w:rPr>
        <w:t>schvalování</w:t>
      </w:r>
      <w:bookmarkEnd w:id="36"/>
    </w:p>
    <w:p w14:paraId="5A585820" w14:textId="6DE04EF0" w:rsidR="00B253EC" w:rsidRPr="008D26C2" w:rsidRDefault="004E793F" w:rsidP="00B253EC">
      <w:pPr>
        <w:pStyle w:val="A1-text"/>
        <w:spacing w:after="0"/>
        <w:rPr>
          <w:rFonts w:asciiTheme="minorHAnsi" w:hAnsiTheme="minorHAnsi" w:cstheme="minorHAnsi"/>
          <w:lang w:val="cs-CZ"/>
        </w:rPr>
      </w:pPr>
      <w:r w:rsidRPr="00E628CC">
        <w:rPr>
          <w:rFonts w:asciiTheme="minorHAnsi" w:hAnsiTheme="minorHAnsi" w:cstheme="minorHAnsi"/>
        </w:rPr>
        <w:t>Projednávání a schvalování rozpočtu je druhou fází rozpočtového procesu.</w:t>
      </w:r>
      <w:r w:rsidRPr="008D26C2">
        <w:rPr>
          <w:rFonts w:asciiTheme="minorHAnsi" w:hAnsiTheme="minorHAnsi" w:cstheme="minorHAnsi"/>
        </w:rPr>
        <w:t xml:space="preserve"> </w:t>
      </w:r>
      <w:r w:rsidR="008D26C2" w:rsidRPr="008D26C2">
        <w:rPr>
          <w:rFonts w:asciiTheme="minorHAnsi" w:hAnsiTheme="minorHAnsi" w:cstheme="minorHAnsi"/>
        </w:rPr>
        <w:t>P</w:t>
      </w:r>
      <w:r w:rsidR="008D26C2">
        <w:rPr>
          <w:rFonts w:asciiTheme="minorHAnsi" w:hAnsiTheme="minorHAnsi" w:cstheme="minorHAnsi"/>
        </w:rPr>
        <w:t xml:space="preserve">robíhá na podzim daného roku na rok následující. </w:t>
      </w:r>
      <w:r w:rsidR="008D26C2">
        <w:rPr>
          <w:rFonts w:asciiTheme="minorHAnsi" w:hAnsiTheme="minorHAnsi" w:cstheme="minorHAnsi"/>
          <w:lang w:val="cs-CZ"/>
        </w:rPr>
        <w:t>Státní rozpočet je projednáván a schvalován v souladu se zákonem č. 218/2000, územní rozpočty v souladu se zákonem č. 250/2000. Jak ukazuje následující obrázek, státní rozpočet schvaluje Poslanecká sněmovna, územní rozpočty (rozpočty obcí nebo krajů) vždy schvaluje zastupitelstvo.</w:t>
      </w:r>
    </w:p>
    <w:p w14:paraId="21529325" w14:textId="66D5077D" w:rsidR="00D459B5" w:rsidRDefault="00D459B5" w:rsidP="00D459B5">
      <w:pPr>
        <w:pStyle w:val="Zkladntext3"/>
        <w:spacing w:after="0" w:line="360" w:lineRule="auto"/>
        <w:jc w:val="both"/>
        <w:rPr>
          <w:rFonts w:asciiTheme="minorHAnsi" w:eastAsia="Calibri" w:hAnsiTheme="minorHAnsi" w:cstheme="minorHAnsi"/>
          <w:i/>
          <w:iCs/>
          <w:sz w:val="24"/>
          <w:szCs w:val="24"/>
        </w:rPr>
      </w:pPr>
      <w:r w:rsidRPr="006E498E">
        <w:rPr>
          <w:rFonts w:asciiTheme="minorHAnsi" w:eastAsia="Calibri" w:hAnsiTheme="minorHAnsi" w:cstheme="minorHAnsi"/>
          <w:i/>
          <w:iCs/>
          <w:sz w:val="24"/>
          <w:szCs w:val="24"/>
        </w:rPr>
        <w:t>Obr</w:t>
      </w:r>
      <w:r w:rsidR="00EA14C5">
        <w:rPr>
          <w:rFonts w:asciiTheme="minorHAnsi" w:eastAsia="Calibri" w:hAnsiTheme="minorHAnsi" w:cstheme="minorHAnsi"/>
          <w:i/>
          <w:iCs/>
          <w:sz w:val="24"/>
          <w:szCs w:val="24"/>
        </w:rPr>
        <w:t>. 1</w:t>
      </w:r>
      <w:r w:rsidR="00257449">
        <w:rPr>
          <w:rFonts w:asciiTheme="minorHAnsi" w:eastAsia="Calibri" w:hAnsiTheme="minorHAnsi" w:cstheme="minorHAnsi"/>
          <w:i/>
          <w:iCs/>
          <w:sz w:val="24"/>
          <w:szCs w:val="24"/>
        </w:rPr>
        <w:t>9</w:t>
      </w:r>
      <w:r w:rsidR="00EA14C5">
        <w:rPr>
          <w:rFonts w:asciiTheme="minorHAnsi" w:eastAsia="Calibri" w:hAnsiTheme="minorHAnsi" w:cstheme="minorHAnsi"/>
          <w:i/>
          <w:iCs/>
          <w:sz w:val="24"/>
          <w:szCs w:val="24"/>
        </w:rPr>
        <w:t xml:space="preserve"> </w:t>
      </w:r>
      <w:r w:rsidR="008D26C2">
        <w:rPr>
          <w:rFonts w:asciiTheme="minorHAnsi" w:eastAsia="Calibri" w:hAnsiTheme="minorHAnsi" w:cstheme="minorHAnsi"/>
          <w:i/>
          <w:iCs/>
          <w:sz w:val="24"/>
          <w:szCs w:val="24"/>
        </w:rPr>
        <w:t>Projednání a schvalování rozpočtu</w:t>
      </w:r>
    </w:p>
    <w:p w14:paraId="7802B4B1" w14:textId="2F9C43F1" w:rsidR="00D459B5" w:rsidRDefault="00BD65C8" w:rsidP="00D459B5">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mc:AlternateContent>
          <mc:Choice Requires="wpg">
            <w:drawing>
              <wp:anchor distT="0" distB="0" distL="114300" distR="114300" simplePos="0" relativeHeight="251544064" behindDoc="0" locked="0" layoutInCell="1" allowOverlap="1" wp14:anchorId="18E7489F" wp14:editId="5D9D2870">
                <wp:simplePos x="0" y="0"/>
                <wp:positionH relativeFrom="column">
                  <wp:posOffset>119743</wp:posOffset>
                </wp:positionH>
                <wp:positionV relativeFrom="paragraph">
                  <wp:posOffset>74114</wp:posOffset>
                </wp:positionV>
                <wp:extent cx="5495925" cy="1847850"/>
                <wp:effectExtent l="0" t="0" r="28575" b="19050"/>
                <wp:wrapNone/>
                <wp:docPr id="23665" name="Skupina 23665"/>
                <wp:cNvGraphicFramePr/>
                <a:graphic xmlns:a="http://schemas.openxmlformats.org/drawingml/2006/main">
                  <a:graphicData uri="http://schemas.microsoft.com/office/word/2010/wordprocessingGroup">
                    <wpg:wgp>
                      <wpg:cNvGrpSpPr/>
                      <wpg:grpSpPr>
                        <a:xfrm>
                          <a:off x="0" y="0"/>
                          <a:ext cx="5495925" cy="1847850"/>
                          <a:chOff x="0" y="-28575"/>
                          <a:chExt cx="5495925" cy="1847850"/>
                        </a:xfrm>
                      </wpg:grpSpPr>
                      <wps:wsp>
                        <wps:cNvPr id="23635" name="Textové pole 2"/>
                        <wps:cNvSpPr txBox="1">
                          <a:spLocks noChangeArrowheads="1"/>
                        </wps:cNvSpPr>
                        <wps:spPr bwMode="auto">
                          <a:xfrm>
                            <a:off x="1581150" y="0"/>
                            <a:ext cx="1436370" cy="810895"/>
                          </a:xfrm>
                          <a:prstGeom prst="rect">
                            <a:avLst/>
                          </a:prstGeom>
                          <a:solidFill>
                            <a:schemeClr val="bg1"/>
                          </a:solidFill>
                          <a:ln w="3175">
                            <a:solidFill>
                              <a:srgbClr val="0070C0"/>
                            </a:solidFill>
                            <a:prstDash val="solid"/>
                            <a:miter lim="800000"/>
                            <a:headEnd/>
                            <a:tailEnd/>
                          </a:ln>
                        </wps:spPr>
                        <wps:txbx>
                          <w:txbxContent>
                            <w:p w14:paraId="6BE55170" w14:textId="0BB1A33F" w:rsidR="00511D9B" w:rsidRPr="00D459B5" w:rsidRDefault="00511D9B" w:rsidP="00D459B5">
                              <w:pPr>
                                <w:spacing w:line="192" w:lineRule="auto"/>
                                <w:rPr>
                                  <w:rFonts w:asciiTheme="minorHAnsi" w:hAnsiTheme="minorHAnsi" w:cstheme="minorHAnsi"/>
                                  <w:b/>
                                  <w:szCs w:val="22"/>
                                </w:rPr>
                              </w:pPr>
                              <w:r w:rsidRPr="00D459B5">
                                <w:rPr>
                                  <w:rFonts w:asciiTheme="minorHAnsi" w:hAnsiTheme="minorHAnsi" w:cstheme="minorHAnsi"/>
                                  <w:b/>
                                  <w:szCs w:val="22"/>
                                </w:rPr>
                                <w:t>Státní rozpočet</w:t>
                              </w:r>
                            </w:p>
                            <w:p w14:paraId="38D05FB6" w14:textId="00FBA0AF" w:rsidR="00511D9B" w:rsidRPr="00D459B5" w:rsidRDefault="00511D9B" w:rsidP="00D459B5">
                              <w:pPr>
                                <w:spacing w:line="192" w:lineRule="auto"/>
                                <w:rPr>
                                  <w:rFonts w:asciiTheme="minorHAnsi" w:hAnsiTheme="minorHAnsi" w:cstheme="minorHAnsi"/>
                                  <w:sz w:val="22"/>
                                  <w:szCs w:val="22"/>
                                </w:rPr>
                              </w:pPr>
                              <w:r w:rsidRPr="00D459B5">
                                <w:rPr>
                                  <w:rFonts w:asciiTheme="minorHAnsi" w:hAnsiTheme="minorHAnsi"/>
                                  <w:sz w:val="22"/>
                                  <w:szCs w:val="22"/>
                                </w:rPr>
                                <w:t>(ministerstva, organizační složky státu, příspěvkové organizace atd.)</w:t>
                              </w:r>
                            </w:p>
                            <w:p w14:paraId="5772216F" w14:textId="77777777" w:rsidR="00511D9B" w:rsidRPr="00D459B5" w:rsidRDefault="00511D9B" w:rsidP="00D459B5">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23637" name="Textové pole 2"/>
                        <wps:cNvSpPr txBox="1">
                          <a:spLocks noChangeArrowheads="1"/>
                        </wps:cNvSpPr>
                        <wps:spPr bwMode="auto">
                          <a:xfrm>
                            <a:off x="0" y="548367"/>
                            <a:ext cx="1257300" cy="623208"/>
                          </a:xfrm>
                          <a:prstGeom prst="rect">
                            <a:avLst/>
                          </a:prstGeom>
                          <a:noFill/>
                          <a:ln w="3175">
                            <a:solidFill>
                              <a:srgbClr val="0070C0"/>
                            </a:solidFill>
                            <a:prstDash val="solid"/>
                            <a:miter lim="800000"/>
                            <a:headEnd/>
                            <a:tailEnd/>
                          </a:ln>
                        </wps:spPr>
                        <wps:txbx>
                          <w:txbxContent>
                            <w:p w14:paraId="6055047A" w14:textId="1082B873" w:rsidR="00511D9B" w:rsidRPr="002775DF" w:rsidRDefault="00511D9B" w:rsidP="00D459B5">
                              <w:pPr>
                                <w:spacing w:line="180" w:lineRule="auto"/>
                                <w:jc w:val="center"/>
                                <w:rPr>
                                  <w:rFonts w:asciiTheme="minorHAnsi" w:hAnsiTheme="minorHAnsi" w:cstheme="minorHAnsi"/>
                                  <w:b/>
                                  <w:sz w:val="28"/>
                                </w:rPr>
                              </w:pPr>
                              <w:r w:rsidRPr="002775DF">
                                <w:rPr>
                                  <w:rFonts w:asciiTheme="minorHAnsi" w:hAnsiTheme="minorHAnsi" w:cstheme="minorHAnsi"/>
                                  <w:b/>
                                  <w:sz w:val="28"/>
                                </w:rPr>
                                <w:t>Projednání a schvalování rozpočtu</w:t>
                              </w:r>
                            </w:p>
                            <w:p w14:paraId="3899B57B" w14:textId="77777777" w:rsidR="00511D9B" w:rsidRPr="00576CB4" w:rsidRDefault="00511D9B" w:rsidP="00D459B5">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642" name="Textové pole 2"/>
                        <wps:cNvSpPr txBox="1">
                          <a:spLocks noChangeArrowheads="1"/>
                        </wps:cNvSpPr>
                        <wps:spPr bwMode="auto">
                          <a:xfrm>
                            <a:off x="3409950" y="-28575"/>
                            <a:ext cx="2085975" cy="228600"/>
                          </a:xfrm>
                          <a:prstGeom prst="rect">
                            <a:avLst/>
                          </a:prstGeom>
                          <a:solidFill>
                            <a:schemeClr val="bg1"/>
                          </a:solidFill>
                          <a:ln w="3175">
                            <a:solidFill>
                              <a:srgbClr val="0070C0"/>
                            </a:solidFill>
                            <a:prstDash val="solid"/>
                            <a:miter lim="800000"/>
                            <a:headEnd/>
                            <a:tailEnd/>
                          </a:ln>
                        </wps:spPr>
                        <wps:txbx>
                          <w:txbxContent>
                            <w:p w14:paraId="796E13E6" w14:textId="53C459C3" w:rsidR="00511D9B" w:rsidRDefault="00511D9B" w:rsidP="00D459B5">
                              <w:pPr>
                                <w:spacing w:line="180" w:lineRule="auto"/>
                                <w:rPr>
                                  <w:rFonts w:asciiTheme="minorHAnsi" w:hAnsiTheme="minorHAnsi" w:cstheme="minorHAnsi"/>
                                  <w:sz w:val="20"/>
                                  <w:szCs w:val="20"/>
                                </w:rPr>
                              </w:pPr>
                              <w:r>
                                <w:rPr>
                                  <w:rFonts w:asciiTheme="minorHAnsi" w:hAnsiTheme="minorHAnsi" w:cstheme="minorHAnsi"/>
                                  <w:b/>
                                  <w:sz w:val="22"/>
                                  <w:szCs w:val="20"/>
                                </w:rPr>
                                <w:t xml:space="preserve">Schvaluje: Poslanecká sněmovna </w:t>
                              </w:r>
                            </w:p>
                            <w:p w14:paraId="0EFE6102" w14:textId="77777777" w:rsidR="00511D9B" w:rsidRPr="00576CB4" w:rsidRDefault="00511D9B" w:rsidP="00D459B5">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41" name="Zakřivená spojnice 23641"/>
                        <wps:cNvCnPr>
                          <a:stCxn id="23637" idx="3"/>
                          <a:endCxn id="23635" idx="1"/>
                        </wps:cNvCnPr>
                        <wps:spPr>
                          <a:xfrm flipV="1">
                            <a:off x="1257300" y="405448"/>
                            <a:ext cx="323850" cy="454523"/>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45" name="Textové pole 2"/>
                        <wps:cNvSpPr txBox="1">
                          <a:spLocks noChangeArrowheads="1"/>
                        </wps:cNvSpPr>
                        <wps:spPr bwMode="auto">
                          <a:xfrm>
                            <a:off x="3409950" y="428625"/>
                            <a:ext cx="2085975" cy="356870"/>
                          </a:xfrm>
                          <a:prstGeom prst="rect">
                            <a:avLst/>
                          </a:prstGeom>
                          <a:solidFill>
                            <a:schemeClr val="bg1"/>
                          </a:solidFill>
                          <a:ln w="3175">
                            <a:solidFill>
                              <a:srgbClr val="0070C0"/>
                            </a:solidFill>
                            <a:prstDash val="solid"/>
                            <a:miter lim="800000"/>
                            <a:headEnd/>
                            <a:tailEnd/>
                          </a:ln>
                        </wps:spPr>
                        <wps:txbx>
                          <w:txbxContent>
                            <w:p w14:paraId="5A4897FF" w14:textId="4F34C70A" w:rsidR="00511D9B" w:rsidRDefault="00511D9B" w:rsidP="00216BFB">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w:t>
                              </w:r>
                              <w:r>
                                <w:rPr>
                                  <w:rFonts w:asciiTheme="minorHAnsi" w:hAnsiTheme="minorHAnsi"/>
                                  <w:b/>
                                  <w:sz w:val="22"/>
                                  <w:szCs w:val="20"/>
                                </w:rPr>
                                <w:t>18</w:t>
                              </w:r>
                              <w:r w:rsidRPr="00D459B5">
                                <w:rPr>
                                  <w:rFonts w:asciiTheme="minorHAnsi" w:hAnsiTheme="minorHAnsi"/>
                                  <w:b/>
                                  <w:sz w:val="22"/>
                                  <w:szCs w:val="20"/>
                                </w:rPr>
                                <w:t>/2000</w:t>
                              </w:r>
                              <w:r w:rsidRPr="00D459B5">
                                <w:rPr>
                                  <w:rFonts w:asciiTheme="minorHAnsi" w:hAnsiTheme="minorHAnsi"/>
                                  <w:sz w:val="20"/>
                                  <w:szCs w:val="20"/>
                                </w:rPr>
                                <w:t xml:space="preserve">, </w:t>
                              </w:r>
                            </w:p>
                            <w:p w14:paraId="4D98BB75" w14:textId="7673F9F1" w:rsidR="00511D9B" w:rsidRPr="00216BFB" w:rsidRDefault="00511D9B" w:rsidP="00216BFB">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w:t>
                              </w:r>
                            </w:p>
                            <w:p w14:paraId="775C5802" w14:textId="77777777" w:rsidR="00511D9B" w:rsidRPr="00576CB4" w:rsidRDefault="00511D9B" w:rsidP="00216BFB">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47" name="Zakřivená spojnice 23647"/>
                        <wps:cNvCnPr>
                          <a:stCxn id="23635" idx="3"/>
                          <a:endCxn id="23642" idx="1"/>
                        </wps:cNvCnPr>
                        <wps:spPr>
                          <a:xfrm flipV="1">
                            <a:off x="3017520" y="85725"/>
                            <a:ext cx="392430" cy="31972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57" name="Zakřivená spojnice 23657"/>
                        <wps:cNvCnPr>
                          <a:stCxn id="23635" idx="3"/>
                          <a:endCxn id="23645" idx="1"/>
                        </wps:cNvCnPr>
                        <wps:spPr>
                          <a:xfrm>
                            <a:off x="3017520" y="405448"/>
                            <a:ext cx="392430" cy="201612"/>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40" name="Textové pole 2"/>
                        <wps:cNvSpPr txBox="1">
                          <a:spLocks noChangeArrowheads="1"/>
                        </wps:cNvSpPr>
                        <wps:spPr bwMode="auto">
                          <a:xfrm>
                            <a:off x="1581150" y="904875"/>
                            <a:ext cx="1436370" cy="828675"/>
                          </a:xfrm>
                          <a:prstGeom prst="rect">
                            <a:avLst/>
                          </a:prstGeom>
                          <a:solidFill>
                            <a:schemeClr val="bg1"/>
                          </a:solidFill>
                          <a:ln w="3175">
                            <a:solidFill>
                              <a:srgbClr val="0070C0"/>
                            </a:solidFill>
                            <a:prstDash val="solid"/>
                            <a:miter lim="800000"/>
                            <a:headEnd/>
                            <a:tailEnd/>
                          </a:ln>
                        </wps:spPr>
                        <wps:txbx>
                          <w:txbxContent>
                            <w:p w14:paraId="2564ED49" w14:textId="045CF21F" w:rsidR="00511D9B" w:rsidRPr="00D459B5" w:rsidRDefault="00511D9B" w:rsidP="00D459B5">
                              <w:pPr>
                                <w:spacing w:line="192" w:lineRule="auto"/>
                                <w:rPr>
                                  <w:rFonts w:asciiTheme="minorHAnsi" w:hAnsiTheme="minorHAnsi" w:cstheme="minorHAnsi"/>
                                  <w:sz w:val="20"/>
                                  <w:szCs w:val="20"/>
                                </w:rPr>
                              </w:pPr>
                              <w:r w:rsidRPr="00D459B5">
                                <w:rPr>
                                  <w:rFonts w:asciiTheme="minorHAnsi" w:hAnsiTheme="minorHAnsi" w:cstheme="minorHAnsi"/>
                                  <w:b/>
                                  <w:szCs w:val="20"/>
                                </w:rPr>
                                <w:t xml:space="preserve">Územní rozpočty </w:t>
                              </w:r>
                              <w:r w:rsidRPr="00D459B5">
                                <w:rPr>
                                  <w:rFonts w:asciiTheme="minorHAnsi" w:hAnsiTheme="minorHAnsi" w:cstheme="minorHAnsi"/>
                                  <w:sz w:val="22"/>
                                  <w:szCs w:val="20"/>
                                </w:rPr>
                                <w:t>(zejména obce, kraje, dobrovolné svazky obcí</w:t>
                              </w:r>
                              <w:r>
                                <w:rPr>
                                  <w:rFonts w:asciiTheme="minorHAnsi" w:hAnsiTheme="minorHAnsi" w:cstheme="minorHAnsi"/>
                                  <w:sz w:val="22"/>
                                  <w:szCs w:val="20"/>
                                </w:rPr>
                                <w:t>, jejich organizace</w:t>
                              </w:r>
                              <w:r w:rsidRPr="00D459B5">
                                <w:rPr>
                                  <w:rFonts w:asciiTheme="minorHAnsi" w:hAnsiTheme="minorHAnsi" w:cstheme="minorHAnsi"/>
                                  <w:sz w:val="22"/>
                                  <w:szCs w:val="20"/>
                                </w:rPr>
                                <w:t xml:space="preserve"> atd.)</w:t>
                              </w:r>
                            </w:p>
                            <w:p w14:paraId="2BEFBDBF" w14:textId="77777777" w:rsidR="00511D9B" w:rsidRPr="00576CB4" w:rsidRDefault="00511D9B" w:rsidP="00D459B5">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43" name="Textové pole 2"/>
                        <wps:cNvSpPr txBox="1">
                          <a:spLocks noChangeArrowheads="1"/>
                        </wps:cNvSpPr>
                        <wps:spPr bwMode="auto">
                          <a:xfrm>
                            <a:off x="3409950" y="876300"/>
                            <a:ext cx="2085975" cy="219075"/>
                          </a:xfrm>
                          <a:prstGeom prst="rect">
                            <a:avLst/>
                          </a:prstGeom>
                          <a:solidFill>
                            <a:schemeClr val="bg1"/>
                          </a:solidFill>
                          <a:ln w="3175">
                            <a:solidFill>
                              <a:srgbClr val="0070C0"/>
                            </a:solidFill>
                            <a:prstDash val="solid"/>
                            <a:miter lim="800000"/>
                            <a:headEnd/>
                            <a:tailEnd/>
                          </a:ln>
                        </wps:spPr>
                        <wps:txbx>
                          <w:txbxContent>
                            <w:p w14:paraId="13D44540" w14:textId="0E4F9ED7" w:rsidR="00511D9B" w:rsidRDefault="00511D9B" w:rsidP="00D459B5">
                              <w:pPr>
                                <w:spacing w:line="180" w:lineRule="auto"/>
                                <w:rPr>
                                  <w:rFonts w:asciiTheme="minorHAnsi" w:hAnsiTheme="minorHAnsi" w:cstheme="minorHAnsi"/>
                                  <w:sz w:val="20"/>
                                  <w:szCs w:val="20"/>
                                </w:rPr>
                              </w:pPr>
                              <w:r>
                                <w:rPr>
                                  <w:rFonts w:asciiTheme="minorHAnsi" w:hAnsiTheme="minorHAnsi" w:cstheme="minorHAnsi"/>
                                  <w:b/>
                                  <w:sz w:val="22"/>
                                  <w:szCs w:val="20"/>
                                </w:rPr>
                                <w:t>Schvaluje: zastupitelstvo</w:t>
                              </w:r>
                            </w:p>
                            <w:p w14:paraId="5171519C" w14:textId="77777777" w:rsidR="00511D9B" w:rsidRPr="00576CB4" w:rsidRDefault="00511D9B" w:rsidP="00D459B5">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46" name="Zakřivená spojnice 23646"/>
                        <wps:cNvCnPr>
                          <a:stCxn id="23637" idx="3"/>
                          <a:endCxn id="23640" idx="1"/>
                        </wps:cNvCnPr>
                        <wps:spPr>
                          <a:xfrm>
                            <a:off x="1257300" y="859971"/>
                            <a:ext cx="323850" cy="459242"/>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58" name="Zakřivená spojnice 23658"/>
                        <wps:cNvCnPr>
                          <a:endCxn id="23643" idx="1"/>
                        </wps:cNvCnPr>
                        <wps:spPr>
                          <a:xfrm flipV="1">
                            <a:off x="3019425" y="985838"/>
                            <a:ext cx="390525" cy="32861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44" name="Textové pole 2"/>
                        <wps:cNvSpPr txBox="1">
                          <a:spLocks noChangeArrowheads="1"/>
                        </wps:cNvSpPr>
                        <wps:spPr bwMode="auto">
                          <a:xfrm>
                            <a:off x="3409950" y="1314450"/>
                            <a:ext cx="2085975" cy="504825"/>
                          </a:xfrm>
                          <a:prstGeom prst="rect">
                            <a:avLst/>
                          </a:prstGeom>
                          <a:solidFill>
                            <a:schemeClr val="bg1"/>
                          </a:solidFill>
                          <a:ln w="3175">
                            <a:solidFill>
                              <a:srgbClr val="0070C0"/>
                            </a:solidFill>
                            <a:prstDash val="solid"/>
                            <a:miter lim="800000"/>
                            <a:headEnd/>
                            <a:tailEnd/>
                          </a:ln>
                        </wps:spPr>
                        <wps:txbx>
                          <w:txbxContent>
                            <w:p w14:paraId="186D2EC6" w14:textId="15D44DEE" w:rsidR="00511D9B" w:rsidRDefault="00511D9B" w:rsidP="00216BFB">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250/2000</w:t>
                              </w:r>
                              <w:r w:rsidRPr="00D459B5">
                                <w:rPr>
                                  <w:rFonts w:asciiTheme="minorHAnsi" w:hAnsiTheme="minorHAnsi"/>
                                  <w:sz w:val="20"/>
                                  <w:szCs w:val="20"/>
                                </w:rPr>
                                <w:t xml:space="preserve">, </w:t>
                              </w:r>
                            </w:p>
                            <w:p w14:paraId="53263B70" w14:textId="64547DDB" w:rsidR="00511D9B" w:rsidRPr="00216BFB" w:rsidRDefault="00511D9B" w:rsidP="00216BFB">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 územních rozpočtů</w:t>
                              </w:r>
                            </w:p>
                            <w:p w14:paraId="5EDC513B" w14:textId="77777777" w:rsidR="00511D9B" w:rsidRPr="00576CB4" w:rsidRDefault="00511D9B" w:rsidP="00D459B5">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59" name="Zakřivená spojnice 23659"/>
                        <wps:cNvCnPr>
                          <a:endCxn id="23644" idx="1"/>
                        </wps:cNvCnPr>
                        <wps:spPr>
                          <a:xfrm>
                            <a:off x="3019425" y="1314450"/>
                            <a:ext cx="390525" cy="25241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61" name="Textové pole 2"/>
                        <wps:cNvSpPr txBox="1">
                          <a:spLocks noChangeArrowheads="1"/>
                        </wps:cNvSpPr>
                        <wps:spPr bwMode="auto">
                          <a:xfrm>
                            <a:off x="3409950" y="200025"/>
                            <a:ext cx="2085975" cy="228600"/>
                          </a:xfrm>
                          <a:prstGeom prst="rect">
                            <a:avLst/>
                          </a:prstGeom>
                          <a:solidFill>
                            <a:schemeClr val="bg1"/>
                          </a:solidFill>
                          <a:ln w="3175">
                            <a:solidFill>
                              <a:srgbClr val="0070C0"/>
                            </a:solidFill>
                            <a:prstDash val="solid"/>
                            <a:miter lim="800000"/>
                            <a:headEnd/>
                            <a:tailEnd/>
                          </a:ln>
                        </wps:spPr>
                        <wps:txbx>
                          <w:txbxContent>
                            <w:p w14:paraId="7033BA56" w14:textId="4D1A2BEB"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vláda do 30.9.</w:t>
                              </w:r>
                            </w:p>
                            <w:p w14:paraId="0B807573"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62" name="Textové pole 2"/>
                        <wps:cNvSpPr txBox="1">
                          <a:spLocks noChangeArrowheads="1"/>
                        </wps:cNvSpPr>
                        <wps:spPr bwMode="auto">
                          <a:xfrm>
                            <a:off x="3409950" y="1095375"/>
                            <a:ext cx="2085975" cy="228600"/>
                          </a:xfrm>
                          <a:prstGeom prst="rect">
                            <a:avLst/>
                          </a:prstGeom>
                          <a:solidFill>
                            <a:schemeClr val="bg1"/>
                          </a:solidFill>
                          <a:ln w="3175">
                            <a:solidFill>
                              <a:srgbClr val="0070C0"/>
                            </a:solidFill>
                            <a:prstDash val="solid"/>
                            <a:miter lim="800000"/>
                            <a:headEnd/>
                            <a:tailEnd/>
                          </a:ln>
                        </wps:spPr>
                        <wps:txbx>
                          <w:txbxContent>
                            <w:p w14:paraId="3DE60397" w14:textId="0B11DE33"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rada cca na podzim</w:t>
                              </w:r>
                            </w:p>
                            <w:p w14:paraId="3C247E10"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23663" name="Zakřivená spojnice 23663"/>
                        <wps:cNvCnPr>
                          <a:stCxn id="23635" idx="3"/>
                          <a:endCxn id="23661" idx="1"/>
                        </wps:cNvCnPr>
                        <wps:spPr>
                          <a:xfrm flipV="1">
                            <a:off x="3017520" y="314325"/>
                            <a:ext cx="392430" cy="9112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64" name="Zakřivená spojnice 23664"/>
                        <wps:cNvCnPr>
                          <a:stCxn id="23640" idx="3"/>
                          <a:endCxn id="23662" idx="1"/>
                        </wps:cNvCnPr>
                        <wps:spPr>
                          <a:xfrm flipV="1">
                            <a:off x="3017520" y="1209675"/>
                            <a:ext cx="392430" cy="109538"/>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8E7489F" id="Skupina 23665" o:spid="_x0000_s1268" style="position:absolute;left:0;text-align:left;margin-left:9.45pt;margin-top:5.85pt;width:432.75pt;height:145.5pt;z-index:251544064;mso-position-horizontal-relative:text;mso-position-vertical-relative:text;mso-height-relative:margin" coordorigin=",-285" coordsize="54959,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enwYAAL02AAAOAAAAZHJzL2Uyb0RvYy54bWzsW0tz2zYQvnem/4HDeyKCIClSEzmTKo/p&#10;TNpmmrSH3iASlJiQAAvSltx/0mOP/R2Z/q8uAIIPWXQcJ3XUmD7IfOCxWOzj213w0eN9kVsXVFQZ&#10;Z0sbPXRsi7KYJxnbLO1f3jx/ENpWVROWkJwzurQvaWU/Pvv2m0e7ckFdvuV5QoUFg7BqsSuX9rau&#10;y8VsVsVbWpDqIS8pg5cpFwWp4VZsZokgOxi9yGeu4wSzHRdJKXhMqwqePtUv7TM1fprSuP4pTSta&#10;W/nSBtpq9SvU71r+zs4ekcVGkHKbxQ0Z5BZUFCRjMGk71FNSE+tcZFeGKrJY8Iqn9cOYFzOepllM&#10;1RpgNcg5WM0Lwc9LtZbNYrcpWzYBaw/4dOth4x8vXgkrS5a2i4PAty1GCtim1+/Oy4wRSz8EJu3K&#10;zQLavhDl6/KVaB5s9J1c9z4VhfwPK7L2ir2XLXvpvrZieOh7kR+5MEcM71DozUO/2YB4C7vU9Xvg&#10;hv7c13sTb599oPvMzD6TRLY07UqQqKpjWvVpTHu9JSVVe1FJRnRMwy3T3sBC+cX7v62S59RyJf2S&#10;CGgteWbV++84cAEpOanKlzx+V1mMr7aEbegTIfhuS0kCZCLZExbTdtXjVHKQ9e4HnsAGkfOaq4EO&#10;GI/8ECFgq3WV/cjDAZ7DK8n+EDlhpFjcso8sSlHVLygvLHmxtAVoj5qDXLysaklT10TudcXzLHme&#10;5bm6kRpLV7mwLgjo2nqjV3HQKmfWbmljBLt7dQSxWbf9HWfurJR0wKSDiSRtT0m11fOoV1pSiqwG&#10;U5JnBazOkX/6sWTqM5YA+WRRkyzX1zBqzhouS8ZqFtf79V4pA3DHbN+aJ5fAeMG17QBbBxdbLv6w&#10;rR3YjaVd/X5OBLWt/HsGmxchz5OGRt14/tyFG9F/s+6/ISyGoZZ2bVv6clUr4ySJZfwJbHKaKc5L&#10;adCUNESDaGua70TG58YwnIKMa+n2vRAHc73HxsIg159j2Hgl4oGLXb2NtxdxxqV8K9n5/4huNIlu&#10;Z54995REF3tOFDXmue/ljACDwPoRGEclwK4bBtqK3V6AB6ZToaqvx0YjZeE7y3i/bbSHjKD/Rt79&#10;82d2Qdn7v6yq5G8ZYEyJ5KAFWLIGV6yYdHrgW+vVnhkAiMHOZwmAFNzYVZb034JcqrcDgKIHkqNq&#10;P6rRmJXmWfmrQTsNKmzNMwAQz/E9TzlZsjDSj10sIaESfs/3fFeRMS788bm4oMmKMwZIhQvcgRW5&#10;sk3SgFmSvAXepEUOyB7AieUbcAAjK2hzBdlIaHAAOw50p94fxTcN2LDqyxJAGofZACUs7YImgA8o&#10;REjyqg9Fmpa1yAAF5oAijrUGOo+Alaq+zKmkM2c/09TsjCJ8iMVIHFNWG3pVa9kqBc/WdnQ0Hruu&#10;Y9NedqUqsvqYzm0PNTNnddu5yBgXx2bvWJzq9gau6XV3eg/8VGj5TiGRB8qgY6VTgER9v+KB24Ao&#10;S0mZ0ayBX8F+EEIcINlmQqcO2E/YH6HWTk7YH7xGi/1H/YpC4df6FeM5jvoVCdE+ya9gBwJKGWjJ&#10;wBZCrgPhx5Hr4catYBTNv7BbmXxEG+UPPdNX5yP8D6oOtAAz/AmqYxTrBpBMet4GiPUV5igQ62kM&#10;5CUDpJJZ497iPwZik8bcF42RqbPTQVX9ZGrkeKHJSRtUNcyoAuzSDcb15D5nVLUN6VD7PY/W8SkJ&#10;ej98COeBTKGOhw8uipxJ0HXIeax0gBTInQRd1xS9wAj6aPgQfBADXZuWkj7jpuFDDwP1k1GQdI3m&#10;CkKNJaMAEH1ZDHRdIrfLlAxaTbDpvsAmH05ZaNg0pmTQ4mqgQQfpXQ9c0k316Gh6F6KKyJP1fQjD&#10;o9AP8WF6N3J8U/7HgJa0oRxHS1NUMeVqP+a4zOgRDc8z6nFquVqE4biAOQVjwopBstaHuEMntMYV&#10;5V6HFZ4xbFOyFgd+ZCR91BG0pwPgXJIpAh44AlCXmzqCHqDqm/+jco179t/1XW+y/5CRO6grDjOi&#10;k/3/LPY/aEvjp2b/4Qirc1iuGJj/6QzIsdJ3d04PqVrPFGzrYDs42cNOyIl8fJg/nST9I06kojZN&#10;MgEdOKre5k/HgA60uBrxDk87meLZ0aq0dBo3RUFj4XBblQaYjw/tfL8sHSE0VaUnNHQnHywEbTQ8&#10;qjptTNWLEQaq0+Zcj6vO5zzQgVwnagprveRsr0CtXItKNY1HyFMq6SsPJdS3P/CNlDrT1nzPJT/C&#10;6t+rY4LdV2dn/wIAAP//AwBQSwMEFAAGAAgAAAAhAO+/vlTgAAAACQEAAA8AAABkcnMvZG93bnJl&#10;di54bWxMj0FrwkAQhe+F/odlCr3VTdTWNM1GRNqeRKgWxNuYHZNgdjdk1yT++05P7Wl4vMeb72XL&#10;0TSip87XziqIJxEIsoXTtS0VfO8/nhIQPqDV2DhLCm7kYZnf32WYajfYL+p3oRRcYn2KCqoQ2lRK&#10;X1Rk0E9cS5a9s+sMBpZdKXWHA5ebRk6j6EUarC1/qLCldUXFZXc1Cj4HHFaz+L3fXM7r23H/vD1s&#10;YlLq8WFcvYEINIa/MPziMzrkzHRyV6u9aFgnr5zkGy9AsJ8k8zmIk4JZNF2AzDP5f0H+AwAA//8D&#10;AFBLAQItABQABgAIAAAAIQC2gziS/gAAAOEBAAATAAAAAAAAAAAAAAAAAAAAAABbQ29udGVudF9U&#10;eXBlc10ueG1sUEsBAi0AFAAGAAgAAAAhADj9If/WAAAAlAEAAAsAAAAAAAAAAAAAAAAALwEAAF9y&#10;ZWxzLy5yZWxzUEsBAi0AFAAGAAgAAAAhAAX+916fBgAAvTYAAA4AAAAAAAAAAAAAAAAALgIAAGRy&#10;cy9lMm9Eb2MueG1sUEsBAi0AFAAGAAgAAAAhAO+/vlTgAAAACQEAAA8AAAAAAAAAAAAAAAAA+QgA&#10;AGRycy9kb3ducmV2LnhtbFBLBQYAAAAABAAEAPMAAAAGCgAAAAA=&#10;">
                <v:shape id="_x0000_s1269" type="#_x0000_t202" style="position:absolute;left:15811;width:14364;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rxgAAAN4AAAAPAAAAZHJzL2Rvd25yZXYueG1sRI9Ba8JA&#10;FITvBf/D8gRvdRNF0dRNCIJa6Kkq6PGRfU1Csm9Ddo3pv+8WCj0OM/MNs8tG04qBeldbVhDPIxDE&#10;hdU1lwqul8PrBoTzyBpby6Tgmxxk6eRlh4m2T/6k4exLESDsElRQed8lUrqiIoNubjvi4H3Z3qAP&#10;si+l7vEZ4KaViyhaS4M1h4UKO9pXVDTnh1GA921+pHw1fHTXR2ya4bY9HW5KzaZj/gbC0+j/w3/t&#10;d61gsVwvV/B7J1wBmf4AAAD//wMAUEsBAi0AFAAGAAgAAAAhANvh9svuAAAAhQEAABMAAAAAAAAA&#10;AAAAAAAAAAAAAFtDb250ZW50X1R5cGVzXS54bWxQSwECLQAUAAYACAAAACEAWvQsW78AAAAVAQAA&#10;CwAAAAAAAAAAAAAAAAAfAQAAX3JlbHMvLnJlbHNQSwECLQAUAAYACAAAACEAq7u168YAAADeAAAA&#10;DwAAAAAAAAAAAAAAAAAHAgAAZHJzL2Rvd25yZXYueG1sUEsFBgAAAAADAAMAtwAAAPoCAAAAAA==&#10;" fillcolor="white [3212]" strokecolor="#0070c0" strokeweight=".25pt">
                  <v:textbox>
                    <w:txbxContent>
                      <w:p w14:paraId="6BE55170" w14:textId="0BB1A33F" w:rsidR="00511D9B" w:rsidRPr="00D459B5" w:rsidRDefault="00511D9B" w:rsidP="00D459B5">
                        <w:pPr>
                          <w:spacing w:line="192" w:lineRule="auto"/>
                          <w:rPr>
                            <w:rFonts w:asciiTheme="minorHAnsi" w:hAnsiTheme="minorHAnsi" w:cstheme="minorHAnsi"/>
                            <w:b/>
                            <w:szCs w:val="22"/>
                          </w:rPr>
                        </w:pPr>
                        <w:r w:rsidRPr="00D459B5">
                          <w:rPr>
                            <w:rFonts w:asciiTheme="minorHAnsi" w:hAnsiTheme="minorHAnsi" w:cstheme="minorHAnsi"/>
                            <w:b/>
                            <w:szCs w:val="22"/>
                          </w:rPr>
                          <w:t>Státní rozpočet</w:t>
                        </w:r>
                      </w:p>
                      <w:p w14:paraId="38D05FB6" w14:textId="00FBA0AF" w:rsidR="00511D9B" w:rsidRPr="00D459B5" w:rsidRDefault="00511D9B" w:rsidP="00D459B5">
                        <w:pPr>
                          <w:spacing w:line="192" w:lineRule="auto"/>
                          <w:rPr>
                            <w:rFonts w:asciiTheme="minorHAnsi" w:hAnsiTheme="minorHAnsi" w:cstheme="minorHAnsi"/>
                            <w:sz w:val="22"/>
                            <w:szCs w:val="22"/>
                          </w:rPr>
                        </w:pPr>
                        <w:r w:rsidRPr="00D459B5">
                          <w:rPr>
                            <w:rFonts w:asciiTheme="minorHAnsi" w:hAnsiTheme="minorHAnsi"/>
                            <w:sz w:val="22"/>
                            <w:szCs w:val="22"/>
                          </w:rPr>
                          <w:t>(ministerstva, organizační složky státu, příspěvkové organizace atd.)</w:t>
                        </w:r>
                      </w:p>
                      <w:p w14:paraId="5772216F" w14:textId="77777777" w:rsidR="00511D9B" w:rsidRPr="00D459B5" w:rsidRDefault="00511D9B" w:rsidP="00D459B5">
                        <w:pPr>
                          <w:spacing w:line="192" w:lineRule="auto"/>
                          <w:rPr>
                            <w:rFonts w:asciiTheme="minorHAnsi" w:hAnsiTheme="minorHAnsi" w:cstheme="minorHAnsi"/>
                            <w:b/>
                            <w:sz w:val="22"/>
                            <w:szCs w:val="22"/>
                          </w:rPr>
                        </w:pPr>
                      </w:p>
                    </w:txbxContent>
                  </v:textbox>
                </v:shape>
                <v:shape id="_x0000_s1270" type="#_x0000_t202" style="position:absolute;top:5483;width:12573;height:6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mkxwAAAN4AAAAPAAAAZHJzL2Rvd25yZXYueG1sRI9Ba8JA&#10;FITvhf6H5QleSt3E1Cipq6i04EnUCl4f2dckNvs2ZFfd/vtuodDjMDPfMPNlMK24Ue8aywrSUQKC&#10;uLS64UrB6eP9eQbCeWSNrWVS8E0OlovHhzkW2t75QLejr0SEsCtQQe19V0jpypoMupHtiKP3aXuD&#10;Psq+krrHe4SbVo6TJJcGG44LNXa0qan8Ol6Ngv11sn2hcAlvT3lbmvM61bssVWo4CKtXEJ6C/w//&#10;tbdawTjLsyn83olXQC5+AAAA//8DAFBLAQItABQABgAIAAAAIQDb4fbL7gAAAIUBAAATAAAAAAAA&#10;AAAAAAAAAAAAAABbQ29udGVudF9UeXBlc10ueG1sUEsBAi0AFAAGAAgAAAAhAFr0LFu/AAAAFQEA&#10;AAsAAAAAAAAAAAAAAAAAHwEAAF9yZWxzLy5yZWxzUEsBAi0AFAAGAAgAAAAhACdyCaTHAAAA3gAA&#10;AA8AAAAAAAAAAAAAAAAABwIAAGRycy9kb3ducmV2LnhtbFBLBQYAAAAAAwADALcAAAD7AgAAAAA=&#10;" filled="f" strokecolor="#0070c0" strokeweight=".25pt">
                  <v:textbox>
                    <w:txbxContent>
                      <w:p w14:paraId="6055047A" w14:textId="1082B873" w:rsidR="00511D9B" w:rsidRPr="002775DF" w:rsidRDefault="00511D9B" w:rsidP="00D459B5">
                        <w:pPr>
                          <w:spacing w:line="180" w:lineRule="auto"/>
                          <w:jc w:val="center"/>
                          <w:rPr>
                            <w:rFonts w:asciiTheme="minorHAnsi" w:hAnsiTheme="minorHAnsi" w:cstheme="minorHAnsi"/>
                            <w:b/>
                            <w:sz w:val="28"/>
                          </w:rPr>
                        </w:pPr>
                        <w:r w:rsidRPr="002775DF">
                          <w:rPr>
                            <w:rFonts w:asciiTheme="minorHAnsi" w:hAnsiTheme="minorHAnsi" w:cstheme="minorHAnsi"/>
                            <w:b/>
                            <w:sz w:val="28"/>
                          </w:rPr>
                          <w:t>Projednání a schvalování rozpočtu</w:t>
                        </w:r>
                      </w:p>
                      <w:p w14:paraId="3899B57B" w14:textId="77777777" w:rsidR="00511D9B" w:rsidRPr="00576CB4" w:rsidRDefault="00511D9B" w:rsidP="00D459B5">
                        <w:pPr>
                          <w:spacing w:line="180" w:lineRule="auto"/>
                          <w:jc w:val="center"/>
                          <w:rPr>
                            <w:rFonts w:asciiTheme="minorHAnsi" w:hAnsiTheme="minorHAnsi" w:cstheme="minorHAnsi"/>
                            <w:b/>
                            <w:sz w:val="20"/>
                          </w:rPr>
                        </w:pPr>
                      </w:p>
                    </w:txbxContent>
                  </v:textbox>
                </v:shape>
                <v:shape id="_x0000_s1271" type="#_x0000_t202" style="position:absolute;left:34099;top:-285;width:20860;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7ixgAAAN4AAAAPAAAAZHJzL2Rvd25yZXYueG1sRI9Li8JA&#10;EITvwv6HoRe86cT4YM06SljwAZ50BffYZHqTYKYnZMYY/70jCB6LqvqKWqw6U4mWGldaVjAaRiCI&#10;M6tLzhWcfteDLxDOI2usLJOCOzlYLT96C0y0vfGB2qPPRYCwS1BB4X2dSOmyggy6oa2Jg/dvG4M+&#10;yCaXusFbgJtKxlE0kwZLDgsF1vRTUHY5Xo0C/JunG0qn7b4+XUfm0p7n2/VZqf5nl36D8NT5d/jV&#10;3mkF8Xg2ieF5J1wBuXwAAAD//wMAUEsBAi0AFAAGAAgAAAAhANvh9svuAAAAhQEAABMAAAAAAAAA&#10;AAAAAAAAAAAAAFtDb250ZW50X1R5cGVzXS54bWxQSwECLQAUAAYACAAAACEAWvQsW78AAAAVAQAA&#10;CwAAAAAAAAAAAAAAAAAfAQAAX3JlbHMvLnJlbHNQSwECLQAUAAYACAAAACEAfFRe4sYAAADeAAAA&#10;DwAAAAAAAAAAAAAAAAAHAgAAZHJzL2Rvd25yZXYueG1sUEsFBgAAAAADAAMAtwAAAPoCAAAAAA==&#10;" fillcolor="white [3212]" strokecolor="#0070c0" strokeweight=".25pt">
                  <v:textbox>
                    <w:txbxContent>
                      <w:p w14:paraId="796E13E6" w14:textId="53C459C3" w:rsidR="00511D9B" w:rsidRDefault="00511D9B" w:rsidP="00D459B5">
                        <w:pPr>
                          <w:spacing w:line="180" w:lineRule="auto"/>
                          <w:rPr>
                            <w:rFonts w:asciiTheme="minorHAnsi" w:hAnsiTheme="minorHAnsi" w:cstheme="minorHAnsi"/>
                            <w:sz w:val="20"/>
                            <w:szCs w:val="20"/>
                          </w:rPr>
                        </w:pPr>
                        <w:r>
                          <w:rPr>
                            <w:rFonts w:asciiTheme="minorHAnsi" w:hAnsiTheme="minorHAnsi" w:cstheme="minorHAnsi"/>
                            <w:b/>
                            <w:sz w:val="22"/>
                            <w:szCs w:val="20"/>
                          </w:rPr>
                          <w:t xml:space="preserve">Schvaluje: Poslanecká sněmovna </w:t>
                        </w:r>
                      </w:p>
                      <w:p w14:paraId="0EFE6102" w14:textId="77777777" w:rsidR="00511D9B" w:rsidRPr="00576CB4" w:rsidRDefault="00511D9B" w:rsidP="00D459B5">
                        <w:pPr>
                          <w:spacing w:line="180" w:lineRule="auto"/>
                          <w:rPr>
                            <w:rFonts w:asciiTheme="minorHAnsi" w:hAnsiTheme="minorHAnsi" w:cstheme="minorHAnsi"/>
                            <w:b/>
                            <w:sz w:val="20"/>
                          </w:rPr>
                        </w:pPr>
                      </w:p>
                    </w:txbxContent>
                  </v:textbox>
                </v:shape>
                <v:shape id="Zakřivená spojnice 23641" o:spid="_x0000_s1272" type="#_x0000_t38" style="position:absolute;left:12573;top:4054;width:3238;height:4545;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Q+axgAAAN4AAAAPAAAAZHJzL2Rvd25yZXYueG1sRI9BawIx&#10;FITvBf9DeIKXolnXssjWKFKoiD3ViufXzetu6OZlTeK6/vumUOhxmJlvmNVmsK3oyQfjWMF8loEg&#10;rpw2XCs4fbxOlyBCRNbYOiYFdwqwWY8eVlhqd+N36o+xFgnCoUQFTYxdKWWoGrIYZq4jTt6X8xZj&#10;kr6W2uMtwW0r8ywrpEXDaaHBjl4aqr6PV6sgPh6W4bIozEm/+U9z7nZ5H3KlJuNh+wwi0hD/w3/t&#10;vVaQL4qnOfzeSVdArn8AAAD//wMAUEsBAi0AFAAGAAgAAAAhANvh9svuAAAAhQEAABMAAAAAAAAA&#10;AAAAAAAAAAAAAFtDb250ZW50X1R5cGVzXS54bWxQSwECLQAUAAYACAAAACEAWvQsW78AAAAVAQAA&#10;CwAAAAAAAAAAAAAAAAAfAQAAX3JlbHMvLnJlbHNQSwECLQAUAAYACAAAACEAoL0PmsYAAADeAAAA&#10;DwAAAAAAAAAAAAAAAAAHAgAAZHJzL2Rvd25yZXYueG1sUEsFBgAAAAADAAMAtwAAAPoCAAAAAA==&#10;" adj="10800" strokecolor="black [3213]" strokeweight=".5pt">
                  <v:stroke startarrow="oval" endarrow="block" joinstyle="miter"/>
                </v:shape>
                <v:shape id="_x0000_s1273" type="#_x0000_t202" style="position:absolute;left:34099;top:4286;width:20860;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aWxwAAAN4AAAAPAAAAZHJzL2Rvd25yZXYueG1sRI9Pa8JA&#10;FMTvBb/D8oTe6ibaSE3dSBCshZ78A/b4yL4mwezbkF2T+O27hYLHYWZ+w6w3o2lET52rLSuIZxEI&#10;4sLqmksF59Pu5Q2E88gaG8uk4E4ONtnkaY2ptgMfqD/6UgQIuxQVVN63qZSuqMigm9mWOHg/tjPo&#10;g+xKqTscAtw0ch5FS2mw5rBQYUvbiorr8WYU4Pcq/6A86b/a8y021/6y2u8uSj1Px/wdhKfRP8L/&#10;7U+tYL5YvibwdydcAZn9AgAA//8DAFBLAQItABQABgAIAAAAIQDb4fbL7gAAAIUBAAATAAAAAAAA&#10;AAAAAAAAAAAAAABbQ29udGVudF9UeXBlc10ueG1sUEsBAi0AFAAGAAgAAAAhAFr0LFu/AAAAFQEA&#10;AAsAAAAAAAAAAAAAAAAAHwEAAF9yZWxzLy5yZWxzUEsBAi0AFAAGAAgAAAAhAPO9xpbHAAAA3gAA&#10;AA8AAAAAAAAAAAAAAAAABwIAAGRycy9kb3ducmV2LnhtbFBLBQYAAAAAAwADALcAAAD7AgAAAAA=&#10;" fillcolor="white [3212]" strokecolor="#0070c0" strokeweight=".25pt">
                  <v:textbox>
                    <w:txbxContent>
                      <w:p w14:paraId="5A4897FF" w14:textId="4F34C70A" w:rsidR="00511D9B" w:rsidRDefault="00511D9B" w:rsidP="00216BFB">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w:t>
                        </w:r>
                        <w:r>
                          <w:rPr>
                            <w:rFonts w:asciiTheme="minorHAnsi" w:hAnsiTheme="minorHAnsi"/>
                            <w:b/>
                            <w:sz w:val="22"/>
                            <w:szCs w:val="20"/>
                          </w:rPr>
                          <w:t>18</w:t>
                        </w:r>
                        <w:r w:rsidRPr="00D459B5">
                          <w:rPr>
                            <w:rFonts w:asciiTheme="minorHAnsi" w:hAnsiTheme="minorHAnsi"/>
                            <w:b/>
                            <w:sz w:val="22"/>
                            <w:szCs w:val="20"/>
                          </w:rPr>
                          <w:t>/2000</w:t>
                        </w:r>
                        <w:r w:rsidRPr="00D459B5">
                          <w:rPr>
                            <w:rFonts w:asciiTheme="minorHAnsi" w:hAnsiTheme="minorHAnsi"/>
                            <w:sz w:val="20"/>
                            <w:szCs w:val="20"/>
                          </w:rPr>
                          <w:t xml:space="preserve">, </w:t>
                        </w:r>
                      </w:p>
                      <w:p w14:paraId="4D98BB75" w14:textId="7673F9F1" w:rsidR="00511D9B" w:rsidRPr="00216BFB" w:rsidRDefault="00511D9B" w:rsidP="00216BFB">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w:t>
                        </w:r>
                      </w:p>
                      <w:p w14:paraId="775C5802" w14:textId="77777777" w:rsidR="00511D9B" w:rsidRPr="00576CB4" w:rsidRDefault="00511D9B" w:rsidP="00216BFB">
                        <w:pPr>
                          <w:spacing w:line="180" w:lineRule="auto"/>
                          <w:rPr>
                            <w:rFonts w:asciiTheme="minorHAnsi" w:hAnsiTheme="minorHAnsi" w:cstheme="minorHAnsi"/>
                            <w:b/>
                            <w:sz w:val="20"/>
                          </w:rPr>
                        </w:pPr>
                      </w:p>
                    </w:txbxContent>
                  </v:textbox>
                </v:shape>
                <v:shape id="Zakřivená spojnice 23647" o:spid="_x0000_s1274" type="#_x0000_t38" style="position:absolute;left:30175;top:857;width:3924;height:319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ec/xQAAAN4AAAAPAAAAZHJzL2Rvd25yZXYueG1sRI9PawIx&#10;FMTvhX6H8Aq91cQ/bHU1imgFT6JWPD82z93FzcuSRF2/fVMo9DjMzG+Y2aKzjbiTD7VjDf2eAkFc&#10;OFNzqeH0vfkYgwgR2WDjmDQ8KcBi/voyw9y4Bx/ofoylSBAOOWqoYmxzKUNRkcXQcy1x8i7OW4xJ&#10;+lIaj48Et40cKJVJizWnhQpbWlVUXI83myhnlrvtpv5Ctc4mZ69uk3230/r9rVtOQUTq4n/4r701&#10;GgbDbPQJv3fSFZDzHwAAAP//AwBQSwECLQAUAAYACAAAACEA2+H2y+4AAACFAQAAEwAAAAAAAAAA&#10;AAAAAAAAAAAAW0NvbnRlbnRfVHlwZXNdLnhtbFBLAQItABQABgAIAAAAIQBa9CxbvwAAABUBAAAL&#10;AAAAAAAAAAAAAAAAAB8BAABfcmVscy8ucmVsc1BLAQItABQABgAIAAAAIQD7Xec/xQAAAN4AAAAP&#10;AAAAAAAAAAAAAAAAAAcCAABkcnMvZG93bnJldi54bWxQSwUGAAAAAAMAAwC3AAAA+QIAAAAA&#10;" adj="10800" strokecolor="#4472c4 [3204]" strokeweight=".5pt">
                  <v:stroke startarrow="oval" endarrow="block" joinstyle="miter"/>
                </v:shape>
                <v:shape id="Zakřivená spojnice 23657" o:spid="_x0000_s1275" type="#_x0000_t38" style="position:absolute;left:30175;top:4054;width:3924;height:201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UxwAAAN4AAAAPAAAAZHJzL2Rvd25yZXYueG1sRI9BawIx&#10;FITvhf6H8Aq9iGZVqrI1ilgKFaTgKurxsXnNLm5eliTV7b9vhEKPw8x8w8yXnW3ElXyoHSsYDjIQ&#10;xKXTNRsFh/17fwYiRGSNjWNS8EMBlovHhznm2t14R9ciGpEgHHJUUMXY5lKGsiKLYeBa4uR9OW8x&#10;JumN1B5vCW4bOcqyibRYc1qosKV1ReWl+LYKtttw2JxPWBS98efxjXremNYr9fzUrV5BROrif/iv&#10;/aEVjMaTlync76QrIBe/AAAA//8DAFBLAQItABQABgAIAAAAIQDb4fbL7gAAAIUBAAATAAAAAAAA&#10;AAAAAAAAAAAAAABbQ29udGVudF9UeXBlc10ueG1sUEsBAi0AFAAGAAgAAAAhAFr0LFu/AAAAFQEA&#10;AAsAAAAAAAAAAAAAAAAAHwEAAF9yZWxzLy5yZWxzUEsBAi0AFAAGAAgAAAAhANgD6lTHAAAA3gAA&#10;AA8AAAAAAAAAAAAAAAAABwIAAGRycy9kb3ducmV2LnhtbFBLBQYAAAAAAwADALcAAAD7AgAAAAA=&#10;" adj="10800" strokecolor="#4472c4 [3204]" strokeweight=".5pt">
                  <v:stroke startarrow="oval" endarrow="block" joinstyle="miter"/>
                </v:shape>
                <v:shape id="_x0000_s1276" type="#_x0000_t202" style="position:absolute;left:15811;top:9048;width:14364;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UOxgAAAN4AAAAPAAAAZHJzL2Rvd25yZXYueG1sRI/NaoNA&#10;FIX3hb7DcAvdNaNpEqrJGKRgU8gqacAsL86tSpw74ozGvn1nUejycP74dvvZdGKiwbWWFcSLCARx&#10;ZXXLtYLLV/HyBsJ5ZI2dZVLwQw722ePDDlNt73yi6exrEUbYpaig8b5PpXRVQwbdwvbEwfu2g0Ef&#10;5FBLPeA9jJtOLqNoIw22HB4a7Om9oep2Ho0CvCb5B+Xr6dhfxtjcpjI5FKVSz09zvgXhafb/4b/2&#10;p1awfN2sAkDACSggs18AAAD//wMAUEsBAi0AFAAGAAgAAAAhANvh9svuAAAAhQEAABMAAAAAAAAA&#10;AAAAAAAAAAAAAFtDb250ZW50X1R5cGVzXS54bWxQSwECLQAUAAYACAAAACEAWvQsW78AAAAVAQAA&#10;CwAAAAAAAAAAAAAAAAAfAQAAX3JlbHMvLnJlbHNQSwECLQAUAAYACAAAACEA48plDsYAAADeAAAA&#10;DwAAAAAAAAAAAAAAAAAHAgAAZHJzL2Rvd25yZXYueG1sUEsFBgAAAAADAAMAtwAAAPoCAAAAAA==&#10;" fillcolor="white [3212]" strokecolor="#0070c0" strokeweight=".25pt">
                  <v:textbox>
                    <w:txbxContent>
                      <w:p w14:paraId="2564ED49" w14:textId="045CF21F" w:rsidR="00511D9B" w:rsidRPr="00D459B5" w:rsidRDefault="00511D9B" w:rsidP="00D459B5">
                        <w:pPr>
                          <w:spacing w:line="192" w:lineRule="auto"/>
                          <w:rPr>
                            <w:rFonts w:asciiTheme="minorHAnsi" w:hAnsiTheme="minorHAnsi" w:cstheme="minorHAnsi"/>
                            <w:sz w:val="20"/>
                            <w:szCs w:val="20"/>
                          </w:rPr>
                        </w:pPr>
                        <w:r w:rsidRPr="00D459B5">
                          <w:rPr>
                            <w:rFonts w:asciiTheme="minorHAnsi" w:hAnsiTheme="minorHAnsi" w:cstheme="minorHAnsi"/>
                            <w:b/>
                            <w:szCs w:val="20"/>
                          </w:rPr>
                          <w:t xml:space="preserve">Územní rozpočty </w:t>
                        </w:r>
                        <w:r w:rsidRPr="00D459B5">
                          <w:rPr>
                            <w:rFonts w:asciiTheme="minorHAnsi" w:hAnsiTheme="minorHAnsi" w:cstheme="minorHAnsi"/>
                            <w:sz w:val="22"/>
                            <w:szCs w:val="20"/>
                          </w:rPr>
                          <w:t>(zejména obce, kraje, dobrovolné svazky obcí</w:t>
                        </w:r>
                        <w:r>
                          <w:rPr>
                            <w:rFonts w:asciiTheme="minorHAnsi" w:hAnsiTheme="minorHAnsi" w:cstheme="minorHAnsi"/>
                            <w:sz w:val="22"/>
                            <w:szCs w:val="20"/>
                          </w:rPr>
                          <w:t>, jejich organizace</w:t>
                        </w:r>
                        <w:r w:rsidRPr="00D459B5">
                          <w:rPr>
                            <w:rFonts w:asciiTheme="minorHAnsi" w:hAnsiTheme="minorHAnsi" w:cstheme="minorHAnsi"/>
                            <w:sz w:val="22"/>
                            <w:szCs w:val="20"/>
                          </w:rPr>
                          <w:t xml:space="preserve"> atd.)</w:t>
                        </w:r>
                      </w:p>
                      <w:p w14:paraId="2BEFBDBF" w14:textId="77777777" w:rsidR="00511D9B" w:rsidRPr="00576CB4" w:rsidRDefault="00511D9B" w:rsidP="00D459B5">
                        <w:pPr>
                          <w:spacing w:line="180" w:lineRule="auto"/>
                          <w:rPr>
                            <w:rFonts w:asciiTheme="minorHAnsi" w:hAnsiTheme="minorHAnsi" w:cstheme="minorHAnsi"/>
                            <w:b/>
                            <w:sz w:val="20"/>
                          </w:rPr>
                        </w:pPr>
                      </w:p>
                    </w:txbxContent>
                  </v:textbox>
                </v:shape>
                <v:shape id="_x0000_s1277" type="#_x0000_t202" style="position:absolute;left:34099;top:8763;width:20860;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t5xQAAAN4AAAAPAAAAZHJzL2Rvd25yZXYueG1sRI9Pi8Iw&#10;FMTvwn6H8Bb2pql/0WqUsuAqeNquoMdH82yLzUtpYu1+eyMIHoeZ+Q2z2nSmEi01rrSsYDiIQBBn&#10;VpecKzj+bftzEM4ja6wsk4J/crBZf/RWGGt7519qU5+LAGEXo4LC+zqW0mUFGXQDWxMH72Ibgz7I&#10;Jpe6wXuAm0qOomgmDZYcFgqs6bug7JrejAI8L5IfSqbtoT7ehubanha77Umpr88uWYLw1Pl3+NXe&#10;awWj8WwyhuedcAXk+gEAAP//AwBQSwECLQAUAAYACAAAACEA2+H2y+4AAACFAQAAEwAAAAAAAAAA&#10;AAAAAAAAAAAAW0NvbnRlbnRfVHlwZXNdLnhtbFBLAQItABQABgAIAAAAIQBa9CxbvwAAABUBAAAL&#10;AAAAAAAAAAAAAAAAAB8BAABfcmVscy8ucmVsc1BLAQItABQABgAIAAAAIQATGPt5xQAAAN4AAAAP&#10;AAAAAAAAAAAAAAAAAAcCAABkcnMvZG93bnJldi54bWxQSwUGAAAAAAMAAwC3AAAA+QIAAAAA&#10;" fillcolor="white [3212]" strokecolor="#0070c0" strokeweight=".25pt">
                  <v:textbox>
                    <w:txbxContent>
                      <w:p w14:paraId="13D44540" w14:textId="0E4F9ED7" w:rsidR="00511D9B" w:rsidRDefault="00511D9B" w:rsidP="00D459B5">
                        <w:pPr>
                          <w:spacing w:line="180" w:lineRule="auto"/>
                          <w:rPr>
                            <w:rFonts w:asciiTheme="minorHAnsi" w:hAnsiTheme="minorHAnsi" w:cstheme="minorHAnsi"/>
                            <w:sz w:val="20"/>
                            <w:szCs w:val="20"/>
                          </w:rPr>
                        </w:pPr>
                        <w:r>
                          <w:rPr>
                            <w:rFonts w:asciiTheme="minorHAnsi" w:hAnsiTheme="minorHAnsi" w:cstheme="minorHAnsi"/>
                            <w:b/>
                            <w:sz w:val="22"/>
                            <w:szCs w:val="20"/>
                          </w:rPr>
                          <w:t>Schvaluje: zastupitelstvo</w:t>
                        </w:r>
                      </w:p>
                      <w:p w14:paraId="5171519C" w14:textId="77777777" w:rsidR="00511D9B" w:rsidRPr="00576CB4" w:rsidRDefault="00511D9B" w:rsidP="00D459B5">
                        <w:pPr>
                          <w:spacing w:line="180" w:lineRule="auto"/>
                          <w:rPr>
                            <w:rFonts w:asciiTheme="minorHAnsi" w:hAnsiTheme="minorHAnsi" w:cstheme="minorHAnsi"/>
                            <w:b/>
                            <w:sz w:val="20"/>
                          </w:rPr>
                        </w:pPr>
                      </w:p>
                    </w:txbxContent>
                  </v:textbox>
                </v:shape>
                <v:shape id="Zakřivená spojnice 23646" o:spid="_x0000_s1278" type="#_x0000_t38" style="position:absolute;left:12573;top:8599;width:3238;height:459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sjxQAAAN4AAAAPAAAAZHJzL2Rvd25yZXYueG1sRI9Ba8JA&#10;FITvBf/D8gRvdWNsQ5u6iogpvTZ68PjYfU2C2bcxu5r4791Cocdh5pthVpvRtuJGvW8cK1jMExDE&#10;2pmGKwXHQ/H8BsIHZIOtY1JwJw+b9eRphblxA3/TrQyViCXsc1RQh9DlUnpdk0U/dx1x9H5cbzFE&#10;2VfS9DjEctvKNEkyabHhuFBjR7ua9Lm8WgXp/n2pX6/F7lINg9Opt+Wp+FRqNh23HyACjeE//Ed/&#10;mcgts5cMfu/EKyDXDwAAAP//AwBQSwECLQAUAAYACAAAACEA2+H2y+4AAACFAQAAEwAAAAAAAAAA&#10;AAAAAAAAAAAAW0NvbnRlbnRfVHlwZXNdLnhtbFBLAQItABQABgAIAAAAIQBa9CxbvwAAABUBAAAL&#10;AAAAAAAAAAAAAAAAAB8BAABfcmVscy8ucmVsc1BLAQItABQABgAIAAAAIQC/YMsjxQAAAN4AAAAP&#10;AAAAAAAAAAAAAAAAAAcCAABkcnMvZG93bnJldi54bWxQSwUGAAAAAAMAAwC3AAAA+QIAAAAA&#10;" adj="10800" strokecolor="black [3213]" strokeweight=".5pt">
                  <v:stroke startarrow="oval" endarrow="block" joinstyle="miter"/>
                </v:shape>
                <v:shape id="Zakřivená spojnice 23658" o:spid="_x0000_s1279" type="#_x0000_t38" style="position:absolute;left:30194;top:9858;width:3905;height:328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QxQAAAN4AAAAPAAAAZHJzL2Rvd25yZXYueG1sRI/BagIx&#10;EIbvhb5DmEJvNdHSRVejlLaCJ1FbPA+bcXdxM1mSqNu37xwKHod//m/mW6wG36krxdQGtjAeGVDE&#10;VXAt1xZ+vtcvU1ApIzvsApOFX0qwWj4+LLB04cZ7uh5yrQTCqUQLTc59qXWqGvKYRqEnluwUoscs&#10;Y6y1i3gTuO/0xJhCe2xZLjTY00dD1flw8UI5st5u1u0Xms9idozmMtsNW2ufn4b3OahMQ74v/7c3&#10;zsLktXiTf0VHVEAv/wAAAP//AwBQSwECLQAUAAYACAAAACEA2+H2y+4AAACFAQAAEwAAAAAAAAAA&#10;AAAAAAAAAAAAW0NvbnRlbnRfVHlwZXNdLnhtbFBLAQItABQABgAIAAAAIQBa9CxbvwAAABUBAAAL&#10;AAAAAAAAAAAAAAAAAB8BAABfcmVscy8ucmVsc1BLAQItABQABgAIAAAAIQAPG+WQxQAAAN4AAAAP&#10;AAAAAAAAAAAAAAAAAAcCAABkcnMvZG93bnJldi54bWxQSwUGAAAAAAMAAwC3AAAA+QIAAAAA&#10;" adj="10800" strokecolor="#4472c4 [3204]" strokeweight=".5pt">
                  <v:stroke startarrow="oval" endarrow="block" joinstyle="miter"/>
                </v:shape>
                <v:shape id="_x0000_s1280" type="#_x0000_t202" style="position:absolute;left:34099;top:13144;width:20860;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MNxwAAAN4AAAAPAAAAZHJzL2Rvd25yZXYueG1sRI9Ba8JA&#10;FITvhf6H5RW81Y0xFU1dQxDUQk+1gh4f2dckmH0bsmsS/323UPA4zMw3zDobTSN66lxtWcFsGoEg&#10;LqyuuVRw+t69LkE4j6yxsUwK7uQg2zw/rTHVduAv6o++FAHCLkUFlfdtKqUrKjLoprYlDt6P7Qz6&#10;ILtS6g6HADeNjKNoIQ3WHBYqbGlbUXE93owCvKzyPeVv/Wd7us3MtT+vDruzUpOXMX8H4Wn0j/B/&#10;+0MriOeLJIG/O+EKyM0vAAAA//8DAFBLAQItABQABgAIAAAAIQDb4fbL7gAAAIUBAAATAAAAAAAA&#10;AAAAAAAAAAAAAABbQ29udGVudF9UeXBlc10ueG1sUEsBAi0AFAAGAAgAAAAhAFr0LFu/AAAAFQEA&#10;AAsAAAAAAAAAAAAAAAAAHwEAAF9yZWxzLy5yZWxzUEsBAi0AFAAGAAgAAAAhAJzxYw3HAAAA3gAA&#10;AA8AAAAAAAAAAAAAAAAABwIAAGRycy9kb3ducmV2LnhtbFBLBQYAAAAAAwADALcAAAD7AgAAAAA=&#10;" fillcolor="white [3212]" strokecolor="#0070c0" strokeweight=".25pt">
                  <v:textbox>
                    <w:txbxContent>
                      <w:p w14:paraId="186D2EC6" w14:textId="15D44DEE" w:rsidR="00511D9B" w:rsidRDefault="00511D9B" w:rsidP="00216BFB">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250/2000</w:t>
                        </w:r>
                        <w:r w:rsidRPr="00D459B5">
                          <w:rPr>
                            <w:rFonts w:asciiTheme="minorHAnsi" w:hAnsiTheme="minorHAnsi"/>
                            <w:sz w:val="20"/>
                            <w:szCs w:val="20"/>
                          </w:rPr>
                          <w:t xml:space="preserve">, </w:t>
                        </w:r>
                      </w:p>
                      <w:p w14:paraId="53263B70" w14:textId="64547DDB" w:rsidR="00511D9B" w:rsidRPr="00216BFB" w:rsidRDefault="00511D9B" w:rsidP="00216BFB">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 územních rozpočtů</w:t>
                        </w:r>
                      </w:p>
                      <w:p w14:paraId="5EDC513B" w14:textId="77777777" w:rsidR="00511D9B" w:rsidRPr="00576CB4" w:rsidRDefault="00511D9B" w:rsidP="00D459B5">
                        <w:pPr>
                          <w:spacing w:line="180" w:lineRule="auto"/>
                          <w:rPr>
                            <w:rFonts w:asciiTheme="minorHAnsi" w:hAnsiTheme="minorHAnsi" w:cstheme="minorHAnsi"/>
                            <w:b/>
                            <w:sz w:val="20"/>
                          </w:rPr>
                        </w:pPr>
                      </w:p>
                    </w:txbxContent>
                  </v:textbox>
                </v:shape>
                <v:shape id="Zakřivená spojnice 23659" o:spid="_x0000_s1281" type="#_x0000_t38" style="position:absolute;left:30194;top:13144;width:3905;height:252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Nu9xwAAAN4AAAAPAAAAZHJzL2Rvd25yZXYueG1sRI9BawIx&#10;FITvhf6H8Aq9iGZVKro1ilgKFaTgKurxsXnNLm5eliTV7b9vhEKPw8x8w8yXnW3ElXyoHSsYDjIQ&#10;xKXTNRsFh/17fwoiRGSNjWNS8EMBlovHhznm2t14R9ciGpEgHHJUUMXY5lKGsiKLYeBa4uR9OW8x&#10;JumN1B5vCW4bOcqyibRYc1qosKV1ReWl+LYKtttw2JxPWBS98efxjXremNYr9fzUrV5BROrif/iv&#10;/aEVjMaTlxnc76QrIBe/AAAA//8DAFBLAQItABQABgAIAAAAIQDb4fbL7gAAAIUBAAATAAAAAAAA&#10;AAAAAAAAAAAAAABbQ29udGVudF9UeXBlc10ueG1sUEsBAi0AFAAGAAgAAAAhAFr0LFu/AAAAFQEA&#10;AAsAAAAAAAAAAAAAAAAAHwEAAF9yZWxzLy5yZWxzUEsBAi0AFAAGAAgAAAAhAMbQ273HAAAA3gAA&#10;AA8AAAAAAAAAAAAAAAAABwIAAGRycy9kb3ducmV2LnhtbFBLBQYAAAAAAwADALcAAAD7AgAAAAA=&#10;" adj="10800" strokecolor="#4472c4 [3204]" strokeweight=".5pt">
                  <v:stroke startarrow="oval" endarrow="block" joinstyle="miter"/>
                </v:shape>
                <v:shape id="_x0000_s1282" type="#_x0000_t202" style="position:absolute;left:34099;top:2000;width:20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z1xQAAAN4AAAAPAAAAZHJzL2Rvd25yZXYueG1sRI9Pi8Iw&#10;FMTvwn6H8Ba8aVrFotUoZcF1YU/+AT0+mmdbbF5KE2v99hthweMwM79hVpve1KKj1lWWFcTjCARx&#10;bnXFhYLTcTuag3AeWWNtmRQ8ycFm/TFYYartg/fUHXwhAoRdigpK75tUSpeXZNCNbUMcvKttDfog&#10;20LqFh8Bbmo5iaJEGqw4LJTY0FdJ+e1wNwrwssi+KZt1v83pHptbd17stmelhp99tgThqffv8H/7&#10;RyuYTJMkhtedcAXk+g8AAP//AwBQSwECLQAUAAYACAAAACEA2+H2y+4AAACFAQAAEwAAAAAAAAAA&#10;AAAAAAAAAAAAW0NvbnRlbnRfVHlwZXNdLnhtbFBLAQItABQABgAIAAAAIQBa9CxbvwAAABUBAAAL&#10;AAAAAAAAAAAAAAAAAB8BAABfcmVscy8ucmVsc1BLAQItABQABgAIAAAAIQDHM5z1xQAAAN4AAAAP&#10;AAAAAAAAAAAAAAAAAAcCAABkcnMvZG93bnJldi54bWxQSwUGAAAAAAMAAwC3AAAA+QIAAAAA&#10;" fillcolor="white [3212]" strokecolor="#0070c0" strokeweight=".25pt">
                  <v:textbox>
                    <w:txbxContent>
                      <w:p w14:paraId="7033BA56" w14:textId="4D1A2BEB"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vláda do 30.9.</w:t>
                        </w:r>
                      </w:p>
                      <w:p w14:paraId="0B807573" w14:textId="77777777" w:rsidR="00511D9B" w:rsidRPr="00576CB4" w:rsidRDefault="00511D9B" w:rsidP="00BD65C8">
                        <w:pPr>
                          <w:spacing w:line="180" w:lineRule="auto"/>
                          <w:rPr>
                            <w:rFonts w:asciiTheme="minorHAnsi" w:hAnsiTheme="minorHAnsi" w:cstheme="minorHAnsi"/>
                            <w:b/>
                            <w:sz w:val="20"/>
                          </w:rPr>
                        </w:pPr>
                      </w:p>
                    </w:txbxContent>
                  </v:textbox>
                </v:shape>
                <v:shape id="_x0000_s1283" type="#_x0000_t202" style="position:absolute;left:34099;top:10953;width:20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QKCxQAAAN4AAAAPAAAAZHJzL2Rvd25yZXYueG1sRI9Bi8Iw&#10;FITvC/6H8ARva2pli1ajFEFX8LQq6PHRPNti81KaWLv/3iwIexxm5htmue5NLTpqXWVZwWQcgSDO&#10;ra64UHA+bT9nIJxH1lhbJgW/5GC9GnwsMdX2yT/UHX0hAoRdigpK75tUSpeXZNCNbUMcvJttDfog&#10;20LqFp8BbmoZR1EiDVYcFkpsaFNSfj8+jAK8zrMdZV/doTk/JubeXebf24tSo2GfLUB46v1/+N3e&#10;awXxNEli+LsTroBcvQAAAP//AwBQSwECLQAUAAYACAAAACEA2+H2y+4AAACFAQAAEwAAAAAAAAAA&#10;AAAAAAAAAAAAW0NvbnRlbnRfVHlwZXNdLnhtbFBLAQItABQABgAIAAAAIQBa9CxbvwAAABUBAAAL&#10;AAAAAAAAAAAAAAAAAB8BAABfcmVscy8ucmVsc1BLAQItABQABgAIAAAAIQA34QKCxQAAAN4AAAAP&#10;AAAAAAAAAAAAAAAAAAcCAABkcnMvZG93bnJldi54bWxQSwUGAAAAAAMAAwC3AAAA+QIAAAAA&#10;" fillcolor="white [3212]" strokecolor="#0070c0" strokeweight=".25pt">
                  <v:textbox>
                    <w:txbxContent>
                      <w:p w14:paraId="3DE60397" w14:textId="0B11DE33"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rada cca na podzim</w:t>
                        </w:r>
                      </w:p>
                      <w:p w14:paraId="3C247E10" w14:textId="77777777" w:rsidR="00511D9B" w:rsidRPr="00576CB4" w:rsidRDefault="00511D9B" w:rsidP="00BD65C8">
                        <w:pPr>
                          <w:spacing w:line="180" w:lineRule="auto"/>
                          <w:rPr>
                            <w:rFonts w:asciiTheme="minorHAnsi" w:hAnsiTheme="minorHAnsi" w:cstheme="minorHAnsi"/>
                            <w:b/>
                            <w:sz w:val="20"/>
                          </w:rPr>
                        </w:pPr>
                      </w:p>
                    </w:txbxContent>
                  </v:textbox>
                </v:shape>
                <v:shape id="Zakřivená spojnice 23663" o:spid="_x0000_s1284" type="#_x0000_t38" style="position:absolute;left:30175;top:3143;width:3924;height:911;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71cwwAAAN4AAAAPAAAAZHJzL2Rvd25yZXYueG1sRI9Pi8Iw&#10;FMTvC36H8ARva6JCWatRxD/gSXZVPD+aZ1tsXkoStX57s7Cwx2FmfsPMl51txIN8qB1rGA0VCOLC&#10;mZpLDefT7vMLRIjIBhvHpOFFAZaL3sccc+Oe/EOPYyxFgnDIUUMVY5tLGYqKLIaha4mTd3XeYkzS&#10;l9J4fCa4beRYqUxarDktVNjSuqLidrzbRLmwPOx39RbVJptevLpPv7uD1oN+t5qBiNTF//Bfe280&#10;jCdZNoHfO+kKyMUbAAD//wMAUEsBAi0AFAAGAAgAAAAhANvh9svuAAAAhQEAABMAAAAAAAAAAAAA&#10;AAAAAAAAAFtDb250ZW50X1R5cGVzXS54bWxQSwECLQAUAAYACAAAACEAWvQsW78AAAAVAQAACwAA&#10;AAAAAAAAAAAAAAAfAQAAX3JlbHMvLnJlbHNQSwECLQAUAAYACAAAACEAz9O9XMMAAADeAAAADwAA&#10;AAAAAAAAAAAAAAAHAgAAZHJzL2Rvd25yZXYueG1sUEsFBgAAAAADAAMAtwAAAPcCAAAAAA==&#10;" adj="10800" strokecolor="#4472c4 [3204]" strokeweight=".5pt">
                  <v:stroke startarrow="oval" endarrow="block" joinstyle="miter"/>
                </v:shape>
                <v:shape id="Zakřivená spojnice 23664" o:spid="_x0000_s1285" type="#_x0000_t38" style="position:absolute;left:30175;top:12096;width:3924;height:109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iUoxAAAAN4AAAAPAAAAZHJzL2Rvd25yZXYueG1sRI9PawIx&#10;FMTvBb9DeAVvNamWRVejSKvgSfyH58fmubu4eVmSqOu3bwoFj8PM/IaZLTrbiDv5UDvW8DlQIIgL&#10;Z2ouNZyO648xiBCRDTaOScOTAizmvbcZ5sY9eE/3QyxFgnDIUUMVY5tLGYqKLIaBa4mTd3HeYkzS&#10;l9J4fCS4beRQqUxarDktVNjSd0XF9XCziXJmud2s6xWqn2xy9uo22XVbrfvv3XIKIlIXX+H/9sZo&#10;GI6y7Av+7qQrIOe/AAAA//8DAFBLAQItABQABgAIAAAAIQDb4fbL7gAAAIUBAAATAAAAAAAAAAAA&#10;AAAAAAAAAABbQ29udGVudF9UeXBlc10ueG1sUEsBAi0AFAAGAAgAAAAhAFr0LFu/AAAAFQEAAAsA&#10;AAAAAAAAAAAAAAAAHwEAAF9yZWxzLy5yZWxzUEsBAi0AFAAGAAgAAAAhAEA6JSjEAAAA3gAAAA8A&#10;AAAAAAAAAAAAAAAABwIAAGRycy9kb3ducmV2LnhtbFBLBQYAAAAAAwADALcAAAD4AgAAAAA=&#10;" adj="10800" strokecolor="#4472c4 [3204]" strokeweight=".5pt">
                  <v:stroke startarrow="oval" endarrow="block" joinstyle="miter"/>
                </v:shape>
              </v:group>
            </w:pict>
          </mc:Fallback>
        </mc:AlternateContent>
      </w:r>
    </w:p>
    <w:p w14:paraId="1ADAF166" w14:textId="2D297BA4" w:rsidR="00D459B5" w:rsidRDefault="00D459B5" w:rsidP="00D459B5">
      <w:pPr>
        <w:tabs>
          <w:tab w:val="num" w:pos="720"/>
        </w:tabs>
        <w:jc w:val="both"/>
        <w:rPr>
          <w:rFonts w:ascii="Calibri" w:hAnsi="Calibri" w:cs="Calibri"/>
        </w:rPr>
      </w:pPr>
    </w:p>
    <w:p w14:paraId="5C6B9CB6" w14:textId="209E76E3" w:rsidR="00D459B5" w:rsidRDefault="00D459B5" w:rsidP="00D459B5">
      <w:pPr>
        <w:tabs>
          <w:tab w:val="num" w:pos="720"/>
        </w:tabs>
        <w:jc w:val="both"/>
        <w:rPr>
          <w:rFonts w:ascii="Calibri" w:hAnsi="Calibri" w:cs="Calibri"/>
        </w:rPr>
      </w:pPr>
    </w:p>
    <w:p w14:paraId="2767D6F9" w14:textId="7C2F1FA5" w:rsidR="00D459B5" w:rsidRDefault="00D459B5" w:rsidP="00D459B5">
      <w:pPr>
        <w:tabs>
          <w:tab w:val="num" w:pos="720"/>
        </w:tabs>
        <w:jc w:val="both"/>
        <w:rPr>
          <w:rFonts w:asciiTheme="minorHAnsi" w:hAnsiTheme="minorHAnsi" w:cstheme="minorHAnsi"/>
        </w:rPr>
      </w:pPr>
    </w:p>
    <w:p w14:paraId="55AED4AA" w14:textId="11316D90" w:rsidR="00D459B5" w:rsidRDefault="00D459B5" w:rsidP="00D459B5">
      <w:pPr>
        <w:pStyle w:val="Zkladntext3"/>
        <w:spacing w:after="0" w:line="360" w:lineRule="auto"/>
        <w:ind w:left="66" w:firstLine="294"/>
        <w:jc w:val="both"/>
        <w:rPr>
          <w:rFonts w:asciiTheme="minorHAnsi" w:eastAsia="Calibri" w:hAnsiTheme="minorHAnsi" w:cstheme="minorHAnsi"/>
          <w:i/>
          <w:iCs/>
          <w:sz w:val="24"/>
          <w:szCs w:val="24"/>
        </w:rPr>
      </w:pPr>
    </w:p>
    <w:p w14:paraId="2F215F2A" w14:textId="596A1D1E" w:rsidR="00D459B5" w:rsidRDefault="00D459B5" w:rsidP="00D459B5">
      <w:pPr>
        <w:pStyle w:val="Zkladntext3"/>
        <w:spacing w:after="0" w:line="360" w:lineRule="auto"/>
        <w:ind w:left="66" w:firstLine="294"/>
        <w:jc w:val="both"/>
        <w:rPr>
          <w:rFonts w:asciiTheme="minorHAnsi" w:eastAsia="Calibri" w:hAnsiTheme="minorHAnsi" w:cstheme="minorHAnsi"/>
          <w:i/>
          <w:iCs/>
          <w:sz w:val="24"/>
          <w:szCs w:val="24"/>
        </w:rPr>
      </w:pPr>
    </w:p>
    <w:p w14:paraId="2E4CAD32" w14:textId="1B5869F7" w:rsidR="00D459B5" w:rsidRDefault="00D459B5" w:rsidP="00D459B5">
      <w:pPr>
        <w:pStyle w:val="Zkladntext3"/>
        <w:spacing w:after="0" w:line="360" w:lineRule="auto"/>
        <w:jc w:val="both"/>
        <w:rPr>
          <w:rFonts w:asciiTheme="minorHAnsi" w:eastAsia="Calibri" w:hAnsiTheme="minorHAnsi" w:cstheme="minorHAnsi"/>
          <w:i/>
          <w:iCs/>
          <w:sz w:val="24"/>
          <w:szCs w:val="24"/>
        </w:rPr>
      </w:pPr>
    </w:p>
    <w:p w14:paraId="6EE4CF32" w14:textId="77777777" w:rsidR="00D459B5" w:rsidRPr="00A06E6A" w:rsidRDefault="00D459B5" w:rsidP="00D459B5">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559E5397" w14:textId="7CA05C7A" w:rsidR="00D459B5" w:rsidRDefault="00D459B5" w:rsidP="00B253EC">
      <w:pPr>
        <w:pStyle w:val="A1-text"/>
        <w:spacing w:after="0"/>
        <w:rPr>
          <w:rFonts w:asciiTheme="minorHAnsi" w:hAnsiTheme="minorHAnsi" w:cstheme="minorHAnsi"/>
          <w:b/>
          <w:bCs/>
        </w:rPr>
      </w:pPr>
    </w:p>
    <w:p w14:paraId="2F08AC22" w14:textId="1AC57326" w:rsidR="005276F1" w:rsidRPr="005276F1" w:rsidRDefault="005276F1" w:rsidP="00B253EC">
      <w:pPr>
        <w:pStyle w:val="A1-text"/>
        <w:spacing w:after="0"/>
        <w:rPr>
          <w:rFonts w:asciiTheme="minorHAnsi" w:hAnsiTheme="minorHAnsi" w:cstheme="minorHAnsi"/>
          <w:bCs/>
          <w:lang w:val="cs-CZ"/>
        </w:rPr>
      </w:pPr>
      <w:r w:rsidRPr="005276F1">
        <w:rPr>
          <w:rFonts w:asciiTheme="minorHAnsi" w:hAnsiTheme="minorHAnsi" w:cstheme="minorHAnsi"/>
          <w:bCs/>
          <w:lang w:val="cs-CZ"/>
        </w:rPr>
        <w:t xml:space="preserve">Tato fáze </w:t>
      </w:r>
      <w:r w:rsidRPr="00E41420">
        <w:rPr>
          <w:rFonts w:asciiTheme="minorHAnsi" w:hAnsiTheme="minorHAnsi" w:cstheme="minorHAnsi"/>
          <w:b/>
          <w:bCs/>
          <w:lang w:val="cs-CZ"/>
        </w:rPr>
        <w:t>je pro strategickou práci jak příležitostí, tak rizikem</w:t>
      </w:r>
      <w:r w:rsidRPr="005276F1">
        <w:rPr>
          <w:rFonts w:asciiTheme="minorHAnsi" w:hAnsiTheme="minorHAnsi" w:cstheme="minorHAnsi"/>
          <w:bCs/>
          <w:lang w:val="cs-CZ"/>
        </w:rPr>
        <w:t>.</w:t>
      </w:r>
      <w:r>
        <w:rPr>
          <w:rFonts w:asciiTheme="minorHAnsi" w:hAnsiTheme="minorHAnsi" w:cstheme="minorHAnsi"/>
          <w:bCs/>
          <w:lang w:val="cs-CZ"/>
        </w:rPr>
        <w:t xml:space="preserve"> Příležitostí v tom smyslu, že během projednávání a schvalování se může podařit do rozpočtu zařadit nebo zvýšit položku nebo investici, která je pro strategickou práci významná. Rizikem pak z opačného důvodu – může být důležitá položka vyřazena nebo snížená. Taktéž může být rizikem neschválení rozpočtu do 31. 12. a rozpočtové provizorium od 1. 1. následujícího roku – může to ohrozit </w:t>
      </w:r>
      <w:r w:rsidR="00E41420">
        <w:rPr>
          <w:rFonts w:asciiTheme="minorHAnsi" w:hAnsiTheme="minorHAnsi" w:cstheme="minorHAnsi"/>
          <w:bCs/>
          <w:lang w:val="cs-CZ"/>
        </w:rPr>
        <w:t xml:space="preserve">(zdržet) </w:t>
      </w:r>
      <w:r>
        <w:rPr>
          <w:rFonts w:asciiTheme="minorHAnsi" w:hAnsiTheme="minorHAnsi" w:cstheme="minorHAnsi"/>
          <w:bCs/>
          <w:lang w:val="cs-CZ"/>
        </w:rPr>
        <w:t>zejména nové činnosti a projekty.</w:t>
      </w:r>
    </w:p>
    <w:p w14:paraId="5795BA8F" w14:textId="77777777" w:rsidR="005276F1" w:rsidRDefault="005276F1" w:rsidP="00B253EC">
      <w:pPr>
        <w:pStyle w:val="A1-text"/>
        <w:spacing w:after="0"/>
        <w:rPr>
          <w:rFonts w:asciiTheme="minorHAnsi" w:hAnsiTheme="minorHAnsi" w:cstheme="minorHAnsi"/>
          <w:b/>
          <w:bCs/>
        </w:rPr>
      </w:pPr>
    </w:p>
    <w:p w14:paraId="5E78FAFE" w14:textId="0BC895A7" w:rsidR="00CF56EB" w:rsidRDefault="00CF56EB" w:rsidP="00B253EC">
      <w:pPr>
        <w:pStyle w:val="A1-text"/>
        <w:spacing w:after="0"/>
        <w:rPr>
          <w:rFonts w:asciiTheme="minorHAnsi" w:hAnsiTheme="minorHAnsi" w:cstheme="minorHAnsi"/>
          <w:b/>
          <w:bCs/>
          <w:lang w:val="cs-CZ"/>
        </w:rPr>
      </w:pPr>
      <w:r>
        <w:rPr>
          <w:rFonts w:asciiTheme="minorHAnsi" w:hAnsiTheme="minorHAnsi" w:cstheme="minorHAnsi"/>
          <w:b/>
          <w:bCs/>
          <w:lang w:val="cs-CZ"/>
        </w:rPr>
        <w:t>Projednávání a schvalování státního rozpočtu</w:t>
      </w:r>
    </w:p>
    <w:p w14:paraId="143ABBCB" w14:textId="2A17648B" w:rsidR="00B253EC" w:rsidRDefault="00056983" w:rsidP="00B253EC">
      <w:pPr>
        <w:pStyle w:val="A1-text"/>
        <w:spacing w:after="0"/>
        <w:rPr>
          <w:rFonts w:asciiTheme="minorHAnsi" w:hAnsiTheme="minorHAnsi" w:cstheme="minorHAnsi"/>
          <w:lang w:val="cs-CZ"/>
        </w:rPr>
      </w:pPr>
      <w:r w:rsidRPr="00056983">
        <w:rPr>
          <w:rFonts w:asciiTheme="minorHAnsi" w:hAnsiTheme="minorHAnsi" w:cstheme="minorHAnsi"/>
          <w:b/>
          <w:bCs/>
          <w:lang w:val="cs-CZ"/>
        </w:rPr>
        <w:t>Státní rozpočet</w:t>
      </w:r>
      <w:r>
        <w:rPr>
          <w:rFonts w:asciiTheme="minorHAnsi" w:hAnsiTheme="minorHAnsi" w:cstheme="minorHAnsi"/>
          <w:bCs/>
          <w:lang w:val="cs-CZ"/>
        </w:rPr>
        <w:t xml:space="preserve"> </w:t>
      </w:r>
      <w:r w:rsidR="00B253EC">
        <w:rPr>
          <w:rFonts w:asciiTheme="minorHAnsi" w:hAnsiTheme="minorHAnsi" w:cstheme="minorHAnsi"/>
          <w:bCs/>
          <w:lang w:val="cs-CZ"/>
        </w:rPr>
        <w:t>je jeden z nejdůležitějších zákonů každého roku. P</w:t>
      </w:r>
      <w:r>
        <w:rPr>
          <w:rFonts w:asciiTheme="minorHAnsi" w:hAnsiTheme="minorHAnsi" w:cstheme="minorHAnsi"/>
          <w:bCs/>
          <w:lang w:val="cs-CZ"/>
        </w:rPr>
        <w:t xml:space="preserve">rojednává a schvaluje </w:t>
      </w:r>
      <w:r w:rsidR="00B253EC">
        <w:rPr>
          <w:rFonts w:asciiTheme="minorHAnsi" w:hAnsiTheme="minorHAnsi" w:cstheme="minorHAnsi"/>
          <w:bCs/>
          <w:lang w:val="cs-CZ"/>
        </w:rPr>
        <w:t xml:space="preserve">jej </w:t>
      </w:r>
      <w:r>
        <w:rPr>
          <w:rFonts w:asciiTheme="minorHAnsi" w:hAnsiTheme="minorHAnsi" w:cstheme="minorHAnsi"/>
          <w:bCs/>
          <w:lang w:val="cs-CZ"/>
        </w:rPr>
        <w:t>Poslanecká sněmovna.</w:t>
      </w:r>
      <w:r w:rsidR="00B253EC">
        <w:rPr>
          <w:rFonts w:asciiTheme="minorHAnsi" w:hAnsiTheme="minorHAnsi" w:cstheme="minorHAnsi"/>
          <w:bCs/>
          <w:lang w:val="cs-CZ"/>
        </w:rPr>
        <w:t xml:space="preserve"> </w:t>
      </w:r>
      <w:r w:rsidRPr="00091F6A">
        <w:rPr>
          <w:rFonts w:asciiTheme="minorHAnsi" w:hAnsiTheme="minorHAnsi" w:cstheme="minorHAnsi"/>
          <w:b/>
        </w:rPr>
        <w:t>Vláda předkládá do 30. 9. návrh zákona</w:t>
      </w:r>
      <w:r w:rsidRPr="00880EA9">
        <w:rPr>
          <w:rFonts w:asciiTheme="minorHAnsi" w:hAnsiTheme="minorHAnsi" w:cstheme="minorHAnsi"/>
        </w:rPr>
        <w:t xml:space="preserve"> o státním rozpočtu </w:t>
      </w:r>
      <w:r>
        <w:rPr>
          <w:rFonts w:asciiTheme="minorHAnsi" w:hAnsiTheme="minorHAnsi" w:cstheme="minorHAnsi"/>
          <w:lang w:val="cs-CZ"/>
        </w:rPr>
        <w:t>na následující rok včetně návrhu střednědobého výhledu (další 2 roky)</w:t>
      </w:r>
      <w:r w:rsidRPr="00880EA9">
        <w:rPr>
          <w:rFonts w:asciiTheme="minorHAnsi" w:hAnsiTheme="minorHAnsi" w:cstheme="minorHAnsi"/>
        </w:rPr>
        <w:t xml:space="preserve">. </w:t>
      </w:r>
      <w:r w:rsidR="00B253EC">
        <w:rPr>
          <w:rFonts w:asciiTheme="minorHAnsi" w:hAnsiTheme="minorHAnsi" w:cstheme="minorHAnsi"/>
          <w:lang w:val="cs-CZ"/>
        </w:rPr>
        <w:t xml:space="preserve">Státní rozpočet je Poslaneckou sněmovnou </w:t>
      </w:r>
      <w:r w:rsidRPr="00880EA9">
        <w:rPr>
          <w:rFonts w:asciiTheme="minorHAnsi" w:hAnsiTheme="minorHAnsi" w:cstheme="minorHAnsi"/>
        </w:rPr>
        <w:t>projednáván v trojím čtení</w:t>
      </w:r>
      <w:r w:rsidR="00B253EC">
        <w:rPr>
          <w:rFonts w:asciiTheme="minorHAnsi" w:hAnsiTheme="minorHAnsi" w:cstheme="minorHAnsi"/>
          <w:lang w:val="cs-CZ"/>
        </w:rPr>
        <w:t>:</w:t>
      </w:r>
    </w:p>
    <w:p w14:paraId="79E23861" w14:textId="77777777" w:rsidR="00B253EC" w:rsidRPr="00B253EC" w:rsidRDefault="00B253EC" w:rsidP="0065698B">
      <w:pPr>
        <w:pStyle w:val="Textpoznpodarou"/>
        <w:numPr>
          <w:ilvl w:val="0"/>
          <w:numId w:val="47"/>
        </w:numPr>
        <w:spacing w:line="360" w:lineRule="auto"/>
        <w:jc w:val="both"/>
        <w:rPr>
          <w:sz w:val="24"/>
        </w:rPr>
      </w:pPr>
      <w:r w:rsidRPr="00B253EC">
        <w:rPr>
          <w:rFonts w:asciiTheme="minorHAnsi" w:hAnsiTheme="minorHAnsi" w:cstheme="minorHAnsi"/>
          <w:sz w:val="24"/>
        </w:rPr>
        <w:t xml:space="preserve">V prvním čtení jsou schváleny celkové příjmy a výdaje, popřípadě je návrh zákona o státním rozpočtu vrácen k přepracování. Po schválení návrhu zákona o státním rozpočtu </w:t>
      </w:r>
      <w:r w:rsidRPr="00B253EC">
        <w:rPr>
          <w:rFonts w:asciiTheme="minorHAnsi" w:hAnsiTheme="minorHAnsi" w:cstheme="minorHAnsi"/>
          <w:sz w:val="24"/>
        </w:rPr>
        <w:lastRenderedPageBreak/>
        <w:t xml:space="preserve">v prvním čtení jsou v jednotlivých parlamentních výborech projednávány příslušné kapitoly státního rozpočtu. Toto projednání končí přijetím usnesení k rozpočtovým kapitolám, které přijímá rozpočtový výbor minimálně 24 hodin před druhým čtením. </w:t>
      </w:r>
    </w:p>
    <w:p w14:paraId="453CE552" w14:textId="77777777" w:rsidR="00B253EC" w:rsidRPr="00B253EC" w:rsidRDefault="00B253EC" w:rsidP="0065698B">
      <w:pPr>
        <w:pStyle w:val="Textpoznpodarou"/>
        <w:numPr>
          <w:ilvl w:val="0"/>
          <w:numId w:val="47"/>
        </w:numPr>
        <w:spacing w:line="360" w:lineRule="auto"/>
        <w:jc w:val="both"/>
        <w:rPr>
          <w:sz w:val="24"/>
        </w:rPr>
      </w:pPr>
      <w:r w:rsidRPr="00B253EC">
        <w:rPr>
          <w:rFonts w:asciiTheme="minorHAnsi" w:hAnsiTheme="minorHAnsi" w:cstheme="minorHAnsi"/>
          <w:sz w:val="24"/>
        </w:rPr>
        <w:t xml:space="preserve">Obsahem druhého čtení je podrobná rozprava poslanců o návrhu zákona o státním rozpočtu. Jsou přijímány pozměňovací návrhy poslanců. Ty se ale nemohou </w:t>
      </w:r>
      <w:r>
        <w:rPr>
          <w:rFonts w:asciiTheme="minorHAnsi" w:hAnsiTheme="minorHAnsi" w:cstheme="minorHAnsi"/>
          <w:sz w:val="24"/>
        </w:rPr>
        <w:t xml:space="preserve">již </w:t>
      </w:r>
      <w:r w:rsidRPr="00B253EC">
        <w:rPr>
          <w:rFonts w:asciiTheme="minorHAnsi" w:hAnsiTheme="minorHAnsi" w:cstheme="minorHAnsi"/>
          <w:sz w:val="24"/>
        </w:rPr>
        <w:t xml:space="preserve">týkat celkové výše schválených příjmů a výdajů z jednání prvního čtení. </w:t>
      </w:r>
    </w:p>
    <w:p w14:paraId="5329A9AF" w14:textId="4DE41D0E" w:rsidR="00B253EC" w:rsidRPr="00B253EC" w:rsidRDefault="00B253EC" w:rsidP="0065698B">
      <w:pPr>
        <w:pStyle w:val="Textpoznpodarou"/>
        <w:numPr>
          <w:ilvl w:val="0"/>
          <w:numId w:val="47"/>
        </w:numPr>
        <w:spacing w:line="360" w:lineRule="auto"/>
        <w:jc w:val="both"/>
        <w:rPr>
          <w:sz w:val="24"/>
          <w:szCs w:val="24"/>
        </w:rPr>
      </w:pPr>
      <w:r w:rsidRPr="00B253EC">
        <w:rPr>
          <w:rFonts w:asciiTheme="minorHAnsi" w:hAnsiTheme="minorHAnsi" w:cstheme="minorHAnsi"/>
          <w:sz w:val="24"/>
          <w:szCs w:val="24"/>
        </w:rPr>
        <w:t>Ve třetím čtení (nejdříve 48 hodin po skončení čtení druhého) jsou prováděny formální úpravy v návrhu zákona o státním rozpočtu.</w:t>
      </w:r>
      <w:r>
        <w:rPr>
          <w:rFonts w:asciiTheme="minorHAnsi" w:hAnsiTheme="minorHAnsi" w:cstheme="minorHAnsi"/>
          <w:sz w:val="24"/>
          <w:szCs w:val="24"/>
        </w:rPr>
        <w:t xml:space="preserve"> </w:t>
      </w:r>
      <w:r w:rsidR="00056983" w:rsidRPr="00B253EC">
        <w:rPr>
          <w:rFonts w:asciiTheme="minorHAnsi" w:hAnsiTheme="minorHAnsi" w:cstheme="minorHAnsi"/>
          <w:sz w:val="24"/>
          <w:szCs w:val="24"/>
        </w:rPr>
        <w:t xml:space="preserve">Na závěr třetího čtení se hlasuje o pozměňovacích návrzích a poté se hlasuje o přijetí návrhu zákona o státním rozpočtu prostou většinou přítomných poslanců.  </w:t>
      </w:r>
      <w:r>
        <w:rPr>
          <w:rFonts w:asciiTheme="minorHAnsi" w:hAnsiTheme="minorHAnsi" w:cstheme="minorHAnsi"/>
          <w:sz w:val="24"/>
          <w:szCs w:val="24"/>
        </w:rPr>
        <w:t xml:space="preserve">Zákon je tím schválen (na rozdíl </w:t>
      </w:r>
      <w:r w:rsidR="00BF59B2">
        <w:rPr>
          <w:rFonts w:asciiTheme="minorHAnsi" w:hAnsiTheme="minorHAnsi" w:cstheme="minorHAnsi"/>
          <w:sz w:val="24"/>
          <w:szCs w:val="24"/>
        </w:rPr>
        <w:t>o</w:t>
      </w:r>
      <w:r>
        <w:rPr>
          <w:rFonts w:asciiTheme="minorHAnsi" w:hAnsiTheme="minorHAnsi" w:cstheme="minorHAnsi"/>
          <w:sz w:val="24"/>
          <w:szCs w:val="24"/>
        </w:rPr>
        <w:t>d jiných zákonů je neprojednává Senát Parlamentu ČR).</w:t>
      </w:r>
    </w:p>
    <w:p w14:paraId="206C9E14" w14:textId="1F29A5FD" w:rsidR="00056983" w:rsidRDefault="00CF56EB" w:rsidP="00CF56EB">
      <w:pPr>
        <w:pStyle w:val="A1-text"/>
        <w:spacing w:after="0"/>
        <w:rPr>
          <w:rFonts w:asciiTheme="minorHAnsi" w:hAnsiTheme="minorHAnsi" w:cstheme="minorHAnsi"/>
        </w:rPr>
      </w:pPr>
      <w:r>
        <w:rPr>
          <w:rFonts w:asciiTheme="minorHAnsi" w:hAnsiTheme="minorHAnsi" w:cstheme="minorHAnsi"/>
          <w:lang w:val="cs-CZ"/>
        </w:rPr>
        <w:t xml:space="preserve">Schválený </w:t>
      </w:r>
      <w:r w:rsidR="009514E7">
        <w:rPr>
          <w:rFonts w:asciiTheme="minorHAnsi" w:hAnsiTheme="minorHAnsi" w:cstheme="minorHAnsi"/>
          <w:lang w:val="cs-CZ"/>
        </w:rPr>
        <w:t>zákon</w:t>
      </w:r>
      <w:r w:rsidR="00056983" w:rsidRPr="00880EA9">
        <w:rPr>
          <w:rFonts w:asciiTheme="minorHAnsi" w:hAnsiTheme="minorHAnsi" w:cstheme="minorHAnsi"/>
        </w:rPr>
        <w:t xml:space="preserve"> nabývá na účinnosti 1. ledn</w:t>
      </w:r>
      <w:r w:rsidR="00056983">
        <w:rPr>
          <w:rFonts w:asciiTheme="minorHAnsi" w:hAnsiTheme="minorHAnsi" w:cstheme="minorHAnsi"/>
        </w:rPr>
        <w:t>a</w:t>
      </w:r>
      <w:r w:rsidR="00056983" w:rsidRPr="00880EA9">
        <w:rPr>
          <w:rFonts w:asciiTheme="minorHAnsi" w:hAnsiTheme="minorHAnsi" w:cstheme="minorHAnsi"/>
        </w:rPr>
        <w:t xml:space="preserve">. Pokud by do té doby nebyl návrh zákona o státním rozpočtu schválen, postupuje se podle </w:t>
      </w:r>
      <w:r w:rsidR="00056983" w:rsidRPr="00091F6A">
        <w:rPr>
          <w:rFonts w:asciiTheme="minorHAnsi" w:hAnsiTheme="minorHAnsi" w:cstheme="minorHAnsi"/>
          <w:b/>
        </w:rPr>
        <w:t>rozpočtového provizoria</w:t>
      </w:r>
      <w:r w:rsidR="00056983" w:rsidRPr="00880EA9">
        <w:rPr>
          <w:rFonts w:asciiTheme="minorHAnsi" w:hAnsiTheme="minorHAnsi" w:cstheme="minorHAnsi"/>
        </w:rPr>
        <w:t>.</w:t>
      </w:r>
      <w:r w:rsidR="00056983">
        <w:rPr>
          <w:rFonts w:asciiTheme="minorHAnsi" w:hAnsiTheme="minorHAnsi" w:cstheme="minorHAnsi"/>
        </w:rPr>
        <w:t xml:space="preserve"> Rozpočtové provizorium </w:t>
      </w:r>
      <w:r w:rsidR="00056983" w:rsidRPr="00880EA9">
        <w:rPr>
          <w:rFonts w:asciiTheme="minorHAnsi" w:hAnsiTheme="minorHAnsi" w:cstheme="minorHAnsi"/>
        </w:rPr>
        <w:t xml:space="preserve">nastává tehdy, </w:t>
      </w:r>
      <w:r w:rsidR="00B253EC">
        <w:rPr>
          <w:rFonts w:asciiTheme="minorHAnsi" w:hAnsiTheme="minorHAnsi" w:cstheme="minorHAnsi"/>
        </w:rPr>
        <w:t>p</w:t>
      </w:r>
      <w:r w:rsidR="00056983">
        <w:rPr>
          <w:rFonts w:asciiTheme="minorHAnsi" w:hAnsiTheme="minorHAnsi" w:cstheme="minorHAnsi"/>
        </w:rPr>
        <w:t>okud</w:t>
      </w:r>
      <w:r w:rsidR="00056983" w:rsidRPr="00880EA9">
        <w:rPr>
          <w:rFonts w:asciiTheme="minorHAnsi" w:hAnsiTheme="minorHAnsi" w:cstheme="minorHAnsi"/>
        </w:rPr>
        <w:t xml:space="preserve"> není Poslaneckou sněmovnou vysloven souhlas se zákonem o státním rozpočtu na příslušný rozpočtový rok před prvním dnem rozpočtového roku. </w:t>
      </w:r>
    </w:p>
    <w:p w14:paraId="4A18353D" w14:textId="77777777" w:rsidR="00056983" w:rsidRDefault="00056983" w:rsidP="00CF56EB">
      <w:pPr>
        <w:pStyle w:val="A1-text"/>
        <w:spacing w:after="0"/>
        <w:rPr>
          <w:rFonts w:asciiTheme="minorHAnsi" w:hAnsiTheme="minorHAnsi" w:cstheme="minorHAnsi"/>
          <w:bCs/>
          <w:lang w:val="cs-CZ"/>
        </w:rPr>
      </w:pPr>
    </w:p>
    <w:p w14:paraId="4BBC462D" w14:textId="19B5109A" w:rsidR="00056983" w:rsidRPr="00CF56EB" w:rsidRDefault="00CF56EB" w:rsidP="00CF56EB">
      <w:pPr>
        <w:pStyle w:val="A1-text"/>
        <w:spacing w:after="0"/>
        <w:rPr>
          <w:rFonts w:asciiTheme="minorHAnsi" w:hAnsiTheme="minorHAnsi" w:cstheme="minorHAnsi"/>
          <w:b/>
          <w:bCs/>
          <w:lang w:val="cs-CZ"/>
        </w:rPr>
      </w:pPr>
      <w:r w:rsidRPr="00CF56EB">
        <w:rPr>
          <w:rFonts w:asciiTheme="minorHAnsi" w:hAnsiTheme="minorHAnsi" w:cstheme="minorHAnsi"/>
          <w:b/>
          <w:bCs/>
          <w:lang w:val="cs-CZ"/>
        </w:rPr>
        <w:t xml:space="preserve">Projednávání a schvalování </w:t>
      </w:r>
      <w:r>
        <w:rPr>
          <w:rFonts w:asciiTheme="minorHAnsi" w:hAnsiTheme="minorHAnsi" w:cstheme="minorHAnsi"/>
          <w:b/>
          <w:bCs/>
          <w:lang w:val="cs-CZ"/>
        </w:rPr>
        <w:t>územních rozpočtů</w:t>
      </w:r>
      <w:r w:rsidRPr="00CF56EB">
        <w:rPr>
          <w:rFonts w:asciiTheme="minorHAnsi" w:hAnsiTheme="minorHAnsi" w:cstheme="minorHAnsi"/>
          <w:b/>
          <w:bCs/>
          <w:lang w:val="cs-CZ"/>
        </w:rPr>
        <w:t xml:space="preserve"> </w:t>
      </w:r>
      <w:r>
        <w:rPr>
          <w:rFonts w:asciiTheme="minorHAnsi" w:hAnsiTheme="minorHAnsi" w:cstheme="minorHAnsi"/>
          <w:b/>
          <w:bCs/>
          <w:lang w:val="cs-CZ"/>
        </w:rPr>
        <w:t>(</w:t>
      </w:r>
      <w:r w:rsidRPr="00CF56EB">
        <w:rPr>
          <w:rFonts w:asciiTheme="minorHAnsi" w:hAnsiTheme="minorHAnsi" w:cstheme="minorHAnsi"/>
          <w:b/>
          <w:bCs/>
          <w:lang w:val="cs-CZ"/>
        </w:rPr>
        <w:t>obce nebo kraje</w:t>
      </w:r>
      <w:r>
        <w:rPr>
          <w:rFonts w:asciiTheme="minorHAnsi" w:hAnsiTheme="minorHAnsi" w:cstheme="minorHAnsi"/>
          <w:b/>
          <w:bCs/>
          <w:lang w:val="cs-CZ"/>
        </w:rPr>
        <w:t>)</w:t>
      </w:r>
    </w:p>
    <w:p w14:paraId="7C51E804" w14:textId="433B939A" w:rsidR="004E793F" w:rsidRPr="00E628CC" w:rsidRDefault="004E793F" w:rsidP="00CF56EB">
      <w:pPr>
        <w:pStyle w:val="A1-text"/>
        <w:spacing w:after="0"/>
        <w:rPr>
          <w:rFonts w:asciiTheme="minorHAnsi" w:hAnsiTheme="minorHAnsi" w:cstheme="minorHAnsi"/>
          <w:szCs w:val="19"/>
        </w:rPr>
      </w:pPr>
      <w:r w:rsidRPr="00CF56EB">
        <w:rPr>
          <w:rFonts w:asciiTheme="minorHAnsi" w:hAnsiTheme="minorHAnsi" w:cstheme="minorHAnsi"/>
          <w:bCs/>
        </w:rPr>
        <w:t>Schvalování rozpočtu</w:t>
      </w:r>
      <w:r w:rsidRPr="00CF56EB">
        <w:rPr>
          <w:rFonts w:asciiTheme="minorHAnsi" w:hAnsiTheme="minorHAnsi" w:cstheme="minorHAnsi"/>
        </w:rPr>
        <w:t xml:space="preserve"> obce </w:t>
      </w:r>
      <w:r w:rsidR="00056983" w:rsidRPr="00CF56EB">
        <w:rPr>
          <w:rFonts w:asciiTheme="minorHAnsi" w:hAnsiTheme="minorHAnsi" w:cstheme="minorHAnsi"/>
          <w:lang w:val="cs-CZ"/>
        </w:rPr>
        <w:t xml:space="preserve">nebo kraje je </w:t>
      </w:r>
      <w:r w:rsidRPr="00CF56EB">
        <w:rPr>
          <w:rFonts w:asciiTheme="minorHAnsi" w:hAnsiTheme="minorHAnsi" w:cstheme="minorHAnsi"/>
        </w:rPr>
        <w:t>vyhrazeno zastupitelstvu obce.</w:t>
      </w:r>
      <w:r w:rsidR="00CF56EB">
        <w:rPr>
          <w:rFonts w:asciiTheme="minorHAnsi" w:hAnsiTheme="minorHAnsi" w:cstheme="minorHAnsi"/>
          <w:lang w:val="cs-CZ"/>
        </w:rPr>
        <w:t xml:space="preserve"> Obvykle jednání zastupitelstva, které rozpočet schvaluje, probíhá v prosinci, případně v druhé polovině listopadu. </w:t>
      </w:r>
      <w:r w:rsidRPr="00E628CC">
        <w:rPr>
          <w:rFonts w:asciiTheme="minorHAnsi" w:hAnsiTheme="minorHAnsi" w:cstheme="minorHAnsi"/>
          <w:szCs w:val="19"/>
        </w:rPr>
        <w:t xml:space="preserve">Návrh rozpočtu obce musí být nejméně po dobu 15 dnů přede dnem jeho projednání v zastupitelstvu </w:t>
      </w:r>
      <w:r w:rsidRPr="00CF56EB">
        <w:rPr>
          <w:rFonts w:asciiTheme="minorHAnsi" w:hAnsiTheme="minorHAnsi" w:cstheme="minorHAnsi"/>
          <w:b/>
          <w:szCs w:val="19"/>
        </w:rPr>
        <w:t>zveřejněn</w:t>
      </w:r>
      <w:r w:rsidRPr="00E628CC">
        <w:rPr>
          <w:rFonts w:asciiTheme="minorHAnsi" w:hAnsiTheme="minorHAnsi" w:cstheme="minorHAnsi"/>
          <w:szCs w:val="19"/>
        </w:rPr>
        <w:t xml:space="preserve"> vhodným způsobem a ve vhodném rozsahu</w:t>
      </w:r>
      <w:r w:rsidRPr="00E628CC">
        <w:rPr>
          <w:rFonts w:asciiTheme="minorHAnsi" w:hAnsiTheme="minorHAnsi" w:cstheme="minorHAnsi"/>
          <w:lang w:val="cs-CZ"/>
        </w:rPr>
        <w:t xml:space="preserve"> (a) </w:t>
      </w:r>
      <w:r w:rsidRPr="00E628CC">
        <w:rPr>
          <w:rFonts w:asciiTheme="minorHAnsi" w:hAnsiTheme="minorHAnsi" w:cstheme="minorHAnsi"/>
          <w:szCs w:val="19"/>
        </w:rPr>
        <w:t xml:space="preserve">na úřední desce a </w:t>
      </w:r>
      <w:r w:rsidRPr="00E628CC">
        <w:rPr>
          <w:rFonts w:asciiTheme="minorHAnsi" w:hAnsiTheme="minorHAnsi" w:cstheme="minorHAnsi"/>
          <w:szCs w:val="19"/>
          <w:lang w:val="cs-CZ"/>
        </w:rPr>
        <w:t xml:space="preserve">(b) </w:t>
      </w:r>
      <w:r w:rsidRPr="00E628CC">
        <w:rPr>
          <w:rFonts w:asciiTheme="minorHAnsi" w:hAnsiTheme="minorHAnsi" w:cstheme="minorHAnsi"/>
        </w:rPr>
        <w:t xml:space="preserve">v elektronické podobě způsobem umožňujícím dálkový přístup. </w:t>
      </w:r>
      <w:r w:rsidRPr="00E628CC">
        <w:rPr>
          <w:rFonts w:asciiTheme="minorHAnsi" w:hAnsiTheme="minorHAnsi" w:cstheme="minorHAnsi"/>
          <w:b/>
        </w:rPr>
        <w:t>Připomínky k návrhu rozpočtu</w:t>
      </w:r>
      <w:r w:rsidRPr="00E628CC">
        <w:rPr>
          <w:rFonts w:asciiTheme="minorHAnsi" w:hAnsiTheme="minorHAnsi" w:cstheme="minorHAnsi"/>
        </w:rPr>
        <w:t xml:space="preserve"> mohou občané obce </w:t>
      </w:r>
      <w:r w:rsidRPr="00E628CC">
        <w:rPr>
          <w:rFonts w:asciiTheme="minorHAnsi" w:hAnsiTheme="minorHAnsi" w:cstheme="minorHAnsi"/>
          <w:lang w:val="cs-CZ"/>
        </w:rPr>
        <w:t xml:space="preserve">v souladu se zákonem </w:t>
      </w:r>
      <w:r w:rsidRPr="00E628CC">
        <w:rPr>
          <w:rFonts w:asciiTheme="minorHAnsi" w:hAnsiTheme="minorHAnsi" w:cstheme="minorHAnsi"/>
        </w:rPr>
        <w:t>uplatnit buď</w:t>
      </w:r>
      <w:r w:rsidRPr="00E628CC">
        <w:rPr>
          <w:rFonts w:asciiTheme="minorHAnsi" w:hAnsiTheme="minorHAnsi" w:cstheme="minorHAnsi"/>
          <w:lang w:val="cs-CZ"/>
        </w:rPr>
        <w:t xml:space="preserve"> (a) </w:t>
      </w:r>
      <w:r w:rsidRPr="00E628CC">
        <w:rPr>
          <w:rFonts w:asciiTheme="minorHAnsi" w:hAnsiTheme="minorHAnsi" w:cstheme="minorHAnsi"/>
        </w:rPr>
        <w:t xml:space="preserve">písemně ve lhůtě stanovené při jeho zveřejnění nebo </w:t>
      </w:r>
      <w:r w:rsidRPr="00E628CC">
        <w:rPr>
          <w:rFonts w:asciiTheme="minorHAnsi" w:hAnsiTheme="minorHAnsi" w:cstheme="minorHAnsi"/>
          <w:lang w:val="cs-CZ"/>
        </w:rPr>
        <w:t xml:space="preserve">(b) </w:t>
      </w:r>
      <w:r w:rsidRPr="00E628CC">
        <w:rPr>
          <w:rFonts w:asciiTheme="minorHAnsi" w:hAnsiTheme="minorHAnsi" w:cstheme="minorHAnsi"/>
        </w:rPr>
        <w:t>ústně na zasedání zastupitelstva, na kterém bude návrh rozpočtu projednáván.</w:t>
      </w:r>
      <w:r w:rsidR="00CF56EB">
        <w:rPr>
          <w:rFonts w:asciiTheme="minorHAnsi" w:hAnsiTheme="minorHAnsi" w:cstheme="minorHAnsi"/>
          <w:lang w:val="cs-CZ"/>
        </w:rPr>
        <w:t xml:space="preserve"> </w:t>
      </w:r>
      <w:r w:rsidRPr="00E628CC">
        <w:rPr>
          <w:rFonts w:asciiTheme="minorHAnsi" w:hAnsiTheme="minorHAnsi" w:cstheme="minorHAnsi"/>
        </w:rPr>
        <w:t xml:space="preserve">Pokud není rozpočet obce schválen před 1. lednem rozpočtového období, řídí se hospodaření obce v době do schválení rozpočtu obce </w:t>
      </w:r>
      <w:r w:rsidRPr="00CF56EB">
        <w:rPr>
          <w:rFonts w:asciiTheme="minorHAnsi" w:hAnsiTheme="minorHAnsi" w:cstheme="minorHAnsi"/>
          <w:b/>
        </w:rPr>
        <w:t>pravidly rozpočtového provizoria</w:t>
      </w:r>
      <w:r w:rsidRPr="00E628CC">
        <w:rPr>
          <w:rFonts w:asciiTheme="minorHAnsi" w:hAnsiTheme="minorHAnsi" w:cstheme="minorHAnsi"/>
        </w:rPr>
        <w:t>, k</w:t>
      </w:r>
      <w:r>
        <w:rPr>
          <w:rFonts w:asciiTheme="minorHAnsi" w:hAnsiTheme="minorHAnsi" w:cstheme="minorHAnsi"/>
        </w:rPr>
        <w:t>teré stanoví zastupitelstvo</w:t>
      </w:r>
      <w:r w:rsidRPr="00E628CC">
        <w:rPr>
          <w:rFonts w:asciiTheme="minorHAnsi" w:hAnsiTheme="minorHAnsi" w:cstheme="minorHAnsi"/>
        </w:rPr>
        <w:t>. Rozpočtové příjmy a výdaje uskutečněné v době provizoria se stávají příjmy a výdaji rozpočtu po jeho schválení.</w:t>
      </w:r>
      <w:r w:rsidR="00CF56EB">
        <w:rPr>
          <w:rFonts w:asciiTheme="minorHAnsi" w:hAnsiTheme="minorHAnsi" w:cstheme="minorHAnsi"/>
          <w:lang w:val="cs-CZ"/>
        </w:rPr>
        <w:t xml:space="preserve"> Součástí této fáze je také </w:t>
      </w:r>
      <w:r w:rsidR="00CF56EB">
        <w:rPr>
          <w:rFonts w:asciiTheme="minorHAnsi" w:hAnsiTheme="minorHAnsi" w:cstheme="minorHAnsi"/>
          <w:b/>
          <w:lang w:val="cs-CZ"/>
        </w:rPr>
        <w:t>rozpis</w:t>
      </w:r>
      <w:r w:rsidRPr="00E628CC">
        <w:rPr>
          <w:rFonts w:asciiTheme="minorHAnsi" w:hAnsiTheme="minorHAnsi" w:cstheme="minorHAnsi"/>
          <w:b/>
        </w:rPr>
        <w:t xml:space="preserve"> rozpočtu</w:t>
      </w:r>
      <w:r w:rsidRPr="00E628CC">
        <w:rPr>
          <w:rFonts w:asciiTheme="minorHAnsi" w:hAnsiTheme="minorHAnsi" w:cstheme="minorHAnsi"/>
        </w:rPr>
        <w:t xml:space="preserve">. Ten se provádí neprodleně po schválení rozpočtu zastupitelstvem obce. Zahrnuje </w:t>
      </w:r>
      <w:r w:rsidRPr="00E628CC">
        <w:rPr>
          <w:rFonts w:asciiTheme="minorHAnsi" w:hAnsiTheme="minorHAnsi" w:cstheme="minorHAnsi"/>
          <w:b/>
          <w:bCs/>
        </w:rPr>
        <w:t>sdělení závazných ukazatelů</w:t>
      </w:r>
      <w:r w:rsidRPr="00E628CC">
        <w:rPr>
          <w:rFonts w:asciiTheme="minorHAnsi" w:hAnsiTheme="minorHAnsi" w:cstheme="minorHAnsi"/>
        </w:rPr>
        <w:t xml:space="preserve"> rozpočtu těm subjektům</w:t>
      </w:r>
      <w:r w:rsidR="009514E7">
        <w:rPr>
          <w:rFonts w:asciiTheme="minorHAnsi" w:hAnsiTheme="minorHAnsi" w:cstheme="minorHAnsi"/>
          <w:lang w:val="cs-CZ"/>
        </w:rPr>
        <w:t xml:space="preserve"> (například jednotlivým útvarů</w:t>
      </w:r>
      <w:r w:rsidR="00BF59B2">
        <w:rPr>
          <w:rFonts w:asciiTheme="minorHAnsi" w:hAnsiTheme="minorHAnsi" w:cstheme="minorHAnsi"/>
          <w:lang w:val="cs-CZ"/>
        </w:rPr>
        <w:t>m</w:t>
      </w:r>
      <w:r w:rsidR="009514E7">
        <w:rPr>
          <w:rFonts w:asciiTheme="minorHAnsi" w:hAnsiTheme="minorHAnsi" w:cstheme="minorHAnsi"/>
          <w:lang w:val="cs-CZ"/>
        </w:rPr>
        <w:t>, podřízeným příspěvkovým organizacím)</w:t>
      </w:r>
      <w:r w:rsidRPr="00E628CC">
        <w:rPr>
          <w:rFonts w:asciiTheme="minorHAnsi" w:hAnsiTheme="minorHAnsi" w:cstheme="minorHAnsi"/>
        </w:rPr>
        <w:t xml:space="preserve">, které jsou povinny </w:t>
      </w:r>
      <w:r w:rsidRPr="00E628CC">
        <w:rPr>
          <w:rFonts w:asciiTheme="minorHAnsi" w:hAnsiTheme="minorHAnsi" w:cstheme="minorHAnsi"/>
        </w:rPr>
        <w:lastRenderedPageBreak/>
        <w:t xml:space="preserve">se jimi řídit. </w:t>
      </w:r>
      <w:r w:rsidRPr="00E628CC">
        <w:rPr>
          <w:rFonts w:asciiTheme="minorHAnsi" w:hAnsiTheme="minorHAnsi" w:cstheme="minorHAnsi"/>
          <w:szCs w:val="19"/>
        </w:rPr>
        <w:t xml:space="preserve">Zastupitelstvo obce projednává a schvaluje rozpočet v třídění podle rozpočtové skladby tak, aby schválený rozpočet vyjadřoval závazné ukazatele, jimiž se mají povinně řídit: </w:t>
      </w:r>
    </w:p>
    <w:p w14:paraId="6D3EE806" w14:textId="77777777" w:rsidR="004E793F" w:rsidRPr="00E628CC" w:rsidRDefault="004E793F" w:rsidP="0065698B">
      <w:pPr>
        <w:pStyle w:val="A1-text"/>
        <w:numPr>
          <w:ilvl w:val="0"/>
          <w:numId w:val="26"/>
        </w:numPr>
        <w:tabs>
          <w:tab w:val="clear" w:pos="284"/>
          <w:tab w:val="left" w:pos="-426"/>
        </w:tabs>
        <w:spacing w:after="0"/>
        <w:ind w:left="426"/>
        <w:rPr>
          <w:rFonts w:asciiTheme="minorHAnsi" w:hAnsiTheme="minorHAnsi" w:cstheme="minorHAnsi"/>
          <w:szCs w:val="19"/>
        </w:rPr>
      </w:pPr>
      <w:r w:rsidRPr="00E628CC">
        <w:rPr>
          <w:rFonts w:asciiTheme="minorHAnsi" w:hAnsiTheme="minorHAnsi" w:cstheme="minorHAnsi"/>
          <w:szCs w:val="19"/>
        </w:rPr>
        <w:t xml:space="preserve">výkonné orgány obce </w:t>
      </w:r>
      <w:r w:rsidRPr="00E628CC">
        <w:rPr>
          <w:rFonts w:asciiTheme="minorHAnsi" w:hAnsiTheme="minorHAnsi" w:cstheme="minorHAnsi"/>
          <w:szCs w:val="19"/>
          <w:lang w:val="cs-CZ"/>
        </w:rPr>
        <w:t xml:space="preserve">(například úřad) </w:t>
      </w:r>
      <w:r w:rsidRPr="00E628CC">
        <w:rPr>
          <w:rFonts w:asciiTheme="minorHAnsi" w:hAnsiTheme="minorHAnsi" w:cstheme="minorHAnsi"/>
          <w:szCs w:val="19"/>
        </w:rPr>
        <w:t xml:space="preserve">při hospodaření podle rozpočtu, </w:t>
      </w:r>
    </w:p>
    <w:p w14:paraId="215810B6" w14:textId="77777777" w:rsidR="004E793F" w:rsidRPr="00E628CC" w:rsidRDefault="004E793F" w:rsidP="0065698B">
      <w:pPr>
        <w:pStyle w:val="A1-text"/>
        <w:numPr>
          <w:ilvl w:val="0"/>
          <w:numId w:val="26"/>
        </w:numPr>
        <w:tabs>
          <w:tab w:val="clear" w:pos="284"/>
          <w:tab w:val="left" w:pos="-426"/>
        </w:tabs>
        <w:spacing w:after="0"/>
        <w:ind w:left="426"/>
        <w:rPr>
          <w:rFonts w:asciiTheme="minorHAnsi" w:hAnsiTheme="minorHAnsi" w:cstheme="minorHAnsi"/>
          <w:szCs w:val="19"/>
        </w:rPr>
      </w:pPr>
      <w:r w:rsidRPr="00E628CC">
        <w:rPr>
          <w:rFonts w:asciiTheme="minorHAnsi" w:hAnsiTheme="minorHAnsi" w:cstheme="minorHAnsi"/>
          <w:szCs w:val="19"/>
        </w:rPr>
        <w:t xml:space="preserve">právnické osoby zřízené nebo založené v působnosti obce při svém hospodaření, </w:t>
      </w:r>
    </w:p>
    <w:p w14:paraId="4A85EA90" w14:textId="580B9591" w:rsidR="004E793F" w:rsidRDefault="004E793F" w:rsidP="0065698B">
      <w:pPr>
        <w:pStyle w:val="A1-text"/>
        <w:numPr>
          <w:ilvl w:val="0"/>
          <w:numId w:val="26"/>
        </w:numPr>
        <w:tabs>
          <w:tab w:val="clear" w:pos="284"/>
          <w:tab w:val="left" w:pos="-426"/>
        </w:tabs>
        <w:spacing w:after="0"/>
        <w:ind w:left="426" w:hanging="357"/>
        <w:rPr>
          <w:rFonts w:asciiTheme="minorHAnsi" w:hAnsiTheme="minorHAnsi" w:cstheme="minorHAnsi"/>
          <w:szCs w:val="19"/>
        </w:rPr>
      </w:pPr>
      <w:r w:rsidRPr="00E628CC">
        <w:rPr>
          <w:rFonts w:asciiTheme="minorHAnsi" w:hAnsiTheme="minorHAnsi" w:cstheme="minorHAnsi"/>
          <w:szCs w:val="19"/>
        </w:rPr>
        <w:t xml:space="preserve">další osoby, které mají být příjemci dotací nebo příspěvků z rozpočtu. </w:t>
      </w:r>
    </w:p>
    <w:p w14:paraId="4F75C7CC" w14:textId="37F25BA1" w:rsidR="00E41420" w:rsidRDefault="00E41420" w:rsidP="00E41420">
      <w:pPr>
        <w:pStyle w:val="A1-text"/>
        <w:tabs>
          <w:tab w:val="clear" w:pos="284"/>
          <w:tab w:val="left" w:pos="-426"/>
        </w:tabs>
        <w:spacing w:after="0"/>
        <w:rPr>
          <w:rFonts w:asciiTheme="minorHAnsi" w:hAnsiTheme="minorHAnsi" w:cstheme="minorHAnsi"/>
          <w:szCs w:val="19"/>
        </w:rPr>
      </w:pPr>
    </w:p>
    <w:p w14:paraId="24E2201C" w14:textId="4F3E596C" w:rsidR="00E41420" w:rsidRPr="00E41420" w:rsidRDefault="00E41420" w:rsidP="00E41420">
      <w:pPr>
        <w:pStyle w:val="A1-text"/>
        <w:spacing w:after="0"/>
        <w:rPr>
          <w:rFonts w:asciiTheme="minorHAnsi" w:hAnsiTheme="minorHAnsi" w:cstheme="minorHAnsi"/>
          <w:lang w:val="cs-CZ"/>
        </w:rPr>
      </w:pPr>
      <w:r>
        <w:rPr>
          <w:rFonts w:asciiTheme="minorHAnsi" w:hAnsiTheme="minorHAnsi" w:cstheme="minorHAnsi"/>
          <w:lang w:val="cs-CZ"/>
        </w:rPr>
        <w:t>V kapitole 10 je p</w:t>
      </w:r>
      <w:r w:rsidRPr="00E41420">
        <w:rPr>
          <w:rFonts w:asciiTheme="minorHAnsi" w:hAnsiTheme="minorHAnsi" w:cstheme="minorHAnsi"/>
          <w:lang w:val="cs-CZ"/>
        </w:rPr>
        <w:t>říklad harmonogramu</w:t>
      </w:r>
      <w:r>
        <w:rPr>
          <w:rFonts w:asciiTheme="minorHAnsi" w:hAnsiTheme="minorHAnsi" w:cstheme="minorHAnsi"/>
          <w:lang w:val="cs-CZ"/>
        </w:rPr>
        <w:t xml:space="preserve"> přípravy, </w:t>
      </w:r>
      <w:r w:rsidRPr="00E41420">
        <w:rPr>
          <w:rFonts w:asciiTheme="minorHAnsi" w:hAnsiTheme="minorHAnsi" w:cstheme="minorHAnsi"/>
          <w:lang w:val="cs-CZ"/>
        </w:rPr>
        <w:t xml:space="preserve">projednávání </w:t>
      </w:r>
      <w:r>
        <w:rPr>
          <w:rFonts w:asciiTheme="minorHAnsi" w:hAnsiTheme="minorHAnsi" w:cstheme="minorHAnsi"/>
          <w:lang w:val="cs-CZ"/>
        </w:rPr>
        <w:t xml:space="preserve">a schvalování </w:t>
      </w:r>
      <w:r w:rsidRPr="00E41420">
        <w:rPr>
          <w:rFonts w:asciiTheme="minorHAnsi" w:hAnsiTheme="minorHAnsi" w:cstheme="minorHAnsi"/>
          <w:lang w:val="cs-CZ"/>
        </w:rPr>
        <w:t>rozpočtu města</w:t>
      </w:r>
      <w:r w:rsidR="004F685A">
        <w:rPr>
          <w:rFonts w:asciiTheme="minorHAnsi" w:hAnsiTheme="minorHAnsi" w:cstheme="minorHAnsi"/>
          <w:lang w:val="cs-CZ"/>
        </w:rPr>
        <w:t xml:space="preserve"> ve vazbě na tvorbu akčního plánu, který je odvozen od strategie rozvoje města</w:t>
      </w:r>
      <w:r>
        <w:rPr>
          <w:rFonts w:asciiTheme="minorHAnsi" w:hAnsiTheme="minorHAnsi" w:cstheme="minorHAnsi"/>
          <w:lang w:val="cs-CZ"/>
        </w:rPr>
        <w:t>.</w:t>
      </w:r>
      <w:r w:rsidR="000B3DD8">
        <w:rPr>
          <w:rFonts w:asciiTheme="minorHAnsi" w:hAnsiTheme="minorHAnsi" w:cstheme="minorHAnsi"/>
          <w:lang w:val="cs-CZ"/>
        </w:rPr>
        <w:t xml:space="preserve"> </w:t>
      </w:r>
      <w:r w:rsidR="00C6281C">
        <w:rPr>
          <w:rFonts w:asciiTheme="minorHAnsi" w:hAnsiTheme="minorHAnsi" w:cstheme="minorHAnsi"/>
          <w:lang w:val="cs-CZ"/>
        </w:rPr>
        <w:t>Připravovat a schvalovat rozpočet a ve stejných termínech též implementační (akční) plán strategie má tu výhodu, že položky v rozpočtu, které odpovídají strategii, jsou odůvodňovány ve vazbě na strategii.</w:t>
      </w:r>
    </w:p>
    <w:p w14:paraId="67B205E1" w14:textId="77777777" w:rsidR="00E41420" w:rsidRPr="00E628CC" w:rsidRDefault="00E41420" w:rsidP="00E41420">
      <w:pPr>
        <w:pStyle w:val="A1-text"/>
        <w:tabs>
          <w:tab w:val="clear" w:pos="284"/>
          <w:tab w:val="left" w:pos="-426"/>
        </w:tabs>
        <w:spacing w:after="0"/>
        <w:rPr>
          <w:rFonts w:asciiTheme="minorHAnsi" w:hAnsiTheme="minorHAnsi" w:cstheme="minorHAnsi"/>
          <w:szCs w:val="19"/>
        </w:rPr>
      </w:pPr>
    </w:p>
    <w:p w14:paraId="04BF5547" w14:textId="77777777" w:rsidR="00F65116" w:rsidRDefault="00F65116">
      <w:pPr>
        <w:spacing w:after="160" w:line="259" w:lineRule="auto"/>
        <w:rPr>
          <w:rFonts w:ascii="Calibri" w:hAnsi="Calibri"/>
          <w:b/>
          <w:bCs/>
          <w:color w:val="7493B0"/>
          <w:sz w:val="32"/>
          <w:szCs w:val="28"/>
        </w:rPr>
      </w:pPr>
      <w:r>
        <w:rPr>
          <w:rFonts w:ascii="Calibri" w:hAnsi="Calibri"/>
          <w:color w:val="7493B0"/>
          <w:sz w:val="32"/>
        </w:rPr>
        <w:br w:type="page"/>
      </w:r>
    </w:p>
    <w:p w14:paraId="4C806AC4" w14:textId="1EAADB7E" w:rsidR="00F85B23" w:rsidRDefault="009D2B4B" w:rsidP="00F85B23">
      <w:pPr>
        <w:pStyle w:val="Nadpis1"/>
        <w:spacing w:before="240" w:after="120"/>
        <w:ind w:left="431" w:hanging="431"/>
        <w:rPr>
          <w:rFonts w:ascii="Calibri" w:hAnsi="Calibri"/>
          <w:color w:val="7493B0"/>
          <w:sz w:val="32"/>
          <w:lang w:val="cs-CZ"/>
        </w:rPr>
      </w:pPr>
      <w:bookmarkStart w:id="37" w:name="_Toc117270001"/>
      <w:r>
        <w:rPr>
          <w:rFonts w:ascii="Calibri" w:hAnsi="Calibri"/>
          <w:color w:val="7493B0"/>
          <w:sz w:val="32"/>
          <w:lang w:val="cs-CZ"/>
        </w:rPr>
        <w:lastRenderedPageBreak/>
        <w:t>Strategická práce a t</w:t>
      </w:r>
      <w:r w:rsidR="00F85B23">
        <w:rPr>
          <w:rFonts w:ascii="Calibri" w:hAnsi="Calibri"/>
          <w:color w:val="7493B0"/>
          <w:sz w:val="32"/>
          <w:lang w:val="cs-CZ"/>
        </w:rPr>
        <w:t>řetí</w:t>
      </w:r>
      <w:r w:rsidR="00F85B23" w:rsidRPr="00F85B23">
        <w:rPr>
          <w:rFonts w:ascii="Calibri" w:hAnsi="Calibri"/>
          <w:color w:val="7493B0"/>
          <w:sz w:val="32"/>
          <w:lang w:val="cs-CZ"/>
        </w:rPr>
        <w:t xml:space="preserve"> fáze </w:t>
      </w:r>
      <w:r w:rsidR="00F85B23">
        <w:rPr>
          <w:rFonts w:ascii="Calibri" w:hAnsi="Calibri"/>
          <w:color w:val="7493B0"/>
          <w:sz w:val="32"/>
          <w:lang w:val="cs-CZ"/>
        </w:rPr>
        <w:t>rozpočtového procesu</w:t>
      </w:r>
      <w:r w:rsidR="00F85B23" w:rsidRPr="00F85B23">
        <w:rPr>
          <w:rFonts w:ascii="Calibri" w:hAnsi="Calibri"/>
          <w:color w:val="7493B0"/>
          <w:sz w:val="32"/>
          <w:lang w:val="cs-CZ"/>
        </w:rPr>
        <w:t xml:space="preserve">: </w:t>
      </w:r>
      <w:r w:rsidR="00F85B23">
        <w:rPr>
          <w:rFonts w:ascii="Calibri" w:hAnsi="Calibri"/>
          <w:color w:val="7493B0"/>
          <w:sz w:val="32"/>
          <w:lang w:val="cs-CZ"/>
        </w:rPr>
        <w:t>hospodaření</w:t>
      </w:r>
      <w:r w:rsidR="004F685A">
        <w:rPr>
          <w:rFonts w:ascii="Calibri" w:hAnsi="Calibri"/>
          <w:color w:val="7493B0"/>
          <w:sz w:val="32"/>
          <w:lang w:val="cs-CZ"/>
        </w:rPr>
        <w:t xml:space="preserve"> a změny rozpočtu</w:t>
      </w:r>
      <w:bookmarkEnd w:id="37"/>
    </w:p>
    <w:p w14:paraId="50151700" w14:textId="2A5779CC" w:rsidR="00875923" w:rsidRDefault="00875923" w:rsidP="00875923">
      <w:pPr>
        <w:pStyle w:val="Nadpis2"/>
        <w:spacing w:before="240" w:after="120"/>
        <w:ind w:left="578" w:hanging="578"/>
        <w:rPr>
          <w:rFonts w:asciiTheme="minorHAnsi" w:hAnsiTheme="minorHAnsi" w:cstheme="minorHAnsi"/>
          <w:color w:val="7493B0"/>
          <w:sz w:val="24"/>
          <w:szCs w:val="24"/>
          <w:lang w:val="cs-CZ"/>
        </w:rPr>
      </w:pPr>
      <w:bookmarkStart w:id="38" w:name="_Toc117270002"/>
      <w:bookmarkStart w:id="39" w:name="_Toc75781824"/>
      <w:r>
        <w:rPr>
          <w:rFonts w:asciiTheme="minorHAnsi" w:hAnsiTheme="minorHAnsi" w:cstheme="minorHAnsi"/>
          <w:color w:val="7493B0"/>
          <w:sz w:val="24"/>
          <w:szCs w:val="24"/>
          <w:lang w:val="cs-CZ"/>
        </w:rPr>
        <w:t>Co zahrnuje hospodaření</w:t>
      </w:r>
      <w:r w:rsidR="00A57D03">
        <w:rPr>
          <w:rFonts w:asciiTheme="minorHAnsi" w:hAnsiTheme="minorHAnsi" w:cstheme="minorHAnsi"/>
          <w:color w:val="7493B0"/>
          <w:sz w:val="24"/>
          <w:szCs w:val="24"/>
          <w:lang w:val="cs-CZ"/>
        </w:rPr>
        <w:t>, legislativa ve vazbě na hospodaření</w:t>
      </w:r>
      <w:bookmarkEnd w:id="38"/>
    </w:p>
    <w:p w14:paraId="3112349A" w14:textId="2076A561" w:rsidR="00447CE9" w:rsidRDefault="00447CE9" w:rsidP="008A2762">
      <w:pPr>
        <w:shd w:val="clear" w:color="auto" w:fill="FFFFFF"/>
        <w:jc w:val="both"/>
        <w:rPr>
          <w:rFonts w:asciiTheme="minorHAnsi" w:hAnsiTheme="minorHAnsi" w:cstheme="minorHAnsi"/>
        </w:rPr>
      </w:pPr>
      <w:r>
        <w:rPr>
          <w:rFonts w:asciiTheme="minorHAnsi" w:hAnsiTheme="minorHAnsi" w:cstheme="minorHAnsi"/>
        </w:rPr>
        <w:t>Pokud má útvar, který zajišťuje strategickou práci, v rámci rozpočtu instituce svůj rozpočet, vztahují se na hospodaření s tímto rozpočtem stejná pravidla jako na všechny ostatní útvary.</w:t>
      </w:r>
    </w:p>
    <w:p w14:paraId="765CF228" w14:textId="29644A11" w:rsidR="008A2762" w:rsidRPr="009C2619" w:rsidRDefault="00A909F3" w:rsidP="008A2762">
      <w:pPr>
        <w:shd w:val="clear" w:color="auto" w:fill="FFFFFF"/>
        <w:jc w:val="both"/>
        <w:rPr>
          <w:rFonts w:asciiTheme="minorHAnsi" w:hAnsiTheme="minorHAnsi" w:cstheme="minorHAnsi"/>
        </w:rPr>
      </w:pPr>
      <w:r>
        <w:rPr>
          <w:rFonts w:asciiTheme="minorHAnsi" w:hAnsiTheme="minorHAnsi" w:cstheme="minorHAnsi"/>
        </w:rPr>
        <w:t xml:space="preserve">Jak bylo uvedeno v kapitole 6, součástí předchozí fáze, tedy schvalování rozpočtu, je také provedení </w:t>
      </w:r>
      <w:r>
        <w:rPr>
          <w:rFonts w:asciiTheme="minorHAnsi" w:hAnsiTheme="minorHAnsi" w:cstheme="minorHAnsi"/>
          <w:b/>
        </w:rPr>
        <w:t>rozpisu</w:t>
      </w:r>
      <w:r w:rsidRPr="00E628CC">
        <w:rPr>
          <w:rFonts w:asciiTheme="minorHAnsi" w:hAnsiTheme="minorHAnsi" w:cstheme="minorHAnsi"/>
          <w:b/>
        </w:rPr>
        <w:t xml:space="preserve"> rozpočtu</w:t>
      </w:r>
      <w:r w:rsidRPr="00E628CC">
        <w:rPr>
          <w:rFonts w:asciiTheme="minorHAnsi" w:hAnsiTheme="minorHAnsi" w:cstheme="minorHAnsi"/>
        </w:rPr>
        <w:t>.</w:t>
      </w:r>
      <w:r>
        <w:rPr>
          <w:rFonts w:asciiTheme="minorHAnsi" w:hAnsiTheme="minorHAnsi" w:cstheme="minorHAnsi"/>
        </w:rPr>
        <w:t xml:space="preserve"> Rozpis zahrnuje kromě stanovení příjmů a výdajů také </w:t>
      </w:r>
      <w:r>
        <w:rPr>
          <w:rFonts w:asciiTheme="minorHAnsi" w:hAnsiTheme="minorHAnsi" w:cstheme="minorHAnsi"/>
          <w:b/>
          <w:bCs/>
        </w:rPr>
        <w:t>stanovení</w:t>
      </w:r>
      <w:r w:rsidRPr="00E628CC">
        <w:rPr>
          <w:rFonts w:asciiTheme="minorHAnsi" w:hAnsiTheme="minorHAnsi" w:cstheme="minorHAnsi"/>
          <w:b/>
          <w:bCs/>
        </w:rPr>
        <w:t xml:space="preserve"> závazných ukazatelů</w:t>
      </w:r>
      <w:r>
        <w:rPr>
          <w:rFonts w:asciiTheme="minorHAnsi" w:hAnsiTheme="minorHAnsi" w:cstheme="minorHAnsi"/>
          <w:b/>
          <w:bCs/>
        </w:rPr>
        <w:t xml:space="preserve">. </w:t>
      </w:r>
      <w:r w:rsidRPr="00A909F3">
        <w:rPr>
          <w:rFonts w:asciiTheme="minorHAnsi" w:hAnsiTheme="minorHAnsi" w:cstheme="minorHAnsi"/>
          <w:bCs/>
        </w:rPr>
        <w:t>Rozpis se</w:t>
      </w:r>
      <w:r w:rsidRPr="00E628CC">
        <w:rPr>
          <w:rFonts w:asciiTheme="minorHAnsi" w:hAnsiTheme="minorHAnsi" w:cstheme="minorHAnsi"/>
        </w:rPr>
        <w:t xml:space="preserve"> </w:t>
      </w:r>
      <w:r>
        <w:rPr>
          <w:rFonts w:asciiTheme="minorHAnsi" w:hAnsiTheme="minorHAnsi" w:cstheme="minorHAnsi"/>
        </w:rPr>
        <w:t xml:space="preserve">provádí dle zvyklostí dané instituce jednotlivým útvarům, podřízeným příspěvkovým organizacím atd., </w:t>
      </w:r>
      <w:r w:rsidRPr="00E628CC">
        <w:rPr>
          <w:rFonts w:asciiTheme="minorHAnsi" w:hAnsiTheme="minorHAnsi" w:cstheme="minorHAnsi"/>
        </w:rPr>
        <w:t xml:space="preserve">které jsou povinny se </w:t>
      </w:r>
      <w:r>
        <w:rPr>
          <w:rFonts w:asciiTheme="minorHAnsi" w:hAnsiTheme="minorHAnsi" w:cstheme="minorHAnsi"/>
        </w:rPr>
        <w:t>závaznými ukazateli řídit, respektive</w:t>
      </w:r>
      <w:r w:rsidR="007D2C8E">
        <w:rPr>
          <w:rFonts w:asciiTheme="minorHAnsi" w:hAnsiTheme="minorHAnsi" w:cstheme="minorHAnsi"/>
        </w:rPr>
        <w:t xml:space="preserve"> v běžném roce </w:t>
      </w:r>
      <w:r w:rsidRPr="007D2C8E">
        <w:rPr>
          <w:rFonts w:asciiTheme="minorHAnsi" w:hAnsiTheme="minorHAnsi" w:cstheme="minorHAnsi"/>
          <w:b/>
        </w:rPr>
        <w:t>hospodařit</w:t>
      </w:r>
      <w:r>
        <w:rPr>
          <w:rFonts w:asciiTheme="minorHAnsi" w:hAnsiTheme="minorHAnsi" w:cstheme="minorHAnsi"/>
        </w:rPr>
        <w:t xml:space="preserve"> s přiděleným rozpočtem. To se týká všech útvarů </w:t>
      </w:r>
      <w:r w:rsidR="007D2C8E">
        <w:rPr>
          <w:rFonts w:asciiTheme="minorHAnsi" w:hAnsiTheme="minorHAnsi" w:cstheme="minorHAnsi"/>
        </w:rPr>
        <w:t xml:space="preserve">včetně útvaru, který má na starosti strategickou práci, přičemž s veřejnými prostředky je nezbytné nakládat hospodárně, efektivně a účelně (kritéria 3E byla popsána v kapitole 3.2, příklady prověřování 3E jsou v kapitole 10). </w:t>
      </w:r>
      <w:r w:rsidR="008A2762" w:rsidRPr="009C2619">
        <w:rPr>
          <w:rFonts w:asciiTheme="minorHAnsi" w:hAnsiTheme="minorHAnsi" w:cstheme="minorHAnsi"/>
          <w:b/>
        </w:rPr>
        <w:t>Hospodaření ve veřejné správě</w:t>
      </w:r>
      <w:r w:rsidR="008A2762" w:rsidRPr="009C2619">
        <w:rPr>
          <w:rStyle w:val="Znakapoznpodarou"/>
          <w:rFonts w:asciiTheme="minorHAnsi" w:hAnsiTheme="minorHAnsi" w:cstheme="minorHAnsi"/>
        </w:rPr>
        <w:footnoteReference w:id="38"/>
      </w:r>
      <w:r w:rsidR="008A2762" w:rsidRPr="009C2619">
        <w:rPr>
          <w:rFonts w:asciiTheme="minorHAnsi" w:hAnsiTheme="minorHAnsi" w:cstheme="minorHAnsi"/>
        </w:rPr>
        <w:t xml:space="preserve"> souvisí s nakládáním s veřejnými prostředky (včetně majetku) dle schváleného rozpočtu a s prováděním dalších ekonomicko-správních činností (včetně rozpočtování, vedení účetnictví a daňových věcí). </w:t>
      </w:r>
      <w:r w:rsidR="00D50C48" w:rsidRPr="00D50C48">
        <w:rPr>
          <w:rFonts w:asciiTheme="minorHAnsi" w:hAnsiTheme="minorHAnsi" w:cstheme="minorHAnsi"/>
          <w:highlight w:val="yellow"/>
        </w:rPr>
        <w:t>Problematika změn rozpočtu je popsána v kapitole 7.8.</w:t>
      </w:r>
    </w:p>
    <w:p w14:paraId="10574DB6" w14:textId="77777777" w:rsidR="006533CE" w:rsidRPr="009C2619" w:rsidRDefault="006533CE" w:rsidP="009C2619">
      <w:pPr>
        <w:rPr>
          <w:rFonts w:asciiTheme="minorHAnsi" w:hAnsiTheme="minorHAnsi" w:cstheme="minorHAnsi"/>
        </w:rPr>
      </w:pPr>
    </w:p>
    <w:p w14:paraId="004CE8EE" w14:textId="77777777" w:rsidR="006533CE" w:rsidRPr="009C2619" w:rsidRDefault="006533CE" w:rsidP="009C2619">
      <w:pPr>
        <w:rPr>
          <w:rFonts w:asciiTheme="minorHAnsi" w:hAnsiTheme="minorHAnsi" w:cstheme="minorHAnsi"/>
        </w:rPr>
      </w:pPr>
      <w:r w:rsidRPr="009C2619">
        <w:rPr>
          <w:rFonts w:asciiTheme="minorHAnsi" w:hAnsiTheme="minorHAnsi" w:cstheme="minorHAnsi"/>
          <w:b/>
        </w:rPr>
        <w:t>Problematiku hospodaření vymezují ve veřejné správě zákony, zejména</w:t>
      </w:r>
      <w:r w:rsidRPr="009C2619">
        <w:rPr>
          <w:rFonts w:asciiTheme="minorHAnsi" w:hAnsiTheme="minorHAnsi" w:cstheme="minorHAnsi"/>
        </w:rPr>
        <w:t>:</w:t>
      </w:r>
    </w:p>
    <w:p w14:paraId="2190B393" w14:textId="1C0D69B1"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t>zákon o rozpočtových pravidlech (pro stát, jeho organizace, státní úřady, státní fondy) a zákon o rozpočtových pravidlech územních rozpočtů (zejména pro obce, kraje)</w:t>
      </w:r>
      <w:r w:rsidR="009C2619">
        <w:rPr>
          <w:rFonts w:asciiTheme="minorHAnsi" w:hAnsiTheme="minorHAnsi" w:cstheme="minorHAnsi"/>
        </w:rPr>
        <w:t>,</w:t>
      </w:r>
    </w:p>
    <w:p w14:paraId="4745E253" w14:textId="36F35321"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t>zákon o majetku ČR a jejím vystupování v právních vztazích</w:t>
      </w:r>
      <w:r w:rsidR="009C2619">
        <w:rPr>
          <w:rFonts w:asciiTheme="minorHAnsi" w:hAnsiTheme="minorHAnsi" w:cstheme="minorHAnsi"/>
        </w:rPr>
        <w:t>,</w:t>
      </w:r>
    </w:p>
    <w:p w14:paraId="5F085CCC" w14:textId="5F9A5BE7" w:rsidR="006533CE" w:rsidRPr="009C2619" w:rsidRDefault="009C2619" w:rsidP="0065698B">
      <w:pPr>
        <w:pStyle w:val="Odstavecseseznamem"/>
        <w:numPr>
          <w:ilvl w:val="0"/>
          <w:numId w:val="18"/>
        </w:numPr>
        <w:ind w:left="284" w:hanging="284"/>
        <w:jc w:val="both"/>
        <w:rPr>
          <w:rFonts w:asciiTheme="minorHAnsi" w:hAnsiTheme="minorHAnsi" w:cstheme="minorHAnsi"/>
        </w:rPr>
      </w:pPr>
      <w:r>
        <w:rPr>
          <w:rFonts w:asciiTheme="minorHAnsi" w:hAnsiTheme="minorHAnsi" w:cstheme="minorHAnsi"/>
        </w:rPr>
        <w:t>z</w:t>
      </w:r>
      <w:r w:rsidR="006533CE" w:rsidRPr="009C2619">
        <w:rPr>
          <w:rFonts w:asciiTheme="minorHAnsi" w:hAnsiTheme="minorHAnsi" w:cstheme="minorHAnsi"/>
        </w:rPr>
        <w:t>ákon č. 23/2017 Sb., o pravidlech rozpočtové odpovědnosti</w:t>
      </w:r>
      <w:r>
        <w:rPr>
          <w:rFonts w:asciiTheme="minorHAnsi" w:hAnsiTheme="minorHAnsi" w:cstheme="minorHAnsi"/>
        </w:rPr>
        <w:t>,</w:t>
      </w:r>
    </w:p>
    <w:p w14:paraId="5EDCE55C" w14:textId="0E2C42E2"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t>zákon o obcích, zákon o Hlavním městě Praha – týká se hospodaření obcí a jejich organizací</w:t>
      </w:r>
      <w:r w:rsidR="009C2619">
        <w:rPr>
          <w:rFonts w:asciiTheme="minorHAnsi" w:hAnsiTheme="minorHAnsi" w:cstheme="minorHAnsi"/>
        </w:rPr>
        <w:t>,</w:t>
      </w:r>
    </w:p>
    <w:p w14:paraId="5B57DFCC" w14:textId="5B5E4010"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t>zákon o krajích – týká se hospodaření krajů a jejich organizací</w:t>
      </w:r>
      <w:r w:rsidR="009C2619">
        <w:rPr>
          <w:rFonts w:asciiTheme="minorHAnsi" w:hAnsiTheme="minorHAnsi" w:cstheme="minorHAnsi"/>
        </w:rPr>
        <w:t>,</w:t>
      </w:r>
    </w:p>
    <w:p w14:paraId="55318C18" w14:textId="65D75A8C"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t>zákon o rozpočtovém určení daní</w:t>
      </w:r>
      <w:r w:rsidR="009C2619">
        <w:rPr>
          <w:rFonts w:asciiTheme="minorHAnsi" w:hAnsiTheme="minorHAnsi" w:cstheme="minorHAnsi"/>
        </w:rPr>
        <w:t>,</w:t>
      </w:r>
    </w:p>
    <w:p w14:paraId="68D85FA4" w14:textId="6B1D549E"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lastRenderedPageBreak/>
        <w:t>zákon o finanční kontrole</w:t>
      </w:r>
      <w:r w:rsidR="009C2619">
        <w:rPr>
          <w:rFonts w:asciiTheme="minorHAnsi" w:hAnsiTheme="minorHAnsi" w:cstheme="minorHAnsi"/>
        </w:rPr>
        <w:t>,</w:t>
      </w:r>
    </w:p>
    <w:p w14:paraId="4FD9F822" w14:textId="6C4A4590" w:rsidR="006533CE" w:rsidRPr="009C2619" w:rsidRDefault="006533CE" w:rsidP="0065698B">
      <w:pPr>
        <w:pStyle w:val="Odstavecseseznamem"/>
        <w:numPr>
          <w:ilvl w:val="0"/>
          <w:numId w:val="18"/>
        </w:numPr>
        <w:ind w:left="284" w:hanging="284"/>
        <w:jc w:val="both"/>
        <w:rPr>
          <w:rFonts w:asciiTheme="minorHAnsi" w:hAnsiTheme="minorHAnsi" w:cstheme="minorHAnsi"/>
        </w:rPr>
      </w:pPr>
      <w:r w:rsidRPr="009C2619">
        <w:rPr>
          <w:rFonts w:asciiTheme="minorHAnsi" w:hAnsiTheme="minorHAnsi" w:cstheme="minorHAnsi"/>
        </w:rPr>
        <w:t>zákon o veřejných zakázkách</w:t>
      </w:r>
      <w:r w:rsidR="009C2619">
        <w:rPr>
          <w:rFonts w:asciiTheme="minorHAnsi" w:hAnsiTheme="minorHAnsi" w:cstheme="minorHAnsi"/>
        </w:rPr>
        <w:t>,</w:t>
      </w:r>
    </w:p>
    <w:p w14:paraId="78111D38" w14:textId="42156410" w:rsidR="006533CE" w:rsidRPr="009C2619" w:rsidRDefault="007077DA" w:rsidP="0065698B">
      <w:pPr>
        <w:pStyle w:val="Odstavecseseznamem"/>
        <w:numPr>
          <w:ilvl w:val="0"/>
          <w:numId w:val="18"/>
        </w:numPr>
        <w:ind w:left="284" w:hanging="284"/>
        <w:jc w:val="both"/>
        <w:rPr>
          <w:rFonts w:asciiTheme="minorHAnsi" w:hAnsiTheme="minorHAnsi" w:cstheme="minorHAnsi"/>
        </w:rPr>
      </w:pPr>
      <w:r>
        <w:rPr>
          <w:rFonts w:asciiTheme="minorHAnsi" w:hAnsiTheme="minorHAnsi" w:cstheme="minorHAnsi"/>
        </w:rPr>
        <w:t xml:space="preserve">další </w:t>
      </w:r>
      <w:r w:rsidR="006533CE" w:rsidRPr="009C2619">
        <w:rPr>
          <w:rFonts w:asciiTheme="minorHAnsi" w:hAnsiTheme="minorHAnsi" w:cstheme="minorHAnsi"/>
        </w:rPr>
        <w:t>zákony platné obecně, jako je například zákon o účetnictví, daňové zákony a podobně</w:t>
      </w:r>
      <w:r w:rsidR="009C2619">
        <w:rPr>
          <w:rFonts w:asciiTheme="minorHAnsi" w:hAnsiTheme="minorHAnsi" w:cstheme="minorHAnsi"/>
        </w:rPr>
        <w:t>.</w:t>
      </w:r>
    </w:p>
    <w:p w14:paraId="2D53771D" w14:textId="0E2DEDF1" w:rsidR="00813EAD" w:rsidRPr="00AC26F2" w:rsidRDefault="00A57D03" w:rsidP="00A57D03">
      <w:pPr>
        <w:pStyle w:val="A1-text"/>
        <w:spacing w:after="0"/>
        <w:rPr>
          <w:rFonts w:asciiTheme="minorHAnsi" w:hAnsiTheme="minorHAnsi"/>
          <w:lang w:val="cs-CZ"/>
        </w:rPr>
      </w:pPr>
      <w:r>
        <w:rPr>
          <w:rFonts w:asciiTheme="minorHAnsi" w:hAnsiTheme="minorHAnsi"/>
          <w:lang w:val="cs-CZ"/>
        </w:rPr>
        <w:t xml:space="preserve">V rámci hospodaření vznikají ve vazbě na schválený rozpočet také </w:t>
      </w:r>
      <w:r w:rsidRPr="008122A5">
        <w:rPr>
          <w:rFonts w:asciiTheme="minorHAnsi" w:hAnsiTheme="minorHAnsi"/>
          <w:b/>
          <w:lang w:val="cs-CZ"/>
        </w:rPr>
        <w:t>další finanční plány</w:t>
      </w:r>
      <w:r w:rsidR="00447CE9">
        <w:rPr>
          <w:rFonts w:asciiTheme="minorHAnsi" w:hAnsiTheme="minorHAnsi"/>
          <w:b/>
          <w:lang w:val="cs-CZ"/>
        </w:rPr>
        <w:t>:</w:t>
      </w:r>
    </w:p>
    <w:p w14:paraId="0C8F5CF0" w14:textId="1F037DD5" w:rsidR="00A57D03" w:rsidRPr="00AC26F2" w:rsidRDefault="00A57D03" w:rsidP="0065698B">
      <w:pPr>
        <w:pStyle w:val="A1-text"/>
        <w:numPr>
          <w:ilvl w:val="0"/>
          <w:numId w:val="19"/>
        </w:numPr>
        <w:spacing w:after="0"/>
        <w:rPr>
          <w:rFonts w:asciiTheme="minorHAnsi" w:hAnsiTheme="minorHAnsi"/>
          <w:lang w:val="cs-CZ"/>
        </w:rPr>
      </w:pPr>
      <w:r w:rsidRPr="00AC26F2">
        <w:rPr>
          <w:rFonts w:asciiTheme="minorHAnsi" w:hAnsiTheme="minorHAnsi"/>
          <w:lang w:val="cs-CZ"/>
        </w:rPr>
        <w:t>Plán sestavení účetní závěrky, tvorby rozpočtu a podobné plány</w:t>
      </w:r>
      <w:r w:rsidR="005A00B1">
        <w:rPr>
          <w:rFonts w:asciiTheme="minorHAnsi" w:hAnsiTheme="minorHAnsi"/>
          <w:lang w:val="cs-CZ"/>
        </w:rPr>
        <w:t>.</w:t>
      </w:r>
    </w:p>
    <w:p w14:paraId="60DF81AF" w14:textId="7AC68A81" w:rsidR="00813EAD" w:rsidRPr="00AC26F2" w:rsidRDefault="00813EAD" w:rsidP="0065698B">
      <w:pPr>
        <w:pStyle w:val="A1-text"/>
        <w:numPr>
          <w:ilvl w:val="0"/>
          <w:numId w:val="19"/>
        </w:numPr>
        <w:spacing w:after="0"/>
        <w:rPr>
          <w:rFonts w:asciiTheme="minorHAnsi" w:hAnsiTheme="minorHAnsi"/>
          <w:lang w:val="cs-CZ"/>
        </w:rPr>
      </w:pPr>
      <w:r w:rsidRPr="00AC26F2">
        <w:rPr>
          <w:rFonts w:asciiTheme="minorHAnsi" w:hAnsiTheme="minorHAnsi"/>
          <w:lang w:val="cs-CZ"/>
        </w:rPr>
        <w:t>Plán investic, plán oprav</w:t>
      </w:r>
      <w:r w:rsidR="005A00B1">
        <w:rPr>
          <w:rFonts w:asciiTheme="minorHAnsi" w:hAnsiTheme="minorHAnsi"/>
          <w:lang w:val="cs-CZ"/>
        </w:rPr>
        <w:t>.</w:t>
      </w:r>
    </w:p>
    <w:p w14:paraId="797EF176" w14:textId="6DBD20FF" w:rsidR="00813EAD" w:rsidRPr="00AC26F2" w:rsidRDefault="00813EAD" w:rsidP="0065698B">
      <w:pPr>
        <w:pStyle w:val="A1-text"/>
        <w:numPr>
          <w:ilvl w:val="0"/>
          <w:numId w:val="19"/>
        </w:numPr>
        <w:spacing w:after="0"/>
        <w:rPr>
          <w:rFonts w:asciiTheme="minorHAnsi" w:hAnsiTheme="minorHAnsi"/>
          <w:lang w:val="cs-CZ"/>
        </w:rPr>
      </w:pPr>
      <w:r w:rsidRPr="00AC26F2">
        <w:rPr>
          <w:rFonts w:asciiTheme="minorHAnsi" w:hAnsiTheme="minorHAnsi"/>
          <w:lang w:val="cs-CZ"/>
        </w:rPr>
        <w:t>Plán veřejných zakázek a veřejného nakupování</w:t>
      </w:r>
      <w:r w:rsidR="005A00B1">
        <w:rPr>
          <w:rFonts w:asciiTheme="minorHAnsi" w:hAnsiTheme="minorHAnsi"/>
          <w:lang w:val="cs-CZ"/>
        </w:rPr>
        <w:t>.</w:t>
      </w:r>
    </w:p>
    <w:p w14:paraId="1602225F" w14:textId="7C7286A6" w:rsidR="00813EAD" w:rsidRPr="00AC26F2" w:rsidRDefault="00813EAD" w:rsidP="0065698B">
      <w:pPr>
        <w:pStyle w:val="A1-text"/>
        <w:numPr>
          <w:ilvl w:val="0"/>
          <w:numId w:val="19"/>
        </w:numPr>
        <w:spacing w:after="0"/>
        <w:rPr>
          <w:rFonts w:asciiTheme="minorHAnsi" w:hAnsiTheme="minorHAnsi"/>
          <w:lang w:val="cs-CZ"/>
        </w:rPr>
      </w:pPr>
      <w:r w:rsidRPr="00AC26F2">
        <w:rPr>
          <w:rFonts w:asciiTheme="minorHAnsi" w:hAnsiTheme="minorHAnsi"/>
          <w:lang w:val="cs-CZ"/>
        </w:rPr>
        <w:t>Plán ve vazbě na financování dluhu (splátky, úhrada úroků)</w:t>
      </w:r>
      <w:r w:rsidR="005A00B1">
        <w:rPr>
          <w:rFonts w:asciiTheme="minorHAnsi" w:hAnsiTheme="minorHAnsi"/>
          <w:lang w:val="cs-CZ"/>
        </w:rPr>
        <w:t>.</w:t>
      </w:r>
    </w:p>
    <w:p w14:paraId="73610C7F" w14:textId="77777777" w:rsidR="002A1770" w:rsidRPr="00AC26F2" w:rsidRDefault="002A1770" w:rsidP="0065698B">
      <w:pPr>
        <w:pStyle w:val="A1-text"/>
        <w:numPr>
          <w:ilvl w:val="0"/>
          <w:numId w:val="19"/>
        </w:numPr>
        <w:spacing w:after="0"/>
        <w:rPr>
          <w:rFonts w:asciiTheme="minorHAnsi" w:hAnsiTheme="minorHAnsi"/>
          <w:lang w:val="cs-CZ"/>
        </w:rPr>
      </w:pPr>
      <w:r w:rsidRPr="00AC26F2">
        <w:rPr>
          <w:rFonts w:asciiTheme="minorHAnsi" w:hAnsiTheme="minorHAnsi"/>
          <w:lang w:val="cs-CZ"/>
        </w:rPr>
        <w:t xml:space="preserve">Plán čerpání FKSP (fond </w:t>
      </w:r>
      <w:r>
        <w:rPr>
          <w:rFonts w:asciiTheme="minorHAnsi" w:hAnsiTheme="minorHAnsi"/>
          <w:lang w:val="cs-CZ"/>
        </w:rPr>
        <w:t>kulturních a sociálních potřeb).</w:t>
      </w:r>
    </w:p>
    <w:p w14:paraId="5718A69A" w14:textId="52E03541" w:rsidR="00A57D03" w:rsidRDefault="00A57D03" w:rsidP="0065698B">
      <w:pPr>
        <w:pStyle w:val="A1-text"/>
        <w:numPr>
          <w:ilvl w:val="0"/>
          <w:numId w:val="19"/>
        </w:numPr>
        <w:spacing w:after="0"/>
        <w:rPr>
          <w:rFonts w:asciiTheme="minorHAnsi" w:hAnsiTheme="minorHAnsi"/>
          <w:lang w:val="cs-CZ"/>
        </w:rPr>
      </w:pPr>
      <w:r w:rsidRPr="00AC26F2">
        <w:rPr>
          <w:rFonts w:asciiTheme="minorHAnsi" w:hAnsiTheme="minorHAnsi"/>
          <w:lang w:val="cs-CZ"/>
        </w:rPr>
        <w:t xml:space="preserve">Plán inventarizací majetku a </w:t>
      </w:r>
      <w:r w:rsidR="002A1770">
        <w:rPr>
          <w:rFonts w:asciiTheme="minorHAnsi" w:hAnsiTheme="minorHAnsi"/>
          <w:lang w:val="cs-CZ"/>
        </w:rPr>
        <w:t>podobně</w:t>
      </w:r>
      <w:r w:rsidR="005A00B1">
        <w:rPr>
          <w:rFonts w:asciiTheme="minorHAnsi" w:hAnsiTheme="minorHAnsi"/>
          <w:lang w:val="cs-CZ"/>
        </w:rPr>
        <w:t>.</w:t>
      </w:r>
    </w:p>
    <w:p w14:paraId="7E67E569" w14:textId="3C7788B5" w:rsidR="00EC6105" w:rsidRDefault="00EC6105" w:rsidP="00EC6105">
      <w:pPr>
        <w:pStyle w:val="A1-text"/>
        <w:spacing w:after="0"/>
        <w:rPr>
          <w:rFonts w:asciiTheme="minorHAnsi" w:hAnsiTheme="minorHAnsi"/>
          <w:lang w:val="cs-CZ"/>
        </w:rPr>
      </w:pPr>
    </w:p>
    <w:p w14:paraId="337D948B" w14:textId="7779483F" w:rsidR="00FA3FCD" w:rsidRDefault="00EC6105" w:rsidP="00EC6105">
      <w:pPr>
        <w:pStyle w:val="A1-text"/>
        <w:spacing w:after="0"/>
        <w:rPr>
          <w:rFonts w:asciiTheme="minorHAnsi" w:hAnsiTheme="minorHAnsi"/>
          <w:lang w:val="cs-CZ"/>
        </w:rPr>
      </w:pPr>
      <w:r>
        <w:rPr>
          <w:rFonts w:asciiTheme="minorHAnsi" w:hAnsiTheme="minorHAnsi"/>
          <w:lang w:val="cs-CZ"/>
        </w:rPr>
        <w:t xml:space="preserve">Velmi významnou položkou ve výdajích veřejného sektoru jsou </w:t>
      </w:r>
      <w:r w:rsidRPr="007F7E48">
        <w:rPr>
          <w:rFonts w:asciiTheme="minorHAnsi" w:hAnsiTheme="minorHAnsi"/>
          <w:b/>
          <w:lang w:val="cs-CZ"/>
        </w:rPr>
        <w:t>výdaje na zaměstnance</w:t>
      </w:r>
      <w:r>
        <w:rPr>
          <w:rFonts w:asciiTheme="minorHAnsi" w:hAnsiTheme="minorHAnsi"/>
          <w:lang w:val="cs-CZ"/>
        </w:rPr>
        <w:t>. Vývoj počtu zaměstnanců a jejich platů ve veřejném sektoru uvádí studie Bartušek, Bouchal, Janský (2022)</w:t>
      </w:r>
      <w:r>
        <w:rPr>
          <w:rStyle w:val="Znakapoznpodarou"/>
          <w:rFonts w:asciiTheme="minorHAnsi" w:hAnsiTheme="minorHAnsi"/>
          <w:lang w:val="cs-CZ"/>
        </w:rPr>
        <w:footnoteReference w:id="39"/>
      </w:r>
      <w:r>
        <w:rPr>
          <w:rFonts w:asciiTheme="minorHAnsi" w:hAnsiTheme="minorHAnsi"/>
          <w:lang w:val="cs-CZ"/>
        </w:rPr>
        <w:t>.</w:t>
      </w:r>
      <w:r w:rsidR="00FA3FCD">
        <w:rPr>
          <w:rFonts w:asciiTheme="minorHAnsi" w:hAnsiTheme="minorHAnsi"/>
          <w:lang w:val="cs-CZ"/>
        </w:rPr>
        <w:t xml:space="preserve"> Na následujícím obrázku je uvedena struktura státních zaměstnanců (organizačních složek státu a státních příspěvkových organizací).</w:t>
      </w:r>
    </w:p>
    <w:p w14:paraId="02D58CCE" w14:textId="6550CE2B" w:rsidR="00FA3FCD" w:rsidRPr="000828C6" w:rsidRDefault="00FA3FCD" w:rsidP="00EC6105">
      <w:pPr>
        <w:pStyle w:val="A1-text"/>
        <w:spacing w:after="0"/>
        <w:rPr>
          <w:rFonts w:asciiTheme="minorHAnsi" w:hAnsiTheme="minorHAnsi"/>
          <w:i/>
          <w:iCs/>
          <w:lang w:val="cs-CZ"/>
        </w:rPr>
      </w:pPr>
      <w:r w:rsidRPr="000828C6">
        <w:rPr>
          <w:rFonts w:asciiTheme="minorHAnsi" w:hAnsiTheme="minorHAnsi"/>
          <w:i/>
          <w:iCs/>
          <w:lang w:val="cs-CZ"/>
        </w:rPr>
        <w:t>Obr.</w:t>
      </w:r>
      <w:r w:rsidR="00257449">
        <w:rPr>
          <w:rFonts w:asciiTheme="minorHAnsi" w:hAnsiTheme="minorHAnsi"/>
          <w:i/>
          <w:iCs/>
          <w:lang w:val="cs-CZ"/>
        </w:rPr>
        <w:t xml:space="preserve"> 20</w:t>
      </w:r>
      <w:r w:rsidRPr="000828C6">
        <w:rPr>
          <w:rFonts w:asciiTheme="minorHAnsi" w:hAnsiTheme="minorHAnsi"/>
          <w:i/>
          <w:iCs/>
          <w:lang w:val="cs-CZ"/>
        </w:rPr>
        <w:t xml:space="preserve"> Struktura stá</w:t>
      </w:r>
      <w:r w:rsidR="00031D00">
        <w:rPr>
          <w:rFonts w:asciiTheme="minorHAnsi" w:hAnsiTheme="minorHAnsi"/>
          <w:i/>
          <w:iCs/>
          <w:lang w:val="cs-CZ"/>
        </w:rPr>
        <w:t>t</w:t>
      </w:r>
      <w:r w:rsidRPr="000828C6">
        <w:rPr>
          <w:rFonts w:asciiTheme="minorHAnsi" w:hAnsiTheme="minorHAnsi"/>
          <w:i/>
          <w:iCs/>
          <w:lang w:val="cs-CZ"/>
        </w:rPr>
        <w:t>ních zaměstnanců v roce 2022</w:t>
      </w:r>
    </w:p>
    <w:p w14:paraId="08240838" w14:textId="7C02C7AF" w:rsidR="00FA3FCD" w:rsidRDefault="00FA3FCD" w:rsidP="007D2C8E">
      <w:pPr>
        <w:pStyle w:val="A1-text"/>
        <w:spacing w:after="0" w:line="240" w:lineRule="auto"/>
        <w:rPr>
          <w:rFonts w:asciiTheme="minorHAnsi" w:hAnsiTheme="minorHAnsi"/>
          <w:lang w:val="cs-CZ"/>
        </w:rPr>
      </w:pPr>
      <w:r w:rsidRPr="00FA3FCD">
        <w:rPr>
          <w:noProof/>
          <w:lang w:val="cs-CZ" w:eastAsia="cs-CZ"/>
        </w:rPr>
        <w:drawing>
          <wp:inline distT="0" distB="0" distL="0" distR="0" wp14:anchorId="11B38E72" wp14:editId="71252880">
            <wp:extent cx="5276215" cy="3829050"/>
            <wp:effectExtent l="0" t="0" r="635" b="0"/>
            <wp:docPr id="3950" name="Obrázek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1242" t="19545" r="33284" b="10183"/>
                    <a:stretch/>
                  </pic:blipFill>
                  <pic:spPr bwMode="auto">
                    <a:xfrm>
                      <a:off x="0" y="0"/>
                      <a:ext cx="5278174" cy="3830472"/>
                    </a:xfrm>
                    <a:prstGeom prst="rect">
                      <a:avLst/>
                    </a:prstGeom>
                    <a:ln>
                      <a:noFill/>
                    </a:ln>
                    <a:extLst>
                      <a:ext uri="{53640926-AAD7-44D8-BBD7-CCE9431645EC}">
                        <a14:shadowObscured xmlns:a14="http://schemas.microsoft.com/office/drawing/2010/main"/>
                      </a:ext>
                    </a:extLst>
                  </pic:spPr>
                </pic:pic>
              </a:graphicData>
            </a:graphic>
          </wp:inline>
        </w:drawing>
      </w:r>
    </w:p>
    <w:p w14:paraId="3EDED99F" w14:textId="7CB90C76" w:rsidR="00FA3FCD" w:rsidRPr="000828C6" w:rsidRDefault="00FA3FCD" w:rsidP="00EC6105">
      <w:pPr>
        <w:pStyle w:val="A1-text"/>
        <w:spacing w:after="0"/>
        <w:rPr>
          <w:rFonts w:asciiTheme="minorHAnsi" w:hAnsiTheme="minorHAnsi"/>
          <w:i/>
          <w:iCs/>
          <w:lang w:val="cs-CZ"/>
        </w:rPr>
      </w:pPr>
      <w:r w:rsidRPr="000828C6">
        <w:rPr>
          <w:rFonts w:asciiTheme="minorHAnsi" w:hAnsiTheme="minorHAnsi"/>
          <w:i/>
          <w:iCs/>
          <w:lang w:val="cs-CZ"/>
        </w:rPr>
        <w:t xml:space="preserve">Zdroj: MFČR </w:t>
      </w:r>
      <w:r w:rsidR="00A87157">
        <w:rPr>
          <w:rFonts w:asciiTheme="minorHAnsi" w:hAnsiTheme="minorHAnsi"/>
          <w:i/>
          <w:iCs/>
          <w:lang w:val="cs-CZ"/>
        </w:rPr>
        <w:t>(</w:t>
      </w:r>
      <w:r w:rsidRPr="000828C6">
        <w:rPr>
          <w:rFonts w:asciiTheme="minorHAnsi" w:hAnsiTheme="minorHAnsi"/>
          <w:i/>
          <w:iCs/>
          <w:lang w:val="cs-CZ"/>
        </w:rPr>
        <w:t>2022</w:t>
      </w:r>
      <w:r w:rsidR="00A87157">
        <w:rPr>
          <w:rFonts w:asciiTheme="minorHAnsi" w:hAnsiTheme="minorHAnsi"/>
          <w:i/>
          <w:iCs/>
          <w:lang w:val="cs-CZ"/>
        </w:rPr>
        <w:t>)</w:t>
      </w:r>
    </w:p>
    <w:p w14:paraId="55C36461" w14:textId="77777777" w:rsidR="00503094" w:rsidRDefault="00503094" w:rsidP="00503094">
      <w:pPr>
        <w:pStyle w:val="Nadpis2"/>
        <w:spacing w:before="240" w:after="120"/>
        <w:ind w:left="578" w:hanging="578"/>
        <w:rPr>
          <w:rFonts w:asciiTheme="minorHAnsi" w:hAnsiTheme="minorHAnsi" w:cstheme="minorHAnsi"/>
          <w:color w:val="7493B0"/>
          <w:sz w:val="24"/>
          <w:szCs w:val="24"/>
          <w:lang w:val="cs-CZ"/>
        </w:rPr>
      </w:pPr>
      <w:bookmarkStart w:id="40" w:name="_Toc117270003"/>
      <w:r>
        <w:rPr>
          <w:rFonts w:asciiTheme="minorHAnsi" w:hAnsiTheme="minorHAnsi" w:cstheme="minorHAnsi"/>
          <w:color w:val="7493B0"/>
          <w:sz w:val="24"/>
          <w:szCs w:val="24"/>
          <w:lang w:val="cs-CZ"/>
        </w:rPr>
        <w:lastRenderedPageBreak/>
        <w:t xml:space="preserve">Hospodaření: </w:t>
      </w:r>
      <w:r w:rsidRPr="00310CAD">
        <w:rPr>
          <w:rFonts w:asciiTheme="minorHAnsi" w:hAnsiTheme="minorHAnsi" w:cstheme="minorHAnsi"/>
          <w:color w:val="7493B0"/>
          <w:sz w:val="24"/>
          <w:szCs w:val="24"/>
          <w:lang w:val="cs-CZ"/>
        </w:rPr>
        <w:t>Veřejné služby, veřejné projekty a veřejné zakázky</w:t>
      </w:r>
      <w:bookmarkEnd w:id="40"/>
    </w:p>
    <w:p w14:paraId="43EEC28B" w14:textId="77777777" w:rsidR="00503094" w:rsidRPr="00FF380A" w:rsidRDefault="00503094" w:rsidP="00503094">
      <w:pPr>
        <w:pStyle w:val="Nadpis3"/>
        <w:ind w:left="709"/>
        <w:rPr>
          <w:b w:val="0"/>
        </w:rPr>
      </w:pPr>
      <w:bookmarkStart w:id="41" w:name="_Toc91521985"/>
      <w:bookmarkStart w:id="42" w:name="_Toc117270004"/>
      <w:r w:rsidRPr="00FF380A">
        <w:rPr>
          <w:b w:val="0"/>
        </w:rPr>
        <w:t>Veřejné služby</w:t>
      </w:r>
      <w:bookmarkEnd w:id="41"/>
      <w:bookmarkEnd w:id="42"/>
    </w:p>
    <w:p w14:paraId="39AA1827" w14:textId="67ED09AB" w:rsidR="00503094" w:rsidRDefault="00503094" w:rsidP="00503094">
      <w:pPr>
        <w:pStyle w:val="Odstavec-DSO"/>
        <w:spacing w:after="120" w:line="360" w:lineRule="auto"/>
        <w:rPr>
          <w:rFonts w:asciiTheme="minorHAnsi" w:hAnsiTheme="minorHAnsi" w:cstheme="minorHAnsi"/>
        </w:rPr>
      </w:pPr>
      <w:r>
        <w:rPr>
          <w:rFonts w:asciiTheme="minorHAnsi" w:hAnsiTheme="minorHAnsi" w:cstheme="minorHAnsi"/>
        </w:rPr>
        <w:t xml:space="preserve">Veřejné strategie velmi často řeší problematiku veřejných služeb a veřejných projektů. Veřejné zakázky jsou pak nástrojem k realizaci veřejných služeb. </w:t>
      </w:r>
      <w:r w:rsidRPr="00DF22AC">
        <w:rPr>
          <w:rFonts w:asciiTheme="minorHAnsi" w:hAnsiTheme="minorHAnsi" w:cstheme="minorHAnsi"/>
        </w:rPr>
        <w:t xml:space="preserve">Pro uspokojování veřejných potřeb zabezpečuje veřejný sektor veřejné statky a veřejné služby. </w:t>
      </w:r>
      <w:r>
        <w:rPr>
          <w:rFonts w:asciiTheme="minorHAnsi" w:hAnsiTheme="minorHAnsi" w:cstheme="minorHAnsi"/>
        </w:rPr>
        <w:t>„</w:t>
      </w:r>
      <w:r w:rsidRPr="00031D00">
        <w:rPr>
          <w:rFonts w:asciiTheme="minorHAnsi" w:hAnsiTheme="minorHAnsi" w:cstheme="minorHAnsi"/>
          <w:b/>
        </w:rPr>
        <w:t>Veřejnými službami</w:t>
      </w:r>
      <w:r w:rsidRPr="00FF380A">
        <w:rPr>
          <w:rFonts w:asciiTheme="minorHAnsi" w:hAnsiTheme="minorHAnsi" w:cstheme="minorHAnsi"/>
        </w:rPr>
        <w:t>“</w:t>
      </w:r>
      <w:r w:rsidRPr="00DF22AC">
        <w:rPr>
          <w:rFonts w:asciiTheme="minorHAnsi" w:hAnsiTheme="minorHAnsi" w:cstheme="minorHAnsi"/>
        </w:rPr>
        <w:t xml:space="preserve"> označ</w:t>
      </w:r>
      <w:r w:rsidR="00C52F52">
        <w:rPr>
          <w:rFonts w:asciiTheme="minorHAnsi" w:hAnsiTheme="minorHAnsi" w:cstheme="minorHAnsi"/>
        </w:rPr>
        <w:t>ujeme</w:t>
      </w:r>
      <w:r w:rsidRPr="00DF22AC">
        <w:rPr>
          <w:rFonts w:asciiTheme="minorHAnsi" w:hAnsiTheme="minorHAnsi" w:cstheme="minorHAnsi"/>
        </w:rPr>
        <w:t xml:space="preserve"> takové ekonomické produkty, které jsou určené k uspokojení potřeb veřejnosti, přičemž na rozdíl od veřejných (případně smíšených</w:t>
      </w:r>
      <w:r w:rsidR="00C52F52">
        <w:rPr>
          <w:rFonts w:asciiTheme="minorHAnsi" w:hAnsiTheme="minorHAnsi" w:cstheme="minorHAnsi"/>
        </w:rPr>
        <w:t>)</w:t>
      </w:r>
      <w:r w:rsidRPr="00DF22AC">
        <w:rPr>
          <w:rFonts w:asciiTheme="minorHAnsi" w:hAnsiTheme="minorHAnsi" w:cstheme="minorHAnsi"/>
        </w:rPr>
        <w:t xml:space="preserve"> statků mají nemateriální charakter, jsou neskladovatelné, poskytované přímo a jednorázově („právě teď“) cílové skupině na daném území spravovaném odpovědným objektem veřejné správy.</w:t>
      </w:r>
      <w:r>
        <w:rPr>
          <w:rFonts w:asciiTheme="minorHAnsi" w:hAnsiTheme="minorHAnsi" w:cstheme="minorHAnsi"/>
        </w:rPr>
        <w:t xml:space="preserve"> </w:t>
      </w:r>
      <w:r w:rsidRPr="00DF22AC">
        <w:rPr>
          <w:rFonts w:asciiTheme="minorHAnsi" w:hAnsiTheme="minorHAnsi" w:cstheme="minorHAnsi"/>
        </w:rPr>
        <w:t>Veřejné služby jsou jedním z podpůrných realizačních nástrojů alokační, redistribuční a stabilizační funkce státu. Z alokačního hlediska jsou veřejné služby poskytovány určité cílové skupině a na určitém území spravovaném odpovídajícím subjektem veřejné správy. Předpisy stanovují podmínky pro poskytování veřejných služeb a orgány veřejné správy jsou tím činitelem, který ze zákona za zabezpečování těchto služeb odpovídá. V této souvislosti můžeme hovořit o centrálně poskytovan</w:t>
      </w:r>
      <w:r>
        <w:rPr>
          <w:rFonts w:asciiTheme="minorHAnsi" w:hAnsiTheme="minorHAnsi" w:cstheme="minorHAnsi"/>
        </w:rPr>
        <w:t>ých službách (subjektem, resp. g</w:t>
      </w:r>
      <w:r w:rsidRPr="00DF22AC">
        <w:rPr>
          <w:rFonts w:asciiTheme="minorHAnsi" w:hAnsiTheme="minorHAnsi" w:cstheme="minorHAnsi"/>
        </w:rPr>
        <w:t>arantem nebo zadavatelem jejich poskytování je stát) či o místních veřejných službách, kdy zodpovědnost za poskytování těchto služeb patří do kompetence místní samosprávy</w:t>
      </w:r>
      <w:r>
        <w:rPr>
          <w:rFonts w:asciiTheme="minorHAnsi" w:hAnsiTheme="minorHAnsi" w:cstheme="minorHAnsi"/>
        </w:rPr>
        <w:t xml:space="preserve">. </w:t>
      </w:r>
      <w:r w:rsidRPr="00DF22AC">
        <w:rPr>
          <w:rFonts w:asciiTheme="minorHAnsi" w:hAnsiTheme="minorHAnsi" w:cstheme="minorHAnsi"/>
        </w:rPr>
        <w:t>Jak je z tabulky zřejmé, při poskytování veřejné služby rozlišujeme, kdo je poskytovatelem dané veřejné služby. V závislosti na tom rozlišujeme státem a samosprávou poskytované služby. Ve veřejné správě tak stojíme před problémem, který subjekt má poskytovat veřejnou službu a jakou podobu (ve smyslu standa</w:t>
      </w:r>
      <w:r>
        <w:rPr>
          <w:rFonts w:asciiTheme="minorHAnsi" w:hAnsiTheme="minorHAnsi" w:cstheme="minorHAnsi"/>
        </w:rPr>
        <w:t>rdu) má poskytovaná služba mít (Ochrana, Půček, Špaček, 2015)</w:t>
      </w:r>
      <w:r w:rsidRPr="00DF22AC">
        <w:rPr>
          <w:rFonts w:asciiTheme="minorHAnsi" w:hAnsiTheme="minorHAnsi" w:cstheme="minorHAnsi"/>
        </w:rPr>
        <w:t xml:space="preserve">. </w:t>
      </w:r>
    </w:p>
    <w:p w14:paraId="4D6D58D9" w14:textId="674B6F1A" w:rsidR="00503094" w:rsidRDefault="00503094" w:rsidP="00503094">
      <w:pPr>
        <w:pStyle w:val="Odstavec-DSO"/>
        <w:spacing w:after="120" w:line="360" w:lineRule="auto"/>
        <w:rPr>
          <w:rFonts w:asciiTheme="minorHAnsi" w:hAnsiTheme="minorHAnsi" w:cstheme="minorHAnsi"/>
        </w:rPr>
      </w:pPr>
      <w:r w:rsidRPr="00DF22AC">
        <w:rPr>
          <w:rFonts w:asciiTheme="minorHAnsi" w:hAnsiTheme="minorHAnsi" w:cstheme="minorHAnsi"/>
        </w:rPr>
        <w:t xml:space="preserve">Příklady poskytování veřejných služeb na úrovni </w:t>
      </w:r>
      <w:r>
        <w:rPr>
          <w:rFonts w:asciiTheme="minorHAnsi" w:hAnsiTheme="minorHAnsi" w:cstheme="minorHAnsi"/>
        </w:rPr>
        <w:t>státu</w:t>
      </w:r>
      <w:r w:rsidRPr="00DF22AC">
        <w:rPr>
          <w:rFonts w:asciiTheme="minorHAnsi" w:hAnsiTheme="minorHAnsi" w:cstheme="minorHAnsi"/>
        </w:rPr>
        <w:t xml:space="preserve"> a samosprávy ukazuje tabulka.</w:t>
      </w:r>
    </w:p>
    <w:p w14:paraId="76F65E03" w14:textId="78CEF1E6" w:rsidR="00503094" w:rsidRPr="000828C6" w:rsidRDefault="00503094" w:rsidP="00503094">
      <w:pPr>
        <w:pStyle w:val="Odstavec-DSO"/>
        <w:spacing w:after="0" w:line="360" w:lineRule="auto"/>
        <w:rPr>
          <w:rFonts w:asciiTheme="minorHAnsi" w:hAnsiTheme="minorHAnsi" w:cstheme="minorHAnsi"/>
          <w:i/>
          <w:iCs/>
        </w:rPr>
      </w:pPr>
      <w:r w:rsidRPr="000828C6">
        <w:rPr>
          <w:rFonts w:asciiTheme="minorHAnsi" w:hAnsiTheme="minorHAnsi" w:cstheme="minorHAnsi"/>
          <w:i/>
          <w:iCs/>
        </w:rPr>
        <w:t>Tab.</w:t>
      </w:r>
      <w:r w:rsidR="00EA14C5">
        <w:rPr>
          <w:rFonts w:asciiTheme="minorHAnsi" w:hAnsiTheme="minorHAnsi" w:cstheme="minorHAnsi"/>
          <w:i/>
          <w:iCs/>
        </w:rPr>
        <w:t xml:space="preserve"> </w:t>
      </w:r>
      <w:r w:rsidR="00C14739">
        <w:rPr>
          <w:rFonts w:asciiTheme="minorHAnsi" w:hAnsiTheme="minorHAnsi" w:cstheme="minorHAnsi"/>
          <w:i/>
          <w:iCs/>
        </w:rPr>
        <w:t>12</w:t>
      </w:r>
      <w:r w:rsidRPr="000828C6">
        <w:rPr>
          <w:rFonts w:asciiTheme="minorHAnsi" w:hAnsiTheme="minorHAnsi" w:cstheme="minorHAnsi"/>
          <w:i/>
          <w:iCs/>
        </w:rPr>
        <w:t xml:space="preserve"> Příklady poskytování služeb na úrovni státní správy a samosprávy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6437"/>
      </w:tblGrid>
      <w:tr w:rsidR="00503094" w:rsidRPr="00FF380A" w14:paraId="5FAE00D4" w14:textId="77777777" w:rsidTr="009E1C59">
        <w:tc>
          <w:tcPr>
            <w:tcW w:w="1430" w:type="pct"/>
            <w:shd w:val="clear" w:color="auto" w:fill="F2F2F2" w:themeFill="background1" w:themeFillShade="F2"/>
          </w:tcPr>
          <w:p w14:paraId="6481897B"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 xml:space="preserve">Rovina veřejné správy </w:t>
            </w:r>
          </w:p>
        </w:tc>
        <w:tc>
          <w:tcPr>
            <w:tcW w:w="3570" w:type="pct"/>
            <w:shd w:val="clear" w:color="auto" w:fill="F2F2F2" w:themeFill="background1" w:themeFillShade="F2"/>
          </w:tcPr>
          <w:p w14:paraId="58841F34"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 xml:space="preserve">Příklady poskytované služby </w:t>
            </w:r>
          </w:p>
        </w:tc>
      </w:tr>
      <w:tr w:rsidR="00503094" w:rsidRPr="00FF380A" w14:paraId="259ACE2E" w14:textId="77777777" w:rsidTr="007D2C8E">
        <w:tc>
          <w:tcPr>
            <w:tcW w:w="1430" w:type="pct"/>
            <w:vMerge w:val="restart"/>
            <w:shd w:val="clear" w:color="auto" w:fill="F2F2F2" w:themeFill="background1" w:themeFillShade="F2"/>
            <w:vAlign w:val="center"/>
          </w:tcPr>
          <w:p w14:paraId="3162B748"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r w:rsidRPr="00FF380A">
              <w:rPr>
                <w:rFonts w:asciiTheme="minorHAnsi" w:hAnsiTheme="minorHAnsi" w:cstheme="minorHAnsi"/>
                <w:sz w:val="22"/>
                <w:szCs w:val="22"/>
              </w:rPr>
              <w:t>Státní správa (veřejné služby poskytované státní autoritou)</w:t>
            </w:r>
          </w:p>
        </w:tc>
        <w:tc>
          <w:tcPr>
            <w:tcW w:w="3570" w:type="pct"/>
            <w:shd w:val="clear" w:color="auto" w:fill="auto"/>
          </w:tcPr>
          <w:p w14:paraId="331E1F12"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 xml:space="preserve">Bezpečnost občanů </w:t>
            </w:r>
          </w:p>
        </w:tc>
      </w:tr>
      <w:tr w:rsidR="00503094" w:rsidRPr="00FF380A" w14:paraId="48650D40" w14:textId="77777777" w:rsidTr="007D2C8E">
        <w:tc>
          <w:tcPr>
            <w:tcW w:w="1430" w:type="pct"/>
            <w:vMerge/>
            <w:shd w:val="clear" w:color="auto" w:fill="F2F2F2" w:themeFill="background1" w:themeFillShade="F2"/>
            <w:vAlign w:val="center"/>
          </w:tcPr>
          <w:p w14:paraId="3EE48FFB"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61745EC8"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Služby integrovaného záchranného systému</w:t>
            </w:r>
          </w:p>
        </w:tc>
      </w:tr>
      <w:tr w:rsidR="00503094" w:rsidRPr="00FF380A" w14:paraId="7889163E" w14:textId="77777777" w:rsidTr="007D2C8E">
        <w:tc>
          <w:tcPr>
            <w:tcW w:w="1430" w:type="pct"/>
            <w:vMerge/>
            <w:shd w:val="clear" w:color="auto" w:fill="F2F2F2" w:themeFill="background1" w:themeFillShade="F2"/>
            <w:vAlign w:val="center"/>
          </w:tcPr>
          <w:p w14:paraId="67BA2DFC"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6C82FF4D"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Výkon státní správy</w:t>
            </w:r>
          </w:p>
        </w:tc>
      </w:tr>
      <w:tr w:rsidR="00503094" w:rsidRPr="00FF380A" w14:paraId="314EB132" w14:textId="77777777" w:rsidTr="007D2C8E">
        <w:tc>
          <w:tcPr>
            <w:tcW w:w="1430" w:type="pct"/>
            <w:vMerge/>
            <w:shd w:val="clear" w:color="auto" w:fill="F2F2F2" w:themeFill="background1" w:themeFillShade="F2"/>
            <w:vAlign w:val="center"/>
          </w:tcPr>
          <w:p w14:paraId="3E2750AB"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054E8B9D"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Výstavba, opravy a údržba dálnic a silnic I. třídy</w:t>
            </w:r>
          </w:p>
        </w:tc>
      </w:tr>
      <w:tr w:rsidR="00503094" w:rsidRPr="00FF380A" w14:paraId="6A876CA6" w14:textId="77777777" w:rsidTr="007D2C8E">
        <w:tc>
          <w:tcPr>
            <w:tcW w:w="1430" w:type="pct"/>
            <w:vMerge/>
            <w:shd w:val="clear" w:color="auto" w:fill="F2F2F2" w:themeFill="background1" w:themeFillShade="F2"/>
            <w:vAlign w:val="center"/>
          </w:tcPr>
          <w:p w14:paraId="32F0969E"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52CF01DD"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Systém zdravotní péče na území státu (např. fakultní nemocnice)</w:t>
            </w:r>
          </w:p>
        </w:tc>
      </w:tr>
      <w:tr w:rsidR="00503094" w:rsidRPr="00FF380A" w14:paraId="5A4D44E4" w14:textId="77777777" w:rsidTr="007D2C8E">
        <w:tc>
          <w:tcPr>
            <w:tcW w:w="1430" w:type="pct"/>
            <w:vMerge/>
            <w:shd w:val="clear" w:color="auto" w:fill="F2F2F2" w:themeFill="background1" w:themeFillShade="F2"/>
            <w:vAlign w:val="center"/>
          </w:tcPr>
          <w:p w14:paraId="686015B0"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492CE4AB"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Systém vysokoškolského vzdělávání na území státu</w:t>
            </w:r>
          </w:p>
        </w:tc>
      </w:tr>
      <w:tr w:rsidR="00503094" w:rsidRPr="00FF380A" w14:paraId="394808DF" w14:textId="77777777" w:rsidTr="007D2C8E">
        <w:tc>
          <w:tcPr>
            <w:tcW w:w="1430" w:type="pct"/>
            <w:vMerge w:val="restart"/>
            <w:shd w:val="clear" w:color="auto" w:fill="F2F2F2" w:themeFill="background1" w:themeFillShade="F2"/>
            <w:vAlign w:val="center"/>
          </w:tcPr>
          <w:p w14:paraId="6158D7B0"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r w:rsidRPr="00FF380A">
              <w:rPr>
                <w:rFonts w:asciiTheme="minorHAnsi" w:hAnsiTheme="minorHAnsi" w:cstheme="minorHAnsi"/>
                <w:sz w:val="22"/>
                <w:szCs w:val="22"/>
              </w:rPr>
              <w:t>Veřejné služby poskytované orgánem samosprávy -  kraj</w:t>
            </w:r>
          </w:p>
        </w:tc>
        <w:tc>
          <w:tcPr>
            <w:tcW w:w="3570" w:type="pct"/>
            <w:shd w:val="clear" w:color="auto" w:fill="auto"/>
          </w:tcPr>
          <w:p w14:paraId="28575441"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Výkon státní správy přenesený na kraj</w:t>
            </w:r>
          </w:p>
        </w:tc>
      </w:tr>
      <w:tr w:rsidR="00503094" w:rsidRPr="00FF380A" w14:paraId="28B6B295" w14:textId="77777777" w:rsidTr="007D2C8E">
        <w:tc>
          <w:tcPr>
            <w:tcW w:w="1430" w:type="pct"/>
            <w:vMerge/>
            <w:shd w:val="clear" w:color="auto" w:fill="F2F2F2" w:themeFill="background1" w:themeFillShade="F2"/>
            <w:vAlign w:val="center"/>
          </w:tcPr>
          <w:p w14:paraId="1B8922E3"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770C2A11"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Výstavba, opravy a údržba silnic II. a III. třídy</w:t>
            </w:r>
          </w:p>
        </w:tc>
      </w:tr>
      <w:tr w:rsidR="00503094" w:rsidRPr="00FF380A" w14:paraId="5155D045" w14:textId="77777777" w:rsidTr="007D2C8E">
        <w:tc>
          <w:tcPr>
            <w:tcW w:w="1430" w:type="pct"/>
            <w:vMerge/>
            <w:shd w:val="clear" w:color="auto" w:fill="F2F2F2" w:themeFill="background1" w:themeFillShade="F2"/>
            <w:vAlign w:val="center"/>
          </w:tcPr>
          <w:p w14:paraId="03EDC0E5"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530DBE99"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Dopravní obslužnost území kraje</w:t>
            </w:r>
          </w:p>
        </w:tc>
      </w:tr>
      <w:tr w:rsidR="00503094" w:rsidRPr="00FF380A" w14:paraId="52AE866A" w14:textId="77777777" w:rsidTr="007D2C8E">
        <w:tc>
          <w:tcPr>
            <w:tcW w:w="1430" w:type="pct"/>
            <w:vMerge/>
            <w:shd w:val="clear" w:color="auto" w:fill="F2F2F2" w:themeFill="background1" w:themeFillShade="F2"/>
            <w:vAlign w:val="center"/>
          </w:tcPr>
          <w:p w14:paraId="6423B4FD"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48E34A84"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Středoškolské vzdělávání na území kraje</w:t>
            </w:r>
          </w:p>
        </w:tc>
      </w:tr>
      <w:tr w:rsidR="00503094" w:rsidRPr="00FF380A" w14:paraId="624C5DA9" w14:textId="77777777" w:rsidTr="007D2C8E">
        <w:tc>
          <w:tcPr>
            <w:tcW w:w="1430" w:type="pct"/>
            <w:vMerge/>
            <w:shd w:val="clear" w:color="auto" w:fill="F2F2F2" w:themeFill="background1" w:themeFillShade="F2"/>
            <w:vAlign w:val="center"/>
          </w:tcPr>
          <w:p w14:paraId="0C676FE5"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p>
        </w:tc>
        <w:tc>
          <w:tcPr>
            <w:tcW w:w="3570" w:type="pct"/>
            <w:shd w:val="clear" w:color="auto" w:fill="auto"/>
          </w:tcPr>
          <w:p w14:paraId="773C606E" w14:textId="2F4C08D2" w:rsidR="009E1C59"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Systém zdravotní péče na území kraje (např. krajské nemocnice)</w:t>
            </w:r>
          </w:p>
        </w:tc>
      </w:tr>
      <w:tr w:rsidR="00503094" w:rsidRPr="00FF380A" w14:paraId="0886865F" w14:textId="77777777" w:rsidTr="007D2C8E">
        <w:tc>
          <w:tcPr>
            <w:tcW w:w="1430" w:type="pct"/>
            <w:vMerge w:val="restart"/>
            <w:shd w:val="clear" w:color="auto" w:fill="F2F2F2" w:themeFill="background1" w:themeFillShade="F2"/>
            <w:vAlign w:val="center"/>
          </w:tcPr>
          <w:p w14:paraId="26B2066C" w14:textId="77777777" w:rsidR="00503094" w:rsidRPr="00FF380A" w:rsidRDefault="00503094" w:rsidP="00E9181F">
            <w:pPr>
              <w:pStyle w:val="Odstavec-DSO"/>
              <w:spacing w:after="0" w:line="216" w:lineRule="auto"/>
              <w:jc w:val="left"/>
              <w:rPr>
                <w:rFonts w:asciiTheme="minorHAnsi" w:hAnsiTheme="minorHAnsi" w:cstheme="minorHAnsi"/>
                <w:sz w:val="22"/>
                <w:szCs w:val="22"/>
              </w:rPr>
            </w:pPr>
            <w:r w:rsidRPr="00FF380A">
              <w:rPr>
                <w:rFonts w:asciiTheme="minorHAnsi" w:hAnsiTheme="minorHAnsi" w:cstheme="minorHAnsi"/>
                <w:sz w:val="22"/>
                <w:szCs w:val="22"/>
              </w:rPr>
              <w:t>Veřejné služby poskytované orgánem samosprávy -  obec</w:t>
            </w:r>
          </w:p>
        </w:tc>
        <w:tc>
          <w:tcPr>
            <w:tcW w:w="3570" w:type="pct"/>
            <w:shd w:val="clear" w:color="auto" w:fill="auto"/>
          </w:tcPr>
          <w:p w14:paraId="16AD118A"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Výkon státní správy přenesený na obce</w:t>
            </w:r>
          </w:p>
        </w:tc>
      </w:tr>
      <w:tr w:rsidR="00503094" w:rsidRPr="00FF380A" w14:paraId="10016E59" w14:textId="77777777" w:rsidTr="007D2C8E">
        <w:tc>
          <w:tcPr>
            <w:tcW w:w="1430" w:type="pct"/>
            <w:vMerge/>
            <w:shd w:val="clear" w:color="auto" w:fill="F2F2F2" w:themeFill="background1" w:themeFillShade="F2"/>
          </w:tcPr>
          <w:p w14:paraId="2BDD9692" w14:textId="77777777" w:rsidR="00503094" w:rsidRPr="00FF380A" w:rsidRDefault="00503094" w:rsidP="00E9181F">
            <w:pPr>
              <w:pStyle w:val="Odstavec-DSO"/>
              <w:spacing w:after="0" w:line="216" w:lineRule="auto"/>
              <w:rPr>
                <w:rFonts w:asciiTheme="minorHAnsi" w:hAnsiTheme="minorHAnsi" w:cstheme="minorHAnsi"/>
                <w:sz w:val="22"/>
                <w:szCs w:val="22"/>
              </w:rPr>
            </w:pPr>
          </w:p>
        </w:tc>
        <w:tc>
          <w:tcPr>
            <w:tcW w:w="3570" w:type="pct"/>
            <w:shd w:val="clear" w:color="auto" w:fill="auto"/>
          </w:tcPr>
          <w:p w14:paraId="6EE63162"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Sběr a odvoz komunálního odpadu</w:t>
            </w:r>
          </w:p>
        </w:tc>
      </w:tr>
      <w:tr w:rsidR="00503094" w:rsidRPr="00FF380A" w14:paraId="3583F846" w14:textId="77777777" w:rsidTr="007D2C8E">
        <w:tc>
          <w:tcPr>
            <w:tcW w:w="1430" w:type="pct"/>
            <w:vMerge/>
            <w:shd w:val="clear" w:color="auto" w:fill="F2F2F2" w:themeFill="background1" w:themeFillShade="F2"/>
          </w:tcPr>
          <w:p w14:paraId="21F2F59F" w14:textId="77777777" w:rsidR="00503094" w:rsidRPr="00FF380A" w:rsidRDefault="00503094" w:rsidP="00E9181F">
            <w:pPr>
              <w:pStyle w:val="Odstavec-DSO"/>
              <w:spacing w:after="0" w:line="216" w:lineRule="auto"/>
              <w:rPr>
                <w:rFonts w:asciiTheme="minorHAnsi" w:hAnsiTheme="minorHAnsi" w:cstheme="minorHAnsi"/>
                <w:sz w:val="22"/>
                <w:szCs w:val="22"/>
              </w:rPr>
            </w:pPr>
          </w:p>
        </w:tc>
        <w:tc>
          <w:tcPr>
            <w:tcW w:w="3570" w:type="pct"/>
            <w:shd w:val="clear" w:color="auto" w:fill="auto"/>
          </w:tcPr>
          <w:p w14:paraId="00C58B77"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Opravy a údržba místních komunikací</w:t>
            </w:r>
          </w:p>
        </w:tc>
      </w:tr>
      <w:tr w:rsidR="00503094" w:rsidRPr="00FF380A" w14:paraId="38450C94" w14:textId="77777777" w:rsidTr="007D2C8E">
        <w:tc>
          <w:tcPr>
            <w:tcW w:w="1430" w:type="pct"/>
            <w:vMerge/>
            <w:shd w:val="clear" w:color="auto" w:fill="F2F2F2" w:themeFill="background1" w:themeFillShade="F2"/>
          </w:tcPr>
          <w:p w14:paraId="22D85712" w14:textId="77777777" w:rsidR="00503094" w:rsidRPr="00FF380A" w:rsidRDefault="00503094" w:rsidP="00E9181F">
            <w:pPr>
              <w:pStyle w:val="Odstavec-DSO"/>
              <w:spacing w:after="0" w:line="216" w:lineRule="auto"/>
              <w:rPr>
                <w:rFonts w:asciiTheme="minorHAnsi" w:hAnsiTheme="minorHAnsi" w:cstheme="minorHAnsi"/>
                <w:sz w:val="22"/>
                <w:szCs w:val="22"/>
              </w:rPr>
            </w:pPr>
          </w:p>
        </w:tc>
        <w:tc>
          <w:tcPr>
            <w:tcW w:w="3570" w:type="pct"/>
            <w:shd w:val="clear" w:color="auto" w:fill="auto"/>
          </w:tcPr>
          <w:p w14:paraId="609110F9"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Péče o zeleň</w:t>
            </w:r>
          </w:p>
        </w:tc>
      </w:tr>
      <w:tr w:rsidR="00503094" w:rsidRPr="00FF380A" w14:paraId="5471F08F" w14:textId="77777777" w:rsidTr="007D2C8E">
        <w:tc>
          <w:tcPr>
            <w:tcW w:w="1430" w:type="pct"/>
            <w:vMerge/>
            <w:shd w:val="clear" w:color="auto" w:fill="F2F2F2" w:themeFill="background1" w:themeFillShade="F2"/>
          </w:tcPr>
          <w:p w14:paraId="4C0067BA" w14:textId="77777777" w:rsidR="00503094" w:rsidRPr="00FF380A" w:rsidRDefault="00503094" w:rsidP="00E9181F">
            <w:pPr>
              <w:pStyle w:val="Odstavec-DSO"/>
              <w:spacing w:after="0" w:line="216" w:lineRule="auto"/>
              <w:rPr>
                <w:rFonts w:asciiTheme="minorHAnsi" w:hAnsiTheme="minorHAnsi" w:cstheme="minorHAnsi"/>
                <w:sz w:val="22"/>
                <w:szCs w:val="22"/>
              </w:rPr>
            </w:pPr>
          </w:p>
        </w:tc>
        <w:tc>
          <w:tcPr>
            <w:tcW w:w="3570" w:type="pct"/>
            <w:shd w:val="clear" w:color="auto" w:fill="auto"/>
          </w:tcPr>
          <w:p w14:paraId="46981BDE"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 xml:space="preserve">Veřejné osvětlení </w:t>
            </w:r>
          </w:p>
        </w:tc>
      </w:tr>
      <w:tr w:rsidR="00503094" w:rsidRPr="00FF380A" w14:paraId="1F305F5B" w14:textId="77777777" w:rsidTr="007D2C8E">
        <w:tc>
          <w:tcPr>
            <w:tcW w:w="1430" w:type="pct"/>
            <w:vMerge/>
            <w:shd w:val="clear" w:color="auto" w:fill="F2F2F2" w:themeFill="background1" w:themeFillShade="F2"/>
          </w:tcPr>
          <w:p w14:paraId="322680C8" w14:textId="77777777" w:rsidR="00503094" w:rsidRPr="00FF380A" w:rsidRDefault="00503094" w:rsidP="00E9181F">
            <w:pPr>
              <w:pStyle w:val="Odstavec-DSO"/>
              <w:spacing w:after="0" w:line="216" w:lineRule="auto"/>
              <w:rPr>
                <w:rFonts w:asciiTheme="minorHAnsi" w:hAnsiTheme="minorHAnsi" w:cstheme="minorHAnsi"/>
                <w:sz w:val="22"/>
                <w:szCs w:val="22"/>
              </w:rPr>
            </w:pPr>
          </w:p>
        </w:tc>
        <w:tc>
          <w:tcPr>
            <w:tcW w:w="3570" w:type="pct"/>
            <w:shd w:val="clear" w:color="auto" w:fill="auto"/>
          </w:tcPr>
          <w:p w14:paraId="0A27428A"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Předškolní a základní vzdělávání</w:t>
            </w:r>
          </w:p>
        </w:tc>
      </w:tr>
      <w:tr w:rsidR="00503094" w:rsidRPr="00FF380A" w14:paraId="302C8FC9" w14:textId="77777777" w:rsidTr="007D2C8E">
        <w:tc>
          <w:tcPr>
            <w:tcW w:w="1430" w:type="pct"/>
            <w:vMerge/>
            <w:shd w:val="clear" w:color="auto" w:fill="F2F2F2" w:themeFill="background1" w:themeFillShade="F2"/>
          </w:tcPr>
          <w:p w14:paraId="1DC6FAE1" w14:textId="77777777" w:rsidR="00503094" w:rsidRPr="00FF380A" w:rsidRDefault="00503094" w:rsidP="00E9181F">
            <w:pPr>
              <w:pStyle w:val="Odstavec-DSO"/>
              <w:spacing w:after="0" w:line="216" w:lineRule="auto"/>
              <w:rPr>
                <w:rFonts w:asciiTheme="minorHAnsi" w:hAnsiTheme="minorHAnsi" w:cstheme="minorHAnsi"/>
                <w:sz w:val="22"/>
                <w:szCs w:val="22"/>
              </w:rPr>
            </w:pPr>
          </w:p>
        </w:tc>
        <w:tc>
          <w:tcPr>
            <w:tcW w:w="3570" w:type="pct"/>
            <w:shd w:val="clear" w:color="auto" w:fill="auto"/>
          </w:tcPr>
          <w:p w14:paraId="759354E3" w14:textId="77777777" w:rsidR="00503094" w:rsidRPr="00FF380A" w:rsidRDefault="00503094" w:rsidP="00E9181F">
            <w:pPr>
              <w:pStyle w:val="Odstavec-DSO"/>
              <w:spacing w:after="0" w:line="216" w:lineRule="auto"/>
              <w:rPr>
                <w:rFonts w:asciiTheme="minorHAnsi" w:hAnsiTheme="minorHAnsi" w:cstheme="minorHAnsi"/>
                <w:sz w:val="22"/>
                <w:szCs w:val="22"/>
              </w:rPr>
            </w:pPr>
            <w:r w:rsidRPr="00FF380A">
              <w:rPr>
                <w:rFonts w:asciiTheme="minorHAnsi" w:hAnsiTheme="minorHAnsi" w:cstheme="minorHAnsi"/>
                <w:sz w:val="22"/>
                <w:szCs w:val="22"/>
              </w:rPr>
              <w:t>Dopravní obslužnost území obce (například MHD)</w:t>
            </w:r>
          </w:p>
        </w:tc>
      </w:tr>
    </w:tbl>
    <w:p w14:paraId="3894EDA8" w14:textId="166293A4" w:rsidR="00503094" w:rsidRPr="000828C6" w:rsidRDefault="00503094" w:rsidP="00503094">
      <w:pPr>
        <w:pStyle w:val="Odstavec-DSO"/>
        <w:spacing w:after="120" w:line="360" w:lineRule="auto"/>
        <w:rPr>
          <w:rFonts w:asciiTheme="minorHAnsi" w:hAnsiTheme="minorHAnsi" w:cstheme="minorHAnsi"/>
          <w:i/>
          <w:iCs/>
        </w:rPr>
      </w:pPr>
      <w:r w:rsidRPr="000828C6">
        <w:rPr>
          <w:rFonts w:asciiTheme="minorHAnsi" w:hAnsiTheme="minorHAnsi" w:cstheme="minorHAnsi"/>
          <w:i/>
          <w:iCs/>
        </w:rPr>
        <w:t xml:space="preserve">Zdroj: </w:t>
      </w:r>
      <w:r w:rsidR="00D604C1" w:rsidRPr="00D604C1">
        <w:rPr>
          <w:rFonts w:asciiTheme="minorHAnsi" w:hAnsiTheme="minorHAnsi" w:cstheme="minorHAnsi"/>
          <w:i/>
          <w:iCs/>
        </w:rPr>
        <w:t>Ochrana, Půček, Špaček 2015</w:t>
      </w:r>
    </w:p>
    <w:p w14:paraId="50A115FC" w14:textId="08F4971A" w:rsidR="00503094" w:rsidRDefault="00503094" w:rsidP="00503094">
      <w:pPr>
        <w:pStyle w:val="Odstavec-DSO"/>
        <w:spacing w:after="0" w:line="360" w:lineRule="auto"/>
        <w:rPr>
          <w:rFonts w:asciiTheme="minorHAnsi" w:hAnsiTheme="minorHAnsi" w:cstheme="minorHAnsi"/>
        </w:rPr>
      </w:pPr>
      <w:r w:rsidRPr="00DF22AC">
        <w:rPr>
          <w:rFonts w:asciiTheme="minorHAnsi" w:hAnsiTheme="minorHAnsi" w:cstheme="minorHAnsi"/>
        </w:rPr>
        <w:t xml:space="preserve">Pokud se podíváme na poskytování veřejných služeb z hlediska </w:t>
      </w:r>
      <w:r w:rsidRPr="00031D00">
        <w:rPr>
          <w:rFonts w:asciiTheme="minorHAnsi" w:hAnsiTheme="minorHAnsi" w:cstheme="minorHAnsi"/>
          <w:b/>
        </w:rPr>
        <w:t>právní formy poskytovatele</w:t>
      </w:r>
      <w:r w:rsidRPr="00DF22AC">
        <w:rPr>
          <w:rFonts w:asciiTheme="minorHAnsi" w:hAnsiTheme="minorHAnsi" w:cstheme="minorHAnsi"/>
        </w:rPr>
        <w:t>, existuje celá řada možností</w:t>
      </w:r>
      <w:r w:rsidR="00D604C1">
        <w:rPr>
          <w:rFonts w:asciiTheme="minorHAnsi" w:hAnsiTheme="minorHAnsi" w:cstheme="minorHAnsi"/>
        </w:rPr>
        <w:t>,</w:t>
      </w:r>
      <w:r w:rsidRPr="00DF22AC">
        <w:rPr>
          <w:rFonts w:asciiTheme="minorHAnsi" w:hAnsiTheme="minorHAnsi" w:cstheme="minorHAnsi"/>
        </w:rPr>
        <w:t xml:space="preserve"> kým (v jaké právní formě) může být veřejná služba na konkrétním území poskytována. </w:t>
      </w:r>
      <w:r>
        <w:rPr>
          <w:rFonts w:asciiTheme="minorHAnsi" w:hAnsiTheme="minorHAnsi" w:cstheme="minorHAnsi"/>
        </w:rPr>
        <w:t>Stát / o</w:t>
      </w:r>
      <w:r w:rsidRPr="00DF22AC">
        <w:rPr>
          <w:rFonts w:asciiTheme="minorHAnsi" w:hAnsiTheme="minorHAnsi" w:cstheme="minorHAnsi"/>
        </w:rPr>
        <w:t xml:space="preserve">bec / kraj může zabezpečovat poskytování veřejných služeb různými cestami, a to </w:t>
      </w:r>
      <w:r>
        <w:rPr>
          <w:rFonts w:asciiTheme="minorHAnsi" w:hAnsiTheme="minorHAnsi" w:cstheme="minorHAnsi"/>
        </w:rPr>
        <w:t>zejména:</w:t>
      </w:r>
    </w:p>
    <w:p w14:paraId="4ED53BC3" w14:textId="77777777" w:rsidR="00503094" w:rsidRDefault="00503094" w:rsidP="00447CE9">
      <w:pPr>
        <w:pStyle w:val="Odstavec-DSO"/>
        <w:numPr>
          <w:ilvl w:val="0"/>
          <w:numId w:val="37"/>
        </w:numPr>
        <w:spacing w:after="0" w:line="360" w:lineRule="auto"/>
        <w:ind w:left="709" w:hanging="283"/>
        <w:rPr>
          <w:rFonts w:asciiTheme="minorHAnsi" w:hAnsiTheme="minorHAnsi" w:cstheme="minorHAnsi"/>
        </w:rPr>
      </w:pPr>
      <w:r w:rsidRPr="00DF22AC">
        <w:rPr>
          <w:rFonts w:asciiTheme="minorHAnsi" w:hAnsiTheme="minorHAnsi" w:cstheme="minorHAnsi"/>
        </w:rPr>
        <w:t xml:space="preserve">přímo (úřadem, organizační složkou či jiným orgánem), </w:t>
      </w:r>
    </w:p>
    <w:p w14:paraId="65629229" w14:textId="77777777" w:rsidR="00503094" w:rsidRDefault="00503094" w:rsidP="00447CE9">
      <w:pPr>
        <w:pStyle w:val="Odstavec-DSO"/>
        <w:numPr>
          <w:ilvl w:val="0"/>
          <w:numId w:val="37"/>
        </w:numPr>
        <w:spacing w:after="0" w:line="360" w:lineRule="auto"/>
        <w:ind w:left="709" w:hanging="283"/>
        <w:rPr>
          <w:rFonts w:asciiTheme="minorHAnsi" w:hAnsiTheme="minorHAnsi" w:cstheme="minorHAnsi"/>
        </w:rPr>
      </w:pPr>
      <w:r w:rsidRPr="00DF22AC">
        <w:rPr>
          <w:rFonts w:asciiTheme="minorHAnsi" w:hAnsiTheme="minorHAnsi" w:cstheme="minorHAnsi"/>
        </w:rPr>
        <w:t>nepřím</w:t>
      </w:r>
      <w:r>
        <w:rPr>
          <w:rFonts w:asciiTheme="minorHAnsi" w:hAnsiTheme="minorHAnsi" w:cstheme="minorHAnsi"/>
        </w:rPr>
        <w:t>o pomocí zřízených či založených:</w:t>
      </w:r>
      <w:r w:rsidRPr="00DF22AC">
        <w:rPr>
          <w:rFonts w:asciiTheme="minorHAnsi" w:hAnsiTheme="minorHAnsi" w:cstheme="minorHAnsi"/>
        </w:rPr>
        <w:t xml:space="preserve"> </w:t>
      </w:r>
    </w:p>
    <w:p w14:paraId="118E256F" w14:textId="77777777" w:rsidR="00503094" w:rsidRDefault="00503094" w:rsidP="00447CE9">
      <w:pPr>
        <w:pStyle w:val="Odstavec-DSO"/>
        <w:numPr>
          <w:ilvl w:val="1"/>
          <w:numId w:val="37"/>
        </w:numPr>
        <w:spacing w:after="0" w:line="360" w:lineRule="auto"/>
        <w:ind w:left="1134" w:hanging="283"/>
        <w:rPr>
          <w:rFonts w:asciiTheme="minorHAnsi" w:hAnsiTheme="minorHAnsi" w:cstheme="minorHAnsi"/>
        </w:rPr>
      </w:pPr>
      <w:r w:rsidRPr="00DF22AC">
        <w:rPr>
          <w:rFonts w:asciiTheme="minorHAnsi" w:hAnsiTheme="minorHAnsi" w:cstheme="minorHAnsi"/>
        </w:rPr>
        <w:t xml:space="preserve">neziskových organizací </w:t>
      </w:r>
      <w:r>
        <w:rPr>
          <w:rFonts w:asciiTheme="minorHAnsi" w:hAnsiTheme="minorHAnsi" w:cstheme="minorHAnsi"/>
        </w:rPr>
        <w:t xml:space="preserve">(nejčastěji příspěvkové organizace) </w:t>
      </w:r>
      <w:r w:rsidRPr="00DF22AC">
        <w:rPr>
          <w:rFonts w:asciiTheme="minorHAnsi" w:hAnsiTheme="minorHAnsi" w:cstheme="minorHAnsi"/>
        </w:rPr>
        <w:t xml:space="preserve">nebo </w:t>
      </w:r>
    </w:p>
    <w:p w14:paraId="153ED471" w14:textId="77777777" w:rsidR="00503094" w:rsidRDefault="00503094" w:rsidP="00447CE9">
      <w:pPr>
        <w:pStyle w:val="Odstavec-DSO"/>
        <w:numPr>
          <w:ilvl w:val="1"/>
          <w:numId w:val="37"/>
        </w:numPr>
        <w:spacing w:after="0" w:line="360" w:lineRule="auto"/>
        <w:ind w:left="1134" w:hanging="283"/>
        <w:rPr>
          <w:rFonts w:asciiTheme="minorHAnsi" w:hAnsiTheme="minorHAnsi" w:cstheme="minorHAnsi"/>
        </w:rPr>
      </w:pPr>
      <w:r w:rsidRPr="00DF22AC">
        <w:rPr>
          <w:rFonts w:asciiTheme="minorHAnsi" w:hAnsiTheme="minorHAnsi" w:cstheme="minorHAnsi"/>
        </w:rPr>
        <w:t xml:space="preserve">ziskových organizací (s.r.o., a.s., družstvo), </w:t>
      </w:r>
    </w:p>
    <w:p w14:paraId="2668A09C" w14:textId="77777777" w:rsidR="00503094" w:rsidRDefault="00503094" w:rsidP="00447CE9">
      <w:pPr>
        <w:pStyle w:val="Odstavec-DSO"/>
        <w:numPr>
          <w:ilvl w:val="0"/>
          <w:numId w:val="37"/>
        </w:numPr>
        <w:spacing w:after="120" w:line="360" w:lineRule="auto"/>
        <w:ind w:left="709" w:hanging="283"/>
        <w:rPr>
          <w:rFonts w:asciiTheme="minorHAnsi" w:hAnsiTheme="minorHAnsi" w:cstheme="minorHAnsi"/>
        </w:rPr>
      </w:pPr>
      <w:r w:rsidRPr="00DF22AC">
        <w:rPr>
          <w:rFonts w:asciiTheme="minorHAnsi" w:hAnsiTheme="minorHAnsi" w:cstheme="minorHAnsi"/>
        </w:rPr>
        <w:t xml:space="preserve">nepřímo nákupem služeb (veřejná zakázka) či podobnou formou. </w:t>
      </w:r>
    </w:p>
    <w:p w14:paraId="16E644EF" w14:textId="77777777" w:rsidR="00503094" w:rsidRDefault="00503094" w:rsidP="00503094">
      <w:pPr>
        <w:pStyle w:val="Odstavec-DSO"/>
        <w:spacing w:after="120" w:line="360" w:lineRule="auto"/>
        <w:rPr>
          <w:rFonts w:asciiTheme="minorHAnsi" w:hAnsiTheme="minorHAnsi" w:cstheme="minorHAnsi"/>
        </w:rPr>
      </w:pPr>
      <w:r w:rsidRPr="00DF22AC">
        <w:rPr>
          <w:rFonts w:asciiTheme="minorHAnsi" w:hAnsiTheme="minorHAnsi" w:cstheme="minorHAnsi"/>
        </w:rPr>
        <w:t>Různá právní forma je důležitá – dává možnost provést optimalizaci veřejné služby na základě konkrétních místních podmínek. Není tedy možné říci, že jedna právní forma (např. příspěvková organizace) vyhovuje vždy a všude. Například jedna obec má na provádění komunálních služeb (sekání trávy, čištění města, odklízení sněhu, svoz odpadků atd.) zřízenou příspěvkovou organizaci, jiná má na to společnost s ručeným omezeným ve vlastnictví obce a třetí to zadává jako jednotlivé veřejné zakázky. Každý přístup má své výhody a nevýhody.</w:t>
      </w:r>
    </w:p>
    <w:p w14:paraId="1AEF4A83" w14:textId="77777777" w:rsidR="00503094" w:rsidRDefault="00503094" w:rsidP="00503094">
      <w:pPr>
        <w:pStyle w:val="Odstavec-DSO"/>
        <w:spacing w:after="120" w:line="360" w:lineRule="auto"/>
        <w:rPr>
          <w:rFonts w:asciiTheme="minorHAnsi" w:hAnsiTheme="minorHAnsi" w:cstheme="minorHAnsi"/>
        </w:rPr>
      </w:pPr>
    </w:p>
    <w:p w14:paraId="690A3437" w14:textId="77777777" w:rsidR="00503094" w:rsidRPr="00FF380A" w:rsidRDefault="00503094" w:rsidP="00503094">
      <w:pPr>
        <w:pStyle w:val="Nadpis3"/>
        <w:ind w:left="709"/>
        <w:rPr>
          <w:b w:val="0"/>
        </w:rPr>
      </w:pPr>
      <w:bookmarkStart w:id="43" w:name="_Toc117270005"/>
      <w:r w:rsidRPr="00FF380A">
        <w:rPr>
          <w:b w:val="0"/>
        </w:rPr>
        <w:t xml:space="preserve">Veřejné </w:t>
      </w:r>
      <w:r>
        <w:rPr>
          <w:b w:val="0"/>
          <w:lang w:val="cs-CZ"/>
        </w:rPr>
        <w:t>projekty</w:t>
      </w:r>
      <w:bookmarkEnd w:id="43"/>
    </w:p>
    <w:p w14:paraId="47821DC3" w14:textId="6DB846CD" w:rsidR="00503094" w:rsidRPr="00DF22AC" w:rsidRDefault="00901A6E" w:rsidP="00503094">
      <w:pPr>
        <w:pStyle w:val="A1-text"/>
        <w:spacing w:after="120"/>
        <w:rPr>
          <w:rFonts w:asciiTheme="minorHAnsi" w:hAnsiTheme="minorHAnsi" w:cstheme="minorHAnsi"/>
        </w:rPr>
      </w:pPr>
      <w:r>
        <w:rPr>
          <w:rFonts w:ascii="Calibri" w:hAnsi="Calibri"/>
          <w:szCs w:val="20"/>
          <w:lang w:val="cs-CZ"/>
        </w:rPr>
        <w:t xml:space="preserve">Ke strategické práci </w:t>
      </w:r>
      <w:r w:rsidRPr="00901A6E">
        <w:rPr>
          <w:rFonts w:ascii="Calibri" w:hAnsi="Calibri"/>
          <w:szCs w:val="20"/>
          <w:lang w:val="cs-CZ"/>
        </w:rPr>
        <w:t xml:space="preserve">obvykle </w:t>
      </w:r>
      <w:r>
        <w:rPr>
          <w:rFonts w:ascii="Calibri" w:hAnsi="Calibri"/>
          <w:szCs w:val="20"/>
          <w:lang w:val="cs-CZ"/>
        </w:rPr>
        <w:t xml:space="preserve">též patří příprava a </w:t>
      </w:r>
      <w:r w:rsidRPr="00901A6E">
        <w:rPr>
          <w:rFonts w:ascii="Calibri" w:hAnsi="Calibri"/>
          <w:szCs w:val="20"/>
          <w:lang w:val="cs-CZ"/>
        </w:rPr>
        <w:t>realizace konkrétních projektů.</w:t>
      </w:r>
      <w:r>
        <w:rPr>
          <w:rFonts w:ascii="Calibri" w:hAnsi="Calibri"/>
          <w:szCs w:val="20"/>
          <w:lang w:val="cs-CZ"/>
        </w:rPr>
        <w:t xml:space="preserve"> </w:t>
      </w:r>
      <w:r w:rsidR="00503094" w:rsidRPr="00A441A1">
        <w:rPr>
          <w:rFonts w:ascii="Calibri" w:hAnsi="Calibri"/>
          <w:b/>
          <w:szCs w:val="20"/>
        </w:rPr>
        <w:t>Projekt</w:t>
      </w:r>
      <w:r w:rsidR="00503094" w:rsidRPr="00A441A1">
        <w:rPr>
          <w:rFonts w:ascii="Calibri" w:hAnsi="Calibri"/>
          <w:szCs w:val="20"/>
        </w:rPr>
        <w:t xml:space="preserve"> je</w:t>
      </w:r>
      <w:r w:rsidR="00503094" w:rsidRPr="00331D6F">
        <w:rPr>
          <w:rFonts w:ascii="Calibri" w:hAnsi="Calibri"/>
          <w:szCs w:val="20"/>
        </w:rPr>
        <w:t xml:space="preserve"> jedinečný proces sestávající z řady koordinovaných a řízených činností s termínem zahájení a ukončení. Tento proces je prováděn k dosažení cíle, který vyhovuje stanoveným požadavkům, včetně omezení daných časem, náklady a zdroji.</w:t>
      </w:r>
      <w:r w:rsidR="00503094">
        <w:rPr>
          <w:rFonts w:ascii="Calibri" w:hAnsi="Calibri"/>
          <w:szCs w:val="20"/>
          <w:lang w:val="cs-CZ"/>
        </w:rPr>
        <w:t xml:space="preserve"> </w:t>
      </w:r>
      <w:r w:rsidR="00503094" w:rsidRPr="00A441A1">
        <w:rPr>
          <w:rFonts w:asciiTheme="minorHAnsi" w:hAnsiTheme="minorHAnsi" w:cstheme="minorHAnsi"/>
          <w:b/>
        </w:rPr>
        <w:t>Veřejným projektem</w:t>
      </w:r>
      <w:r w:rsidR="00503094" w:rsidRPr="00EF0B0B">
        <w:rPr>
          <w:rFonts w:asciiTheme="minorHAnsi" w:hAnsiTheme="minorHAnsi" w:cstheme="minorHAnsi"/>
        </w:rPr>
        <w:t xml:space="preserve"> rozumíme zamýšlenou (plánovanou) systémovo</w:t>
      </w:r>
      <w:r w:rsidR="00503094">
        <w:rPr>
          <w:rFonts w:asciiTheme="minorHAnsi" w:hAnsiTheme="minorHAnsi" w:cstheme="minorHAnsi"/>
        </w:rPr>
        <w:t>u aktivitu, jejímž cílem je následně</w:t>
      </w:r>
      <w:r w:rsidR="00503094" w:rsidRPr="00EF0B0B">
        <w:rPr>
          <w:rFonts w:asciiTheme="minorHAnsi" w:hAnsiTheme="minorHAnsi" w:cstheme="minorHAnsi"/>
        </w:rPr>
        <w:t xml:space="preserve"> </w:t>
      </w:r>
      <w:r w:rsidR="00503094">
        <w:rPr>
          <w:rFonts w:asciiTheme="minorHAnsi" w:hAnsiTheme="minorHAnsi" w:cstheme="minorHAnsi"/>
        </w:rPr>
        <w:t>ú</w:t>
      </w:r>
      <w:r w:rsidR="00503094" w:rsidRPr="00EF0B0B">
        <w:rPr>
          <w:rFonts w:asciiTheme="minorHAnsi" w:hAnsiTheme="minorHAnsi" w:cstheme="minorHAnsi"/>
        </w:rPr>
        <w:t xml:space="preserve">mysl veřejného projektu prakticky realizovat do podoby </w:t>
      </w:r>
      <w:r w:rsidR="00503094">
        <w:rPr>
          <w:rFonts w:asciiTheme="minorHAnsi" w:hAnsiTheme="minorHAnsi" w:cstheme="minorHAnsi"/>
        </w:rPr>
        <w:t xml:space="preserve">zejména </w:t>
      </w:r>
      <w:r w:rsidR="00503094" w:rsidRPr="00EF0B0B">
        <w:rPr>
          <w:rFonts w:asciiTheme="minorHAnsi" w:hAnsiTheme="minorHAnsi" w:cstheme="minorHAnsi"/>
        </w:rPr>
        <w:t>veřejné investice. Veřejný projekt má následující charakteristické rysy, jak ukazuje tabulka.</w:t>
      </w:r>
      <w:r w:rsidR="00503094">
        <w:rPr>
          <w:rFonts w:asciiTheme="minorHAnsi" w:hAnsiTheme="minorHAnsi" w:cstheme="minorHAnsi"/>
        </w:rPr>
        <w:t xml:space="preserve"> </w:t>
      </w:r>
    </w:p>
    <w:p w14:paraId="65BC9E60" w14:textId="50C192A8" w:rsidR="00503094" w:rsidRPr="000828C6" w:rsidRDefault="00503094" w:rsidP="00503094">
      <w:pPr>
        <w:jc w:val="both"/>
        <w:rPr>
          <w:rFonts w:asciiTheme="minorHAnsi" w:hAnsiTheme="minorHAnsi" w:cstheme="minorHAnsi"/>
          <w:i/>
          <w:iCs/>
        </w:rPr>
      </w:pPr>
      <w:r w:rsidRPr="000828C6">
        <w:rPr>
          <w:rFonts w:asciiTheme="minorHAnsi" w:hAnsiTheme="minorHAnsi" w:cstheme="minorHAnsi"/>
          <w:i/>
          <w:iCs/>
        </w:rPr>
        <w:t xml:space="preserve">Tab. </w:t>
      </w:r>
      <w:r w:rsidR="00EA14C5">
        <w:rPr>
          <w:rFonts w:asciiTheme="minorHAnsi" w:hAnsiTheme="minorHAnsi" w:cstheme="minorHAnsi"/>
          <w:i/>
          <w:iCs/>
        </w:rPr>
        <w:t>1</w:t>
      </w:r>
      <w:r w:rsidR="00C14739">
        <w:rPr>
          <w:rFonts w:asciiTheme="minorHAnsi" w:hAnsiTheme="minorHAnsi" w:cstheme="minorHAnsi"/>
          <w:i/>
          <w:iCs/>
        </w:rPr>
        <w:t>3</w:t>
      </w:r>
      <w:r w:rsidRPr="000828C6">
        <w:rPr>
          <w:rFonts w:asciiTheme="minorHAnsi" w:hAnsiTheme="minorHAnsi" w:cstheme="minorHAnsi"/>
          <w:i/>
          <w:iCs/>
        </w:rPr>
        <w:t xml:space="preserve"> Charakteristické znaky veřejného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4748"/>
      </w:tblGrid>
      <w:tr w:rsidR="00503094" w:rsidRPr="00EF2BB9" w14:paraId="1BA17D4D" w14:textId="77777777" w:rsidTr="00E9181F">
        <w:tc>
          <w:tcPr>
            <w:tcW w:w="2367" w:type="pct"/>
            <w:shd w:val="clear" w:color="auto" w:fill="F2F2F2" w:themeFill="background1" w:themeFillShade="F2"/>
          </w:tcPr>
          <w:p w14:paraId="1014AF3B" w14:textId="77777777" w:rsidR="00503094" w:rsidRPr="00EF2BB9" w:rsidRDefault="00503094" w:rsidP="00EF2BB9">
            <w:pPr>
              <w:spacing w:line="240" w:lineRule="auto"/>
              <w:ind w:left="-57"/>
              <w:jc w:val="both"/>
              <w:rPr>
                <w:rFonts w:asciiTheme="minorHAnsi" w:hAnsiTheme="minorHAnsi" w:cstheme="minorHAnsi"/>
                <w:b/>
                <w:sz w:val="22"/>
              </w:rPr>
            </w:pPr>
            <w:r w:rsidRPr="00EF2BB9">
              <w:rPr>
                <w:rFonts w:asciiTheme="minorHAnsi" w:hAnsiTheme="minorHAnsi" w:cstheme="minorHAnsi"/>
                <w:b/>
                <w:sz w:val="22"/>
              </w:rPr>
              <w:t xml:space="preserve">Rys </w:t>
            </w:r>
          </w:p>
        </w:tc>
        <w:tc>
          <w:tcPr>
            <w:tcW w:w="2633" w:type="pct"/>
            <w:shd w:val="clear" w:color="auto" w:fill="F2F2F2" w:themeFill="background1" w:themeFillShade="F2"/>
          </w:tcPr>
          <w:p w14:paraId="0493228F" w14:textId="77777777" w:rsidR="00503094" w:rsidRPr="00EF2BB9" w:rsidRDefault="00503094" w:rsidP="00EF2BB9">
            <w:pPr>
              <w:spacing w:line="240" w:lineRule="auto"/>
              <w:ind w:left="-57"/>
              <w:jc w:val="both"/>
              <w:rPr>
                <w:rFonts w:asciiTheme="minorHAnsi" w:hAnsiTheme="minorHAnsi" w:cstheme="minorHAnsi"/>
                <w:b/>
                <w:sz w:val="22"/>
              </w:rPr>
            </w:pPr>
            <w:r w:rsidRPr="00EF2BB9">
              <w:rPr>
                <w:rFonts w:asciiTheme="minorHAnsi" w:hAnsiTheme="minorHAnsi" w:cstheme="minorHAnsi"/>
                <w:b/>
                <w:sz w:val="22"/>
              </w:rPr>
              <w:t xml:space="preserve">Obsah rysu </w:t>
            </w:r>
          </w:p>
        </w:tc>
      </w:tr>
      <w:tr w:rsidR="00503094" w:rsidRPr="00EF2BB9" w14:paraId="320CA1CD" w14:textId="77777777" w:rsidTr="007D2C8E">
        <w:tc>
          <w:tcPr>
            <w:tcW w:w="2367" w:type="pct"/>
            <w:shd w:val="clear" w:color="auto" w:fill="F2F2F2" w:themeFill="background1" w:themeFillShade="F2"/>
          </w:tcPr>
          <w:p w14:paraId="1D50B30A"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Iniciační rys pro zahájení prací na veřejném projektu </w:t>
            </w:r>
          </w:p>
        </w:tc>
        <w:tc>
          <w:tcPr>
            <w:tcW w:w="2633" w:type="pct"/>
            <w:shd w:val="clear" w:color="auto" w:fill="auto"/>
          </w:tcPr>
          <w:p w14:paraId="3BF145B9"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Veřejná potřeba, veřejná poptávka, veřejný zájem </w:t>
            </w:r>
          </w:p>
        </w:tc>
      </w:tr>
      <w:tr w:rsidR="00503094" w:rsidRPr="00EF2BB9" w14:paraId="138869C1" w14:textId="77777777" w:rsidTr="007D2C8E">
        <w:tc>
          <w:tcPr>
            <w:tcW w:w="2367" w:type="pct"/>
            <w:shd w:val="clear" w:color="auto" w:fill="F2F2F2" w:themeFill="background1" w:themeFillShade="F2"/>
          </w:tcPr>
          <w:p w14:paraId="29A7F5EA"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Ex ante účelová aktivita </w:t>
            </w:r>
          </w:p>
        </w:tc>
        <w:tc>
          <w:tcPr>
            <w:tcW w:w="2633" w:type="pct"/>
            <w:shd w:val="clear" w:color="auto" w:fill="auto"/>
          </w:tcPr>
          <w:p w14:paraId="2B91CD94"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Budoucí uspokojení veřejné potřeby </w:t>
            </w:r>
          </w:p>
        </w:tc>
      </w:tr>
      <w:tr w:rsidR="00503094" w:rsidRPr="00EF2BB9" w14:paraId="322648C9" w14:textId="77777777" w:rsidTr="007D2C8E">
        <w:tc>
          <w:tcPr>
            <w:tcW w:w="2367" w:type="pct"/>
            <w:shd w:val="clear" w:color="auto" w:fill="F2F2F2" w:themeFill="background1" w:themeFillShade="F2"/>
          </w:tcPr>
          <w:p w14:paraId="734DD36C"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lastRenderedPageBreak/>
              <w:t xml:space="preserve">Systémové pojetí </w:t>
            </w:r>
          </w:p>
        </w:tc>
        <w:tc>
          <w:tcPr>
            <w:tcW w:w="2633" w:type="pct"/>
            <w:shd w:val="clear" w:color="auto" w:fill="auto"/>
          </w:tcPr>
          <w:p w14:paraId="0BB4CCED"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Projekt jako plán systémově propojených činností </w:t>
            </w:r>
          </w:p>
        </w:tc>
      </w:tr>
      <w:tr w:rsidR="00503094" w:rsidRPr="00EF2BB9" w14:paraId="2D739847" w14:textId="77777777" w:rsidTr="007D2C8E">
        <w:tc>
          <w:tcPr>
            <w:tcW w:w="2367" w:type="pct"/>
            <w:shd w:val="clear" w:color="auto" w:fill="F2F2F2" w:themeFill="background1" w:themeFillShade="F2"/>
          </w:tcPr>
          <w:p w14:paraId="01C312B4"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Cíle </w:t>
            </w:r>
          </w:p>
        </w:tc>
        <w:tc>
          <w:tcPr>
            <w:tcW w:w="2633" w:type="pct"/>
            <w:shd w:val="clear" w:color="auto" w:fill="auto"/>
          </w:tcPr>
          <w:p w14:paraId="33B1220A"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Očekávaný výsledek realizovaného projektu </w:t>
            </w:r>
          </w:p>
        </w:tc>
      </w:tr>
      <w:tr w:rsidR="00503094" w:rsidRPr="00EF2BB9" w14:paraId="479C87CB" w14:textId="77777777" w:rsidTr="007D2C8E">
        <w:tc>
          <w:tcPr>
            <w:tcW w:w="2367" w:type="pct"/>
            <w:shd w:val="clear" w:color="auto" w:fill="F2F2F2" w:themeFill="background1" w:themeFillShade="F2"/>
          </w:tcPr>
          <w:p w14:paraId="46A5A094"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Ukazatele hodnocení projektových cílů</w:t>
            </w:r>
          </w:p>
        </w:tc>
        <w:tc>
          <w:tcPr>
            <w:tcW w:w="2633" w:type="pct"/>
            <w:shd w:val="clear" w:color="auto" w:fill="auto"/>
          </w:tcPr>
          <w:p w14:paraId="5B0E1DDD"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Indikátory </w:t>
            </w:r>
          </w:p>
        </w:tc>
      </w:tr>
      <w:tr w:rsidR="00503094" w:rsidRPr="00EF2BB9" w14:paraId="1404A346" w14:textId="77777777" w:rsidTr="007D2C8E">
        <w:tc>
          <w:tcPr>
            <w:tcW w:w="2367" w:type="pct"/>
            <w:shd w:val="clear" w:color="auto" w:fill="F2F2F2" w:themeFill="background1" w:themeFillShade="F2"/>
          </w:tcPr>
          <w:p w14:paraId="5B124EC9"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Zdroje a omezení </w:t>
            </w:r>
          </w:p>
        </w:tc>
        <w:tc>
          <w:tcPr>
            <w:tcW w:w="2633" w:type="pct"/>
            <w:shd w:val="clear" w:color="auto" w:fill="auto"/>
          </w:tcPr>
          <w:p w14:paraId="68655F44"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Disponibilní lidské, věcné a finanční zdroje a jiná (např. legislativní) vnější omezení </w:t>
            </w:r>
          </w:p>
        </w:tc>
      </w:tr>
      <w:tr w:rsidR="00503094" w:rsidRPr="00EF2BB9" w14:paraId="32DC721E" w14:textId="77777777" w:rsidTr="007D2C8E">
        <w:tc>
          <w:tcPr>
            <w:tcW w:w="2367" w:type="pct"/>
            <w:shd w:val="clear" w:color="auto" w:fill="F2F2F2" w:themeFill="background1" w:themeFillShade="F2"/>
          </w:tcPr>
          <w:p w14:paraId="10F879AB"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Časové termíny </w:t>
            </w:r>
          </w:p>
        </w:tc>
        <w:tc>
          <w:tcPr>
            <w:tcW w:w="2633" w:type="pct"/>
            <w:shd w:val="clear" w:color="auto" w:fill="auto"/>
          </w:tcPr>
          <w:p w14:paraId="2760424E"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Plán na sebe navazujících činností s termínem plánovaného ukončení </w:t>
            </w:r>
          </w:p>
        </w:tc>
      </w:tr>
      <w:tr w:rsidR="00503094" w:rsidRPr="00EF2BB9" w14:paraId="0DFE779E" w14:textId="77777777" w:rsidTr="007D2C8E">
        <w:tc>
          <w:tcPr>
            <w:tcW w:w="2367" w:type="pct"/>
            <w:shd w:val="clear" w:color="auto" w:fill="F2F2F2" w:themeFill="background1" w:themeFillShade="F2"/>
          </w:tcPr>
          <w:p w14:paraId="4E12C330"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Organizace </w:t>
            </w:r>
          </w:p>
        </w:tc>
        <w:tc>
          <w:tcPr>
            <w:tcW w:w="2633" w:type="pct"/>
            <w:shd w:val="clear" w:color="auto" w:fill="auto"/>
          </w:tcPr>
          <w:p w14:paraId="40D6DD8E"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Způsob organizačního řízení projektu </w:t>
            </w:r>
          </w:p>
        </w:tc>
      </w:tr>
      <w:tr w:rsidR="00503094" w:rsidRPr="00EF2BB9" w14:paraId="77989B7D" w14:textId="77777777" w:rsidTr="007D2C8E">
        <w:tc>
          <w:tcPr>
            <w:tcW w:w="2367" w:type="pct"/>
            <w:shd w:val="clear" w:color="auto" w:fill="F2F2F2" w:themeFill="background1" w:themeFillShade="F2"/>
          </w:tcPr>
          <w:p w14:paraId="763F9281" w14:textId="77777777" w:rsidR="00503094" w:rsidRPr="00EF2BB9" w:rsidRDefault="00503094" w:rsidP="00EF2BB9">
            <w:pPr>
              <w:spacing w:line="240" w:lineRule="auto"/>
              <w:ind w:left="-57"/>
              <w:jc w:val="both"/>
              <w:rPr>
                <w:rFonts w:asciiTheme="minorHAnsi" w:hAnsiTheme="minorHAnsi" w:cstheme="minorHAnsi"/>
                <w:sz w:val="22"/>
              </w:rPr>
            </w:pPr>
            <w:r w:rsidRPr="00EF2BB9">
              <w:rPr>
                <w:rFonts w:asciiTheme="minorHAnsi" w:hAnsiTheme="minorHAnsi" w:cstheme="minorHAnsi"/>
                <w:sz w:val="22"/>
              </w:rPr>
              <w:t xml:space="preserve">Monitoring </w:t>
            </w:r>
          </w:p>
        </w:tc>
        <w:tc>
          <w:tcPr>
            <w:tcW w:w="2633" w:type="pct"/>
            <w:shd w:val="clear" w:color="auto" w:fill="auto"/>
          </w:tcPr>
          <w:p w14:paraId="7FE46236" w14:textId="77777777" w:rsidR="00503094" w:rsidRPr="00EF2BB9" w:rsidRDefault="00503094" w:rsidP="00EF2BB9">
            <w:pPr>
              <w:spacing w:line="240" w:lineRule="auto"/>
              <w:ind w:left="-57"/>
              <w:rPr>
                <w:rFonts w:asciiTheme="minorHAnsi" w:hAnsiTheme="minorHAnsi" w:cstheme="minorHAnsi"/>
                <w:sz w:val="22"/>
              </w:rPr>
            </w:pPr>
            <w:r w:rsidRPr="00EF2BB9">
              <w:rPr>
                <w:rFonts w:asciiTheme="minorHAnsi" w:hAnsiTheme="minorHAnsi" w:cstheme="minorHAnsi"/>
                <w:sz w:val="22"/>
              </w:rPr>
              <w:t xml:space="preserve">Kontrola plnění prací při realizaci projektu </w:t>
            </w:r>
          </w:p>
        </w:tc>
      </w:tr>
    </w:tbl>
    <w:p w14:paraId="3491FD93" w14:textId="24963922" w:rsidR="00503094" w:rsidRPr="001D789C" w:rsidRDefault="00503094" w:rsidP="00503094">
      <w:pPr>
        <w:spacing w:after="120"/>
        <w:jc w:val="both"/>
        <w:rPr>
          <w:rFonts w:asciiTheme="minorHAnsi" w:hAnsiTheme="minorHAnsi" w:cstheme="minorHAnsi"/>
          <w:i/>
          <w:iCs/>
        </w:rPr>
      </w:pPr>
      <w:r w:rsidRPr="001D789C">
        <w:rPr>
          <w:rFonts w:asciiTheme="minorHAnsi" w:hAnsiTheme="minorHAnsi" w:cstheme="minorHAnsi"/>
          <w:i/>
          <w:iCs/>
        </w:rPr>
        <w:t>Zdroj: Ochrana, Půček, Špaček</w:t>
      </w:r>
      <w:r w:rsidR="004F0E1D">
        <w:rPr>
          <w:rFonts w:asciiTheme="minorHAnsi" w:hAnsiTheme="minorHAnsi" w:cstheme="minorHAnsi"/>
          <w:i/>
          <w:iCs/>
        </w:rPr>
        <w:t xml:space="preserve"> </w:t>
      </w:r>
      <w:r w:rsidRPr="001D789C">
        <w:rPr>
          <w:rFonts w:asciiTheme="minorHAnsi" w:hAnsiTheme="minorHAnsi" w:cstheme="minorHAnsi"/>
          <w:i/>
          <w:iCs/>
        </w:rPr>
        <w:t xml:space="preserve"> </w:t>
      </w:r>
      <w:r w:rsidR="004F0E1D">
        <w:rPr>
          <w:rFonts w:asciiTheme="minorHAnsi" w:hAnsiTheme="minorHAnsi" w:cstheme="minorHAnsi"/>
          <w:i/>
          <w:iCs/>
        </w:rPr>
        <w:t>(</w:t>
      </w:r>
      <w:r w:rsidRPr="001D789C">
        <w:rPr>
          <w:rFonts w:asciiTheme="minorHAnsi" w:hAnsiTheme="minorHAnsi" w:cstheme="minorHAnsi"/>
          <w:i/>
          <w:iCs/>
        </w:rPr>
        <w:t>2015</w:t>
      </w:r>
      <w:r w:rsidR="004F0E1D">
        <w:rPr>
          <w:rFonts w:asciiTheme="minorHAnsi" w:hAnsiTheme="minorHAnsi" w:cstheme="minorHAnsi"/>
          <w:i/>
          <w:iCs/>
        </w:rPr>
        <w:t>)</w:t>
      </w:r>
    </w:p>
    <w:p w14:paraId="2DAFB026" w14:textId="77777777" w:rsidR="00CC2806" w:rsidRDefault="00CC2806" w:rsidP="00503094">
      <w:pPr>
        <w:spacing w:after="120"/>
        <w:jc w:val="both"/>
        <w:rPr>
          <w:rFonts w:asciiTheme="minorHAnsi" w:hAnsiTheme="minorHAnsi" w:cstheme="minorHAnsi"/>
        </w:rPr>
      </w:pPr>
      <w:r>
        <w:rPr>
          <w:rFonts w:asciiTheme="minorHAnsi" w:hAnsiTheme="minorHAnsi" w:cstheme="minorHAnsi"/>
        </w:rPr>
        <w:t>Značná část veřejných projektů se týká veřejných investic (například stát buduje dálnice či obchvaty měst, kraj staví nový pavilon nemocnice, město staví sportoviště atd.).</w:t>
      </w:r>
      <w:r w:rsidRPr="00062A30">
        <w:rPr>
          <w:rFonts w:asciiTheme="minorHAnsi" w:hAnsiTheme="minorHAnsi" w:cstheme="minorHAnsi"/>
        </w:rPr>
        <w:t xml:space="preserve"> </w:t>
      </w:r>
      <w:r w:rsidRPr="00EF0B0B">
        <w:rPr>
          <w:rFonts w:asciiTheme="minorHAnsi" w:hAnsiTheme="minorHAnsi" w:cstheme="minorHAnsi"/>
        </w:rPr>
        <w:t xml:space="preserve">Iniciačním motivem pro zahájení prací na veřejném projektu je veřejná potřeba řešit nějaký aktuální problém. Může jím být například přetrvávající dopravní kolaps ve městě. Vzniká tak poptávka veřejnosti po uspokojení </w:t>
      </w:r>
      <w:r>
        <w:rPr>
          <w:rFonts w:asciiTheme="minorHAnsi" w:hAnsiTheme="minorHAnsi" w:cstheme="minorHAnsi"/>
        </w:rPr>
        <w:t>této</w:t>
      </w:r>
      <w:r w:rsidRPr="00EF0B0B">
        <w:rPr>
          <w:rFonts w:asciiTheme="minorHAnsi" w:hAnsiTheme="minorHAnsi" w:cstheme="minorHAnsi"/>
        </w:rPr>
        <w:t xml:space="preserve"> veřejné potřeby. Subjekty veřejné správy se daným problémem zabývají a s ohledem na kritérium veřejného zájmu rozhodují, zda daný problém řešit</w:t>
      </w:r>
      <w:r>
        <w:rPr>
          <w:rFonts w:asciiTheme="minorHAnsi" w:hAnsiTheme="minorHAnsi" w:cstheme="minorHAnsi"/>
        </w:rPr>
        <w:t xml:space="preserve"> nebo neřešit a jako formou - například</w:t>
      </w:r>
      <w:r w:rsidRPr="00EF0B0B">
        <w:rPr>
          <w:rFonts w:asciiTheme="minorHAnsi" w:hAnsiTheme="minorHAnsi" w:cstheme="minorHAnsi"/>
        </w:rPr>
        <w:t xml:space="preserve"> jako projekt</w:t>
      </w:r>
      <w:r>
        <w:rPr>
          <w:rFonts w:asciiTheme="minorHAnsi" w:hAnsiTheme="minorHAnsi" w:cstheme="minorHAnsi"/>
        </w:rPr>
        <w:t xml:space="preserve"> (Ochrana, Půček, Špaček, 2015)</w:t>
      </w:r>
      <w:r w:rsidRPr="00DF22AC">
        <w:rPr>
          <w:rFonts w:asciiTheme="minorHAnsi" w:hAnsiTheme="minorHAnsi" w:cstheme="minorHAnsi"/>
        </w:rPr>
        <w:t>.</w:t>
      </w:r>
    </w:p>
    <w:p w14:paraId="5FB9D148" w14:textId="64630321" w:rsidR="00503094" w:rsidRDefault="00503094" w:rsidP="00503094">
      <w:pPr>
        <w:spacing w:after="120"/>
        <w:jc w:val="both"/>
        <w:rPr>
          <w:rFonts w:ascii="Calibri" w:hAnsi="Calibri"/>
        </w:rPr>
      </w:pPr>
      <w:r w:rsidRPr="00A441A1">
        <w:rPr>
          <w:rFonts w:ascii="Calibri" w:hAnsi="Calibri"/>
          <w:b/>
        </w:rPr>
        <w:t>Projektové řízení</w:t>
      </w:r>
      <w:r>
        <w:rPr>
          <w:rFonts w:ascii="Calibri" w:hAnsi="Calibri"/>
        </w:rPr>
        <w:t xml:space="preserve"> (se na rozdíl od procesního řízení) věnuje jednorázovým nebo jedinečným činnostem. </w:t>
      </w:r>
      <w:r w:rsidRPr="00A441A1">
        <w:rPr>
          <w:rFonts w:ascii="Calibri" w:hAnsi="Calibri"/>
        </w:rPr>
        <w:t>Projektové řízení</w:t>
      </w:r>
      <w:r>
        <w:rPr>
          <w:rFonts w:ascii="Calibri" w:hAnsi="Calibri"/>
        </w:rPr>
        <w:t xml:space="preserve"> </w:t>
      </w:r>
      <w:r w:rsidRPr="00331D6F">
        <w:rPr>
          <w:rFonts w:ascii="Calibri" w:hAnsi="Calibri"/>
        </w:rPr>
        <w:t xml:space="preserve">zahrnuje (a) plánování; (b) organizování; (c) vedení </w:t>
      </w:r>
      <w:r>
        <w:rPr>
          <w:rFonts w:ascii="Calibri" w:hAnsi="Calibri"/>
        </w:rPr>
        <w:t xml:space="preserve">a </w:t>
      </w:r>
      <w:r w:rsidRPr="00331D6F">
        <w:rPr>
          <w:rFonts w:ascii="Calibri" w:hAnsi="Calibri"/>
        </w:rPr>
        <w:t xml:space="preserve">(d) kontrolu </w:t>
      </w:r>
      <w:r>
        <w:rPr>
          <w:rFonts w:ascii="Calibri" w:hAnsi="Calibri"/>
        </w:rPr>
        <w:t xml:space="preserve">projektu - tedy </w:t>
      </w:r>
      <w:r w:rsidRPr="00331D6F">
        <w:rPr>
          <w:rFonts w:ascii="Calibri" w:hAnsi="Calibri"/>
        </w:rPr>
        <w:t>soubor aktivit, které je nutné provést tak, aby byly naplněny kritéria úspěšného projektu</w:t>
      </w:r>
      <w:r>
        <w:rPr>
          <w:rFonts w:ascii="Calibri" w:hAnsi="Calibri"/>
        </w:rPr>
        <w:t xml:space="preserve"> (cíle, termíny, rozpočet)</w:t>
      </w:r>
      <w:r w:rsidRPr="00331D6F">
        <w:rPr>
          <w:rFonts w:ascii="Calibri" w:hAnsi="Calibri"/>
        </w:rPr>
        <w:t xml:space="preserve">. Znát základy projektového řízení patří v dnešní době k nezbytným znalostem </w:t>
      </w:r>
      <w:r>
        <w:rPr>
          <w:rFonts w:ascii="Calibri" w:hAnsi="Calibri"/>
        </w:rPr>
        <w:t>volených zástupců i zaměstnanců státu i samospráv</w:t>
      </w:r>
      <w:r w:rsidRPr="00331D6F">
        <w:rPr>
          <w:rFonts w:ascii="Calibri" w:hAnsi="Calibri"/>
        </w:rPr>
        <w:t xml:space="preserve">. </w:t>
      </w:r>
      <w:hyperlink r:id="rId45" w:history="1">
        <w:r w:rsidRPr="00331D6F">
          <w:rPr>
            <w:rFonts w:ascii="Calibri" w:hAnsi="Calibri"/>
            <w:bCs/>
          </w:rPr>
          <w:t>P</w:t>
        </w:r>
      </w:hyperlink>
      <w:r w:rsidRPr="00331D6F">
        <w:rPr>
          <w:rFonts w:ascii="Calibri" w:hAnsi="Calibri"/>
          <w:bCs/>
        </w:rPr>
        <w:t xml:space="preserve">rojektové řízení používá pro zavedení jednorázové změny. </w:t>
      </w:r>
      <w:r w:rsidRPr="00331D6F">
        <w:rPr>
          <w:rFonts w:ascii="Calibri" w:hAnsi="Calibri"/>
          <w:color w:val="000000"/>
        </w:rPr>
        <w:t>V praxi se uplatní tehdy, když se připravuje investice, plánuje jakákoli změna</w:t>
      </w:r>
      <w:r w:rsidR="00D604C1">
        <w:rPr>
          <w:rFonts w:ascii="Calibri" w:hAnsi="Calibri"/>
          <w:color w:val="000000"/>
        </w:rPr>
        <w:t>,</w:t>
      </w:r>
      <w:r w:rsidRPr="00331D6F">
        <w:rPr>
          <w:rFonts w:ascii="Calibri" w:hAnsi="Calibri"/>
          <w:color w:val="000000"/>
        </w:rPr>
        <w:t xml:space="preserve"> jako je například projekt zavedení nového software či informačních systémů, pořádání významných kulturních či společenských akcí, projekty zavádění či formulování strategií, reorganizace činností atd.</w:t>
      </w:r>
      <w:r w:rsidR="00D604C1">
        <w:rPr>
          <w:rFonts w:ascii="Calibri" w:hAnsi="Calibri"/>
          <w:color w:val="000000"/>
        </w:rPr>
        <w:t>,</w:t>
      </w:r>
      <w:r w:rsidRPr="00331D6F">
        <w:rPr>
          <w:rFonts w:ascii="Calibri" w:hAnsi="Calibri"/>
          <w:color w:val="000000"/>
        </w:rPr>
        <w:t xml:space="preserve"> a samozřejmě – projektové žádosti na spolufinancování ze zdrojů EU a státu</w:t>
      </w:r>
      <w:r w:rsidRPr="00331D6F">
        <w:rPr>
          <w:rFonts w:ascii="Calibri" w:hAnsi="Calibri"/>
          <w:b/>
          <w:color w:val="000000"/>
        </w:rPr>
        <w:t xml:space="preserve"> </w:t>
      </w:r>
      <w:r>
        <w:rPr>
          <w:rFonts w:ascii="Calibri" w:hAnsi="Calibri"/>
          <w:color w:val="000000"/>
        </w:rPr>
        <w:t>(„dotační projekty“)</w:t>
      </w:r>
      <w:r w:rsidRPr="00331D6F">
        <w:rPr>
          <w:rFonts w:ascii="Calibri" w:hAnsi="Calibri"/>
          <w:color w:val="000000"/>
        </w:rPr>
        <w:t>.</w:t>
      </w:r>
      <w:r>
        <w:rPr>
          <w:rFonts w:ascii="Calibri" w:hAnsi="Calibri"/>
          <w:color w:val="000000"/>
        </w:rPr>
        <w:t xml:space="preserve"> Pro řízení projektů je možné používat </w:t>
      </w:r>
      <w:bookmarkStart w:id="44" w:name="_Toc29658643"/>
      <w:r w:rsidRPr="00A441A1">
        <w:rPr>
          <w:rFonts w:ascii="Calibri" w:hAnsi="Calibri"/>
          <w:b/>
          <w:color w:val="000000"/>
        </w:rPr>
        <w:t>t</w:t>
      </w:r>
      <w:r w:rsidRPr="001B25B8">
        <w:rPr>
          <w:rFonts w:ascii="Calibri" w:hAnsi="Calibri"/>
          <w:b/>
        </w:rPr>
        <w:t>rojimperativ projektu</w:t>
      </w:r>
      <w:bookmarkEnd w:id="44"/>
      <w:r>
        <w:rPr>
          <w:rFonts w:ascii="Calibri" w:hAnsi="Calibri"/>
          <w:b/>
        </w:rPr>
        <w:t xml:space="preserve">. </w:t>
      </w:r>
      <w:r w:rsidRPr="00331D6F">
        <w:rPr>
          <w:rFonts w:ascii="Calibri" w:hAnsi="Calibri"/>
        </w:rPr>
        <w:t xml:space="preserve">Jde o kritéria úspěšného projektu. Pro úspěšnou realizaci projektu je potřeba zajistit: </w:t>
      </w:r>
      <w:r w:rsidRPr="00331D6F">
        <w:rPr>
          <w:rFonts w:ascii="Calibri" w:hAnsi="Calibri"/>
          <w:color w:val="000000"/>
        </w:rPr>
        <w:t xml:space="preserve">(1) splnění cílů projektu (k tomu je třeba stanovit měřitelné indikátory projektu), (2) dodržení stanoveného termínu a harmonogramu aktivit, (3) dodržení nákladů (rozpočtu) projektu. </w:t>
      </w:r>
      <w:r w:rsidRPr="00331D6F">
        <w:rPr>
          <w:rFonts w:ascii="Calibri" w:hAnsi="Calibri"/>
        </w:rPr>
        <w:t xml:space="preserve">K těmto třem oblastem se často řadí také čtvrtá - uznání ze strany zadavatele a zainteresovaných stran. </w:t>
      </w:r>
    </w:p>
    <w:p w14:paraId="457C0392" w14:textId="77777777" w:rsidR="00447CE9" w:rsidRDefault="00447CE9" w:rsidP="00503094">
      <w:pPr>
        <w:spacing w:after="120"/>
        <w:jc w:val="both"/>
        <w:rPr>
          <w:rFonts w:ascii="Calibri" w:hAnsi="Calibri"/>
        </w:rPr>
      </w:pPr>
    </w:p>
    <w:p w14:paraId="769EB209" w14:textId="77777777" w:rsidR="00503094" w:rsidRPr="00710246" w:rsidRDefault="00503094" w:rsidP="00503094">
      <w:pPr>
        <w:pStyle w:val="Nadpis3"/>
        <w:ind w:left="709"/>
        <w:rPr>
          <w:b w:val="0"/>
        </w:rPr>
      </w:pPr>
      <w:bookmarkStart w:id="45" w:name="_Toc117270006"/>
      <w:r w:rsidRPr="006A4F5E">
        <w:rPr>
          <w:b w:val="0"/>
        </w:rPr>
        <w:lastRenderedPageBreak/>
        <w:t>Veřejné zakázky</w:t>
      </w:r>
      <w:bookmarkEnd w:id="45"/>
    </w:p>
    <w:p w14:paraId="4120FF47" w14:textId="2E38B069" w:rsidR="00503094" w:rsidRPr="00901A6E" w:rsidRDefault="00503094" w:rsidP="00503094">
      <w:pPr>
        <w:pStyle w:val="A1-text"/>
        <w:spacing w:after="120"/>
        <w:rPr>
          <w:rFonts w:asciiTheme="minorHAnsi" w:hAnsiTheme="minorHAnsi" w:cstheme="minorHAnsi"/>
          <w:lang w:val="cs-CZ"/>
        </w:rPr>
      </w:pPr>
      <w:r>
        <w:rPr>
          <w:rFonts w:asciiTheme="minorHAnsi" w:hAnsiTheme="minorHAnsi" w:cstheme="minorHAnsi"/>
          <w:lang w:val="cs-CZ"/>
        </w:rPr>
        <w:t xml:space="preserve">Pro strategickou práci je důležité orientovat se v problematice zadávání veřejných zakázek. </w:t>
      </w:r>
      <w:r w:rsidR="00901A6E">
        <w:rPr>
          <w:rFonts w:asciiTheme="minorHAnsi" w:hAnsiTheme="minorHAnsi" w:cstheme="minorHAnsi"/>
          <w:lang w:val="cs-CZ"/>
        </w:rPr>
        <w:t xml:space="preserve">Mimo jiné pro to, že v rámci strategické práce je v některých případech nezbytné realizovat vybranou činnost, aktivitu, opatření nebo projekt pomocí veřejné zakázky. Neúspěch při soutěži (zpoždění, překročení předpokládané ceny, opakování soutěže a podobně) může strategickou práci významně ovlivnit. </w:t>
      </w:r>
      <w:r w:rsidRPr="006F6E63">
        <w:rPr>
          <w:rStyle w:val="FontStyle48"/>
          <w:rFonts w:ascii="Calibri" w:hAnsi="Calibri"/>
          <w:b/>
          <w:sz w:val="24"/>
        </w:rPr>
        <w:t>Veřejnou zakázkou</w:t>
      </w:r>
      <w:r w:rsidRPr="00A441A1">
        <w:rPr>
          <w:rStyle w:val="FontStyle48"/>
          <w:rFonts w:ascii="Calibri" w:hAnsi="Calibri"/>
          <w:sz w:val="24"/>
        </w:rPr>
        <w:t xml:space="preserve"> se rozumí zakázka realizovaná na základě písemné smlouvy mezi zadavatelem a jedním či více dodavateli, jejímž předmětem je úplatné poskytnutí dodávek či služeb nebo úplatné provedení stavebních prací. Zadavatel jako subjekt disponující veřejnými prostředky je povinen při zadávání zakázek naplňovat pravidla </w:t>
      </w:r>
      <w:r w:rsidRPr="00A441A1">
        <w:rPr>
          <w:rStyle w:val="FontStyle48"/>
          <w:rFonts w:ascii="Calibri" w:hAnsi="Calibri"/>
          <w:bCs/>
          <w:sz w:val="24"/>
        </w:rPr>
        <w:t xml:space="preserve">hospodárnosti, efektivnosti a účelnosti vynaložených prostředků. </w:t>
      </w:r>
      <w:r w:rsidRPr="001B25B8">
        <w:rPr>
          <w:rFonts w:asciiTheme="minorHAnsi" w:hAnsiTheme="minorHAnsi" w:cstheme="minorHAnsi"/>
        </w:rPr>
        <w:t>První fází veřejné zakázky je zodpovězení otázky, zda daný problém řešit formou veřejného zadávání</w:t>
      </w:r>
      <w:r w:rsidR="00D604C1">
        <w:rPr>
          <w:rFonts w:asciiTheme="minorHAnsi" w:hAnsiTheme="minorHAnsi" w:cstheme="minorHAnsi"/>
          <w:lang w:val="cs-CZ"/>
        </w:rPr>
        <w:t>.</w:t>
      </w:r>
      <w:r w:rsidRPr="001B25B8">
        <w:rPr>
          <w:rFonts w:asciiTheme="minorHAnsi" w:hAnsiTheme="minorHAnsi" w:cstheme="minorHAnsi"/>
        </w:rPr>
        <w:t xml:space="preserve">  </w:t>
      </w:r>
      <w:r>
        <w:rPr>
          <w:rFonts w:asciiTheme="minorHAnsi" w:hAnsiTheme="minorHAnsi" w:cstheme="minorHAnsi"/>
        </w:rPr>
        <w:t>S</w:t>
      </w:r>
      <w:r w:rsidRPr="001B25B8">
        <w:rPr>
          <w:rFonts w:asciiTheme="minorHAnsi" w:hAnsiTheme="minorHAnsi" w:cstheme="minorHAnsi"/>
        </w:rPr>
        <w:t xml:space="preserve">ubjekt veřejné správy má možnost mezi vlastní produkcí (insourcingem), nebo se rozhodnout, že daný problém bude outsorcován. Může přitom volit formu veřejné zakázky, kdy </w:t>
      </w:r>
      <w:r>
        <w:rPr>
          <w:rFonts w:asciiTheme="minorHAnsi" w:hAnsiTheme="minorHAnsi" w:cstheme="minorHAnsi"/>
        </w:rPr>
        <w:t>pomocí</w:t>
      </w:r>
      <w:r w:rsidRPr="001B25B8">
        <w:rPr>
          <w:rFonts w:asciiTheme="minorHAnsi" w:hAnsiTheme="minorHAnsi" w:cstheme="minorHAnsi"/>
        </w:rPr>
        <w:t xml:space="preserve"> veřejné soutěže pořizuje potřebno</w:t>
      </w:r>
      <w:r>
        <w:rPr>
          <w:rFonts w:asciiTheme="minorHAnsi" w:hAnsiTheme="minorHAnsi" w:cstheme="minorHAnsi"/>
        </w:rPr>
        <w:t xml:space="preserve">u dodávku, stavbu nebo službu. </w:t>
      </w:r>
      <w:r w:rsidRPr="001B25B8">
        <w:rPr>
          <w:rFonts w:asciiTheme="minorHAnsi" w:hAnsiTheme="minorHAnsi" w:cstheme="minorHAnsi"/>
        </w:rPr>
        <w:t xml:space="preserve">Rozhodne-li se subjekt veřejné správy, že bude daný problém řešit formou veřejného zadávání, postupuje podle </w:t>
      </w:r>
      <w:r w:rsidRPr="006A4F5E">
        <w:rPr>
          <w:rFonts w:asciiTheme="minorHAnsi" w:hAnsiTheme="minorHAnsi" w:cstheme="minorHAnsi"/>
        </w:rPr>
        <w:t xml:space="preserve">zákona o </w:t>
      </w:r>
      <w:r w:rsidR="00CC2806">
        <w:rPr>
          <w:rFonts w:asciiTheme="minorHAnsi" w:hAnsiTheme="minorHAnsi" w:cstheme="minorHAnsi"/>
          <w:lang w:val="cs-CZ"/>
        </w:rPr>
        <w:t xml:space="preserve">zadávání </w:t>
      </w:r>
      <w:r w:rsidRPr="006A4F5E">
        <w:rPr>
          <w:rFonts w:asciiTheme="minorHAnsi" w:hAnsiTheme="minorHAnsi" w:cstheme="minorHAnsi"/>
        </w:rPr>
        <w:t>veřejných zakáz</w:t>
      </w:r>
      <w:r w:rsidR="00CC2806">
        <w:rPr>
          <w:rFonts w:asciiTheme="minorHAnsi" w:hAnsiTheme="minorHAnsi" w:cstheme="minorHAnsi"/>
          <w:lang w:val="cs-CZ"/>
        </w:rPr>
        <w:t>ek</w:t>
      </w:r>
      <w:r>
        <w:rPr>
          <w:rFonts w:asciiTheme="minorHAnsi" w:hAnsiTheme="minorHAnsi" w:cstheme="minorHAnsi"/>
        </w:rPr>
        <w:t xml:space="preserve"> (Ochrana, Půček, Špaček, 2015)</w:t>
      </w:r>
      <w:r w:rsidRPr="00DF22AC">
        <w:rPr>
          <w:rFonts w:asciiTheme="minorHAnsi" w:hAnsiTheme="minorHAnsi" w:cstheme="minorHAnsi"/>
        </w:rPr>
        <w:t>.</w:t>
      </w:r>
    </w:p>
    <w:p w14:paraId="29EE11F3" w14:textId="77777777" w:rsidR="00503094" w:rsidRDefault="00503094" w:rsidP="00503094">
      <w:pPr>
        <w:tabs>
          <w:tab w:val="num" w:pos="720"/>
        </w:tabs>
        <w:jc w:val="both"/>
        <w:rPr>
          <w:rFonts w:asciiTheme="minorHAnsi" w:hAnsiTheme="minorHAnsi" w:cstheme="minorHAnsi"/>
        </w:rPr>
      </w:pPr>
      <w:r>
        <w:rPr>
          <w:rFonts w:asciiTheme="minorHAnsi" w:hAnsiTheme="minorHAnsi" w:cstheme="minorHAnsi"/>
        </w:rPr>
        <w:t>Fáze veřejné zakázky též můžeme shrnout tak, jak ukazuje následující tabulka.</w:t>
      </w:r>
    </w:p>
    <w:p w14:paraId="2D3351DF" w14:textId="15F6E817" w:rsidR="00503094" w:rsidRPr="001D789C" w:rsidRDefault="00503094" w:rsidP="00503094">
      <w:pPr>
        <w:tabs>
          <w:tab w:val="num" w:pos="720"/>
        </w:tabs>
        <w:spacing w:line="240" w:lineRule="auto"/>
        <w:jc w:val="both"/>
        <w:rPr>
          <w:rFonts w:asciiTheme="minorHAnsi" w:hAnsiTheme="minorHAnsi" w:cstheme="minorHAnsi"/>
          <w:i/>
          <w:iCs/>
        </w:rPr>
      </w:pPr>
      <w:r w:rsidRPr="001D789C">
        <w:rPr>
          <w:rFonts w:asciiTheme="minorHAnsi" w:hAnsiTheme="minorHAnsi" w:cstheme="minorHAnsi"/>
          <w:i/>
          <w:iCs/>
        </w:rPr>
        <w:t>Tab. 1</w:t>
      </w:r>
      <w:r w:rsidR="00C14739">
        <w:rPr>
          <w:rFonts w:asciiTheme="minorHAnsi" w:hAnsiTheme="minorHAnsi" w:cstheme="minorHAnsi"/>
          <w:i/>
          <w:iCs/>
        </w:rPr>
        <w:t>4</w:t>
      </w:r>
      <w:r w:rsidRPr="001D789C">
        <w:rPr>
          <w:rFonts w:asciiTheme="minorHAnsi" w:hAnsiTheme="minorHAnsi" w:cstheme="minorHAnsi"/>
          <w:i/>
          <w:iCs/>
        </w:rPr>
        <w:t xml:space="preserve"> Fáze veřejné zakázky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7515"/>
      </w:tblGrid>
      <w:tr w:rsidR="00503094" w:rsidRPr="001B25B8" w14:paraId="2CF93CA2" w14:textId="77777777" w:rsidTr="00E9181F">
        <w:tc>
          <w:tcPr>
            <w:tcW w:w="1526" w:type="dxa"/>
            <w:shd w:val="clear" w:color="auto" w:fill="F2F2F2" w:themeFill="background1" w:themeFillShade="F2"/>
          </w:tcPr>
          <w:p w14:paraId="24D8B380" w14:textId="77777777" w:rsidR="00503094" w:rsidRPr="001B25B8" w:rsidRDefault="00503094" w:rsidP="00E9181F">
            <w:pPr>
              <w:tabs>
                <w:tab w:val="num" w:pos="720"/>
              </w:tabs>
              <w:spacing w:line="216" w:lineRule="auto"/>
              <w:jc w:val="center"/>
              <w:rPr>
                <w:rFonts w:asciiTheme="minorHAnsi" w:hAnsiTheme="minorHAnsi" w:cstheme="minorHAnsi"/>
                <w:b/>
                <w:sz w:val="20"/>
              </w:rPr>
            </w:pPr>
            <w:r w:rsidRPr="001B25B8">
              <w:rPr>
                <w:rFonts w:asciiTheme="minorHAnsi" w:hAnsiTheme="minorHAnsi" w:cstheme="minorHAnsi"/>
                <w:b/>
                <w:sz w:val="20"/>
              </w:rPr>
              <w:t>Číslo fáze</w:t>
            </w:r>
          </w:p>
        </w:tc>
        <w:tc>
          <w:tcPr>
            <w:tcW w:w="7686" w:type="dxa"/>
            <w:shd w:val="clear" w:color="auto" w:fill="F2F2F2" w:themeFill="background1" w:themeFillShade="F2"/>
          </w:tcPr>
          <w:p w14:paraId="286B0706" w14:textId="77777777" w:rsidR="00503094" w:rsidRPr="001B25B8" w:rsidRDefault="00503094" w:rsidP="00E9181F">
            <w:pPr>
              <w:tabs>
                <w:tab w:val="num" w:pos="720"/>
              </w:tabs>
              <w:spacing w:line="216" w:lineRule="auto"/>
              <w:jc w:val="center"/>
              <w:rPr>
                <w:rFonts w:asciiTheme="minorHAnsi" w:hAnsiTheme="minorHAnsi" w:cstheme="minorHAnsi"/>
                <w:b/>
                <w:sz w:val="20"/>
              </w:rPr>
            </w:pPr>
            <w:r w:rsidRPr="001B25B8">
              <w:rPr>
                <w:rFonts w:asciiTheme="minorHAnsi" w:hAnsiTheme="minorHAnsi" w:cstheme="minorHAnsi"/>
                <w:b/>
                <w:sz w:val="20"/>
              </w:rPr>
              <w:t>Obsah fáze</w:t>
            </w:r>
          </w:p>
        </w:tc>
      </w:tr>
      <w:tr w:rsidR="00503094" w:rsidRPr="001B25B8" w14:paraId="118A73D8" w14:textId="77777777" w:rsidTr="007D2C8E">
        <w:tc>
          <w:tcPr>
            <w:tcW w:w="1526" w:type="dxa"/>
            <w:shd w:val="clear" w:color="auto" w:fill="F2F2F2" w:themeFill="background1" w:themeFillShade="F2"/>
          </w:tcPr>
          <w:p w14:paraId="7097E951" w14:textId="77777777" w:rsidR="00503094" w:rsidRPr="001B25B8" w:rsidRDefault="00503094" w:rsidP="00E9181F">
            <w:pPr>
              <w:tabs>
                <w:tab w:val="num" w:pos="720"/>
              </w:tabs>
              <w:spacing w:line="216" w:lineRule="auto"/>
              <w:jc w:val="center"/>
              <w:rPr>
                <w:rFonts w:asciiTheme="minorHAnsi" w:hAnsiTheme="minorHAnsi" w:cstheme="minorHAnsi"/>
                <w:sz w:val="20"/>
              </w:rPr>
            </w:pPr>
            <w:r w:rsidRPr="001B25B8">
              <w:rPr>
                <w:rFonts w:asciiTheme="minorHAnsi" w:hAnsiTheme="minorHAnsi" w:cstheme="minorHAnsi"/>
                <w:sz w:val="20"/>
              </w:rPr>
              <w:t>1</w:t>
            </w:r>
          </w:p>
        </w:tc>
        <w:tc>
          <w:tcPr>
            <w:tcW w:w="7686" w:type="dxa"/>
            <w:shd w:val="clear" w:color="auto" w:fill="auto"/>
          </w:tcPr>
          <w:p w14:paraId="0EDEB9CC" w14:textId="109C5B0C" w:rsidR="00503094" w:rsidRPr="001B25B8" w:rsidRDefault="00503094" w:rsidP="00E9181F">
            <w:pPr>
              <w:tabs>
                <w:tab w:val="num" w:pos="720"/>
              </w:tabs>
              <w:spacing w:line="216" w:lineRule="auto"/>
              <w:jc w:val="both"/>
              <w:rPr>
                <w:rFonts w:asciiTheme="minorHAnsi" w:hAnsiTheme="minorHAnsi" w:cstheme="minorHAnsi"/>
                <w:sz w:val="20"/>
              </w:rPr>
            </w:pPr>
            <w:r w:rsidRPr="001B25B8">
              <w:rPr>
                <w:rFonts w:asciiTheme="minorHAnsi" w:hAnsiTheme="minorHAnsi" w:cstheme="minorHAnsi"/>
                <w:sz w:val="20"/>
              </w:rPr>
              <w:t xml:space="preserve">Rozvaha o zadání veřejné zakázky </w:t>
            </w:r>
            <w:r w:rsidR="00901A6E">
              <w:rPr>
                <w:rFonts w:asciiTheme="minorHAnsi" w:hAnsiTheme="minorHAnsi" w:cstheme="minorHAnsi"/>
                <w:sz w:val="20"/>
              </w:rPr>
              <w:t>(včetně zajištění finančních prostředků)</w:t>
            </w:r>
          </w:p>
        </w:tc>
      </w:tr>
      <w:tr w:rsidR="00503094" w:rsidRPr="001B25B8" w14:paraId="46749E48" w14:textId="77777777" w:rsidTr="007D2C8E">
        <w:tc>
          <w:tcPr>
            <w:tcW w:w="1526" w:type="dxa"/>
            <w:shd w:val="clear" w:color="auto" w:fill="F2F2F2" w:themeFill="background1" w:themeFillShade="F2"/>
          </w:tcPr>
          <w:p w14:paraId="078AE9CF" w14:textId="77777777" w:rsidR="00503094" w:rsidRPr="001B25B8" w:rsidRDefault="00503094" w:rsidP="00E9181F">
            <w:pPr>
              <w:tabs>
                <w:tab w:val="num" w:pos="720"/>
              </w:tabs>
              <w:spacing w:line="216" w:lineRule="auto"/>
              <w:jc w:val="center"/>
              <w:rPr>
                <w:rFonts w:asciiTheme="minorHAnsi" w:hAnsiTheme="minorHAnsi" w:cstheme="minorHAnsi"/>
                <w:sz w:val="20"/>
              </w:rPr>
            </w:pPr>
            <w:r w:rsidRPr="001B25B8">
              <w:rPr>
                <w:rFonts w:asciiTheme="minorHAnsi" w:hAnsiTheme="minorHAnsi" w:cstheme="minorHAnsi"/>
                <w:sz w:val="20"/>
              </w:rPr>
              <w:t>2</w:t>
            </w:r>
          </w:p>
        </w:tc>
        <w:tc>
          <w:tcPr>
            <w:tcW w:w="7686" w:type="dxa"/>
            <w:shd w:val="clear" w:color="auto" w:fill="auto"/>
          </w:tcPr>
          <w:p w14:paraId="7738507C" w14:textId="77777777" w:rsidR="00503094" w:rsidRPr="001B25B8" w:rsidRDefault="00503094" w:rsidP="00E9181F">
            <w:pPr>
              <w:tabs>
                <w:tab w:val="num" w:pos="720"/>
              </w:tabs>
              <w:spacing w:line="216" w:lineRule="auto"/>
              <w:jc w:val="both"/>
              <w:rPr>
                <w:rFonts w:asciiTheme="minorHAnsi" w:hAnsiTheme="minorHAnsi" w:cstheme="minorHAnsi"/>
                <w:sz w:val="20"/>
              </w:rPr>
            </w:pPr>
            <w:r w:rsidRPr="001B25B8">
              <w:rPr>
                <w:rFonts w:asciiTheme="minorHAnsi" w:hAnsiTheme="minorHAnsi" w:cstheme="minorHAnsi"/>
                <w:sz w:val="20"/>
              </w:rPr>
              <w:t xml:space="preserve">Příprava dokumentace a zadávání veřejné zakázky </w:t>
            </w:r>
          </w:p>
        </w:tc>
      </w:tr>
      <w:tr w:rsidR="00503094" w:rsidRPr="001B25B8" w14:paraId="352226C7" w14:textId="77777777" w:rsidTr="007D2C8E">
        <w:tc>
          <w:tcPr>
            <w:tcW w:w="1526" w:type="dxa"/>
            <w:shd w:val="clear" w:color="auto" w:fill="F2F2F2" w:themeFill="background1" w:themeFillShade="F2"/>
          </w:tcPr>
          <w:p w14:paraId="02E9061A" w14:textId="77777777" w:rsidR="00503094" w:rsidRPr="001B25B8" w:rsidRDefault="00503094" w:rsidP="00E9181F">
            <w:pPr>
              <w:tabs>
                <w:tab w:val="num" w:pos="720"/>
              </w:tabs>
              <w:spacing w:line="216" w:lineRule="auto"/>
              <w:jc w:val="center"/>
              <w:rPr>
                <w:rFonts w:asciiTheme="minorHAnsi" w:hAnsiTheme="minorHAnsi" w:cstheme="minorHAnsi"/>
                <w:sz w:val="20"/>
              </w:rPr>
            </w:pPr>
            <w:r w:rsidRPr="001B25B8">
              <w:rPr>
                <w:rFonts w:asciiTheme="minorHAnsi" w:hAnsiTheme="minorHAnsi" w:cstheme="minorHAnsi"/>
                <w:sz w:val="20"/>
              </w:rPr>
              <w:t>3</w:t>
            </w:r>
          </w:p>
        </w:tc>
        <w:tc>
          <w:tcPr>
            <w:tcW w:w="7686" w:type="dxa"/>
            <w:shd w:val="clear" w:color="auto" w:fill="auto"/>
          </w:tcPr>
          <w:p w14:paraId="409BD409" w14:textId="77777777" w:rsidR="00503094" w:rsidRPr="001B25B8" w:rsidRDefault="00503094" w:rsidP="00E9181F">
            <w:pPr>
              <w:tabs>
                <w:tab w:val="num" w:pos="720"/>
              </w:tabs>
              <w:spacing w:line="216" w:lineRule="auto"/>
              <w:jc w:val="both"/>
              <w:rPr>
                <w:rFonts w:asciiTheme="minorHAnsi" w:hAnsiTheme="minorHAnsi" w:cstheme="minorHAnsi"/>
                <w:sz w:val="20"/>
              </w:rPr>
            </w:pPr>
            <w:r w:rsidRPr="001B25B8">
              <w:rPr>
                <w:rFonts w:asciiTheme="minorHAnsi" w:hAnsiTheme="minorHAnsi" w:cstheme="minorHAnsi"/>
                <w:sz w:val="20"/>
              </w:rPr>
              <w:t>Hodnocení nabídek</w:t>
            </w:r>
          </w:p>
        </w:tc>
      </w:tr>
      <w:tr w:rsidR="00503094" w:rsidRPr="001B25B8" w14:paraId="466EDF87" w14:textId="77777777" w:rsidTr="007D2C8E">
        <w:tc>
          <w:tcPr>
            <w:tcW w:w="1526" w:type="dxa"/>
            <w:shd w:val="clear" w:color="auto" w:fill="F2F2F2" w:themeFill="background1" w:themeFillShade="F2"/>
          </w:tcPr>
          <w:p w14:paraId="7A367209" w14:textId="77777777" w:rsidR="00503094" w:rsidRPr="001B25B8" w:rsidRDefault="00503094" w:rsidP="00E9181F">
            <w:pPr>
              <w:tabs>
                <w:tab w:val="num" w:pos="720"/>
              </w:tabs>
              <w:spacing w:line="216" w:lineRule="auto"/>
              <w:jc w:val="center"/>
              <w:rPr>
                <w:rFonts w:asciiTheme="minorHAnsi" w:hAnsiTheme="minorHAnsi" w:cstheme="minorHAnsi"/>
                <w:sz w:val="20"/>
              </w:rPr>
            </w:pPr>
            <w:r w:rsidRPr="001B25B8">
              <w:rPr>
                <w:rFonts w:asciiTheme="minorHAnsi" w:hAnsiTheme="minorHAnsi" w:cstheme="minorHAnsi"/>
                <w:sz w:val="20"/>
              </w:rPr>
              <w:t>4</w:t>
            </w:r>
          </w:p>
        </w:tc>
        <w:tc>
          <w:tcPr>
            <w:tcW w:w="7686" w:type="dxa"/>
            <w:shd w:val="clear" w:color="auto" w:fill="auto"/>
          </w:tcPr>
          <w:p w14:paraId="15C1C9FE" w14:textId="77777777" w:rsidR="00503094" w:rsidRPr="001B25B8" w:rsidRDefault="00503094" w:rsidP="00E9181F">
            <w:pPr>
              <w:tabs>
                <w:tab w:val="num" w:pos="720"/>
              </w:tabs>
              <w:spacing w:line="216" w:lineRule="auto"/>
              <w:jc w:val="both"/>
              <w:rPr>
                <w:rFonts w:asciiTheme="minorHAnsi" w:hAnsiTheme="minorHAnsi" w:cstheme="minorHAnsi"/>
                <w:sz w:val="20"/>
              </w:rPr>
            </w:pPr>
            <w:r w:rsidRPr="001B25B8">
              <w:rPr>
                <w:rFonts w:asciiTheme="minorHAnsi" w:hAnsiTheme="minorHAnsi" w:cstheme="minorHAnsi"/>
                <w:sz w:val="20"/>
              </w:rPr>
              <w:t xml:space="preserve">Výběr nejvhodnější nabídky </w:t>
            </w:r>
          </w:p>
        </w:tc>
      </w:tr>
      <w:tr w:rsidR="00503094" w:rsidRPr="001B25B8" w14:paraId="240C64FE" w14:textId="77777777" w:rsidTr="007D2C8E">
        <w:tc>
          <w:tcPr>
            <w:tcW w:w="1526" w:type="dxa"/>
            <w:shd w:val="clear" w:color="auto" w:fill="F2F2F2" w:themeFill="background1" w:themeFillShade="F2"/>
          </w:tcPr>
          <w:p w14:paraId="2682181C" w14:textId="77777777" w:rsidR="00503094" w:rsidRPr="001B25B8" w:rsidRDefault="00503094" w:rsidP="00E9181F">
            <w:pPr>
              <w:tabs>
                <w:tab w:val="num" w:pos="720"/>
              </w:tabs>
              <w:spacing w:line="216" w:lineRule="auto"/>
              <w:jc w:val="center"/>
              <w:rPr>
                <w:rFonts w:asciiTheme="minorHAnsi" w:hAnsiTheme="minorHAnsi" w:cstheme="minorHAnsi"/>
                <w:sz w:val="20"/>
              </w:rPr>
            </w:pPr>
            <w:r w:rsidRPr="001B25B8">
              <w:rPr>
                <w:rFonts w:asciiTheme="minorHAnsi" w:hAnsiTheme="minorHAnsi" w:cstheme="minorHAnsi"/>
                <w:sz w:val="20"/>
              </w:rPr>
              <w:t>5</w:t>
            </w:r>
          </w:p>
        </w:tc>
        <w:tc>
          <w:tcPr>
            <w:tcW w:w="7686" w:type="dxa"/>
            <w:shd w:val="clear" w:color="auto" w:fill="auto"/>
          </w:tcPr>
          <w:p w14:paraId="67E3AA62" w14:textId="77777777" w:rsidR="00503094" w:rsidRPr="001B25B8" w:rsidRDefault="00503094" w:rsidP="00E9181F">
            <w:pPr>
              <w:tabs>
                <w:tab w:val="num" w:pos="720"/>
              </w:tabs>
              <w:spacing w:line="216" w:lineRule="auto"/>
              <w:jc w:val="both"/>
              <w:rPr>
                <w:rFonts w:asciiTheme="minorHAnsi" w:hAnsiTheme="minorHAnsi" w:cstheme="minorHAnsi"/>
                <w:sz w:val="20"/>
              </w:rPr>
            </w:pPr>
            <w:r w:rsidRPr="001B25B8">
              <w:rPr>
                <w:rFonts w:asciiTheme="minorHAnsi" w:hAnsiTheme="minorHAnsi" w:cstheme="minorHAnsi"/>
                <w:sz w:val="20"/>
              </w:rPr>
              <w:t>Exploatace</w:t>
            </w:r>
            <w:r>
              <w:rPr>
                <w:rFonts w:asciiTheme="minorHAnsi" w:hAnsiTheme="minorHAnsi" w:cstheme="minorHAnsi"/>
                <w:sz w:val="20"/>
              </w:rPr>
              <w:t xml:space="preserve"> (využití)</w:t>
            </w:r>
            <w:r w:rsidRPr="001B25B8">
              <w:rPr>
                <w:rFonts w:asciiTheme="minorHAnsi" w:hAnsiTheme="minorHAnsi" w:cstheme="minorHAnsi"/>
                <w:sz w:val="20"/>
              </w:rPr>
              <w:t xml:space="preserve"> vybrané nabídky </w:t>
            </w:r>
          </w:p>
        </w:tc>
      </w:tr>
      <w:tr w:rsidR="00503094" w:rsidRPr="001B25B8" w14:paraId="0424D1F4" w14:textId="77777777" w:rsidTr="007D2C8E">
        <w:tc>
          <w:tcPr>
            <w:tcW w:w="1526" w:type="dxa"/>
            <w:shd w:val="clear" w:color="auto" w:fill="F2F2F2" w:themeFill="background1" w:themeFillShade="F2"/>
          </w:tcPr>
          <w:p w14:paraId="0A8B33A0" w14:textId="77777777" w:rsidR="00503094" w:rsidRPr="001B25B8" w:rsidRDefault="00503094" w:rsidP="00E9181F">
            <w:pPr>
              <w:tabs>
                <w:tab w:val="num" w:pos="720"/>
              </w:tabs>
              <w:spacing w:line="216" w:lineRule="auto"/>
              <w:jc w:val="center"/>
              <w:rPr>
                <w:rFonts w:asciiTheme="minorHAnsi" w:hAnsiTheme="minorHAnsi" w:cstheme="minorHAnsi"/>
                <w:sz w:val="20"/>
              </w:rPr>
            </w:pPr>
            <w:r w:rsidRPr="001B25B8">
              <w:rPr>
                <w:rFonts w:asciiTheme="minorHAnsi" w:hAnsiTheme="minorHAnsi" w:cstheme="minorHAnsi"/>
                <w:sz w:val="20"/>
              </w:rPr>
              <w:t>6</w:t>
            </w:r>
          </w:p>
        </w:tc>
        <w:tc>
          <w:tcPr>
            <w:tcW w:w="7686" w:type="dxa"/>
            <w:shd w:val="clear" w:color="auto" w:fill="auto"/>
          </w:tcPr>
          <w:p w14:paraId="19484251" w14:textId="77777777" w:rsidR="00503094" w:rsidRPr="001B25B8" w:rsidRDefault="00503094" w:rsidP="00E9181F">
            <w:pPr>
              <w:tabs>
                <w:tab w:val="num" w:pos="720"/>
              </w:tabs>
              <w:spacing w:line="216" w:lineRule="auto"/>
              <w:jc w:val="both"/>
              <w:rPr>
                <w:rFonts w:asciiTheme="minorHAnsi" w:hAnsiTheme="minorHAnsi" w:cstheme="minorHAnsi"/>
                <w:sz w:val="20"/>
              </w:rPr>
            </w:pPr>
            <w:r w:rsidRPr="001B25B8">
              <w:rPr>
                <w:rFonts w:asciiTheme="minorHAnsi" w:hAnsiTheme="minorHAnsi" w:cstheme="minorHAnsi"/>
                <w:sz w:val="20"/>
              </w:rPr>
              <w:t>Monitorování stanovených cílů</w:t>
            </w:r>
          </w:p>
        </w:tc>
      </w:tr>
    </w:tbl>
    <w:p w14:paraId="13973DC8" w14:textId="3518F9A8" w:rsidR="00503094" w:rsidRPr="001D789C" w:rsidRDefault="00503094" w:rsidP="00503094">
      <w:pPr>
        <w:tabs>
          <w:tab w:val="num" w:pos="720"/>
        </w:tabs>
        <w:spacing w:after="120"/>
        <w:jc w:val="both"/>
        <w:rPr>
          <w:rFonts w:asciiTheme="minorHAnsi" w:hAnsiTheme="minorHAnsi" w:cstheme="minorHAnsi"/>
          <w:i/>
          <w:iCs/>
        </w:rPr>
      </w:pPr>
      <w:r w:rsidRPr="001D789C">
        <w:rPr>
          <w:rFonts w:asciiTheme="minorHAnsi" w:hAnsiTheme="minorHAnsi" w:cstheme="minorHAnsi"/>
          <w:i/>
          <w:iCs/>
        </w:rPr>
        <w:t>Zdroj: Ochrana, Půček, Špaček 2015</w:t>
      </w:r>
    </w:p>
    <w:p w14:paraId="5EAB2AF3" w14:textId="77777777" w:rsidR="00503094" w:rsidRDefault="00503094" w:rsidP="00503094">
      <w:pPr>
        <w:tabs>
          <w:tab w:val="num" w:pos="720"/>
        </w:tabs>
        <w:jc w:val="both"/>
        <w:rPr>
          <w:rStyle w:val="FontStyle48"/>
          <w:rFonts w:ascii="Calibri" w:hAnsi="Calibri"/>
          <w:sz w:val="24"/>
        </w:rPr>
      </w:pPr>
      <w:r>
        <w:rPr>
          <w:rFonts w:asciiTheme="minorHAnsi" w:hAnsiTheme="minorHAnsi" w:cstheme="minorHAnsi"/>
        </w:rPr>
        <w:t>Zákon stanovuje p</w:t>
      </w:r>
      <w:r w:rsidRPr="00F20435">
        <w:rPr>
          <w:rFonts w:asciiTheme="minorHAnsi" w:hAnsiTheme="minorHAnsi" w:cstheme="minorHAnsi"/>
        </w:rPr>
        <w:t>ravidla pro zadávání veřejných zakázek, včetně zvláštních postupů předcházejících jejich zadání</w:t>
      </w:r>
      <w:r>
        <w:rPr>
          <w:rFonts w:asciiTheme="minorHAnsi" w:hAnsiTheme="minorHAnsi" w:cstheme="minorHAnsi"/>
        </w:rPr>
        <w:t xml:space="preserve">. </w:t>
      </w:r>
      <w:r w:rsidRPr="00A441A1">
        <w:rPr>
          <w:rStyle w:val="FontStyle48"/>
          <w:rFonts w:ascii="Calibri" w:hAnsi="Calibri"/>
          <w:sz w:val="24"/>
        </w:rPr>
        <w:t>Veřejné zakázky se podle předmětu dělí na veřejné zakázky na dodávky, veřejné zakázky na služby a veřejné zakázky na stavební práce. Veřejné</w:t>
      </w:r>
      <w:r w:rsidRPr="00A441A1">
        <w:rPr>
          <w:rStyle w:val="FontStyle48"/>
          <w:rFonts w:ascii="Calibri" w:hAnsi="Calibri"/>
          <w:bCs/>
          <w:sz w:val="24"/>
        </w:rPr>
        <w:t xml:space="preserve"> zakázky </w:t>
      </w:r>
      <w:r w:rsidRPr="00A441A1">
        <w:rPr>
          <w:rStyle w:val="FontStyle48"/>
          <w:rFonts w:ascii="Calibri" w:hAnsi="Calibri"/>
          <w:sz w:val="24"/>
        </w:rPr>
        <w:t>se podle výše předpokládané hodnoty dělí na nadlimitní veřejné zakázky, podlimitní veřejné zakázky a veřejné zakázky malého rozsahu. Veřejnou zakázkou malého rozsahu se rozumí veřejná zakázka, jejíž předpokládaná hodnota nedosáhne (1) na dodávky nebo služby 2 mil. Kč bez DPH nebo (2) na stavební práce 6 mil. Kč bez DPH. Zadavatel je povinen při zadávání všech veřejných zakázek malého rozsahu dodržet zásady uvedené v § 6 zákona, tj. dodržovat zásady transparentnosti, rovného zacházení a zákazu diskriminace.</w:t>
      </w:r>
      <w:r>
        <w:rPr>
          <w:rStyle w:val="FontStyle48"/>
          <w:rFonts w:ascii="Calibri" w:hAnsi="Calibri"/>
          <w:sz w:val="24"/>
        </w:rPr>
        <w:t xml:space="preserve"> </w:t>
      </w:r>
    </w:p>
    <w:p w14:paraId="679B9374" w14:textId="77777777" w:rsidR="00503094" w:rsidRDefault="00503094" w:rsidP="00503094">
      <w:pPr>
        <w:tabs>
          <w:tab w:val="num" w:pos="720"/>
        </w:tabs>
        <w:jc w:val="both"/>
        <w:rPr>
          <w:rFonts w:asciiTheme="minorHAnsi" w:hAnsiTheme="minorHAnsi" w:cstheme="minorHAnsi"/>
        </w:rPr>
      </w:pPr>
    </w:p>
    <w:p w14:paraId="2ED020A1" w14:textId="77777777" w:rsidR="002D643A" w:rsidRPr="00240331" w:rsidRDefault="00503094" w:rsidP="002D643A">
      <w:pPr>
        <w:tabs>
          <w:tab w:val="num" w:pos="720"/>
        </w:tabs>
        <w:spacing w:after="120"/>
        <w:jc w:val="both"/>
        <w:rPr>
          <w:rFonts w:asciiTheme="minorHAnsi" w:hAnsiTheme="minorHAnsi" w:cstheme="minorHAnsi"/>
        </w:rPr>
      </w:pPr>
      <w:r w:rsidRPr="00240331">
        <w:rPr>
          <w:rFonts w:asciiTheme="minorHAnsi" w:hAnsiTheme="minorHAnsi" w:cstheme="minorHAnsi"/>
        </w:rPr>
        <w:lastRenderedPageBreak/>
        <w:t xml:space="preserve">U veřejných zakázek malého rozsahu nejsou stanoveny v zákoně podrobná pravidla, nicméně platí obecné zásady uvedené </w:t>
      </w:r>
      <w:r w:rsidR="00706689">
        <w:rPr>
          <w:rFonts w:asciiTheme="minorHAnsi" w:hAnsiTheme="minorHAnsi" w:cstheme="minorHAnsi"/>
        </w:rPr>
        <w:t xml:space="preserve">v zákoně o </w:t>
      </w:r>
      <w:r w:rsidR="00CC2806">
        <w:rPr>
          <w:rFonts w:asciiTheme="minorHAnsi" w:hAnsiTheme="minorHAnsi" w:cstheme="minorHAnsi"/>
        </w:rPr>
        <w:t xml:space="preserve">zadávání </w:t>
      </w:r>
      <w:r w:rsidR="00706689">
        <w:rPr>
          <w:rFonts w:asciiTheme="minorHAnsi" w:hAnsiTheme="minorHAnsi" w:cstheme="minorHAnsi"/>
        </w:rPr>
        <w:t>veřejných zakáz</w:t>
      </w:r>
      <w:r w:rsidR="00CC2806">
        <w:rPr>
          <w:rFonts w:asciiTheme="minorHAnsi" w:hAnsiTheme="minorHAnsi" w:cstheme="minorHAnsi"/>
        </w:rPr>
        <w:t>e</w:t>
      </w:r>
      <w:r w:rsidR="00706689">
        <w:rPr>
          <w:rFonts w:asciiTheme="minorHAnsi" w:hAnsiTheme="minorHAnsi" w:cstheme="minorHAnsi"/>
        </w:rPr>
        <w:t xml:space="preserve">k. </w:t>
      </w:r>
      <w:r w:rsidRPr="00240331">
        <w:rPr>
          <w:rFonts w:asciiTheme="minorHAnsi" w:hAnsiTheme="minorHAnsi" w:cstheme="minorHAnsi"/>
        </w:rPr>
        <w:t xml:space="preserve"> Pravidla si obvykle stanovuje každý veřejný zadavatel (například ministerstvo pro sebe a řízené organizační složky a státní příspěvkové organizace, podobně kraj či obec pro sebe a zřizované příspěvkové organizace</w:t>
      </w:r>
      <w:r w:rsidRPr="002D643A">
        <w:rPr>
          <w:rFonts w:asciiTheme="minorHAnsi" w:hAnsiTheme="minorHAnsi" w:cstheme="minorHAnsi"/>
        </w:rPr>
        <w:t>).</w:t>
      </w:r>
      <w:r w:rsidR="002D643A" w:rsidRPr="002D643A">
        <w:rPr>
          <w:rFonts w:asciiTheme="minorHAnsi" w:hAnsiTheme="minorHAnsi" w:cstheme="minorHAnsi"/>
        </w:rPr>
        <w:t xml:space="preserve"> Zásadní je výše ceny, od které je třeba soutěžit zakázky malého rozsahu otevřeně – obce je mají často ve výši 500 tis. Kč, některé mají hranici o dost nižší.</w:t>
      </w:r>
      <w:r w:rsidR="002D643A">
        <w:rPr>
          <w:rFonts w:asciiTheme="minorHAnsi" w:hAnsiTheme="minorHAnsi" w:cstheme="minorHAnsi"/>
        </w:rPr>
        <w:t xml:space="preserve"> </w:t>
      </w:r>
    </w:p>
    <w:p w14:paraId="5674A78D" w14:textId="552EBE85" w:rsidR="00503094" w:rsidRPr="00240331" w:rsidRDefault="00503094" w:rsidP="00503094">
      <w:pPr>
        <w:tabs>
          <w:tab w:val="num" w:pos="720"/>
        </w:tabs>
        <w:spacing w:after="120"/>
        <w:jc w:val="both"/>
        <w:rPr>
          <w:rFonts w:asciiTheme="minorHAnsi" w:hAnsiTheme="minorHAnsi" w:cstheme="minorHAnsi"/>
        </w:rPr>
      </w:pPr>
    </w:p>
    <w:p w14:paraId="73EE1098" w14:textId="77777777" w:rsidR="008122A5" w:rsidRPr="00310CAD" w:rsidRDefault="008122A5" w:rsidP="008122A5">
      <w:pPr>
        <w:pStyle w:val="Nadpis2"/>
        <w:spacing w:before="240" w:after="120"/>
        <w:ind w:left="578" w:hanging="578"/>
        <w:rPr>
          <w:rFonts w:asciiTheme="minorHAnsi" w:hAnsiTheme="minorHAnsi" w:cstheme="minorHAnsi"/>
          <w:color w:val="7493B0"/>
          <w:sz w:val="24"/>
          <w:szCs w:val="24"/>
          <w:lang w:val="cs-CZ"/>
        </w:rPr>
      </w:pPr>
      <w:bookmarkStart w:id="46" w:name="_Toc117270007"/>
      <w:r w:rsidRPr="00310CAD">
        <w:rPr>
          <w:rFonts w:asciiTheme="minorHAnsi" w:hAnsiTheme="minorHAnsi" w:cstheme="minorHAnsi"/>
          <w:color w:val="7493B0"/>
          <w:sz w:val="24"/>
          <w:szCs w:val="24"/>
          <w:lang w:val="cs-CZ"/>
        </w:rPr>
        <w:t>Hospodaření s majetkem, investice</w:t>
      </w:r>
      <w:bookmarkEnd w:id="46"/>
    </w:p>
    <w:p w14:paraId="0517F09C" w14:textId="3269D522" w:rsidR="008A3535" w:rsidRDefault="00CD5931" w:rsidP="008122A5">
      <w:pPr>
        <w:jc w:val="both"/>
        <w:rPr>
          <w:rFonts w:ascii="Calibri" w:hAnsi="Calibri"/>
        </w:rPr>
      </w:pPr>
      <w:r w:rsidRPr="00CD5931">
        <w:rPr>
          <w:rFonts w:ascii="Calibri" w:hAnsi="Calibri"/>
        </w:rPr>
        <w:t>Z hlediska strategické práce je potřebné porozumět, co všechno zahrnuje h</w:t>
      </w:r>
      <w:r w:rsidR="006214BC" w:rsidRPr="00CD5931">
        <w:rPr>
          <w:rFonts w:ascii="Calibri" w:hAnsi="Calibri"/>
        </w:rPr>
        <w:t>ospodaření s</w:t>
      </w:r>
      <w:r w:rsidR="00825EB0">
        <w:rPr>
          <w:rFonts w:ascii="Calibri" w:hAnsi="Calibri"/>
        </w:rPr>
        <w:t> </w:t>
      </w:r>
      <w:r w:rsidR="006214BC" w:rsidRPr="00CD5931">
        <w:rPr>
          <w:rFonts w:ascii="Calibri" w:hAnsi="Calibri"/>
        </w:rPr>
        <w:t>majetkem</w:t>
      </w:r>
      <w:r w:rsidR="00825EB0">
        <w:rPr>
          <w:rFonts w:ascii="Calibri" w:hAnsi="Calibri"/>
        </w:rPr>
        <w:t xml:space="preserve"> – kterákoli z níže uvedených položek může být předmětem strategické práce, například součástí cíle nebo opatření v implementačním plánu veřejné strategie. </w:t>
      </w:r>
      <w:r w:rsidR="00825EB0" w:rsidRPr="00031D00">
        <w:rPr>
          <w:rFonts w:ascii="Calibri" w:hAnsi="Calibri"/>
          <w:b/>
        </w:rPr>
        <w:t>Hospodaření</w:t>
      </w:r>
      <w:r w:rsidR="00825EB0" w:rsidRPr="0009526A">
        <w:rPr>
          <w:rFonts w:ascii="Calibri" w:hAnsi="Calibri"/>
        </w:rPr>
        <w:t xml:space="preserve"> </w:t>
      </w:r>
      <w:r w:rsidR="00825EB0" w:rsidRPr="00031D00">
        <w:rPr>
          <w:rFonts w:ascii="Calibri" w:hAnsi="Calibri"/>
          <w:b/>
        </w:rPr>
        <w:t>s majetkem</w:t>
      </w:r>
      <w:r w:rsidR="00825EB0">
        <w:rPr>
          <w:rFonts w:ascii="Calibri" w:hAnsi="Calibri"/>
        </w:rPr>
        <w:t xml:space="preserve"> o</w:t>
      </w:r>
      <w:r w:rsidR="008A3535">
        <w:rPr>
          <w:rFonts w:ascii="Calibri" w:hAnsi="Calibri"/>
        </w:rPr>
        <w:t>bvykle zahrnuje:</w:t>
      </w:r>
    </w:p>
    <w:p w14:paraId="6B1E3AE4" w14:textId="2CC5AF53" w:rsidR="008A3535" w:rsidRDefault="008A3535" w:rsidP="0065698B">
      <w:pPr>
        <w:pStyle w:val="Odstavecseseznamem"/>
        <w:numPr>
          <w:ilvl w:val="0"/>
          <w:numId w:val="19"/>
        </w:numPr>
        <w:jc w:val="both"/>
        <w:rPr>
          <w:rFonts w:ascii="Calibri" w:hAnsi="Calibri"/>
        </w:rPr>
      </w:pPr>
      <w:r>
        <w:rPr>
          <w:rFonts w:ascii="Calibri" w:hAnsi="Calibri"/>
        </w:rPr>
        <w:t>Správu a evidenci majetku včetně účetní evidence a inventarizace</w:t>
      </w:r>
      <w:r w:rsidR="005A00B1">
        <w:rPr>
          <w:rFonts w:ascii="Calibri" w:hAnsi="Calibri"/>
        </w:rPr>
        <w:t>.</w:t>
      </w:r>
    </w:p>
    <w:p w14:paraId="4CECFE9D" w14:textId="7FF3CA75" w:rsidR="008A3535" w:rsidRDefault="008A3535" w:rsidP="0065698B">
      <w:pPr>
        <w:pStyle w:val="Odstavecseseznamem"/>
        <w:numPr>
          <w:ilvl w:val="0"/>
          <w:numId w:val="19"/>
        </w:numPr>
        <w:jc w:val="both"/>
        <w:rPr>
          <w:rFonts w:ascii="Calibri" w:hAnsi="Calibri"/>
        </w:rPr>
      </w:pPr>
      <w:r>
        <w:rPr>
          <w:rFonts w:ascii="Calibri" w:hAnsi="Calibri"/>
        </w:rPr>
        <w:t>Ostrahu a ochranu majetku (například požární ochrana, provádění revizí atd.)</w:t>
      </w:r>
      <w:r w:rsidR="005A00B1">
        <w:rPr>
          <w:rFonts w:ascii="Calibri" w:hAnsi="Calibri"/>
        </w:rPr>
        <w:t>.</w:t>
      </w:r>
    </w:p>
    <w:p w14:paraId="305ADFF8" w14:textId="42C65306" w:rsidR="008A3535" w:rsidRDefault="008A3535" w:rsidP="0065698B">
      <w:pPr>
        <w:pStyle w:val="Odstavecseseznamem"/>
        <w:numPr>
          <w:ilvl w:val="0"/>
          <w:numId w:val="19"/>
        </w:numPr>
        <w:jc w:val="both"/>
        <w:rPr>
          <w:rFonts w:ascii="Calibri" w:hAnsi="Calibri"/>
        </w:rPr>
      </w:pPr>
      <w:r>
        <w:rPr>
          <w:rFonts w:ascii="Calibri" w:hAnsi="Calibri"/>
        </w:rPr>
        <w:t>Optimalizaci využívaní majetku</w:t>
      </w:r>
      <w:r w:rsidR="005A00B1">
        <w:rPr>
          <w:rFonts w:ascii="Calibri" w:hAnsi="Calibri"/>
        </w:rPr>
        <w:t>.</w:t>
      </w:r>
    </w:p>
    <w:p w14:paraId="58743D41" w14:textId="491E075E" w:rsidR="008A3535" w:rsidRPr="008A3535" w:rsidRDefault="008A3535" w:rsidP="0065698B">
      <w:pPr>
        <w:pStyle w:val="Odstavecseseznamem"/>
        <w:numPr>
          <w:ilvl w:val="0"/>
          <w:numId w:val="19"/>
        </w:numPr>
        <w:jc w:val="both"/>
        <w:rPr>
          <w:rFonts w:ascii="Calibri" w:hAnsi="Calibri"/>
        </w:rPr>
      </w:pPr>
      <w:r>
        <w:rPr>
          <w:rFonts w:ascii="Calibri" w:hAnsi="Calibri"/>
        </w:rPr>
        <w:t>Systém pravidelné údržby majetku</w:t>
      </w:r>
      <w:r w:rsidR="005A00B1">
        <w:rPr>
          <w:rFonts w:ascii="Calibri" w:hAnsi="Calibri"/>
        </w:rPr>
        <w:t>.</w:t>
      </w:r>
    </w:p>
    <w:p w14:paraId="6C7608B4" w14:textId="34AA3468" w:rsidR="008A3535" w:rsidRDefault="008A3535" w:rsidP="0065698B">
      <w:pPr>
        <w:pStyle w:val="Odstavecseseznamem"/>
        <w:numPr>
          <w:ilvl w:val="0"/>
          <w:numId w:val="19"/>
        </w:numPr>
        <w:jc w:val="both"/>
        <w:rPr>
          <w:rFonts w:ascii="Calibri" w:hAnsi="Calibri"/>
        </w:rPr>
      </w:pPr>
      <w:r>
        <w:rPr>
          <w:rFonts w:ascii="Calibri" w:hAnsi="Calibri"/>
        </w:rPr>
        <w:t>Opravy majetku (na rozdíl od běžné údržby jde o jednorázovou činnost)</w:t>
      </w:r>
      <w:r w:rsidR="005A00B1">
        <w:rPr>
          <w:rFonts w:ascii="Calibri" w:hAnsi="Calibri"/>
        </w:rPr>
        <w:t>.</w:t>
      </w:r>
    </w:p>
    <w:p w14:paraId="40CD711C" w14:textId="434B8E9D" w:rsidR="008A3535" w:rsidRDefault="008A3535" w:rsidP="0065698B">
      <w:pPr>
        <w:pStyle w:val="Odstavecseseznamem"/>
        <w:numPr>
          <w:ilvl w:val="0"/>
          <w:numId w:val="19"/>
        </w:numPr>
        <w:jc w:val="both"/>
        <w:rPr>
          <w:rFonts w:ascii="Calibri" w:hAnsi="Calibri"/>
        </w:rPr>
      </w:pPr>
      <w:r>
        <w:rPr>
          <w:rFonts w:ascii="Calibri" w:hAnsi="Calibri"/>
        </w:rPr>
        <w:t>Investice do majetku</w:t>
      </w:r>
      <w:r w:rsidR="00825EB0">
        <w:rPr>
          <w:rFonts w:ascii="Calibri" w:hAnsi="Calibri"/>
        </w:rPr>
        <w:t xml:space="preserve"> (ty jsou předmětem strategické práce nejčastěj</w:t>
      </w:r>
      <w:r w:rsidR="00D604C1">
        <w:rPr>
          <w:rFonts w:ascii="Calibri" w:hAnsi="Calibri"/>
        </w:rPr>
        <w:t>ší</w:t>
      </w:r>
      <w:r w:rsidR="00825EB0">
        <w:rPr>
          <w:rFonts w:ascii="Calibri" w:hAnsi="Calibri"/>
        </w:rPr>
        <w:t>)</w:t>
      </w:r>
      <w:r w:rsidR="005A00B1">
        <w:rPr>
          <w:rFonts w:ascii="Calibri" w:hAnsi="Calibri"/>
        </w:rPr>
        <w:t>.</w:t>
      </w:r>
      <w:r>
        <w:rPr>
          <w:rFonts w:ascii="Calibri" w:hAnsi="Calibri"/>
        </w:rPr>
        <w:t xml:space="preserve"> </w:t>
      </w:r>
    </w:p>
    <w:p w14:paraId="60DC3AAD" w14:textId="011B0D89" w:rsidR="008A3535" w:rsidRDefault="008A3535" w:rsidP="0065698B">
      <w:pPr>
        <w:pStyle w:val="Odstavecseseznamem"/>
        <w:numPr>
          <w:ilvl w:val="0"/>
          <w:numId w:val="19"/>
        </w:numPr>
        <w:jc w:val="both"/>
        <w:rPr>
          <w:rFonts w:ascii="Calibri" w:hAnsi="Calibri"/>
        </w:rPr>
      </w:pPr>
      <w:r>
        <w:rPr>
          <w:rFonts w:ascii="Calibri" w:hAnsi="Calibri"/>
        </w:rPr>
        <w:t>Pronájem majetku</w:t>
      </w:r>
      <w:r w:rsidR="002A1770">
        <w:rPr>
          <w:rFonts w:ascii="Calibri" w:hAnsi="Calibri"/>
        </w:rPr>
        <w:t xml:space="preserve">, případně sdílení </w:t>
      </w:r>
      <w:r w:rsidR="00825EB0">
        <w:rPr>
          <w:rFonts w:ascii="Calibri" w:hAnsi="Calibri"/>
        </w:rPr>
        <w:t>majetku</w:t>
      </w:r>
      <w:r w:rsidR="005A00B1">
        <w:rPr>
          <w:rFonts w:ascii="Calibri" w:hAnsi="Calibri"/>
        </w:rPr>
        <w:t>.</w:t>
      </w:r>
    </w:p>
    <w:p w14:paraId="0444713F" w14:textId="49019744" w:rsidR="008A3535" w:rsidRDefault="008A3535" w:rsidP="0065698B">
      <w:pPr>
        <w:pStyle w:val="Odstavecseseznamem"/>
        <w:numPr>
          <w:ilvl w:val="0"/>
          <w:numId w:val="19"/>
        </w:numPr>
        <w:jc w:val="both"/>
        <w:rPr>
          <w:rFonts w:ascii="Calibri" w:hAnsi="Calibri"/>
        </w:rPr>
      </w:pPr>
      <w:r>
        <w:rPr>
          <w:rFonts w:ascii="Calibri" w:hAnsi="Calibri"/>
        </w:rPr>
        <w:t>Identifikaci nepotřebného majetku a jeho prodej</w:t>
      </w:r>
      <w:r w:rsidR="005A00B1">
        <w:rPr>
          <w:rFonts w:ascii="Calibri" w:hAnsi="Calibri"/>
        </w:rPr>
        <w:t>.</w:t>
      </w:r>
    </w:p>
    <w:p w14:paraId="68D5C7FA" w14:textId="6C1969E1" w:rsidR="008A3535" w:rsidRDefault="008A3535" w:rsidP="0065698B">
      <w:pPr>
        <w:pStyle w:val="Odstavecseseznamem"/>
        <w:numPr>
          <w:ilvl w:val="0"/>
          <w:numId w:val="19"/>
        </w:numPr>
        <w:jc w:val="both"/>
        <w:rPr>
          <w:rFonts w:ascii="Calibri" w:hAnsi="Calibri"/>
        </w:rPr>
      </w:pPr>
      <w:r>
        <w:rPr>
          <w:rFonts w:ascii="Calibri" w:hAnsi="Calibri"/>
        </w:rPr>
        <w:t>Ostatní nakládání či jiné činnosti s</w:t>
      </w:r>
      <w:r w:rsidR="005A00B1">
        <w:rPr>
          <w:rFonts w:ascii="Calibri" w:hAnsi="Calibri"/>
        </w:rPr>
        <w:t> </w:t>
      </w:r>
      <w:r>
        <w:rPr>
          <w:rFonts w:ascii="Calibri" w:hAnsi="Calibri"/>
        </w:rPr>
        <w:t>majetkem</w:t>
      </w:r>
      <w:r w:rsidR="005A00B1">
        <w:rPr>
          <w:rFonts w:ascii="Calibri" w:hAnsi="Calibri"/>
        </w:rPr>
        <w:t>.</w:t>
      </w:r>
    </w:p>
    <w:p w14:paraId="4F21CA44" w14:textId="77777777" w:rsidR="008A3535" w:rsidRPr="008A3535" w:rsidRDefault="008A3535" w:rsidP="008A3535">
      <w:pPr>
        <w:jc w:val="both"/>
        <w:rPr>
          <w:rFonts w:ascii="Calibri" w:hAnsi="Calibri"/>
        </w:rPr>
      </w:pPr>
    </w:p>
    <w:p w14:paraId="315E3FD8" w14:textId="5E43DCAF" w:rsidR="008122A5" w:rsidRDefault="008122A5" w:rsidP="008122A5">
      <w:pPr>
        <w:jc w:val="both"/>
        <w:rPr>
          <w:rFonts w:ascii="Calibri" w:hAnsi="Calibri"/>
        </w:rPr>
      </w:pPr>
      <w:r w:rsidRPr="00EE63C4">
        <w:rPr>
          <w:rFonts w:ascii="Calibri" w:hAnsi="Calibri"/>
        </w:rPr>
        <w:t xml:space="preserve">Samosprávy </w:t>
      </w:r>
      <w:r>
        <w:rPr>
          <w:rFonts w:ascii="Calibri" w:hAnsi="Calibri"/>
        </w:rPr>
        <w:t xml:space="preserve">(ale i stát) </w:t>
      </w:r>
      <w:r w:rsidRPr="00EE63C4">
        <w:rPr>
          <w:rFonts w:ascii="Calibri" w:hAnsi="Calibri"/>
        </w:rPr>
        <w:t xml:space="preserve">disponují velkým </w:t>
      </w:r>
      <w:r w:rsidRPr="00EE63C4">
        <w:rPr>
          <w:rFonts w:ascii="Calibri" w:hAnsi="Calibri"/>
          <w:b/>
        </w:rPr>
        <w:t>majetkem</w:t>
      </w:r>
      <w:r w:rsidRPr="00EE63C4">
        <w:rPr>
          <w:rFonts w:ascii="Calibri" w:hAnsi="Calibri"/>
        </w:rPr>
        <w:t xml:space="preserve">. Držení tohoto majetku vyvolává významné náklady na jeho správu, údržbu, opravy, u budov také vytápění a ostatní (například nutnost provádět různé revize atd.). </w:t>
      </w:r>
      <w:r>
        <w:rPr>
          <w:rFonts w:ascii="Calibri" w:hAnsi="Calibri"/>
        </w:rPr>
        <w:t>Některé</w:t>
      </w:r>
      <w:r w:rsidRPr="00EE63C4">
        <w:rPr>
          <w:rFonts w:ascii="Calibri" w:hAnsi="Calibri"/>
        </w:rPr>
        <w:t xml:space="preserve"> </w:t>
      </w:r>
      <w:r>
        <w:rPr>
          <w:rFonts w:ascii="Calibri" w:hAnsi="Calibri"/>
        </w:rPr>
        <w:t>instituce nedisponují</w:t>
      </w:r>
      <w:r w:rsidRPr="00EE63C4">
        <w:rPr>
          <w:rFonts w:ascii="Calibri" w:hAnsi="Calibri"/>
        </w:rPr>
        <w:t xml:space="preserve"> dostatečně kvalitním systémem správy svého majetku (chybné inventury, nejsou známy předpokládané budoucí opravy – neexistuje pasport nemovitostí včetně příjmů a výdajů). </w:t>
      </w:r>
    </w:p>
    <w:p w14:paraId="132D948F" w14:textId="77777777" w:rsidR="008122A5" w:rsidRDefault="008122A5" w:rsidP="008122A5">
      <w:pPr>
        <w:jc w:val="both"/>
        <w:rPr>
          <w:rFonts w:ascii="Calibri" w:hAnsi="Calibri"/>
        </w:rPr>
      </w:pPr>
    </w:p>
    <w:p w14:paraId="5C950CCD" w14:textId="77777777" w:rsidR="006214BC" w:rsidRDefault="008122A5" w:rsidP="008122A5">
      <w:pPr>
        <w:jc w:val="both"/>
        <w:rPr>
          <w:rFonts w:ascii="Calibri" w:hAnsi="Calibri"/>
        </w:rPr>
      </w:pPr>
      <w:r w:rsidRPr="00EE63C4">
        <w:rPr>
          <w:rFonts w:ascii="Calibri" w:hAnsi="Calibri"/>
        </w:rPr>
        <w:t>Další významnou otázkou je, zda má či nemá samospráva</w:t>
      </w:r>
      <w:r>
        <w:rPr>
          <w:rFonts w:ascii="Calibri" w:hAnsi="Calibri"/>
        </w:rPr>
        <w:t xml:space="preserve"> nebo případně stát</w:t>
      </w:r>
      <w:r w:rsidRPr="00EE63C4">
        <w:rPr>
          <w:rFonts w:ascii="Calibri" w:hAnsi="Calibri"/>
        </w:rPr>
        <w:t xml:space="preserve"> prodávat majetek. Na straně jedné by prodej majetku ze strany samospráv měl být spíše výjimečný, na straně druhé by si každý starosta či hejtman měl klást otázku, zda skutečně všechen majetek </w:t>
      </w:r>
      <w:r w:rsidRPr="00EE63C4">
        <w:rPr>
          <w:rFonts w:ascii="Calibri" w:hAnsi="Calibri"/>
        </w:rPr>
        <w:lastRenderedPageBreak/>
        <w:t>pro plnění poslání a cílů potřebuje, respektive by se měl zabývat možnostmi zeštíhlování z hlediska zbytečného majetku. Této odpovědnosti jej nikdo nezbaví. Navíc to vyžaduje udělat v majetku pořádek z hlediska jeho transparentnosti a reálné potřeby, což však následně může vyvolat rozsáhlou diskusi</w:t>
      </w:r>
      <w:r w:rsidRPr="00EE63C4">
        <w:rPr>
          <w:rStyle w:val="Znakapoznpodarou"/>
          <w:rFonts w:ascii="Calibri" w:hAnsi="Calibri"/>
        </w:rPr>
        <w:footnoteReference w:id="40"/>
      </w:r>
      <w:r w:rsidRPr="00EE63C4">
        <w:rPr>
          <w:rFonts w:ascii="Calibri" w:hAnsi="Calibri"/>
        </w:rPr>
        <w:t xml:space="preserve">. </w:t>
      </w:r>
    </w:p>
    <w:p w14:paraId="42EF2909" w14:textId="77777777" w:rsidR="006214BC" w:rsidRDefault="006214BC" w:rsidP="008122A5">
      <w:pPr>
        <w:jc w:val="both"/>
        <w:rPr>
          <w:rFonts w:ascii="Calibri" w:hAnsi="Calibri"/>
        </w:rPr>
      </w:pPr>
    </w:p>
    <w:p w14:paraId="39B912D5" w14:textId="28182FD1" w:rsidR="008122A5" w:rsidRDefault="008122A5" w:rsidP="008122A5">
      <w:pPr>
        <w:jc w:val="both"/>
        <w:rPr>
          <w:rFonts w:ascii="Calibri" w:hAnsi="Calibri"/>
          <w:lang w:eastAsia="x-none"/>
        </w:rPr>
      </w:pPr>
      <w:r w:rsidRPr="00EE63C4">
        <w:rPr>
          <w:rFonts w:ascii="Calibri" w:hAnsi="Calibri"/>
        </w:rPr>
        <w:t xml:space="preserve">Rezervy se také objevují v oblasti hospodárného nakládání s majetkem, a to již při porušování principu hospodárnosti při jeho pořizování. Typické pro veřejný sektor je, že se usiluje pořídit majetek za „nejnižší cenu“. Výsledkem však často je, že se tak děje na úkor kvality. Pořízený majetek tak nemá potřebné užitkové parametry.  </w:t>
      </w:r>
      <w:r w:rsidRPr="00EE63C4">
        <w:rPr>
          <w:rFonts w:ascii="Calibri" w:hAnsi="Calibri"/>
          <w:b/>
          <w:lang w:eastAsia="x-none"/>
        </w:rPr>
        <w:t>Nakládání s majetkem</w:t>
      </w:r>
      <w:r w:rsidRPr="00EE63C4">
        <w:rPr>
          <w:rFonts w:ascii="Calibri" w:hAnsi="Calibri"/>
          <w:lang w:eastAsia="x-none"/>
        </w:rPr>
        <w:t xml:space="preserve"> by mělo být </w:t>
      </w:r>
    </w:p>
    <w:p w14:paraId="0C144508" w14:textId="77777777" w:rsidR="008122A5" w:rsidRPr="00111DB6" w:rsidRDefault="008122A5" w:rsidP="0065698B">
      <w:pPr>
        <w:pStyle w:val="Odstavecseseznamem"/>
        <w:numPr>
          <w:ilvl w:val="0"/>
          <w:numId w:val="7"/>
        </w:numPr>
        <w:shd w:val="clear" w:color="auto" w:fill="FFFFFF" w:themeFill="background1"/>
        <w:ind w:left="426"/>
        <w:contextualSpacing/>
        <w:jc w:val="both"/>
        <w:rPr>
          <w:rFonts w:ascii="Calibri" w:hAnsi="Calibri"/>
          <w:lang w:eastAsia="x-none"/>
        </w:rPr>
      </w:pPr>
      <w:r w:rsidRPr="00111DB6">
        <w:rPr>
          <w:rFonts w:ascii="Calibri" w:hAnsi="Calibri"/>
          <w:lang w:eastAsia="x-none"/>
        </w:rPr>
        <w:t xml:space="preserve">v první řadě účelné – tedy, zda je jeho držení a způsob využívání pro naplňování poslání a cílů </w:t>
      </w:r>
      <w:r>
        <w:rPr>
          <w:rFonts w:ascii="Calibri" w:hAnsi="Calibri"/>
          <w:lang w:eastAsia="x-none"/>
        </w:rPr>
        <w:t>v současnosti</w:t>
      </w:r>
      <w:r w:rsidRPr="00111DB6">
        <w:rPr>
          <w:rFonts w:ascii="Calibri" w:hAnsi="Calibri"/>
          <w:lang w:eastAsia="x-none"/>
        </w:rPr>
        <w:t xml:space="preserve"> i v budoucnosti potřebné, </w:t>
      </w:r>
    </w:p>
    <w:p w14:paraId="00A8FA9C" w14:textId="77777777" w:rsidR="008122A5" w:rsidRPr="00111DB6" w:rsidRDefault="008122A5" w:rsidP="0065698B">
      <w:pPr>
        <w:pStyle w:val="Odstavecseseznamem"/>
        <w:numPr>
          <w:ilvl w:val="0"/>
          <w:numId w:val="7"/>
        </w:numPr>
        <w:shd w:val="clear" w:color="auto" w:fill="FFFFFF" w:themeFill="background1"/>
        <w:ind w:left="426"/>
        <w:contextualSpacing/>
        <w:jc w:val="both"/>
        <w:rPr>
          <w:rFonts w:ascii="Calibri" w:hAnsi="Calibri"/>
          <w:lang w:eastAsia="x-none"/>
        </w:rPr>
      </w:pPr>
      <w:r w:rsidRPr="00111DB6">
        <w:rPr>
          <w:rFonts w:ascii="Calibri" w:hAnsi="Calibri"/>
          <w:lang w:eastAsia="x-none"/>
        </w:rPr>
        <w:t>efektivní (</w:t>
      </w:r>
      <w:r>
        <w:rPr>
          <w:rFonts w:ascii="Calibri" w:hAnsi="Calibri"/>
          <w:lang w:eastAsia="x-none"/>
        </w:rPr>
        <w:t xml:space="preserve">například </w:t>
      </w:r>
      <w:r w:rsidRPr="00111DB6">
        <w:rPr>
          <w:rFonts w:ascii="Calibri" w:hAnsi="Calibri"/>
          <w:lang w:eastAsia="x-none"/>
        </w:rPr>
        <w:t xml:space="preserve">zda proběhla optimalizace), </w:t>
      </w:r>
    </w:p>
    <w:p w14:paraId="6DA2D6B6" w14:textId="77777777" w:rsidR="008122A5" w:rsidRDefault="008122A5" w:rsidP="0065698B">
      <w:pPr>
        <w:pStyle w:val="Odstavecseseznamem"/>
        <w:numPr>
          <w:ilvl w:val="0"/>
          <w:numId w:val="7"/>
        </w:numPr>
        <w:shd w:val="clear" w:color="auto" w:fill="FFFFFF" w:themeFill="background1"/>
        <w:ind w:left="426"/>
        <w:contextualSpacing/>
        <w:jc w:val="both"/>
        <w:rPr>
          <w:rFonts w:ascii="Calibri" w:hAnsi="Calibri"/>
          <w:lang w:eastAsia="x-none"/>
        </w:rPr>
      </w:pPr>
      <w:r w:rsidRPr="00111DB6">
        <w:rPr>
          <w:rFonts w:ascii="Calibri" w:hAnsi="Calibri"/>
          <w:lang w:eastAsia="x-none"/>
        </w:rPr>
        <w:t xml:space="preserve">hospodárné (zda např. správu či údržbu nelze dělat při zajištění všech parametrů levněji). </w:t>
      </w:r>
    </w:p>
    <w:p w14:paraId="4CDC3B4B" w14:textId="77777777" w:rsidR="002A1770" w:rsidRDefault="002A1770" w:rsidP="008122A5">
      <w:pPr>
        <w:shd w:val="clear" w:color="auto" w:fill="FFFFFF" w:themeFill="background1"/>
        <w:jc w:val="both"/>
        <w:rPr>
          <w:rFonts w:asciiTheme="minorHAnsi" w:hAnsiTheme="minorHAnsi" w:cstheme="minorHAnsi"/>
        </w:rPr>
      </w:pPr>
    </w:p>
    <w:p w14:paraId="1B13EC1F" w14:textId="62C26D7A" w:rsidR="008122A5" w:rsidRDefault="008122A5" w:rsidP="008122A5">
      <w:pPr>
        <w:shd w:val="clear" w:color="auto" w:fill="FFFFFF" w:themeFill="background1"/>
        <w:jc w:val="both"/>
        <w:rPr>
          <w:rFonts w:asciiTheme="minorHAnsi" w:hAnsiTheme="minorHAnsi" w:cstheme="minorHAnsi"/>
        </w:rPr>
      </w:pPr>
      <w:r>
        <w:rPr>
          <w:rFonts w:asciiTheme="minorHAnsi" w:hAnsiTheme="minorHAnsi" w:cstheme="minorHAnsi"/>
        </w:rPr>
        <w:t>Z hlediska vztahu k majetku může být problémem skutečnost, že část lidí majetkem pohrdá, a to je špatně - r</w:t>
      </w:r>
      <w:r w:rsidRPr="00A57857">
        <w:rPr>
          <w:rFonts w:asciiTheme="minorHAnsi" w:hAnsiTheme="minorHAnsi" w:cstheme="minorHAnsi"/>
        </w:rPr>
        <w:t xml:space="preserve">ozhodně platí, že bychom neměli pohrdat majetkem. </w:t>
      </w:r>
      <w:r>
        <w:rPr>
          <w:rFonts w:asciiTheme="minorHAnsi" w:hAnsiTheme="minorHAnsi" w:cstheme="minorHAnsi"/>
        </w:rPr>
        <w:t>Část lidí v něm zase vidí smysl či cíl života</w:t>
      </w:r>
      <w:r w:rsidR="00C177BE">
        <w:rPr>
          <w:rFonts w:asciiTheme="minorHAnsi" w:hAnsiTheme="minorHAnsi" w:cstheme="minorHAnsi"/>
        </w:rPr>
        <w:t>,</w:t>
      </w:r>
      <w:r>
        <w:rPr>
          <w:rFonts w:asciiTheme="minorHAnsi" w:hAnsiTheme="minorHAnsi" w:cstheme="minorHAnsi"/>
        </w:rPr>
        <w:t xml:space="preserve"> a to je také špatně. Pro každého člověka, stejně tak pro každou instituci či obec je důležité najít správný vztah k majetku. </w:t>
      </w:r>
      <w:r w:rsidRPr="00A57857">
        <w:rPr>
          <w:rFonts w:asciiTheme="minorHAnsi" w:hAnsiTheme="minorHAnsi" w:cstheme="minorHAnsi"/>
        </w:rPr>
        <w:t xml:space="preserve">Pro každou obec </w:t>
      </w:r>
      <w:r>
        <w:rPr>
          <w:rFonts w:asciiTheme="minorHAnsi" w:hAnsiTheme="minorHAnsi" w:cstheme="minorHAnsi"/>
        </w:rPr>
        <w:t xml:space="preserve">či kraj </w:t>
      </w:r>
      <w:r w:rsidRPr="00A57857">
        <w:rPr>
          <w:rFonts w:asciiTheme="minorHAnsi" w:hAnsiTheme="minorHAnsi" w:cstheme="minorHAnsi"/>
        </w:rPr>
        <w:t>(šířeji také pro každou instituci</w:t>
      </w:r>
      <w:r>
        <w:rPr>
          <w:rFonts w:asciiTheme="minorHAnsi" w:hAnsiTheme="minorHAnsi" w:cstheme="minorHAnsi"/>
        </w:rPr>
        <w:t>, stát</w:t>
      </w:r>
      <w:r w:rsidRPr="00A57857">
        <w:rPr>
          <w:rFonts w:asciiTheme="minorHAnsi" w:hAnsiTheme="minorHAnsi" w:cstheme="minorHAnsi"/>
        </w:rPr>
        <w:t xml:space="preserve"> nebo i </w:t>
      </w:r>
      <w:r>
        <w:rPr>
          <w:rFonts w:asciiTheme="minorHAnsi" w:hAnsiTheme="minorHAnsi" w:cstheme="minorHAnsi"/>
        </w:rPr>
        <w:t xml:space="preserve">pro každého </w:t>
      </w:r>
      <w:r w:rsidRPr="00A57857">
        <w:rPr>
          <w:rFonts w:asciiTheme="minorHAnsi" w:hAnsiTheme="minorHAnsi" w:cstheme="minorHAnsi"/>
        </w:rPr>
        <w:t xml:space="preserve">člověka) je majetek něco jako štít – dává obci možnost odrážet stejné stejným, tedy chránit zájmy občanů. Rozhodující je, jak s ním zacházíme. Pokud jej vlastníme, měli </w:t>
      </w:r>
      <w:r>
        <w:rPr>
          <w:rFonts w:asciiTheme="minorHAnsi" w:hAnsiTheme="minorHAnsi" w:cstheme="minorHAnsi"/>
        </w:rPr>
        <w:t xml:space="preserve">bychom se při jeho správě řídit </w:t>
      </w:r>
      <w:r w:rsidRPr="00A57857">
        <w:rPr>
          <w:rFonts w:asciiTheme="minorHAnsi" w:hAnsiTheme="minorHAnsi" w:cstheme="minorHAnsi"/>
        </w:rPr>
        <w:t xml:space="preserve">(a) principem dávání a braní (účetní „má dáti – dal“, tedy vyvažovat, co do majetku investujeme či vkládáme a co nám přináší) a současně (b) smyslem pro krásu (kultivovat a </w:t>
      </w:r>
      <w:r w:rsidR="006214BC">
        <w:rPr>
          <w:rFonts w:asciiTheme="minorHAnsi" w:hAnsiTheme="minorHAnsi" w:cstheme="minorHAnsi"/>
        </w:rPr>
        <w:t xml:space="preserve">řádně </w:t>
      </w:r>
      <w:r w:rsidRPr="00A57857">
        <w:rPr>
          <w:rFonts w:asciiTheme="minorHAnsi" w:hAnsiTheme="minorHAnsi" w:cstheme="minorHAnsi"/>
        </w:rPr>
        <w:t>pečovat o majetek</w:t>
      </w:r>
      <w:r w:rsidR="00C86666">
        <w:rPr>
          <w:rStyle w:val="Znakapoznpodarou"/>
          <w:rFonts w:asciiTheme="minorHAnsi" w:hAnsiTheme="minorHAnsi" w:cstheme="minorHAnsi"/>
        </w:rPr>
        <w:footnoteReference w:id="41"/>
      </w:r>
      <w:r w:rsidRPr="00A57857">
        <w:rPr>
          <w:rFonts w:asciiTheme="minorHAnsi" w:hAnsiTheme="minorHAnsi" w:cstheme="minorHAnsi"/>
        </w:rPr>
        <w:t xml:space="preserve">). </w:t>
      </w:r>
    </w:p>
    <w:p w14:paraId="75A977E3" w14:textId="08312745" w:rsidR="006214BC" w:rsidRDefault="006214BC" w:rsidP="008122A5">
      <w:pPr>
        <w:shd w:val="clear" w:color="auto" w:fill="FFFFFF" w:themeFill="background1"/>
        <w:jc w:val="both"/>
        <w:rPr>
          <w:rFonts w:asciiTheme="minorHAnsi" w:hAnsiTheme="minorHAnsi" w:cstheme="minorHAnsi"/>
        </w:rPr>
      </w:pPr>
    </w:p>
    <w:p w14:paraId="60BC2F8C" w14:textId="77777777" w:rsidR="00E1525D" w:rsidRDefault="00E1525D" w:rsidP="008122A5">
      <w:pPr>
        <w:shd w:val="clear" w:color="auto" w:fill="FFFFFF" w:themeFill="background1"/>
        <w:jc w:val="both"/>
        <w:rPr>
          <w:rFonts w:asciiTheme="minorHAnsi" w:hAnsiTheme="minorHAnsi" w:cstheme="minorHAnsi"/>
        </w:rPr>
      </w:pPr>
    </w:p>
    <w:p w14:paraId="3F4752CB" w14:textId="61BF0C89" w:rsidR="006214BC" w:rsidRPr="00A772B5" w:rsidRDefault="006214BC" w:rsidP="008122A5">
      <w:pPr>
        <w:shd w:val="clear" w:color="auto" w:fill="FFFFFF" w:themeFill="background1"/>
        <w:jc w:val="both"/>
        <w:rPr>
          <w:rFonts w:asciiTheme="minorHAnsi" w:hAnsiTheme="minorHAnsi" w:cstheme="minorHAnsi"/>
          <w:b/>
        </w:rPr>
      </w:pPr>
      <w:r w:rsidRPr="00A772B5">
        <w:rPr>
          <w:rFonts w:asciiTheme="minorHAnsi" w:hAnsiTheme="minorHAnsi" w:cstheme="minorHAnsi"/>
          <w:b/>
        </w:rPr>
        <w:t>Pronájem majetku</w:t>
      </w:r>
    </w:p>
    <w:p w14:paraId="2499EF41" w14:textId="05A9B34A" w:rsidR="00A772B5" w:rsidRDefault="00A772B5" w:rsidP="00A772B5">
      <w:pPr>
        <w:jc w:val="both"/>
        <w:rPr>
          <w:rFonts w:ascii="Calibri" w:hAnsi="Calibri" w:cs="Calibri"/>
        </w:rPr>
      </w:pPr>
      <w:r w:rsidRPr="00A772B5">
        <w:rPr>
          <w:rFonts w:ascii="Calibri" w:hAnsi="Calibri" w:cs="Calibri"/>
        </w:rPr>
        <w:t>U pronájmů je nezbytné vždy ověřovat cenu obvyklou (ideální je znalecký posudek, ale ověření lze doložit stanoviskem realitní kanceláře nebo lze provést také pomocí provedeného šetření).</w:t>
      </w:r>
      <w:r>
        <w:rPr>
          <w:rFonts w:ascii="Calibri" w:hAnsi="Calibri" w:cs="Calibri"/>
        </w:rPr>
        <w:t xml:space="preserve"> </w:t>
      </w:r>
      <w:r>
        <w:rPr>
          <w:rFonts w:ascii="Calibri" w:hAnsi="Calibri" w:cs="Calibri"/>
        </w:rPr>
        <w:lastRenderedPageBreak/>
        <w:t>Dle zákona o finanční kontrole je nezbytné u každého pronájmu vyhodnotit rizika a prověřit kritéria nakládání s veřejnými prostředky 3E (hospodárnost, efektivnost, účelnost). V kapitol</w:t>
      </w:r>
      <w:r w:rsidR="00D604C1">
        <w:rPr>
          <w:rFonts w:ascii="Calibri" w:hAnsi="Calibri" w:cs="Calibri"/>
        </w:rPr>
        <w:t>e</w:t>
      </w:r>
      <w:r>
        <w:rPr>
          <w:rFonts w:ascii="Calibri" w:hAnsi="Calibri" w:cs="Calibri"/>
        </w:rPr>
        <w:t xml:space="preserve"> 10 je zpracována krátká případová studie hodnocení 3E při pronájmu majetku městem. </w:t>
      </w:r>
      <w:r>
        <w:rPr>
          <w:rFonts w:asciiTheme="minorHAnsi" w:hAnsiTheme="minorHAnsi" w:cstheme="minorHAnsi"/>
        </w:rPr>
        <w:t xml:space="preserve">Při pronájmu státního majetku je třeba postupovat </w:t>
      </w:r>
      <w:r w:rsidRPr="00D702C3">
        <w:rPr>
          <w:rFonts w:ascii="Calibri" w:hAnsi="Calibri" w:cs="Calibri"/>
        </w:rPr>
        <w:t>podle zák</w:t>
      </w:r>
      <w:r>
        <w:rPr>
          <w:rFonts w:ascii="Calibri" w:hAnsi="Calibri" w:cs="Calibri"/>
        </w:rPr>
        <w:t>ona</w:t>
      </w:r>
      <w:r w:rsidRPr="00D702C3">
        <w:rPr>
          <w:rFonts w:ascii="Calibri" w:hAnsi="Calibri" w:cs="Calibri"/>
        </w:rPr>
        <w:t xml:space="preserve"> č. 219/2000 Sb., o majetku </w:t>
      </w:r>
      <w:r>
        <w:rPr>
          <w:rFonts w:ascii="Calibri" w:hAnsi="Calibri" w:cs="Calibri"/>
        </w:rPr>
        <w:t>ČR. Pronájem majetku obcí se řídí zákonem</w:t>
      </w:r>
      <w:r w:rsidR="00D604C1">
        <w:rPr>
          <w:rFonts w:ascii="Calibri" w:hAnsi="Calibri" w:cs="Calibri"/>
        </w:rPr>
        <w:t xml:space="preserve"> o</w:t>
      </w:r>
      <w:r>
        <w:rPr>
          <w:rFonts w:ascii="Calibri" w:hAnsi="Calibri" w:cs="Calibri"/>
        </w:rPr>
        <w:t xml:space="preserve"> obcích, obdobně u krajů zákonem o krajích. Zde je nutné brát v úvahu, že o pronájmu majetku musí rozhodnout rada. </w:t>
      </w:r>
    </w:p>
    <w:p w14:paraId="52A367C3" w14:textId="4400B56D" w:rsidR="006214BC" w:rsidRDefault="006214BC" w:rsidP="008122A5">
      <w:pPr>
        <w:shd w:val="clear" w:color="auto" w:fill="FFFFFF" w:themeFill="background1"/>
        <w:jc w:val="both"/>
        <w:rPr>
          <w:rFonts w:asciiTheme="minorHAnsi" w:hAnsiTheme="minorHAnsi" w:cstheme="minorHAnsi"/>
        </w:rPr>
      </w:pPr>
    </w:p>
    <w:p w14:paraId="6A3CF06F" w14:textId="1EB19C34" w:rsidR="006214BC" w:rsidRPr="006214BC" w:rsidRDefault="006214BC" w:rsidP="008122A5">
      <w:pPr>
        <w:shd w:val="clear" w:color="auto" w:fill="FFFFFF" w:themeFill="background1"/>
        <w:jc w:val="both"/>
        <w:rPr>
          <w:rFonts w:asciiTheme="minorHAnsi" w:hAnsiTheme="minorHAnsi" w:cstheme="minorHAnsi"/>
          <w:b/>
        </w:rPr>
      </w:pPr>
      <w:r w:rsidRPr="006214BC">
        <w:rPr>
          <w:rFonts w:asciiTheme="minorHAnsi" w:hAnsiTheme="minorHAnsi" w:cstheme="minorHAnsi"/>
          <w:b/>
        </w:rPr>
        <w:t>Investice</w:t>
      </w:r>
    </w:p>
    <w:p w14:paraId="2B555BA0" w14:textId="133A48B2" w:rsidR="00C6281C" w:rsidRPr="00C6281C" w:rsidRDefault="0047328B" w:rsidP="006214BC">
      <w:pPr>
        <w:jc w:val="both"/>
        <w:rPr>
          <w:rFonts w:asciiTheme="minorHAnsi" w:hAnsiTheme="minorHAnsi" w:cs="Calibri"/>
        </w:rPr>
      </w:pPr>
      <w:r>
        <w:rPr>
          <w:rFonts w:asciiTheme="minorHAnsi" w:hAnsiTheme="minorHAnsi" w:cstheme="minorHAnsi"/>
        </w:rPr>
        <w:t>Výdaje na investice (kapitálové výdaje) jsou důležit</w:t>
      </w:r>
      <w:r w:rsidR="00C177BE">
        <w:rPr>
          <w:rFonts w:asciiTheme="minorHAnsi" w:hAnsiTheme="minorHAnsi" w:cstheme="minorHAnsi"/>
        </w:rPr>
        <w:t>ou</w:t>
      </w:r>
      <w:r>
        <w:rPr>
          <w:rFonts w:asciiTheme="minorHAnsi" w:hAnsiTheme="minorHAnsi" w:cstheme="minorHAnsi"/>
        </w:rPr>
        <w:t xml:space="preserve"> součástí rozpočtu jak státu, tak územních rozpočtů. </w:t>
      </w:r>
      <w:r w:rsidR="0082042F">
        <w:rPr>
          <w:rFonts w:asciiTheme="minorHAnsi" w:hAnsiTheme="minorHAnsi" w:cstheme="minorHAnsi"/>
        </w:rPr>
        <w:t xml:space="preserve">Rozsah prostředků určených na investice vyjadřuje přístup státu nebo samosprávy k fiskální (rozpočtové) politice. </w:t>
      </w:r>
      <w:r w:rsidR="00C6281C">
        <w:rPr>
          <w:rFonts w:asciiTheme="minorHAnsi" w:hAnsiTheme="minorHAnsi" w:cs="Calibri"/>
        </w:rPr>
        <w:t xml:space="preserve">V praxi se často objevuje </w:t>
      </w:r>
      <w:r w:rsidR="00C6281C" w:rsidRPr="00C6281C">
        <w:rPr>
          <w:rFonts w:asciiTheme="minorHAnsi" w:hAnsiTheme="minorHAnsi" w:cstheme="minorHAnsi"/>
        </w:rPr>
        <w:t xml:space="preserve">nesoulad investičních plánů (podklad pro tvorbu rozpočtu) a </w:t>
      </w:r>
      <w:r w:rsidR="00C6281C">
        <w:rPr>
          <w:rFonts w:asciiTheme="minorHAnsi" w:hAnsiTheme="minorHAnsi" w:cstheme="minorHAnsi"/>
        </w:rPr>
        <w:t>implementačních (akčních)</w:t>
      </w:r>
      <w:r w:rsidR="00C6281C" w:rsidRPr="00C6281C">
        <w:rPr>
          <w:rFonts w:asciiTheme="minorHAnsi" w:hAnsiTheme="minorHAnsi" w:cstheme="minorHAnsi"/>
        </w:rPr>
        <w:t xml:space="preserve"> plánů strategie. </w:t>
      </w:r>
      <w:r>
        <w:rPr>
          <w:rFonts w:asciiTheme="minorHAnsi" w:hAnsiTheme="minorHAnsi" w:cs="Calibri"/>
        </w:rPr>
        <w:t xml:space="preserve">Pro financování investičních projektů ze státního rozpočtu se používá </w:t>
      </w:r>
      <w:r w:rsidRPr="0082042F">
        <w:rPr>
          <w:rFonts w:asciiTheme="minorHAnsi" w:hAnsiTheme="minorHAnsi" w:cs="Calibri"/>
        </w:rPr>
        <w:t>programové financování</w:t>
      </w:r>
      <w:r>
        <w:rPr>
          <w:rStyle w:val="Znakapoznpodarou"/>
          <w:rFonts w:asciiTheme="minorHAnsi" w:hAnsiTheme="minorHAnsi" w:cs="Calibri"/>
        </w:rPr>
        <w:footnoteReference w:id="42"/>
      </w:r>
      <w:r w:rsidR="0082042F">
        <w:rPr>
          <w:rFonts w:asciiTheme="minorHAnsi" w:hAnsiTheme="minorHAnsi" w:cs="Calibri"/>
        </w:rPr>
        <w:t xml:space="preserve">. </w:t>
      </w:r>
    </w:p>
    <w:p w14:paraId="4B5C0FB3" w14:textId="0EA2E5D3" w:rsidR="00CB16AB" w:rsidRDefault="00CB16AB" w:rsidP="006214BC">
      <w:pPr>
        <w:jc w:val="both"/>
        <w:rPr>
          <w:rFonts w:asciiTheme="minorHAnsi" w:hAnsiTheme="minorHAnsi" w:cs="Calibri"/>
        </w:rPr>
      </w:pPr>
    </w:p>
    <w:p w14:paraId="4E4AAB0F" w14:textId="5A4FCEBC" w:rsidR="00CB16AB" w:rsidRPr="00E2685A" w:rsidRDefault="00CB16AB" w:rsidP="00CB16AB">
      <w:pPr>
        <w:jc w:val="both"/>
        <w:rPr>
          <w:rFonts w:asciiTheme="minorHAnsi" w:hAnsiTheme="minorHAnsi" w:cs="Calibri"/>
        </w:rPr>
      </w:pPr>
      <w:r>
        <w:rPr>
          <w:rFonts w:asciiTheme="minorHAnsi" w:hAnsiTheme="minorHAnsi" w:cs="Calibri"/>
        </w:rPr>
        <w:t>U samospráv lze vyjádřit prostor v rozpočtu na investice pomocí indexu provozních úspor. Ten by měl být minimálně 10</w:t>
      </w:r>
      <w:r w:rsidR="00D604C1">
        <w:rPr>
          <w:rFonts w:asciiTheme="minorHAnsi" w:hAnsiTheme="minorHAnsi" w:cs="Calibri"/>
        </w:rPr>
        <w:t xml:space="preserve"> </w:t>
      </w:r>
      <w:r>
        <w:rPr>
          <w:rFonts w:asciiTheme="minorHAnsi" w:hAnsiTheme="minorHAnsi" w:cs="Calibri"/>
        </w:rPr>
        <w:t>%</w:t>
      </w:r>
      <w:r>
        <w:rPr>
          <w:rStyle w:val="Znakapoznpodarou"/>
          <w:rFonts w:asciiTheme="minorHAnsi" w:hAnsiTheme="minorHAnsi" w:cs="Calibri"/>
        </w:rPr>
        <w:footnoteReference w:id="43"/>
      </w:r>
      <w:r>
        <w:rPr>
          <w:rFonts w:asciiTheme="minorHAnsi" w:hAnsiTheme="minorHAnsi" w:cs="Calibri"/>
        </w:rPr>
        <w:t xml:space="preserve">. </w:t>
      </w:r>
      <w:r w:rsidRPr="00CB16AB">
        <w:rPr>
          <w:rFonts w:asciiTheme="minorHAnsi" w:hAnsiTheme="minorHAnsi" w:cstheme="minorHAnsi"/>
        </w:rPr>
        <w:t>Dodržování nejméně 10</w:t>
      </w:r>
      <w:r w:rsidR="00F67ABB">
        <w:rPr>
          <w:rFonts w:asciiTheme="minorHAnsi" w:hAnsiTheme="minorHAnsi" w:cstheme="minorHAnsi"/>
        </w:rPr>
        <w:t xml:space="preserve"> </w:t>
      </w:r>
      <w:r w:rsidRPr="00CB16AB">
        <w:rPr>
          <w:rFonts w:asciiTheme="minorHAnsi" w:hAnsiTheme="minorHAnsi" w:cstheme="minorHAnsi"/>
        </w:rPr>
        <w:t xml:space="preserve">% je považováno u samospráv za jednu </w:t>
      </w:r>
      <w:r w:rsidRPr="00E2685A">
        <w:rPr>
          <w:rFonts w:asciiTheme="minorHAnsi" w:hAnsiTheme="minorHAnsi" w:cs="Calibri"/>
        </w:rPr>
        <w:t>ze zásad zdravého finančního řízení (zásady jsou popsány v kapitole 9).</w:t>
      </w:r>
    </w:p>
    <w:p w14:paraId="7ADFE27E" w14:textId="77777777" w:rsidR="00CB16AB" w:rsidRPr="00E2685A" w:rsidRDefault="00CB16AB" w:rsidP="00E2685A">
      <w:pPr>
        <w:jc w:val="both"/>
        <w:rPr>
          <w:rFonts w:asciiTheme="minorHAnsi" w:hAnsiTheme="minorHAnsi" w:cs="Calibri"/>
        </w:rPr>
      </w:pPr>
    </w:p>
    <w:p w14:paraId="07D6C1BC" w14:textId="3F249EDC" w:rsidR="006214BC" w:rsidRPr="006214BC" w:rsidRDefault="006214BC" w:rsidP="006214BC">
      <w:pPr>
        <w:jc w:val="both"/>
        <w:rPr>
          <w:rFonts w:asciiTheme="minorHAnsi" w:hAnsiTheme="minorHAnsi" w:cstheme="minorHAnsi"/>
        </w:rPr>
      </w:pPr>
      <w:r w:rsidRPr="006214BC">
        <w:rPr>
          <w:rFonts w:asciiTheme="minorHAnsi" w:hAnsiTheme="minorHAnsi" w:cstheme="minorHAnsi"/>
        </w:rPr>
        <w:t xml:space="preserve">Při </w:t>
      </w:r>
      <w:r w:rsidR="009141E7">
        <w:rPr>
          <w:rFonts w:asciiTheme="minorHAnsi" w:hAnsiTheme="minorHAnsi" w:cstheme="minorHAnsi"/>
        </w:rPr>
        <w:t>investování</w:t>
      </w:r>
      <w:r w:rsidRPr="006214BC">
        <w:rPr>
          <w:rFonts w:asciiTheme="minorHAnsi" w:hAnsiTheme="minorHAnsi" w:cstheme="minorHAnsi"/>
        </w:rPr>
        <w:t xml:space="preserve"> se můžeme orientovat podle </w:t>
      </w:r>
      <w:r w:rsidRPr="00031D00">
        <w:rPr>
          <w:rFonts w:asciiTheme="minorHAnsi" w:hAnsiTheme="minorHAnsi" w:cstheme="minorHAnsi"/>
          <w:b/>
        </w:rPr>
        <w:t>klasifikace investic a potenciálu pro identifikace</w:t>
      </w:r>
      <w:r w:rsidRPr="006214BC">
        <w:rPr>
          <w:rFonts w:asciiTheme="minorHAnsi" w:hAnsiTheme="minorHAnsi" w:cstheme="minorHAnsi"/>
        </w:rPr>
        <w:t xml:space="preserve"> </w:t>
      </w:r>
      <w:r w:rsidRPr="00031D00">
        <w:rPr>
          <w:rFonts w:asciiTheme="minorHAnsi" w:hAnsiTheme="minorHAnsi" w:cstheme="minorHAnsi"/>
          <w:b/>
        </w:rPr>
        <w:t>úspor</w:t>
      </w:r>
      <w:r w:rsidRPr="006214BC">
        <w:rPr>
          <w:rFonts w:asciiTheme="minorHAnsi" w:hAnsiTheme="minorHAnsi" w:cstheme="minorHAnsi"/>
        </w:rPr>
        <w:t xml:space="preserve"> - viz následující tabulka. </w:t>
      </w:r>
      <w:r w:rsidR="00825EB0">
        <w:rPr>
          <w:rFonts w:asciiTheme="minorHAnsi" w:hAnsiTheme="minorHAnsi" w:cstheme="minorHAnsi"/>
        </w:rPr>
        <w:t>Je-li</w:t>
      </w:r>
      <w:r w:rsidRPr="006214BC">
        <w:rPr>
          <w:rFonts w:asciiTheme="minorHAnsi" w:hAnsiTheme="minorHAnsi" w:cstheme="minorHAnsi"/>
        </w:rPr>
        <w:t xml:space="preserve"> to možné, měly by </w:t>
      </w:r>
      <w:r w:rsidR="00825EB0">
        <w:rPr>
          <w:rFonts w:asciiTheme="minorHAnsi" w:hAnsiTheme="minorHAnsi" w:cstheme="minorHAnsi"/>
        </w:rPr>
        <w:t>se upřednostňovat</w:t>
      </w:r>
      <w:r w:rsidRPr="006214BC">
        <w:rPr>
          <w:rFonts w:asciiTheme="minorHAnsi" w:hAnsiTheme="minorHAnsi" w:cstheme="minorHAnsi"/>
        </w:rPr>
        <w:t xml:space="preserve"> návratné investice. </w:t>
      </w:r>
    </w:p>
    <w:p w14:paraId="54D30C22" w14:textId="784FB1AD" w:rsidR="006214BC" w:rsidRPr="001D789C" w:rsidRDefault="006214BC" w:rsidP="006214BC">
      <w:pPr>
        <w:pStyle w:val="Zkladntext"/>
        <w:spacing w:after="0"/>
        <w:rPr>
          <w:rFonts w:asciiTheme="minorHAnsi" w:hAnsiTheme="minorHAnsi" w:cstheme="minorHAnsi"/>
          <w:i/>
          <w:iCs/>
          <w:szCs w:val="24"/>
        </w:rPr>
      </w:pPr>
      <w:r w:rsidRPr="001D789C">
        <w:rPr>
          <w:rFonts w:asciiTheme="minorHAnsi" w:hAnsiTheme="minorHAnsi" w:cstheme="minorHAnsi"/>
          <w:i/>
          <w:iCs/>
          <w:szCs w:val="24"/>
        </w:rPr>
        <w:t>Tab.</w:t>
      </w:r>
      <w:r w:rsidR="00EA14C5">
        <w:rPr>
          <w:rFonts w:asciiTheme="minorHAnsi" w:hAnsiTheme="minorHAnsi" w:cstheme="minorHAnsi"/>
          <w:i/>
          <w:iCs/>
          <w:szCs w:val="24"/>
          <w:lang w:val="cs-CZ"/>
        </w:rPr>
        <w:t xml:space="preserve"> 1</w:t>
      </w:r>
      <w:r w:rsidR="00C14739">
        <w:rPr>
          <w:rFonts w:asciiTheme="minorHAnsi" w:hAnsiTheme="minorHAnsi" w:cstheme="minorHAnsi"/>
          <w:i/>
          <w:iCs/>
          <w:szCs w:val="24"/>
          <w:lang w:val="cs-CZ"/>
        </w:rPr>
        <w:t>5</w:t>
      </w:r>
      <w:r w:rsidR="004F0E1D">
        <w:rPr>
          <w:rFonts w:asciiTheme="minorHAnsi" w:hAnsiTheme="minorHAnsi" w:cstheme="minorHAnsi"/>
          <w:i/>
          <w:iCs/>
          <w:szCs w:val="24"/>
          <w:lang w:val="cs-CZ"/>
        </w:rPr>
        <w:t xml:space="preserve"> </w:t>
      </w:r>
      <w:r w:rsidRPr="001D789C">
        <w:rPr>
          <w:rFonts w:asciiTheme="minorHAnsi" w:hAnsiTheme="minorHAnsi" w:cstheme="minorHAnsi"/>
          <w:i/>
          <w:iCs/>
          <w:szCs w:val="24"/>
        </w:rPr>
        <w:t xml:space="preserve">Druhy investic a možnosti identifikace úspor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956"/>
        <w:gridCol w:w="7051"/>
      </w:tblGrid>
      <w:tr w:rsidR="006214BC" w:rsidRPr="006214BC" w14:paraId="1ED4CD11" w14:textId="77777777" w:rsidTr="00A441A1">
        <w:tc>
          <w:tcPr>
            <w:tcW w:w="279" w:type="dxa"/>
            <w:shd w:val="clear" w:color="auto" w:fill="EEECE1"/>
            <w:vAlign w:val="center"/>
          </w:tcPr>
          <w:p w14:paraId="3F854F17"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Č</w:t>
            </w:r>
          </w:p>
        </w:tc>
        <w:tc>
          <w:tcPr>
            <w:tcW w:w="1956" w:type="dxa"/>
            <w:shd w:val="clear" w:color="auto" w:fill="EEECE1"/>
            <w:vAlign w:val="center"/>
          </w:tcPr>
          <w:p w14:paraId="7837FDEB"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Skupiny investice</w:t>
            </w:r>
          </w:p>
        </w:tc>
        <w:tc>
          <w:tcPr>
            <w:tcW w:w="7051" w:type="dxa"/>
            <w:shd w:val="clear" w:color="auto" w:fill="EEECE1"/>
          </w:tcPr>
          <w:p w14:paraId="1715150A"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 xml:space="preserve">Popis či komentář z hlediska úspor </w:t>
            </w:r>
          </w:p>
        </w:tc>
      </w:tr>
      <w:tr w:rsidR="006214BC" w:rsidRPr="006214BC" w14:paraId="2FDDA906" w14:textId="77777777" w:rsidTr="00A441A1">
        <w:tc>
          <w:tcPr>
            <w:tcW w:w="279" w:type="dxa"/>
            <w:shd w:val="clear" w:color="auto" w:fill="EEECE1"/>
            <w:vAlign w:val="center"/>
          </w:tcPr>
          <w:p w14:paraId="64CBD400"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1</w:t>
            </w:r>
          </w:p>
        </w:tc>
        <w:tc>
          <w:tcPr>
            <w:tcW w:w="1956" w:type="dxa"/>
            <w:shd w:val="clear" w:color="auto" w:fill="FFFFFF"/>
            <w:vAlign w:val="center"/>
          </w:tcPr>
          <w:p w14:paraId="7A90E122"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Návratné investice</w:t>
            </w:r>
          </w:p>
        </w:tc>
        <w:tc>
          <w:tcPr>
            <w:tcW w:w="7051" w:type="dxa"/>
          </w:tcPr>
          <w:p w14:paraId="2319CD17"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Jde o investice, u kterých je možné počítat návratnost, a hlavní motivace pro tento druh investic jsou úspory. Jde například o zateplování budov. Z hlediska úspor jde o nejlepší kategorii.</w:t>
            </w:r>
          </w:p>
        </w:tc>
      </w:tr>
      <w:tr w:rsidR="006214BC" w:rsidRPr="006214BC" w14:paraId="21BD17C7" w14:textId="77777777" w:rsidTr="00A441A1">
        <w:tc>
          <w:tcPr>
            <w:tcW w:w="279" w:type="dxa"/>
            <w:shd w:val="clear" w:color="auto" w:fill="EEECE1"/>
            <w:vAlign w:val="center"/>
          </w:tcPr>
          <w:p w14:paraId="65AA1176"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2</w:t>
            </w:r>
          </w:p>
        </w:tc>
        <w:tc>
          <w:tcPr>
            <w:tcW w:w="1956" w:type="dxa"/>
            <w:shd w:val="clear" w:color="auto" w:fill="FFFFFF"/>
            <w:vAlign w:val="center"/>
          </w:tcPr>
          <w:p w14:paraId="486CC43E"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Vynucené investice právními předpisy</w:t>
            </w:r>
          </w:p>
        </w:tc>
        <w:tc>
          <w:tcPr>
            <w:tcW w:w="7051" w:type="dxa"/>
          </w:tcPr>
          <w:p w14:paraId="0FB15957" w14:textId="18AEF4D4"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 xml:space="preserve">U celé řady investic není možné návratnost počítat, protože jsou vynuceny legislativními předpisy (hygienické, bezpečnostní, životní prostředí atd.). Jako příklad </w:t>
            </w:r>
            <w:r w:rsidR="00D604C1">
              <w:rPr>
                <w:rFonts w:asciiTheme="minorHAnsi" w:hAnsiTheme="minorHAnsi" w:cstheme="minorHAnsi"/>
                <w:sz w:val="20"/>
                <w:szCs w:val="20"/>
              </w:rPr>
              <w:t>lze</w:t>
            </w:r>
            <w:r w:rsidRPr="006214BC">
              <w:rPr>
                <w:rFonts w:asciiTheme="minorHAnsi" w:hAnsiTheme="minorHAnsi" w:cstheme="minorHAnsi"/>
                <w:sz w:val="20"/>
                <w:szCs w:val="20"/>
              </w:rPr>
              <w:t xml:space="preserve"> uvést investice do školních jídelen z důvodu hygienických předpisů.</w:t>
            </w:r>
          </w:p>
        </w:tc>
      </w:tr>
      <w:tr w:rsidR="006214BC" w:rsidRPr="006214BC" w14:paraId="7AD954C1" w14:textId="77777777" w:rsidTr="00A441A1">
        <w:tc>
          <w:tcPr>
            <w:tcW w:w="279" w:type="dxa"/>
            <w:shd w:val="clear" w:color="auto" w:fill="EEECE1"/>
            <w:vAlign w:val="center"/>
          </w:tcPr>
          <w:p w14:paraId="6E45F778"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3</w:t>
            </w:r>
          </w:p>
        </w:tc>
        <w:tc>
          <w:tcPr>
            <w:tcW w:w="1956" w:type="dxa"/>
            <w:shd w:val="clear" w:color="auto" w:fill="FFFFFF"/>
            <w:vAlign w:val="center"/>
          </w:tcPr>
          <w:p w14:paraId="0D33B00E"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Reprodukce, modernizace majetku</w:t>
            </w:r>
          </w:p>
        </w:tc>
        <w:tc>
          <w:tcPr>
            <w:tcW w:w="7051" w:type="dxa"/>
          </w:tcPr>
          <w:p w14:paraId="12F5CD80"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Jde o prostou obnovu nebo modernizaci v případech, kdy nejde o návratné investice a ani vynucené investice. Může jít například o obnovu vozového parku nebo investice do budovy školy, tělocvičny, úřadu atd., kde byla překročena její životnost.</w:t>
            </w:r>
          </w:p>
        </w:tc>
      </w:tr>
      <w:tr w:rsidR="006214BC" w:rsidRPr="006214BC" w14:paraId="73C5A0EE" w14:textId="77777777" w:rsidTr="00A441A1">
        <w:tc>
          <w:tcPr>
            <w:tcW w:w="279" w:type="dxa"/>
            <w:shd w:val="clear" w:color="auto" w:fill="EEECE1"/>
            <w:vAlign w:val="center"/>
          </w:tcPr>
          <w:p w14:paraId="7E956539"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4</w:t>
            </w:r>
          </w:p>
        </w:tc>
        <w:tc>
          <w:tcPr>
            <w:tcW w:w="1956" w:type="dxa"/>
            <w:shd w:val="clear" w:color="auto" w:fill="FFFFFF"/>
            <w:vAlign w:val="center"/>
          </w:tcPr>
          <w:p w14:paraId="44593850"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Investice do základní infrastruktury</w:t>
            </w:r>
          </w:p>
        </w:tc>
        <w:tc>
          <w:tcPr>
            <w:tcW w:w="7051" w:type="dxa"/>
          </w:tcPr>
          <w:p w14:paraId="2DD2319A"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Je podobné kategorii 3. Může jít o investice do plynofikace, odkanalizování, připojení vodovodu, cestní sítě atd.</w:t>
            </w:r>
          </w:p>
        </w:tc>
      </w:tr>
      <w:tr w:rsidR="006214BC" w:rsidRPr="006214BC" w14:paraId="480FB741" w14:textId="77777777" w:rsidTr="00A441A1">
        <w:tc>
          <w:tcPr>
            <w:tcW w:w="279" w:type="dxa"/>
            <w:shd w:val="clear" w:color="auto" w:fill="EEECE1"/>
            <w:vAlign w:val="center"/>
          </w:tcPr>
          <w:p w14:paraId="7FBBCF4E"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5</w:t>
            </w:r>
          </w:p>
        </w:tc>
        <w:tc>
          <w:tcPr>
            <w:tcW w:w="1956" w:type="dxa"/>
            <w:shd w:val="clear" w:color="auto" w:fill="FFFFFF"/>
            <w:vAlign w:val="center"/>
          </w:tcPr>
          <w:p w14:paraId="630CE57C"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Dotované investice</w:t>
            </w:r>
          </w:p>
        </w:tc>
        <w:tc>
          <w:tcPr>
            <w:tcW w:w="7051" w:type="dxa"/>
          </w:tcPr>
          <w:p w14:paraId="00CCB385"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 xml:space="preserve">Obvykle současně splňují podmínky některé z výše uvedených druhů. Financování je však u těchto investic z více zdrojů. U dotovaných investic je nezbytné podrobně </w:t>
            </w:r>
            <w:r w:rsidRPr="006214BC">
              <w:rPr>
                <w:rFonts w:asciiTheme="minorHAnsi" w:hAnsiTheme="minorHAnsi" w:cstheme="minorHAnsi"/>
                <w:sz w:val="20"/>
                <w:szCs w:val="20"/>
              </w:rPr>
              <w:lastRenderedPageBreak/>
              <w:t>prověřit, zda jsou dotace skutečně výhodné – zda nevyvolají další investice nebo nepřiměřené provozní náklady.</w:t>
            </w:r>
          </w:p>
        </w:tc>
      </w:tr>
      <w:tr w:rsidR="006214BC" w:rsidRPr="006214BC" w14:paraId="303E70EB" w14:textId="77777777" w:rsidTr="00A441A1">
        <w:tc>
          <w:tcPr>
            <w:tcW w:w="279" w:type="dxa"/>
            <w:shd w:val="clear" w:color="auto" w:fill="EEECE1"/>
            <w:vAlign w:val="center"/>
          </w:tcPr>
          <w:p w14:paraId="1DF60C76"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lastRenderedPageBreak/>
              <w:t>6</w:t>
            </w:r>
          </w:p>
        </w:tc>
        <w:tc>
          <w:tcPr>
            <w:tcW w:w="1956" w:type="dxa"/>
            <w:shd w:val="clear" w:color="auto" w:fill="FFFFFF"/>
            <w:vAlign w:val="center"/>
          </w:tcPr>
          <w:p w14:paraId="0348D3A0"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Ostatní investice</w:t>
            </w:r>
          </w:p>
        </w:tc>
        <w:tc>
          <w:tcPr>
            <w:tcW w:w="7051" w:type="dxa"/>
          </w:tcPr>
          <w:p w14:paraId="1BEB62EA" w14:textId="77777777" w:rsidR="006214BC" w:rsidRPr="006214BC" w:rsidRDefault="006214BC" w:rsidP="006214BC">
            <w:pPr>
              <w:spacing w:line="216" w:lineRule="auto"/>
              <w:jc w:val="both"/>
              <w:rPr>
                <w:rFonts w:asciiTheme="minorHAnsi" w:hAnsiTheme="minorHAnsi" w:cstheme="minorHAnsi"/>
                <w:sz w:val="20"/>
                <w:szCs w:val="20"/>
              </w:rPr>
            </w:pPr>
            <w:r w:rsidRPr="006214BC">
              <w:rPr>
                <w:rFonts w:asciiTheme="minorHAnsi" w:hAnsiTheme="minorHAnsi" w:cstheme="minorHAnsi"/>
                <w:sz w:val="20"/>
                <w:szCs w:val="20"/>
              </w:rPr>
              <w:t>Všechny ostatní druhy investic. Z hlediska úspor je tato kategorie nejrizikovější.</w:t>
            </w:r>
          </w:p>
        </w:tc>
      </w:tr>
    </w:tbl>
    <w:p w14:paraId="667EC3E8" w14:textId="573BDA2F" w:rsidR="006214BC" w:rsidRDefault="006214BC" w:rsidP="006214BC">
      <w:pPr>
        <w:pStyle w:val="Zkladntext"/>
        <w:spacing w:after="0"/>
        <w:rPr>
          <w:rFonts w:asciiTheme="minorHAnsi" w:hAnsiTheme="minorHAnsi" w:cstheme="minorHAnsi"/>
          <w:i/>
          <w:iCs/>
          <w:szCs w:val="24"/>
          <w:lang w:val="cs-CZ"/>
        </w:rPr>
      </w:pPr>
      <w:r w:rsidRPr="001D789C">
        <w:rPr>
          <w:rFonts w:asciiTheme="minorHAnsi" w:hAnsiTheme="minorHAnsi" w:cstheme="minorHAnsi"/>
          <w:i/>
          <w:iCs/>
          <w:szCs w:val="24"/>
        </w:rPr>
        <w:t xml:space="preserve">Zdroj: </w:t>
      </w:r>
      <w:r w:rsidRPr="001D789C">
        <w:rPr>
          <w:rFonts w:asciiTheme="minorHAnsi" w:hAnsiTheme="minorHAnsi" w:cstheme="minorHAnsi"/>
          <w:i/>
          <w:iCs/>
          <w:szCs w:val="24"/>
          <w:lang w:val="cs-CZ"/>
        </w:rPr>
        <w:t>Ochrana, Půček 2012, s. 149</w:t>
      </w:r>
    </w:p>
    <w:p w14:paraId="2E2E30FD" w14:textId="77777777" w:rsidR="00E2685A" w:rsidRPr="001D789C" w:rsidRDefault="00E2685A" w:rsidP="006214BC">
      <w:pPr>
        <w:pStyle w:val="Zkladntext"/>
        <w:spacing w:after="0"/>
        <w:rPr>
          <w:rFonts w:asciiTheme="minorHAnsi" w:hAnsiTheme="minorHAnsi" w:cstheme="minorHAnsi"/>
          <w:i/>
          <w:iCs/>
          <w:szCs w:val="24"/>
          <w:lang w:val="cs-CZ"/>
        </w:rPr>
      </w:pPr>
    </w:p>
    <w:p w14:paraId="115590DE" w14:textId="77777777" w:rsidR="00825EB0" w:rsidRDefault="006214BC" w:rsidP="009141E7">
      <w:pPr>
        <w:pStyle w:val="A1-text"/>
        <w:spacing w:after="0"/>
        <w:rPr>
          <w:rFonts w:asciiTheme="minorHAnsi" w:hAnsiTheme="minorHAnsi" w:cstheme="minorHAnsi"/>
          <w:lang w:val="cs-CZ"/>
        </w:rPr>
      </w:pPr>
      <w:r w:rsidRPr="006214BC">
        <w:rPr>
          <w:rFonts w:asciiTheme="minorHAnsi" w:hAnsiTheme="minorHAnsi" w:cstheme="minorHAnsi"/>
          <w:lang w:val="cs-CZ"/>
        </w:rPr>
        <w:t>Před rozhodnutím o každé investici je nezbytně nutné znát</w:t>
      </w:r>
      <w:r w:rsidR="00825EB0">
        <w:rPr>
          <w:rFonts w:asciiTheme="minorHAnsi" w:hAnsiTheme="minorHAnsi" w:cstheme="minorHAnsi"/>
          <w:lang w:val="cs-CZ"/>
        </w:rPr>
        <w:t>:</w:t>
      </w:r>
    </w:p>
    <w:p w14:paraId="341E9527" w14:textId="77777777" w:rsidR="00825EB0" w:rsidRDefault="006214BC" w:rsidP="0065698B">
      <w:pPr>
        <w:pStyle w:val="A1-text"/>
        <w:numPr>
          <w:ilvl w:val="0"/>
          <w:numId w:val="19"/>
        </w:numPr>
        <w:spacing w:after="0"/>
        <w:rPr>
          <w:rFonts w:asciiTheme="minorHAnsi" w:hAnsiTheme="minorHAnsi" w:cstheme="minorHAnsi"/>
          <w:lang w:val="cs-CZ"/>
        </w:rPr>
      </w:pPr>
      <w:r w:rsidRPr="006214BC">
        <w:rPr>
          <w:rFonts w:asciiTheme="minorHAnsi" w:hAnsiTheme="minorHAnsi" w:cstheme="minorHAnsi"/>
          <w:lang w:val="cs-CZ"/>
        </w:rPr>
        <w:t xml:space="preserve">nejen investiční náklady (což je běžné), </w:t>
      </w:r>
    </w:p>
    <w:p w14:paraId="5121FB9B" w14:textId="77777777" w:rsidR="00825EB0" w:rsidRDefault="006214BC" w:rsidP="0065698B">
      <w:pPr>
        <w:pStyle w:val="A1-text"/>
        <w:numPr>
          <w:ilvl w:val="0"/>
          <w:numId w:val="19"/>
        </w:numPr>
        <w:spacing w:after="0"/>
        <w:rPr>
          <w:rFonts w:asciiTheme="minorHAnsi" w:hAnsiTheme="minorHAnsi" w:cstheme="minorHAnsi"/>
          <w:lang w:val="cs-CZ"/>
        </w:rPr>
      </w:pPr>
      <w:r w:rsidRPr="006214BC">
        <w:rPr>
          <w:rFonts w:asciiTheme="minorHAnsi" w:hAnsiTheme="minorHAnsi" w:cstheme="minorHAnsi"/>
          <w:lang w:val="cs-CZ"/>
        </w:rPr>
        <w:t xml:space="preserve">ale také případnou návratnost a </w:t>
      </w:r>
    </w:p>
    <w:p w14:paraId="318AADFC" w14:textId="7A2D78A4" w:rsidR="00825EB0" w:rsidRDefault="006214BC" w:rsidP="0065698B">
      <w:pPr>
        <w:pStyle w:val="A1-text"/>
        <w:numPr>
          <w:ilvl w:val="0"/>
          <w:numId w:val="19"/>
        </w:numPr>
        <w:spacing w:after="0"/>
        <w:rPr>
          <w:rFonts w:asciiTheme="minorHAnsi" w:hAnsiTheme="minorHAnsi" w:cstheme="minorHAnsi"/>
          <w:lang w:val="cs-CZ"/>
        </w:rPr>
      </w:pPr>
      <w:r w:rsidRPr="006214BC">
        <w:rPr>
          <w:rFonts w:asciiTheme="minorHAnsi" w:hAnsiTheme="minorHAnsi" w:cstheme="minorHAnsi"/>
          <w:lang w:val="cs-CZ"/>
        </w:rPr>
        <w:t xml:space="preserve">zejména </w:t>
      </w:r>
      <w:r w:rsidRPr="006214BC">
        <w:rPr>
          <w:rFonts w:asciiTheme="minorHAnsi" w:hAnsiTheme="minorHAnsi" w:cstheme="minorHAnsi"/>
          <w:b/>
          <w:lang w:val="cs-CZ"/>
        </w:rPr>
        <w:t xml:space="preserve">dopad do běžného </w:t>
      </w:r>
      <w:r w:rsidR="00825EB0">
        <w:rPr>
          <w:rFonts w:asciiTheme="minorHAnsi" w:hAnsiTheme="minorHAnsi" w:cstheme="minorHAnsi"/>
          <w:b/>
          <w:lang w:val="cs-CZ"/>
        </w:rPr>
        <w:t xml:space="preserve">(provozního) </w:t>
      </w:r>
      <w:r w:rsidRPr="006214BC">
        <w:rPr>
          <w:rFonts w:asciiTheme="minorHAnsi" w:hAnsiTheme="minorHAnsi" w:cstheme="minorHAnsi"/>
          <w:b/>
          <w:lang w:val="cs-CZ"/>
        </w:rPr>
        <w:t>rozpočtu</w:t>
      </w:r>
      <w:r w:rsidRPr="006214BC">
        <w:rPr>
          <w:rFonts w:asciiTheme="minorHAnsi" w:hAnsiTheme="minorHAnsi" w:cstheme="minorHAnsi"/>
          <w:lang w:val="cs-CZ"/>
        </w:rPr>
        <w:t xml:space="preserve"> po uvedení majetku do užívání (často totiž investice jsou nenávratné a navyšují provozní výdaje</w:t>
      </w:r>
      <w:r w:rsidRPr="006214BC">
        <w:rPr>
          <w:rStyle w:val="Znakapoznpodarou"/>
          <w:rFonts w:asciiTheme="minorHAnsi" w:hAnsiTheme="minorHAnsi" w:cstheme="minorHAnsi"/>
          <w:lang w:val="cs-CZ"/>
        </w:rPr>
        <w:footnoteReference w:id="44"/>
      </w:r>
      <w:r w:rsidRPr="006214BC">
        <w:rPr>
          <w:rFonts w:asciiTheme="minorHAnsi" w:hAnsiTheme="minorHAnsi" w:cstheme="minorHAnsi"/>
          <w:lang w:val="cs-CZ"/>
        </w:rPr>
        <w:t xml:space="preserve">). </w:t>
      </w:r>
    </w:p>
    <w:p w14:paraId="1B300257" w14:textId="64BE3373" w:rsidR="006214BC" w:rsidRPr="006214BC" w:rsidRDefault="006214BC" w:rsidP="00825EB0">
      <w:pPr>
        <w:pStyle w:val="A1-text"/>
        <w:spacing w:after="0"/>
        <w:rPr>
          <w:rFonts w:asciiTheme="minorHAnsi" w:hAnsiTheme="minorHAnsi" w:cstheme="minorHAnsi"/>
          <w:lang w:val="cs-CZ"/>
        </w:rPr>
      </w:pPr>
      <w:r w:rsidRPr="006214BC">
        <w:rPr>
          <w:rFonts w:asciiTheme="minorHAnsi" w:hAnsiTheme="minorHAnsi" w:cstheme="minorHAnsi"/>
          <w:lang w:val="cs-CZ"/>
        </w:rPr>
        <w:t xml:space="preserve">Právě neznalost budoucích (navýšených) provozních </w:t>
      </w:r>
      <w:r w:rsidR="00825EB0">
        <w:rPr>
          <w:rFonts w:asciiTheme="minorHAnsi" w:hAnsiTheme="minorHAnsi" w:cstheme="minorHAnsi"/>
          <w:lang w:val="cs-CZ"/>
        </w:rPr>
        <w:t>výdajů</w:t>
      </w:r>
      <w:r w:rsidRPr="006214BC">
        <w:rPr>
          <w:rFonts w:asciiTheme="minorHAnsi" w:hAnsiTheme="minorHAnsi" w:cstheme="minorHAnsi"/>
          <w:lang w:val="cs-CZ"/>
        </w:rPr>
        <w:t xml:space="preserve"> bývá častou chybou při pořizování investice. Vzor vyčíslení nákladů a výnosů zobrazuje následující tabulka, která zachycuje předpokládané snížení nebo navýšení běžného rozpočtu po realizaci investice dle struktury nákladů a výnosů</w:t>
      </w:r>
      <w:r w:rsidR="00825EB0">
        <w:rPr>
          <w:rFonts w:asciiTheme="minorHAnsi" w:hAnsiTheme="minorHAnsi" w:cstheme="minorHAnsi"/>
          <w:lang w:val="cs-CZ"/>
        </w:rPr>
        <w:t xml:space="preserve"> pro příspěvkovou organizaci</w:t>
      </w:r>
      <w:r w:rsidRPr="006214BC">
        <w:rPr>
          <w:rFonts w:asciiTheme="minorHAnsi" w:hAnsiTheme="minorHAnsi" w:cstheme="minorHAnsi"/>
          <w:lang w:val="cs-CZ"/>
        </w:rPr>
        <w:t>. Je třeba do ní doplnit všechny nákladové a výnosové účty dle účetní osnovy, u kterých dojde ke změně oproti plánovanému rozpočtu. U každého roku se uvádí změna oproti rozpočtu (</w:t>
      </w:r>
      <w:r w:rsidR="00337924">
        <w:rPr>
          <w:rFonts w:asciiTheme="minorHAnsi" w:hAnsiTheme="minorHAnsi" w:cstheme="minorHAnsi"/>
          <w:lang w:val="cs-CZ"/>
        </w:rPr>
        <w:t xml:space="preserve">kladná nebo záporná), a to v Kč </w:t>
      </w:r>
      <w:r w:rsidRPr="006214BC">
        <w:rPr>
          <w:rFonts w:asciiTheme="minorHAnsi" w:hAnsiTheme="minorHAnsi" w:cstheme="minorHAnsi"/>
          <w:lang w:val="cs-CZ"/>
        </w:rPr>
        <w:t xml:space="preserve">a v </w:t>
      </w:r>
      <w:r w:rsidR="00337924">
        <w:rPr>
          <w:rFonts w:asciiTheme="minorHAnsi" w:hAnsiTheme="minorHAnsi" w:cstheme="minorHAnsi"/>
          <w:lang w:val="cs-CZ"/>
        </w:rPr>
        <w:t>procentech</w:t>
      </w:r>
      <w:r w:rsidRPr="006214BC">
        <w:rPr>
          <w:rFonts w:asciiTheme="minorHAnsi" w:hAnsiTheme="minorHAnsi" w:cstheme="minorHAnsi"/>
          <w:lang w:val="cs-CZ"/>
        </w:rPr>
        <w:t xml:space="preserve"> plánovaného rozpočtu.</w:t>
      </w:r>
    </w:p>
    <w:p w14:paraId="522DDBF9" w14:textId="0B2384DE" w:rsidR="00A02618" w:rsidRPr="001D789C" w:rsidRDefault="00A02618" w:rsidP="00A02618">
      <w:pPr>
        <w:pStyle w:val="Odstavecseseznamem"/>
        <w:ind w:left="0"/>
        <w:contextualSpacing/>
        <w:jc w:val="both"/>
        <w:rPr>
          <w:rFonts w:asciiTheme="minorHAnsi" w:hAnsiTheme="minorHAnsi" w:cstheme="minorHAnsi"/>
          <w:i/>
          <w:iCs/>
          <w:szCs w:val="20"/>
        </w:rPr>
      </w:pPr>
      <w:r w:rsidRPr="00C14739">
        <w:rPr>
          <w:rFonts w:asciiTheme="minorHAnsi" w:hAnsiTheme="minorHAnsi" w:cstheme="minorHAnsi"/>
          <w:i/>
          <w:iCs/>
          <w:szCs w:val="20"/>
        </w:rPr>
        <w:t>Tab. 1</w:t>
      </w:r>
      <w:r w:rsidR="00C14739" w:rsidRPr="00C14739">
        <w:rPr>
          <w:rFonts w:asciiTheme="minorHAnsi" w:hAnsiTheme="minorHAnsi" w:cstheme="minorHAnsi"/>
          <w:i/>
          <w:iCs/>
          <w:szCs w:val="20"/>
        </w:rPr>
        <w:t>6</w:t>
      </w:r>
      <w:r w:rsidRPr="00C14739">
        <w:rPr>
          <w:rFonts w:asciiTheme="minorHAnsi" w:hAnsiTheme="minorHAnsi" w:cstheme="minorHAnsi"/>
          <w:i/>
          <w:iCs/>
          <w:szCs w:val="20"/>
        </w:rPr>
        <w:t xml:space="preserve"> Dopady do běžného rozpočtu po realizaci investice příspěvkové organizace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990"/>
        <w:gridCol w:w="992"/>
        <w:gridCol w:w="994"/>
        <w:gridCol w:w="995"/>
        <w:gridCol w:w="992"/>
        <w:gridCol w:w="939"/>
      </w:tblGrid>
      <w:tr w:rsidR="00A02618" w:rsidRPr="006214BC" w14:paraId="294359E8" w14:textId="77777777" w:rsidTr="00C14739">
        <w:trPr>
          <w:jc w:val="center"/>
        </w:trPr>
        <w:tc>
          <w:tcPr>
            <w:tcW w:w="1727" w:type="pct"/>
            <w:vMerge w:val="restart"/>
            <w:shd w:val="clear" w:color="auto" w:fill="EEECE1"/>
            <w:vAlign w:val="bottom"/>
          </w:tcPr>
          <w:p w14:paraId="445CBA6C" w14:textId="77777777" w:rsidR="00A02618" w:rsidRPr="006F6DB8" w:rsidRDefault="00A02618" w:rsidP="00C14739">
            <w:pPr>
              <w:pStyle w:val="A-nadpis"/>
              <w:spacing w:after="0" w:line="204" w:lineRule="auto"/>
              <w:jc w:val="left"/>
              <w:rPr>
                <w:rFonts w:asciiTheme="minorHAnsi" w:hAnsiTheme="minorHAnsi" w:cstheme="minorHAnsi"/>
                <w:b w:val="0"/>
                <w:sz w:val="20"/>
                <w:szCs w:val="20"/>
                <w:lang w:val="cs-CZ" w:eastAsia="cs-CZ"/>
              </w:rPr>
            </w:pPr>
            <w:r w:rsidRPr="006F6DB8">
              <w:rPr>
                <w:rFonts w:asciiTheme="minorHAnsi" w:hAnsiTheme="minorHAnsi" w:cstheme="minorHAnsi"/>
                <w:b w:val="0"/>
                <w:sz w:val="20"/>
                <w:szCs w:val="20"/>
                <w:lang w:val="cs-CZ" w:eastAsia="cs-CZ"/>
              </w:rPr>
              <w:t>Náklady a výnosy (vybrané účty)</w:t>
            </w:r>
          </w:p>
        </w:tc>
        <w:tc>
          <w:tcPr>
            <w:tcW w:w="3273" w:type="pct"/>
            <w:gridSpan w:val="6"/>
            <w:shd w:val="clear" w:color="auto" w:fill="EEECE1"/>
          </w:tcPr>
          <w:p w14:paraId="3468885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Dopady do rozpočtu po ukončení projektu: navýšení / snížení</w:t>
            </w:r>
          </w:p>
        </w:tc>
      </w:tr>
      <w:tr w:rsidR="00A02618" w:rsidRPr="006214BC" w14:paraId="4AA4F67D" w14:textId="77777777" w:rsidTr="00C14739">
        <w:trPr>
          <w:trHeight w:val="142"/>
          <w:jc w:val="center"/>
        </w:trPr>
        <w:tc>
          <w:tcPr>
            <w:tcW w:w="1727" w:type="pct"/>
            <w:vMerge/>
            <w:shd w:val="clear" w:color="auto" w:fill="EEECE1"/>
            <w:vAlign w:val="center"/>
          </w:tcPr>
          <w:p w14:paraId="17DCED21"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p>
        </w:tc>
        <w:tc>
          <w:tcPr>
            <w:tcW w:w="1099" w:type="pct"/>
            <w:gridSpan w:val="2"/>
            <w:shd w:val="clear" w:color="auto" w:fill="EEECE1"/>
          </w:tcPr>
          <w:p w14:paraId="1181C84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Pr>
                <w:rFonts w:asciiTheme="minorHAnsi" w:hAnsiTheme="minorHAnsi" w:cstheme="minorHAnsi"/>
                <w:b w:val="0"/>
                <w:sz w:val="20"/>
                <w:szCs w:val="20"/>
                <w:lang w:val="cs-CZ" w:eastAsia="cs-CZ"/>
              </w:rPr>
              <w:t>2023</w:t>
            </w:r>
          </w:p>
        </w:tc>
        <w:tc>
          <w:tcPr>
            <w:tcW w:w="1103" w:type="pct"/>
            <w:gridSpan w:val="2"/>
            <w:shd w:val="clear" w:color="auto" w:fill="EEECE1"/>
          </w:tcPr>
          <w:p w14:paraId="3AED3BF6"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Pr>
                <w:rFonts w:asciiTheme="minorHAnsi" w:hAnsiTheme="minorHAnsi" w:cstheme="minorHAnsi"/>
                <w:b w:val="0"/>
                <w:sz w:val="20"/>
                <w:szCs w:val="20"/>
                <w:lang w:val="cs-CZ" w:eastAsia="cs-CZ"/>
              </w:rPr>
              <w:t>2024</w:t>
            </w:r>
          </w:p>
        </w:tc>
        <w:tc>
          <w:tcPr>
            <w:tcW w:w="1071" w:type="pct"/>
            <w:gridSpan w:val="2"/>
            <w:shd w:val="clear" w:color="auto" w:fill="EEECE1"/>
          </w:tcPr>
          <w:p w14:paraId="3A2222F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Pr>
                <w:rFonts w:asciiTheme="minorHAnsi" w:hAnsiTheme="minorHAnsi" w:cstheme="minorHAnsi"/>
                <w:b w:val="0"/>
                <w:sz w:val="20"/>
                <w:szCs w:val="20"/>
                <w:lang w:val="cs-CZ" w:eastAsia="cs-CZ"/>
              </w:rPr>
              <w:t>2025</w:t>
            </w:r>
          </w:p>
        </w:tc>
      </w:tr>
      <w:tr w:rsidR="00A02618" w:rsidRPr="006214BC" w14:paraId="6A96279C" w14:textId="77777777" w:rsidTr="00C14739">
        <w:trPr>
          <w:trHeight w:val="142"/>
          <w:jc w:val="center"/>
        </w:trPr>
        <w:tc>
          <w:tcPr>
            <w:tcW w:w="1727" w:type="pct"/>
            <w:vMerge/>
            <w:shd w:val="clear" w:color="auto" w:fill="EEECE1"/>
            <w:vAlign w:val="center"/>
          </w:tcPr>
          <w:p w14:paraId="3590E431"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p>
        </w:tc>
        <w:tc>
          <w:tcPr>
            <w:tcW w:w="549" w:type="pct"/>
            <w:shd w:val="clear" w:color="auto" w:fill="EEECE1"/>
          </w:tcPr>
          <w:p w14:paraId="128EE9E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Kč</w:t>
            </w:r>
          </w:p>
        </w:tc>
        <w:tc>
          <w:tcPr>
            <w:tcW w:w="550" w:type="pct"/>
            <w:shd w:val="clear" w:color="auto" w:fill="EEECE1"/>
          </w:tcPr>
          <w:p w14:paraId="0FB0A61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 změny</w:t>
            </w:r>
          </w:p>
        </w:tc>
        <w:tc>
          <w:tcPr>
            <w:tcW w:w="551" w:type="pct"/>
            <w:shd w:val="clear" w:color="auto" w:fill="EEECE1"/>
          </w:tcPr>
          <w:p w14:paraId="06E1031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Kč</w:t>
            </w:r>
          </w:p>
        </w:tc>
        <w:tc>
          <w:tcPr>
            <w:tcW w:w="552" w:type="pct"/>
            <w:shd w:val="clear" w:color="auto" w:fill="EEECE1"/>
          </w:tcPr>
          <w:p w14:paraId="01408CC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 změny</w:t>
            </w:r>
          </w:p>
        </w:tc>
        <w:tc>
          <w:tcPr>
            <w:tcW w:w="550" w:type="pct"/>
            <w:shd w:val="clear" w:color="auto" w:fill="EEECE1"/>
          </w:tcPr>
          <w:p w14:paraId="24659F1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Kč</w:t>
            </w:r>
          </w:p>
        </w:tc>
        <w:tc>
          <w:tcPr>
            <w:tcW w:w="521" w:type="pct"/>
            <w:shd w:val="clear" w:color="auto" w:fill="EEECE1"/>
          </w:tcPr>
          <w:p w14:paraId="6993EA7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 změny</w:t>
            </w:r>
          </w:p>
        </w:tc>
      </w:tr>
      <w:tr w:rsidR="00A02618" w:rsidRPr="006214BC" w14:paraId="1DD09958" w14:textId="77777777" w:rsidTr="00C14739">
        <w:trPr>
          <w:jc w:val="center"/>
        </w:trPr>
        <w:tc>
          <w:tcPr>
            <w:tcW w:w="1727" w:type="pct"/>
            <w:shd w:val="clear" w:color="auto" w:fill="EEECE1"/>
            <w:vAlign w:val="center"/>
          </w:tcPr>
          <w:p w14:paraId="1D7A8E80" w14:textId="77777777" w:rsidR="00A02618" w:rsidRPr="006F6DB8" w:rsidRDefault="00A02618" w:rsidP="00C14739">
            <w:pPr>
              <w:pStyle w:val="A-nadpis"/>
              <w:spacing w:after="0" w:line="204" w:lineRule="auto"/>
              <w:jc w:val="left"/>
              <w:rPr>
                <w:rFonts w:asciiTheme="minorHAnsi" w:hAnsiTheme="minorHAnsi" w:cstheme="minorHAnsi"/>
                <w:sz w:val="20"/>
                <w:szCs w:val="20"/>
                <w:lang w:val="cs-CZ" w:eastAsia="cs-CZ"/>
              </w:rPr>
            </w:pPr>
            <w:r w:rsidRPr="006F6DB8">
              <w:rPr>
                <w:rFonts w:asciiTheme="minorHAnsi" w:hAnsiTheme="minorHAnsi" w:cstheme="minorHAnsi"/>
                <w:sz w:val="20"/>
                <w:szCs w:val="20"/>
                <w:lang w:val="cs-CZ" w:eastAsia="cs-CZ"/>
              </w:rPr>
              <w:t>Náklady</w:t>
            </w:r>
          </w:p>
        </w:tc>
        <w:tc>
          <w:tcPr>
            <w:tcW w:w="549" w:type="pct"/>
            <w:shd w:val="clear" w:color="auto" w:fill="FFFFFF"/>
          </w:tcPr>
          <w:p w14:paraId="01B97D86"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441139E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63E7EE1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53A5297D"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235916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5C17F2F5"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3266DD53" w14:textId="77777777" w:rsidTr="00C14739">
        <w:trPr>
          <w:jc w:val="center"/>
        </w:trPr>
        <w:tc>
          <w:tcPr>
            <w:tcW w:w="1727" w:type="pct"/>
            <w:shd w:val="clear" w:color="auto" w:fill="EEECE1"/>
            <w:vAlign w:val="center"/>
          </w:tcPr>
          <w:p w14:paraId="66978482" w14:textId="77777777" w:rsidR="00A02618" w:rsidRPr="007769A6" w:rsidRDefault="00A02618" w:rsidP="00C14739">
            <w:pPr>
              <w:pStyle w:val="A-nadpis"/>
              <w:spacing w:after="0" w:line="204" w:lineRule="auto"/>
              <w:jc w:val="left"/>
              <w:rPr>
                <w:rFonts w:asciiTheme="minorHAnsi" w:hAnsiTheme="minorHAnsi"/>
                <w:b w:val="0"/>
                <w:sz w:val="18"/>
                <w:szCs w:val="20"/>
                <w:lang w:val="cs-CZ" w:eastAsia="cs-CZ"/>
              </w:rPr>
            </w:pPr>
            <w:r w:rsidRPr="007769A6">
              <w:rPr>
                <w:rFonts w:asciiTheme="minorHAnsi" w:hAnsiTheme="minorHAnsi"/>
                <w:b w:val="0"/>
                <w:sz w:val="18"/>
                <w:szCs w:val="20"/>
                <w:lang w:val="cs-CZ" w:eastAsia="cs-CZ"/>
              </w:rPr>
              <w:t>č. účtu 501</w:t>
            </w:r>
            <w:r>
              <w:rPr>
                <w:rFonts w:asciiTheme="minorHAnsi" w:hAnsiTheme="minorHAnsi"/>
                <w:b w:val="0"/>
                <w:sz w:val="18"/>
                <w:szCs w:val="20"/>
                <w:lang w:val="cs-CZ" w:eastAsia="cs-CZ"/>
              </w:rPr>
              <w:t xml:space="preserve"> (spotřeba materiálu)</w:t>
            </w:r>
          </w:p>
        </w:tc>
        <w:tc>
          <w:tcPr>
            <w:tcW w:w="549" w:type="pct"/>
            <w:shd w:val="clear" w:color="auto" w:fill="FFFFFF"/>
          </w:tcPr>
          <w:p w14:paraId="5DC34A4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2804E0C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5E30167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75DAF42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6BD6427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15C1445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09CB0B48" w14:textId="77777777" w:rsidTr="00C14739">
        <w:trPr>
          <w:jc w:val="center"/>
        </w:trPr>
        <w:tc>
          <w:tcPr>
            <w:tcW w:w="1727" w:type="pct"/>
            <w:shd w:val="clear" w:color="auto" w:fill="EEECE1"/>
            <w:vAlign w:val="center"/>
          </w:tcPr>
          <w:p w14:paraId="2F458355"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502 (spotřeba energie)</w:t>
            </w:r>
          </w:p>
        </w:tc>
        <w:tc>
          <w:tcPr>
            <w:tcW w:w="549" w:type="pct"/>
            <w:shd w:val="clear" w:color="auto" w:fill="FFFFFF"/>
          </w:tcPr>
          <w:p w14:paraId="18CC26F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6B000927"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7B6C102E"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7BB5AE0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3E1D2A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095B2C9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7A9843DE" w14:textId="77777777" w:rsidTr="00C14739">
        <w:trPr>
          <w:jc w:val="center"/>
        </w:trPr>
        <w:tc>
          <w:tcPr>
            <w:tcW w:w="1727" w:type="pct"/>
            <w:shd w:val="clear" w:color="auto" w:fill="EEECE1"/>
            <w:vAlign w:val="center"/>
          </w:tcPr>
          <w:p w14:paraId="4D7C7BE2"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sidRPr="007769A6">
              <w:rPr>
                <w:rFonts w:asciiTheme="minorHAnsi" w:hAnsiTheme="minorHAnsi"/>
                <w:b w:val="0"/>
                <w:sz w:val="18"/>
                <w:szCs w:val="20"/>
                <w:lang w:val="cs-CZ" w:eastAsia="cs-CZ"/>
              </w:rPr>
              <w:t>č. účtu 50</w:t>
            </w:r>
            <w:r>
              <w:rPr>
                <w:rFonts w:asciiTheme="minorHAnsi" w:hAnsiTheme="minorHAnsi"/>
                <w:b w:val="0"/>
                <w:sz w:val="18"/>
                <w:szCs w:val="20"/>
                <w:lang w:val="cs-CZ" w:eastAsia="cs-CZ"/>
              </w:rPr>
              <w:t>4 (prodané zboží)</w:t>
            </w:r>
          </w:p>
        </w:tc>
        <w:tc>
          <w:tcPr>
            <w:tcW w:w="549" w:type="pct"/>
            <w:shd w:val="clear" w:color="auto" w:fill="FFFFFF"/>
          </w:tcPr>
          <w:p w14:paraId="3BA965D1"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6CB3DF2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4B8518B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4C12D36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94571A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4826264D"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6AE73C46" w14:textId="77777777" w:rsidTr="00C14739">
        <w:trPr>
          <w:jc w:val="center"/>
        </w:trPr>
        <w:tc>
          <w:tcPr>
            <w:tcW w:w="1727" w:type="pct"/>
            <w:shd w:val="clear" w:color="auto" w:fill="EEECE1"/>
            <w:vAlign w:val="center"/>
          </w:tcPr>
          <w:p w14:paraId="3E708B11"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511 (opravy a udržování)</w:t>
            </w:r>
          </w:p>
        </w:tc>
        <w:tc>
          <w:tcPr>
            <w:tcW w:w="549" w:type="pct"/>
            <w:shd w:val="clear" w:color="auto" w:fill="FFFFFF"/>
          </w:tcPr>
          <w:p w14:paraId="7E93E8E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B5B1567"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4050D37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77CDDEF6"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2FEF75EF"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108C215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1CE5FD1B" w14:textId="77777777" w:rsidTr="00C14739">
        <w:trPr>
          <w:jc w:val="center"/>
        </w:trPr>
        <w:tc>
          <w:tcPr>
            <w:tcW w:w="1727" w:type="pct"/>
            <w:shd w:val="clear" w:color="auto" w:fill="EEECE1"/>
            <w:vAlign w:val="center"/>
          </w:tcPr>
          <w:p w14:paraId="44004270"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512 (cestovné)</w:t>
            </w:r>
          </w:p>
        </w:tc>
        <w:tc>
          <w:tcPr>
            <w:tcW w:w="549" w:type="pct"/>
            <w:shd w:val="clear" w:color="auto" w:fill="FFFFFF"/>
          </w:tcPr>
          <w:p w14:paraId="5901AA0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2FE4217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5DE3923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7E6C26B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1616D856"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05760D3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483CCB03" w14:textId="77777777" w:rsidTr="00C14739">
        <w:trPr>
          <w:jc w:val="center"/>
        </w:trPr>
        <w:tc>
          <w:tcPr>
            <w:tcW w:w="1727" w:type="pct"/>
            <w:shd w:val="clear" w:color="auto" w:fill="EEECE1"/>
            <w:vAlign w:val="center"/>
          </w:tcPr>
          <w:p w14:paraId="3E2BAD88"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518 (ostatní služby)</w:t>
            </w:r>
          </w:p>
        </w:tc>
        <w:tc>
          <w:tcPr>
            <w:tcW w:w="549" w:type="pct"/>
            <w:shd w:val="clear" w:color="auto" w:fill="FFFFFF"/>
          </w:tcPr>
          <w:p w14:paraId="2CAD012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411878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2F897B3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4848F52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31F0A80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786B522F"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08B7CD7E" w14:textId="77777777" w:rsidTr="00C14739">
        <w:trPr>
          <w:jc w:val="center"/>
        </w:trPr>
        <w:tc>
          <w:tcPr>
            <w:tcW w:w="1727" w:type="pct"/>
            <w:shd w:val="clear" w:color="auto" w:fill="EEECE1"/>
            <w:vAlign w:val="center"/>
          </w:tcPr>
          <w:p w14:paraId="5F450855"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521 (mzdové náklady)</w:t>
            </w:r>
          </w:p>
        </w:tc>
        <w:tc>
          <w:tcPr>
            <w:tcW w:w="549" w:type="pct"/>
            <w:shd w:val="clear" w:color="auto" w:fill="FFFFFF"/>
          </w:tcPr>
          <w:p w14:paraId="765D8156"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7C37C5F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02B35D9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361A4C3D"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29EB869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4B975C2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79169E58" w14:textId="77777777" w:rsidTr="00C14739">
        <w:trPr>
          <w:jc w:val="center"/>
        </w:trPr>
        <w:tc>
          <w:tcPr>
            <w:tcW w:w="1727" w:type="pct"/>
            <w:shd w:val="clear" w:color="auto" w:fill="EEECE1"/>
            <w:vAlign w:val="center"/>
          </w:tcPr>
          <w:p w14:paraId="0E531585"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524 až 528 (pojištění)</w:t>
            </w:r>
          </w:p>
        </w:tc>
        <w:tc>
          <w:tcPr>
            <w:tcW w:w="549" w:type="pct"/>
            <w:shd w:val="clear" w:color="auto" w:fill="FFFFFF"/>
          </w:tcPr>
          <w:p w14:paraId="246D5261"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10FE1C85"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7F98E68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27D04BBE"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7CF6802D"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17A03B7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13063E37" w14:textId="77777777" w:rsidTr="00C14739">
        <w:trPr>
          <w:jc w:val="center"/>
        </w:trPr>
        <w:tc>
          <w:tcPr>
            <w:tcW w:w="1727" w:type="pct"/>
            <w:shd w:val="clear" w:color="auto" w:fill="EEECE1"/>
            <w:vAlign w:val="center"/>
          </w:tcPr>
          <w:p w14:paraId="73C58CCD"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celkem náklady</w:t>
            </w:r>
          </w:p>
        </w:tc>
        <w:tc>
          <w:tcPr>
            <w:tcW w:w="549" w:type="pct"/>
            <w:shd w:val="clear" w:color="auto" w:fill="FFFFFF"/>
          </w:tcPr>
          <w:p w14:paraId="7CB797F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2A4DFCE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0CEC14D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57E85DA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85E0945"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1A964C9F"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40E0CFEA" w14:textId="77777777" w:rsidTr="00C14739">
        <w:trPr>
          <w:jc w:val="center"/>
        </w:trPr>
        <w:tc>
          <w:tcPr>
            <w:tcW w:w="1727" w:type="pct"/>
            <w:shd w:val="clear" w:color="auto" w:fill="EEECE1"/>
            <w:vAlign w:val="center"/>
          </w:tcPr>
          <w:p w14:paraId="718D7E46" w14:textId="77777777" w:rsidR="00A02618" w:rsidRPr="006214BC" w:rsidRDefault="00A02618" w:rsidP="00C14739">
            <w:pPr>
              <w:pStyle w:val="A-nadpis"/>
              <w:spacing w:after="0" w:line="204" w:lineRule="auto"/>
              <w:jc w:val="left"/>
              <w:rPr>
                <w:rFonts w:asciiTheme="minorHAnsi" w:hAnsiTheme="minorHAnsi" w:cstheme="minorHAnsi"/>
                <w:sz w:val="20"/>
                <w:szCs w:val="20"/>
                <w:lang w:val="cs-CZ" w:eastAsia="cs-CZ"/>
              </w:rPr>
            </w:pPr>
            <w:r w:rsidRPr="006214BC">
              <w:rPr>
                <w:rFonts w:asciiTheme="minorHAnsi" w:hAnsiTheme="minorHAnsi" w:cstheme="minorHAnsi"/>
                <w:sz w:val="20"/>
                <w:szCs w:val="20"/>
                <w:lang w:val="cs-CZ" w:eastAsia="cs-CZ"/>
              </w:rPr>
              <w:t>Výnosy</w:t>
            </w:r>
          </w:p>
        </w:tc>
        <w:tc>
          <w:tcPr>
            <w:tcW w:w="549" w:type="pct"/>
            <w:shd w:val="clear" w:color="auto" w:fill="FFFFFF"/>
          </w:tcPr>
          <w:p w14:paraId="5C32296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B6B5CDE"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30D65B35"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2A75E0B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0739910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467CE81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2B8C6C42" w14:textId="77777777" w:rsidTr="00C14739">
        <w:trPr>
          <w:jc w:val="center"/>
        </w:trPr>
        <w:tc>
          <w:tcPr>
            <w:tcW w:w="1727" w:type="pct"/>
            <w:shd w:val="clear" w:color="auto" w:fill="EEECE1"/>
            <w:vAlign w:val="center"/>
          </w:tcPr>
          <w:p w14:paraId="0B950CC4"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602 (výnosy z prodeje služeb)</w:t>
            </w:r>
          </w:p>
        </w:tc>
        <w:tc>
          <w:tcPr>
            <w:tcW w:w="549" w:type="pct"/>
            <w:shd w:val="clear" w:color="auto" w:fill="FFFFFF"/>
          </w:tcPr>
          <w:p w14:paraId="70177CFD"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5022E22E"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654BEAAE"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2C770B99"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6E04C61E"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48316F6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1CFD98B5" w14:textId="77777777" w:rsidTr="00C14739">
        <w:trPr>
          <w:jc w:val="center"/>
        </w:trPr>
        <w:tc>
          <w:tcPr>
            <w:tcW w:w="1727" w:type="pct"/>
            <w:shd w:val="clear" w:color="auto" w:fill="EEECE1"/>
            <w:vAlign w:val="center"/>
          </w:tcPr>
          <w:p w14:paraId="4521FAA4"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č. účtu 604 (výnosy z prodaného zboží)</w:t>
            </w:r>
          </w:p>
        </w:tc>
        <w:tc>
          <w:tcPr>
            <w:tcW w:w="549" w:type="pct"/>
            <w:shd w:val="clear" w:color="auto" w:fill="FFFFFF"/>
          </w:tcPr>
          <w:p w14:paraId="4399372D"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67E68BC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128CD6E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401D9A6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4AB89777"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26977F5B"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7696377A" w14:textId="77777777" w:rsidTr="00C14739">
        <w:trPr>
          <w:jc w:val="center"/>
        </w:trPr>
        <w:tc>
          <w:tcPr>
            <w:tcW w:w="1727" w:type="pct"/>
            <w:shd w:val="clear" w:color="auto" w:fill="EEECE1"/>
            <w:vAlign w:val="center"/>
          </w:tcPr>
          <w:p w14:paraId="47D818A4"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Pr>
                <w:rFonts w:asciiTheme="minorHAnsi" w:hAnsiTheme="minorHAnsi"/>
                <w:b w:val="0"/>
                <w:sz w:val="18"/>
                <w:szCs w:val="20"/>
                <w:lang w:val="cs-CZ" w:eastAsia="cs-CZ"/>
              </w:rPr>
              <w:t>Doplnit další čísla účtů dle potřeby</w:t>
            </w:r>
          </w:p>
        </w:tc>
        <w:tc>
          <w:tcPr>
            <w:tcW w:w="549" w:type="pct"/>
            <w:shd w:val="clear" w:color="auto" w:fill="FFFFFF"/>
          </w:tcPr>
          <w:p w14:paraId="483630F5"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6200F7A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5A28A00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6390CDE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453876E1"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22356CA8"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52E54C9D" w14:textId="77777777" w:rsidTr="00C14739">
        <w:trPr>
          <w:jc w:val="center"/>
        </w:trPr>
        <w:tc>
          <w:tcPr>
            <w:tcW w:w="1727" w:type="pct"/>
            <w:shd w:val="clear" w:color="auto" w:fill="EEECE1"/>
            <w:vAlign w:val="center"/>
          </w:tcPr>
          <w:p w14:paraId="7BDB4A56" w14:textId="77777777" w:rsidR="00A02618" w:rsidRPr="006214BC" w:rsidRDefault="00A02618" w:rsidP="00C14739">
            <w:pPr>
              <w:pStyle w:val="A-nadpis"/>
              <w:spacing w:after="0" w:line="204" w:lineRule="auto"/>
              <w:jc w:val="left"/>
              <w:rPr>
                <w:rFonts w:asciiTheme="minorHAnsi" w:hAnsiTheme="minorHAnsi" w:cstheme="minorHAnsi"/>
                <w:b w:val="0"/>
                <w:sz w:val="20"/>
                <w:szCs w:val="20"/>
                <w:lang w:val="cs-CZ" w:eastAsia="cs-CZ"/>
              </w:rPr>
            </w:pPr>
            <w:r w:rsidRPr="006214BC">
              <w:rPr>
                <w:rFonts w:asciiTheme="minorHAnsi" w:hAnsiTheme="minorHAnsi" w:cstheme="minorHAnsi"/>
                <w:b w:val="0"/>
                <w:sz w:val="20"/>
                <w:szCs w:val="20"/>
                <w:lang w:val="cs-CZ" w:eastAsia="cs-CZ"/>
              </w:rPr>
              <w:t>cekem výnosy</w:t>
            </w:r>
          </w:p>
        </w:tc>
        <w:tc>
          <w:tcPr>
            <w:tcW w:w="549" w:type="pct"/>
            <w:shd w:val="clear" w:color="auto" w:fill="FFFFFF"/>
          </w:tcPr>
          <w:p w14:paraId="26BFD1B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27DDE2F4"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0658735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0A4CF1F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44EBA77C"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1F852B92"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r w:rsidR="00A02618" w:rsidRPr="006214BC" w14:paraId="4409685C" w14:textId="77777777" w:rsidTr="00C14739">
        <w:trPr>
          <w:jc w:val="center"/>
        </w:trPr>
        <w:tc>
          <w:tcPr>
            <w:tcW w:w="1727" w:type="pct"/>
            <w:shd w:val="clear" w:color="auto" w:fill="EEECE1"/>
            <w:vAlign w:val="center"/>
          </w:tcPr>
          <w:p w14:paraId="41B9154D" w14:textId="77777777" w:rsidR="00A02618" w:rsidRPr="006214BC" w:rsidRDefault="00A02618" w:rsidP="00C14739">
            <w:pPr>
              <w:pStyle w:val="A-nadpis"/>
              <w:spacing w:after="0" w:line="204" w:lineRule="auto"/>
              <w:jc w:val="left"/>
              <w:rPr>
                <w:rFonts w:asciiTheme="minorHAnsi" w:hAnsiTheme="minorHAnsi" w:cstheme="minorHAnsi"/>
                <w:sz w:val="20"/>
                <w:szCs w:val="20"/>
                <w:lang w:val="cs-CZ" w:eastAsia="cs-CZ"/>
              </w:rPr>
            </w:pPr>
            <w:r>
              <w:rPr>
                <w:rFonts w:asciiTheme="minorHAnsi" w:hAnsiTheme="minorHAnsi" w:cstheme="minorHAnsi"/>
                <w:sz w:val="20"/>
                <w:szCs w:val="20"/>
                <w:lang w:val="cs-CZ" w:eastAsia="cs-CZ"/>
              </w:rPr>
              <w:t>R</w:t>
            </w:r>
            <w:r w:rsidRPr="006214BC">
              <w:rPr>
                <w:rFonts w:asciiTheme="minorHAnsi" w:hAnsiTheme="minorHAnsi" w:cstheme="minorHAnsi"/>
                <w:sz w:val="20"/>
                <w:szCs w:val="20"/>
                <w:lang w:val="cs-CZ" w:eastAsia="cs-CZ"/>
              </w:rPr>
              <w:t>ozdíl náklady - výnosy</w:t>
            </w:r>
          </w:p>
        </w:tc>
        <w:tc>
          <w:tcPr>
            <w:tcW w:w="549" w:type="pct"/>
            <w:shd w:val="clear" w:color="auto" w:fill="FFFFFF"/>
          </w:tcPr>
          <w:p w14:paraId="747304E2"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7B8F511A"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1" w:type="pct"/>
            <w:shd w:val="clear" w:color="auto" w:fill="FFFFFF"/>
          </w:tcPr>
          <w:p w14:paraId="44274E27"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2" w:type="pct"/>
            <w:shd w:val="clear" w:color="auto" w:fill="FFFFFF"/>
          </w:tcPr>
          <w:p w14:paraId="32EE03D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50" w:type="pct"/>
            <w:shd w:val="clear" w:color="auto" w:fill="FFFFFF"/>
          </w:tcPr>
          <w:p w14:paraId="70150DA3"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c>
          <w:tcPr>
            <w:tcW w:w="521" w:type="pct"/>
            <w:shd w:val="clear" w:color="auto" w:fill="FFFFFF"/>
          </w:tcPr>
          <w:p w14:paraId="72B92690" w14:textId="77777777" w:rsidR="00A02618" w:rsidRPr="006214BC" w:rsidRDefault="00A02618" w:rsidP="00C14739">
            <w:pPr>
              <w:pStyle w:val="A-nadpis"/>
              <w:spacing w:after="0" w:line="204" w:lineRule="auto"/>
              <w:jc w:val="center"/>
              <w:rPr>
                <w:rFonts w:asciiTheme="minorHAnsi" w:hAnsiTheme="minorHAnsi" w:cstheme="minorHAnsi"/>
                <w:b w:val="0"/>
                <w:sz w:val="20"/>
                <w:szCs w:val="20"/>
                <w:lang w:val="cs-CZ" w:eastAsia="cs-CZ"/>
              </w:rPr>
            </w:pPr>
          </w:p>
        </w:tc>
      </w:tr>
    </w:tbl>
    <w:p w14:paraId="37F5699D" w14:textId="77777777" w:rsidR="00A02618" w:rsidRPr="001D789C" w:rsidRDefault="00A02618" w:rsidP="00A02618">
      <w:pPr>
        <w:pStyle w:val="A1-text"/>
        <w:spacing w:after="0"/>
        <w:rPr>
          <w:rFonts w:asciiTheme="minorHAnsi" w:hAnsiTheme="minorHAnsi" w:cstheme="minorHAnsi"/>
          <w:i/>
          <w:iCs/>
          <w:lang w:val="cs-CZ"/>
        </w:rPr>
      </w:pPr>
      <w:r w:rsidRPr="001D789C">
        <w:rPr>
          <w:rFonts w:asciiTheme="minorHAnsi" w:hAnsiTheme="minorHAnsi" w:cstheme="minorHAnsi"/>
          <w:i/>
          <w:iCs/>
          <w:lang w:val="cs-CZ"/>
        </w:rPr>
        <w:t>Zdroj: autoři</w:t>
      </w:r>
    </w:p>
    <w:p w14:paraId="2237BC47" w14:textId="5BC26E68" w:rsidR="008122A5" w:rsidRDefault="008122A5" w:rsidP="00A57D03">
      <w:pPr>
        <w:pStyle w:val="A1-text"/>
        <w:spacing w:after="0"/>
        <w:rPr>
          <w:rFonts w:asciiTheme="minorHAnsi" w:hAnsiTheme="minorHAnsi"/>
          <w:lang w:val="cs-CZ"/>
        </w:rPr>
      </w:pPr>
    </w:p>
    <w:p w14:paraId="4D126D90" w14:textId="77777777" w:rsidR="009E0EFD" w:rsidRDefault="009E0EFD" w:rsidP="00A57D03">
      <w:pPr>
        <w:pStyle w:val="A1-text"/>
        <w:spacing w:after="0"/>
        <w:rPr>
          <w:rFonts w:asciiTheme="minorHAnsi" w:hAnsiTheme="minorHAnsi"/>
          <w:lang w:val="cs-CZ"/>
        </w:rPr>
      </w:pPr>
    </w:p>
    <w:p w14:paraId="6E70ADBF" w14:textId="3BEF4551" w:rsidR="006E3784" w:rsidRPr="003D104C" w:rsidRDefault="006E3784" w:rsidP="006E3784">
      <w:pPr>
        <w:pStyle w:val="A1-text"/>
        <w:spacing w:after="0"/>
        <w:rPr>
          <w:rFonts w:asciiTheme="minorHAnsi" w:hAnsiTheme="minorHAnsi"/>
          <w:b/>
          <w:lang w:val="cs-CZ"/>
        </w:rPr>
      </w:pPr>
      <w:r w:rsidRPr="00FE2E58">
        <w:rPr>
          <w:rFonts w:asciiTheme="minorHAnsi" w:hAnsiTheme="minorHAnsi"/>
          <w:b/>
          <w:lang w:val="cs-CZ"/>
        </w:rPr>
        <w:lastRenderedPageBreak/>
        <w:t xml:space="preserve">Transparentnost při </w:t>
      </w:r>
      <w:r w:rsidR="00FE2E58">
        <w:rPr>
          <w:rFonts w:asciiTheme="minorHAnsi" w:hAnsiTheme="minorHAnsi"/>
          <w:b/>
          <w:lang w:val="cs-CZ"/>
        </w:rPr>
        <w:t>rozhodování orgánů – na příkladu obce</w:t>
      </w:r>
    </w:p>
    <w:p w14:paraId="73C67883" w14:textId="7E48B752" w:rsidR="006E3784" w:rsidRPr="003D104C" w:rsidRDefault="00FE2E58" w:rsidP="006E3784">
      <w:pPr>
        <w:pStyle w:val="A1-text"/>
        <w:spacing w:after="0"/>
        <w:rPr>
          <w:rFonts w:asciiTheme="minorHAnsi" w:hAnsiTheme="minorHAnsi"/>
          <w:lang w:val="cs-CZ"/>
        </w:rPr>
      </w:pPr>
      <w:r>
        <w:rPr>
          <w:rFonts w:asciiTheme="minorHAnsi" w:hAnsiTheme="minorHAnsi"/>
          <w:lang w:val="cs-CZ"/>
        </w:rPr>
        <w:t xml:space="preserve">V rámci strategické práce je nezbytné zajistit dostatečný rozsah </w:t>
      </w:r>
      <w:r w:rsidRPr="00031D00">
        <w:rPr>
          <w:rFonts w:asciiTheme="minorHAnsi" w:hAnsiTheme="minorHAnsi"/>
          <w:b/>
          <w:lang w:val="cs-CZ"/>
        </w:rPr>
        <w:t>transparentnosti</w:t>
      </w:r>
      <w:r w:rsidR="006E3784" w:rsidRPr="003D104C">
        <w:rPr>
          <w:rFonts w:asciiTheme="minorHAnsi" w:hAnsiTheme="minorHAnsi"/>
          <w:lang w:val="cs-CZ"/>
        </w:rPr>
        <w:t>. V samosprávách jde zejména o rozhodování orgánů (tedy rady a zastupitelstva). V tomto smyslu je důležité zvážit postoj k těmto záležitostem:</w:t>
      </w:r>
    </w:p>
    <w:p w14:paraId="200A2ACF" w14:textId="77777777" w:rsidR="006E3784" w:rsidRPr="003D104C" w:rsidRDefault="006E3784" w:rsidP="0065698B">
      <w:pPr>
        <w:pStyle w:val="A1-text"/>
        <w:numPr>
          <w:ilvl w:val="0"/>
          <w:numId w:val="36"/>
        </w:numPr>
        <w:spacing w:after="0"/>
        <w:ind w:left="284" w:hanging="284"/>
        <w:rPr>
          <w:rFonts w:asciiTheme="minorHAnsi" w:hAnsiTheme="minorHAnsi"/>
          <w:lang w:val="cs-CZ"/>
        </w:rPr>
      </w:pPr>
      <w:r w:rsidRPr="003D104C">
        <w:rPr>
          <w:rFonts w:asciiTheme="minorHAnsi" w:hAnsiTheme="minorHAnsi"/>
          <w:lang w:val="cs-CZ"/>
        </w:rPr>
        <w:t>Dostupnost a rozsah zveřejněných podkladů předem pro orgány obce či kraje. Ze zákona se zveřejňují předem například podklady k nakládání s majetkem. Důležité však je, aby podklady k jednání zastupitelstva byly předem k dispozici na internetu (v plném znění). Velmi by k transparentnosti přispělo, pokud by se to týkalo i rady obce. Kompletní</w:t>
      </w:r>
      <w:r>
        <w:rPr>
          <w:rFonts w:asciiTheme="minorHAnsi" w:hAnsiTheme="minorHAnsi"/>
          <w:lang w:val="cs-CZ"/>
        </w:rPr>
        <w:t xml:space="preserve"> materiály by měly být dohledatelné</w:t>
      </w:r>
      <w:r w:rsidRPr="003D104C">
        <w:rPr>
          <w:rFonts w:asciiTheme="minorHAnsi" w:hAnsiTheme="minorHAnsi"/>
          <w:lang w:val="cs-CZ"/>
        </w:rPr>
        <w:t xml:space="preserve"> na internetu po jednání orgánů.</w:t>
      </w:r>
    </w:p>
    <w:p w14:paraId="41190C5C" w14:textId="21FCE5A9" w:rsidR="006E3784" w:rsidRPr="003D104C" w:rsidRDefault="006E3784" w:rsidP="0065698B">
      <w:pPr>
        <w:pStyle w:val="A1-text"/>
        <w:numPr>
          <w:ilvl w:val="0"/>
          <w:numId w:val="36"/>
        </w:numPr>
        <w:spacing w:after="0"/>
        <w:ind w:left="284" w:hanging="284"/>
        <w:rPr>
          <w:rFonts w:asciiTheme="minorHAnsi" w:hAnsiTheme="minorHAnsi"/>
          <w:lang w:val="cs-CZ"/>
        </w:rPr>
      </w:pPr>
      <w:r w:rsidRPr="003D104C">
        <w:rPr>
          <w:rFonts w:asciiTheme="minorHAnsi" w:hAnsiTheme="minorHAnsi"/>
          <w:lang w:val="cs-CZ"/>
        </w:rPr>
        <w:t>V některých obcích je špatnou praxí, že se jednání orgánů doplňují přímo na začátku jednání o další důležité body. Materiály jsou tak „dávány na stůl“ až na jednání. Sami zastupitelé (a veřejnost o to více) nem</w:t>
      </w:r>
      <w:r w:rsidR="0009526A">
        <w:rPr>
          <w:rFonts w:asciiTheme="minorHAnsi" w:hAnsiTheme="minorHAnsi"/>
          <w:lang w:val="cs-CZ"/>
        </w:rPr>
        <w:t>ají</w:t>
      </w:r>
      <w:r w:rsidRPr="003D104C">
        <w:rPr>
          <w:rFonts w:asciiTheme="minorHAnsi" w:hAnsiTheme="minorHAnsi"/>
          <w:lang w:val="cs-CZ"/>
        </w:rPr>
        <w:t xml:space="preserve"> prakticky prostor se s nimi seznámit. Je jasné, že v některých případech je tento postup nezbytný, ale měla by to být naprosto výjimečná procedura na řešení mimořádných a neočekávaných případů.</w:t>
      </w:r>
    </w:p>
    <w:p w14:paraId="78FBF1FF" w14:textId="77777777" w:rsidR="006E3784" w:rsidRPr="003D104C" w:rsidRDefault="006E3784" w:rsidP="0065698B">
      <w:pPr>
        <w:pStyle w:val="A1-text"/>
        <w:numPr>
          <w:ilvl w:val="0"/>
          <w:numId w:val="36"/>
        </w:numPr>
        <w:spacing w:after="0"/>
        <w:ind w:left="284" w:hanging="284"/>
        <w:rPr>
          <w:rFonts w:asciiTheme="minorHAnsi" w:hAnsiTheme="minorHAnsi"/>
          <w:lang w:val="cs-CZ"/>
        </w:rPr>
      </w:pPr>
      <w:r w:rsidRPr="003D104C">
        <w:rPr>
          <w:rFonts w:asciiTheme="minorHAnsi" w:hAnsiTheme="minorHAnsi"/>
          <w:lang w:val="cs-CZ"/>
        </w:rPr>
        <w:t xml:space="preserve">Neveřejnost jednání rady může být velkým problémem, zejména když rada rozhoduje o zásadních otázkách (například rozpočtových opatřeních). </w:t>
      </w:r>
    </w:p>
    <w:p w14:paraId="747FB5E6" w14:textId="77777777" w:rsidR="006E3784" w:rsidRPr="003D104C" w:rsidRDefault="006E3784" w:rsidP="0065698B">
      <w:pPr>
        <w:pStyle w:val="A1-text"/>
        <w:numPr>
          <w:ilvl w:val="0"/>
          <w:numId w:val="36"/>
        </w:numPr>
        <w:spacing w:after="0"/>
        <w:ind w:left="284" w:hanging="284"/>
        <w:rPr>
          <w:rFonts w:asciiTheme="minorHAnsi" w:hAnsiTheme="minorHAnsi"/>
          <w:lang w:val="cs-CZ"/>
        </w:rPr>
      </w:pPr>
      <w:r w:rsidRPr="003D104C">
        <w:rPr>
          <w:rFonts w:asciiTheme="minorHAnsi" w:hAnsiTheme="minorHAnsi"/>
          <w:lang w:val="cs-CZ"/>
        </w:rPr>
        <w:t>Neadresné hlasování – v řadě obcí nejde dohledat, kdo jak hlasoval. Druhým problémem je možnost tajného hlasování. Samospráva by se nikdy neměla uchylovat k tajnému hlasování (rozhodně ne v majetkových otázkách nebo otázkách rozpočtu). To transparentnosti škodí.</w:t>
      </w:r>
    </w:p>
    <w:p w14:paraId="5D99D380" w14:textId="64DFD9C4" w:rsidR="00A02618" w:rsidRPr="003D104C" w:rsidRDefault="00A02618" w:rsidP="00A02618">
      <w:pPr>
        <w:pStyle w:val="A1-text"/>
        <w:numPr>
          <w:ilvl w:val="0"/>
          <w:numId w:val="36"/>
        </w:numPr>
        <w:spacing w:after="0"/>
        <w:ind w:left="284" w:hanging="284"/>
        <w:rPr>
          <w:rFonts w:asciiTheme="minorHAnsi" w:hAnsiTheme="minorHAnsi"/>
          <w:lang w:val="cs-CZ"/>
        </w:rPr>
      </w:pPr>
      <w:r w:rsidRPr="00AC2A25">
        <w:rPr>
          <w:rFonts w:asciiTheme="minorHAnsi" w:hAnsiTheme="minorHAnsi"/>
          <w:lang w:val="cs-CZ"/>
        </w:rPr>
        <w:t>Zásadní je též rozhodování ve věci veřejných zakázek, zejména jde o zakázky malého</w:t>
      </w:r>
      <w:r>
        <w:rPr>
          <w:rFonts w:asciiTheme="minorHAnsi" w:hAnsiTheme="minorHAnsi"/>
          <w:lang w:val="cs-CZ"/>
        </w:rPr>
        <w:t xml:space="preserve"> rozsahu. Zakázky malého rozsahu upravuje vnitřní předpis – je vhodné tento předpis zveřejnit. Zejména je zásadní, jaká je hranice pro soutěžení otevřeně (tedy, že nejsou oslovováni předem vybraní dodavatelé, ale může se přihlásit každý, kdo splňuje podmínky) – obce tuto hranici mají často kolem 500 tis. Kč. Transparentnost též zvyšuje využívání elektronického systému pro zadávání zakázek také pro zakázky malého rozsahu.</w:t>
      </w:r>
    </w:p>
    <w:p w14:paraId="2643F969" w14:textId="77777777" w:rsidR="006E3784" w:rsidRPr="00AC26F2" w:rsidRDefault="006E3784" w:rsidP="00A57D03">
      <w:pPr>
        <w:pStyle w:val="A1-text"/>
        <w:spacing w:after="0"/>
        <w:rPr>
          <w:rFonts w:asciiTheme="minorHAnsi" w:hAnsiTheme="minorHAnsi"/>
          <w:lang w:val="cs-CZ"/>
        </w:rPr>
      </w:pPr>
    </w:p>
    <w:p w14:paraId="75CB28EB" w14:textId="463695A8" w:rsidR="00875923" w:rsidRDefault="00875923" w:rsidP="00875923">
      <w:pPr>
        <w:pStyle w:val="Nadpis2"/>
        <w:spacing w:before="240" w:after="120"/>
        <w:ind w:left="578" w:hanging="578"/>
        <w:rPr>
          <w:rFonts w:asciiTheme="minorHAnsi" w:hAnsiTheme="minorHAnsi" w:cstheme="minorHAnsi"/>
          <w:color w:val="7493B0"/>
          <w:sz w:val="24"/>
          <w:szCs w:val="24"/>
          <w:lang w:val="cs-CZ"/>
        </w:rPr>
      </w:pPr>
      <w:bookmarkStart w:id="47" w:name="_Toc117270008"/>
      <w:r>
        <w:rPr>
          <w:rFonts w:asciiTheme="minorHAnsi" w:hAnsiTheme="minorHAnsi" w:cstheme="minorHAnsi"/>
          <w:color w:val="7493B0"/>
          <w:sz w:val="24"/>
          <w:szCs w:val="24"/>
          <w:lang w:val="cs-CZ"/>
        </w:rPr>
        <w:t xml:space="preserve">Hospodaření: </w:t>
      </w:r>
      <w:r w:rsidR="00290C27">
        <w:rPr>
          <w:rFonts w:asciiTheme="minorHAnsi" w:hAnsiTheme="minorHAnsi" w:cstheme="minorHAnsi"/>
          <w:color w:val="7493B0"/>
          <w:sz w:val="24"/>
          <w:szCs w:val="24"/>
          <w:lang w:val="cs-CZ"/>
        </w:rPr>
        <w:t xml:space="preserve">Problematika </w:t>
      </w:r>
      <w:r w:rsidRPr="00310CAD">
        <w:rPr>
          <w:rFonts w:asciiTheme="minorHAnsi" w:hAnsiTheme="minorHAnsi" w:cstheme="minorHAnsi"/>
          <w:color w:val="7493B0"/>
          <w:sz w:val="24"/>
          <w:szCs w:val="24"/>
          <w:lang w:val="cs-CZ"/>
        </w:rPr>
        <w:t>úspor a plýtvání</w:t>
      </w:r>
      <w:bookmarkEnd w:id="39"/>
      <w:bookmarkEnd w:id="47"/>
    </w:p>
    <w:p w14:paraId="5D821450" w14:textId="04254B8C" w:rsidR="00875923" w:rsidRDefault="00875923" w:rsidP="00875923">
      <w:pPr>
        <w:pStyle w:val="A1-text"/>
        <w:spacing w:after="120"/>
        <w:rPr>
          <w:rFonts w:ascii="Calibri" w:hAnsi="Calibri"/>
        </w:rPr>
      </w:pPr>
      <w:r w:rsidRPr="00331D6F">
        <w:rPr>
          <w:rFonts w:ascii="Calibri" w:hAnsi="Calibri"/>
          <w:color w:val="000000"/>
        </w:rPr>
        <w:t xml:space="preserve">V dnešní době bude řada strategií obcí a krajů zaměřena také na </w:t>
      </w:r>
      <w:r w:rsidR="00FE2E58">
        <w:rPr>
          <w:rFonts w:ascii="Calibri" w:hAnsi="Calibri"/>
          <w:color w:val="000000"/>
          <w:lang w:val="cs-CZ"/>
        </w:rPr>
        <w:t xml:space="preserve">dosahování </w:t>
      </w:r>
      <w:r w:rsidRPr="00331D6F">
        <w:rPr>
          <w:rFonts w:ascii="Calibri" w:hAnsi="Calibri"/>
          <w:color w:val="000000"/>
        </w:rPr>
        <w:t xml:space="preserve">úspor. Začneme pojmem „plýtvání“, i když řada politiků i vedoucích zaměstnanců je přesvědčena, že se toto </w:t>
      </w:r>
      <w:r w:rsidRPr="00331D6F">
        <w:rPr>
          <w:rFonts w:ascii="Calibri" w:hAnsi="Calibri"/>
          <w:color w:val="000000"/>
        </w:rPr>
        <w:lastRenderedPageBreak/>
        <w:t>týká veřejné správy (zejména té centrální), ale rozhodně ne jejich obce či kraje</w:t>
      </w:r>
      <w:r>
        <w:rPr>
          <w:rStyle w:val="Znakapoznpodarou"/>
          <w:rFonts w:ascii="Calibri" w:hAnsi="Calibri"/>
          <w:color w:val="000000"/>
        </w:rPr>
        <w:footnoteReference w:id="45"/>
      </w:r>
      <w:r w:rsidRPr="00331D6F">
        <w:rPr>
          <w:rFonts w:ascii="Calibri" w:hAnsi="Calibri"/>
          <w:color w:val="000000"/>
        </w:rPr>
        <w:t xml:space="preserve">. </w:t>
      </w:r>
      <w:r>
        <w:rPr>
          <w:rFonts w:ascii="Calibri" w:hAnsi="Calibri"/>
          <w:b/>
        </w:rPr>
        <w:t>Plýtváním ve veřejné s</w:t>
      </w:r>
      <w:r>
        <w:rPr>
          <w:rFonts w:ascii="Calibri" w:hAnsi="Calibri"/>
          <w:b/>
          <w:lang w:val="cs-CZ"/>
        </w:rPr>
        <w:t>právě</w:t>
      </w:r>
      <w:r w:rsidRPr="00331D6F">
        <w:rPr>
          <w:rFonts w:ascii="Calibri" w:hAnsi="Calibri"/>
        </w:rPr>
        <w:t xml:space="preserve"> se rozumí takové nakládání s veřejnými zdroji, které porušuje principy hospodárného, efektivního a účelného nakládání s veřejnými zdroji. Důsledkem je vyšší vynaložení veřejných zdrojů, nežli odpovídá optimu. </w:t>
      </w:r>
      <w:r w:rsidR="001F2497">
        <w:rPr>
          <w:rFonts w:ascii="Calibri" w:hAnsi="Calibri"/>
        </w:rPr>
        <w:t>Pokud</w:t>
      </w:r>
      <w:r w:rsidRPr="00331D6F">
        <w:rPr>
          <w:rFonts w:ascii="Calibri" w:hAnsi="Calibri"/>
        </w:rPr>
        <w:t xml:space="preserve"> odhalujeme plýtvání a hledáme způsoby, jak je eliminovat, pak pro účinnost této eliminace používáme pojem „úspory ve veřejném sektoru“. </w:t>
      </w:r>
      <w:r>
        <w:rPr>
          <w:rFonts w:ascii="Calibri" w:hAnsi="Calibri"/>
          <w:b/>
        </w:rPr>
        <w:t>„Úspory ve veřejné</w:t>
      </w:r>
      <w:r w:rsidRPr="00331D6F">
        <w:rPr>
          <w:rFonts w:ascii="Calibri" w:hAnsi="Calibri"/>
          <w:b/>
        </w:rPr>
        <w:t xml:space="preserve"> s</w:t>
      </w:r>
      <w:r>
        <w:rPr>
          <w:rFonts w:ascii="Calibri" w:hAnsi="Calibri"/>
          <w:b/>
          <w:lang w:val="cs-CZ"/>
        </w:rPr>
        <w:t>právě</w:t>
      </w:r>
      <w:r w:rsidRPr="00331D6F">
        <w:rPr>
          <w:rFonts w:ascii="Calibri" w:hAnsi="Calibri"/>
          <w:b/>
        </w:rPr>
        <w:t xml:space="preserve">“ </w:t>
      </w:r>
      <w:r w:rsidRPr="00331D6F">
        <w:rPr>
          <w:rFonts w:ascii="Calibri" w:hAnsi="Calibri"/>
        </w:rPr>
        <w:t>lze vymezit jako dodatečné zdroje, které byly (budou) získány veřejným sektorem v důsledku racionalizačních opatření ve srovnání s původně realisticky kalkulovanými zdroji. Úspory jsou výsledkem racionalizačního postupu či opatření, které ved</w:t>
      </w:r>
      <w:r w:rsidR="00D604C1">
        <w:rPr>
          <w:rFonts w:ascii="Calibri" w:hAnsi="Calibri"/>
          <w:lang w:val="cs-CZ"/>
        </w:rPr>
        <w:t>ou</w:t>
      </w:r>
      <w:r w:rsidRPr="00331D6F">
        <w:rPr>
          <w:rFonts w:ascii="Calibri" w:hAnsi="Calibri"/>
        </w:rPr>
        <w:t xml:space="preserve"> k vyšší hospodárnosti, efektivnosti a účelnosti při plnění stanoveného cíle. </w:t>
      </w:r>
    </w:p>
    <w:p w14:paraId="62522D68" w14:textId="5D79CAA8" w:rsidR="00875923" w:rsidRDefault="00875923" w:rsidP="00875923">
      <w:pPr>
        <w:pStyle w:val="A1-text"/>
        <w:spacing w:after="120"/>
        <w:rPr>
          <w:rFonts w:ascii="Calibri" w:hAnsi="Calibri"/>
        </w:rPr>
      </w:pPr>
      <w:r w:rsidRPr="00331D6F">
        <w:rPr>
          <w:rFonts w:ascii="Calibri" w:hAnsi="Calibri"/>
        </w:rPr>
        <w:t xml:space="preserve">V rámci </w:t>
      </w:r>
      <w:r w:rsidR="00FE2E58">
        <w:rPr>
          <w:rFonts w:ascii="Calibri" w:hAnsi="Calibri"/>
          <w:lang w:val="cs-CZ"/>
        </w:rPr>
        <w:t>tohoto textu</w:t>
      </w:r>
      <w:r w:rsidRPr="00331D6F">
        <w:rPr>
          <w:rFonts w:ascii="Calibri" w:hAnsi="Calibri"/>
        </w:rPr>
        <w:t xml:space="preserve"> považujeme za </w:t>
      </w:r>
      <w:r w:rsidRPr="00331D6F">
        <w:rPr>
          <w:rFonts w:ascii="Calibri" w:hAnsi="Calibri"/>
          <w:b/>
        </w:rPr>
        <w:t>efektivní řízení úspor</w:t>
      </w:r>
      <w:r w:rsidRPr="00331D6F">
        <w:rPr>
          <w:rFonts w:ascii="Calibri" w:hAnsi="Calibri"/>
        </w:rPr>
        <w:t xml:space="preserve"> takové řízení, kdy jsou dosahovány stanovené cíle (přičemž jsou tyto cíle kromě realizace poslání zaměřeny na snižování nákladů) a vynaložené zdroje jsou použity ekonomicky racionálně (účelně, efektivně, hospodárně). Problematice řízení úspor se podrobně věnuje publikace Ochrana, Půček (2012).</w:t>
      </w:r>
    </w:p>
    <w:p w14:paraId="05A4E1A6" w14:textId="0E58BAAB" w:rsidR="00875923" w:rsidRDefault="00875923" w:rsidP="00875923">
      <w:pPr>
        <w:pStyle w:val="A1-text"/>
        <w:spacing w:after="0"/>
        <w:rPr>
          <w:rFonts w:ascii="Calibri" w:hAnsi="Calibri"/>
          <w:lang w:val="cs-CZ"/>
        </w:rPr>
      </w:pPr>
      <w:r w:rsidRPr="00331D6F">
        <w:rPr>
          <w:rFonts w:ascii="Calibri" w:hAnsi="Calibri"/>
          <w:b/>
          <w:lang w:val="cs-CZ"/>
        </w:rPr>
        <w:t xml:space="preserve">Efektivní </w:t>
      </w:r>
      <w:r w:rsidRPr="00331D6F">
        <w:rPr>
          <w:rFonts w:ascii="Calibri" w:hAnsi="Calibri"/>
          <w:b/>
        </w:rPr>
        <w:t>řízení úspor</w:t>
      </w:r>
      <w:r w:rsidR="00D604C1">
        <w:rPr>
          <w:rFonts w:ascii="Calibri" w:hAnsi="Calibri"/>
          <w:b/>
          <w:lang w:val="cs-CZ"/>
        </w:rPr>
        <w:t xml:space="preserve"> je</w:t>
      </w:r>
      <w:r w:rsidRPr="00331D6F">
        <w:rPr>
          <w:rFonts w:ascii="Calibri" w:hAnsi="Calibri"/>
          <w:b/>
        </w:rPr>
        <w:t xml:space="preserve"> zaměřeno</w:t>
      </w:r>
      <w:r w:rsidRPr="00331D6F">
        <w:rPr>
          <w:rFonts w:ascii="Calibri" w:hAnsi="Calibri"/>
          <w:lang w:val="cs-CZ"/>
        </w:rPr>
        <w:t xml:space="preserve">: </w:t>
      </w:r>
    </w:p>
    <w:p w14:paraId="2171623E" w14:textId="7CFDE358" w:rsidR="00875923" w:rsidRPr="009C7437" w:rsidRDefault="00875923" w:rsidP="0065698B">
      <w:pPr>
        <w:pStyle w:val="A1-text"/>
        <w:numPr>
          <w:ilvl w:val="0"/>
          <w:numId w:val="10"/>
        </w:numPr>
        <w:tabs>
          <w:tab w:val="clear" w:pos="284"/>
          <w:tab w:val="left" w:pos="426"/>
        </w:tabs>
        <w:spacing w:after="0"/>
        <w:ind w:left="357" w:hanging="357"/>
        <w:rPr>
          <w:rFonts w:ascii="Calibri" w:hAnsi="Calibri"/>
          <w:lang w:val="cs-CZ"/>
        </w:rPr>
      </w:pPr>
      <w:r w:rsidRPr="009C7437">
        <w:rPr>
          <w:rFonts w:ascii="Calibri" w:hAnsi="Calibri"/>
        </w:rPr>
        <w:t xml:space="preserve">Na </w:t>
      </w:r>
      <w:r w:rsidRPr="009C7437">
        <w:rPr>
          <w:rFonts w:ascii="Calibri" w:hAnsi="Calibri"/>
          <w:lang w:val="cs-CZ"/>
        </w:rPr>
        <w:t>dosahování racionálních</w:t>
      </w:r>
      <w:r w:rsidRPr="009C7437">
        <w:rPr>
          <w:rFonts w:ascii="Calibri" w:hAnsi="Calibri"/>
        </w:rPr>
        <w:t xml:space="preserve"> úspor, tedy na </w:t>
      </w:r>
      <w:r w:rsidRPr="009C7437">
        <w:rPr>
          <w:rFonts w:ascii="Calibri" w:hAnsi="Calibri"/>
          <w:lang w:val="cs-CZ"/>
        </w:rPr>
        <w:t xml:space="preserve">(a) </w:t>
      </w:r>
      <w:r w:rsidRPr="009C7437">
        <w:rPr>
          <w:rFonts w:ascii="Calibri" w:hAnsi="Calibri"/>
        </w:rPr>
        <w:t xml:space="preserve">účelné („chytré“) škrty, </w:t>
      </w:r>
      <w:r w:rsidRPr="009C7437">
        <w:rPr>
          <w:rFonts w:ascii="Calibri" w:hAnsi="Calibri"/>
          <w:lang w:val="cs-CZ"/>
        </w:rPr>
        <w:t xml:space="preserve">(b) </w:t>
      </w:r>
      <w:r w:rsidRPr="009C7437">
        <w:rPr>
          <w:rFonts w:ascii="Calibri" w:hAnsi="Calibri"/>
        </w:rPr>
        <w:t xml:space="preserve">odstraňování plýtvání, </w:t>
      </w:r>
      <w:r w:rsidRPr="009C7437">
        <w:rPr>
          <w:rFonts w:ascii="Calibri" w:hAnsi="Calibri"/>
          <w:lang w:val="cs-CZ"/>
        </w:rPr>
        <w:t xml:space="preserve">(c) </w:t>
      </w:r>
      <w:r w:rsidRPr="009C7437">
        <w:rPr>
          <w:rFonts w:ascii="Calibri" w:hAnsi="Calibri"/>
        </w:rPr>
        <w:t>inovace a zlepšování zaměřené na úspory</w:t>
      </w:r>
      <w:r w:rsidRPr="009C7437">
        <w:rPr>
          <w:rFonts w:ascii="Calibri" w:hAnsi="Calibri"/>
          <w:lang w:val="cs-CZ"/>
        </w:rPr>
        <w:t>,</w:t>
      </w:r>
      <w:r w:rsidRPr="009C7437">
        <w:rPr>
          <w:rFonts w:ascii="Calibri" w:hAnsi="Calibri"/>
        </w:rPr>
        <w:t xml:space="preserve"> </w:t>
      </w:r>
      <w:r w:rsidRPr="009C7437">
        <w:rPr>
          <w:rFonts w:ascii="Calibri" w:hAnsi="Calibri"/>
          <w:lang w:val="cs-CZ"/>
        </w:rPr>
        <w:t xml:space="preserve">(d) </w:t>
      </w:r>
      <w:r w:rsidRPr="009C7437">
        <w:rPr>
          <w:rFonts w:ascii="Calibri" w:hAnsi="Calibri"/>
        </w:rPr>
        <w:t xml:space="preserve">ostatní úspory. </w:t>
      </w:r>
      <w:r>
        <w:rPr>
          <w:rFonts w:ascii="Calibri" w:hAnsi="Calibri"/>
          <w:lang w:val="cs-CZ"/>
        </w:rPr>
        <w:t xml:space="preserve">                          </w:t>
      </w:r>
      <w:r w:rsidRPr="009C7437">
        <w:rPr>
          <w:rFonts w:ascii="Calibri" w:hAnsi="Calibri"/>
        </w:rPr>
        <w:t>Přitom jsou veřejné služby, veřejné investice a ostatní veřejné výdaje optimalizovány z hlediska nákladů a posuzovány z hlediska jejich účelnosti, efektivnosti a hospodárnosti. Je hodnocen dopad (vliv) úspory na místo (investici, veřejnou službu, proces či aktivitu), kde byla úspora realizována současně s ohledem na celek. Tedy</w:t>
      </w:r>
      <w:r w:rsidR="00D604C1">
        <w:rPr>
          <w:rFonts w:ascii="Calibri" w:hAnsi="Calibri"/>
          <w:lang w:val="cs-CZ"/>
        </w:rPr>
        <w:t>,</w:t>
      </w:r>
      <w:r w:rsidRPr="009C7437">
        <w:rPr>
          <w:rFonts w:ascii="Calibri" w:hAnsi="Calibri"/>
        </w:rPr>
        <w:t xml:space="preserve"> aby úspora na jednom místě nevyvolala mnohem vyšší náklady v rámci posuzovaného systému jinde.</w:t>
      </w:r>
      <w:r w:rsidRPr="009C7437">
        <w:rPr>
          <w:rFonts w:ascii="Calibri" w:hAnsi="Calibri"/>
          <w:lang w:val="cs-CZ"/>
        </w:rPr>
        <w:t xml:space="preserve"> </w:t>
      </w:r>
    </w:p>
    <w:p w14:paraId="15D29C33" w14:textId="74080874" w:rsidR="00875923" w:rsidRPr="00331D6F" w:rsidRDefault="00875923" w:rsidP="0065698B">
      <w:pPr>
        <w:pStyle w:val="A1-text"/>
        <w:numPr>
          <w:ilvl w:val="0"/>
          <w:numId w:val="10"/>
        </w:numPr>
        <w:tabs>
          <w:tab w:val="clear" w:pos="284"/>
          <w:tab w:val="left" w:pos="426"/>
        </w:tabs>
        <w:spacing w:after="120"/>
        <w:rPr>
          <w:rFonts w:ascii="Calibri" w:hAnsi="Calibri"/>
          <w:lang w:val="cs-CZ"/>
        </w:rPr>
      </w:pPr>
      <w:r w:rsidRPr="00331D6F">
        <w:rPr>
          <w:rFonts w:ascii="Calibri" w:hAnsi="Calibri"/>
        </w:rPr>
        <w:t>Na vytváření kompetencí a kultury organizace, která je „štíhlá“</w:t>
      </w:r>
      <w:r w:rsidR="00D604C1">
        <w:rPr>
          <w:rFonts w:ascii="Calibri" w:hAnsi="Calibri"/>
          <w:lang w:val="cs-CZ"/>
        </w:rPr>
        <w:t>. To</w:t>
      </w:r>
      <w:r w:rsidRPr="00331D6F">
        <w:rPr>
          <w:rFonts w:ascii="Calibri" w:hAnsi="Calibri"/>
        </w:rPr>
        <w:t xml:space="preserve"> umožňuje odstraňovat všechny druhy plýtvání a dosahovat efektivní úspory.</w:t>
      </w:r>
      <w:r w:rsidRPr="00331D6F">
        <w:rPr>
          <w:rFonts w:ascii="Calibri" w:hAnsi="Calibri"/>
          <w:lang w:val="cs-CZ"/>
        </w:rPr>
        <w:t xml:space="preserve"> </w:t>
      </w:r>
      <w:r w:rsidRPr="00331D6F">
        <w:rPr>
          <w:rFonts w:ascii="Calibri" w:hAnsi="Calibri"/>
        </w:rPr>
        <w:t>S obdobným přístupem se setkáváme i u Baťova systému řízení. Je zřejmě dobře srozumitelné, že opakem efektivního řízení úspor je „neefektivní“ řízení úspor</w:t>
      </w:r>
      <w:r w:rsidRPr="00331D6F">
        <w:rPr>
          <w:rFonts w:ascii="Calibri" w:hAnsi="Calibri"/>
          <w:lang w:val="cs-CZ"/>
        </w:rPr>
        <w:t xml:space="preserve">. </w:t>
      </w:r>
    </w:p>
    <w:p w14:paraId="4BBF026E" w14:textId="77777777" w:rsidR="00875923" w:rsidRPr="00331D6F" w:rsidRDefault="00875923" w:rsidP="00875923">
      <w:pPr>
        <w:pStyle w:val="A1-text"/>
        <w:shd w:val="clear" w:color="auto" w:fill="FFFFFF" w:themeFill="background1"/>
        <w:spacing w:after="120"/>
        <w:rPr>
          <w:rFonts w:ascii="Calibri" w:hAnsi="Calibri"/>
        </w:rPr>
      </w:pPr>
      <w:r w:rsidRPr="00331D6F">
        <w:rPr>
          <w:rFonts w:ascii="Calibri" w:hAnsi="Calibri"/>
        </w:rPr>
        <w:lastRenderedPageBreak/>
        <w:t>Při „</w:t>
      </w:r>
      <w:r w:rsidRPr="00331D6F">
        <w:rPr>
          <w:rFonts w:ascii="Calibri" w:hAnsi="Calibri"/>
          <w:b/>
        </w:rPr>
        <w:t>neefektivním“ řízení úspor</w:t>
      </w:r>
      <w:r w:rsidRPr="00331D6F">
        <w:rPr>
          <w:rFonts w:ascii="Calibri" w:hAnsi="Calibri"/>
        </w:rPr>
        <w:t xml:space="preserve"> není kladen důraz na účelnost, ale zejména a na prvním místě jen na hospodárnost. Neřeší se negativní vliv úspor, takže relativně malá úspora na jednom místě může vyvolat vyšší náklady než dosažená úspora jinde. Není vytvářen takový systém řízení, který podporuje „štíhlou“ organizaci a kultura organizace není na úspory zaměřena.</w:t>
      </w:r>
      <w:r w:rsidRPr="00331D6F">
        <w:rPr>
          <w:rFonts w:ascii="Calibri" w:hAnsi="Calibri"/>
          <w:lang w:val="cs-CZ"/>
        </w:rPr>
        <w:t xml:space="preserve"> </w:t>
      </w:r>
    </w:p>
    <w:p w14:paraId="79CD0EBF" w14:textId="77777777" w:rsidR="00875923" w:rsidRPr="00331D6F" w:rsidRDefault="00875923" w:rsidP="00875923">
      <w:pPr>
        <w:ind w:right="-57"/>
        <w:jc w:val="both"/>
        <w:rPr>
          <w:rFonts w:ascii="Calibri" w:hAnsi="Calibri"/>
        </w:rPr>
      </w:pPr>
      <w:r w:rsidRPr="00331D6F">
        <w:rPr>
          <w:rFonts w:ascii="Calibri" w:hAnsi="Calibri"/>
        </w:rPr>
        <w:t xml:space="preserve">Nejdůležitějším klasifikačním kritériem úspor je </w:t>
      </w:r>
      <w:r w:rsidRPr="00331D6F">
        <w:rPr>
          <w:rFonts w:ascii="Calibri" w:hAnsi="Calibri"/>
          <w:b/>
        </w:rPr>
        <w:t>hledisko ekonomické racionality</w:t>
      </w:r>
      <w:r w:rsidRPr="00331D6F">
        <w:rPr>
          <w:rFonts w:ascii="Calibri" w:hAnsi="Calibri"/>
        </w:rPr>
        <w:t xml:space="preserve">. Podle něj rozlišujeme dva základní druhy úspor, a to (1) racionální úsporu a (2) „neracionální“ úsporu. Z ekonomického hlediska může </w:t>
      </w:r>
      <w:r w:rsidRPr="00B50119">
        <w:rPr>
          <w:rFonts w:ascii="Calibri" w:hAnsi="Calibri"/>
          <w:b/>
        </w:rPr>
        <w:t>racionální úspora</w:t>
      </w:r>
      <w:r w:rsidRPr="00331D6F">
        <w:rPr>
          <w:rFonts w:ascii="Calibri" w:hAnsi="Calibri"/>
        </w:rPr>
        <w:t xml:space="preserve"> vznikat třemi základními způsoby – nalezením úspor cestou vyšší hospodárnosti, formou vyšší efektivnosti a vyšší účelnosti (účinnosti) použitých zdrojů. Ve všech případech platí, že provedená </w:t>
      </w:r>
      <w:r w:rsidRPr="00331D6F">
        <w:rPr>
          <w:rFonts w:ascii="Calibri" w:hAnsi="Calibri"/>
          <w:b/>
        </w:rPr>
        <w:t>úspora nesmí při plnění jiných aktivit (cílů) vyvolat dodatečné náklady</w:t>
      </w:r>
      <w:r w:rsidRPr="00331D6F">
        <w:rPr>
          <w:rFonts w:ascii="Calibri" w:hAnsi="Calibri"/>
        </w:rPr>
        <w:t>, které by převýšily původně plánované náklady. Matematicky je to možné vyjádřit (Ochrana, Půček 2012, s. 18-19):</w:t>
      </w:r>
    </w:p>
    <w:p w14:paraId="4ABBBEF4" w14:textId="77777777" w:rsidR="00875923" w:rsidRPr="00331D6F" w:rsidRDefault="00875923" w:rsidP="00875923">
      <w:pPr>
        <w:ind w:right="-57"/>
        <w:jc w:val="both"/>
        <w:rPr>
          <w:rFonts w:ascii="Calibri" w:hAnsi="Calibri"/>
        </w:rPr>
      </w:pPr>
      <w:r w:rsidRPr="00331D6F">
        <w:rPr>
          <w:rFonts w:ascii="Calibri" w:hAnsi="Calibri"/>
        </w:rPr>
        <w:t>C</w:t>
      </w:r>
      <w:r w:rsidRPr="00331D6F">
        <w:rPr>
          <w:rFonts w:ascii="Calibri" w:hAnsi="Calibri"/>
          <w:vertAlign w:val="subscript"/>
        </w:rPr>
        <w:t xml:space="preserve">P   </w:t>
      </w:r>
      <w:r w:rsidRPr="00331D6F">
        <w:rPr>
          <w:rFonts w:ascii="Calibri" w:hAnsi="Calibri"/>
        </w:rPr>
        <w:t>&gt; C</w:t>
      </w:r>
      <w:r w:rsidRPr="00331D6F">
        <w:rPr>
          <w:rFonts w:ascii="Calibri" w:hAnsi="Calibri"/>
          <w:vertAlign w:val="subscript"/>
        </w:rPr>
        <w:t xml:space="preserve">R </w:t>
      </w:r>
      <w:r w:rsidRPr="00331D6F">
        <w:rPr>
          <w:rFonts w:ascii="Calibri" w:hAnsi="Calibri"/>
        </w:rPr>
        <w:t xml:space="preserve">, kde                                                 </w:t>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t>(1)</w:t>
      </w:r>
    </w:p>
    <w:p w14:paraId="1F99835D" w14:textId="77777777" w:rsidR="00875923" w:rsidRPr="00331D6F" w:rsidRDefault="00875923" w:rsidP="00875923">
      <w:pPr>
        <w:ind w:right="-57"/>
        <w:jc w:val="both"/>
        <w:rPr>
          <w:rFonts w:ascii="Calibri" w:hAnsi="Calibri"/>
        </w:rPr>
      </w:pPr>
      <w:r w:rsidRPr="00331D6F">
        <w:rPr>
          <w:rFonts w:ascii="Calibri" w:hAnsi="Calibri"/>
        </w:rPr>
        <w:t>C</w:t>
      </w:r>
      <w:r w:rsidRPr="00331D6F">
        <w:rPr>
          <w:rFonts w:ascii="Calibri" w:hAnsi="Calibri"/>
          <w:vertAlign w:val="subscript"/>
        </w:rPr>
        <w:t xml:space="preserve">P   </w:t>
      </w:r>
      <w:r w:rsidRPr="00331D6F">
        <w:rPr>
          <w:rFonts w:ascii="Calibri" w:hAnsi="Calibri"/>
        </w:rPr>
        <w:t xml:space="preserve"> původně plánované náklady; </w:t>
      </w:r>
      <w:r w:rsidRPr="00331D6F">
        <w:rPr>
          <w:rFonts w:ascii="Calibri" w:hAnsi="Calibri"/>
        </w:rPr>
        <w:tab/>
        <w:t>C</w:t>
      </w:r>
      <w:r w:rsidRPr="00331D6F">
        <w:rPr>
          <w:rFonts w:ascii="Calibri" w:hAnsi="Calibri"/>
          <w:vertAlign w:val="subscript"/>
        </w:rPr>
        <w:t xml:space="preserve">R </w:t>
      </w:r>
      <w:r w:rsidRPr="00331D6F">
        <w:rPr>
          <w:rFonts w:ascii="Calibri" w:hAnsi="Calibri"/>
        </w:rPr>
        <w:t xml:space="preserve">   reálně vynaložené náklady </w:t>
      </w:r>
    </w:p>
    <w:p w14:paraId="5F514FC4" w14:textId="1317D842" w:rsidR="00875923" w:rsidRPr="00331D6F" w:rsidRDefault="00875923" w:rsidP="00875923">
      <w:pPr>
        <w:ind w:right="-57"/>
        <w:jc w:val="both"/>
        <w:rPr>
          <w:rFonts w:ascii="Calibri" w:hAnsi="Calibri"/>
        </w:rPr>
      </w:pPr>
      <w:r w:rsidRPr="00331D6F">
        <w:rPr>
          <w:rFonts w:ascii="Calibri" w:hAnsi="Calibri"/>
        </w:rPr>
        <w:t>Jak vyplývá z rovnice (1), racionalizační činností se podařilo snížit původně plánované náklady C</w:t>
      </w:r>
      <w:r w:rsidRPr="00331D6F">
        <w:rPr>
          <w:rFonts w:ascii="Calibri" w:hAnsi="Calibri"/>
          <w:vertAlign w:val="subscript"/>
        </w:rPr>
        <w:t xml:space="preserve">P </w:t>
      </w:r>
      <w:r w:rsidRPr="00331D6F">
        <w:rPr>
          <w:rFonts w:ascii="Calibri" w:hAnsi="Calibri"/>
        </w:rPr>
        <w:t xml:space="preserve"> na hodnotu C</w:t>
      </w:r>
      <w:r w:rsidRPr="00331D6F">
        <w:rPr>
          <w:rFonts w:ascii="Calibri" w:hAnsi="Calibri"/>
          <w:vertAlign w:val="subscript"/>
        </w:rPr>
        <w:t>R</w:t>
      </w:r>
      <w:r w:rsidRPr="00331D6F">
        <w:rPr>
          <w:rFonts w:ascii="Calibri" w:hAnsi="Calibri"/>
        </w:rPr>
        <w:t>, přičemž rozdíl mezi původně plánovanými náklady C</w:t>
      </w:r>
      <w:r w:rsidRPr="00331D6F">
        <w:rPr>
          <w:rFonts w:ascii="Calibri" w:hAnsi="Calibri"/>
          <w:vertAlign w:val="subscript"/>
        </w:rPr>
        <w:t xml:space="preserve">P </w:t>
      </w:r>
      <w:r w:rsidRPr="00331D6F">
        <w:rPr>
          <w:rFonts w:ascii="Calibri" w:hAnsi="Calibri"/>
        </w:rPr>
        <w:t>a reálně vynaloženými náklady</w:t>
      </w:r>
      <w:r w:rsidRPr="00331D6F">
        <w:rPr>
          <w:rFonts w:ascii="Calibri" w:hAnsi="Calibri"/>
          <w:vertAlign w:val="subscript"/>
        </w:rPr>
        <w:t xml:space="preserve"> </w:t>
      </w:r>
      <w:r w:rsidRPr="00331D6F">
        <w:rPr>
          <w:rFonts w:ascii="Calibri" w:hAnsi="Calibri"/>
        </w:rPr>
        <w:t>C</w:t>
      </w:r>
      <w:r w:rsidRPr="00331D6F">
        <w:rPr>
          <w:rFonts w:ascii="Calibri" w:hAnsi="Calibri"/>
          <w:vertAlign w:val="subscript"/>
        </w:rPr>
        <w:t>R</w:t>
      </w:r>
      <w:r w:rsidRPr="00331D6F">
        <w:rPr>
          <w:rFonts w:ascii="Calibri" w:hAnsi="Calibri"/>
        </w:rPr>
        <w:t xml:space="preserve"> představuje úsporu v nákladech. </w:t>
      </w:r>
      <w:r w:rsidRPr="00331D6F">
        <w:rPr>
          <w:rFonts w:ascii="Calibri" w:hAnsi="Calibri"/>
          <w:b/>
        </w:rPr>
        <w:t>Dosaženou úsporu</w:t>
      </w:r>
      <w:r w:rsidRPr="00331D6F">
        <w:rPr>
          <w:rFonts w:ascii="Calibri" w:hAnsi="Calibri"/>
        </w:rPr>
        <w:t xml:space="preserve"> U je pak možné vyjádřit:</w:t>
      </w:r>
    </w:p>
    <w:p w14:paraId="4D6DE8E5" w14:textId="5D761F69" w:rsidR="00875923" w:rsidRPr="00331D6F" w:rsidRDefault="00875923" w:rsidP="00875923">
      <w:pPr>
        <w:ind w:right="-57"/>
        <w:jc w:val="both"/>
        <w:rPr>
          <w:rFonts w:ascii="Calibri" w:hAnsi="Calibri"/>
        </w:rPr>
      </w:pPr>
      <w:r w:rsidRPr="00331D6F">
        <w:rPr>
          <w:rFonts w:ascii="Calibri" w:hAnsi="Calibri"/>
        </w:rPr>
        <w:t>U = C</w:t>
      </w:r>
      <w:r w:rsidRPr="00331D6F">
        <w:rPr>
          <w:rFonts w:ascii="Calibri" w:hAnsi="Calibri"/>
          <w:vertAlign w:val="subscript"/>
        </w:rPr>
        <w:t xml:space="preserve">P </w:t>
      </w:r>
      <w:r w:rsidRPr="00331D6F">
        <w:rPr>
          <w:rFonts w:ascii="Calibri" w:hAnsi="Calibri"/>
        </w:rPr>
        <w:t xml:space="preserve"> - C</w:t>
      </w:r>
      <w:r w:rsidRPr="00331D6F">
        <w:rPr>
          <w:rFonts w:ascii="Calibri" w:hAnsi="Calibri"/>
          <w:vertAlign w:val="subscript"/>
        </w:rPr>
        <w:t xml:space="preserve">R </w:t>
      </w:r>
      <w:r w:rsidRPr="00331D6F">
        <w:rPr>
          <w:rFonts w:ascii="Calibri" w:hAnsi="Calibri"/>
        </w:rPr>
        <w:t xml:space="preserve"> &gt; 0, kde                                       </w:t>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t xml:space="preserve">(2)  </w:t>
      </w:r>
    </w:p>
    <w:p w14:paraId="0C8C791A" w14:textId="77777777" w:rsidR="00875923" w:rsidRPr="00331D6F" w:rsidRDefault="00875923" w:rsidP="00875923">
      <w:pPr>
        <w:spacing w:after="120"/>
        <w:ind w:right="-57"/>
        <w:jc w:val="both"/>
        <w:rPr>
          <w:rFonts w:ascii="Calibri" w:hAnsi="Calibri"/>
        </w:rPr>
      </w:pPr>
      <w:r w:rsidRPr="00331D6F">
        <w:rPr>
          <w:rFonts w:ascii="Calibri" w:hAnsi="Calibri"/>
        </w:rPr>
        <w:t xml:space="preserve">U  dosažená úspora; </w:t>
      </w:r>
      <w:r w:rsidRPr="00331D6F">
        <w:rPr>
          <w:rFonts w:ascii="Calibri" w:hAnsi="Calibri"/>
        </w:rPr>
        <w:tab/>
        <w:t>C</w:t>
      </w:r>
      <w:r w:rsidRPr="00331D6F">
        <w:rPr>
          <w:rFonts w:ascii="Calibri" w:hAnsi="Calibri"/>
          <w:vertAlign w:val="subscript"/>
        </w:rPr>
        <w:t xml:space="preserve">P   </w:t>
      </w:r>
      <w:r w:rsidRPr="00331D6F">
        <w:rPr>
          <w:rFonts w:ascii="Calibri" w:hAnsi="Calibri"/>
        </w:rPr>
        <w:t xml:space="preserve"> původně plánované náklady;</w:t>
      </w:r>
      <w:r w:rsidRPr="00331D6F">
        <w:rPr>
          <w:rFonts w:ascii="Calibri" w:hAnsi="Calibri"/>
        </w:rPr>
        <w:tab/>
        <w:t>C</w:t>
      </w:r>
      <w:r w:rsidRPr="00331D6F">
        <w:rPr>
          <w:rFonts w:ascii="Calibri" w:hAnsi="Calibri"/>
          <w:vertAlign w:val="subscript"/>
        </w:rPr>
        <w:t xml:space="preserve">R </w:t>
      </w:r>
      <w:r w:rsidRPr="00331D6F">
        <w:rPr>
          <w:rFonts w:ascii="Calibri" w:hAnsi="Calibri"/>
        </w:rPr>
        <w:t xml:space="preserve">   reálně vynaložené náklady </w:t>
      </w:r>
    </w:p>
    <w:p w14:paraId="040EA11B" w14:textId="1173DE5B" w:rsidR="00875923" w:rsidRPr="00331D6F" w:rsidRDefault="00875923" w:rsidP="00875923">
      <w:pPr>
        <w:ind w:right="-57"/>
        <w:jc w:val="both"/>
        <w:rPr>
          <w:rFonts w:ascii="Calibri" w:hAnsi="Calibri"/>
        </w:rPr>
      </w:pPr>
      <w:r w:rsidRPr="00331D6F">
        <w:rPr>
          <w:rFonts w:ascii="Calibri" w:hAnsi="Calibri"/>
        </w:rPr>
        <w:t xml:space="preserve">Uvedený vztah vyjadřuje nutnou, nikoli však dostačující podmínku pro vznik úspor U. </w:t>
      </w:r>
      <w:r w:rsidR="00807AB1" w:rsidRPr="00331D6F">
        <w:rPr>
          <w:rFonts w:ascii="Calibri" w:hAnsi="Calibri"/>
        </w:rPr>
        <w:t>Úspora totiž</w:t>
      </w:r>
      <w:r w:rsidRPr="00331D6F">
        <w:rPr>
          <w:rFonts w:ascii="Calibri" w:hAnsi="Calibri"/>
        </w:rPr>
        <w:t xml:space="preserve"> musí být racionální. To znamená, že musíme prověřit doplňující podmínku vzniku úspory, a tou je zjištění, zda (a jak velké) vyvolané náklady C</w:t>
      </w:r>
      <w:r w:rsidRPr="00331D6F">
        <w:rPr>
          <w:rFonts w:ascii="Calibri" w:hAnsi="Calibri"/>
          <w:vertAlign w:val="subscript"/>
        </w:rPr>
        <w:t>V</w:t>
      </w:r>
      <w:r w:rsidRPr="00331D6F">
        <w:rPr>
          <w:rFonts w:ascii="Calibri" w:hAnsi="Calibri"/>
        </w:rPr>
        <w:t xml:space="preserve"> daná úspora vyvolá. Jsou to takové náklady, které vznikají v důsledku provedené racionalizační akce. Příkladem může být, </w:t>
      </w:r>
      <w:r w:rsidR="00807AB1" w:rsidRPr="00331D6F">
        <w:rPr>
          <w:rFonts w:ascii="Calibri" w:hAnsi="Calibri"/>
        </w:rPr>
        <w:t>že provedená</w:t>
      </w:r>
      <w:r w:rsidRPr="00331D6F">
        <w:rPr>
          <w:rFonts w:ascii="Calibri" w:hAnsi="Calibri"/>
        </w:rPr>
        <w:t xml:space="preserve"> úspora v původně plánovaných nákladech povede k tomu, že vzniknou vyšší nároky na ošetřování techniky, či dojde např. ke zkrácení životního cyklu dané investice. Pro </w:t>
      </w:r>
      <w:r w:rsidRPr="00331D6F">
        <w:rPr>
          <w:rFonts w:ascii="Calibri" w:hAnsi="Calibri"/>
          <w:b/>
        </w:rPr>
        <w:t>racionální úsporu U</w:t>
      </w:r>
      <w:r w:rsidRPr="00331D6F">
        <w:rPr>
          <w:rFonts w:ascii="Calibri" w:hAnsi="Calibri"/>
          <w:b/>
          <w:vertAlign w:val="subscript"/>
        </w:rPr>
        <w:t>r</w:t>
      </w:r>
      <w:r w:rsidRPr="00331D6F">
        <w:rPr>
          <w:rFonts w:ascii="Calibri" w:hAnsi="Calibri"/>
        </w:rPr>
        <w:t xml:space="preserve"> platí, že </w:t>
      </w:r>
    </w:p>
    <w:p w14:paraId="4047474D" w14:textId="77777777" w:rsidR="00875923" w:rsidRPr="00331D6F" w:rsidRDefault="00875923" w:rsidP="00875923">
      <w:pPr>
        <w:ind w:right="-57"/>
        <w:jc w:val="both"/>
        <w:rPr>
          <w:rFonts w:ascii="Calibri" w:hAnsi="Calibri"/>
        </w:rPr>
      </w:pPr>
      <w:r w:rsidRPr="00331D6F">
        <w:rPr>
          <w:rFonts w:ascii="Calibri" w:hAnsi="Calibri"/>
        </w:rPr>
        <w:t xml:space="preserve">U </w:t>
      </w:r>
      <w:r w:rsidRPr="00331D6F">
        <w:rPr>
          <w:rFonts w:ascii="Calibri" w:hAnsi="Calibri"/>
          <w:vertAlign w:val="subscript"/>
        </w:rPr>
        <w:t xml:space="preserve">r </w:t>
      </w:r>
      <w:r w:rsidRPr="00331D6F">
        <w:rPr>
          <w:rFonts w:ascii="Calibri" w:hAnsi="Calibri"/>
        </w:rPr>
        <w:t xml:space="preserve"> = C</w:t>
      </w:r>
      <w:r w:rsidRPr="00331D6F">
        <w:rPr>
          <w:rFonts w:ascii="Calibri" w:hAnsi="Calibri"/>
          <w:vertAlign w:val="subscript"/>
        </w:rPr>
        <w:t xml:space="preserve">P </w:t>
      </w:r>
      <w:r w:rsidRPr="00331D6F">
        <w:rPr>
          <w:rFonts w:ascii="Calibri" w:hAnsi="Calibri"/>
        </w:rPr>
        <w:t xml:space="preserve"> - C</w:t>
      </w:r>
      <w:r w:rsidRPr="00331D6F">
        <w:rPr>
          <w:rFonts w:ascii="Calibri" w:hAnsi="Calibri"/>
          <w:vertAlign w:val="subscript"/>
        </w:rPr>
        <w:t xml:space="preserve">R </w:t>
      </w:r>
      <w:r w:rsidRPr="00331D6F">
        <w:rPr>
          <w:rFonts w:ascii="Calibri" w:hAnsi="Calibri"/>
        </w:rPr>
        <w:t xml:space="preserve"> &gt; 0 , za podmínky, že                                      </w:t>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t>(3)</w:t>
      </w:r>
    </w:p>
    <w:p w14:paraId="09871B2F" w14:textId="41BAE629" w:rsidR="00875923" w:rsidRPr="00331D6F" w:rsidRDefault="00875923" w:rsidP="00875923">
      <w:pPr>
        <w:ind w:right="-57"/>
        <w:jc w:val="both"/>
        <w:rPr>
          <w:rFonts w:ascii="Calibri" w:hAnsi="Calibri"/>
        </w:rPr>
      </w:pPr>
      <w:r w:rsidRPr="00331D6F">
        <w:rPr>
          <w:rFonts w:ascii="Calibri" w:hAnsi="Calibri"/>
        </w:rPr>
        <w:t>U</w:t>
      </w:r>
      <w:r w:rsidRPr="00331D6F">
        <w:rPr>
          <w:rFonts w:ascii="Calibri" w:hAnsi="Calibri"/>
          <w:vertAlign w:val="subscript"/>
        </w:rPr>
        <w:t xml:space="preserve">r </w:t>
      </w:r>
      <w:r w:rsidRPr="00331D6F">
        <w:rPr>
          <w:rFonts w:ascii="Calibri" w:hAnsi="Calibri"/>
        </w:rPr>
        <w:t xml:space="preserve"> – C</w:t>
      </w:r>
      <w:r w:rsidRPr="00331D6F">
        <w:rPr>
          <w:rFonts w:ascii="Calibri" w:hAnsi="Calibri"/>
          <w:vertAlign w:val="subscript"/>
        </w:rPr>
        <w:t xml:space="preserve">V </w:t>
      </w:r>
      <w:r w:rsidRPr="00331D6F">
        <w:rPr>
          <w:rFonts w:ascii="Calibri" w:hAnsi="Calibri"/>
        </w:rPr>
        <w:t xml:space="preserve"> &gt; 0, kde                                              </w:t>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t>(4)</w:t>
      </w:r>
    </w:p>
    <w:p w14:paraId="1F2A951F" w14:textId="77777777" w:rsidR="00875923" w:rsidRPr="00331D6F" w:rsidRDefault="00875923" w:rsidP="00875923">
      <w:pPr>
        <w:spacing w:after="120"/>
        <w:ind w:right="-57"/>
        <w:jc w:val="both"/>
        <w:rPr>
          <w:rFonts w:ascii="Calibri" w:hAnsi="Calibri"/>
        </w:rPr>
      </w:pPr>
      <w:r w:rsidRPr="00331D6F">
        <w:rPr>
          <w:rFonts w:ascii="Calibri" w:hAnsi="Calibri"/>
        </w:rPr>
        <w:t>U</w:t>
      </w:r>
      <w:r w:rsidRPr="00331D6F">
        <w:rPr>
          <w:rFonts w:ascii="Calibri" w:hAnsi="Calibri"/>
          <w:vertAlign w:val="subscript"/>
        </w:rPr>
        <w:t xml:space="preserve">r </w:t>
      </w:r>
      <w:r w:rsidRPr="00331D6F">
        <w:rPr>
          <w:rFonts w:ascii="Calibri" w:hAnsi="Calibri"/>
        </w:rPr>
        <w:t xml:space="preserve">   dosažená úspora;</w:t>
      </w:r>
      <w:r w:rsidRPr="00331D6F">
        <w:rPr>
          <w:rFonts w:ascii="Calibri" w:hAnsi="Calibri"/>
        </w:rPr>
        <w:tab/>
      </w:r>
      <w:r w:rsidRPr="00331D6F">
        <w:rPr>
          <w:rFonts w:ascii="Calibri" w:hAnsi="Calibri"/>
        </w:rPr>
        <w:tab/>
        <w:t>C</w:t>
      </w:r>
      <w:r w:rsidRPr="00331D6F">
        <w:rPr>
          <w:rFonts w:ascii="Calibri" w:hAnsi="Calibri"/>
          <w:vertAlign w:val="subscript"/>
        </w:rPr>
        <w:t xml:space="preserve">V    </w:t>
      </w:r>
      <w:r w:rsidRPr="00331D6F">
        <w:rPr>
          <w:rFonts w:ascii="Calibri" w:hAnsi="Calibri"/>
        </w:rPr>
        <w:t xml:space="preserve">vyvolané  náklady </w:t>
      </w:r>
    </w:p>
    <w:p w14:paraId="2AE1F267" w14:textId="52449BF5" w:rsidR="004B37F1" w:rsidRDefault="004B37F1" w:rsidP="00875923">
      <w:pPr>
        <w:ind w:right="-57"/>
        <w:jc w:val="both"/>
        <w:rPr>
          <w:rFonts w:ascii="Calibri" w:hAnsi="Calibri"/>
        </w:rPr>
      </w:pPr>
      <w:r>
        <w:rPr>
          <w:rFonts w:ascii="Calibri" w:hAnsi="Calibri"/>
        </w:rPr>
        <w:t xml:space="preserve">Pro racionální úsporu tedy platí, že je rozdílem původně plánovaných nákladů, </w:t>
      </w:r>
      <w:r w:rsidRPr="00331D6F">
        <w:rPr>
          <w:rFonts w:ascii="Calibri" w:hAnsi="Calibri"/>
        </w:rPr>
        <w:t>reálně vynaložené náklad</w:t>
      </w:r>
      <w:r w:rsidR="00D604C1">
        <w:rPr>
          <w:rFonts w:ascii="Calibri" w:hAnsi="Calibri"/>
        </w:rPr>
        <w:t>ů</w:t>
      </w:r>
      <w:r>
        <w:rPr>
          <w:rFonts w:ascii="Calibri" w:hAnsi="Calibri"/>
        </w:rPr>
        <w:t xml:space="preserve"> a vyvolaných nákladů. Platí pro n</w:t>
      </w:r>
      <w:r w:rsidR="00D604C1">
        <w:rPr>
          <w:rFonts w:ascii="Calibri" w:hAnsi="Calibri"/>
        </w:rPr>
        <w:t>i</w:t>
      </w:r>
      <w:r>
        <w:rPr>
          <w:rFonts w:ascii="Calibri" w:hAnsi="Calibri"/>
        </w:rPr>
        <w:t>:</w:t>
      </w:r>
    </w:p>
    <w:p w14:paraId="0FBAEAB9" w14:textId="47DCF7EA" w:rsidR="004B37F1" w:rsidRDefault="004B37F1" w:rsidP="00875923">
      <w:pPr>
        <w:ind w:right="-57"/>
        <w:jc w:val="both"/>
        <w:rPr>
          <w:rFonts w:ascii="Calibri" w:hAnsi="Calibri"/>
        </w:rPr>
      </w:pPr>
      <w:r w:rsidRPr="004B37F1">
        <w:rPr>
          <w:rFonts w:ascii="Calibri" w:hAnsi="Calibri"/>
          <w:b/>
        </w:rPr>
        <w:t xml:space="preserve">U </w:t>
      </w:r>
      <w:r w:rsidRPr="004B37F1">
        <w:rPr>
          <w:rFonts w:ascii="Calibri" w:hAnsi="Calibri"/>
          <w:b/>
          <w:vertAlign w:val="subscript"/>
        </w:rPr>
        <w:t xml:space="preserve">r </w:t>
      </w:r>
      <w:r w:rsidRPr="004B37F1">
        <w:rPr>
          <w:rFonts w:ascii="Calibri" w:hAnsi="Calibri"/>
          <w:b/>
        </w:rPr>
        <w:t xml:space="preserve"> = C</w:t>
      </w:r>
      <w:r w:rsidRPr="004B37F1">
        <w:rPr>
          <w:rFonts w:ascii="Calibri" w:hAnsi="Calibri"/>
          <w:b/>
          <w:vertAlign w:val="subscript"/>
        </w:rPr>
        <w:t xml:space="preserve">P </w:t>
      </w:r>
      <w:r w:rsidRPr="004B37F1">
        <w:rPr>
          <w:rFonts w:ascii="Calibri" w:hAnsi="Calibri"/>
          <w:b/>
        </w:rPr>
        <w:t xml:space="preserve"> - C</w:t>
      </w:r>
      <w:r w:rsidRPr="004B37F1">
        <w:rPr>
          <w:rFonts w:ascii="Calibri" w:hAnsi="Calibri"/>
          <w:b/>
          <w:vertAlign w:val="subscript"/>
        </w:rPr>
        <w:t xml:space="preserve">R </w:t>
      </w:r>
      <w:r w:rsidRPr="004B37F1">
        <w:rPr>
          <w:rFonts w:ascii="Calibri" w:hAnsi="Calibri"/>
          <w:b/>
        </w:rPr>
        <w:t xml:space="preserve"> - Cv</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(5)</w:t>
      </w:r>
    </w:p>
    <w:p w14:paraId="3FA77ED5" w14:textId="622832D9" w:rsidR="00875923" w:rsidRPr="00331D6F" w:rsidRDefault="004B37F1" w:rsidP="00875923">
      <w:pPr>
        <w:ind w:right="-57"/>
        <w:jc w:val="both"/>
        <w:rPr>
          <w:rFonts w:ascii="Calibri" w:hAnsi="Calibri"/>
        </w:rPr>
      </w:pPr>
      <w:r>
        <w:rPr>
          <w:rFonts w:ascii="Calibri" w:hAnsi="Calibri"/>
        </w:rPr>
        <w:lastRenderedPageBreak/>
        <w:t>Pokud by U</w:t>
      </w:r>
      <w:r w:rsidRPr="00D604C1">
        <w:rPr>
          <w:rFonts w:ascii="Calibri" w:hAnsi="Calibri"/>
          <w:vertAlign w:val="subscript"/>
        </w:rPr>
        <w:t>r</w:t>
      </w:r>
      <w:r>
        <w:rPr>
          <w:rFonts w:ascii="Calibri" w:hAnsi="Calibri"/>
        </w:rPr>
        <w:t xml:space="preserve"> bylo menší než 0, nešlo by o racionální úsporu. </w:t>
      </w:r>
      <w:r w:rsidR="00875923" w:rsidRPr="00331D6F">
        <w:rPr>
          <w:rFonts w:ascii="Calibri" w:hAnsi="Calibri"/>
        </w:rPr>
        <w:t>Racionální úspora U</w:t>
      </w:r>
      <w:r w:rsidR="00875923" w:rsidRPr="00331D6F">
        <w:rPr>
          <w:rFonts w:ascii="Calibri" w:hAnsi="Calibri"/>
          <w:vertAlign w:val="subscript"/>
        </w:rPr>
        <w:t xml:space="preserve">r </w:t>
      </w:r>
      <w:r w:rsidR="00875923" w:rsidRPr="00331D6F">
        <w:rPr>
          <w:rFonts w:ascii="Calibri" w:hAnsi="Calibri"/>
        </w:rPr>
        <w:t>tedy nesmí svými důsledky vyvolat dodatečné náklady C</w:t>
      </w:r>
      <w:r w:rsidR="00875923" w:rsidRPr="00331D6F">
        <w:rPr>
          <w:rFonts w:ascii="Calibri" w:hAnsi="Calibri"/>
          <w:vertAlign w:val="subscript"/>
        </w:rPr>
        <w:t>V</w:t>
      </w:r>
      <w:r w:rsidR="00875923" w:rsidRPr="00331D6F">
        <w:rPr>
          <w:rFonts w:ascii="Calibri" w:hAnsi="Calibri"/>
        </w:rPr>
        <w:t xml:space="preserve">, které by vedly k celkovým vyšším společenským ztrátám. Pokud tato podmínka neplatí, pak se jedná o </w:t>
      </w:r>
      <w:r w:rsidR="00807AB1" w:rsidRPr="00331D6F">
        <w:rPr>
          <w:rFonts w:ascii="Calibri" w:hAnsi="Calibri"/>
        </w:rPr>
        <w:t>tzv. neracionální</w:t>
      </w:r>
      <w:r w:rsidR="00875923" w:rsidRPr="00331D6F">
        <w:rPr>
          <w:rFonts w:ascii="Calibri" w:hAnsi="Calibri"/>
        </w:rPr>
        <w:t xml:space="preserve"> úsporu. Pro </w:t>
      </w:r>
      <w:r w:rsidR="00875923" w:rsidRPr="00331D6F">
        <w:rPr>
          <w:rFonts w:ascii="Calibri" w:hAnsi="Calibri"/>
          <w:b/>
        </w:rPr>
        <w:t>neracionální úsporu U</w:t>
      </w:r>
      <w:r w:rsidR="00875923" w:rsidRPr="00331D6F">
        <w:rPr>
          <w:rFonts w:ascii="Calibri" w:hAnsi="Calibri"/>
          <w:b/>
          <w:vertAlign w:val="subscript"/>
        </w:rPr>
        <w:t>n</w:t>
      </w:r>
      <w:r w:rsidR="00875923" w:rsidRPr="00331D6F">
        <w:rPr>
          <w:rFonts w:ascii="Calibri" w:hAnsi="Calibri"/>
          <w:b/>
        </w:rPr>
        <w:t xml:space="preserve"> </w:t>
      </w:r>
      <w:r w:rsidR="00875923" w:rsidRPr="00331D6F">
        <w:rPr>
          <w:rFonts w:ascii="Calibri" w:hAnsi="Calibri"/>
        </w:rPr>
        <w:t>platí, že snížením nákladů dojde ke konečnému výsledku, že dosa</w:t>
      </w:r>
      <w:r w:rsidR="00875923">
        <w:rPr>
          <w:rFonts w:ascii="Calibri" w:hAnsi="Calibri"/>
        </w:rPr>
        <w:t>žená úspora  U  vyvolává v jiné</w:t>
      </w:r>
      <w:r w:rsidR="00875923" w:rsidRPr="00331D6F">
        <w:rPr>
          <w:rFonts w:ascii="Calibri" w:hAnsi="Calibri"/>
        </w:rPr>
        <w:t xml:space="preserve"> oblasti či v jiné aktivitě takové dodatečné vyvolané </w:t>
      </w:r>
      <w:r w:rsidR="00807AB1">
        <w:rPr>
          <w:rFonts w:ascii="Calibri" w:hAnsi="Calibri"/>
        </w:rPr>
        <w:t xml:space="preserve">náklady </w:t>
      </w:r>
      <w:r w:rsidR="00875923" w:rsidRPr="00331D6F">
        <w:rPr>
          <w:rFonts w:ascii="Calibri" w:hAnsi="Calibri"/>
        </w:rPr>
        <w:t>C</w:t>
      </w:r>
      <w:r w:rsidR="00875923" w:rsidRPr="00331D6F">
        <w:rPr>
          <w:rFonts w:ascii="Calibri" w:hAnsi="Calibri"/>
          <w:vertAlign w:val="subscript"/>
        </w:rPr>
        <w:t>V</w:t>
      </w:r>
      <w:r w:rsidR="00875923" w:rsidRPr="00331D6F">
        <w:rPr>
          <w:rFonts w:ascii="Calibri" w:hAnsi="Calibri"/>
        </w:rPr>
        <w:t xml:space="preserve">, přičemž  platí: </w:t>
      </w:r>
    </w:p>
    <w:p w14:paraId="17B9908A" w14:textId="76D930F4" w:rsidR="00875923" w:rsidRPr="00331D6F" w:rsidRDefault="00875923" w:rsidP="00875923">
      <w:pPr>
        <w:ind w:right="-57"/>
        <w:jc w:val="both"/>
        <w:rPr>
          <w:rFonts w:ascii="Calibri" w:hAnsi="Calibri"/>
        </w:rPr>
      </w:pPr>
      <w:r w:rsidRPr="00331D6F">
        <w:rPr>
          <w:rFonts w:ascii="Calibri" w:hAnsi="Calibri"/>
        </w:rPr>
        <w:t>U</w:t>
      </w:r>
      <w:r w:rsidRPr="00331D6F">
        <w:rPr>
          <w:rFonts w:ascii="Calibri" w:hAnsi="Calibri"/>
          <w:vertAlign w:val="subscript"/>
        </w:rPr>
        <w:t>n</w:t>
      </w:r>
      <w:r w:rsidRPr="00331D6F">
        <w:rPr>
          <w:rFonts w:ascii="Calibri" w:hAnsi="Calibri"/>
        </w:rPr>
        <w:t xml:space="preserve">  =  (C</w:t>
      </w:r>
      <w:r w:rsidRPr="00331D6F">
        <w:rPr>
          <w:rFonts w:ascii="Calibri" w:hAnsi="Calibri"/>
          <w:vertAlign w:val="subscript"/>
        </w:rPr>
        <w:t xml:space="preserve">P </w:t>
      </w:r>
      <w:r w:rsidRPr="00331D6F">
        <w:rPr>
          <w:rFonts w:ascii="Calibri" w:hAnsi="Calibri"/>
        </w:rPr>
        <w:t xml:space="preserve"> - C</w:t>
      </w:r>
      <w:r w:rsidRPr="00331D6F">
        <w:rPr>
          <w:rFonts w:ascii="Calibri" w:hAnsi="Calibri"/>
          <w:vertAlign w:val="subscript"/>
        </w:rPr>
        <w:t xml:space="preserve">R </w:t>
      </w:r>
      <w:r w:rsidRPr="00331D6F">
        <w:rPr>
          <w:rFonts w:ascii="Calibri" w:hAnsi="Calibri"/>
        </w:rPr>
        <w:t>) - C</w:t>
      </w:r>
      <w:r w:rsidRPr="00331D6F">
        <w:rPr>
          <w:rFonts w:ascii="Calibri" w:hAnsi="Calibri"/>
          <w:vertAlign w:val="subscript"/>
        </w:rPr>
        <w:t xml:space="preserve">V </w:t>
      </w:r>
      <w:r w:rsidR="00807AB1">
        <w:rPr>
          <w:rFonts w:ascii="Calibri" w:hAnsi="Calibri"/>
        </w:rPr>
        <w:t xml:space="preserve">  &lt; 0</w:t>
      </w:r>
      <w:r w:rsidRPr="00331D6F">
        <w:rPr>
          <w:rFonts w:ascii="Calibri" w:hAnsi="Calibri"/>
        </w:rPr>
        <w:t xml:space="preserve">, kde                                 </w:t>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r>
      <w:r w:rsidRPr="00331D6F">
        <w:rPr>
          <w:rFonts w:ascii="Calibri" w:hAnsi="Calibri"/>
        </w:rPr>
        <w:tab/>
        <w:t>(</w:t>
      </w:r>
      <w:r w:rsidR="004B37F1">
        <w:rPr>
          <w:rFonts w:ascii="Calibri" w:hAnsi="Calibri"/>
        </w:rPr>
        <w:t>6</w:t>
      </w:r>
      <w:r w:rsidRPr="00331D6F">
        <w:rPr>
          <w:rFonts w:ascii="Calibri" w:hAnsi="Calibri"/>
        </w:rPr>
        <w:t>)</w:t>
      </w:r>
    </w:p>
    <w:p w14:paraId="44EACBD5" w14:textId="4A7821D2" w:rsidR="00875923" w:rsidRPr="00331D6F" w:rsidRDefault="00875923" w:rsidP="00875923">
      <w:pPr>
        <w:ind w:right="-57"/>
        <w:jc w:val="both"/>
        <w:rPr>
          <w:rFonts w:ascii="Calibri" w:hAnsi="Calibri"/>
        </w:rPr>
      </w:pPr>
      <w:r w:rsidRPr="00331D6F">
        <w:rPr>
          <w:rFonts w:ascii="Calibri" w:hAnsi="Calibri"/>
        </w:rPr>
        <w:t>U</w:t>
      </w:r>
      <w:r w:rsidRPr="00331D6F">
        <w:rPr>
          <w:rFonts w:ascii="Calibri" w:hAnsi="Calibri"/>
          <w:vertAlign w:val="subscript"/>
        </w:rPr>
        <w:t>n</w:t>
      </w:r>
      <w:r w:rsidRPr="00331D6F">
        <w:rPr>
          <w:rFonts w:ascii="Calibri" w:hAnsi="Calibri"/>
        </w:rPr>
        <w:t xml:space="preserve">           neracionální úspora (peněžní jednotky); </w:t>
      </w:r>
      <w:r w:rsidRPr="00331D6F">
        <w:rPr>
          <w:rFonts w:ascii="Calibri" w:hAnsi="Calibri"/>
        </w:rPr>
        <w:tab/>
        <w:t>(C</w:t>
      </w:r>
      <w:r w:rsidRPr="00331D6F">
        <w:rPr>
          <w:rFonts w:ascii="Calibri" w:hAnsi="Calibri"/>
          <w:vertAlign w:val="subscript"/>
        </w:rPr>
        <w:t xml:space="preserve">P </w:t>
      </w:r>
      <w:r w:rsidRPr="00331D6F">
        <w:rPr>
          <w:rFonts w:ascii="Calibri" w:hAnsi="Calibri"/>
        </w:rPr>
        <w:t xml:space="preserve"> - C</w:t>
      </w:r>
      <w:r w:rsidRPr="00331D6F">
        <w:rPr>
          <w:rFonts w:ascii="Calibri" w:hAnsi="Calibri"/>
          <w:vertAlign w:val="subscript"/>
        </w:rPr>
        <w:t>R</w:t>
      </w:r>
      <w:r w:rsidRPr="00331D6F">
        <w:rPr>
          <w:rFonts w:ascii="Calibri" w:hAnsi="Calibri"/>
        </w:rPr>
        <w:t>)</w:t>
      </w:r>
      <w:r w:rsidRPr="00331D6F">
        <w:rPr>
          <w:rFonts w:ascii="Calibri" w:hAnsi="Calibri"/>
          <w:vertAlign w:val="subscript"/>
        </w:rPr>
        <w:t xml:space="preserve"> </w:t>
      </w:r>
      <w:r w:rsidRPr="00331D6F">
        <w:rPr>
          <w:rFonts w:ascii="Calibri" w:hAnsi="Calibri"/>
        </w:rPr>
        <w:t xml:space="preserve">  pseudoracionální úspora           </w:t>
      </w:r>
    </w:p>
    <w:p w14:paraId="7E9A9213" w14:textId="77777777" w:rsidR="00875923" w:rsidRPr="00331D6F" w:rsidRDefault="00875923" w:rsidP="00875923">
      <w:pPr>
        <w:spacing w:after="120"/>
        <w:ind w:right="-57"/>
        <w:jc w:val="both"/>
        <w:rPr>
          <w:rFonts w:ascii="Calibri" w:hAnsi="Calibri"/>
        </w:rPr>
      </w:pPr>
      <w:r w:rsidRPr="00331D6F">
        <w:rPr>
          <w:rFonts w:ascii="Calibri" w:hAnsi="Calibri"/>
        </w:rPr>
        <w:t>C</w:t>
      </w:r>
      <w:r w:rsidRPr="00331D6F">
        <w:rPr>
          <w:rFonts w:ascii="Calibri" w:hAnsi="Calibri"/>
          <w:vertAlign w:val="subscript"/>
        </w:rPr>
        <w:t xml:space="preserve">V                  </w:t>
      </w:r>
      <w:r w:rsidRPr="00331D6F">
        <w:rPr>
          <w:rFonts w:ascii="Calibri" w:hAnsi="Calibri"/>
        </w:rPr>
        <w:t xml:space="preserve">vyvolané náklady </w:t>
      </w:r>
    </w:p>
    <w:p w14:paraId="0AE2F218" w14:textId="500FA204" w:rsidR="00875923" w:rsidRDefault="00875923" w:rsidP="00875923">
      <w:pPr>
        <w:spacing w:after="120"/>
        <w:ind w:right="-57"/>
        <w:jc w:val="both"/>
        <w:rPr>
          <w:rFonts w:ascii="Calibri" w:hAnsi="Calibri"/>
        </w:rPr>
      </w:pPr>
      <w:r w:rsidRPr="00331D6F">
        <w:rPr>
          <w:rFonts w:ascii="Calibri" w:hAnsi="Calibri"/>
        </w:rPr>
        <w:t>Rozdíl mezi (C</w:t>
      </w:r>
      <w:r w:rsidRPr="00331D6F">
        <w:rPr>
          <w:rFonts w:ascii="Calibri" w:hAnsi="Calibri"/>
          <w:vertAlign w:val="subscript"/>
        </w:rPr>
        <w:t xml:space="preserve">P </w:t>
      </w:r>
      <w:r w:rsidRPr="00331D6F">
        <w:rPr>
          <w:rFonts w:ascii="Calibri" w:hAnsi="Calibri"/>
        </w:rPr>
        <w:t xml:space="preserve"> - C</w:t>
      </w:r>
      <w:r w:rsidRPr="00331D6F">
        <w:rPr>
          <w:rFonts w:ascii="Calibri" w:hAnsi="Calibri"/>
          <w:vertAlign w:val="subscript"/>
        </w:rPr>
        <w:t>R</w:t>
      </w:r>
      <w:r w:rsidRPr="00331D6F">
        <w:rPr>
          <w:rFonts w:ascii="Calibri" w:hAnsi="Calibri"/>
        </w:rPr>
        <w:t>), třebaže je kladný, představuje v případě neracionální úspory U</w:t>
      </w:r>
      <w:r w:rsidRPr="00331D6F">
        <w:rPr>
          <w:rFonts w:ascii="Calibri" w:hAnsi="Calibri"/>
          <w:vertAlign w:val="subscript"/>
        </w:rPr>
        <w:t xml:space="preserve">n </w:t>
      </w:r>
      <w:r w:rsidRPr="00331D6F">
        <w:rPr>
          <w:rFonts w:ascii="Calibri" w:hAnsi="Calibri"/>
        </w:rPr>
        <w:t xml:space="preserve"> tzv. </w:t>
      </w:r>
      <w:r w:rsidRPr="00331D6F">
        <w:rPr>
          <w:rFonts w:ascii="Calibri" w:hAnsi="Calibri"/>
          <w:b/>
        </w:rPr>
        <w:t>pseudoúsporu,</w:t>
      </w:r>
      <w:r w:rsidRPr="00331D6F">
        <w:rPr>
          <w:rFonts w:ascii="Calibri" w:hAnsi="Calibri"/>
        </w:rPr>
        <w:t xml:space="preserve"> neboť  vyvolané náklady C</w:t>
      </w:r>
      <w:r w:rsidRPr="00331D6F">
        <w:rPr>
          <w:rFonts w:ascii="Calibri" w:hAnsi="Calibri"/>
          <w:vertAlign w:val="subscript"/>
        </w:rPr>
        <w:t xml:space="preserve">V </w:t>
      </w:r>
      <w:r w:rsidRPr="00331D6F">
        <w:rPr>
          <w:rFonts w:ascii="Calibri" w:hAnsi="Calibri"/>
        </w:rPr>
        <w:t xml:space="preserve"> převyšují rozdíl mezi plánovanými náklady C</w:t>
      </w:r>
      <w:r w:rsidRPr="00331D6F">
        <w:rPr>
          <w:rFonts w:ascii="Calibri" w:hAnsi="Calibri"/>
          <w:vertAlign w:val="subscript"/>
        </w:rPr>
        <w:t>p</w:t>
      </w:r>
      <w:r w:rsidRPr="00331D6F">
        <w:rPr>
          <w:rFonts w:ascii="Calibri" w:hAnsi="Calibri"/>
        </w:rPr>
        <w:t xml:space="preserve"> a mezi reálně vynaloženými náklady C</w:t>
      </w:r>
      <w:r w:rsidRPr="00331D6F">
        <w:rPr>
          <w:rFonts w:ascii="Calibri" w:hAnsi="Calibri"/>
          <w:vertAlign w:val="subscript"/>
        </w:rPr>
        <w:t>r</w:t>
      </w:r>
      <w:r w:rsidRPr="00331D6F">
        <w:rPr>
          <w:rFonts w:ascii="Calibri" w:hAnsi="Calibri"/>
        </w:rPr>
        <w:t xml:space="preserve">. Celkově tak vzniká </w:t>
      </w:r>
      <w:r w:rsidRPr="00331D6F">
        <w:rPr>
          <w:rFonts w:ascii="Calibri" w:hAnsi="Calibri"/>
          <w:b/>
        </w:rPr>
        <w:t>záporný užitek U</w:t>
      </w:r>
      <w:r w:rsidRPr="00331D6F">
        <w:rPr>
          <w:rFonts w:ascii="Calibri" w:hAnsi="Calibri"/>
          <w:b/>
          <w:vertAlign w:val="subscript"/>
        </w:rPr>
        <w:t>n</w:t>
      </w:r>
      <w:r w:rsidRPr="00331D6F">
        <w:rPr>
          <w:rFonts w:ascii="Calibri" w:hAnsi="Calibri"/>
          <w:b/>
        </w:rPr>
        <w:t>.</w:t>
      </w:r>
      <w:r w:rsidRPr="00331D6F">
        <w:rPr>
          <w:rFonts w:ascii="Calibri" w:hAnsi="Calibri"/>
        </w:rPr>
        <w:t xml:space="preserve"> Taková aktivita je z ekonomického hlediska neracionální, nesmyslná. Je v rozporu s principem účelného nakládání se zdroji. Proto tento případ označujeme termínem </w:t>
      </w:r>
      <w:r w:rsidRPr="00331D6F">
        <w:rPr>
          <w:rFonts w:ascii="Calibri" w:hAnsi="Calibri"/>
          <w:b/>
        </w:rPr>
        <w:t>neracionální úspora.</w:t>
      </w:r>
      <w:r w:rsidRPr="00331D6F">
        <w:rPr>
          <w:rFonts w:ascii="Calibri" w:hAnsi="Calibri"/>
        </w:rPr>
        <w:t xml:space="preserve"> V praxi se takové případy oz</w:t>
      </w:r>
      <w:r w:rsidR="009B6C97">
        <w:rPr>
          <w:rFonts w:ascii="Calibri" w:hAnsi="Calibri"/>
        </w:rPr>
        <w:t>načují termíny „hloupé škrty“.</w:t>
      </w:r>
    </w:p>
    <w:p w14:paraId="02C74EA5" w14:textId="57489ABB" w:rsidR="00290C27" w:rsidRDefault="00290C27" w:rsidP="00875923">
      <w:pPr>
        <w:spacing w:after="120"/>
        <w:ind w:right="-57"/>
        <w:jc w:val="both"/>
        <w:rPr>
          <w:rFonts w:ascii="Calibri" w:hAnsi="Calibri"/>
        </w:rPr>
      </w:pPr>
    </w:p>
    <w:p w14:paraId="0E8C9FE8" w14:textId="461ACA67" w:rsidR="007F004D" w:rsidRPr="007F004D" w:rsidRDefault="00DB0BA3" w:rsidP="00E9181F">
      <w:pPr>
        <w:pStyle w:val="Nadpis2"/>
        <w:spacing w:before="240" w:after="120"/>
        <w:ind w:left="578" w:hanging="578"/>
        <w:rPr>
          <w:rFonts w:asciiTheme="minorHAnsi" w:hAnsiTheme="minorHAnsi" w:cstheme="minorHAnsi"/>
          <w:color w:val="7493B0"/>
          <w:sz w:val="24"/>
          <w:szCs w:val="24"/>
          <w:lang w:val="cs-CZ"/>
        </w:rPr>
      </w:pPr>
      <w:bookmarkStart w:id="48" w:name="_Toc117270009"/>
      <w:r>
        <w:rPr>
          <w:rFonts w:asciiTheme="minorHAnsi" w:hAnsiTheme="minorHAnsi" w:cstheme="minorHAnsi"/>
          <w:color w:val="7493B0"/>
          <w:sz w:val="24"/>
          <w:szCs w:val="24"/>
          <w:lang w:val="cs-CZ"/>
        </w:rPr>
        <w:t xml:space="preserve">Hospodaření: </w:t>
      </w:r>
      <w:r w:rsidR="00290C27" w:rsidRPr="007F004D">
        <w:rPr>
          <w:rFonts w:asciiTheme="minorHAnsi" w:hAnsiTheme="minorHAnsi" w:cstheme="minorHAnsi"/>
          <w:color w:val="7493B0"/>
          <w:sz w:val="24"/>
          <w:szCs w:val="24"/>
          <w:lang w:val="cs-CZ"/>
        </w:rPr>
        <w:t xml:space="preserve">Problematika </w:t>
      </w:r>
      <w:r w:rsidR="007F004D">
        <w:rPr>
          <w:rFonts w:asciiTheme="minorHAnsi" w:hAnsiTheme="minorHAnsi" w:cstheme="minorHAnsi"/>
          <w:color w:val="7493B0"/>
          <w:sz w:val="24"/>
          <w:szCs w:val="24"/>
          <w:lang w:val="cs-CZ"/>
        </w:rPr>
        <w:t xml:space="preserve">kritérií </w:t>
      </w:r>
      <w:r w:rsidR="0004156E" w:rsidRPr="007F004D">
        <w:rPr>
          <w:rFonts w:asciiTheme="minorHAnsi" w:hAnsiTheme="minorHAnsi" w:cstheme="minorHAnsi"/>
          <w:color w:val="7493B0"/>
          <w:sz w:val="24"/>
          <w:szCs w:val="24"/>
          <w:lang w:val="cs-CZ"/>
        </w:rPr>
        <w:t>optimalizace</w:t>
      </w:r>
      <w:bookmarkStart w:id="49" w:name="_Toc90978238"/>
      <w:bookmarkStart w:id="50" w:name="_Toc106353218"/>
      <w:r>
        <w:rPr>
          <w:rFonts w:asciiTheme="minorHAnsi" w:hAnsiTheme="minorHAnsi" w:cstheme="minorHAnsi"/>
          <w:color w:val="7493B0"/>
          <w:sz w:val="24"/>
          <w:szCs w:val="24"/>
          <w:lang w:val="cs-CZ"/>
        </w:rPr>
        <w:t xml:space="preserve"> </w:t>
      </w:r>
      <w:r w:rsidR="00124718">
        <w:rPr>
          <w:rFonts w:asciiTheme="minorHAnsi" w:hAnsiTheme="minorHAnsi" w:cstheme="minorHAnsi"/>
          <w:color w:val="7493B0"/>
          <w:sz w:val="24"/>
          <w:szCs w:val="24"/>
          <w:lang w:val="cs-CZ"/>
        </w:rPr>
        <w:t>k</w:t>
      </w:r>
      <w:r w:rsidR="007F004D" w:rsidRPr="007F004D">
        <w:rPr>
          <w:rFonts w:asciiTheme="minorHAnsi" w:hAnsiTheme="minorHAnsi" w:cstheme="minorHAnsi"/>
          <w:color w:val="7493B0"/>
          <w:sz w:val="24"/>
          <w:szCs w:val="24"/>
          <w:lang w:val="cs-CZ"/>
        </w:rPr>
        <w:t>valita – výkonnost – náklady</w:t>
      </w:r>
      <w:bookmarkEnd w:id="48"/>
      <w:r w:rsidR="007F004D" w:rsidRPr="007F004D">
        <w:rPr>
          <w:rFonts w:asciiTheme="minorHAnsi" w:hAnsiTheme="minorHAnsi" w:cstheme="minorHAnsi"/>
          <w:color w:val="7493B0"/>
          <w:sz w:val="24"/>
          <w:szCs w:val="24"/>
          <w:lang w:val="cs-CZ"/>
        </w:rPr>
        <w:t xml:space="preserve"> </w:t>
      </w:r>
      <w:bookmarkEnd w:id="49"/>
      <w:bookmarkEnd w:id="50"/>
    </w:p>
    <w:p w14:paraId="43DF403A" w14:textId="2D1FDD5F" w:rsidR="007F004D" w:rsidRPr="00E5522B" w:rsidRDefault="000F3D8A" w:rsidP="002A2AB6">
      <w:pPr>
        <w:jc w:val="both"/>
        <w:rPr>
          <w:rFonts w:asciiTheme="minorHAnsi" w:hAnsiTheme="minorHAnsi" w:cstheme="minorHAnsi"/>
        </w:rPr>
      </w:pPr>
      <w:r>
        <w:rPr>
          <w:rFonts w:asciiTheme="minorHAnsi" w:hAnsiTheme="minorHAnsi" w:cstheme="minorHAnsi"/>
        </w:rPr>
        <w:t>Součástí strategické práce v konkrétní situaci může též být hodnocení nebo optimalizace veřej</w:t>
      </w:r>
      <w:r w:rsidR="007B07FF">
        <w:rPr>
          <w:rFonts w:asciiTheme="minorHAnsi" w:hAnsiTheme="minorHAnsi" w:cstheme="minorHAnsi"/>
        </w:rPr>
        <w:t xml:space="preserve">ných služeb, činností </w:t>
      </w:r>
      <w:r>
        <w:rPr>
          <w:rFonts w:asciiTheme="minorHAnsi" w:hAnsiTheme="minorHAnsi" w:cstheme="minorHAnsi"/>
        </w:rPr>
        <w:t xml:space="preserve">a podobně. </w:t>
      </w:r>
      <w:r w:rsidR="004B37F1">
        <w:rPr>
          <w:rFonts w:asciiTheme="minorHAnsi" w:hAnsiTheme="minorHAnsi" w:cstheme="minorHAnsi"/>
        </w:rPr>
        <w:t xml:space="preserve">Jde o </w:t>
      </w:r>
      <w:r w:rsidR="004B37F1" w:rsidRPr="00031D00">
        <w:rPr>
          <w:rFonts w:asciiTheme="minorHAnsi" w:hAnsiTheme="minorHAnsi" w:cstheme="minorHAnsi"/>
          <w:b/>
        </w:rPr>
        <w:t>hodnocení procesů</w:t>
      </w:r>
      <w:r w:rsidR="004B37F1">
        <w:rPr>
          <w:rFonts w:asciiTheme="minorHAnsi" w:hAnsiTheme="minorHAnsi" w:cstheme="minorHAnsi"/>
        </w:rPr>
        <w:t>, tedy opakovaných činností (pro optimalizaci projektů se používají jiné postupy, než pro optimalizaci procesů</w:t>
      </w:r>
      <w:r w:rsidR="004B37F1">
        <w:rPr>
          <w:rStyle w:val="Znakapoznpodarou"/>
          <w:rFonts w:asciiTheme="minorHAnsi" w:hAnsiTheme="minorHAnsi" w:cstheme="minorHAnsi"/>
        </w:rPr>
        <w:footnoteReference w:id="46"/>
      </w:r>
      <w:r w:rsidR="004B37F1">
        <w:rPr>
          <w:rFonts w:asciiTheme="minorHAnsi" w:hAnsiTheme="minorHAnsi" w:cstheme="minorHAnsi"/>
        </w:rPr>
        <w:t xml:space="preserve">). </w:t>
      </w:r>
      <w:r w:rsidR="007F004D" w:rsidRPr="00E5522B">
        <w:rPr>
          <w:rFonts w:asciiTheme="minorHAnsi" w:hAnsiTheme="minorHAnsi" w:cstheme="minorHAnsi"/>
        </w:rPr>
        <w:t xml:space="preserve">Při hodnocení </w:t>
      </w:r>
      <w:r w:rsidR="002A2AB6">
        <w:rPr>
          <w:rFonts w:asciiTheme="minorHAnsi" w:hAnsiTheme="minorHAnsi" w:cstheme="minorHAnsi"/>
        </w:rPr>
        <w:t xml:space="preserve">(nebo optimalizaci) </w:t>
      </w:r>
      <w:r w:rsidR="007F004D" w:rsidRPr="00E5522B">
        <w:rPr>
          <w:rFonts w:asciiTheme="minorHAnsi" w:hAnsiTheme="minorHAnsi" w:cstheme="minorHAnsi"/>
        </w:rPr>
        <w:t>každé veřejné služby</w:t>
      </w:r>
      <w:r w:rsidR="002A2AB6">
        <w:rPr>
          <w:rFonts w:asciiTheme="minorHAnsi" w:hAnsiTheme="minorHAnsi" w:cstheme="minorHAnsi"/>
        </w:rPr>
        <w:t xml:space="preserve"> nebo šířeji jakékoli činnosti ve veřejném sektoru</w:t>
      </w:r>
      <w:r w:rsidR="00D604C1">
        <w:rPr>
          <w:rFonts w:asciiTheme="minorHAnsi" w:hAnsiTheme="minorHAnsi" w:cstheme="minorHAnsi"/>
        </w:rPr>
        <w:t>,</w:t>
      </w:r>
      <w:r w:rsidR="007F004D" w:rsidRPr="00E5522B">
        <w:rPr>
          <w:rFonts w:asciiTheme="minorHAnsi" w:hAnsiTheme="minorHAnsi" w:cstheme="minorHAnsi"/>
        </w:rPr>
        <w:t xml:space="preserve"> je nezbytné stanovit vhodn</w:t>
      </w:r>
      <w:r w:rsidR="00F67ABB">
        <w:rPr>
          <w:rFonts w:asciiTheme="minorHAnsi" w:hAnsiTheme="minorHAnsi" w:cstheme="minorHAnsi"/>
        </w:rPr>
        <w:t>á</w:t>
      </w:r>
      <w:r w:rsidR="007F004D" w:rsidRPr="00E5522B">
        <w:rPr>
          <w:rFonts w:asciiTheme="minorHAnsi" w:hAnsiTheme="minorHAnsi" w:cstheme="minorHAnsi"/>
        </w:rPr>
        <w:t xml:space="preserve"> </w:t>
      </w:r>
      <w:r w:rsidR="002A2AB6">
        <w:rPr>
          <w:rFonts w:asciiTheme="minorHAnsi" w:hAnsiTheme="minorHAnsi" w:cstheme="minorHAnsi"/>
        </w:rPr>
        <w:t>kritéria</w:t>
      </w:r>
      <w:r w:rsidR="007F004D" w:rsidRPr="00E5522B">
        <w:rPr>
          <w:rFonts w:asciiTheme="minorHAnsi" w:hAnsiTheme="minorHAnsi" w:cstheme="minorHAnsi"/>
        </w:rPr>
        <w:t xml:space="preserve"> pro její hodnocení. </w:t>
      </w:r>
      <w:r w:rsidR="002A2AB6">
        <w:rPr>
          <w:rFonts w:asciiTheme="minorHAnsi" w:hAnsiTheme="minorHAnsi" w:cstheme="minorHAnsi"/>
        </w:rPr>
        <w:t>M</w:t>
      </w:r>
      <w:r w:rsidR="007F004D" w:rsidRPr="00E5522B">
        <w:rPr>
          <w:rFonts w:asciiTheme="minorHAnsi" w:hAnsiTheme="minorHAnsi" w:cstheme="minorHAnsi"/>
        </w:rPr>
        <w:t xml:space="preserve">ají </w:t>
      </w:r>
      <w:r w:rsidR="002A2AB6">
        <w:rPr>
          <w:rFonts w:asciiTheme="minorHAnsi" w:hAnsiTheme="minorHAnsi" w:cstheme="minorHAnsi"/>
        </w:rPr>
        <w:t xml:space="preserve">se </w:t>
      </w:r>
      <w:r w:rsidR="007F004D" w:rsidRPr="00E5522B">
        <w:rPr>
          <w:rFonts w:asciiTheme="minorHAnsi" w:hAnsiTheme="minorHAnsi" w:cstheme="minorHAnsi"/>
        </w:rPr>
        <w:t xml:space="preserve">týkat </w:t>
      </w:r>
      <w:r w:rsidR="002A2AB6">
        <w:rPr>
          <w:rFonts w:asciiTheme="minorHAnsi" w:hAnsiTheme="minorHAnsi" w:cstheme="minorHAnsi"/>
        </w:rPr>
        <w:t>nejméně následujících tří oblastí</w:t>
      </w:r>
      <w:r w:rsidR="007F004D" w:rsidRPr="00E5522B">
        <w:rPr>
          <w:rFonts w:asciiTheme="minorHAnsi" w:hAnsiTheme="minorHAnsi" w:cstheme="minorHAnsi"/>
        </w:rPr>
        <w:t xml:space="preserve">: </w:t>
      </w:r>
    </w:p>
    <w:p w14:paraId="66AFCCB5" w14:textId="09FA02A3" w:rsidR="007F004D" w:rsidRPr="002A2AB6" w:rsidRDefault="002A2AB6" w:rsidP="0065698B">
      <w:pPr>
        <w:pStyle w:val="Odstavecseseznamem"/>
        <w:numPr>
          <w:ilvl w:val="0"/>
          <w:numId w:val="50"/>
        </w:numPr>
        <w:ind w:left="426"/>
        <w:jc w:val="both"/>
        <w:rPr>
          <w:rFonts w:asciiTheme="minorHAnsi" w:hAnsiTheme="minorHAnsi" w:cstheme="minorHAnsi"/>
        </w:rPr>
      </w:pPr>
      <w:r w:rsidRPr="002A2AB6">
        <w:rPr>
          <w:rFonts w:asciiTheme="minorHAnsi" w:hAnsiTheme="minorHAnsi" w:cstheme="minorHAnsi"/>
        </w:rPr>
        <w:t>dosahované</w:t>
      </w:r>
      <w:r>
        <w:rPr>
          <w:rFonts w:asciiTheme="minorHAnsi" w:hAnsiTheme="minorHAnsi" w:cstheme="minorHAnsi"/>
          <w:b/>
        </w:rPr>
        <w:t xml:space="preserve"> </w:t>
      </w:r>
      <w:r w:rsidR="007F004D" w:rsidRPr="002A2AB6">
        <w:rPr>
          <w:rFonts w:asciiTheme="minorHAnsi" w:hAnsiTheme="minorHAnsi" w:cstheme="minorHAnsi"/>
          <w:b/>
        </w:rPr>
        <w:t>kvality (</w:t>
      </w:r>
      <w:r>
        <w:rPr>
          <w:rFonts w:asciiTheme="minorHAnsi" w:hAnsiTheme="minorHAnsi" w:cstheme="minorHAnsi"/>
          <w:b/>
        </w:rPr>
        <w:t xml:space="preserve">nebo </w:t>
      </w:r>
      <w:r w:rsidR="007F004D" w:rsidRPr="002A2AB6">
        <w:rPr>
          <w:rFonts w:asciiTheme="minorHAnsi" w:hAnsiTheme="minorHAnsi" w:cstheme="minorHAnsi"/>
          <w:b/>
        </w:rPr>
        <w:t xml:space="preserve">dodržení </w:t>
      </w:r>
      <w:r>
        <w:rPr>
          <w:rFonts w:asciiTheme="minorHAnsi" w:hAnsiTheme="minorHAnsi" w:cstheme="minorHAnsi"/>
          <w:b/>
        </w:rPr>
        <w:t xml:space="preserve">stanoveného </w:t>
      </w:r>
      <w:r w:rsidR="007F004D" w:rsidRPr="002A2AB6">
        <w:rPr>
          <w:rFonts w:asciiTheme="minorHAnsi" w:hAnsiTheme="minorHAnsi" w:cstheme="minorHAnsi"/>
          <w:b/>
        </w:rPr>
        <w:t>standardu)</w:t>
      </w:r>
      <w:r w:rsidR="007F004D" w:rsidRPr="002A2AB6">
        <w:rPr>
          <w:rFonts w:asciiTheme="minorHAnsi" w:hAnsiTheme="minorHAnsi" w:cstheme="minorHAnsi"/>
        </w:rPr>
        <w:t xml:space="preserve"> </w:t>
      </w:r>
      <w:r>
        <w:rPr>
          <w:rFonts w:asciiTheme="minorHAnsi" w:hAnsiTheme="minorHAnsi" w:cstheme="minorHAnsi"/>
        </w:rPr>
        <w:t xml:space="preserve">– </w:t>
      </w:r>
      <w:r w:rsidR="00E9181F">
        <w:rPr>
          <w:rFonts w:asciiTheme="minorHAnsi" w:hAnsiTheme="minorHAnsi" w:cstheme="minorHAnsi"/>
        </w:rPr>
        <w:t xml:space="preserve">je potřeba vymezit znaky kvality, </w:t>
      </w:r>
      <w:r>
        <w:rPr>
          <w:rFonts w:asciiTheme="minorHAnsi" w:hAnsiTheme="minorHAnsi" w:cstheme="minorHAnsi"/>
        </w:rPr>
        <w:t xml:space="preserve">mimo jiné </w:t>
      </w:r>
      <w:r w:rsidR="00E9181F">
        <w:rPr>
          <w:rFonts w:asciiTheme="minorHAnsi" w:hAnsiTheme="minorHAnsi" w:cstheme="minorHAnsi"/>
        </w:rPr>
        <w:t>může zahrnovat</w:t>
      </w:r>
      <w:r>
        <w:rPr>
          <w:rFonts w:asciiTheme="minorHAnsi" w:hAnsiTheme="minorHAnsi" w:cstheme="minorHAnsi"/>
        </w:rPr>
        <w:t xml:space="preserve"> </w:t>
      </w:r>
      <w:r w:rsidR="007F004D" w:rsidRPr="002A2AB6">
        <w:rPr>
          <w:rFonts w:asciiTheme="minorHAnsi" w:hAnsiTheme="minorHAnsi" w:cstheme="minorHAnsi"/>
        </w:rPr>
        <w:t>dostupnost poskytované služby</w:t>
      </w:r>
      <w:r w:rsidR="00124718">
        <w:rPr>
          <w:rFonts w:asciiTheme="minorHAnsi" w:hAnsiTheme="minorHAnsi" w:cstheme="minorHAnsi"/>
        </w:rPr>
        <w:t xml:space="preserve"> (geografická, časová)</w:t>
      </w:r>
      <w:r w:rsidR="007F004D" w:rsidRPr="002A2AB6">
        <w:rPr>
          <w:rFonts w:asciiTheme="minorHAnsi" w:hAnsiTheme="minorHAnsi" w:cstheme="minorHAnsi"/>
        </w:rPr>
        <w:t xml:space="preserve"> včetně časového parametru</w:t>
      </w:r>
      <w:r w:rsidR="00124718">
        <w:rPr>
          <w:rFonts w:asciiTheme="minorHAnsi" w:hAnsiTheme="minorHAnsi" w:cstheme="minorHAnsi"/>
        </w:rPr>
        <w:t xml:space="preserve"> (rychlost, včasnost),</w:t>
      </w:r>
      <w:r w:rsidR="007F004D" w:rsidRPr="002A2AB6">
        <w:rPr>
          <w:rFonts w:asciiTheme="minorHAnsi" w:hAnsiTheme="minorHAnsi" w:cstheme="minorHAnsi"/>
        </w:rPr>
        <w:t xml:space="preserve"> </w:t>
      </w:r>
    </w:p>
    <w:p w14:paraId="014D1B37" w14:textId="6F6C28C9" w:rsidR="007F004D" w:rsidRPr="002A2AB6" w:rsidRDefault="002A2AB6" w:rsidP="0065698B">
      <w:pPr>
        <w:pStyle w:val="Odstavecseseznamem"/>
        <w:numPr>
          <w:ilvl w:val="0"/>
          <w:numId w:val="50"/>
        </w:numPr>
        <w:ind w:left="426"/>
        <w:jc w:val="both"/>
        <w:rPr>
          <w:rFonts w:asciiTheme="minorHAnsi" w:hAnsiTheme="minorHAnsi" w:cstheme="minorHAnsi"/>
        </w:rPr>
      </w:pPr>
      <w:r w:rsidRPr="002A2AB6">
        <w:rPr>
          <w:rFonts w:asciiTheme="minorHAnsi" w:hAnsiTheme="minorHAnsi" w:cstheme="minorHAnsi"/>
        </w:rPr>
        <w:t>poskytovaný</w:t>
      </w:r>
      <w:r w:rsidR="00D40AB7">
        <w:rPr>
          <w:rFonts w:asciiTheme="minorHAnsi" w:hAnsiTheme="minorHAnsi" w:cstheme="minorHAnsi"/>
        </w:rPr>
        <w:t>ch</w:t>
      </w:r>
      <w:r>
        <w:rPr>
          <w:rFonts w:asciiTheme="minorHAnsi" w:hAnsiTheme="minorHAnsi" w:cstheme="minorHAnsi"/>
          <w:b/>
        </w:rPr>
        <w:t xml:space="preserve"> výkonů</w:t>
      </w:r>
      <w:r w:rsidR="007F004D" w:rsidRPr="002A2AB6">
        <w:rPr>
          <w:rFonts w:asciiTheme="minorHAnsi" w:hAnsiTheme="minorHAnsi" w:cstheme="minorHAnsi"/>
          <w:b/>
        </w:rPr>
        <w:t xml:space="preserve"> </w:t>
      </w:r>
      <w:r w:rsidR="007F004D" w:rsidRPr="002A2AB6">
        <w:rPr>
          <w:rFonts w:asciiTheme="minorHAnsi" w:hAnsiTheme="minorHAnsi" w:cstheme="minorHAnsi"/>
        </w:rPr>
        <w:t xml:space="preserve">veřejné služby (může jít například o rozsah poskytování služby), </w:t>
      </w:r>
    </w:p>
    <w:p w14:paraId="0619D032" w14:textId="1C4302DA" w:rsidR="007F004D" w:rsidRPr="002A2AB6" w:rsidRDefault="007F004D" w:rsidP="0065698B">
      <w:pPr>
        <w:pStyle w:val="Odstavecseseznamem"/>
        <w:numPr>
          <w:ilvl w:val="0"/>
          <w:numId w:val="50"/>
        </w:numPr>
        <w:ind w:left="426"/>
        <w:jc w:val="both"/>
        <w:rPr>
          <w:rFonts w:asciiTheme="minorHAnsi" w:hAnsiTheme="minorHAnsi" w:cstheme="minorHAnsi"/>
        </w:rPr>
      </w:pPr>
      <w:r w:rsidRPr="002A2AB6">
        <w:rPr>
          <w:rFonts w:asciiTheme="minorHAnsi" w:hAnsiTheme="minorHAnsi" w:cstheme="minorHAnsi"/>
          <w:b/>
        </w:rPr>
        <w:t>nákladů</w:t>
      </w:r>
      <w:r w:rsidRPr="002A2AB6">
        <w:rPr>
          <w:rFonts w:asciiTheme="minorHAnsi" w:hAnsiTheme="minorHAnsi" w:cstheme="minorHAnsi"/>
        </w:rPr>
        <w:t xml:space="preserve"> </w:t>
      </w:r>
      <w:r w:rsidR="002A2AB6">
        <w:rPr>
          <w:rFonts w:asciiTheme="minorHAnsi" w:hAnsiTheme="minorHAnsi" w:cstheme="minorHAnsi"/>
        </w:rPr>
        <w:t xml:space="preserve">(výdajů) </w:t>
      </w:r>
      <w:r w:rsidRPr="002A2AB6">
        <w:rPr>
          <w:rFonts w:asciiTheme="minorHAnsi" w:hAnsiTheme="minorHAnsi" w:cstheme="minorHAnsi"/>
        </w:rPr>
        <w:t xml:space="preserve">vynaložených na tuto službu (pokud má služba též výnosy, pak bychom mluvili o optimalizaci rozpočtu). </w:t>
      </w:r>
      <w:r w:rsidR="002A2AB6">
        <w:rPr>
          <w:rFonts w:asciiTheme="minorHAnsi" w:hAnsiTheme="minorHAnsi" w:cstheme="minorHAnsi"/>
        </w:rPr>
        <w:t>Třetí</w:t>
      </w:r>
      <w:r w:rsidR="00AC2A25">
        <w:rPr>
          <w:rFonts w:asciiTheme="minorHAnsi" w:hAnsiTheme="minorHAnsi" w:cstheme="minorHAnsi"/>
        </w:rPr>
        <w:t xml:space="preserve"> kritérium se týká tohoto textu</w:t>
      </w:r>
      <w:r w:rsidR="002A2AB6">
        <w:rPr>
          <w:rFonts w:asciiTheme="minorHAnsi" w:hAnsiTheme="minorHAnsi" w:cstheme="minorHAnsi"/>
        </w:rPr>
        <w:t>.</w:t>
      </w:r>
    </w:p>
    <w:p w14:paraId="12537DDF" w14:textId="67C86A57" w:rsidR="007F004D" w:rsidRDefault="007F004D" w:rsidP="002A2AB6">
      <w:pPr>
        <w:jc w:val="both"/>
        <w:rPr>
          <w:rFonts w:asciiTheme="minorHAnsi" w:hAnsiTheme="minorHAnsi" w:cstheme="minorHAnsi"/>
        </w:rPr>
      </w:pPr>
      <w:r w:rsidRPr="00E5522B">
        <w:rPr>
          <w:rFonts w:asciiTheme="minorHAnsi" w:hAnsiTheme="minorHAnsi" w:cstheme="minorHAnsi"/>
        </w:rPr>
        <w:lastRenderedPageBreak/>
        <w:t>Vztah kvality, výkonů a nákladů ukazuje následující tabulka.</w:t>
      </w:r>
      <w:r w:rsidR="002A2AB6">
        <w:rPr>
          <w:rFonts w:asciiTheme="minorHAnsi" w:hAnsiTheme="minorHAnsi" w:cstheme="minorHAnsi"/>
        </w:rPr>
        <w:t xml:space="preserve"> </w:t>
      </w:r>
    </w:p>
    <w:p w14:paraId="28107FB2" w14:textId="2AAE66BF" w:rsidR="007F004D" w:rsidRPr="001D789C" w:rsidRDefault="007F004D" w:rsidP="007F004D">
      <w:pPr>
        <w:rPr>
          <w:rFonts w:asciiTheme="minorHAnsi" w:hAnsiTheme="minorHAnsi" w:cstheme="minorHAnsi"/>
          <w:i/>
        </w:rPr>
      </w:pPr>
      <w:r w:rsidRPr="001D789C">
        <w:rPr>
          <w:rFonts w:asciiTheme="minorHAnsi" w:hAnsiTheme="minorHAnsi" w:cstheme="minorHAnsi"/>
          <w:i/>
        </w:rPr>
        <w:t xml:space="preserve">Tab. </w:t>
      </w:r>
      <w:r w:rsidR="00EA14C5">
        <w:rPr>
          <w:rFonts w:asciiTheme="minorHAnsi" w:hAnsiTheme="minorHAnsi" w:cstheme="minorHAnsi"/>
          <w:i/>
        </w:rPr>
        <w:t>1</w:t>
      </w:r>
      <w:r w:rsidR="00C14739">
        <w:rPr>
          <w:rFonts w:asciiTheme="minorHAnsi" w:hAnsiTheme="minorHAnsi" w:cstheme="minorHAnsi"/>
          <w:i/>
        </w:rPr>
        <w:t>7</w:t>
      </w:r>
      <w:r w:rsidR="00EA14C5">
        <w:rPr>
          <w:rFonts w:asciiTheme="minorHAnsi" w:hAnsiTheme="minorHAnsi" w:cstheme="minorHAnsi"/>
          <w:i/>
        </w:rPr>
        <w:t xml:space="preserve"> </w:t>
      </w:r>
      <w:r w:rsidRPr="001D789C">
        <w:rPr>
          <w:rFonts w:asciiTheme="minorHAnsi" w:hAnsiTheme="minorHAnsi" w:cstheme="minorHAnsi"/>
          <w:i/>
        </w:rPr>
        <w:t>Vztah kvalita – výkony – náklady veřejné služby</w:t>
      </w:r>
      <w:r w:rsidR="00F713CB" w:rsidRPr="001D789C">
        <w:rPr>
          <w:rFonts w:asciiTheme="minorHAnsi" w:hAnsiTheme="minorHAnsi" w:cstheme="minorHAnsi"/>
          <w:i/>
        </w:rPr>
        <w:t xml:space="preserve"> (příklady scénářů)</w:t>
      </w:r>
    </w:p>
    <w:tbl>
      <w:tblPr>
        <w:tblW w:w="91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417"/>
        <w:gridCol w:w="1418"/>
        <w:gridCol w:w="1417"/>
        <w:gridCol w:w="1821"/>
      </w:tblGrid>
      <w:tr w:rsidR="007F004D" w14:paraId="02940176" w14:textId="77777777" w:rsidTr="000F3D8A">
        <w:trPr>
          <w:cantSplit/>
          <w:trHeight w:val="285"/>
        </w:trPr>
        <w:tc>
          <w:tcPr>
            <w:tcW w:w="3044" w:type="dxa"/>
            <w:vMerge w:val="restart"/>
            <w:shd w:val="clear" w:color="auto" w:fill="E7E6E6" w:themeFill="background2"/>
            <w:vAlign w:val="center"/>
          </w:tcPr>
          <w:p w14:paraId="1BFFA589" w14:textId="77777777" w:rsidR="007F004D" w:rsidRPr="00F713CB" w:rsidRDefault="007F004D" w:rsidP="00F713CB">
            <w:pPr>
              <w:spacing w:line="240" w:lineRule="auto"/>
              <w:rPr>
                <w:rFonts w:asciiTheme="minorHAnsi" w:hAnsiTheme="minorHAnsi" w:cstheme="minorHAnsi"/>
                <w:b/>
                <w:sz w:val="16"/>
                <w:szCs w:val="16"/>
              </w:rPr>
            </w:pPr>
          </w:p>
          <w:p w14:paraId="397E3264" w14:textId="5FE35B58" w:rsidR="007F004D" w:rsidRPr="00F713CB" w:rsidRDefault="00F713CB" w:rsidP="00F713CB">
            <w:pPr>
              <w:spacing w:line="240" w:lineRule="auto"/>
              <w:rPr>
                <w:rFonts w:asciiTheme="minorHAnsi" w:hAnsiTheme="minorHAnsi" w:cstheme="minorHAnsi"/>
                <w:b/>
                <w:sz w:val="22"/>
                <w:szCs w:val="22"/>
              </w:rPr>
            </w:pPr>
            <w:r w:rsidRPr="00F713CB">
              <w:rPr>
                <w:rFonts w:asciiTheme="minorHAnsi" w:hAnsiTheme="minorHAnsi" w:cstheme="minorHAnsi"/>
                <w:b/>
                <w:sz w:val="22"/>
                <w:szCs w:val="22"/>
              </w:rPr>
              <w:t>Scénář hodnocené veřejné služby</w:t>
            </w:r>
            <w:r w:rsidR="007F004D" w:rsidRPr="00F713CB">
              <w:rPr>
                <w:rFonts w:asciiTheme="minorHAnsi" w:hAnsiTheme="minorHAnsi" w:cstheme="minorHAnsi"/>
                <w:b/>
                <w:sz w:val="22"/>
                <w:szCs w:val="22"/>
              </w:rPr>
              <w:t>:</w:t>
            </w:r>
          </w:p>
        </w:tc>
        <w:tc>
          <w:tcPr>
            <w:tcW w:w="4252" w:type="dxa"/>
            <w:gridSpan w:val="3"/>
            <w:shd w:val="clear" w:color="auto" w:fill="E7E6E6" w:themeFill="background2"/>
            <w:vAlign w:val="center"/>
          </w:tcPr>
          <w:p w14:paraId="395FF3F4" w14:textId="5EA8527F" w:rsidR="007F004D" w:rsidRPr="00F713CB" w:rsidRDefault="000F3D8A" w:rsidP="000F3D8A">
            <w:pPr>
              <w:spacing w:line="240" w:lineRule="auto"/>
              <w:jc w:val="center"/>
              <w:rPr>
                <w:rFonts w:asciiTheme="minorHAnsi" w:hAnsiTheme="minorHAnsi" w:cstheme="minorHAnsi"/>
                <w:b/>
                <w:sz w:val="22"/>
                <w:szCs w:val="22"/>
              </w:rPr>
            </w:pPr>
            <w:r>
              <w:rPr>
                <w:rFonts w:asciiTheme="minorHAnsi" w:hAnsiTheme="minorHAnsi" w:cstheme="minorHAnsi"/>
                <w:b/>
                <w:sz w:val="22"/>
                <w:szCs w:val="22"/>
              </w:rPr>
              <w:t>Sledovaná</w:t>
            </w:r>
            <w:r w:rsidR="007F004D" w:rsidRPr="00F713CB">
              <w:rPr>
                <w:rFonts w:asciiTheme="minorHAnsi" w:hAnsiTheme="minorHAnsi" w:cstheme="minorHAnsi"/>
                <w:b/>
                <w:sz w:val="22"/>
                <w:szCs w:val="22"/>
              </w:rPr>
              <w:t xml:space="preserve"> </w:t>
            </w:r>
            <w:r>
              <w:rPr>
                <w:rFonts w:asciiTheme="minorHAnsi" w:hAnsiTheme="minorHAnsi" w:cstheme="minorHAnsi"/>
                <w:b/>
                <w:sz w:val="22"/>
                <w:szCs w:val="22"/>
              </w:rPr>
              <w:t>kritéria</w:t>
            </w:r>
            <w:r w:rsidR="007F004D" w:rsidRPr="00F713CB">
              <w:rPr>
                <w:rFonts w:asciiTheme="minorHAnsi" w:hAnsiTheme="minorHAnsi" w:cstheme="minorHAnsi"/>
                <w:b/>
                <w:sz w:val="22"/>
                <w:szCs w:val="22"/>
              </w:rPr>
              <w:t xml:space="preserve"> </w:t>
            </w:r>
            <w:r>
              <w:rPr>
                <w:rFonts w:asciiTheme="minorHAnsi" w:hAnsiTheme="minorHAnsi" w:cstheme="minorHAnsi"/>
                <w:b/>
                <w:sz w:val="22"/>
                <w:szCs w:val="22"/>
              </w:rPr>
              <w:t xml:space="preserve">hodnocení </w:t>
            </w:r>
            <w:r w:rsidR="007F004D" w:rsidRPr="00F713CB">
              <w:rPr>
                <w:rFonts w:asciiTheme="minorHAnsi" w:hAnsiTheme="minorHAnsi" w:cstheme="minorHAnsi"/>
                <w:b/>
                <w:sz w:val="22"/>
                <w:szCs w:val="22"/>
              </w:rPr>
              <w:t>veřejné služby</w:t>
            </w:r>
          </w:p>
        </w:tc>
        <w:tc>
          <w:tcPr>
            <w:tcW w:w="1821" w:type="dxa"/>
            <w:vMerge w:val="restart"/>
            <w:shd w:val="clear" w:color="auto" w:fill="E7E6E6" w:themeFill="background2"/>
            <w:vAlign w:val="center"/>
          </w:tcPr>
          <w:p w14:paraId="311EB860" w14:textId="28172030" w:rsidR="007F004D" w:rsidRPr="00FF13FB" w:rsidRDefault="000F3D8A" w:rsidP="000F3D8A">
            <w:pPr>
              <w:spacing w:line="240" w:lineRule="auto"/>
              <w:jc w:val="center"/>
              <w:rPr>
                <w:rFonts w:asciiTheme="minorHAnsi" w:hAnsiTheme="minorHAnsi" w:cstheme="minorHAnsi"/>
                <w:b/>
                <w:sz w:val="22"/>
                <w:szCs w:val="22"/>
              </w:rPr>
            </w:pPr>
            <w:r>
              <w:rPr>
                <w:rFonts w:asciiTheme="minorHAnsi" w:hAnsiTheme="minorHAnsi" w:cstheme="minorHAnsi"/>
                <w:b/>
                <w:sz w:val="22"/>
                <w:szCs w:val="22"/>
              </w:rPr>
              <w:t>Vysvětlivky</w:t>
            </w:r>
            <w:r w:rsidR="007F004D" w:rsidRPr="00F713CB">
              <w:rPr>
                <w:rFonts w:asciiTheme="minorHAnsi" w:hAnsiTheme="minorHAnsi" w:cstheme="minorHAnsi"/>
                <w:b/>
                <w:sz w:val="22"/>
                <w:szCs w:val="22"/>
              </w:rPr>
              <w:t>:</w:t>
            </w:r>
          </w:p>
        </w:tc>
      </w:tr>
      <w:tr w:rsidR="000F3D8A" w14:paraId="541C7603" w14:textId="77777777" w:rsidTr="00FF13FB">
        <w:trPr>
          <w:cantSplit/>
          <w:trHeight w:val="397"/>
        </w:trPr>
        <w:tc>
          <w:tcPr>
            <w:tcW w:w="3044" w:type="dxa"/>
            <w:vMerge/>
            <w:shd w:val="clear" w:color="auto" w:fill="E7E6E6" w:themeFill="background2"/>
            <w:vAlign w:val="center"/>
          </w:tcPr>
          <w:p w14:paraId="0308C365" w14:textId="77777777" w:rsidR="007F004D" w:rsidRPr="00F713CB" w:rsidRDefault="007F004D" w:rsidP="00F713CB">
            <w:pPr>
              <w:spacing w:line="240" w:lineRule="auto"/>
              <w:rPr>
                <w:rFonts w:asciiTheme="minorHAnsi" w:hAnsiTheme="minorHAnsi" w:cstheme="minorHAnsi"/>
                <w:b/>
                <w:sz w:val="22"/>
                <w:szCs w:val="22"/>
              </w:rPr>
            </w:pPr>
          </w:p>
        </w:tc>
        <w:tc>
          <w:tcPr>
            <w:tcW w:w="1417" w:type="dxa"/>
            <w:shd w:val="clear" w:color="auto" w:fill="E7E6E6" w:themeFill="background2"/>
            <w:vAlign w:val="center"/>
          </w:tcPr>
          <w:p w14:paraId="023C9DAA" w14:textId="77777777" w:rsidR="007F004D" w:rsidRPr="00F713CB" w:rsidRDefault="007F004D" w:rsidP="00E9181F">
            <w:pPr>
              <w:spacing w:line="240" w:lineRule="auto"/>
              <w:jc w:val="center"/>
              <w:rPr>
                <w:rFonts w:asciiTheme="minorHAnsi" w:hAnsiTheme="minorHAnsi" w:cstheme="minorHAnsi"/>
                <w:b/>
                <w:sz w:val="22"/>
                <w:szCs w:val="22"/>
              </w:rPr>
            </w:pPr>
            <w:r w:rsidRPr="00F713CB">
              <w:rPr>
                <w:rFonts w:asciiTheme="minorHAnsi" w:hAnsiTheme="minorHAnsi" w:cstheme="minorHAnsi"/>
                <w:b/>
                <w:sz w:val="22"/>
                <w:szCs w:val="22"/>
              </w:rPr>
              <w:t>kvalita</w:t>
            </w:r>
          </w:p>
        </w:tc>
        <w:tc>
          <w:tcPr>
            <w:tcW w:w="1418" w:type="dxa"/>
            <w:shd w:val="clear" w:color="auto" w:fill="E7E6E6" w:themeFill="background2"/>
            <w:vAlign w:val="center"/>
          </w:tcPr>
          <w:p w14:paraId="6A792E0F" w14:textId="77777777" w:rsidR="007F004D" w:rsidRPr="00F713CB" w:rsidRDefault="007F004D" w:rsidP="00E9181F">
            <w:pPr>
              <w:spacing w:line="240" w:lineRule="auto"/>
              <w:jc w:val="center"/>
              <w:rPr>
                <w:rFonts w:asciiTheme="minorHAnsi" w:hAnsiTheme="minorHAnsi" w:cstheme="minorHAnsi"/>
                <w:b/>
                <w:sz w:val="22"/>
                <w:szCs w:val="22"/>
              </w:rPr>
            </w:pPr>
            <w:r w:rsidRPr="00F713CB">
              <w:rPr>
                <w:rFonts w:asciiTheme="minorHAnsi" w:hAnsiTheme="minorHAnsi" w:cstheme="minorHAnsi"/>
                <w:b/>
                <w:sz w:val="22"/>
                <w:szCs w:val="22"/>
              </w:rPr>
              <w:t>výkony</w:t>
            </w:r>
          </w:p>
        </w:tc>
        <w:tc>
          <w:tcPr>
            <w:tcW w:w="1417" w:type="dxa"/>
            <w:shd w:val="clear" w:color="auto" w:fill="E7E6E6" w:themeFill="background2"/>
            <w:vAlign w:val="center"/>
          </w:tcPr>
          <w:p w14:paraId="45E8ED93" w14:textId="77777777" w:rsidR="007F004D" w:rsidRPr="00F713CB" w:rsidRDefault="007F004D" w:rsidP="00E9181F">
            <w:pPr>
              <w:spacing w:line="240" w:lineRule="auto"/>
              <w:jc w:val="center"/>
              <w:rPr>
                <w:rFonts w:asciiTheme="minorHAnsi" w:hAnsiTheme="minorHAnsi" w:cstheme="minorHAnsi"/>
                <w:b/>
                <w:sz w:val="22"/>
                <w:szCs w:val="22"/>
              </w:rPr>
            </w:pPr>
            <w:r w:rsidRPr="00F713CB">
              <w:rPr>
                <w:rFonts w:asciiTheme="minorHAnsi" w:hAnsiTheme="minorHAnsi" w:cstheme="minorHAnsi"/>
                <w:b/>
                <w:sz w:val="22"/>
                <w:szCs w:val="22"/>
              </w:rPr>
              <w:t>n</w:t>
            </w:r>
            <w:r w:rsidRPr="00FF13FB">
              <w:rPr>
                <w:rFonts w:asciiTheme="minorHAnsi" w:hAnsiTheme="minorHAnsi" w:cstheme="minorHAnsi"/>
                <w:b/>
                <w:sz w:val="22"/>
                <w:szCs w:val="22"/>
              </w:rPr>
              <w:t>áklady</w:t>
            </w:r>
          </w:p>
        </w:tc>
        <w:tc>
          <w:tcPr>
            <w:tcW w:w="1821" w:type="dxa"/>
            <w:vMerge/>
            <w:shd w:val="clear" w:color="auto" w:fill="FFFF00"/>
            <w:vAlign w:val="center"/>
          </w:tcPr>
          <w:p w14:paraId="13EF0842" w14:textId="77777777" w:rsidR="007F004D" w:rsidRPr="00FF13FB" w:rsidRDefault="007F004D" w:rsidP="00E9181F">
            <w:pPr>
              <w:spacing w:line="240" w:lineRule="auto"/>
              <w:jc w:val="center"/>
              <w:rPr>
                <w:rFonts w:asciiTheme="minorHAnsi" w:hAnsiTheme="minorHAnsi" w:cstheme="minorHAnsi"/>
                <w:b/>
                <w:sz w:val="22"/>
                <w:szCs w:val="22"/>
              </w:rPr>
            </w:pPr>
          </w:p>
        </w:tc>
      </w:tr>
      <w:tr w:rsidR="007F004D" w14:paraId="0F09927A" w14:textId="77777777" w:rsidTr="000F3D8A">
        <w:trPr>
          <w:cantSplit/>
          <w:trHeight w:val="254"/>
        </w:trPr>
        <w:tc>
          <w:tcPr>
            <w:tcW w:w="3044" w:type="dxa"/>
            <w:shd w:val="clear" w:color="auto" w:fill="E7E6E6" w:themeFill="background2"/>
            <w:vAlign w:val="center"/>
          </w:tcPr>
          <w:p w14:paraId="62E8271B" w14:textId="7604706A" w:rsidR="007F004D" w:rsidRPr="00F713CB" w:rsidRDefault="007F004D" w:rsidP="00F713CB">
            <w:pPr>
              <w:spacing w:line="240" w:lineRule="auto"/>
              <w:rPr>
                <w:rFonts w:asciiTheme="minorHAnsi" w:hAnsiTheme="minorHAnsi" w:cstheme="minorHAnsi"/>
                <w:b/>
                <w:sz w:val="22"/>
                <w:szCs w:val="22"/>
              </w:rPr>
            </w:pPr>
            <w:r w:rsidRPr="00F713CB">
              <w:rPr>
                <w:rFonts w:asciiTheme="minorHAnsi" w:hAnsiTheme="minorHAnsi" w:cstheme="minorHAnsi"/>
                <w:b/>
                <w:sz w:val="22"/>
                <w:szCs w:val="22"/>
              </w:rPr>
              <w:t xml:space="preserve">Ideální </w:t>
            </w:r>
            <w:r w:rsidR="00F713CB" w:rsidRPr="00F713CB">
              <w:rPr>
                <w:rFonts w:asciiTheme="minorHAnsi" w:hAnsiTheme="minorHAnsi" w:cstheme="minorHAnsi"/>
                <w:b/>
                <w:sz w:val="22"/>
                <w:szCs w:val="22"/>
              </w:rPr>
              <w:t>vývoj (scénář)</w:t>
            </w:r>
          </w:p>
        </w:tc>
        <w:tc>
          <w:tcPr>
            <w:tcW w:w="1417" w:type="dxa"/>
            <w:vAlign w:val="center"/>
          </w:tcPr>
          <w:p w14:paraId="7F3124BA"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8" w:type="dxa"/>
            <w:vAlign w:val="center"/>
          </w:tcPr>
          <w:p w14:paraId="1B5ADF52"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7" w:type="dxa"/>
            <w:vAlign w:val="center"/>
          </w:tcPr>
          <w:p w14:paraId="08360810"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821" w:type="dxa"/>
            <w:vMerge w:val="restart"/>
            <w:vAlign w:val="center"/>
          </w:tcPr>
          <w:p w14:paraId="1BDFF4ED" w14:textId="6452689D" w:rsidR="007F004D" w:rsidRPr="00F713BA" w:rsidRDefault="007F004D" w:rsidP="00E9181F">
            <w:pPr>
              <w:spacing w:line="240" w:lineRule="auto"/>
              <w:jc w:val="center"/>
              <w:rPr>
                <w:sz w:val="22"/>
              </w:rPr>
            </w:pPr>
            <w:r w:rsidRPr="00F713BA">
              <w:rPr>
                <w:rFonts w:ascii="Symbol" w:hAnsi="Symbol"/>
                <w:sz w:val="22"/>
              </w:rPr>
              <w:t></w:t>
            </w:r>
            <w:r w:rsidRPr="00F713BA">
              <w:rPr>
                <w:sz w:val="22"/>
              </w:rPr>
              <w:t xml:space="preserve"> </w:t>
            </w:r>
            <w:r w:rsidRPr="000F3D8A">
              <w:rPr>
                <w:rFonts w:asciiTheme="minorHAnsi" w:hAnsiTheme="minorHAnsi" w:cstheme="minorHAnsi"/>
                <w:sz w:val="22"/>
              </w:rPr>
              <w:t>růst,</w:t>
            </w:r>
          </w:p>
          <w:p w14:paraId="79C3FAE4" w14:textId="77777777" w:rsidR="007F004D" w:rsidRPr="00F713BA" w:rsidRDefault="007F004D" w:rsidP="00E9181F">
            <w:pPr>
              <w:spacing w:line="240" w:lineRule="auto"/>
              <w:jc w:val="center"/>
              <w:rPr>
                <w:sz w:val="22"/>
              </w:rPr>
            </w:pPr>
            <w:r w:rsidRPr="00F713BA">
              <w:rPr>
                <w:rFonts w:ascii="Symbol" w:hAnsi="Symbol"/>
                <w:sz w:val="22"/>
              </w:rPr>
              <w:t></w:t>
            </w:r>
            <w:r w:rsidRPr="00F713BA">
              <w:rPr>
                <w:sz w:val="22"/>
              </w:rPr>
              <w:t xml:space="preserve"> </w:t>
            </w:r>
            <w:r w:rsidRPr="000F3D8A">
              <w:rPr>
                <w:rFonts w:asciiTheme="minorHAnsi" w:hAnsiTheme="minorHAnsi" w:cstheme="minorHAnsi"/>
                <w:sz w:val="22"/>
              </w:rPr>
              <w:t>pokles,</w:t>
            </w:r>
          </w:p>
          <w:p w14:paraId="6E7CF203" w14:textId="77777777" w:rsidR="007F004D" w:rsidRPr="000F3D8A" w:rsidRDefault="007F004D" w:rsidP="00E9181F">
            <w:pPr>
              <w:spacing w:line="240" w:lineRule="auto"/>
              <w:jc w:val="center"/>
              <w:rPr>
                <w:rFonts w:asciiTheme="minorHAnsi" w:hAnsiTheme="minorHAnsi" w:cstheme="minorHAnsi"/>
                <w:sz w:val="22"/>
              </w:rPr>
            </w:pPr>
            <w:r w:rsidRPr="00F713BA">
              <w:rPr>
                <w:sz w:val="22"/>
              </w:rPr>
              <w:t xml:space="preserve">0 </w:t>
            </w:r>
            <w:r w:rsidRPr="000F3D8A">
              <w:rPr>
                <w:rFonts w:asciiTheme="minorHAnsi" w:hAnsiTheme="minorHAnsi" w:cstheme="minorHAnsi"/>
                <w:sz w:val="22"/>
              </w:rPr>
              <w:t>stagnace,</w:t>
            </w:r>
          </w:p>
          <w:p w14:paraId="64EDBA1B" w14:textId="1B022260" w:rsidR="007F004D" w:rsidRPr="00F713CB" w:rsidRDefault="007F004D" w:rsidP="00F713CB">
            <w:pPr>
              <w:spacing w:line="240" w:lineRule="auto"/>
              <w:jc w:val="center"/>
              <w:rPr>
                <w:sz w:val="22"/>
              </w:rPr>
            </w:pPr>
            <w:r w:rsidRPr="00F713BA">
              <w:rPr>
                <w:rFonts w:ascii="Symbol" w:hAnsi="Symbol"/>
                <w:sz w:val="22"/>
              </w:rPr>
              <w:t></w:t>
            </w:r>
            <w:r w:rsidRPr="00F713BA">
              <w:rPr>
                <w:rFonts w:ascii="Symbol" w:hAnsi="Symbol"/>
                <w:sz w:val="22"/>
              </w:rPr>
              <w:t></w:t>
            </w:r>
            <w:r w:rsidRPr="00F713BA">
              <w:rPr>
                <w:sz w:val="22"/>
              </w:rPr>
              <w:t xml:space="preserve"> </w:t>
            </w:r>
            <w:r w:rsidRPr="000F3D8A">
              <w:rPr>
                <w:rFonts w:asciiTheme="minorHAnsi" w:hAnsiTheme="minorHAnsi" w:cstheme="minorHAnsi"/>
                <w:sz w:val="22"/>
              </w:rPr>
              <w:t>výrazný růst</w:t>
            </w:r>
          </w:p>
        </w:tc>
      </w:tr>
      <w:tr w:rsidR="007F004D" w14:paraId="68859EF4" w14:textId="77777777" w:rsidTr="000F3D8A">
        <w:trPr>
          <w:cantSplit/>
          <w:trHeight w:val="253"/>
        </w:trPr>
        <w:tc>
          <w:tcPr>
            <w:tcW w:w="3044" w:type="dxa"/>
            <w:shd w:val="clear" w:color="auto" w:fill="E7E6E6" w:themeFill="background2"/>
            <w:vAlign w:val="center"/>
          </w:tcPr>
          <w:p w14:paraId="7D44FEAD"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b/>
                <w:sz w:val="22"/>
                <w:szCs w:val="22"/>
              </w:rPr>
              <w:t>Pozitivní vývoj</w:t>
            </w:r>
            <w:r w:rsidRPr="00F713CB">
              <w:rPr>
                <w:rFonts w:asciiTheme="minorHAnsi" w:hAnsiTheme="minorHAnsi" w:cstheme="minorHAnsi"/>
                <w:sz w:val="22"/>
                <w:szCs w:val="22"/>
              </w:rPr>
              <w:t>: příklad 1 nebo</w:t>
            </w:r>
          </w:p>
        </w:tc>
        <w:tc>
          <w:tcPr>
            <w:tcW w:w="1417" w:type="dxa"/>
            <w:vAlign w:val="center"/>
          </w:tcPr>
          <w:p w14:paraId="5AEB2111"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8" w:type="dxa"/>
            <w:vAlign w:val="center"/>
          </w:tcPr>
          <w:p w14:paraId="09606A83"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7" w:type="dxa"/>
            <w:vAlign w:val="center"/>
          </w:tcPr>
          <w:p w14:paraId="52E2D531" w14:textId="77777777" w:rsidR="007F004D" w:rsidRDefault="007F004D" w:rsidP="00E9181F">
            <w:pPr>
              <w:spacing w:line="240" w:lineRule="auto"/>
              <w:jc w:val="center"/>
              <w:rPr>
                <w:sz w:val="22"/>
                <w:szCs w:val="22"/>
              </w:rPr>
            </w:pPr>
            <w:r>
              <w:rPr>
                <w:sz w:val="22"/>
                <w:szCs w:val="22"/>
              </w:rPr>
              <w:t>0</w:t>
            </w:r>
          </w:p>
        </w:tc>
        <w:tc>
          <w:tcPr>
            <w:tcW w:w="1821" w:type="dxa"/>
            <w:vMerge/>
            <w:vAlign w:val="center"/>
          </w:tcPr>
          <w:p w14:paraId="63199C14" w14:textId="77777777" w:rsidR="007F004D" w:rsidRDefault="007F004D" w:rsidP="00E9181F">
            <w:pPr>
              <w:spacing w:line="240" w:lineRule="auto"/>
              <w:jc w:val="center"/>
              <w:rPr>
                <w:sz w:val="22"/>
                <w:szCs w:val="22"/>
              </w:rPr>
            </w:pPr>
          </w:p>
        </w:tc>
      </w:tr>
      <w:tr w:rsidR="007F004D" w14:paraId="5547570F" w14:textId="77777777" w:rsidTr="000F3D8A">
        <w:trPr>
          <w:cantSplit/>
          <w:trHeight w:val="253"/>
        </w:trPr>
        <w:tc>
          <w:tcPr>
            <w:tcW w:w="3044" w:type="dxa"/>
            <w:shd w:val="clear" w:color="auto" w:fill="E7E6E6" w:themeFill="background2"/>
            <w:vAlign w:val="center"/>
          </w:tcPr>
          <w:p w14:paraId="692FE1DC"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sz w:val="22"/>
                <w:szCs w:val="22"/>
              </w:rPr>
              <w:t>příklad 2 nebo</w:t>
            </w:r>
          </w:p>
        </w:tc>
        <w:tc>
          <w:tcPr>
            <w:tcW w:w="1417" w:type="dxa"/>
            <w:vAlign w:val="center"/>
          </w:tcPr>
          <w:p w14:paraId="6CF8B259" w14:textId="77777777" w:rsidR="007F004D" w:rsidRDefault="007F004D" w:rsidP="00E9181F">
            <w:pPr>
              <w:spacing w:line="240" w:lineRule="auto"/>
              <w:jc w:val="center"/>
              <w:rPr>
                <w:sz w:val="22"/>
                <w:szCs w:val="22"/>
              </w:rPr>
            </w:pPr>
            <w:r>
              <w:rPr>
                <w:sz w:val="22"/>
                <w:szCs w:val="22"/>
              </w:rPr>
              <w:t>0</w:t>
            </w:r>
          </w:p>
        </w:tc>
        <w:tc>
          <w:tcPr>
            <w:tcW w:w="1418" w:type="dxa"/>
            <w:vAlign w:val="center"/>
          </w:tcPr>
          <w:p w14:paraId="1BDF0316" w14:textId="77777777" w:rsidR="007F004D" w:rsidRDefault="007F004D" w:rsidP="00E9181F">
            <w:pPr>
              <w:spacing w:line="240" w:lineRule="auto"/>
              <w:jc w:val="center"/>
              <w:rPr>
                <w:sz w:val="22"/>
                <w:szCs w:val="22"/>
              </w:rPr>
            </w:pPr>
            <w:r>
              <w:rPr>
                <w:sz w:val="22"/>
                <w:szCs w:val="22"/>
              </w:rPr>
              <w:t>0</w:t>
            </w:r>
          </w:p>
        </w:tc>
        <w:tc>
          <w:tcPr>
            <w:tcW w:w="1417" w:type="dxa"/>
            <w:vAlign w:val="center"/>
          </w:tcPr>
          <w:p w14:paraId="5586151E"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821" w:type="dxa"/>
            <w:vMerge/>
            <w:vAlign w:val="center"/>
          </w:tcPr>
          <w:p w14:paraId="13E50D99" w14:textId="77777777" w:rsidR="007F004D" w:rsidRDefault="007F004D" w:rsidP="00E9181F">
            <w:pPr>
              <w:spacing w:line="240" w:lineRule="auto"/>
              <w:jc w:val="center"/>
              <w:rPr>
                <w:sz w:val="22"/>
                <w:szCs w:val="22"/>
              </w:rPr>
            </w:pPr>
          </w:p>
        </w:tc>
      </w:tr>
      <w:tr w:rsidR="007F004D" w14:paraId="7B83FD87" w14:textId="77777777" w:rsidTr="000F3D8A">
        <w:trPr>
          <w:cantSplit/>
          <w:trHeight w:val="253"/>
        </w:trPr>
        <w:tc>
          <w:tcPr>
            <w:tcW w:w="3044" w:type="dxa"/>
            <w:shd w:val="clear" w:color="auto" w:fill="E7E6E6" w:themeFill="background2"/>
            <w:vAlign w:val="center"/>
          </w:tcPr>
          <w:p w14:paraId="2CE3C84C"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sz w:val="22"/>
                <w:szCs w:val="22"/>
              </w:rPr>
              <w:t>příklad 3</w:t>
            </w:r>
          </w:p>
        </w:tc>
        <w:tc>
          <w:tcPr>
            <w:tcW w:w="1417" w:type="dxa"/>
            <w:vAlign w:val="center"/>
          </w:tcPr>
          <w:p w14:paraId="3987CA06" w14:textId="77777777" w:rsidR="007F004D" w:rsidRDefault="007F004D" w:rsidP="00E9181F">
            <w:pPr>
              <w:spacing w:line="240" w:lineRule="auto"/>
              <w:jc w:val="center"/>
              <w:rPr>
                <w:rFonts w:ascii="Symbol" w:hAnsi="Symbol"/>
                <w:sz w:val="22"/>
                <w:szCs w:val="22"/>
              </w:rPr>
            </w:pPr>
            <w:r>
              <w:rPr>
                <w:rFonts w:ascii="Symbol" w:hAnsi="Symbol"/>
                <w:sz w:val="22"/>
                <w:szCs w:val="22"/>
              </w:rPr>
              <w:t></w:t>
            </w:r>
            <w:r>
              <w:rPr>
                <w:rFonts w:ascii="Symbol" w:hAnsi="Symbol"/>
                <w:sz w:val="22"/>
                <w:szCs w:val="22"/>
              </w:rPr>
              <w:t></w:t>
            </w:r>
          </w:p>
        </w:tc>
        <w:tc>
          <w:tcPr>
            <w:tcW w:w="1418" w:type="dxa"/>
            <w:vAlign w:val="center"/>
          </w:tcPr>
          <w:p w14:paraId="295E2DC9" w14:textId="77777777" w:rsidR="007F004D" w:rsidRDefault="007F004D" w:rsidP="00E9181F">
            <w:pPr>
              <w:spacing w:line="240" w:lineRule="auto"/>
              <w:jc w:val="center"/>
              <w:rPr>
                <w:sz w:val="22"/>
                <w:szCs w:val="22"/>
              </w:rPr>
            </w:pPr>
            <w:r>
              <w:rPr>
                <w:sz w:val="22"/>
                <w:szCs w:val="22"/>
              </w:rPr>
              <w:t>0</w:t>
            </w:r>
          </w:p>
        </w:tc>
        <w:tc>
          <w:tcPr>
            <w:tcW w:w="1417" w:type="dxa"/>
            <w:vAlign w:val="center"/>
          </w:tcPr>
          <w:p w14:paraId="1D0F3730"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821" w:type="dxa"/>
            <w:vMerge/>
            <w:vAlign w:val="center"/>
          </w:tcPr>
          <w:p w14:paraId="6BC4E4A2" w14:textId="77777777" w:rsidR="007F004D" w:rsidRDefault="007F004D" w:rsidP="00E9181F">
            <w:pPr>
              <w:spacing w:line="240" w:lineRule="auto"/>
              <w:jc w:val="center"/>
              <w:rPr>
                <w:sz w:val="22"/>
                <w:szCs w:val="22"/>
              </w:rPr>
            </w:pPr>
          </w:p>
        </w:tc>
      </w:tr>
      <w:tr w:rsidR="007F004D" w14:paraId="14D849D7" w14:textId="77777777" w:rsidTr="000F3D8A">
        <w:trPr>
          <w:cantSplit/>
          <w:trHeight w:val="253"/>
        </w:trPr>
        <w:tc>
          <w:tcPr>
            <w:tcW w:w="3044" w:type="dxa"/>
            <w:shd w:val="clear" w:color="auto" w:fill="E7E6E6" w:themeFill="background2"/>
            <w:vAlign w:val="center"/>
          </w:tcPr>
          <w:p w14:paraId="11A22CCA"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sz w:val="22"/>
                <w:szCs w:val="22"/>
              </w:rPr>
              <w:t>atd.</w:t>
            </w:r>
          </w:p>
        </w:tc>
        <w:tc>
          <w:tcPr>
            <w:tcW w:w="4252" w:type="dxa"/>
            <w:gridSpan w:val="3"/>
            <w:vAlign w:val="center"/>
          </w:tcPr>
          <w:p w14:paraId="159D07E5" w14:textId="77777777" w:rsidR="007F004D" w:rsidRPr="00F713CB" w:rsidRDefault="007F004D" w:rsidP="00E9181F">
            <w:pPr>
              <w:spacing w:line="240" w:lineRule="auto"/>
              <w:jc w:val="center"/>
              <w:rPr>
                <w:rFonts w:asciiTheme="minorHAnsi" w:hAnsiTheme="minorHAnsi" w:cstheme="minorHAnsi"/>
                <w:sz w:val="22"/>
                <w:szCs w:val="22"/>
              </w:rPr>
            </w:pPr>
            <w:r w:rsidRPr="00F713CB">
              <w:rPr>
                <w:rFonts w:asciiTheme="minorHAnsi" w:hAnsiTheme="minorHAnsi" w:cstheme="minorHAnsi"/>
                <w:sz w:val="22"/>
                <w:szCs w:val="22"/>
              </w:rPr>
              <w:t>mnoho dalších kombinací</w:t>
            </w:r>
          </w:p>
        </w:tc>
        <w:tc>
          <w:tcPr>
            <w:tcW w:w="1821" w:type="dxa"/>
            <w:vMerge/>
            <w:vAlign w:val="center"/>
          </w:tcPr>
          <w:p w14:paraId="44448CBF" w14:textId="77777777" w:rsidR="007F004D" w:rsidRDefault="007F004D" w:rsidP="00E9181F">
            <w:pPr>
              <w:spacing w:line="240" w:lineRule="auto"/>
              <w:jc w:val="center"/>
              <w:rPr>
                <w:sz w:val="22"/>
                <w:szCs w:val="22"/>
              </w:rPr>
            </w:pPr>
          </w:p>
        </w:tc>
      </w:tr>
      <w:tr w:rsidR="007F004D" w14:paraId="65026394" w14:textId="77777777" w:rsidTr="000F3D8A">
        <w:trPr>
          <w:cantSplit/>
          <w:trHeight w:val="253"/>
        </w:trPr>
        <w:tc>
          <w:tcPr>
            <w:tcW w:w="3044" w:type="dxa"/>
            <w:shd w:val="clear" w:color="auto" w:fill="E7E6E6" w:themeFill="background2"/>
            <w:vAlign w:val="center"/>
          </w:tcPr>
          <w:p w14:paraId="48957766"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b/>
                <w:sz w:val="22"/>
                <w:szCs w:val="22"/>
              </w:rPr>
              <w:t xml:space="preserve">Negativní vývoj: </w:t>
            </w:r>
            <w:r w:rsidRPr="00F713CB">
              <w:rPr>
                <w:rFonts w:asciiTheme="minorHAnsi" w:hAnsiTheme="minorHAnsi" w:cstheme="minorHAnsi"/>
                <w:sz w:val="22"/>
                <w:szCs w:val="22"/>
              </w:rPr>
              <w:t>příklad 1 nebo</w:t>
            </w:r>
          </w:p>
        </w:tc>
        <w:tc>
          <w:tcPr>
            <w:tcW w:w="1417" w:type="dxa"/>
            <w:vAlign w:val="center"/>
          </w:tcPr>
          <w:p w14:paraId="29126A09"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8" w:type="dxa"/>
            <w:vAlign w:val="center"/>
          </w:tcPr>
          <w:p w14:paraId="427A96EA" w14:textId="77777777" w:rsidR="007F004D" w:rsidRDefault="007F004D" w:rsidP="00E9181F">
            <w:pPr>
              <w:spacing w:line="240" w:lineRule="auto"/>
              <w:jc w:val="center"/>
              <w:rPr>
                <w:sz w:val="22"/>
                <w:szCs w:val="22"/>
              </w:rPr>
            </w:pPr>
            <w:r>
              <w:rPr>
                <w:sz w:val="22"/>
                <w:szCs w:val="22"/>
              </w:rPr>
              <w:t>0</w:t>
            </w:r>
          </w:p>
        </w:tc>
        <w:tc>
          <w:tcPr>
            <w:tcW w:w="1417" w:type="dxa"/>
            <w:vAlign w:val="center"/>
          </w:tcPr>
          <w:p w14:paraId="73FC58F6" w14:textId="77777777" w:rsidR="007F004D" w:rsidRDefault="007F004D" w:rsidP="00E9181F">
            <w:pPr>
              <w:spacing w:line="240" w:lineRule="auto"/>
              <w:jc w:val="center"/>
              <w:rPr>
                <w:sz w:val="22"/>
                <w:szCs w:val="22"/>
              </w:rPr>
            </w:pPr>
            <w:r>
              <w:rPr>
                <w:sz w:val="22"/>
                <w:szCs w:val="22"/>
              </w:rPr>
              <w:t>0</w:t>
            </w:r>
          </w:p>
        </w:tc>
        <w:tc>
          <w:tcPr>
            <w:tcW w:w="1821" w:type="dxa"/>
            <w:vMerge/>
            <w:vAlign w:val="center"/>
          </w:tcPr>
          <w:p w14:paraId="32EDB9EC" w14:textId="77777777" w:rsidR="007F004D" w:rsidRDefault="007F004D" w:rsidP="00E9181F">
            <w:pPr>
              <w:spacing w:line="240" w:lineRule="auto"/>
              <w:jc w:val="center"/>
              <w:rPr>
                <w:sz w:val="22"/>
                <w:szCs w:val="22"/>
              </w:rPr>
            </w:pPr>
          </w:p>
        </w:tc>
      </w:tr>
      <w:tr w:rsidR="007F004D" w14:paraId="5BEC0011" w14:textId="77777777" w:rsidTr="000F3D8A">
        <w:trPr>
          <w:cantSplit/>
          <w:trHeight w:val="274"/>
        </w:trPr>
        <w:tc>
          <w:tcPr>
            <w:tcW w:w="3044" w:type="dxa"/>
            <w:shd w:val="clear" w:color="auto" w:fill="E7E6E6" w:themeFill="background2"/>
            <w:vAlign w:val="center"/>
          </w:tcPr>
          <w:p w14:paraId="27B32498"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sz w:val="22"/>
                <w:szCs w:val="22"/>
              </w:rPr>
              <w:t>příklad 2 nebo</w:t>
            </w:r>
          </w:p>
        </w:tc>
        <w:tc>
          <w:tcPr>
            <w:tcW w:w="1417" w:type="dxa"/>
            <w:vAlign w:val="center"/>
          </w:tcPr>
          <w:p w14:paraId="1E8FB06A" w14:textId="77777777" w:rsidR="007F004D" w:rsidRDefault="007F004D" w:rsidP="00E9181F">
            <w:pPr>
              <w:spacing w:line="240" w:lineRule="auto"/>
              <w:jc w:val="center"/>
              <w:rPr>
                <w:sz w:val="22"/>
                <w:szCs w:val="22"/>
              </w:rPr>
            </w:pPr>
            <w:r>
              <w:rPr>
                <w:sz w:val="22"/>
                <w:szCs w:val="22"/>
              </w:rPr>
              <w:t>0</w:t>
            </w:r>
          </w:p>
        </w:tc>
        <w:tc>
          <w:tcPr>
            <w:tcW w:w="1418" w:type="dxa"/>
            <w:vAlign w:val="center"/>
          </w:tcPr>
          <w:p w14:paraId="096F9A25"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7" w:type="dxa"/>
            <w:vAlign w:val="center"/>
          </w:tcPr>
          <w:p w14:paraId="1979236F" w14:textId="77777777" w:rsidR="007F004D" w:rsidRDefault="007F004D" w:rsidP="00E9181F">
            <w:pPr>
              <w:spacing w:line="240" w:lineRule="auto"/>
              <w:jc w:val="center"/>
              <w:rPr>
                <w:sz w:val="22"/>
                <w:szCs w:val="22"/>
              </w:rPr>
            </w:pPr>
            <w:r>
              <w:rPr>
                <w:sz w:val="22"/>
                <w:szCs w:val="22"/>
              </w:rPr>
              <w:t>0</w:t>
            </w:r>
          </w:p>
        </w:tc>
        <w:tc>
          <w:tcPr>
            <w:tcW w:w="1821" w:type="dxa"/>
            <w:vMerge/>
            <w:vAlign w:val="center"/>
          </w:tcPr>
          <w:p w14:paraId="57511052" w14:textId="77777777" w:rsidR="007F004D" w:rsidRDefault="007F004D" w:rsidP="00E9181F">
            <w:pPr>
              <w:spacing w:line="240" w:lineRule="auto"/>
              <w:jc w:val="center"/>
              <w:rPr>
                <w:sz w:val="22"/>
                <w:szCs w:val="22"/>
              </w:rPr>
            </w:pPr>
          </w:p>
        </w:tc>
      </w:tr>
      <w:tr w:rsidR="007F004D" w14:paraId="43E7A365" w14:textId="77777777" w:rsidTr="000F3D8A">
        <w:trPr>
          <w:cantSplit/>
          <w:trHeight w:val="253"/>
        </w:trPr>
        <w:tc>
          <w:tcPr>
            <w:tcW w:w="3044" w:type="dxa"/>
            <w:shd w:val="clear" w:color="auto" w:fill="E7E6E6" w:themeFill="background2"/>
            <w:vAlign w:val="center"/>
          </w:tcPr>
          <w:p w14:paraId="07CB63B2" w14:textId="77777777" w:rsidR="007F004D" w:rsidRPr="00F713CB" w:rsidRDefault="007F004D" w:rsidP="00F713CB">
            <w:pPr>
              <w:spacing w:line="240" w:lineRule="auto"/>
              <w:rPr>
                <w:rFonts w:asciiTheme="minorHAnsi" w:hAnsiTheme="minorHAnsi" w:cstheme="minorHAnsi"/>
                <w:sz w:val="22"/>
                <w:szCs w:val="22"/>
              </w:rPr>
            </w:pPr>
            <w:r w:rsidRPr="00F713CB">
              <w:rPr>
                <w:rFonts w:asciiTheme="minorHAnsi" w:hAnsiTheme="minorHAnsi" w:cstheme="minorHAnsi"/>
                <w:sz w:val="22"/>
                <w:szCs w:val="22"/>
              </w:rPr>
              <w:t>atd.</w:t>
            </w:r>
          </w:p>
        </w:tc>
        <w:tc>
          <w:tcPr>
            <w:tcW w:w="4252" w:type="dxa"/>
            <w:gridSpan w:val="3"/>
            <w:vAlign w:val="center"/>
          </w:tcPr>
          <w:p w14:paraId="20BC5D23" w14:textId="77777777" w:rsidR="007F004D" w:rsidRPr="00F713CB" w:rsidRDefault="007F004D" w:rsidP="00E9181F">
            <w:pPr>
              <w:spacing w:line="240" w:lineRule="auto"/>
              <w:jc w:val="center"/>
              <w:rPr>
                <w:rFonts w:asciiTheme="minorHAnsi" w:hAnsiTheme="minorHAnsi" w:cstheme="minorHAnsi"/>
                <w:sz w:val="22"/>
                <w:szCs w:val="22"/>
              </w:rPr>
            </w:pPr>
            <w:r w:rsidRPr="00F713CB">
              <w:rPr>
                <w:rFonts w:asciiTheme="minorHAnsi" w:hAnsiTheme="minorHAnsi" w:cstheme="minorHAnsi"/>
                <w:sz w:val="22"/>
                <w:szCs w:val="22"/>
              </w:rPr>
              <w:t>mnoho dalších kombinací</w:t>
            </w:r>
          </w:p>
        </w:tc>
        <w:tc>
          <w:tcPr>
            <w:tcW w:w="1821" w:type="dxa"/>
            <w:vMerge/>
            <w:vAlign w:val="center"/>
          </w:tcPr>
          <w:p w14:paraId="754DC767" w14:textId="77777777" w:rsidR="007F004D" w:rsidRDefault="007F004D" w:rsidP="00E9181F">
            <w:pPr>
              <w:spacing w:line="240" w:lineRule="auto"/>
              <w:jc w:val="center"/>
              <w:rPr>
                <w:sz w:val="22"/>
                <w:szCs w:val="22"/>
              </w:rPr>
            </w:pPr>
          </w:p>
        </w:tc>
      </w:tr>
      <w:tr w:rsidR="007F004D" w14:paraId="7AF604CB" w14:textId="77777777" w:rsidTr="000F3D8A">
        <w:trPr>
          <w:cantSplit/>
          <w:trHeight w:val="253"/>
        </w:trPr>
        <w:tc>
          <w:tcPr>
            <w:tcW w:w="3044" w:type="dxa"/>
            <w:shd w:val="clear" w:color="auto" w:fill="E7E6E6" w:themeFill="background2"/>
            <w:vAlign w:val="center"/>
          </w:tcPr>
          <w:p w14:paraId="28741F9A" w14:textId="77777777" w:rsidR="007F004D" w:rsidRPr="00F713CB" w:rsidRDefault="007F004D" w:rsidP="00F713CB">
            <w:pPr>
              <w:spacing w:line="240" w:lineRule="auto"/>
              <w:rPr>
                <w:rFonts w:asciiTheme="minorHAnsi" w:hAnsiTheme="minorHAnsi" w:cstheme="minorHAnsi"/>
                <w:b/>
                <w:sz w:val="22"/>
                <w:szCs w:val="22"/>
              </w:rPr>
            </w:pPr>
            <w:r w:rsidRPr="00F713CB">
              <w:rPr>
                <w:rFonts w:asciiTheme="minorHAnsi" w:hAnsiTheme="minorHAnsi" w:cstheme="minorHAnsi"/>
                <w:b/>
                <w:sz w:val="22"/>
                <w:szCs w:val="22"/>
              </w:rPr>
              <w:t>Krizová situace</w:t>
            </w:r>
          </w:p>
        </w:tc>
        <w:tc>
          <w:tcPr>
            <w:tcW w:w="1417" w:type="dxa"/>
            <w:vAlign w:val="center"/>
          </w:tcPr>
          <w:p w14:paraId="09ED1C7B"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8" w:type="dxa"/>
            <w:vAlign w:val="center"/>
          </w:tcPr>
          <w:p w14:paraId="686A63BD"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417" w:type="dxa"/>
            <w:vAlign w:val="center"/>
          </w:tcPr>
          <w:p w14:paraId="54812752" w14:textId="77777777" w:rsidR="007F004D" w:rsidRDefault="007F004D" w:rsidP="00E9181F">
            <w:pPr>
              <w:spacing w:line="240" w:lineRule="auto"/>
              <w:jc w:val="center"/>
              <w:rPr>
                <w:rFonts w:ascii="Symbol" w:hAnsi="Symbol"/>
                <w:sz w:val="22"/>
                <w:szCs w:val="22"/>
              </w:rPr>
            </w:pPr>
            <w:r>
              <w:rPr>
                <w:rFonts w:ascii="Symbol" w:hAnsi="Symbol"/>
                <w:sz w:val="22"/>
                <w:szCs w:val="22"/>
              </w:rPr>
              <w:t></w:t>
            </w:r>
          </w:p>
        </w:tc>
        <w:tc>
          <w:tcPr>
            <w:tcW w:w="1821" w:type="dxa"/>
            <w:vMerge/>
            <w:vAlign w:val="center"/>
          </w:tcPr>
          <w:p w14:paraId="79CE5093" w14:textId="77777777" w:rsidR="007F004D" w:rsidRDefault="007F004D" w:rsidP="00E9181F">
            <w:pPr>
              <w:spacing w:line="240" w:lineRule="auto"/>
              <w:jc w:val="center"/>
              <w:rPr>
                <w:sz w:val="22"/>
                <w:szCs w:val="22"/>
              </w:rPr>
            </w:pPr>
          </w:p>
        </w:tc>
      </w:tr>
    </w:tbl>
    <w:p w14:paraId="4B22E771" w14:textId="7CB598D4" w:rsidR="007F004D" w:rsidRPr="001D789C" w:rsidRDefault="007F004D" w:rsidP="007F004D">
      <w:pPr>
        <w:rPr>
          <w:rFonts w:asciiTheme="minorHAnsi" w:hAnsiTheme="minorHAnsi" w:cstheme="minorHAnsi"/>
          <w:i/>
          <w:iCs/>
        </w:rPr>
      </w:pPr>
      <w:r w:rsidRPr="00E5522B">
        <w:t xml:space="preserve"> </w:t>
      </w:r>
      <w:r w:rsidRPr="001D789C">
        <w:rPr>
          <w:rFonts w:asciiTheme="minorHAnsi" w:hAnsiTheme="minorHAnsi" w:cstheme="minorHAnsi"/>
          <w:i/>
          <w:iCs/>
        </w:rPr>
        <w:t>Zdroj</w:t>
      </w:r>
      <w:r w:rsidR="002A2AB6" w:rsidRPr="001D789C">
        <w:rPr>
          <w:rFonts w:asciiTheme="minorHAnsi" w:hAnsiTheme="minorHAnsi" w:cstheme="minorHAnsi"/>
          <w:i/>
          <w:iCs/>
        </w:rPr>
        <w:t xml:space="preserve">: </w:t>
      </w:r>
      <w:r w:rsidR="00F713CB" w:rsidRPr="001D789C">
        <w:rPr>
          <w:rFonts w:asciiTheme="minorHAnsi" w:hAnsiTheme="minorHAnsi" w:cstheme="minorHAnsi"/>
          <w:i/>
          <w:iCs/>
        </w:rPr>
        <w:t xml:space="preserve">upraveno dle </w:t>
      </w:r>
      <w:r w:rsidR="00B37466" w:rsidRPr="001D789C">
        <w:rPr>
          <w:rFonts w:asciiTheme="minorHAnsi" w:hAnsiTheme="minorHAnsi" w:cstheme="minorHAnsi"/>
          <w:i/>
          <w:iCs/>
        </w:rPr>
        <w:t>Ochrana, Půček 2011</w:t>
      </w:r>
    </w:p>
    <w:p w14:paraId="3A9B774C" w14:textId="20E8773E" w:rsidR="00124718" w:rsidRPr="00124718" w:rsidRDefault="006C41F5" w:rsidP="000F3D8A">
      <w:pPr>
        <w:jc w:val="both"/>
        <w:rPr>
          <w:rFonts w:asciiTheme="minorHAnsi" w:hAnsiTheme="minorHAnsi" w:cstheme="minorHAnsi"/>
          <w:b/>
        </w:rPr>
      </w:pPr>
      <w:r>
        <w:rPr>
          <w:rFonts w:asciiTheme="minorHAnsi" w:hAnsiTheme="minorHAnsi" w:cstheme="minorHAnsi"/>
        </w:rPr>
        <w:t xml:space="preserve">V tabulce jsou na jednotlivých řádcích uvedeny scénáře vývoje hodnocené veřejné služby nebo jiné činnosti. Předpokladem hodnocení je skutečnost, že pro kritéria kvality, výkonů a nákladů jsou stanoveny vhodné ukazatele. V prvním řádku je ideální vývoj, kdy se všechny tři hodnocená kritéria zlepšují – roste kvalita služby, současně se zvyšují poskytované výkony této služby a současně se snižují náklady na služby. Tento scénář je v praxi prakticky nedosažitelný. Následují další tři pozitivní scénáře, například u příkladu 1 dochází ke zlepšení kvality a poskytovaných výkonů při stejných nákladech. Pak jsou dva příklady negativních scénářů. Příklad 1 popisuje situaci, kdy klesá kvalita při stejných výkonech a stejných nákladech. Příklad 2 pak situaci, kdy kvalita a náklady jsou stejné, zhoršují se poskytované výkony. Poslední řádek se věnuje „krizovému“ scénáři, kdy se zhoršují všechny tři kritéria. </w:t>
      </w:r>
      <w:r w:rsidR="00124718" w:rsidRPr="00124718">
        <w:rPr>
          <w:rFonts w:asciiTheme="minorHAnsi" w:hAnsiTheme="minorHAnsi" w:cstheme="minorHAnsi"/>
          <w:b/>
        </w:rPr>
        <w:t>Problémy z praxe při provádění hodnocení / optimalizace:</w:t>
      </w:r>
    </w:p>
    <w:p w14:paraId="54BED758" w14:textId="02DB5511" w:rsidR="00124718" w:rsidRDefault="000F3D8A" w:rsidP="0065698B">
      <w:pPr>
        <w:pStyle w:val="Odstavecseseznamem"/>
        <w:numPr>
          <w:ilvl w:val="0"/>
          <w:numId w:val="36"/>
        </w:numPr>
        <w:jc w:val="both"/>
        <w:rPr>
          <w:rFonts w:asciiTheme="minorHAnsi" w:hAnsiTheme="minorHAnsi" w:cstheme="minorHAnsi"/>
        </w:rPr>
      </w:pPr>
      <w:r w:rsidRPr="00124718">
        <w:rPr>
          <w:rFonts w:asciiTheme="minorHAnsi" w:hAnsiTheme="minorHAnsi" w:cstheme="minorHAnsi"/>
        </w:rPr>
        <w:t xml:space="preserve">Při optimalizaci je třeba předem stanovit, co je pro nás kritériem pro úspěšnou optimalizaci. Nejčastěji činnosti optimalizujeme na náklady. Při tom je však třeba zajistit, aby se ostatní parametry nezhoršovaly. </w:t>
      </w:r>
    </w:p>
    <w:p w14:paraId="335B29CB" w14:textId="75A2C0B8" w:rsidR="00E9181F" w:rsidRDefault="00E9181F" w:rsidP="0065698B">
      <w:pPr>
        <w:pStyle w:val="Odstavecseseznamem"/>
        <w:numPr>
          <w:ilvl w:val="0"/>
          <w:numId w:val="36"/>
        </w:numPr>
        <w:jc w:val="both"/>
        <w:rPr>
          <w:rFonts w:asciiTheme="minorHAnsi" w:hAnsiTheme="minorHAnsi" w:cstheme="minorHAnsi"/>
        </w:rPr>
      </w:pPr>
      <w:r>
        <w:rPr>
          <w:rFonts w:asciiTheme="minorHAnsi" w:hAnsiTheme="minorHAnsi" w:cstheme="minorHAnsi"/>
        </w:rPr>
        <w:t xml:space="preserve">Je patrně srozumitelné, že tato tři kritéria </w:t>
      </w:r>
      <w:r w:rsidR="006C41F5">
        <w:rPr>
          <w:rFonts w:asciiTheme="minorHAnsi" w:hAnsiTheme="minorHAnsi" w:cstheme="minorHAnsi"/>
        </w:rPr>
        <w:t xml:space="preserve">(kvalita, výkony, náklady) </w:t>
      </w:r>
      <w:r>
        <w:rPr>
          <w:rFonts w:asciiTheme="minorHAnsi" w:hAnsiTheme="minorHAnsi" w:cstheme="minorHAnsi"/>
        </w:rPr>
        <w:t xml:space="preserve">spolu souvisejí – například pokud chceme zvýšit standard (tedy kvalitu), může, ale nemusí to znamenat snížení výkonů nebo zvýšení nákladů. </w:t>
      </w:r>
    </w:p>
    <w:p w14:paraId="12A3CA17" w14:textId="4F1E3407" w:rsidR="00124718" w:rsidRDefault="000F3D8A" w:rsidP="0065698B">
      <w:pPr>
        <w:pStyle w:val="Odstavecseseznamem"/>
        <w:numPr>
          <w:ilvl w:val="0"/>
          <w:numId w:val="36"/>
        </w:numPr>
        <w:jc w:val="both"/>
        <w:rPr>
          <w:rFonts w:asciiTheme="minorHAnsi" w:hAnsiTheme="minorHAnsi" w:cstheme="minorHAnsi"/>
        </w:rPr>
      </w:pPr>
      <w:r w:rsidRPr="00124718">
        <w:rPr>
          <w:rFonts w:asciiTheme="minorHAnsi" w:hAnsiTheme="minorHAnsi" w:cstheme="minorHAnsi"/>
        </w:rPr>
        <w:t xml:space="preserve">Ideální stav nastane, když se všechna tři kritéria zlepšují. Nicméně obvyklou snahou při změně veřejné služby nebo modernizaci části veřejné správy je zlepšit alespoň jedno z kritérií. Negativní vývoj je, když se zhoršuje jedno nebo více kritérií. </w:t>
      </w:r>
    </w:p>
    <w:p w14:paraId="736DCC17" w14:textId="5C73F2E2" w:rsidR="000F3D8A" w:rsidRPr="00124718" w:rsidRDefault="000F3D8A" w:rsidP="0065698B">
      <w:pPr>
        <w:pStyle w:val="Odstavecseseznamem"/>
        <w:numPr>
          <w:ilvl w:val="0"/>
          <w:numId w:val="36"/>
        </w:numPr>
        <w:jc w:val="both"/>
        <w:rPr>
          <w:rFonts w:asciiTheme="minorHAnsi" w:hAnsiTheme="minorHAnsi" w:cstheme="minorHAnsi"/>
        </w:rPr>
      </w:pPr>
      <w:r w:rsidRPr="00124718">
        <w:rPr>
          <w:rFonts w:asciiTheme="minorHAnsi" w:hAnsiTheme="minorHAnsi" w:cstheme="minorHAnsi"/>
        </w:rPr>
        <w:t>Ve veřejné</w:t>
      </w:r>
      <w:r w:rsidR="001521BD">
        <w:rPr>
          <w:rFonts w:asciiTheme="minorHAnsi" w:hAnsiTheme="minorHAnsi" w:cstheme="minorHAnsi"/>
        </w:rPr>
        <w:t>m</w:t>
      </w:r>
      <w:r w:rsidRPr="00124718">
        <w:rPr>
          <w:rFonts w:asciiTheme="minorHAnsi" w:hAnsiTheme="minorHAnsi" w:cstheme="minorHAnsi"/>
        </w:rPr>
        <w:t xml:space="preserve"> sektoru je ale v některých institucích problémem to, že se měří pouze náklady. Ukazatele pro výkony a pro kvalitu nejsou stanoveny nebo jsou stanoveny </w:t>
      </w:r>
      <w:r w:rsidRPr="00124718">
        <w:rPr>
          <w:rFonts w:asciiTheme="minorHAnsi" w:hAnsiTheme="minorHAnsi" w:cstheme="minorHAnsi"/>
        </w:rPr>
        <w:lastRenderedPageBreak/>
        <w:t>nedostatečně. Když kvalitu činnosti a poskytované výkony neměříme, nevíme, zda se tyto parametry zlepšují nebo zhoršují.</w:t>
      </w:r>
    </w:p>
    <w:p w14:paraId="15F761E6" w14:textId="77777777" w:rsidR="000F3D8A" w:rsidRPr="00E5522B" w:rsidRDefault="000F3D8A" w:rsidP="007F004D">
      <w:pPr>
        <w:rPr>
          <w:rFonts w:asciiTheme="minorHAnsi" w:hAnsiTheme="minorHAnsi" w:cstheme="minorHAnsi"/>
          <w:b/>
        </w:rPr>
      </w:pPr>
    </w:p>
    <w:p w14:paraId="7C5E069A" w14:textId="0D608F9D" w:rsidR="007F004D" w:rsidRDefault="00E9181F" w:rsidP="00992AF8">
      <w:pPr>
        <w:jc w:val="both"/>
        <w:rPr>
          <w:rFonts w:asciiTheme="minorHAnsi" w:hAnsiTheme="minorHAnsi" w:cstheme="minorHAnsi"/>
          <w:bCs/>
        </w:rPr>
      </w:pPr>
      <w:r w:rsidRPr="00E9181F">
        <w:rPr>
          <w:rFonts w:asciiTheme="minorHAnsi" w:hAnsiTheme="minorHAnsi" w:cstheme="minorHAnsi"/>
        </w:rPr>
        <w:t>Výše tři uvedená kritéria optimalizace mohou být doplněna dle konkrétní situace dalšími kritérii.</w:t>
      </w:r>
      <w:r>
        <w:rPr>
          <w:rFonts w:asciiTheme="minorHAnsi" w:hAnsiTheme="minorHAnsi" w:cstheme="minorHAnsi"/>
        </w:rPr>
        <w:t xml:space="preserve"> Například č</w:t>
      </w:r>
      <w:r w:rsidR="002A2AB6" w:rsidRPr="00E5522B">
        <w:rPr>
          <w:rFonts w:asciiTheme="minorHAnsi" w:hAnsiTheme="minorHAnsi" w:cstheme="minorHAnsi"/>
        </w:rPr>
        <w:t xml:space="preserve">tvrtým kritériem </w:t>
      </w:r>
      <w:r w:rsidR="002A2AB6" w:rsidRPr="00E9181F">
        <w:rPr>
          <w:rFonts w:asciiTheme="minorHAnsi" w:hAnsiTheme="minorHAnsi" w:cstheme="minorHAnsi"/>
        </w:rPr>
        <w:t>je spokojenost</w:t>
      </w:r>
      <w:r w:rsidR="002A2AB6" w:rsidRPr="00E5522B">
        <w:rPr>
          <w:rFonts w:asciiTheme="minorHAnsi" w:hAnsiTheme="minorHAnsi" w:cstheme="minorHAnsi"/>
        </w:rPr>
        <w:t xml:space="preserve"> zákazníků </w:t>
      </w:r>
      <w:r w:rsidR="00B37466">
        <w:rPr>
          <w:rFonts w:asciiTheme="minorHAnsi" w:hAnsiTheme="minorHAnsi" w:cstheme="minorHAnsi"/>
        </w:rPr>
        <w:t>využívajících tuto službu</w:t>
      </w:r>
      <w:r>
        <w:rPr>
          <w:rStyle w:val="Znakapoznpodarou"/>
          <w:rFonts w:asciiTheme="minorHAnsi" w:hAnsiTheme="minorHAnsi" w:cstheme="minorHAnsi"/>
        </w:rPr>
        <w:footnoteReference w:id="47"/>
      </w:r>
      <w:r w:rsidR="002A2AB6" w:rsidRPr="00E5522B">
        <w:rPr>
          <w:rFonts w:asciiTheme="minorHAnsi" w:hAnsiTheme="minorHAnsi" w:cstheme="minorHAnsi"/>
        </w:rPr>
        <w:t xml:space="preserve"> a </w:t>
      </w:r>
      <w:r w:rsidR="00B37466">
        <w:rPr>
          <w:rFonts w:asciiTheme="minorHAnsi" w:hAnsiTheme="minorHAnsi" w:cstheme="minorHAnsi"/>
        </w:rPr>
        <w:t>pátým</w:t>
      </w:r>
      <w:r w:rsidR="002A2AB6" w:rsidRPr="00E5522B">
        <w:rPr>
          <w:rFonts w:asciiTheme="minorHAnsi" w:hAnsiTheme="minorHAnsi" w:cstheme="minorHAnsi"/>
        </w:rPr>
        <w:t xml:space="preserve"> kritériem může být </w:t>
      </w:r>
      <w:r w:rsidR="002A2AB6" w:rsidRPr="00B37466">
        <w:rPr>
          <w:rFonts w:asciiTheme="minorHAnsi" w:hAnsiTheme="minorHAnsi" w:cstheme="minorHAnsi"/>
        </w:rPr>
        <w:t>vliv na okolí</w:t>
      </w:r>
      <w:r w:rsidR="00B37466">
        <w:rPr>
          <w:rFonts w:asciiTheme="minorHAnsi" w:hAnsiTheme="minorHAnsi" w:cstheme="minorHAnsi"/>
        </w:rPr>
        <w:t xml:space="preserve"> (prostředí)</w:t>
      </w:r>
      <w:r w:rsidR="002A2AB6" w:rsidRPr="00E5522B">
        <w:rPr>
          <w:rFonts w:asciiTheme="minorHAnsi" w:hAnsiTheme="minorHAnsi" w:cstheme="minorHAnsi"/>
        </w:rPr>
        <w:t xml:space="preserve">. </w:t>
      </w:r>
      <w:r w:rsidR="007F004D" w:rsidRPr="00E5522B">
        <w:rPr>
          <w:rFonts w:asciiTheme="minorHAnsi" w:hAnsiTheme="minorHAnsi" w:cstheme="minorHAnsi"/>
          <w:bCs/>
        </w:rPr>
        <w:t>Následující tabulka zobrazuje možné scénáře vzniklé situace. Naprosto ideální situace nastává, když se všechn</w:t>
      </w:r>
      <w:r w:rsidR="00D40AB7">
        <w:rPr>
          <w:rFonts w:asciiTheme="minorHAnsi" w:hAnsiTheme="minorHAnsi" w:cstheme="minorHAnsi"/>
          <w:bCs/>
        </w:rPr>
        <w:t>a</w:t>
      </w:r>
      <w:r w:rsidR="007F004D" w:rsidRPr="00E5522B">
        <w:rPr>
          <w:rFonts w:asciiTheme="minorHAnsi" w:hAnsiTheme="minorHAnsi" w:cstheme="minorHAnsi"/>
          <w:bCs/>
        </w:rPr>
        <w:t xml:space="preserve"> kritéria zlepšují.</w:t>
      </w:r>
    </w:p>
    <w:p w14:paraId="3E303184" w14:textId="3C659F6A" w:rsidR="007F004D" w:rsidRPr="001D789C" w:rsidRDefault="007F004D" w:rsidP="007F004D">
      <w:pPr>
        <w:rPr>
          <w:rFonts w:asciiTheme="minorHAnsi" w:hAnsiTheme="minorHAnsi" w:cstheme="minorHAnsi"/>
          <w:bCs/>
          <w:i/>
          <w:iCs/>
        </w:rPr>
      </w:pPr>
      <w:r w:rsidRPr="001D789C">
        <w:rPr>
          <w:rFonts w:asciiTheme="minorHAnsi" w:hAnsiTheme="minorHAnsi" w:cstheme="minorHAnsi"/>
          <w:bCs/>
          <w:i/>
          <w:iCs/>
        </w:rPr>
        <w:t>Tab.</w:t>
      </w:r>
      <w:r w:rsidR="00EA14C5">
        <w:rPr>
          <w:rFonts w:asciiTheme="minorHAnsi" w:hAnsiTheme="minorHAnsi" w:cstheme="minorHAnsi"/>
          <w:bCs/>
          <w:i/>
          <w:iCs/>
        </w:rPr>
        <w:t xml:space="preserve"> 1</w:t>
      </w:r>
      <w:r w:rsidR="00C14739">
        <w:rPr>
          <w:rFonts w:asciiTheme="minorHAnsi" w:hAnsiTheme="minorHAnsi" w:cstheme="minorHAnsi"/>
          <w:bCs/>
          <w:i/>
          <w:iCs/>
        </w:rPr>
        <w:t>8</w:t>
      </w:r>
      <w:r w:rsidRPr="001D789C">
        <w:rPr>
          <w:rFonts w:asciiTheme="minorHAnsi" w:hAnsiTheme="minorHAnsi" w:cstheme="minorHAnsi"/>
          <w:bCs/>
          <w:i/>
          <w:iCs/>
        </w:rPr>
        <w:t xml:space="preserve"> Vztah kvalita – výkony – náklady veřejné služby – spokojenost – vliv na </w:t>
      </w:r>
      <w:r w:rsidR="00D40AB7">
        <w:rPr>
          <w:rFonts w:asciiTheme="minorHAnsi" w:hAnsiTheme="minorHAnsi" w:cstheme="minorHAnsi"/>
          <w:bCs/>
          <w:i/>
          <w:iCs/>
        </w:rPr>
        <w:t>prostředí</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gridCol w:w="1383"/>
        <w:gridCol w:w="1392"/>
        <w:gridCol w:w="1597"/>
        <w:gridCol w:w="1417"/>
        <w:gridCol w:w="1649"/>
      </w:tblGrid>
      <w:tr w:rsidR="007F004D" w14:paraId="64CEFF9E" w14:textId="77777777" w:rsidTr="007F51A8">
        <w:trPr>
          <w:trHeight w:val="289"/>
          <w:jc w:val="center"/>
        </w:trPr>
        <w:tc>
          <w:tcPr>
            <w:tcW w:w="1816" w:type="dxa"/>
            <w:shd w:val="clear" w:color="auto" w:fill="E7E6E6" w:themeFill="background2"/>
            <w:vAlign w:val="center"/>
          </w:tcPr>
          <w:p w14:paraId="59E85A43" w14:textId="77777777" w:rsidR="007F004D" w:rsidRPr="00B37466" w:rsidRDefault="007F004D" w:rsidP="00E9181F">
            <w:pPr>
              <w:spacing w:line="240" w:lineRule="auto"/>
              <w:jc w:val="center"/>
              <w:rPr>
                <w:rFonts w:asciiTheme="minorHAnsi" w:hAnsiTheme="minorHAnsi" w:cstheme="minorHAnsi"/>
                <w:b/>
                <w:sz w:val="22"/>
                <w:szCs w:val="22"/>
              </w:rPr>
            </w:pPr>
            <w:r w:rsidRPr="00B37466">
              <w:rPr>
                <w:rFonts w:asciiTheme="minorHAnsi" w:hAnsiTheme="minorHAnsi" w:cstheme="minorHAnsi"/>
                <w:b/>
                <w:sz w:val="22"/>
                <w:szCs w:val="22"/>
              </w:rPr>
              <w:t>Příklady vztahu</w:t>
            </w:r>
          </w:p>
        </w:tc>
        <w:tc>
          <w:tcPr>
            <w:tcW w:w="1383" w:type="dxa"/>
            <w:shd w:val="clear" w:color="auto" w:fill="E7E6E6" w:themeFill="background2"/>
            <w:vAlign w:val="center"/>
          </w:tcPr>
          <w:p w14:paraId="41DB96DA" w14:textId="77777777" w:rsidR="007F004D" w:rsidRPr="00B37466" w:rsidRDefault="007F004D" w:rsidP="00E9181F">
            <w:pPr>
              <w:spacing w:line="240" w:lineRule="auto"/>
              <w:jc w:val="center"/>
              <w:rPr>
                <w:rFonts w:asciiTheme="minorHAnsi" w:hAnsiTheme="minorHAnsi" w:cstheme="minorHAnsi"/>
                <w:b/>
                <w:sz w:val="22"/>
                <w:szCs w:val="22"/>
              </w:rPr>
            </w:pPr>
            <w:r w:rsidRPr="00B37466">
              <w:rPr>
                <w:rFonts w:asciiTheme="minorHAnsi" w:hAnsiTheme="minorHAnsi" w:cstheme="minorHAnsi"/>
                <w:b/>
                <w:sz w:val="22"/>
                <w:szCs w:val="22"/>
              </w:rPr>
              <w:t>kvalita</w:t>
            </w:r>
          </w:p>
        </w:tc>
        <w:tc>
          <w:tcPr>
            <w:tcW w:w="1392" w:type="dxa"/>
            <w:shd w:val="clear" w:color="auto" w:fill="E7E6E6" w:themeFill="background2"/>
            <w:vAlign w:val="center"/>
          </w:tcPr>
          <w:p w14:paraId="20371339" w14:textId="77777777" w:rsidR="007F004D" w:rsidRPr="00B37466" w:rsidRDefault="007F004D" w:rsidP="00E9181F">
            <w:pPr>
              <w:spacing w:line="240" w:lineRule="auto"/>
              <w:jc w:val="center"/>
              <w:rPr>
                <w:rFonts w:asciiTheme="minorHAnsi" w:hAnsiTheme="minorHAnsi" w:cstheme="minorHAnsi"/>
                <w:b/>
                <w:sz w:val="22"/>
                <w:szCs w:val="22"/>
              </w:rPr>
            </w:pPr>
            <w:r w:rsidRPr="00B37466">
              <w:rPr>
                <w:rFonts w:asciiTheme="minorHAnsi" w:hAnsiTheme="minorHAnsi" w:cstheme="minorHAnsi"/>
                <w:b/>
                <w:sz w:val="22"/>
                <w:szCs w:val="22"/>
              </w:rPr>
              <w:t>výkony</w:t>
            </w:r>
          </w:p>
        </w:tc>
        <w:tc>
          <w:tcPr>
            <w:tcW w:w="1597" w:type="dxa"/>
            <w:shd w:val="clear" w:color="auto" w:fill="E7E6E6" w:themeFill="background2"/>
            <w:vAlign w:val="center"/>
          </w:tcPr>
          <w:p w14:paraId="7BE92601" w14:textId="77777777" w:rsidR="007F004D" w:rsidRPr="00B37466" w:rsidRDefault="007F004D" w:rsidP="00E9181F">
            <w:pPr>
              <w:spacing w:line="240" w:lineRule="auto"/>
              <w:jc w:val="center"/>
              <w:rPr>
                <w:rFonts w:asciiTheme="minorHAnsi" w:hAnsiTheme="minorHAnsi" w:cstheme="minorHAnsi"/>
                <w:b/>
                <w:sz w:val="22"/>
                <w:szCs w:val="22"/>
              </w:rPr>
            </w:pPr>
            <w:r w:rsidRPr="00B37466">
              <w:rPr>
                <w:rFonts w:asciiTheme="minorHAnsi" w:hAnsiTheme="minorHAnsi" w:cstheme="minorHAnsi"/>
                <w:b/>
                <w:sz w:val="22"/>
                <w:szCs w:val="22"/>
              </w:rPr>
              <w:t>náklady</w:t>
            </w:r>
          </w:p>
        </w:tc>
        <w:tc>
          <w:tcPr>
            <w:tcW w:w="1417" w:type="dxa"/>
            <w:shd w:val="clear" w:color="auto" w:fill="E7E6E6" w:themeFill="background2"/>
            <w:vAlign w:val="center"/>
          </w:tcPr>
          <w:p w14:paraId="3A63EC53" w14:textId="77777777" w:rsidR="007F004D" w:rsidRPr="00B37466" w:rsidRDefault="007F004D" w:rsidP="00E9181F">
            <w:pPr>
              <w:spacing w:line="240" w:lineRule="auto"/>
              <w:jc w:val="center"/>
              <w:rPr>
                <w:rFonts w:asciiTheme="minorHAnsi" w:hAnsiTheme="minorHAnsi" w:cstheme="minorHAnsi"/>
                <w:b/>
                <w:sz w:val="22"/>
                <w:szCs w:val="22"/>
              </w:rPr>
            </w:pPr>
            <w:r w:rsidRPr="00B37466">
              <w:rPr>
                <w:rFonts w:asciiTheme="minorHAnsi" w:hAnsiTheme="minorHAnsi" w:cstheme="minorHAnsi"/>
                <w:b/>
                <w:sz w:val="22"/>
                <w:szCs w:val="22"/>
              </w:rPr>
              <w:t>spokojenost</w:t>
            </w:r>
          </w:p>
        </w:tc>
        <w:tc>
          <w:tcPr>
            <w:tcW w:w="1649" w:type="dxa"/>
            <w:shd w:val="clear" w:color="auto" w:fill="E7E6E6" w:themeFill="background2"/>
            <w:vAlign w:val="center"/>
          </w:tcPr>
          <w:p w14:paraId="266DFEA6" w14:textId="241E53F3" w:rsidR="007F004D" w:rsidRPr="00B37466" w:rsidRDefault="007F004D" w:rsidP="00E9181F">
            <w:pPr>
              <w:spacing w:line="240" w:lineRule="auto"/>
              <w:jc w:val="center"/>
              <w:rPr>
                <w:rFonts w:asciiTheme="minorHAnsi" w:hAnsiTheme="minorHAnsi" w:cstheme="minorHAnsi"/>
                <w:b/>
                <w:sz w:val="22"/>
                <w:szCs w:val="22"/>
              </w:rPr>
            </w:pPr>
            <w:r w:rsidRPr="00B37466">
              <w:rPr>
                <w:rFonts w:asciiTheme="minorHAnsi" w:hAnsiTheme="minorHAnsi" w:cstheme="minorHAnsi"/>
                <w:b/>
                <w:sz w:val="22"/>
                <w:szCs w:val="22"/>
              </w:rPr>
              <w:t xml:space="preserve">vliv na </w:t>
            </w:r>
            <w:r w:rsidR="00D40AB7">
              <w:rPr>
                <w:rFonts w:asciiTheme="minorHAnsi" w:hAnsiTheme="minorHAnsi" w:cstheme="minorHAnsi"/>
                <w:b/>
                <w:sz w:val="22"/>
                <w:szCs w:val="22"/>
              </w:rPr>
              <w:t>prostředí</w:t>
            </w:r>
          </w:p>
        </w:tc>
      </w:tr>
      <w:tr w:rsidR="007F004D" w14:paraId="7F4A8FB7" w14:textId="77777777" w:rsidTr="00B37466">
        <w:trPr>
          <w:trHeight w:val="341"/>
          <w:jc w:val="center"/>
        </w:trPr>
        <w:tc>
          <w:tcPr>
            <w:tcW w:w="1816" w:type="dxa"/>
            <w:shd w:val="clear" w:color="auto" w:fill="E7E6E6" w:themeFill="background2"/>
            <w:vAlign w:val="center"/>
          </w:tcPr>
          <w:p w14:paraId="74313E04" w14:textId="77777777" w:rsidR="007F004D" w:rsidRPr="00B37466" w:rsidRDefault="007F004D" w:rsidP="00E9181F">
            <w:pPr>
              <w:spacing w:line="240" w:lineRule="auto"/>
              <w:jc w:val="center"/>
              <w:rPr>
                <w:rFonts w:asciiTheme="minorHAnsi" w:hAnsiTheme="minorHAnsi" w:cstheme="minorHAnsi"/>
                <w:b/>
                <w:bCs/>
                <w:sz w:val="22"/>
                <w:szCs w:val="22"/>
              </w:rPr>
            </w:pPr>
            <w:r w:rsidRPr="00B37466">
              <w:rPr>
                <w:rFonts w:asciiTheme="minorHAnsi" w:hAnsiTheme="minorHAnsi" w:cstheme="minorHAnsi"/>
                <w:b/>
                <w:bCs/>
                <w:sz w:val="22"/>
                <w:szCs w:val="22"/>
              </w:rPr>
              <w:t>Ideální situace</w:t>
            </w:r>
          </w:p>
        </w:tc>
        <w:tc>
          <w:tcPr>
            <w:tcW w:w="1383" w:type="dxa"/>
            <w:vAlign w:val="center"/>
          </w:tcPr>
          <w:p w14:paraId="202515B1" w14:textId="77777777" w:rsidR="007F004D" w:rsidRDefault="007F004D" w:rsidP="00E9181F">
            <w:pPr>
              <w:spacing w:line="240" w:lineRule="auto"/>
              <w:jc w:val="center"/>
              <w:rPr>
                <w:sz w:val="22"/>
                <w:szCs w:val="22"/>
              </w:rPr>
            </w:pPr>
            <w:r>
              <w:rPr>
                <w:sz w:val="22"/>
                <w:szCs w:val="22"/>
              </w:rPr>
              <w:sym w:font="Symbol" w:char="00AD"/>
            </w:r>
          </w:p>
        </w:tc>
        <w:tc>
          <w:tcPr>
            <w:tcW w:w="1392" w:type="dxa"/>
            <w:vAlign w:val="center"/>
          </w:tcPr>
          <w:p w14:paraId="49BDF30E" w14:textId="77777777" w:rsidR="007F004D" w:rsidRDefault="007F004D" w:rsidP="00E9181F">
            <w:pPr>
              <w:spacing w:line="240" w:lineRule="auto"/>
              <w:jc w:val="center"/>
              <w:rPr>
                <w:sz w:val="22"/>
                <w:szCs w:val="22"/>
              </w:rPr>
            </w:pPr>
            <w:r>
              <w:rPr>
                <w:sz w:val="22"/>
                <w:szCs w:val="22"/>
              </w:rPr>
              <w:sym w:font="Symbol" w:char="00AD"/>
            </w:r>
          </w:p>
        </w:tc>
        <w:tc>
          <w:tcPr>
            <w:tcW w:w="1597" w:type="dxa"/>
            <w:vAlign w:val="center"/>
          </w:tcPr>
          <w:p w14:paraId="17222C11" w14:textId="77777777" w:rsidR="007F004D" w:rsidRDefault="007F004D" w:rsidP="00E9181F">
            <w:pPr>
              <w:spacing w:line="240" w:lineRule="auto"/>
              <w:jc w:val="center"/>
              <w:rPr>
                <w:sz w:val="22"/>
                <w:szCs w:val="22"/>
              </w:rPr>
            </w:pPr>
            <w:r>
              <w:rPr>
                <w:sz w:val="22"/>
                <w:szCs w:val="22"/>
              </w:rPr>
              <w:sym w:font="Symbol" w:char="00AF"/>
            </w:r>
          </w:p>
        </w:tc>
        <w:tc>
          <w:tcPr>
            <w:tcW w:w="1417" w:type="dxa"/>
            <w:vAlign w:val="center"/>
          </w:tcPr>
          <w:p w14:paraId="150142B3" w14:textId="77777777" w:rsidR="007F004D" w:rsidRDefault="007F004D" w:rsidP="00E9181F">
            <w:pPr>
              <w:spacing w:line="240" w:lineRule="auto"/>
              <w:jc w:val="center"/>
              <w:rPr>
                <w:sz w:val="22"/>
                <w:szCs w:val="22"/>
              </w:rPr>
            </w:pPr>
            <w:r>
              <w:rPr>
                <w:sz w:val="22"/>
                <w:szCs w:val="22"/>
              </w:rPr>
              <w:sym w:font="Symbol" w:char="00AD"/>
            </w:r>
          </w:p>
        </w:tc>
        <w:tc>
          <w:tcPr>
            <w:tcW w:w="1649" w:type="dxa"/>
            <w:vAlign w:val="center"/>
          </w:tcPr>
          <w:p w14:paraId="6C687B2E" w14:textId="77777777" w:rsidR="007F004D" w:rsidRDefault="007F004D" w:rsidP="00E9181F">
            <w:pPr>
              <w:spacing w:line="240" w:lineRule="auto"/>
              <w:jc w:val="center"/>
              <w:rPr>
                <w:sz w:val="22"/>
                <w:szCs w:val="22"/>
              </w:rPr>
            </w:pPr>
            <w:r>
              <w:rPr>
                <w:sz w:val="22"/>
                <w:szCs w:val="22"/>
              </w:rPr>
              <w:t>+</w:t>
            </w:r>
          </w:p>
        </w:tc>
      </w:tr>
      <w:tr w:rsidR="007F004D" w14:paraId="15C0B4F9" w14:textId="77777777" w:rsidTr="00B37466">
        <w:trPr>
          <w:trHeight w:val="322"/>
          <w:jc w:val="center"/>
        </w:trPr>
        <w:tc>
          <w:tcPr>
            <w:tcW w:w="1816" w:type="dxa"/>
            <w:shd w:val="clear" w:color="auto" w:fill="E7E6E6" w:themeFill="background2"/>
            <w:vAlign w:val="center"/>
          </w:tcPr>
          <w:p w14:paraId="6A7850FF"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Kladný vývoj 1</w:t>
            </w:r>
          </w:p>
        </w:tc>
        <w:tc>
          <w:tcPr>
            <w:tcW w:w="1383" w:type="dxa"/>
            <w:vAlign w:val="center"/>
          </w:tcPr>
          <w:p w14:paraId="24C827AC" w14:textId="77777777" w:rsidR="007F004D" w:rsidRDefault="007F004D" w:rsidP="00E9181F">
            <w:pPr>
              <w:spacing w:line="240" w:lineRule="auto"/>
              <w:jc w:val="center"/>
              <w:rPr>
                <w:sz w:val="22"/>
                <w:szCs w:val="22"/>
              </w:rPr>
            </w:pPr>
            <w:r>
              <w:rPr>
                <w:sz w:val="22"/>
                <w:szCs w:val="22"/>
              </w:rPr>
              <w:sym w:font="Symbol" w:char="00AD"/>
            </w:r>
          </w:p>
        </w:tc>
        <w:tc>
          <w:tcPr>
            <w:tcW w:w="1392" w:type="dxa"/>
            <w:vAlign w:val="center"/>
          </w:tcPr>
          <w:p w14:paraId="2DA6AD94" w14:textId="77777777" w:rsidR="007F004D" w:rsidRDefault="007F004D" w:rsidP="00E9181F">
            <w:pPr>
              <w:spacing w:line="240" w:lineRule="auto"/>
              <w:jc w:val="center"/>
              <w:rPr>
                <w:sz w:val="22"/>
                <w:szCs w:val="22"/>
              </w:rPr>
            </w:pPr>
            <w:r>
              <w:rPr>
                <w:sz w:val="22"/>
                <w:szCs w:val="22"/>
              </w:rPr>
              <w:sym w:font="Symbol" w:char="00AD"/>
            </w:r>
          </w:p>
        </w:tc>
        <w:tc>
          <w:tcPr>
            <w:tcW w:w="1597" w:type="dxa"/>
            <w:vAlign w:val="center"/>
          </w:tcPr>
          <w:p w14:paraId="6E5DD42A" w14:textId="77777777" w:rsidR="007F004D" w:rsidRDefault="007F004D" w:rsidP="00E9181F">
            <w:pPr>
              <w:spacing w:line="240" w:lineRule="auto"/>
              <w:jc w:val="center"/>
              <w:rPr>
                <w:sz w:val="22"/>
                <w:szCs w:val="22"/>
              </w:rPr>
            </w:pPr>
            <w:r>
              <w:rPr>
                <w:sz w:val="22"/>
                <w:szCs w:val="22"/>
              </w:rPr>
              <w:t>0</w:t>
            </w:r>
          </w:p>
        </w:tc>
        <w:tc>
          <w:tcPr>
            <w:tcW w:w="1417" w:type="dxa"/>
            <w:vAlign w:val="center"/>
          </w:tcPr>
          <w:p w14:paraId="20A14173" w14:textId="77777777" w:rsidR="007F004D" w:rsidRDefault="007F004D" w:rsidP="00E9181F">
            <w:pPr>
              <w:spacing w:line="240" w:lineRule="auto"/>
              <w:jc w:val="center"/>
              <w:rPr>
                <w:sz w:val="22"/>
                <w:szCs w:val="22"/>
              </w:rPr>
            </w:pPr>
            <w:r>
              <w:rPr>
                <w:sz w:val="22"/>
                <w:szCs w:val="22"/>
              </w:rPr>
              <w:t>0</w:t>
            </w:r>
          </w:p>
        </w:tc>
        <w:tc>
          <w:tcPr>
            <w:tcW w:w="1649" w:type="dxa"/>
            <w:vAlign w:val="center"/>
          </w:tcPr>
          <w:p w14:paraId="6558ABB9" w14:textId="77777777" w:rsidR="007F004D" w:rsidRDefault="007F004D" w:rsidP="00E9181F">
            <w:pPr>
              <w:spacing w:line="240" w:lineRule="auto"/>
              <w:jc w:val="center"/>
              <w:rPr>
                <w:sz w:val="22"/>
                <w:szCs w:val="22"/>
              </w:rPr>
            </w:pPr>
            <w:r>
              <w:rPr>
                <w:sz w:val="22"/>
                <w:szCs w:val="22"/>
              </w:rPr>
              <w:t>0</w:t>
            </w:r>
          </w:p>
        </w:tc>
      </w:tr>
      <w:tr w:rsidR="007F004D" w14:paraId="7B13D463" w14:textId="77777777" w:rsidTr="00B37466">
        <w:trPr>
          <w:trHeight w:val="337"/>
          <w:jc w:val="center"/>
        </w:trPr>
        <w:tc>
          <w:tcPr>
            <w:tcW w:w="1816" w:type="dxa"/>
            <w:shd w:val="clear" w:color="auto" w:fill="E7E6E6" w:themeFill="background2"/>
            <w:vAlign w:val="center"/>
          </w:tcPr>
          <w:p w14:paraId="1CEB62FD"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Kladný vývoj 2</w:t>
            </w:r>
          </w:p>
        </w:tc>
        <w:tc>
          <w:tcPr>
            <w:tcW w:w="1383" w:type="dxa"/>
            <w:vAlign w:val="center"/>
          </w:tcPr>
          <w:p w14:paraId="0D415609" w14:textId="77777777" w:rsidR="007F004D" w:rsidRDefault="007F004D" w:rsidP="00E9181F">
            <w:pPr>
              <w:spacing w:line="240" w:lineRule="auto"/>
              <w:jc w:val="center"/>
              <w:rPr>
                <w:sz w:val="22"/>
                <w:szCs w:val="22"/>
              </w:rPr>
            </w:pPr>
            <w:r>
              <w:rPr>
                <w:sz w:val="22"/>
                <w:szCs w:val="22"/>
              </w:rPr>
              <w:t>0</w:t>
            </w:r>
          </w:p>
        </w:tc>
        <w:tc>
          <w:tcPr>
            <w:tcW w:w="1392" w:type="dxa"/>
            <w:vAlign w:val="center"/>
          </w:tcPr>
          <w:p w14:paraId="1E8E4DBF" w14:textId="77777777" w:rsidR="007F004D" w:rsidRDefault="007F004D" w:rsidP="00E9181F">
            <w:pPr>
              <w:spacing w:line="240" w:lineRule="auto"/>
              <w:jc w:val="center"/>
              <w:rPr>
                <w:sz w:val="22"/>
                <w:szCs w:val="22"/>
              </w:rPr>
            </w:pPr>
            <w:r>
              <w:rPr>
                <w:sz w:val="22"/>
                <w:szCs w:val="22"/>
              </w:rPr>
              <w:t>0</w:t>
            </w:r>
          </w:p>
        </w:tc>
        <w:tc>
          <w:tcPr>
            <w:tcW w:w="1597" w:type="dxa"/>
            <w:vAlign w:val="center"/>
          </w:tcPr>
          <w:p w14:paraId="54494DE2" w14:textId="77777777" w:rsidR="007F004D" w:rsidRDefault="007F004D" w:rsidP="00E9181F">
            <w:pPr>
              <w:spacing w:line="240" w:lineRule="auto"/>
              <w:jc w:val="center"/>
              <w:rPr>
                <w:sz w:val="22"/>
                <w:szCs w:val="22"/>
              </w:rPr>
            </w:pPr>
            <w:r>
              <w:rPr>
                <w:sz w:val="22"/>
                <w:szCs w:val="22"/>
              </w:rPr>
              <w:sym w:font="Symbol" w:char="00AF"/>
            </w:r>
          </w:p>
        </w:tc>
        <w:tc>
          <w:tcPr>
            <w:tcW w:w="1417" w:type="dxa"/>
            <w:vAlign w:val="center"/>
          </w:tcPr>
          <w:p w14:paraId="1B3DCB78" w14:textId="77777777" w:rsidR="007F004D" w:rsidRDefault="007F004D" w:rsidP="00E9181F">
            <w:pPr>
              <w:spacing w:line="240" w:lineRule="auto"/>
              <w:jc w:val="center"/>
              <w:rPr>
                <w:sz w:val="22"/>
                <w:szCs w:val="22"/>
              </w:rPr>
            </w:pPr>
            <w:r>
              <w:rPr>
                <w:sz w:val="22"/>
                <w:szCs w:val="22"/>
              </w:rPr>
              <w:t>0</w:t>
            </w:r>
          </w:p>
        </w:tc>
        <w:tc>
          <w:tcPr>
            <w:tcW w:w="1649" w:type="dxa"/>
            <w:vAlign w:val="center"/>
          </w:tcPr>
          <w:p w14:paraId="2CB37171" w14:textId="77777777" w:rsidR="007F004D" w:rsidRDefault="007F004D" w:rsidP="00E9181F">
            <w:pPr>
              <w:spacing w:line="240" w:lineRule="auto"/>
              <w:jc w:val="center"/>
              <w:rPr>
                <w:sz w:val="22"/>
                <w:szCs w:val="22"/>
              </w:rPr>
            </w:pPr>
            <w:r>
              <w:rPr>
                <w:sz w:val="22"/>
                <w:szCs w:val="22"/>
              </w:rPr>
              <w:t>+</w:t>
            </w:r>
          </w:p>
        </w:tc>
      </w:tr>
      <w:tr w:rsidR="007F004D" w14:paraId="296E6239" w14:textId="77777777" w:rsidTr="00B37466">
        <w:trPr>
          <w:trHeight w:val="334"/>
          <w:jc w:val="center"/>
        </w:trPr>
        <w:tc>
          <w:tcPr>
            <w:tcW w:w="1816" w:type="dxa"/>
            <w:shd w:val="clear" w:color="auto" w:fill="E7E6E6" w:themeFill="background2"/>
            <w:vAlign w:val="center"/>
          </w:tcPr>
          <w:p w14:paraId="42C7E016"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Kladný vývoj 3</w:t>
            </w:r>
          </w:p>
        </w:tc>
        <w:tc>
          <w:tcPr>
            <w:tcW w:w="1383" w:type="dxa"/>
            <w:vAlign w:val="center"/>
          </w:tcPr>
          <w:p w14:paraId="08EC8B3B" w14:textId="77777777" w:rsidR="007F004D" w:rsidRDefault="007F004D" w:rsidP="00E9181F">
            <w:pPr>
              <w:spacing w:line="240" w:lineRule="auto"/>
              <w:jc w:val="center"/>
              <w:rPr>
                <w:sz w:val="22"/>
                <w:szCs w:val="22"/>
              </w:rPr>
            </w:pPr>
            <w:r>
              <w:rPr>
                <w:sz w:val="22"/>
                <w:szCs w:val="22"/>
              </w:rPr>
              <w:sym w:font="Symbol" w:char="00AD"/>
            </w:r>
            <w:r>
              <w:rPr>
                <w:sz w:val="22"/>
                <w:szCs w:val="22"/>
              </w:rPr>
              <w:sym w:font="Symbol" w:char="00AD"/>
            </w:r>
          </w:p>
        </w:tc>
        <w:tc>
          <w:tcPr>
            <w:tcW w:w="1392" w:type="dxa"/>
            <w:vAlign w:val="center"/>
          </w:tcPr>
          <w:p w14:paraId="75A604BD" w14:textId="77777777" w:rsidR="007F004D" w:rsidRDefault="007F004D" w:rsidP="00E9181F">
            <w:pPr>
              <w:spacing w:line="240" w:lineRule="auto"/>
              <w:jc w:val="center"/>
              <w:rPr>
                <w:sz w:val="22"/>
                <w:szCs w:val="22"/>
              </w:rPr>
            </w:pPr>
            <w:r>
              <w:rPr>
                <w:sz w:val="22"/>
                <w:szCs w:val="22"/>
              </w:rPr>
              <w:t>0</w:t>
            </w:r>
          </w:p>
        </w:tc>
        <w:tc>
          <w:tcPr>
            <w:tcW w:w="1597" w:type="dxa"/>
            <w:vAlign w:val="center"/>
          </w:tcPr>
          <w:p w14:paraId="7D10AA3D" w14:textId="77777777" w:rsidR="007F004D" w:rsidRDefault="007F004D" w:rsidP="00E9181F">
            <w:pPr>
              <w:spacing w:line="240" w:lineRule="auto"/>
              <w:jc w:val="center"/>
              <w:rPr>
                <w:sz w:val="22"/>
                <w:szCs w:val="22"/>
              </w:rPr>
            </w:pPr>
            <w:r>
              <w:rPr>
                <w:sz w:val="22"/>
                <w:szCs w:val="22"/>
              </w:rPr>
              <w:sym w:font="Symbol" w:char="00AD"/>
            </w:r>
          </w:p>
        </w:tc>
        <w:tc>
          <w:tcPr>
            <w:tcW w:w="1417" w:type="dxa"/>
            <w:vAlign w:val="center"/>
          </w:tcPr>
          <w:p w14:paraId="035FCF70" w14:textId="77777777" w:rsidR="007F004D" w:rsidRDefault="007F004D" w:rsidP="00E9181F">
            <w:pPr>
              <w:spacing w:line="240" w:lineRule="auto"/>
              <w:jc w:val="center"/>
              <w:rPr>
                <w:sz w:val="22"/>
                <w:szCs w:val="22"/>
              </w:rPr>
            </w:pPr>
            <w:r>
              <w:rPr>
                <w:sz w:val="22"/>
                <w:szCs w:val="22"/>
              </w:rPr>
              <w:t>0</w:t>
            </w:r>
          </w:p>
        </w:tc>
        <w:tc>
          <w:tcPr>
            <w:tcW w:w="1649" w:type="dxa"/>
            <w:vAlign w:val="center"/>
          </w:tcPr>
          <w:p w14:paraId="0DA5B71C" w14:textId="77777777" w:rsidR="007F004D" w:rsidRDefault="007F004D" w:rsidP="00E9181F">
            <w:pPr>
              <w:spacing w:line="240" w:lineRule="auto"/>
              <w:jc w:val="center"/>
              <w:rPr>
                <w:sz w:val="22"/>
                <w:szCs w:val="22"/>
              </w:rPr>
            </w:pPr>
            <w:r>
              <w:rPr>
                <w:sz w:val="22"/>
                <w:szCs w:val="22"/>
              </w:rPr>
              <w:t>0</w:t>
            </w:r>
          </w:p>
        </w:tc>
      </w:tr>
      <w:tr w:rsidR="007F004D" w14:paraId="16EB631A" w14:textId="77777777" w:rsidTr="00B37466">
        <w:trPr>
          <w:trHeight w:val="330"/>
          <w:jc w:val="center"/>
        </w:trPr>
        <w:tc>
          <w:tcPr>
            <w:tcW w:w="1816" w:type="dxa"/>
            <w:shd w:val="clear" w:color="auto" w:fill="E7E6E6" w:themeFill="background2"/>
            <w:vAlign w:val="center"/>
          </w:tcPr>
          <w:p w14:paraId="0ABAEF44"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atd.</w:t>
            </w:r>
          </w:p>
        </w:tc>
        <w:tc>
          <w:tcPr>
            <w:tcW w:w="7438" w:type="dxa"/>
            <w:gridSpan w:val="5"/>
            <w:vAlign w:val="center"/>
          </w:tcPr>
          <w:p w14:paraId="4079ACEA"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mnoho dalších kombinací</w:t>
            </w:r>
          </w:p>
        </w:tc>
      </w:tr>
      <w:tr w:rsidR="007F004D" w14:paraId="52B337F1" w14:textId="77777777" w:rsidTr="00B37466">
        <w:trPr>
          <w:trHeight w:val="325"/>
          <w:jc w:val="center"/>
        </w:trPr>
        <w:tc>
          <w:tcPr>
            <w:tcW w:w="1816" w:type="dxa"/>
            <w:shd w:val="clear" w:color="auto" w:fill="E7E6E6" w:themeFill="background2"/>
            <w:vAlign w:val="center"/>
          </w:tcPr>
          <w:p w14:paraId="5F45AAF8" w14:textId="77777777" w:rsidR="007F004D" w:rsidRPr="00B37466" w:rsidRDefault="007F004D" w:rsidP="00E9181F">
            <w:pPr>
              <w:spacing w:line="240" w:lineRule="auto"/>
              <w:jc w:val="center"/>
              <w:rPr>
                <w:rFonts w:asciiTheme="minorHAnsi" w:hAnsiTheme="minorHAnsi" w:cstheme="minorHAnsi"/>
                <w:b/>
                <w:bCs/>
                <w:sz w:val="22"/>
                <w:szCs w:val="22"/>
              </w:rPr>
            </w:pPr>
            <w:r w:rsidRPr="00B37466">
              <w:rPr>
                <w:rFonts w:asciiTheme="minorHAnsi" w:hAnsiTheme="minorHAnsi" w:cstheme="minorHAnsi"/>
                <w:b/>
                <w:bCs/>
                <w:sz w:val="22"/>
                <w:szCs w:val="22"/>
              </w:rPr>
              <w:t>negativní vývoj</w:t>
            </w:r>
          </w:p>
        </w:tc>
        <w:tc>
          <w:tcPr>
            <w:tcW w:w="1383" w:type="dxa"/>
            <w:vAlign w:val="center"/>
          </w:tcPr>
          <w:p w14:paraId="0EBCD3B9" w14:textId="77777777" w:rsidR="007F004D" w:rsidRDefault="007F004D" w:rsidP="00E9181F">
            <w:pPr>
              <w:spacing w:line="240" w:lineRule="auto"/>
              <w:jc w:val="center"/>
              <w:rPr>
                <w:sz w:val="22"/>
                <w:szCs w:val="22"/>
              </w:rPr>
            </w:pPr>
            <w:r>
              <w:rPr>
                <w:sz w:val="22"/>
                <w:szCs w:val="22"/>
              </w:rPr>
              <w:sym w:font="Symbol" w:char="00AF"/>
            </w:r>
          </w:p>
        </w:tc>
        <w:tc>
          <w:tcPr>
            <w:tcW w:w="1392" w:type="dxa"/>
            <w:vAlign w:val="center"/>
          </w:tcPr>
          <w:p w14:paraId="7D131BB2" w14:textId="77777777" w:rsidR="007F004D" w:rsidRDefault="007F004D" w:rsidP="00E9181F">
            <w:pPr>
              <w:spacing w:line="240" w:lineRule="auto"/>
              <w:jc w:val="center"/>
              <w:rPr>
                <w:sz w:val="22"/>
                <w:szCs w:val="22"/>
              </w:rPr>
            </w:pPr>
            <w:r>
              <w:rPr>
                <w:sz w:val="22"/>
                <w:szCs w:val="22"/>
              </w:rPr>
              <w:t>0</w:t>
            </w:r>
          </w:p>
        </w:tc>
        <w:tc>
          <w:tcPr>
            <w:tcW w:w="1597" w:type="dxa"/>
            <w:vAlign w:val="center"/>
          </w:tcPr>
          <w:p w14:paraId="611A8468" w14:textId="77777777" w:rsidR="007F004D" w:rsidRDefault="007F004D" w:rsidP="00E9181F">
            <w:pPr>
              <w:spacing w:line="240" w:lineRule="auto"/>
              <w:jc w:val="center"/>
              <w:rPr>
                <w:sz w:val="22"/>
                <w:szCs w:val="22"/>
              </w:rPr>
            </w:pPr>
            <w:r>
              <w:rPr>
                <w:sz w:val="22"/>
                <w:szCs w:val="22"/>
              </w:rPr>
              <w:t>0</w:t>
            </w:r>
          </w:p>
        </w:tc>
        <w:tc>
          <w:tcPr>
            <w:tcW w:w="1417" w:type="dxa"/>
            <w:vAlign w:val="center"/>
          </w:tcPr>
          <w:p w14:paraId="515676A7" w14:textId="77777777" w:rsidR="007F004D" w:rsidRDefault="007F004D" w:rsidP="00E9181F">
            <w:pPr>
              <w:spacing w:line="240" w:lineRule="auto"/>
              <w:jc w:val="center"/>
              <w:rPr>
                <w:sz w:val="22"/>
                <w:szCs w:val="22"/>
              </w:rPr>
            </w:pPr>
            <w:r>
              <w:rPr>
                <w:sz w:val="22"/>
                <w:szCs w:val="22"/>
              </w:rPr>
              <w:t>0</w:t>
            </w:r>
          </w:p>
        </w:tc>
        <w:tc>
          <w:tcPr>
            <w:tcW w:w="1649" w:type="dxa"/>
            <w:vAlign w:val="center"/>
          </w:tcPr>
          <w:p w14:paraId="7D12BB95" w14:textId="77777777" w:rsidR="007F004D" w:rsidRDefault="007F004D" w:rsidP="00E9181F">
            <w:pPr>
              <w:spacing w:line="240" w:lineRule="auto"/>
              <w:jc w:val="center"/>
              <w:rPr>
                <w:sz w:val="22"/>
                <w:szCs w:val="22"/>
              </w:rPr>
            </w:pPr>
            <w:r>
              <w:rPr>
                <w:sz w:val="22"/>
                <w:szCs w:val="22"/>
              </w:rPr>
              <w:t>0</w:t>
            </w:r>
          </w:p>
        </w:tc>
      </w:tr>
      <w:tr w:rsidR="007F004D" w14:paraId="25B2025F" w14:textId="77777777" w:rsidTr="00B37466">
        <w:trPr>
          <w:trHeight w:val="336"/>
          <w:jc w:val="center"/>
        </w:trPr>
        <w:tc>
          <w:tcPr>
            <w:tcW w:w="1816" w:type="dxa"/>
            <w:shd w:val="clear" w:color="auto" w:fill="E7E6E6" w:themeFill="background2"/>
            <w:vAlign w:val="center"/>
          </w:tcPr>
          <w:p w14:paraId="4075F949"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Nebo například</w:t>
            </w:r>
          </w:p>
        </w:tc>
        <w:tc>
          <w:tcPr>
            <w:tcW w:w="1383" w:type="dxa"/>
            <w:vAlign w:val="center"/>
          </w:tcPr>
          <w:p w14:paraId="08E92C1B" w14:textId="77777777" w:rsidR="007F004D" w:rsidRDefault="007F004D" w:rsidP="00E9181F">
            <w:pPr>
              <w:spacing w:line="240" w:lineRule="auto"/>
              <w:jc w:val="center"/>
              <w:rPr>
                <w:sz w:val="22"/>
                <w:szCs w:val="22"/>
              </w:rPr>
            </w:pPr>
            <w:r>
              <w:rPr>
                <w:sz w:val="22"/>
                <w:szCs w:val="22"/>
              </w:rPr>
              <w:t>0</w:t>
            </w:r>
          </w:p>
        </w:tc>
        <w:tc>
          <w:tcPr>
            <w:tcW w:w="1392" w:type="dxa"/>
            <w:vAlign w:val="center"/>
          </w:tcPr>
          <w:p w14:paraId="744DBF54" w14:textId="77777777" w:rsidR="007F004D" w:rsidRDefault="007F004D" w:rsidP="00E9181F">
            <w:pPr>
              <w:spacing w:line="240" w:lineRule="auto"/>
              <w:jc w:val="center"/>
              <w:rPr>
                <w:sz w:val="22"/>
                <w:szCs w:val="22"/>
              </w:rPr>
            </w:pPr>
            <w:r>
              <w:rPr>
                <w:sz w:val="22"/>
                <w:szCs w:val="22"/>
              </w:rPr>
              <w:sym w:font="Symbol" w:char="00AF"/>
            </w:r>
          </w:p>
        </w:tc>
        <w:tc>
          <w:tcPr>
            <w:tcW w:w="1597" w:type="dxa"/>
            <w:vAlign w:val="center"/>
          </w:tcPr>
          <w:p w14:paraId="65B1EA35" w14:textId="77777777" w:rsidR="007F004D" w:rsidRDefault="007F004D" w:rsidP="00E9181F">
            <w:pPr>
              <w:spacing w:line="240" w:lineRule="auto"/>
              <w:jc w:val="center"/>
              <w:rPr>
                <w:sz w:val="22"/>
                <w:szCs w:val="22"/>
              </w:rPr>
            </w:pPr>
            <w:r>
              <w:rPr>
                <w:sz w:val="22"/>
                <w:szCs w:val="22"/>
              </w:rPr>
              <w:t>0</w:t>
            </w:r>
          </w:p>
        </w:tc>
        <w:tc>
          <w:tcPr>
            <w:tcW w:w="1417" w:type="dxa"/>
            <w:vAlign w:val="center"/>
          </w:tcPr>
          <w:p w14:paraId="7572D448" w14:textId="77777777" w:rsidR="007F004D" w:rsidRDefault="007F004D" w:rsidP="00E9181F">
            <w:pPr>
              <w:spacing w:line="240" w:lineRule="auto"/>
              <w:jc w:val="center"/>
              <w:rPr>
                <w:sz w:val="22"/>
                <w:szCs w:val="22"/>
              </w:rPr>
            </w:pPr>
            <w:r>
              <w:rPr>
                <w:sz w:val="22"/>
                <w:szCs w:val="22"/>
              </w:rPr>
              <w:t>0</w:t>
            </w:r>
          </w:p>
        </w:tc>
        <w:tc>
          <w:tcPr>
            <w:tcW w:w="1649" w:type="dxa"/>
            <w:vAlign w:val="center"/>
          </w:tcPr>
          <w:p w14:paraId="5146D6F9" w14:textId="77777777" w:rsidR="007F004D" w:rsidRDefault="007F004D" w:rsidP="00E9181F">
            <w:pPr>
              <w:spacing w:line="240" w:lineRule="auto"/>
              <w:jc w:val="center"/>
              <w:rPr>
                <w:sz w:val="22"/>
                <w:szCs w:val="22"/>
              </w:rPr>
            </w:pPr>
            <w:r>
              <w:rPr>
                <w:sz w:val="22"/>
                <w:szCs w:val="22"/>
              </w:rPr>
              <w:t>-</w:t>
            </w:r>
          </w:p>
        </w:tc>
      </w:tr>
      <w:tr w:rsidR="007F004D" w14:paraId="12832BA6" w14:textId="77777777" w:rsidTr="00B37466">
        <w:trPr>
          <w:trHeight w:val="332"/>
          <w:jc w:val="center"/>
        </w:trPr>
        <w:tc>
          <w:tcPr>
            <w:tcW w:w="1816" w:type="dxa"/>
            <w:shd w:val="clear" w:color="auto" w:fill="E7E6E6" w:themeFill="background2"/>
            <w:vAlign w:val="center"/>
          </w:tcPr>
          <w:p w14:paraId="3911D047"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atd.</w:t>
            </w:r>
          </w:p>
        </w:tc>
        <w:tc>
          <w:tcPr>
            <w:tcW w:w="7438" w:type="dxa"/>
            <w:gridSpan w:val="5"/>
            <w:vAlign w:val="center"/>
          </w:tcPr>
          <w:p w14:paraId="7B6FFE7E" w14:textId="77777777" w:rsidR="007F004D" w:rsidRPr="00B37466" w:rsidRDefault="007F004D" w:rsidP="00E9181F">
            <w:pPr>
              <w:spacing w:line="240" w:lineRule="auto"/>
              <w:jc w:val="center"/>
              <w:rPr>
                <w:rFonts w:asciiTheme="minorHAnsi" w:hAnsiTheme="minorHAnsi" w:cstheme="minorHAnsi"/>
                <w:sz w:val="22"/>
                <w:szCs w:val="22"/>
              </w:rPr>
            </w:pPr>
            <w:r w:rsidRPr="00B37466">
              <w:rPr>
                <w:rFonts w:asciiTheme="minorHAnsi" w:hAnsiTheme="minorHAnsi" w:cstheme="minorHAnsi"/>
                <w:sz w:val="22"/>
                <w:szCs w:val="22"/>
              </w:rPr>
              <w:t>mnoho dalších kombinací</w:t>
            </w:r>
          </w:p>
        </w:tc>
      </w:tr>
      <w:tr w:rsidR="007F004D" w14:paraId="3D08B425" w14:textId="77777777" w:rsidTr="00B37466">
        <w:trPr>
          <w:trHeight w:val="256"/>
          <w:jc w:val="center"/>
        </w:trPr>
        <w:tc>
          <w:tcPr>
            <w:tcW w:w="1816" w:type="dxa"/>
            <w:shd w:val="clear" w:color="auto" w:fill="E7E6E6" w:themeFill="background2"/>
            <w:vAlign w:val="center"/>
          </w:tcPr>
          <w:p w14:paraId="4D2E4D28" w14:textId="77777777" w:rsidR="007F004D" w:rsidRPr="00B37466" w:rsidRDefault="007F004D" w:rsidP="00E9181F">
            <w:pPr>
              <w:spacing w:line="240" w:lineRule="auto"/>
              <w:jc w:val="center"/>
              <w:rPr>
                <w:rFonts w:asciiTheme="minorHAnsi" w:hAnsiTheme="minorHAnsi" w:cstheme="minorHAnsi"/>
                <w:b/>
                <w:bCs/>
                <w:sz w:val="22"/>
                <w:szCs w:val="22"/>
              </w:rPr>
            </w:pPr>
            <w:r w:rsidRPr="00B37466">
              <w:rPr>
                <w:rFonts w:asciiTheme="minorHAnsi" w:hAnsiTheme="minorHAnsi" w:cstheme="minorHAnsi"/>
                <w:b/>
                <w:bCs/>
                <w:sz w:val="22"/>
                <w:szCs w:val="22"/>
              </w:rPr>
              <w:t>krize</w:t>
            </w:r>
          </w:p>
        </w:tc>
        <w:tc>
          <w:tcPr>
            <w:tcW w:w="1383" w:type="dxa"/>
            <w:vAlign w:val="center"/>
          </w:tcPr>
          <w:p w14:paraId="0452C6CF" w14:textId="77777777" w:rsidR="007F004D" w:rsidRDefault="007F004D" w:rsidP="00E9181F">
            <w:pPr>
              <w:spacing w:line="240" w:lineRule="auto"/>
              <w:jc w:val="center"/>
              <w:rPr>
                <w:sz w:val="22"/>
                <w:szCs w:val="22"/>
              </w:rPr>
            </w:pPr>
            <w:r>
              <w:rPr>
                <w:sz w:val="22"/>
                <w:szCs w:val="22"/>
              </w:rPr>
              <w:sym w:font="Symbol" w:char="00AF"/>
            </w:r>
          </w:p>
        </w:tc>
        <w:tc>
          <w:tcPr>
            <w:tcW w:w="1392" w:type="dxa"/>
            <w:vAlign w:val="center"/>
          </w:tcPr>
          <w:p w14:paraId="76A1AD6A" w14:textId="77777777" w:rsidR="007F004D" w:rsidRDefault="007F004D" w:rsidP="00E9181F">
            <w:pPr>
              <w:spacing w:line="240" w:lineRule="auto"/>
              <w:jc w:val="center"/>
              <w:rPr>
                <w:sz w:val="22"/>
                <w:szCs w:val="22"/>
              </w:rPr>
            </w:pPr>
            <w:r>
              <w:rPr>
                <w:sz w:val="22"/>
                <w:szCs w:val="22"/>
              </w:rPr>
              <w:sym w:font="Symbol" w:char="00AF"/>
            </w:r>
          </w:p>
        </w:tc>
        <w:tc>
          <w:tcPr>
            <w:tcW w:w="1597" w:type="dxa"/>
            <w:vAlign w:val="center"/>
          </w:tcPr>
          <w:p w14:paraId="3386C0E2" w14:textId="77777777" w:rsidR="007F004D" w:rsidRDefault="007F004D" w:rsidP="00E9181F">
            <w:pPr>
              <w:spacing w:line="240" w:lineRule="auto"/>
              <w:jc w:val="center"/>
              <w:rPr>
                <w:sz w:val="22"/>
                <w:szCs w:val="22"/>
              </w:rPr>
            </w:pPr>
            <w:r>
              <w:rPr>
                <w:sz w:val="22"/>
                <w:szCs w:val="22"/>
              </w:rPr>
              <w:sym w:font="Symbol" w:char="00AD"/>
            </w:r>
          </w:p>
        </w:tc>
        <w:tc>
          <w:tcPr>
            <w:tcW w:w="1417" w:type="dxa"/>
            <w:vAlign w:val="center"/>
          </w:tcPr>
          <w:p w14:paraId="53A25DDD" w14:textId="346D17C2" w:rsidR="007F004D" w:rsidRDefault="0026588A" w:rsidP="00E9181F">
            <w:pPr>
              <w:spacing w:line="240" w:lineRule="auto"/>
              <w:jc w:val="center"/>
              <w:rPr>
                <w:sz w:val="22"/>
                <w:szCs w:val="22"/>
              </w:rPr>
            </w:pPr>
            <w:r>
              <w:rPr>
                <w:sz w:val="22"/>
                <w:szCs w:val="22"/>
              </w:rPr>
              <w:sym w:font="Symbol" w:char="00AF"/>
            </w:r>
          </w:p>
        </w:tc>
        <w:tc>
          <w:tcPr>
            <w:tcW w:w="1649" w:type="dxa"/>
            <w:vAlign w:val="center"/>
          </w:tcPr>
          <w:p w14:paraId="16F7D73B" w14:textId="77777777" w:rsidR="007F004D" w:rsidRDefault="007F004D" w:rsidP="00E9181F">
            <w:pPr>
              <w:spacing w:line="240" w:lineRule="auto"/>
              <w:jc w:val="center"/>
              <w:rPr>
                <w:sz w:val="22"/>
                <w:szCs w:val="22"/>
              </w:rPr>
            </w:pPr>
            <w:r>
              <w:rPr>
                <w:sz w:val="22"/>
                <w:szCs w:val="22"/>
              </w:rPr>
              <w:t>-</w:t>
            </w:r>
          </w:p>
        </w:tc>
      </w:tr>
      <w:tr w:rsidR="007F004D" w14:paraId="66A507AD" w14:textId="77777777" w:rsidTr="00B37466">
        <w:trPr>
          <w:trHeight w:val="256"/>
          <w:jc w:val="center"/>
        </w:trPr>
        <w:tc>
          <w:tcPr>
            <w:tcW w:w="9254" w:type="dxa"/>
            <w:gridSpan w:val="6"/>
            <w:shd w:val="clear" w:color="auto" w:fill="FFFFFF"/>
            <w:vAlign w:val="center"/>
          </w:tcPr>
          <w:p w14:paraId="11F3D4BF" w14:textId="1B669F92" w:rsidR="007F004D" w:rsidRDefault="007F004D" w:rsidP="00E9181F">
            <w:pPr>
              <w:spacing w:line="240" w:lineRule="auto"/>
              <w:jc w:val="center"/>
              <w:rPr>
                <w:sz w:val="22"/>
                <w:szCs w:val="22"/>
              </w:rPr>
            </w:pPr>
            <w:r>
              <w:rPr>
                <w:bCs/>
                <w:sz w:val="22"/>
                <w:szCs w:val="22"/>
              </w:rPr>
              <w:t xml:space="preserve">Poznámka: </w:t>
            </w:r>
            <w:r>
              <w:rPr>
                <w:sz w:val="22"/>
                <w:szCs w:val="22"/>
              </w:rPr>
              <w:sym w:font="Symbol" w:char="00AD"/>
            </w:r>
            <w:r w:rsidR="00B37466">
              <w:rPr>
                <w:bCs/>
                <w:sz w:val="22"/>
                <w:szCs w:val="22"/>
              </w:rPr>
              <w:t xml:space="preserve"> </w:t>
            </w:r>
            <w:r>
              <w:rPr>
                <w:bCs/>
                <w:sz w:val="22"/>
                <w:szCs w:val="22"/>
              </w:rPr>
              <w:t xml:space="preserve">hodnota roste, </w:t>
            </w:r>
            <w:r>
              <w:rPr>
                <w:sz w:val="22"/>
                <w:szCs w:val="22"/>
              </w:rPr>
              <w:sym w:font="Symbol" w:char="00AD"/>
            </w:r>
            <w:r>
              <w:rPr>
                <w:sz w:val="22"/>
                <w:szCs w:val="22"/>
              </w:rPr>
              <w:sym w:font="Symbol" w:char="00AD"/>
            </w:r>
            <w:r w:rsidR="00B37466">
              <w:rPr>
                <w:sz w:val="22"/>
                <w:szCs w:val="22"/>
              </w:rPr>
              <w:t xml:space="preserve"> hodnota výrazně roste, 0 </w:t>
            </w:r>
            <w:r>
              <w:rPr>
                <w:sz w:val="22"/>
                <w:szCs w:val="22"/>
              </w:rPr>
              <w:t xml:space="preserve">neroste ani neklesá, </w:t>
            </w:r>
            <w:r>
              <w:rPr>
                <w:sz w:val="22"/>
                <w:szCs w:val="22"/>
              </w:rPr>
              <w:sym w:font="Symbol" w:char="00AF"/>
            </w:r>
            <w:r w:rsidR="00B37466">
              <w:rPr>
                <w:sz w:val="22"/>
                <w:szCs w:val="22"/>
              </w:rPr>
              <w:t xml:space="preserve"> </w:t>
            </w:r>
            <w:r>
              <w:rPr>
                <w:sz w:val="22"/>
                <w:szCs w:val="22"/>
              </w:rPr>
              <w:t>hodnota klesá,</w:t>
            </w:r>
          </w:p>
          <w:p w14:paraId="52356D0A" w14:textId="77777777" w:rsidR="007F004D" w:rsidRDefault="007F004D" w:rsidP="00E9181F">
            <w:pPr>
              <w:spacing w:line="240" w:lineRule="auto"/>
              <w:jc w:val="center"/>
              <w:rPr>
                <w:sz w:val="22"/>
                <w:szCs w:val="22"/>
              </w:rPr>
            </w:pPr>
            <w:r>
              <w:rPr>
                <w:sz w:val="22"/>
                <w:szCs w:val="22"/>
              </w:rPr>
              <w:t>+ kladný dopad, - záporný dopad, 0 neutrální dopad</w:t>
            </w:r>
          </w:p>
        </w:tc>
      </w:tr>
    </w:tbl>
    <w:p w14:paraId="64245907" w14:textId="792A8559" w:rsidR="007F004D" w:rsidRPr="001D789C" w:rsidRDefault="007F004D" w:rsidP="007F004D">
      <w:pPr>
        <w:rPr>
          <w:rFonts w:asciiTheme="minorHAnsi" w:hAnsiTheme="minorHAnsi" w:cstheme="minorHAnsi"/>
          <w:i/>
          <w:iCs/>
        </w:rPr>
      </w:pPr>
      <w:r w:rsidRPr="001D789C">
        <w:rPr>
          <w:rFonts w:asciiTheme="minorHAnsi" w:hAnsiTheme="minorHAnsi" w:cstheme="minorHAnsi"/>
          <w:i/>
          <w:iCs/>
        </w:rPr>
        <w:t xml:space="preserve">Zdroj: </w:t>
      </w:r>
      <w:r w:rsidR="00D40AB7">
        <w:rPr>
          <w:rFonts w:asciiTheme="minorHAnsi" w:hAnsiTheme="minorHAnsi" w:cstheme="minorHAnsi"/>
          <w:i/>
          <w:iCs/>
        </w:rPr>
        <w:t>autoři</w:t>
      </w:r>
    </w:p>
    <w:p w14:paraId="2AFA2D5B" w14:textId="77777777" w:rsidR="00AC2A25" w:rsidRDefault="00AC2A25" w:rsidP="00CF781A">
      <w:pPr>
        <w:rPr>
          <w:rFonts w:asciiTheme="minorHAnsi" w:hAnsiTheme="minorHAnsi" w:cstheme="minorHAnsi"/>
          <w:b/>
        </w:rPr>
      </w:pPr>
    </w:p>
    <w:p w14:paraId="7610103E" w14:textId="552296A5" w:rsidR="00CF781A" w:rsidRPr="00B37466" w:rsidRDefault="00CF781A" w:rsidP="00CF781A">
      <w:pPr>
        <w:rPr>
          <w:rFonts w:asciiTheme="minorHAnsi" w:hAnsiTheme="minorHAnsi" w:cstheme="minorHAnsi"/>
          <w:b/>
        </w:rPr>
      </w:pPr>
      <w:r w:rsidRPr="00B37466">
        <w:rPr>
          <w:rFonts w:asciiTheme="minorHAnsi" w:hAnsiTheme="minorHAnsi" w:cstheme="minorHAnsi"/>
          <w:b/>
        </w:rPr>
        <w:t>Příklad postupu optimalizace</w:t>
      </w:r>
    </w:p>
    <w:p w14:paraId="01FB07EA" w14:textId="60646EB4" w:rsidR="007F004D" w:rsidRPr="00B37466" w:rsidRDefault="00B37466" w:rsidP="00CF781A">
      <w:pPr>
        <w:jc w:val="both"/>
        <w:rPr>
          <w:rFonts w:asciiTheme="minorHAnsi" w:hAnsiTheme="minorHAnsi" w:cstheme="minorHAnsi"/>
        </w:rPr>
      </w:pPr>
      <w:r w:rsidRPr="00B37466">
        <w:rPr>
          <w:rFonts w:asciiTheme="minorHAnsi" w:hAnsiTheme="minorHAnsi" w:cstheme="minorHAnsi"/>
        </w:rPr>
        <w:t>Pokud v rámci strategické práce provádíme hodnocení nebo optimalizaci</w:t>
      </w:r>
      <w:r w:rsidR="00CF781A">
        <w:rPr>
          <w:rFonts w:asciiTheme="minorHAnsi" w:hAnsiTheme="minorHAnsi" w:cstheme="minorHAnsi"/>
        </w:rPr>
        <w:t xml:space="preserve"> veřejných služeb nebo činností, je důležité zvolit vhodný postup provádění. </w:t>
      </w:r>
      <w:r w:rsidR="007F004D" w:rsidRPr="00B37466">
        <w:rPr>
          <w:rFonts w:asciiTheme="minorHAnsi" w:hAnsiTheme="minorHAnsi" w:cstheme="minorHAnsi"/>
        </w:rPr>
        <w:t xml:space="preserve">Postup může být rozdělen do </w:t>
      </w:r>
      <w:r w:rsidR="00337924">
        <w:rPr>
          <w:rFonts w:asciiTheme="minorHAnsi" w:hAnsiTheme="minorHAnsi" w:cstheme="minorHAnsi"/>
        </w:rPr>
        <w:t xml:space="preserve">těchto </w:t>
      </w:r>
      <w:r w:rsidR="007F004D" w:rsidRPr="00B37466">
        <w:rPr>
          <w:rFonts w:asciiTheme="minorHAnsi" w:hAnsiTheme="minorHAnsi" w:cstheme="minorHAnsi"/>
        </w:rPr>
        <w:t>kroků:</w:t>
      </w:r>
    </w:p>
    <w:p w14:paraId="166B418D" w14:textId="636F40E7" w:rsidR="007F004D" w:rsidRPr="00B37466" w:rsidRDefault="007F004D" w:rsidP="00CF781A">
      <w:pPr>
        <w:rPr>
          <w:rFonts w:asciiTheme="minorHAnsi" w:hAnsiTheme="minorHAnsi" w:cstheme="minorHAnsi"/>
        </w:rPr>
      </w:pPr>
      <w:r w:rsidRPr="00B37466">
        <w:rPr>
          <w:rFonts w:asciiTheme="minorHAnsi" w:hAnsiTheme="minorHAnsi" w:cstheme="minorHAnsi"/>
          <w:b/>
          <w:bCs/>
        </w:rPr>
        <w:t>1) Rozhodnutí zahájení optimalizace a schválení postupu</w:t>
      </w:r>
    </w:p>
    <w:p w14:paraId="2BBE71C7" w14:textId="5488FCC0" w:rsidR="007F004D" w:rsidRPr="00B37466" w:rsidRDefault="007F004D" w:rsidP="00CF781A">
      <w:pPr>
        <w:tabs>
          <w:tab w:val="left" w:pos="567"/>
        </w:tabs>
        <w:ind w:left="284"/>
        <w:rPr>
          <w:rFonts w:asciiTheme="minorHAnsi" w:hAnsiTheme="minorHAnsi" w:cstheme="minorHAnsi"/>
        </w:rPr>
      </w:pPr>
      <w:r w:rsidRPr="00B37466">
        <w:rPr>
          <w:rFonts w:asciiTheme="minorHAnsi" w:hAnsiTheme="minorHAnsi" w:cstheme="minorHAnsi"/>
        </w:rPr>
        <w:t xml:space="preserve">a) </w:t>
      </w:r>
      <w:r w:rsidR="00CF781A">
        <w:rPr>
          <w:rFonts w:asciiTheme="minorHAnsi" w:hAnsiTheme="minorHAnsi" w:cstheme="minorHAnsi"/>
        </w:rPr>
        <w:t xml:space="preserve">Provedeme </w:t>
      </w:r>
      <w:r w:rsidRPr="00B37466">
        <w:rPr>
          <w:rFonts w:asciiTheme="minorHAnsi" w:hAnsiTheme="minorHAnsi" w:cstheme="minorHAnsi"/>
        </w:rPr>
        <w:t>sami</w:t>
      </w:r>
      <w:r w:rsidR="00CF781A">
        <w:rPr>
          <w:rFonts w:asciiTheme="minorHAnsi" w:hAnsiTheme="minorHAnsi" w:cstheme="minorHAnsi"/>
        </w:rPr>
        <w:t xml:space="preserve"> (vlastními silami)</w:t>
      </w:r>
      <w:r w:rsidRPr="00B37466">
        <w:rPr>
          <w:rFonts w:asciiTheme="minorHAnsi" w:hAnsiTheme="minorHAnsi" w:cstheme="minorHAnsi"/>
        </w:rPr>
        <w:t xml:space="preserve"> / s pomocí externí firmy / externí firmou</w:t>
      </w:r>
    </w:p>
    <w:p w14:paraId="441FA893" w14:textId="69796806" w:rsidR="007F004D" w:rsidRPr="00B37466" w:rsidRDefault="00CF781A" w:rsidP="00CF781A">
      <w:pPr>
        <w:tabs>
          <w:tab w:val="left" w:pos="567"/>
        </w:tabs>
        <w:ind w:left="284"/>
        <w:rPr>
          <w:rFonts w:asciiTheme="minorHAnsi" w:hAnsiTheme="minorHAnsi" w:cstheme="minorHAnsi"/>
        </w:rPr>
      </w:pPr>
      <w:r>
        <w:rPr>
          <w:rFonts w:asciiTheme="minorHAnsi" w:hAnsiTheme="minorHAnsi" w:cstheme="minorHAnsi"/>
        </w:rPr>
        <w:t>b) V</w:t>
      </w:r>
      <w:r w:rsidR="007F004D" w:rsidRPr="00B37466">
        <w:rPr>
          <w:rFonts w:asciiTheme="minorHAnsi" w:hAnsiTheme="minorHAnsi" w:cstheme="minorHAnsi"/>
        </w:rPr>
        <w:t xml:space="preserve">olba optimalizačního kritéria / </w:t>
      </w:r>
      <w:r w:rsidR="00BB60E7">
        <w:rPr>
          <w:rFonts w:asciiTheme="minorHAnsi" w:hAnsiTheme="minorHAnsi" w:cstheme="minorHAnsi"/>
        </w:rPr>
        <w:t xml:space="preserve">více </w:t>
      </w:r>
      <w:r w:rsidR="007F004D" w:rsidRPr="00B37466">
        <w:rPr>
          <w:rFonts w:asciiTheme="minorHAnsi" w:hAnsiTheme="minorHAnsi" w:cstheme="minorHAnsi"/>
        </w:rPr>
        <w:t>kritérií:</w:t>
      </w:r>
      <w:r>
        <w:rPr>
          <w:rFonts w:asciiTheme="minorHAnsi" w:hAnsiTheme="minorHAnsi" w:cstheme="minorHAnsi"/>
        </w:rPr>
        <w:t xml:space="preserve"> </w:t>
      </w:r>
    </w:p>
    <w:p w14:paraId="0D92DB9C" w14:textId="6170D292" w:rsidR="007F004D" w:rsidRPr="00B37466" w:rsidRDefault="007F004D" w:rsidP="0065698B">
      <w:pPr>
        <w:numPr>
          <w:ilvl w:val="3"/>
          <w:numId w:val="49"/>
        </w:numPr>
        <w:tabs>
          <w:tab w:val="clear" w:pos="2880"/>
          <w:tab w:val="num" w:pos="2552"/>
        </w:tabs>
        <w:ind w:left="993"/>
        <w:jc w:val="both"/>
        <w:rPr>
          <w:rFonts w:asciiTheme="minorHAnsi" w:hAnsiTheme="minorHAnsi" w:cstheme="minorHAnsi"/>
        </w:rPr>
      </w:pPr>
      <w:r w:rsidRPr="00B37466">
        <w:rPr>
          <w:rFonts w:asciiTheme="minorHAnsi" w:hAnsiTheme="minorHAnsi" w:cstheme="minorHAnsi"/>
        </w:rPr>
        <w:t>náklady</w:t>
      </w:r>
      <w:r w:rsidR="005B605E">
        <w:rPr>
          <w:rFonts w:asciiTheme="minorHAnsi" w:hAnsiTheme="minorHAnsi" w:cstheme="minorHAnsi"/>
        </w:rPr>
        <w:t>,</w:t>
      </w:r>
    </w:p>
    <w:p w14:paraId="55FF98BB" w14:textId="51501C78" w:rsidR="007F004D" w:rsidRPr="00B37466" w:rsidRDefault="007F004D" w:rsidP="0065698B">
      <w:pPr>
        <w:numPr>
          <w:ilvl w:val="3"/>
          <w:numId w:val="49"/>
        </w:numPr>
        <w:tabs>
          <w:tab w:val="clear" w:pos="2880"/>
          <w:tab w:val="num" w:pos="2552"/>
        </w:tabs>
        <w:ind w:left="993"/>
        <w:jc w:val="both"/>
        <w:rPr>
          <w:rFonts w:asciiTheme="minorHAnsi" w:hAnsiTheme="minorHAnsi" w:cstheme="minorHAnsi"/>
        </w:rPr>
      </w:pPr>
      <w:r w:rsidRPr="00B37466">
        <w:rPr>
          <w:rFonts w:asciiTheme="minorHAnsi" w:hAnsiTheme="minorHAnsi" w:cstheme="minorHAnsi"/>
        </w:rPr>
        <w:t>výkony</w:t>
      </w:r>
      <w:r w:rsidR="005B605E">
        <w:rPr>
          <w:rFonts w:asciiTheme="minorHAnsi" w:hAnsiTheme="minorHAnsi" w:cstheme="minorHAnsi"/>
        </w:rPr>
        <w:t>,</w:t>
      </w:r>
    </w:p>
    <w:p w14:paraId="49932C74" w14:textId="384154FD" w:rsidR="007F004D" w:rsidRPr="00B37466" w:rsidRDefault="007F004D" w:rsidP="0065698B">
      <w:pPr>
        <w:numPr>
          <w:ilvl w:val="3"/>
          <w:numId w:val="49"/>
        </w:numPr>
        <w:tabs>
          <w:tab w:val="clear" w:pos="2880"/>
          <w:tab w:val="num" w:pos="2552"/>
        </w:tabs>
        <w:ind w:left="993"/>
        <w:jc w:val="both"/>
        <w:rPr>
          <w:rFonts w:asciiTheme="minorHAnsi" w:hAnsiTheme="minorHAnsi" w:cstheme="minorHAnsi"/>
        </w:rPr>
      </w:pPr>
      <w:r w:rsidRPr="00B37466">
        <w:rPr>
          <w:rFonts w:asciiTheme="minorHAnsi" w:hAnsiTheme="minorHAnsi" w:cstheme="minorHAnsi"/>
        </w:rPr>
        <w:t>kvalita</w:t>
      </w:r>
      <w:r w:rsidR="005B605E">
        <w:rPr>
          <w:rFonts w:asciiTheme="minorHAnsi" w:hAnsiTheme="minorHAnsi" w:cstheme="minorHAnsi"/>
        </w:rPr>
        <w:t>,</w:t>
      </w:r>
    </w:p>
    <w:p w14:paraId="2E1D34E9" w14:textId="1B2F2E26" w:rsidR="007F004D" w:rsidRPr="00B37466" w:rsidRDefault="007F004D" w:rsidP="0065698B">
      <w:pPr>
        <w:numPr>
          <w:ilvl w:val="3"/>
          <w:numId w:val="49"/>
        </w:numPr>
        <w:tabs>
          <w:tab w:val="clear" w:pos="2880"/>
          <w:tab w:val="num" w:pos="2552"/>
        </w:tabs>
        <w:ind w:left="993"/>
        <w:jc w:val="both"/>
        <w:rPr>
          <w:rFonts w:asciiTheme="minorHAnsi" w:hAnsiTheme="minorHAnsi" w:cstheme="minorHAnsi"/>
        </w:rPr>
      </w:pPr>
      <w:r w:rsidRPr="00B37466">
        <w:rPr>
          <w:rFonts w:asciiTheme="minorHAnsi" w:hAnsiTheme="minorHAnsi" w:cstheme="minorHAnsi"/>
        </w:rPr>
        <w:t>něco jiného: spokojenost, dopad na životní prostře</w:t>
      </w:r>
      <w:r w:rsidR="00CF781A">
        <w:rPr>
          <w:rFonts w:asciiTheme="minorHAnsi" w:hAnsiTheme="minorHAnsi" w:cstheme="minorHAnsi"/>
        </w:rPr>
        <w:t>dí, shoda se zákonem</w:t>
      </w:r>
      <w:r w:rsidRPr="00B37466">
        <w:rPr>
          <w:rFonts w:asciiTheme="minorHAnsi" w:hAnsiTheme="minorHAnsi" w:cstheme="minorHAnsi"/>
        </w:rPr>
        <w:t>, …</w:t>
      </w:r>
    </w:p>
    <w:p w14:paraId="31838F29" w14:textId="2A327225" w:rsidR="007F004D" w:rsidRPr="00B37466" w:rsidRDefault="00CF781A" w:rsidP="00CF781A">
      <w:pPr>
        <w:ind w:left="284"/>
        <w:rPr>
          <w:rFonts w:asciiTheme="minorHAnsi" w:hAnsiTheme="minorHAnsi" w:cstheme="minorHAnsi"/>
        </w:rPr>
      </w:pPr>
      <w:r>
        <w:rPr>
          <w:rFonts w:asciiTheme="minorHAnsi" w:hAnsiTheme="minorHAnsi" w:cstheme="minorHAnsi"/>
        </w:rPr>
        <w:lastRenderedPageBreak/>
        <w:t>c) V</w:t>
      </w:r>
      <w:r w:rsidR="007F004D" w:rsidRPr="00B37466">
        <w:rPr>
          <w:rFonts w:asciiTheme="minorHAnsi" w:hAnsiTheme="minorHAnsi" w:cstheme="minorHAnsi"/>
        </w:rPr>
        <w:t>olba odpovídající metodiky pro optimalizaci</w:t>
      </w:r>
    </w:p>
    <w:p w14:paraId="018A4583" w14:textId="1A29B687" w:rsidR="00CF781A" w:rsidRDefault="00CF781A"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analýza trendu stanovených ukazatelů</w:t>
      </w:r>
      <w:r w:rsidR="005B605E">
        <w:rPr>
          <w:rFonts w:asciiTheme="minorHAnsi" w:hAnsiTheme="minorHAnsi" w:cstheme="minorHAnsi"/>
        </w:rPr>
        <w:t>,</w:t>
      </w:r>
    </w:p>
    <w:p w14:paraId="77906C4E" w14:textId="466F958E" w:rsidR="00CF781A" w:rsidRPr="00B37466" w:rsidRDefault="00CF781A"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k</w:t>
      </w:r>
      <w:r w:rsidRPr="00B37466">
        <w:rPr>
          <w:rFonts w:asciiTheme="minorHAnsi" w:hAnsiTheme="minorHAnsi" w:cstheme="minorHAnsi"/>
        </w:rPr>
        <w:t>omparace s po</w:t>
      </w:r>
      <w:r w:rsidR="005B605E">
        <w:rPr>
          <w:rFonts w:asciiTheme="minorHAnsi" w:hAnsiTheme="minorHAnsi" w:cstheme="minorHAnsi"/>
        </w:rPr>
        <w:t>dobnými činnostmi, benchmarking,</w:t>
      </w:r>
    </w:p>
    <w:p w14:paraId="1F17DA6F" w14:textId="7C0A2159" w:rsidR="007F004D" w:rsidRDefault="00CF781A"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p</w:t>
      </w:r>
      <w:r w:rsidR="007F004D" w:rsidRPr="00B37466">
        <w:rPr>
          <w:rFonts w:asciiTheme="minorHAnsi" w:hAnsiTheme="minorHAnsi" w:cstheme="minorHAnsi"/>
        </w:rPr>
        <w:t xml:space="preserve">rocesní </w:t>
      </w:r>
      <w:r>
        <w:rPr>
          <w:rFonts w:asciiTheme="minorHAnsi" w:hAnsiTheme="minorHAnsi" w:cstheme="minorHAnsi"/>
        </w:rPr>
        <w:t xml:space="preserve">/ </w:t>
      </w:r>
      <w:r w:rsidR="007F004D" w:rsidRPr="00B37466">
        <w:rPr>
          <w:rFonts w:asciiTheme="minorHAnsi" w:hAnsiTheme="minorHAnsi" w:cstheme="minorHAnsi"/>
        </w:rPr>
        <w:t>personální audit, audi</w:t>
      </w:r>
      <w:r>
        <w:rPr>
          <w:rFonts w:asciiTheme="minorHAnsi" w:hAnsiTheme="minorHAnsi" w:cstheme="minorHAnsi"/>
        </w:rPr>
        <w:t>t výkonu, audit plýtvání</w:t>
      </w:r>
      <w:r w:rsidR="007F004D" w:rsidRPr="00B37466">
        <w:rPr>
          <w:rFonts w:asciiTheme="minorHAnsi" w:hAnsiTheme="minorHAnsi" w:cstheme="minorHAnsi"/>
        </w:rPr>
        <w:t>, reengineering, BSC, …</w:t>
      </w:r>
    </w:p>
    <w:p w14:paraId="19D6E567" w14:textId="77CBD733" w:rsidR="00DB38B4" w:rsidRPr="00B37466" w:rsidRDefault="00DB38B4"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nástroje „Štíhlé administrativy“,</w:t>
      </w:r>
    </w:p>
    <w:p w14:paraId="71239330" w14:textId="15D9CA35" w:rsidR="007F004D" w:rsidRPr="00B37466" w:rsidRDefault="00CF781A"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n</w:t>
      </w:r>
      <w:r w:rsidR="007F004D" w:rsidRPr="00B37466">
        <w:rPr>
          <w:rFonts w:asciiTheme="minorHAnsi" w:hAnsiTheme="minorHAnsi" w:cstheme="minorHAnsi"/>
        </w:rPr>
        <w:t>ástroje řízení kvality (např. cyklus zlepšování PDCA)</w:t>
      </w:r>
      <w:r w:rsidR="005B605E">
        <w:rPr>
          <w:rFonts w:asciiTheme="minorHAnsi" w:hAnsiTheme="minorHAnsi" w:cstheme="minorHAnsi"/>
        </w:rPr>
        <w:t>,</w:t>
      </w:r>
    </w:p>
    <w:p w14:paraId="32BE655D" w14:textId="023AA4D7" w:rsidR="007F004D" w:rsidRPr="00B37466" w:rsidRDefault="00CF781A"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další a</w:t>
      </w:r>
      <w:r w:rsidR="007F004D" w:rsidRPr="00B37466">
        <w:rPr>
          <w:rFonts w:asciiTheme="minorHAnsi" w:hAnsiTheme="minorHAnsi" w:cstheme="minorHAnsi"/>
        </w:rPr>
        <w:t>nalýzy (např. SWOT, klíčových otázek, Ishikawův diagram, …)</w:t>
      </w:r>
      <w:r>
        <w:rPr>
          <w:rFonts w:asciiTheme="minorHAnsi" w:hAnsiTheme="minorHAnsi" w:cstheme="minorHAnsi"/>
        </w:rPr>
        <w:t>.</w:t>
      </w:r>
    </w:p>
    <w:p w14:paraId="4D43693E" w14:textId="7246D542" w:rsidR="007F004D" w:rsidRPr="00B37466" w:rsidRDefault="007F004D" w:rsidP="00CF781A">
      <w:pPr>
        <w:jc w:val="both"/>
        <w:rPr>
          <w:rFonts w:asciiTheme="minorHAnsi" w:hAnsiTheme="minorHAnsi" w:cstheme="minorHAnsi"/>
        </w:rPr>
      </w:pPr>
      <w:r w:rsidRPr="00B37466">
        <w:rPr>
          <w:rFonts w:asciiTheme="minorHAnsi" w:hAnsiTheme="minorHAnsi" w:cstheme="minorHAnsi"/>
          <w:b/>
          <w:bCs/>
        </w:rPr>
        <w:t xml:space="preserve">2) Popis </w:t>
      </w:r>
      <w:r w:rsidR="00CF781A">
        <w:rPr>
          <w:rFonts w:asciiTheme="minorHAnsi" w:hAnsiTheme="minorHAnsi" w:cstheme="minorHAnsi"/>
          <w:b/>
          <w:bCs/>
        </w:rPr>
        <w:t>optimalizovaných činností (</w:t>
      </w:r>
      <w:r w:rsidRPr="00B37466">
        <w:rPr>
          <w:rFonts w:asciiTheme="minorHAnsi" w:hAnsiTheme="minorHAnsi" w:cstheme="minorHAnsi"/>
          <w:b/>
          <w:bCs/>
        </w:rPr>
        <w:t>procesů</w:t>
      </w:r>
      <w:r w:rsidR="00CF781A">
        <w:rPr>
          <w:rFonts w:asciiTheme="minorHAnsi" w:hAnsiTheme="minorHAnsi" w:cstheme="minorHAnsi"/>
          <w:b/>
          <w:bCs/>
        </w:rPr>
        <w:t xml:space="preserve">). </w:t>
      </w:r>
      <w:r w:rsidR="00CF781A" w:rsidRPr="00CF781A">
        <w:rPr>
          <w:rFonts w:asciiTheme="minorHAnsi" w:hAnsiTheme="minorHAnsi" w:cstheme="minorHAnsi"/>
          <w:bCs/>
        </w:rPr>
        <w:t xml:space="preserve">Zásadní je vymezit, co se bude měřit (ukazatele). Ale je třeba také popsat </w:t>
      </w:r>
      <w:r w:rsidRPr="00CF781A">
        <w:rPr>
          <w:rFonts w:asciiTheme="minorHAnsi" w:hAnsiTheme="minorHAnsi" w:cstheme="minorHAnsi"/>
        </w:rPr>
        <w:t>cíl procesu</w:t>
      </w:r>
      <w:r w:rsidR="00CF781A" w:rsidRPr="00CF781A">
        <w:rPr>
          <w:rFonts w:asciiTheme="minorHAnsi" w:hAnsiTheme="minorHAnsi" w:cstheme="minorHAnsi"/>
        </w:rPr>
        <w:t xml:space="preserve"> (činnosti</w:t>
      </w:r>
      <w:r w:rsidR="00CF781A">
        <w:rPr>
          <w:rFonts w:asciiTheme="minorHAnsi" w:hAnsiTheme="minorHAnsi" w:cstheme="minorHAnsi"/>
        </w:rPr>
        <w:t>)</w:t>
      </w:r>
      <w:r w:rsidRPr="00B37466">
        <w:rPr>
          <w:rFonts w:asciiTheme="minorHAnsi" w:hAnsiTheme="minorHAnsi" w:cstheme="minorHAnsi"/>
        </w:rPr>
        <w:t>, vstupy, zdroje, sekvence kroků, výstu</w:t>
      </w:r>
      <w:r w:rsidR="00CF781A">
        <w:rPr>
          <w:rFonts w:asciiTheme="minorHAnsi" w:hAnsiTheme="minorHAnsi" w:cstheme="minorHAnsi"/>
        </w:rPr>
        <w:t>py, … Lze využít kromě textu například:</w:t>
      </w:r>
    </w:p>
    <w:p w14:paraId="663AEC42" w14:textId="599AA655" w:rsidR="00AB3DD2" w:rsidRDefault="00AB3DD2"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procesní model optimalizované činnosti</w:t>
      </w:r>
      <w:r w:rsidR="005B605E">
        <w:rPr>
          <w:rFonts w:asciiTheme="minorHAnsi" w:hAnsiTheme="minorHAnsi" w:cstheme="minorHAnsi"/>
        </w:rPr>
        <w:t>,</w:t>
      </w:r>
    </w:p>
    <w:p w14:paraId="2E293BCD" w14:textId="723C19DF" w:rsidR="007F004D" w:rsidRPr="00B37466" w:rsidRDefault="00AB3DD2"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f</w:t>
      </w:r>
      <w:r w:rsidR="007F004D" w:rsidRPr="00B37466">
        <w:rPr>
          <w:rFonts w:asciiTheme="minorHAnsi" w:hAnsiTheme="minorHAnsi" w:cstheme="minorHAnsi"/>
        </w:rPr>
        <w:t xml:space="preserve">unkční mapy (obrázek), procesní mapy (tabulka), </w:t>
      </w:r>
    </w:p>
    <w:p w14:paraId="7EE7FDDD" w14:textId="6F82E0C4" w:rsidR="007F004D" w:rsidRPr="00B37466" w:rsidRDefault="00AB3DD2"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v</w:t>
      </w:r>
      <w:r w:rsidR="007F004D" w:rsidRPr="00B37466">
        <w:rPr>
          <w:rFonts w:asciiTheme="minorHAnsi" w:hAnsiTheme="minorHAnsi" w:cstheme="minorHAnsi"/>
        </w:rPr>
        <w:t>ývojové diagramy</w:t>
      </w:r>
      <w:r w:rsidR="005B605E">
        <w:rPr>
          <w:rFonts w:asciiTheme="minorHAnsi" w:hAnsiTheme="minorHAnsi" w:cstheme="minorHAnsi"/>
        </w:rPr>
        <w:t>,</w:t>
      </w:r>
    </w:p>
    <w:p w14:paraId="2502F1AF" w14:textId="2BAE405B" w:rsidR="007F004D" w:rsidRPr="00B37466" w:rsidRDefault="00AB3DD2" w:rsidP="0065698B">
      <w:pPr>
        <w:numPr>
          <w:ilvl w:val="3"/>
          <w:numId w:val="49"/>
        </w:numPr>
        <w:tabs>
          <w:tab w:val="clear" w:pos="2880"/>
          <w:tab w:val="num" w:pos="2552"/>
        </w:tabs>
        <w:ind w:left="993"/>
        <w:jc w:val="both"/>
        <w:rPr>
          <w:rFonts w:asciiTheme="minorHAnsi" w:hAnsiTheme="minorHAnsi" w:cstheme="minorHAnsi"/>
        </w:rPr>
      </w:pPr>
      <w:r>
        <w:rPr>
          <w:rFonts w:asciiTheme="minorHAnsi" w:hAnsiTheme="minorHAnsi" w:cstheme="minorHAnsi"/>
        </w:rPr>
        <w:t>m</w:t>
      </w:r>
      <w:r w:rsidR="00CF781A">
        <w:rPr>
          <w:rFonts w:asciiTheme="minorHAnsi" w:hAnsiTheme="minorHAnsi" w:cstheme="minorHAnsi"/>
        </w:rPr>
        <w:t>yšlenkové mapy</w:t>
      </w:r>
      <w:r>
        <w:rPr>
          <w:rFonts w:asciiTheme="minorHAnsi" w:hAnsiTheme="minorHAnsi" w:cstheme="minorHAnsi"/>
        </w:rPr>
        <w:t>, …</w:t>
      </w:r>
    </w:p>
    <w:p w14:paraId="7CFE9DB6" w14:textId="0787BFE8" w:rsidR="007F004D" w:rsidRPr="00AB3DD2" w:rsidRDefault="007F004D" w:rsidP="00DC0D0B">
      <w:pPr>
        <w:jc w:val="both"/>
        <w:rPr>
          <w:rFonts w:asciiTheme="minorHAnsi" w:hAnsiTheme="minorHAnsi" w:cstheme="minorHAnsi"/>
        </w:rPr>
      </w:pPr>
      <w:r w:rsidRPr="00B37466">
        <w:rPr>
          <w:rFonts w:asciiTheme="minorHAnsi" w:hAnsiTheme="minorHAnsi" w:cstheme="minorHAnsi"/>
          <w:b/>
          <w:bCs/>
        </w:rPr>
        <w:t xml:space="preserve">3) Měření </w:t>
      </w:r>
      <w:r w:rsidRPr="00AB3DD2">
        <w:rPr>
          <w:rFonts w:asciiTheme="minorHAnsi" w:hAnsiTheme="minorHAnsi" w:cstheme="minorHAnsi"/>
          <w:bCs/>
        </w:rPr>
        <w:t xml:space="preserve">(hodnocení) </w:t>
      </w:r>
      <w:r w:rsidR="00AB3DD2" w:rsidRPr="00AB3DD2">
        <w:rPr>
          <w:rFonts w:asciiTheme="minorHAnsi" w:hAnsiTheme="minorHAnsi" w:cstheme="minorHAnsi"/>
          <w:bCs/>
        </w:rPr>
        <w:t>stanovených ukazatelů</w:t>
      </w:r>
      <w:r w:rsidR="00AB3DD2">
        <w:rPr>
          <w:rFonts w:asciiTheme="minorHAnsi" w:hAnsiTheme="minorHAnsi" w:cstheme="minorHAnsi"/>
          <w:bCs/>
        </w:rPr>
        <w:t xml:space="preserve">, </w:t>
      </w:r>
      <w:r w:rsidR="00DC0D0B">
        <w:rPr>
          <w:rFonts w:asciiTheme="minorHAnsi" w:hAnsiTheme="minorHAnsi" w:cstheme="minorHAnsi"/>
          <w:bCs/>
        </w:rPr>
        <w:t xml:space="preserve">zahrnuje též </w:t>
      </w:r>
      <w:r w:rsidR="00AB3DD2">
        <w:rPr>
          <w:rFonts w:asciiTheme="minorHAnsi" w:hAnsiTheme="minorHAnsi" w:cstheme="minorHAnsi"/>
          <w:bCs/>
        </w:rPr>
        <w:t xml:space="preserve">zjištění </w:t>
      </w:r>
      <w:r w:rsidR="00DC0D0B">
        <w:rPr>
          <w:rFonts w:asciiTheme="minorHAnsi" w:hAnsiTheme="minorHAnsi" w:cstheme="minorHAnsi"/>
          <w:bCs/>
        </w:rPr>
        <w:t>trendu, provedení komparace a podobně dle potřeby.</w:t>
      </w:r>
    </w:p>
    <w:p w14:paraId="4EF558D6" w14:textId="56E7A19F" w:rsidR="007F004D" w:rsidRPr="00B37466" w:rsidRDefault="007F004D" w:rsidP="00DC0D0B">
      <w:pPr>
        <w:jc w:val="both"/>
        <w:rPr>
          <w:rFonts w:asciiTheme="minorHAnsi" w:hAnsiTheme="minorHAnsi" w:cstheme="minorHAnsi"/>
        </w:rPr>
      </w:pPr>
      <w:r w:rsidRPr="00B37466">
        <w:rPr>
          <w:rFonts w:asciiTheme="minorHAnsi" w:hAnsiTheme="minorHAnsi" w:cstheme="minorHAnsi"/>
          <w:b/>
          <w:bCs/>
        </w:rPr>
        <w:t xml:space="preserve">4) Hledání slabých míst, příležitostí či potenciálu pro zlepšení, … </w:t>
      </w:r>
    </w:p>
    <w:p w14:paraId="355DDE30" w14:textId="2A95DF27" w:rsidR="007F004D" w:rsidRPr="00B37466" w:rsidRDefault="007F004D" w:rsidP="00DC0D0B">
      <w:pPr>
        <w:jc w:val="both"/>
        <w:rPr>
          <w:rFonts w:asciiTheme="minorHAnsi" w:hAnsiTheme="minorHAnsi" w:cstheme="minorHAnsi"/>
        </w:rPr>
      </w:pPr>
      <w:r w:rsidRPr="00B37466">
        <w:rPr>
          <w:rFonts w:asciiTheme="minorHAnsi" w:hAnsiTheme="minorHAnsi" w:cstheme="minorHAnsi"/>
          <w:b/>
          <w:bCs/>
        </w:rPr>
        <w:t xml:space="preserve">5) Správné rozhodnutí </w:t>
      </w:r>
      <w:r w:rsidRPr="00AB3DD2">
        <w:rPr>
          <w:rFonts w:asciiTheme="minorHAnsi" w:hAnsiTheme="minorHAnsi" w:cstheme="minorHAnsi"/>
          <w:bCs/>
        </w:rPr>
        <w:t>o provedení optimalizace</w:t>
      </w:r>
      <w:r w:rsidRPr="00B37466">
        <w:rPr>
          <w:rFonts w:asciiTheme="minorHAnsi" w:hAnsiTheme="minorHAnsi" w:cstheme="minorHAnsi"/>
          <w:b/>
          <w:bCs/>
        </w:rPr>
        <w:t xml:space="preserve"> </w:t>
      </w:r>
      <w:r w:rsidRPr="00B37466">
        <w:rPr>
          <w:rFonts w:asciiTheme="minorHAnsi" w:hAnsiTheme="minorHAnsi" w:cstheme="minorHAnsi"/>
        </w:rPr>
        <w:t>(</w:t>
      </w:r>
      <w:r w:rsidR="00DC0D0B">
        <w:rPr>
          <w:rFonts w:asciiTheme="minorHAnsi" w:hAnsiTheme="minorHAnsi" w:cstheme="minorHAnsi"/>
        </w:rPr>
        <w:t xml:space="preserve">zahrnuje mimo jiné </w:t>
      </w:r>
      <w:r w:rsidRPr="00B37466">
        <w:rPr>
          <w:rFonts w:asciiTheme="minorHAnsi" w:hAnsiTheme="minorHAnsi" w:cstheme="minorHAnsi"/>
        </w:rPr>
        <w:t>schválení konkrétních opatření)</w:t>
      </w:r>
      <w:r w:rsidR="00A978B0">
        <w:rPr>
          <w:rFonts w:asciiTheme="minorHAnsi" w:hAnsiTheme="minorHAnsi" w:cstheme="minorHAnsi"/>
        </w:rPr>
        <w:t>.</w:t>
      </w:r>
    </w:p>
    <w:p w14:paraId="6D21A61C" w14:textId="2FE880D0" w:rsidR="007F004D" w:rsidRDefault="007F004D" w:rsidP="00DC0D0B">
      <w:pPr>
        <w:jc w:val="both"/>
        <w:rPr>
          <w:rFonts w:asciiTheme="minorHAnsi" w:hAnsiTheme="minorHAnsi" w:cstheme="minorHAnsi"/>
        </w:rPr>
      </w:pPr>
      <w:r w:rsidRPr="00B37466">
        <w:rPr>
          <w:rFonts w:asciiTheme="minorHAnsi" w:hAnsiTheme="minorHAnsi" w:cstheme="minorHAnsi"/>
          <w:b/>
          <w:bCs/>
        </w:rPr>
        <w:t xml:space="preserve">6) Implementace </w:t>
      </w:r>
      <w:r w:rsidRPr="00AB3DD2">
        <w:rPr>
          <w:rFonts w:asciiTheme="minorHAnsi" w:hAnsiTheme="minorHAnsi" w:cstheme="minorHAnsi"/>
          <w:bCs/>
        </w:rPr>
        <w:t>(provedení)</w:t>
      </w:r>
      <w:r w:rsidRPr="00B37466">
        <w:rPr>
          <w:rFonts w:asciiTheme="minorHAnsi" w:hAnsiTheme="minorHAnsi" w:cstheme="minorHAnsi"/>
          <w:b/>
          <w:bCs/>
        </w:rPr>
        <w:t xml:space="preserve"> </w:t>
      </w:r>
      <w:r w:rsidRPr="00B37466">
        <w:rPr>
          <w:rFonts w:asciiTheme="minorHAnsi" w:hAnsiTheme="minorHAnsi" w:cstheme="minorHAnsi"/>
        </w:rPr>
        <w:t xml:space="preserve">optimalizace dle </w:t>
      </w:r>
      <w:r w:rsidR="00807AB1">
        <w:rPr>
          <w:rFonts w:asciiTheme="minorHAnsi" w:hAnsiTheme="minorHAnsi" w:cstheme="minorHAnsi"/>
        </w:rPr>
        <w:t>navržených o</w:t>
      </w:r>
      <w:r w:rsidR="00BB60E7">
        <w:rPr>
          <w:rFonts w:asciiTheme="minorHAnsi" w:hAnsiTheme="minorHAnsi" w:cstheme="minorHAnsi"/>
        </w:rPr>
        <w:t>p</w:t>
      </w:r>
      <w:r w:rsidR="00807AB1">
        <w:rPr>
          <w:rFonts w:asciiTheme="minorHAnsi" w:hAnsiTheme="minorHAnsi" w:cstheme="minorHAnsi"/>
        </w:rPr>
        <w:t>a</w:t>
      </w:r>
      <w:r w:rsidR="00BB60E7">
        <w:rPr>
          <w:rFonts w:asciiTheme="minorHAnsi" w:hAnsiTheme="minorHAnsi" w:cstheme="minorHAnsi"/>
        </w:rPr>
        <w:t>tření</w:t>
      </w:r>
      <w:r w:rsidRPr="00B37466">
        <w:rPr>
          <w:rFonts w:asciiTheme="minorHAnsi" w:hAnsiTheme="minorHAnsi" w:cstheme="minorHAnsi"/>
        </w:rPr>
        <w:t xml:space="preserve">, </w:t>
      </w:r>
      <w:r w:rsidRPr="00B37466">
        <w:rPr>
          <w:rFonts w:asciiTheme="minorHAnsi" w:hAnsiTheme="minorHAnsi" w:cstheme="minorHAnsi"/>
          <w:b/>
          <w:bCs/>
        </w:rPr>
        <w:t>ověření</w:t>
      </w:r>
      <w:r w:rsidR="00AB3DD2">
        <w:rPr>
          <w:rFonts w:asciiTheme="minorHAnsi" w:hAnsiTheme="minorHAnsi" w:cstheme="minorHAnsi"/>
          <w:b/>
          <w:bCs/>
        </w:rPr>
        <w:t xml:space="preserve">, zda </w:t>
      </w:r>
      <w:r w:rsidR="00DC0D0B">
        <w:rPr>
          <w:rFonts w:asciiTheme="minorHAnsi" w:hAnsiTheme="minorHAnsi" w:cstheme="minorHAnsi"/>
          <w:b/>
          <w:bCs/>
        </w:rPr>
        <w:t xml:space="preserve">činnost </w:t>
      </w:r>
      <w:r w:rsidR="00AB3DD2">
        <w:rPr>
          <w:rFonts w:asciiTheme="minorHAnsi" w:hAnsiTheme="minorHAnsi" w:cstheme="minorHAnsi"/>
        </w:rPr>
        <w:t>funguje lépe.</w:t>
      </w:r>
    </w:p>
    <w:p w14:paraId="05A28A33" w14:textId="21C43106" w:rsidR="00337924" w:rsidRDefault="00337924" w:rsidP="00DC0D0B">
      <w:pPr>
        <w:jc w:val="both"/>
        <w:rPr>
          <w:rFonts w:asciiTheme="minorHAnsi" w:hAnsiTheme="minorHAnsi" w:cstheme="minorHAnsi"/>
        </w:rPr>
      </w:pPr>
    </w:p>
    <w:p w14:paraId="2D5C42C0" w14:textId="05B2BE32" w:rsidR="00DB38B4" w:rsidRPr="00DB38B4" w:rsidRDefault="00DB0BA3" w:rsidP="00DB38B4">
      <w:pPr>
        <w:pStyle w:val="Nadpis2"/>
        <w:spacing w:before="240" w:after="120"/>
        <w:ind w:left="578" w:hanging="578"/>
        <w:rPr>
          <w:rFonts w:asciiTheme="minorHAnsi" w:hAnsiTheme="minorHAnsi" w:cstheme="minorHAnsi"/>
          <w:color w:val="7493B0"/>
          <w:sz w:val="24"/>
          <w:szCs w:val="24"/>
          <w:lang w:val="cs-CZ"/>
        </w:rPr>
      </w:pPr>
      <w:bookmarkStart w:id="51" w:name="_Toc101446848"/>
      <w:bookmarkStart w:id="52" w:name="_Toc106353254"/>
      <w:bookmarkStart w:id="53" w:name="_Toc117270010"/>
      <w:r>
        <w:rPr>
          <w:rFonts w:asciiTheme="minorHAnsi" w:hAnsiTheme="minorHAnsi" w:cstheme="minorHAnsi"/>
          <w:color w:val="7493B0"/>
          <w:sz w:val="24"/>
          <w:szCs w:val="24"/>
          <w:lang w:val="cs-CZ"/>
        </w:rPr>
        <w:t>Hospodaření: O</w:t>
      </w:r>
      <w:r w:rsidR="00DB38B4">
        <w:rPr>
          <w:rFonts w:asciiTheme="minorHAnsi" w:hAnsiTheme="minorHAnsi" w:cstheme="minorHAnsi"/>
          <w:color w:val="7493B0"/>
          <w:sz w:val="24"/>
          <w:szCs w:val="24"/>
          <w:lang w:val="cs-CZ"/>
        </w:rPr>
        <w:t xml:space="preserve">ptimalizace pomocí </w:t>
      </w:r>
      <w:r w:rsidR="00BB1D97">
        <w:rPr>
          <w:rFonts w:asciiTheme="minorHAnsi" w:hAnsiTheme="minorHAnsi" w:cstheme="minorHAnsi"/>
          <w:color w:val="7493B0"/>
          <w:sz w:val="24"/>
          <w:szCs w:val="24"/>
          <w:lang w:val="cs-CZ"/>
        </w:rPr>
        <w:t xml:space="preserve">auditu </w:t>
      </w:r>
      <w:bookmarkEnd w:id="51"/>
      <w:bookmarkEnd w:id="52"/>
      <w:r>
        <w:rPr>
          <w:rFonts w:asciiTheme="minorHAnsi" w:hAnsiTheme="minorHAnsi" w:cstheme="minorHAnsi"/>
          <w:color w:val="7493B0"/>
          <w:sz w:val="24"/>
          <w:szCs w:val="24"/>
          <w:lang w:val="cs-CZ"/>
        </w:rPr>
        <w:t>ztrát (Štíhlá administrativa)</w:t>
      </w:r>
      <w:bookmarkEnd w:id="53"/>
    </w:p>
    <w:p w14:paraId="4EA1CD07" w14:textId="5FD32D04" w:rsidR="00BB1D97" w:rsidRPr="00901A6E" w:rsidRDefault="00901A6E" w:rsidP="00BB1D97">
      <w:pPr>
        <w:jc w:val="both"/>
        <w:rPr>
          <w:rFonts w:asciiTheme="minorHAnsi" w:hAnsiTheme="minorHAnsi" w:cstheme="minorHAnsi"/>
        </w:rPr>
      </w:pPr>
      <w:r>
        <w:rPr>
          <w:rFonts w:asciiTheme="minorHAnsi" w:hAnsiTheme="minorHAnsi" w:cstheme="minorHAnsi"/>
        </w:rPr>
        <w:t xml:space="preserve">Klasický postup při optimalizaci byl popsán v rámci předchozí podkapitoly. V rámci strategické práce však může být v některých případech účelné mít k dispozici alternativní postup. </w:t>
      </w:r>
      <w:r w:rsidR="00DB38B4">
        <w:rPr>
          <w:rFonts w:asciiTheme="minorHAnsi" w:hAnsiTheme="minorHAnsi" w:cstheme="minorHAnsi"/>
        </w:rPr>
        <w:t>Optimalizaci nebo úsporu nákladů veřejné služby, činnosti, projektu a podobně je možné provést také pomocí metody „</w:t>
      </w:r>
      <w:r w:rsidR="00DB38B4" w:rsidRPr="00031D00">
        <w:rPr>
          <w:rFonts w:asciiTheme="minorHAnsi" w:hAnsiTheme="minorHAnsi" w:cstheme="minorHAnsi"/>
          <w:b/>
        </w:rPr>
        <w:t>Štíhlá administrativa</w:t>
      </w:r>
      <w:r w:rsidR="00DB38B4">
        <w:rPr>
          <w:rFonts w:asciiTheme="minorHAnsi" w:hAnsiTheme="minorHAnsi" w:cstheme="minorHAnsi"/>
        </w:rPr>
        <w:t>“ (metoda Lean).</w:t>
      </w:r>
      <w:r w:rsidR="00715329">
        <w:rPr>
          <w:rFonts w:asciiTheme="minorHAnsi" w:hAnsiTheme="minorHAnsi" w:cstheme="minorHAnsi"/>
        </w:rPr>
        <w:t xml:space="preserve"> </w:t>
      </w:r>
      <w:r w:rsidR="0036512A">
        <w:rPr>
          <w:rFonts w:asciiTheme="minorHAnsi" w:hAnsiTheme="minorHAnsi" w:cstheme="minorHAnsi"/>
        </w:rPr>
        <w:t xml:space="preserve">To může být potřebné řešit též v rámci strategické práce. </w:t>
      </w:r>
      <w:r w:rsidR="00DB38B4" w:rsidRPr="00DB38B4">
        <w:rPr>
          <w:rFonts w:asciiTheme="minorHAnsi" w:hAnsiTheme="minorHAnsi" w:cstheme="minorHAnsi"/>
        </w:rPr>
        <w:t>Metoda Štíhlá administrativa usiluje o odstranění plýtvání v řetězci mezi</w:t>
      </w:r>
      <w:r w:rsidR="00DB38B4" w:rsidRPr="00404A7C">
        <w:rPr>
          <w:rFonts w:asciiTheme="minorHAnsi" w:hAnsiTheme="minorHAnsi" w:cstheme="minorHAnsi"/>
        </w:rPr>
        <w:t xml:space="preserve"> zákazníkem </w:t>
      </w:r>
      <w:r w:rsidR="00DB38B4">
        <w:rPr>
          <w:rFonts w:asciiTheme="minorHAnsi" w:hAnsiTheme="minorHAnsi" w:cstheme="minorHAnsi"/>
        </w:rPr>
        <w:t xml:space="preserve">veřejné služby </w:t>
      </w:r>
      <w:r w:rsidR="00DB38B4" w:rsidRPr="00404A7C">
        <w:rPr>
          <w:rFonts w:asciiTheme="minorHAnsi" w:hAnsiTheme="minorHAnsi" w:cstheme="minorHAnsi"/>
        </w:rPr>
        <w:t xml:space="preserve">a </w:t>
      </w:r>
      <w:r w:rsidR="00DB38B4">
        <w:rPr>
          <w:rFonts w:asciiTheme="minorHAnsi" w:hAnsiTheme="minorHAnsi" w:cstheme="minorHAnsi"/>
        </w:rPr>
        <w:t>jejím poskytovatelem</w:t>
      </w:r>
      <w:r w:rsidR="00DB38B4" w:rsidRPr="00404A7C">
        <w:rPr>
          <w:rFonts w:asciiTheme="minorHAnsi" w:hAnsiTheme="minorHAnsi" w:cstheme="minorHAnsi"/>
        </w:rPr>
        <w:t xml:space="preserve">. </w:t>
      </w:r>
      <w:r w:rsidR="00DB38B4">
        <w:rPr>
          <w:rFonts w:asciiTheme="minorHAnsi" w:hAnsiTheme="minorHAnsi" w:cstheme="minorHAnsi"/>
        </w:rPr>
        <w:t>Vychází se z toho</w:t>
      </w:r>
      <w:r w:rsidR="00DB38B4" w:rsidRPr="00404A7C">
        <w:rPr>
          <w:rFonts w:asciiTheme="minorHAnsi" w:hAnsiTheme="minorHAnsi" w:cstheme="minorHAnsi"/>
        </w:rPr>
        <w:t>, že vyšší produktivita nemusí znamenat větší intenzitu a úsilí, ale je založena na lepší organizaci práce. Zaměřuje se na systematické hledání a odstraňování všech příčin plýtvání a maximální zeštíhlení procesů</w:t>
      </w:r>
      <w:r w:rsidR="00BB1D97">
        <w:rPr>
          <w:rFonts w:asciiTheme="minorHAnsi" w:hAnsiTheme="minorHAnsi" w:cstheme="minorHAnsi"/>
        </w:rPr>
        <w:t xml:space="preserve"> (audit plýtvání neboli ztrát)</w:t>
      </w:r>
      <w:r w:rsidR="00DB38B4" w:rsidRPr="00404A7C">
        <w:rPr>
          <w:rFonts w:asciiTheme="minorHAnsi" w:hAnsiTheme="minorHAnsi" w:cstheme="minorHAnsi"/>
        </w:rPr>
        <w:t xml:space="preserve">. Štíhlost v tomto pojetí znamená vydat menší </w:t>
      </w:r>
      <w:r w:rsidR="00DB38B4" w:rsidRPr="00404A7C">
        <w:rPr>
          <w:rFonts w:asciiTheme="minorHAnsi" w:hAnsiTheme="minorHAnsi" w:cstheme="minorHAnsi"/>
        </w:rPr>
        <w:lastRenderedPageBreak/>
        <w:t xml:space="preserve">úsilí, odstranit zbytečnou práci, šetřit časem a zdroji ve všech prováděných činnostech. To má vést k menšímu počtu chyb, k potřebě méně lidí, investic, prostor, méně peněz vázaných v zásobách </w:t>
      </w:r>
      <w:r w:rsidR="00DB38B4">
        <w:rPr>
          <w:rFonts w:asciiTheme="minorHAnsi" w:hAnsiTheme="minorHAnsi" w:cstheme="minorHAnsi"/>
        </w:rPr>
        <w:t>nebo</w:t>
      </w:r>
      <w:r w:rsidR="00BB1D97">
        <w:rPr>
          <w:rFonts w:asciiTheme="minorHAnsi" w:hAnsiTheme="minorHAnsi" w:cstheme="minorHAnsi"/>
        </w:rPr>
        <w:t xml:space="preserve"> materiálu atd</w:t>
      </w:r>
      <w:r w:rsidR="00DB38B4" w:rsidRPr="00404A7C">
        <w:rPr>
          <w:rFonts w:asciiTheme="minorHAnsi" w:hAnsiTheme="minorHAnsi" w:cstheme="minorHAnsi"/>
        </w:rPr>
        <w:t xml:space="preserve">. </w:t>
      </w:r>
      <w:r w:rsidR="00BB1D97" w:rsidRPr="00BB1D97">
        <w:rPr>
          <w:rFonts w:asciiTheme="minorHAnsi" w:hAnsiTheme="minorHAnsi" w:cstheme="minorHAnsi"/>
        </w:rPr>
        <w:t>Výchozím předpokladem pro změnu n</w:t>
      </w:r>
      <w:r w:rsidR="00BB1D97">
        <w:rPr>
          <w:rFonts w:asciiTheme="minorHAnsi" w:hAnsiTheme="minorHAnsi" w:cstheme="minorHAnsi"/>
        </w:rPr>
        <w:t xml:space="preserve">eefektivního stavu je odhalení </w:t>
      </w:r>
      <w:r w:rsidR="00BB1D97" w:rsidRPr="00BB1D97">
        <w:rPr>
          <w:rFonts w:asciiTheme="minorHAnsi" w:hAnsiTheme="minorHAnsi" w:cstheme="minorHAnsi"/>
        </w:rPr>
        <w:t xml:space="preserve">zdrojů plýtvání. K tomu je potřebné provést audit </w:t>
      </w:r>
      <w:r w:rsidR="00BB1D97">
        <w:rPr>
          <w:rFonts w:asciiTheme="minorHAnsi" w:hAnsiTheme="minorHAnsi" w:cstheme="minorHAnsi"/>
        </w:rPr>
        <w:t xml:space="preserve">plýtvání </w:t>
      </w:r>
      <w:r w:rsidR="00BB1D97" w:rsidRPr="00BB1D97">
        <w:rPr>
          <w:rFonts w:asciiTheme="minorHAnsi" w:hAnsiTheme="minorHAnsi" w:cstheme="minorHAnsi"/>
        </w:rPr>
        <w:t>a vymezit oblasti, v nichž dochází ke ztrátám.</w:t>
      </w:r>
      <w:r w:rsidR="00BB1D97">
        <w:rPr>
          <w:rFonts w:asciiTheme="minorHAnsi" w:hAnsiTheme="minorHAnsi" w:cstheme="minorHAnsi"/>
        </w:rPr>
        <w:t xml:space="preserve"> </w:t>
      </w:r>
      <w:r w:rsidR="00BB1D97" w:rsidRPr="00BB1D97">
        <w:rPr>
          <w:rFonts w:asciiTheme="minorHAnsi" w:hAnsiTheme="minorHAnsi" w:cstheme="minorHAnsi"/>
        </w:rPr>
        <w:t>U každého procesu (</w:t>
      </w:r>
      <w:r w:rsidR="00BB1D97">
        <w:rPr>
          <w:rFonts w:asciiTheme="minorHAnsi" w:hAnsiTheme="minorHAnsi" w:cstheme="minorHAnsi"/>
        </w:rPr>
        <w:t>činnosti</w:t>
      </w:r>
      <w:r w:rsidR="00BB1D97" w:rsidRPr="00BB1D97">
        <w:rPr>
          <w:rFonts w:asciiTheme="minorHAnsi" w:hAnsiTheme="minorHAnsi" w:cstheme="minorHAnsi"/>
        </w:rPr>
        <w:t>, služby) můžeme z hlediska hodnoty pro zákazníka jednotlivé dílčí činnosti či úkony rozdělit do třech základních skupin: (1) ty činnosti, které přidávají hodnotu, (2) plýtvání (ztráty) a (3) ty činnosti, které nepřidávají hodnotu, ale jsou vyžadovány (např. ze strany legislativy, zřizovatele nebo také z hlediska systému řízení – kontrolní mechanismy, tvorba postupů atd.). Odstraňování plýtvání se zaměřuje (1) přednostně na maximální zeštíhlování činností (procesů) při současném nesnížení zjistitelné hodnoty výstupu (rozsahu, kvality poskytované veřejné služby) pro zákazníka, občana či společnost - zejména zkrácení nutného času a (2) na systematické hledání a odstraňování příčin všech druhů plýtvání. Následující tabulka uvádí sedm druhů plýtvání. Osmým druhem je plýtvání s kreativitou lidí a místními podmínkami. V tabulce je uveden příklad popisu v ziskovém sektoru a příklad popisu ve veřejné správě</w:t>
      </w:r>
      <w:r w:rsidR="00BB1D97">
        <w:rPr>
          <w:rFonts w:asciiTheme="minorHAnsi" w:hAnsiTheme="minorHAnsi" w:cstheme="minorHAnsi"/>
        </w:rPr>
        <w:t xml:space="preserve"> (Ochrana, Půček 2012)</w:t>
      </w:r>
      <w:r w:rsidR="00BB1D97" w:rsidRPr="00BB1D97">
        <w:rPr>
          <w:rFonts w:asciiTheme="minorHAnsi" w:hAnsiTheme="minorHAnsi" w:cstheme="minorHAnsi"/>
        </w:rPr>
        <w:t xml:space="preserve">. </w:t>
      </w:r>
    </w:p>
    <w:p w14:paraId="5E11EC2D" w14:textId="46CCCF99" w:rsidR="00DB38B4" w:rsidRPr="001D789C" w:rsidRDefault="00DB38B4" w:rsidP="00DB38B4">
      <w:pPr>
        <w:rPr>
          <w:rFonts w:asciiTheme="minorHAnsi" w:hAnsiTheme="minorHAnsi" w:cstheme="minorHAnsi"/>
          <w:i/>
          <w:iCs/>
        </w:rPr>
      </w:pPr>
      <w:r w:rsidRPr="001D789C">
        <w:rPr>
          <w:rFonts w:asciiTheme="minorHAnsi" w:hAnsiTheme="minorHAnsi" w:cstheme="minorHAnsi"/>
          <w:i/>
          <w:iCs/>
        </w:rPr>
        <w:t>Tab.</w:t>
      </w:r>
      <w:r w:rsidR="00EA14C5">
        <w:rPr>
          <w:rFonts w:asciiTheme="minorHAnsi" w:hAnsiTheme="minorHAnsi" w:cstheme="minorHAnsi"/>
          <w:i/>
          <w:iCs/>
        </w:rPr>
        <w:t xml:space="preserve"> 1</w:t>
      </w:r>
      <w:r w:rsidR="00C14739">
        <w:rPr>
          <w:rFonts w:asciiTheme="minorHAnsi" w:hAnsiTheme="minorHAnsi" w:cstheme="minorHAnsi"/>
          <w:i/>
          <w:iCs/>
        </w:rPr>
        <w:t>9</w:t>
      </w:r>
      <w:r w:rsidRPr="001D789C">
        <w:rPr>
          <w:rFonts w:asciiTheme="minorHAnsi" w:hAnsiTheme="minorHAnsi" w:cstheme="minorHAnsi"/>
          <w:i/>
          <w:iCs/>
        </w:rPr>
        <w:t xml:space="preserve"> Sedm druhů plýtvání </w:t>
      </w:r>
      <w:r w:rsidR="006759AF" w:rsidRPr="001D789C">
        <w:rPr>
          <w:rFonts w:asciiTheme="minorHAnsi" w:hAnsiTheme="minorHAnsi" w:cstheme="minorHAnsi"/>
          <w:i/>
          <w:iCs/>
        </w:rPr>
        <w:t xml:space="preserve">(ztrát) </w:t>
      </w:r>
      <w:r w:rsidRPr="001D789C">
        <w:rPr>
          <w:rFonts w:asciiTheme="minorHAnsi" w:hAnsiTheme="minorHAnsi" w:cstheme="minorHAnsi"/>
          <w:i/>
          <w:iCs/>
        </w:rPr>
        <w:t>dle metody „Štíhlá veřejná správa“</w:t>
      </w:r>
    </w:p>
    <w:tbl>
      <w:tblPr>
        <w:tblW w:w="92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0"/>
        <w:gridCol w:w="1276"/>
        <w:gridCol w:w="2977"/>
        <w:gridCol w:w="4786"/>
      </w:tblGrid>
      <w:tr w:rsidR="00BB1D97" w:rsidRPr="00311520" w14:paraId="3AA072D7" w14:textId="77777777" w:rsidTr="00C06CE8">
        <w:tc>
          <w:tcPr>
            <w:tcW w:w="250" w:type="dxa"/>
            <w:shd w:val="clear" w:color="auto" w:fill="EEECE1"/>
            <w:vAlign w:val="center"/>
          </w:tcPr>
          <w:p w14:paraId="76559658"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Č.</w:t>
            </w:r>
          </w:p>
        </w:tc>
        <w:tc>
          <w:tcPr>
            <w:tcW w:w="1276" w:type="dxa"/>
            <w:shd w:val="clear" w:color="auto" w:fill="EEECE1"/>
            <w:vAlign w:val="center"/>
          </w:tcPr>
          <w:p w14:paraId="4C75B091" w14:textId="77777777" w:rsidR="00BB1D97" w:rsidRPr="00311520" w:rsidRDefault="00BB1D97" w:rsidP="00AC2A25">
            <w:pPr>
              <w:spacing w:line="216" w:lineRule="auto"/>
              <w:jc w:val="center"/>
              <w:rPr>
                <w:rFonts w:asciiTheme="minorHAnsi" w:hAnsiTheme="minorHAnsi" w:cstheme="minorHAnsi"/>
                <w:sz w:val="20"/>
                <w:szCs w:val="20"/>
              </w:rPr>
            </w:pPr>
            <w:r w:rsidRPr="00311520">
              <w:rPr>
                <w:rFonts w:asciiTheme="minorHAnsi" w:hAnsiTheme="minorHAnsi" w:cstheme="minorHAnsi"/>
                <w:sz w:val="20"/>
                <w:szCs w:val="20"/>
              </w:rPr>
              <w:t>Druh plýtvání</w:t>
            </w:r>
          </w:p>
        </w:tc>
        <w:tc>
          <w:tcPr>
            <w:tcW w:w="2977" w:type="dxa"/>
            <w:shd w:val="clear" w:color="auto" w:fill="EEECE1"/>
            <w:vAlign w:val="center"/>
          </w:tcPr>
          <w:p w14:paraId="5A039B97" w14:textId="77777777" w:rsidR="00BB1D97" w:rsidRPr="00311520" w:rsidRDefault="00BB1D97" w:rsidP="00AC2A25">
            <w:pPr>
              <w:spacing w:line="216" w:lineRule="auto"/>
              <w:jc w:val="center"/>
              <w:rPr>
                <w:rFonts w:asciiTheme="minorHAnsi" w:hAnsiTheme="minorHAnsi" w:cstheme="minorHAnsi"/>
                <w:sz w:val="20"/>
                <w:szCs w:val="20"/>
              </w:rPr>
            </w:pPr>
            <w:r w:rsidRPr="00311520">
              <w:rPr>
                <w:rFonts w:asciiTheme="minorHAnsi" w:hAnsiTheme="minorHAnsi" w:cstheme="minorHAnsi"/>
                <w:sz w:val="20"/>
                <w:szCs w:val="20"/>
              </w:rPr>
              <w:t>Příklad popisu v ziskovém sektoru</w:t>
            </w:r>
          </w:p>
        </w:tc>
        <w:tc>
          <w:tcPr>
            <w:tcW w:w="4786" w:type="dxa"/>
            <w:shd w:val="clear" w:color="auto" w:fill="EEECE1"/>
            <w:vAlign w:val="center"/>
          </w:tcPr>
          <w:p w14:paraId="5774E5CB" w14:textId="77777777" w:rsidR="00BB1D97" w:rsidRPr="00311520" w:rsidRDefault="00BB1D97" w:rsidP="00AC2A25">
            <w:pPr>
              <w:spacing w:line="216" w:lineRule="auto"/>
              <w:jc w:val="center"/>
              <w:rPr>
                <w:rFonts w:asciiTheme="minorHAnsi" w:hAnsiTheme="minorHAnsi" w:cstheme="minorHAnsi"/>
                <w:sz w:val="20"/>
                <w:szCs w:val="20"/>
              </w:rPr>
            </w:pPr>
            <w:r w:rsidRPr="00311520">
              <w:rPr>
                <w:rFonts w:asciiTheme="minorHAnsi" w:hAnsiTheme="minorHAnsi" w:cstheme="minorHAnsi"/>
                <w:sz w:val="20"/>
                <w:szCs w:val="20"/>
              </w:rPr>
              <w:t>Příklad popisu ve veřejné správě</w:t>
            </w:r>
          </w:p>
        </w:tc>
      </w:tr>
      <w:tr w:rsidR="00BB1D97" w:rsidRPr="00311520" w14:paraId="06FAD4A1" w14:textId="77777777" w:rsidTr="00C06CE8">
        <w:tc>
          <w:tcPr>
            <w:tcW w:w="250" w:type="dxa"/>
            <w:shd w:val="clear" w:color="auto" w:fill="EEECE1"/>
            <w:vAlign w:val="center"/>
          </w:tcPr>
          <w:p w14:paraId="386270A2"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1</w:t>
            </w:r>
          </w:p>
        </w:tc>
        <w:tc>
          <w:tcPr>
            <w:tcW w:w="1276" w:type="dxa"/>
            <w:shd w:val="clear" w:color="auto" w:fill="EEECE1"/>
            <w:vAlign w:val="center"/>
          </w:tcPr>
          <w:p w14:paraId="3387B81D"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Nadbytečná práce (Over-processing)</w:t>
            </w:r>
          </w:p>
        </w:tc>
        <w:tc>
          <w:tcPr>
            <w:tcW w:w="2977" w:type="dxa"/>
            <w:vAlign w:val="center"/>
          </w:tcPr>
          <w:p w14:paraId="78AF1263" w14:textId="096DE282"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Nadbytečná práce či zpracování - přidá se více hodnoty, než jakou zákazník vyžaduje.</w:t>
            </w:r>
          </w:p>
        </w:tc>
        <w:tc>
          <w:tcPr>
            <w:tcW w:w="4786" w:type="dxa"/>
            <w:vAlign w:val="center"/>
          </w:tcPr>
          <w:p w14:paraId="6F6168B5"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Neúčelnost</w:t>
            </w:r>
            <w:r w:rsidRPr="00311520">
              <w:rPr>
                <w:rFonts w:asciiTheme="minorHAnsi" w:hAnsiTheme="minorHAnsi" w:cstheme="minorHAnsi"/>
                <w:sz w:val="20"/>
                <w:szCs w:val="20"/>
              </w:rPr>
              <w:t xml:space="preserve"> - není jasné, jakou hodnotu občan, zákazník či společnost potřebují. Činnosti nevycházejí z poslání či legislativních úkolů. </w:t>
            </w:r>
          </w:p>
        </w:tc>
      </w:tr>
      <w:tr w:rsidR="00BB1D97" w:rsidRPr="00311520" w14:paraId="03140855" w14:textId="77777777" w:rsidTr="00C06CE8">
        <w:tc>
          <w:tcPr>
            <w:tcW w:w="250" w:type="dxa"/>
            <w:shd w:val="clear" w:color="auto" w:fill="EEECE1"/>
            <w:vAlign w:val="center"/>
          </w:tcPr>
          <w:p w14:paraId="5FBBD51D"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2</w:t>
            </w:r>
          </w:p>
        </w:tc>
        <w:tc>
          <w:tcPr>
            <w:tcW w:w="1276" w:type="dxa"/>
            <w:shd w:val="clear" w:color="auto" w:fill="EEECE1"/>
            <w:vAlign w:val="center"/>
          </w:tcPr>
          <w:p w14:paraId="43EBB551" w14:textId="65A1F94A"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Nadprodukce (Over-production)</w:t>
            </w:r>
          </w:p>
        </w:tc>
        <w:tc>
          <w:tcPr>
            <w:tcW w:w="2977" w:type="dxa"/>
            <w:vAlign w:val="center"/>
          </w:tcPr>
          <w:p w14:paraId="4497C0F6" w14:textId="77777777" w:rsidR="00BB1D97" w:rsidRPr="00311520" w:rsidRDefault="00BB1D97" w:rsidP="00AC2A25">
            <w:pPr>
              <w:pStyle w:val="Normlnweb"/>
              <w:spacing w:line="216" w:lineRule="auto"/>
              <w:rPr>
                <w:rFonts w:asciiTheme="minorHAnsi" w:hAnsiTheme="minorHAnsi" w:cstheme="minorHAnsi"/>
                <w:sz w:val="20"/>
                <w:szCs w:val="20"/>
              </w:rPr>
            </w:pPr>
            <w:r w:rsidRPr="00311520">
              <w:rPr>
                <w:rFonts w:asciiTheme="minorHAnsi" w:hAnsiTheme="minorHAnsi" w:cstheme="minorHAnsi"/>
                <w:sz w:val="20"/>
                <w:szCs w:val="20"/>
              </w:rPr>
              <w:t>Vyrábí (dělá) se více, než je potřeba.</w:t>
            </w:r>
          </w:p>
        </w:tc>
        <w:tc>
          <w:tcPr>
            <w:tcW w:w="4786" w:type="dxa"/>
            <w:vAlign w:val="center"/>
          </w:tcPr>
          <w:p w14:paraId="0CD283B9" w14:textId="0987A538"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Zbytečná administrativní zátěž</w:t>
            </w:r>
            <w:r w:rsidRPr="00311520">
              <w:rPr>
                <w:rFonts w:asciiTheme="minorHAnsi" w:hAnsiTheme="minorHAnsi" w:cstheme="minorHAnsi"/>
                <w:sz w:val="20"/>
                <w:szCs w:val="20"/>
              </w:rPr>
              <w:t xml:space="preserve"> - postupuje se podle předpisů a legislativy, která je nadbytečná nebo neužitečná.  Pracuje se na nesmyslných úkolech, nepotřebných činnostech.</w:t>
            </w:r>
          </w:p>
        </w:tc>
      </w:tr>
      <w:tr w:rsidR="00BB1D97" w:rsidRPr="00311520" w14:paraId="20BF12A7" w14:textId="77777777" w:rsidTr="00C06CE8">
        <w:tc>
          <w:tcPr>
            <w:tcW w:w="250" w:type="dxa"/>
            <w:shd w:val="clear" w:color="auto" w:fill="EEECE1"/>
            <w:vAlign w:val="center"/>
          </w:tcPr>
          <w:p w14:paraId="32905A3B"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3</w:t>
            </w:r>
          </w:p>
        </w:tc>
        <w:tc>
          <w:tcPr>
            <w:tcW w:w="1276" w:type="dxa"/>
            <w:shd w:val="clear" w:color="auto" w:fill="EEECE1"/>
            <w:vAlign w:val="center"/>
          </w:tcPr>
          <w:p w14:paraId="66E2497F"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Čekání (Waiting)</w:t>
            </w:r>
          </w:p>
        </w:tc>
        <w:tc>
          <w:tcPr>
            <w:tcW w:w="2977" w:type="dxa"/>
            <w:vAlign w:val="center"/>
          </w:tcPr>
          <w:p w14:paraId="122A8999"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Způsobeno nedostatky, špatnými postupy, prostoji.</w:t>
            </w:r>
          </w:p>
        </w:tc>
        <w:tc>
          <w:tcPr>
            <w:tcW w:w="4786" w:type="dxa"/>
            <w:vAlign w:val="center"/>
          </w:tcPr>
          <w:p w14:paraId="04ED5ABF"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Čekání, Nevytíženost</w:t>
            </w:r>
            <w:r w:rsidRPr="00311520">
              <w:rPr>
                <w:rFonts w:asciiTheme="minorHAnsi" w:hAnsiTheme="minorHAnsi" w:cstheme="minorHAnsi"/>
                <w:sz w:val="20"/>
                <w:szCs w:val="20"/>
              </w:rPr>
              <w:t xml:space="preserve"> - nevytíženost zaměstnanců, prostoje špatnou organizací práce a špatným řízením.</w:t>
            </w:r>
          </w:p>
        </w:tc>
      </w:tr>
      <w:tr w:rsidR="00BB1D97" w:rsidRPr="00311520" w14:paraId="6A7BD876" w14:textId="77777777" w:rsidTr="00C06CE8">
        <w:tc>
          <w:tcPr>
            <w:tcW w:w="250" w:type="dxa"/>
            <w:shd w:val="clear" w:color="auto" w:fill="EEECE1"/>
            <w:vAlign w:val="center"/>
          </w:tcPr>
          <w:p w14:paraId="5D3B4C29"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4</w:t>
            </w:r>
          </w:p>
        </w:tc>
        <w:tc>
          <w:tcPr>
            <w:tcW w:w="1276" w:type="dxa"/>
            <w:shd w:val="clear" w:color="auto" w:fill="EEECE1"/>
            <w:vAlign w:val="center"/>
          </w:tcPr>
          <w:p w14:paraId="46E5A346"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Zásoby (Inventory)</w:t>
            </w:r>
          </w:p>
        </w:tc>
        <w:tc>
          <w:tcPr>
            <w:tcW w:w="2977" w:type="dxa"/>
            <w:vAlign w:val="center"/>
          </w:tcPr>
          <w:p w14:paraId="72B5A139"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Produkty, materiál nebo informace čekající na zpracování.</w:t>
            </w:r>
          </w:p>
        </w:tc>
        <w:tc>
          <w:tcPr>
            <w:tcW w:w="4786" w:type="dxa"/>
            <w:vAlign w:val="center"/>
          </w:tcPr>
          <w:p w14:paraId="3CF6FE05"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 xml:space="preserve">Nadbytečný materiál, vybavení, majetek, prostor a informace </w:t>
            </w:r>
            <w:r w:rsidRPr="00311520">
              <w:rPr>
                <w:rFonts w:asciiTheme="minorHAnsi" w:hAnsiTheme="minorHAnsi" w:cstheme="minorHAnsi"/>
                <w:sz w:val="20"/>
                <w:szCs w:val="20"/>
              </w:rPr>
              <w:t>– vše, co je nepotřebné či předimenzované, špatné investice či nákupy.</w:t>
            </w:r>
          </w:p>
        </w:tc>
      </w:tr>
      <w:tr w:rsidR="00BB1D97" w:rsidRPr="00311520" w14:paraId="70204C84" w14:textId="77777777" w:rsidTr="00C06CE8">
        <w:tc>
          <w:tcPr>
            <w:tcW w:w="250" w:type="dxa"/>
            <w:shd w:val="clear" w:color="auto" w:fill="EEECE1"/>
            <w:vAlign w:val="center"/>
          </w:tcPr>
          <w:p w14:paraId="2C2C0E1F"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5</w:t>
            </w:r>
          </w:p>
        </w:tc>
        <w:tc>
          <w:tcPr>
            <w:tcW w:w="1276" w:type="dxa"/>
            <w:shd w:val="clear" w:color="auto" w:fill="EEECE1"/>
            <w:vAlign w:val="center"/>
          </w:tcPr>
          <w:p w14:paraId="31267A47"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Chyby (Defects)</w:t>
            </w:r>
          </w:p>
        </w:tc>
        <w:tc>
          <w:tcPr>
            <w:tcW w:w="2977" w:type="dxa"/>
            <w:vAlign w:val="center"/>
          </w:tcPr>
          <w:p w14:paraId="2C2DC66B"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Stejnou činnost je nutné provést znovu.</w:t>
            </w:r>
          </w:p>
        </w:tc>
        <w:tc>
          <w:tcPr>
            <w:tcW w:w="4786" w:type="dxa"/>
            <w:vAlign w:val="center"/>
          </w:tcPr>
          <w:p w14:paraId="7321BB6D"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Chyby</w:t>
            </w:r>
            <w:r w:rsidRPr="00311520">
              <w:rPr>
                <w:rFonts w:asciiTheme="minorHAnsi" w:hAnsiTheme="minorHAnsi" w:cstheme="minorHAnsi"/>
                <w:sz w:val="20"/>
                <w:szCs w:val="20"/>
              </w:rPr>
              <w:t xml:space="preserve"> - stejnou činnost je nutné provést znovu, špatně zadané úkoly, nepromyšlené aktivity, nekoncepčnost, stále změny legislativy, neřeší se příčiny problémů.</w:t>
            </w:r>
          </w:p>
        </w:tc>
      </w:tr>
      <w:tr w:rsidR="00BB1D97" w:rsidRPr="00311520" w14:paraId="5FCB1D18" w14:textId="77777777" w:rsidTr="00C06CE8">
        <w:tc>
          <w:tcPr>
            <w:tcW w:w="250" w:type="dxa"/>
            <w:shd w:val="clear" w:color="auto" w:fill="EEECE1"/>
            <w:vAlign w:val="center"/>
          </w:tcPr>
          <w:p w14:paraId="222450FA"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6</w:t>
            </w:r>
          </w:p>
        </w:tc>
        <w:tc>
          <w:tcPr>
            <w:tcW w:w="1276" w:type="dxa"/>
            <w:shd w:val="clear" w:color="auto" w:fill="EEECE1"/>
            <w:vAlign w:val="center"/>
          </w:tcPr>
          <w:p w14:paraId="66434562"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Přemisťování (Transport)</w:t>
            </w:r>
          </w:p>
        </w:tc>
        <w:tc>
          <w:tcPr>
            <w:tcW w:w="2977" w:type="dxa"/>
            <w:vAlign w:val="center"/>
          </w:tcPr>
          <w:p w14:paraId="3DC9B424"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Nadbytečný přesun materiálu, lidí, informací z místa na místo.</w:t>
            </w:r>
          </w:p>
        </w:tc>
        <w:tc>
          <w:tcPr>
            <w:tcW w:w="4786" w:type="dxa"/>
            <w:vAlign w:val="center"/>
          </w:tcPr>
          <w:p w14:paraId="7E10A65C"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Nadbytečné přesuny</w:t>
            </w:r>
            <w:r w:rsidRPr="00311520">
              <w:rPr>
                <w:rFonts w:asciiTheme="minorHAnsi" w:hAnsiTheme="minorHAnsi" w:cstheme="minorHAnsi"/>
                <w:sz w:val="20"/>
                <w:szCs w:val="20"/>
              </w:rPr>
              <w:t xml:space="preserve"> - nadbytečný přesun, lidí, informací z místa na místo, z budovy do budovy.</w:t>
            </w:r>
          </w:p>
        </w:tc>
      </w:tr>
      <w:tr w:rsidR="00BB1D97" w:rsidRPr="00311520" w14:paraId="05A3684E" w14:textId="77777777" w:rsidTr="00C06CE8">
        <w:tc>
          <w:tcPr>
            <w:tcW w:w="250" w:type="dxa"/>
            <w:shd w:val="clear" w:color="auto" w:fill="EEECE1"/>
            <w:vAlign w:val="center"/>
          </w:tcPr>
          <w:p w14:paraId="0E27FD5C"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7</w:t>
            </w:r>
          </w:p>
        </w:tc>
        <w:tc>
          <w:tcPr>
            <w:tcW w:w="1276" w:type="dxa"/>
            <w:shd w:val="clear" w:color="auto" w:fill="EEECE1"/>
            <w:vAlign w:val="center"/>
          </w:tcPr>
          <w:p w14:paraId="2F2F6B85"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Pohyb (Motion)</w:t>
            </w:r>
          </w:p>
        </w:tc>
        <w:tc>
          <w:tcPr>
            <w:tcW w:w="2977" w:type="dxa"/>
            <w:vAlign w:val="center"/>
          </w:tcPr>
          <w:p w14:paraId="493C9087" w14:textId="77777777"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sz w:val="20"/>
                <w:szCs w:val="20"/>
              </w:rPr>
              <w:t>Zbytečné pohyby, špatná ergonomie pracoviště.</w:t>
            </w:r>
          </w:p>
        </w:tc>
        <w:tc>
          <w:tcPr>
            <w:tcW w:w="4786" w:type="dxa"/>
            <w:vAlign w:val="center"/>
          </w:tcPr>
          <w:p w14:paraId="33816243" w14:textId="49B91B42" w:rsidR="00BB1D97" w:rsidRPr="00311520" w:rsidRDefault="00BB1D97" w:rsidP="00AC2A25">
            <w:pPr>
              <w:spacing w:line="216" w:lineRule="auto"/>
              <w:rPr>
                <w:rFonts w:asciiTheme="minorHAnsi" w:hAnsiTheme="minorHAnsi" w:cstheme="minorHAnsi"/>
                <w:sz w:val="20"/>
                <w:szCs w:val="20"/>
              </w:rPr>
            </w:pPr>
            <w:r w:rsidRPr="00311520">
              <w:rPr>
                <w:rFonts w:asciiTheme="minorHAnsi" w:hAnsiTheme="minorHAnsi" w:cstheme="minorHAnsi"/>
                <w:b/>
                <w:bCs/>
                <w:sz w:val="20"/>
                <w:szCs w:val="20"/>
              </w:rPr>
              <w:t>Zbytečné pohyby, nepořádek</w:t>
            </w:r>
            <w:r w:rsidRPr="00311520">
              <w:rPr>
                <w:rFonts w:asciiTheme="minorHAnsi" w:hAnsiTheme="minorHAnsi" w:cstheme="minorHAnsi"/>
                <w:sz w:val="20"/>
                <w:szCs w:val="20"/>
              </w:rPr>
              <w:t xml:space="preserve"> - </w:t>
            </w:r>
            <w:r w:rsidR="00D40AB7">
              <w:rPr>
                <w:rFonts w:asciiTheme="minorHAnsi" w:hAnsiTheme="minorHAnsi" w:cstheme="minorHAnsi"/>
                <w:sz w:val="20"/>
                <w:szCs w:val="20"/>
              </w:rPr>
              <w:t>z</w:t>
            </w:r>
            <w:r w:rsidRPr="00311520">
              <w:rPr>
                <w:rFonts w:asciiTheme="minorHAnsi" w:hAnsiTheme="minorHAnsi" w:cstheme="minorHAnsi"/>
                <w:sz w:val="20"/>
                <w:szCs w:val="20"/>
              </w:rPr>
              <w:t>bytečné pohyby, špatná ergonomie či neuklizenost pracoviště.</w:t>
            </w:r>
          </w:p>
        </w:tc>
      </w:tr>
      <w:tr w:rsidR="00BB1D97" w:rsidRPr="00311520" w14:paraId="395BCCEB" w14:textId="77777777" w:rsidTr="00A85C8A">
        <w:tc>
          <w:tcPr>
            <w:tcW w:w="9289" w:type="dxa"/>
            <w:gridSpan w:val="4"/>
            <w:vAlign w:val="center"/>
          </w:tcPr>
          <w:p w14:paraId="68E52225" w14:textId="77777777" w:rsidR="00BB1D97" w:rsidRPr="00311520" w:rsidRDefault="00BB1D97" w:rsidP="00AC2A25">
            <w:pPr>
              <w:spacing w:line="216" w:lineRule="auto"/>
              <w:ind w:left="-57" w:right="-57"/>
              <w:jc w:val="center"/>
              <w:rPr>
                <w:rFonts w:asciiTheme="minorHAnsi" w:hAnsiTheme="minorHAnsi" w:cstheme="minorHAnsi"/>
                <w:sz w:val="20"/>
                <w:szCs w:val="20"/>
              </w:rPr>
            </w:pPr>
            <w:r w:rsidRPr="00311520">
              <w:rPr>
                <w:rFonts w:asciiTheme="minorHAnsi" w:hAnsiTheme="minorHAnsi" w:cstheme="minorHAnsi"/>
                <w:sz w:val="20"/>
                <w:szCs w:val="20"/>
              </w:rPr>
              <w:t>Jako osmý druh plýtvání se uvádí plýtvání kreativitou lidí, příležitostmi a místními podmínkami.</w:t>
            </w:r>
          </w:p>
        </w:tc>
      </w:tr>
    </w:tbl>
    <w:p w14:paraId="1C240024" w14:textId="394963EF" w:rsidR="00DB38B4" w:rsidRPr="001D789C" w:rsidRDefault="00DB38B4" w:rsidP="00DB38B4">
      <w:pPr>
        <w:rPr>
          <w:rFonts w:asciiTheme="minorHAnsi" w:hAnsiTheme="minorHAnsi" w:cstheme="minorHAnsi"/>
          <w:i/>
          <w:iCs/>
        </w:rPr>
      </w:pPr>
      <w:r w:rsidRPr="001D789C">
        <w:rPr>
          <w:rFonts w:asciiTheme="minorHAnsi" w:hAnsiTheme="minorHAnsi" w:cstheme="minorHAnsi"/>
          <w:i/>
          <w:iCs/>
        </w:rPr>
        <w:t xml:space="preserve">Zdroj: </w:t>
      </w:r>
      <w:r w:rsidR="00D40AB7" w:rsidRPr="001D789C">
        <w:rPr>
          <w:rFonts w:asciiTheme="minorHAnsi" w:hAnsiTheme="minorHAnsi" w:cstheme="minorHAnsi"/>
          <w:i/>
          <w:iCs/>
        </w:rPr>
        <w:t>Ochrana</w:t>
      </w:r>
      <w:r w:rsidR="00D40AB7">
        <w:rPr>
          <w:rFonts w:asciiTheme="minorHAnsi" w:hAnsiTheme="minorHAnsi" w:cstheme="minorHAnsi"/>
          <w:i/>
          <w:iCs/>
        </w:rPr>
        <w:t>,</w:t>
      </w:r>
      <w:r w:rsidR="00D40AB7" w:rsidRPr="001D789C">
        <w:rPr>
          <w:rFonts w:asciiTheme="minorHAnsi" w:hAnsiTheme="minorHAnsi" w:cstheme="minorHAnsi"/>
          <w:i/>
          <w:iCs/>
        </w:rPr>
        <w:t xml:space="preserve"> </w:t>
      </w:r>
      <w:r w:rsidRPr="001D789C">
        <w:rPr>
          <w:rFonts w:asciiTheme="minorHAnsi" w:hAnsiTheme="minorHAnsi" w:cstheme="minorHAnsi"/>
          <w:i/>
          <w:iCs/>
        </w:rPr>
        <w:t>Půček 2012</w:t>
      </w:r>
    </w:p>
    <w:p w14:paraId="1346066B" w14:textId="2959B54E" w:rsidR="00DB38B4" w:rsidRDefault="00DB0BA3" w:rsidP="00875923">
      <w:pPr>
        <w:spacing w:after="120"/>
        <w:ind w:right="-57"/>
        <w:jc w:val="both"/>
        <w:rPr>
          <w:rFonts w:ascii="Calibri" w:hAnsi="Calibri"/>
        </w:rPr>
      </w:pPr>
      <w:r>
        <w:rPr>
          <w:rFonts w:ascii="Calibri" w:hAnsi="Calibri"/>
        </w:rPr>
        <w:t>Podklady pro audit ztrát jsou jedním z příkladů v kapitole 10.</w:t>
      </w:r>
    </w:p>
    <w:p w14:paraId="78EBB415" w14:textId="77777777" w:rsidR="009B6C97" w:rsidRPr="00B30D72" w:rsidRDefault="009B6C97" w:rsidP="00875923">
      <w:pPr>
        <w:spacing w:after="120"/>
        <w:ind w:right="-57"/>
        <w:jc w:val="both"/>
        <w:rPr>
          <w:rFonts w:ascii="Calibri" w:hAnsi="Calibri"/>
        </w:rPr>
      </w:pPr>
    </w:p>
    <w:p w14:paraId="07A283CF" w14:textId="3CF6AE1B" w:rsidR="002531BE" w:rsidRPr="003767A1" w:rsidRDefault="006A4F5E" w:rsidP="003767A1">
      <w:pPr>
        <w:pStyle w:val="Nadpis2"/>
        <w:spacing w:before="240" w:after="120"/>
        <w:ind w:left="578" w:hanging="578"/>
        <w:rPr>
          <w:rFonts w:asciiTheme="minorHAnsi" w:hAnsiTheme="minorHAnsi" w:cstheme="minorHAnsi"/>
          <w:color w:val="7493B0"/>
          <w:sz w:val="24"/>
          <w:szCs w:val="24"/>
          <w:lang w:val="cs-CZ"/>
        </w:rPr>
      </w:pPr>
      <w:bookmarkStart w:id="54" w:name="_Toc50113169"/>
      <w:bookmarkStart w:id="55" w:name="_Toc117270011"/>
      <w:r>
        <w:rPr>
          <w:rFonts w:asciiTheme="minorHAnsi" w:hAnsiTheme="minorHAnsi" w:cstheme="minorHAnsi"/>
          <w:color w:val="7493B0"/>
          <w:sz w:val="24"/>
          <w:szCs w:val="24"/>
          <w:lang w:val="cs-CZ"/>
        </w:rPr>
        <w:lastRenderedPageBreak/>
        <w:t xml:space="preserve">Hospodaření: </w:t>
      </w:r>
      <w:r w:rsidR="002531BE" w:rsidRPr="003767A1">
        <w:rPr>
          <w:rFonts w:asciiTheme="minorHAnsi" w:hAnsiTheme="minorHAnsi" w:cstheme="minorHAnsi"/>
          <w:color w:val="7493B0"/>
          <w:sz w:val="24"/>
          <w:szCs w:val="24"/>
          <w:lang w:val="cs-CZ"/>
        </w:rPr>
        <w:t>Dotační management a jeho fáze</w:t>
      </w:r>
      <w:bookmarkEnd w:id="54"/>
      <w:bookmarkEnd w:id="55"/>
    </w:p>
    <w:p w14:paraId="73689E0F" w14:textId="5425C875" w:rsidR="002531BE" w:rsidRDefault="00757323" w:rsidP="00757323">
      <w:pPr>
        <w:jc w:val="both"/>
        <w:rPr>
          <w:rFonts w:ascii="Calibri" w:hAnsi="Calibri"/>
        </w:rPr>
      </w:pPr>
      <w:r w:rsidRPr="00757323">
        <w:rPr>
          <w:rFonts w:asciiTheme="minorHAnsi" w:hAnsiTheme="minorHAnsi" w:cstheme="minorHAnsi"/>
          <w:bCs/>
        </w:rPr>
        <w:t xml:space="preserve">Součástí strategické práce je </w:t>
      </w:r>
      <w:r>
        <w:rPr>
          <w:rFonts w:asciiTheme="minorHAnsi" w:hAnsiTheme="minorHAnsi" w:cstheme="minorHAnsi"/>
          <w:bCs/>
        </w:rPr>
        <w:t xml:space="preserve">velmi často také zvládání projektů financování z fondů EU, případně státu nebo jiného donátora. </w:t>
      </w:r>
      <w:r w:rsidR="002531BE" w:rsidRPr="008852A4">
        <w:rPr>
          <w:rFonts w:asciiTheme="minorHAnsi" w:hAnsiTheme="minorHAnsi" w:cstheme="minorHAnsi"/>
          <w:bCs/>
        </w:rPr>
        <w:t xml:space="preserve">Těmto projektům se obvykle říká „dotační projekty“ a řízení projektů financovaných z fondů </w:t>
      </w:r>
      <w:r w:rsidR="002531BE">
        <w:rPr>
          <w:rFonts w:asciiTheme="minorHAnsi" w:hAnsiTheme="minorHAnsi" w:cstheme="minorHAnsi"/>
          <w:bCs/>
        </w:rPr>
        <w:t>EU</w:t>
      </w:r>
      <w:r w:rsidR="00C6281C">
        <w:rPr>
          <w:rFonts w:asciiTheme="minorHAnsi" w:hAnsiTheme="minorHAnsi" w:cstheme="minorHAnsi"/>
          <w:bCs/>
        </w:rPr>
        <w:t xml:space="preserve"> nebo státu</w:t>
      </w:r>
      <w:r w:rsidR="002531BE">
        <w:rPr>
          <w:rFonts w:asciiTheme="minorHAnsi" w:hAnsiTheme="minorHAnsi" w:cstheme="minorHAnsi"/>
          <w:bCs/>
        </w:rPr>
        <w:t xml:space="preserve"> se říká „dotační management“</w:t>
      </w:r>
      <w:r w:rsidR="002531BE" w:rsidRPr="008852A4">
        <w:rPr>
          <w:rFonts w:asciiTheme="minorHAnsi" w:hAnsiTheme="minorHAnsi" w:cstheme="minorHAnsi"/>
          <w:bCs/>
        </w:rPr>
        <w:t>.</w:t>
      </w:r>
      <w:r>
        <w:rPr>
          <w:rFonts w:asciiTheme="minorHAnsi" w:hAnsiTheme="minorHAnsi" w:cstheme="minorHAnsi"/>
          <w:bCs/>
        </w:rPr>
        <w:t xml:space="preserve"> </w:t>
      </w:r>
      <w:r w:rsidR="002531BE" w:rsidRPr="001E3F01">
        <w:rPr>
          <w:rFonts w:ascii="Calibri" w:hAnsi="Calibri"/>
          <w:b/>
        </w:rPr>
        <w:t>Dotační management</w:t>
      </w:r>
      <w:r w:rsidR="002531BE" w:rsidRPr="001E3F01">
        <w:rPr>
          <w:rFonts w:ascii="Calibri" w:hAnsi="Calibri"/>
        </w:rPr>
        <w:t xml:space="preserve"> je plánování, organizování, vedení a kontrola dotačního projektu - tedy</w:t>
      </w:r>
      <w:r w:rsidR="002531BE">
        <w:rPr>
          <w:rFonts w:ascii="Calibri" w:hAnsi="Calibri"/>
        </w:rPr>
        <w:t xml:space="preserve"> </w:t>
      </w:r>
      <w:r w:rsidR="002531BE" w:rsidRPr="00331D6F">
        <w:rPr>
          <w:rFonts w:ascii="Calibri" w:hAnsi="Calibri"/>
        </w:rPr>
        <w:t>souboru aktivit, kter</w:t>
      </w:r>
      <w:r w:rsidR="00C6281C">
        <w:rPr>
          <w:rFonts w:ascii="Calibri" w:hAnsi="Calibri"/>
        </w:rPr>
        <w:t>é je nutné provést tak, aby byla</w:t>
      </w:r>
      <w:r w:rsidR="002531BE" w:rsidRPr="00331D6F">
        <w:rPr>
          <w:rFonts w:ascii="Calibri" w:hAnsi="Calibri"/>
        </w:rPr>
        <w:t xml:space="preserve"> naplně</w:t>
      </w:r>
      <w:r w:rsidR="00C6281C">
        <w:rPr>
          <w:rFonts w:ascii="Calibri" w:hAnsi="Calibri"/>
        </w:rPr>
        <w:t>na</w:t>
      </w:r>
      <w:r w:rsidR="002531BE" w:rsidRPr="00331D6F">
        <w:rPr>
          <w:rFonts w:ascii="Calibri" w:hAnsi="Calibri"/>
        </w:rPr>
        <w:t xml:space="preserve"> </w:t>
      </w:r>
      <w:r>
        <w:rPr>
          <w:rFonts w:ascii="Calibri" w:hAnsi="Calibri"/>
        </w:rPr>
        <w:t>kritéria úspěšného projektu (</w:t>
      </w:r>
      <w:r w:rsidR="002531BE">
        <w:rPr>
          <w:rFonts w:ascii="Calibri" w:hAnsi="Calibri"/>
        </w:rPr>
        <w:t>cíle, termíny, rozpočet</w:t>
      </w:r>
      <w:r>
        <w:rPr>
          <w:rFonts w:ascii="Calibri" w:hAnsi="Calibri"/>
        </w:rPr>
        <w:t>)</w:t>
      </w:r>
      <w:r w:rsidR="002531BE" w:rsidRPr="00331D6F">
        <w:rPr>
          <w:rFonts w:ascii="Calibri" w:hAnsi="Calibri"/>
        </w:rPr>
        <w:t xml:space="preserve">. </w:t>
      </w:r>
      <w:r>
        <w:rPr>
          <w:rFonts w:ascii="Calibri" w:hAnsi="Calibri"/>
        </w:rPr>
        <w:t xml:space="preserve">Je možné </w:t>
      </w:r>
      <w:r w:rsidR="002531BE" w:rsidRPr="00331D6F">
        <w:rPr>
          <w:rFonts w:ascii="Calibri" w:hAnsi="Calibri"/>
        </w:rPr>
        <w:t xml:space="preserve">také </w:t>
      </w:r>
      <w:r>
        <w:rPr>
          <w:rFonts w:ascii="Calibri" w:hAnsi="Calibri"/>
        </w:rPr>
        <w:t>uvést</w:t>
      </w:r>
      <w:r w:rsidR="002531BE" w:rsidRPr="00331D6F">
        <w:rPr>
          <w:rFonts w:ascii="Calibri" w:hAnsi="Calibri"/>
        </w:rPr>
        <w:t xml:space="preserve">, že v těchto projektech žadatelé mezi sebou soutěží o spolufinancování projektu ze strany EU, státu či jiného </w:t>
      </w:r>
      <w:r>
        <w:rPr>
          <w:rFonts w:ascii="Calibri" w:hAnsi="Calibri"/>
        </w:rPr>
        <w:t>donátora</w:t>
      </w:r>
      <w:r w:rsidR="002531BE" w:rsidRPr="00331D6F">
        <w:rPr>
          <w:rFonts w:ascii="Calibri" w:hAnsi="Calibri"/>
        </w:rPr>
        <w:t xml:space="preserve">. Úspěšní žadatelé </w:t>
      </w:r>
      <w:r>
        <w:rPr>
          <w:rFonts w:ascii="Calibri" w:hAnsi="Calibri"/>
        </w:rPr>
        <w:t>(</w:t>
      </w:r>
      <w:r w:rsidR="002531BE" w:rsidRPr="00331D6F">
        <w:rPr>
          <w:rFonts w:ascii="Calibri" w:hAnsi="Calibri"/>
        </w:rPr>
        <w:t>realizátoři projektů</w:t>
      </w:r>
      <w:r>
        <w:rPr>
          <w:rFonts w:ascii="Calibri" w:hAnsi="Calibri"/>
        </w:rPr>
        <w:t>)</w:t>
      </w:r>
      <w:r w:rsidR="002531BE" w:rsidRPr="00331D6F">
        <w:rPr>
          <w:rFonts w:ascii="Calibri" w:hAnsi="Calibri"/>
        </w:rPr>
        <w:t xml:space="preserve"> se dostávají prakticky do role „dodavatelů“ požadovaných výstupů či výsledků (cíle projektu, které odpovídají cílům programu</w:t>
      </w:r>
      <w:r>
        <w:rPr>
          <w:rFonts w:ascii="Calibri" w:hAnsi="Calibri"/>
        </w:rPr>
        <w:t xml:space="preserve">, </w:t>
      </w:r>
      <w:r w:rsidR="002531BE" w:rsidRPr="00331D6F">
        <w:rPr>
          <w:rFonts w:ascii="Calibri" w:hAnsi="Calibri"/>
        </w:rPr>
        <w:t>hodnocené pomocí indikátorů) v požadovaném te</w:t>
      </w:r>
      <w:r>
        <w:rPr>
          <w:rFonts w:ascii="Calibri" w:hAnsi="Calibri"/>
        </w:rPr>
        <w:t xml:space="preserve">rmínu a dohodnutém rozpočtu. EU, </w:t>
      </w:r>
      <w:r w:rsidR="002531BE" w:rsidRPr="00331D6F">
        <w:rPr>
          <w:rFonts w:ascii="Calibri" w:hAnsi="Calibri"/>
        </w:rPr>
        <w:t>stát</w:t>
      </w:r>
      <w:r>
        <w:rPr>
          <w:rFonts w:ascii="Calibri" w:hAnsi="Calibri"/>
        </w:rPr>
        <w:t xml:space="preserve"> nebo jiný donátor</w:t>
      </w:r>
      <w:r w:rsidR="002531BE" w:rsidRPr="00331D6F">
        <w:rPr>
          <w:rFonts w:ascii="Calibri" w:hAnsi="Calibri"/>
        </w:rPr>
        <w:t xml:space="preserve"> si tak u jednotlivých realizátorů projektů „nakupuje“</w:t>
      </w:r>
      <w:r w:rsidR="002531BE" w:rsidRPr="00331D6F">
        <w:rPr>
          <w:rStyle w:val="Znakapoznpodarou"/>
          <w:rFonts w:ascii="Calibri" w:hAnsi="Calibri"/>
        </w:rPr>
        <w:footnoteReference w:id="48"/>
      </w:r>
      <w:r w:rsidR="002531BE" w:rsidRPr="00331D6F">
        <w:rPr>
          <w:rFonts w:ascii="Calibri" w:hAnsi="Calibri"/>
        </w:rPr>
        <w:t xml:space="preserve"> změny (výstupy, výsledky, dopady) v oblasti kvality života, životního prostředí, hospodářství a společnosti (např.</w:t>
      </w:r>
      <w:r>
        <w:rPr>
          <w:rFonts w:ascii="Calibri" w:hAnsi="Calibri"/>
        </w:rPr>
        <w:t xml:space="preserve"> </w:t>
      </w:r>
      <w:r w:rsidRPr="00331D6F">
        <w:rPr>
          <w:rFonts w:ascii="Calibri" w:hAnsi="Calibri"/>
        </w:rPr>
        <w:t>potřebná infrastruktura</w:t>
      </w:r>
      <w:r>
        <w:rPr>
          <w:rFonts w:ascii="Calibri" w:hAnsi="Calibri"/>
        </w:rPr>
        <w:t>, zlepšení životního prostředí,</w:t>
      </w:r>
      <w:r w:rsidRPr="00331D6F">
        <w:rPr>
          <w:rFonts w:ascii="Calibri" w:hAnsi="Calibri"/>
        </w:rPr>
        <w:t xml:space="preserve"> nové služby, inovace</w:t>
      </w:r>
      <w:r>
        <w:rPr>
          <w:rFonts w:ascii="Calibri" w:hAnsi="Calibri"/>
        </w:rPr>
        <w:t>,</w:t>
      </w:r>
      <w:r w:rsidRPr="00331D6F">
        <w:rPr>
          <w:rFonts w:ascii="Calibri" w:hAnsi="Calibri"/>
        </w:rPr>
        <w:t xml:space="preserve"> </w:t>
      </w:r>
      <w:r>
        <w:rPr>
          <w:rFonts w:ascii="Calibri" w:hAnsi="Calibri"/>
        </w:rPr>
        <w:t>vytvořená pracovní místa a podobně</w:t>
      </w:r>
      <w:r w:rsidR="002531BE" w:rsidRPr="00331D6F">
        <w:rPr>
          <w:rFonts w:ascii="Calibri" w:hAnsi="Calibri"/>
        </w:rPr>
        <w:t xml:space="preserve">). </w:t>
      </w:r>
    </w:p>
    <w:p w14:paraId="070E1E2E" w14:textId="77777777" w:rsidR="00757323" w:rsidRPr="001E3F01" w:rsidRDefault="00757323" w:rsidP="00757323">
      <w:pPr>
        <w:jc w:val="both"/>
        <w:rPr>
          <w:rFonts w:ascii="Calibri" w:hAnsi="Calibri"/>
          <w:bdr w:val="single" w:sz="4" w:space="0" w:color="auto"/>
          <w:shd w:val="clear" w:color="auto" w:fill="E7E6E6"/>
        </w:rPr>
      </w:pPr>
    </w:p>
    <w:p w14:paraId="394BBC85" w14:textId="74F3F67E" w:rsidR="00757323" w:rsidRDefault="002531BE" w:rsidP="00757323">
      <w:pPr>
        <w:pStyle w:val="A1-text"/>
        <w:spacing w:after="0"/>
        <w:rPr>
          <w:rFonts w:ascii="Calibri" w:hAnsi="Calibri"/>
          <w:lang w:val="cs-CZ"/>
        </w:rPr>
      </w:pPr>
      <w:r w:rsidRPr="00331D6F">
        <w:rPr>
          <w:rFonts w:ascii="Calibri" w:hAnsi="Calibri"/>
        </w:rPr>
        <w:t xml:space="preserve">Jednotlivé </w:t>
      </w:r>
      <w:r w:rsidRPr="00757323">
        <w:rPr>
          <w:rFonts w:ascii="Calibri" w:hAnsi="Calibri"/>
          <w:b/>
        </w:rPr>
        <w:t xml:space="preserve">fáze </w:t>
      </w:r>
      <w:r w:rsidR="00757323" w:rsidRPr="00757323">
        <w:rPr>
          <w:rFonts w:ascii="Calibri" w:hAnsi="Calibri"/>
          <w:b/>
          <w:lang w:val="cs-CZ"/>
        </w:rPr>
        <w:t>dotačního managementu</w:t>
      </w:r>
      <w:r w:rsidRPr="00331D6F">
        <w:rPr>
          <w:rFonts w:ascii="Calibri" w:hAnsi="Calibri"/>
        </w:rPr>
        <w:t xml:space="preserve"> z hlediska žadatele jsou na následujícím obrázku. </w:t>
      </w:r>
    </w:p>
    <w:p w14:paraId="341A3AC3" w14:textId="58A1D092" w:rsidR="002531BE" w:rsidRPr="001D789C" w:rsidRDefault="002531BE" w:rsidP="002531BE">
      <w:pPr>
        <w:pStyle w:val="A1-text"/>
        <w:spacing w:after="0" w:line="240" w:lineRule="auto"/>
        <w:rPr>
          <w:rFonts w:ascii="Calibri" w:hAnsi="Calibri"/>
          <w:i/>
          <w:iCs/>
          <w:lang w:val="cs-CZ"/>
        </w:rPr>
      </w:pPr>
      <w:r w:rsidRPr="001D789C">
        <w:rPr>
          <w:rFonts w:ascii="Calibri" w:hAnsi="Calibri"/>
          <w:i/>
          <w:iCs/>
        </w:rPr>
        <w:t>Obr.</w:t>
      </w:r>
      <w:r w:rsidR="00257449">
        <w:rPr>
          <w:rFonts w:ascii="Calibri" w:hAnsi="Calibri"/>
          <w:i/>
          <w:iCs/>
          <w:lang w:val="cs-CZ"/>
        </w:rPr>
        <w:t xml:space="preserve"> 21</w:t>
      </w:r>
      <w:r w:rsidRPr="001D789C">
        <w:rPr>
          <w:rFonts w:ascii="Calibri" w:hAnsi="Calibri"/>
          <w:i/>
          <w:iCs/>
          <w:lang w:val="cs-CZ"/>
        </w:rPr>
        <w:t xml:space="preserve"> </w:t>
      </w:r>
      <w:r w:rsidRPr="001D789C">
        <w:rPr>
          <w:rFonts w:ascii="Calibri" w:hAnsi="Calibri"/>
          <w:i/>
          <w:iCs/>
        </w:rPr>
        <w:t>Jednotlivé fáze dotačního projektu</w:t>
      </w:r>
      <w:r w:rsidRPr="001D789C">
        <w:rPr>
          <w:rFonts w:ascii="Calibri" w:hAnsi="Calibri"/>
          <w:i/>
          <w:iCs/>
          <w:lang w:val="cs-CZ"/>
        </w:rPr>
        <w:t xml:space="preserve"> včetně důsledků chyb v projektu</w:t>
      </w:r>
    </w:p>
    <w:p w14:paraId="6D4D25BA" w14:textId="77777777" w:rsidR="002531BE" w:rsidRPr="00D864CE" w:rsidRDefault="002531BE" w:rsidP="002531BE">
      <w:pPr>
        <w:pStyle w:val="A1-text"/>
        <w:rPr>
          <w:lang w:val="cs-CZ"/>
        </w:rPr>
      </w:pPr>
      <w:r>
        <w:rPr>
          <w:noProof/>
          <w:lang w:val="cs-CZ" w:eastAsia="cs-CZ"/>
        </w:rPr>
        <mc:AlternateContent>
          <mc:Choice Requires="wpg">
            <w:drawing>
              <wp:anchor distT="0" distB="0" distL="114300" distR="114300" simplePos="0" relativeHeight="251540992" behindDoc="0" locked="0" layoutInCell="1" allowOverlap="1" wp14:anchorId="24957C1C" wp14:editId="398FB235">
                <wp:simplePos x="0" y="0"/>
                <wp:positionH relativeFrom="column">
                  <wp:posOffset>5080</wp:posOffset>
                </wp:positionH>
                <wp:positionV relativeFrom="paragraph">
                  <wp:posOffset>10795</wp:posOffset>
                </wp:positionV>
                <wp:extent cx="5730875" cy="2836545"/>
                <wp:effectExtent l="9525" t="11430" r="3175" b="9525"/>
                <wp:wrapNone/>
                <wp:docPr id="23970" name="Skupina 23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0875" cy="2836545"/>
                          <a:chOff x="1426" y="2917"/>
                          <a:chExt cx="9025" cy="4467"/>
                        </a:xfrm>
                      </wpg:grpSpPr>
                      <wps:wsp>
                        <wps:cNvPr id="23971" name="Text Box 77"/>
                        <wps:cNvSpPr txBox="1">
                          <a:spLocks noChangeArrowheads="1"/>
                        </wps:cNvSpPr>
                        <wps:spPr bwMode="auto">
                          <a:xfrm>
                            <a:off x="8489" y="2917"/>
                            <a:ext cx="1962"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38DA2" w14:textId="77777777" w:rsidR="00511D9B" w:rsidRPr="00ED7611" w:rsidRDefault="00511D9B" w:rsidP="002531BE">
                              <w:pPr>
                                <w:pStyle w:val="A1-text"/>
                                <w:spacing w:after="0" w:line="240" w:lineRule="auto"/>
                                <w:jc w:val="left"/>
                                <w:rPr>
                                  <w:rFonts w:ascii="Calibri" w:hAnsi="Calibri"/>
                                </w:rPr>
                              </w:pPr>
                              <w:bookmarkStart w:id="56" w:name="_Toc431063856"/>
                              <w:r w:rsidRPr="00ED7611">
                                <w:rPr>
                                  <w:rFonts w:ascii="Calibri" w:hAnsi="Calibri"/>
                                </w:rPr>
                                <w:t>Cyklus (fáze) dotačního managementu</w:t>
                              </w:r>
                              <w:bookmarkEnd w:id="56"/>
                            </w:p>
                          </w:txbxContent>
                        </wps:txbx>
                        <wps:bodyPr rot="0" vert="horz" wrap="square" lIns="36000" tIns="46800" rIns="54000" bIns="0" anchor="t" anchorCtr="0" upright="1">
                          <a:noAutofit/>
                        </wps:bodyPr>
                      </wps:wsp>
                      <wps:wsp>
                        <wps:cNvPr id="23978" name="Text Box 78"/>
                        <wps:cNvSpPr txBox="1">
                          <a:spLocks noChangeArrowheads="1"/>
                        </wps:cNvSpPr>
                        <wps:spPr bwMode="auto">
                          <a:xfrm>
                            <a:off x="1426" y="4297"/>
                            <a:ext cx="2550" cy="1427"/>
                          </a:xfrm>
                          <a:prstGeom prst="rect">
                            <a:avLst/>
                          </a:prstGeom>
                          <a:solidFill>
                            <a:srgbClr val="FFFFFF"/>
                          </a:solidFill>
                          <a:ln w="9525">
                            <a:solidFill>
                              <a:srgbClr val="000000"/>
                            </a:solidFill>
                            <a:miter lim="800000"/>
                            <a:headEnd/>
                            <a:tailEnd/>
                          </a:ln>
                        </wps:spPr>
                        <wps:txbx>
                          <w:txbxContent>
                            <w:p w14:paraId="562D401D" w14:textId="77777777" w:rsidR="00511D9B" w:rsidRDefault="00511D9B" w:rsidP="002531BE">
                              <w:pPr>
                                <w:spacing w:line="240" w:lineRule="auto"/>
                                <w:jc w:val="center"/>
                                <w:rPr>
                                  <w:b/>
                                  <w:sz w:val="22"/>
                                  <w:u w:val="single"/>
                                </w:rPr>
                              </w:pPr>
                              <w:r>
                                <w:rPr>
                                  <w:b/>
                                  <w:sz w:val="22"/>
                                  <w:u w:val="single"/>
                                </w:rPr>
                                <w:t xml:space="preserve">4. Vyhodnocení, ukončení, </w:t>
                              </w:r>
                            </w:p>
                            <w:p w14:paraId="21016E08" w14:textId="77777777" w:rsidR="00511D9B" w:rsidRDefault="00511D9B" w:rsidP="002531BE">
                              <w:pPr>
                                <w:spacing w:line="240" w:lineRule="auto"/>
                                <w:jc w:val="center"/>
                                <w:rPr>
                                  <w:b/>
                                  <w:sz w:val="22"/>
                                  <w:u w:val="single"/>
                                </w:rPr>
                              </w:pPr>
                              <w:r>
                                <w:rPr>
                                  <w:b/>
                                  <w:sz w:val="22"/>
                                  <w:u w:val="single"/>
                                </w:rPr>
                                <w:t xml:space="preserve">doúčtování, </w:t>
                              </w:r>
                            </w:p>
                            <w:p w14:paraId="4EE6E60C" w14:textId="77777777" w:rsidR="00511D9B" w:rsidRDefault="00511D9B" w:rsidP="002531BE">
                              <w:pPr>
                                <w:spacing w:line="240" w:lineRule="auto"/>
                                <w:jc w:val="center"/>
                                <w:rPr>
                                  <w:b/>
                                  <w:sz w:val="22"/>
                                  <w:u w:val="single"/>
                                </w:rPr>
                              </w:pPr>
                              <w:r>
                                <w:rPr>
                                  <w:b/>
                                  <w:sz w:val="22"/>
                                  <w:u w:val="single"/>
                                </w:rPr>
                                <w:t>následné kontroly a zajištění udržitelnosti</w:t>
                              </w:r>
                            </w:p>
                            <w:p w14:paraId="0B143C98" w14:textId="77777777" w:rsidR="00511D9B" w:rsidRDefault="00511D9B" w:rsidP="002531BE">
                              <w:pPr>
                                <w:spacing w:line="240" w:lineRule="auto"/>
                                <w:rPr>
                                  <w:sz w:val="22"/>
                                </w:rPr>
                              </w:pPr>
                              <w:r>
                                <w:rPr>
                                  <w:sz w:val="22"/>
                                </w:rPr>
                                <w:t xml:space="preserve"> </w:t>
                              </w:r>
                            </w:p>
                            <w:p w14:paraId="22654BB8" w14:textId="77777777" w:rsidR="00511D9B" w:rsidRDefault="00511D9B" w:rsidP="002531BE">
                              <w:pPr>
                                <w:spacing w:line="240" w:lineRule="auto"/>
                                <w:rPr>
                                  <w:sz w:val="22"/>
                                </w:rPr>
                              </w:pPr>
                            </w:p>
                          </w:txbxContent>
                        </wps:txbx>
                        <wps:bodyPr rot="0" vert="horz" wrap="square" lIns="54000" tIns="36000" rIns="54000" bIns="10800" anchor="t" anchorCtr="0" upright="1">
                          <a:noAutofit/>
                        </wps:bodyPr>
                      </wps:wsp>
                      <wps:wsp>
                        <wps:cNvPr id="23979" name="AutoShape 79"/>
                        <wps:cNvSpPr>
                          <a:spLocks noChangeArrowheads="1"/>
                        </wps:cNvSpPr>
                        <wps:spPr bwMode="auto">
                          <a:xfrm flipH="1">
                            <a:off x="3976" y="4780"/>
                            <a:ext cx="589" cy="514"/>
                          </a:xfrm>
                          <a:prstGeom prst="rightArrow">
                            <a:avLst>
                              <a:gd name="adj1" fmla="val 50000"/>
                              <a:gd name="adj2" fmla="val 286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88" name="Text Box 80"/>
                        <wps:cNvSpPr txBox="1">
                          <a:spLocks noChangeArrowheads="1"/>
                        </wps:cNvSpPr>
                        <wps:spPr bwMode="auto">
                          <a:xfrm>
                            <a:off x="4565" y="2917"/>
                            <a:ext cx="2550" cy="1261"/>
                          </a:xfrm>
                          <a:prstGeom prst="rect">
                            <a:avLst/>
                          </a:prstGeom>
                          <a:solidFill>
                            <a:srgbClr val="FFFFFF"/>
                          </a:solidFill>
                          <a:ln w="9525">
                            <a:solidFill>
                              <a:srgbClr val="000000"/>
                            </a:solidFill>
                            <a:miter lim="800000"/>
                            <a:headEnd/>
                            <a:tailEnd/>
                          </a:ln>
                        </wps:spPr>
                        <wps:txbx>
                          <w:txbxContent>
                            <w:p w14:paraId="31C62F4F" w14:textId="77777777" w:rsidR="00511D9B" w:rsidRDefault="00511D9B" w:rsidP="002531BE">
                              <w:pPr>
                                <w:spacing w:line="240" w:lineRule="auto"/>
                                <w:jc w:val="center"/>
                                <w:rPr>
                                  <w:b/>
                                  <w:sz w:val="22"/>
                                  <w:u w:val="single"/>
                                </w:rPr>
                              </w:pPr>
                              <w:r>
                                <w:rPr>
                                  <w:b/>
                                  <w:sz w:val="22"/>
                                  <w:u w:val="single"/>
                                </w:rPr>
                                <w:t xml:space="preserve">1. Plánování, </w:t>
                              </w:r>
                            </w:p>
                            <w:p w14:paraId="1B11AAAA" w14:textId="77777777" w:rsidR="00511D9B" w:rsidRDefault="00511D9B" w:rsidP="002531BE">
                              <w:pPr>
                                <w:spacing w:line="240" w:lineRule="auto"/>
                                <w:jc w:val="center"/>
                                <w:rPr>
                                  <w:b/>
                                  <w:sz w:val="22"/>
                                  <w:u w:val="single"/>
                                </w:rPr>
                              </w:pPr>
                              <w:r>
                                <w:rPr>
                                  <w:b/>
                                  <w:sz w:val="22"/>
                                  <w:u w:val="single"/>
                                </w:rPr>
                                <w:t xml:space="preserve">zpracování a podání žádosti </w:t>
                              </w:r>
                            </w:p>
                            <w:p w14:paraId="0FCD01BE" w14:textId="77777777" w:rsidR="00511D9B" w:rsidRPr="00901A6E" w:rsidRDefault="00511D9B" w:rsidP="002531BE">
                              <w:pPr>
                                <w:spacing w:line="240" w:lineRule="auto"/>
                                <w:jc w:val="center"/>
                                <w:rPr>
                                  <w:sz w:val="20"/>
                                </w:rPr>
                              </w:pPr>
                              <w:r w:rsidRPr="00901A6E">
                                <w:rPr>
                                  <w:sz w:val="20"/>
                                </w:rPr>
                                <w:t xml:space="preserve">(co, proč, jak, kdy, kde, za co, s kým provádět) </w:t>
                              </w:r>
                            </w:p>
                            <w:p w14:paraId="46C8A286" w14:textId="77777777" w:rsidR="00511D9B" w:rsidRDefault="00511D9B" w:rsidP="002531BE">
                              <w:pPr>
                                <w:spacing w:line="240" w:lineRule="auto"/>
                                <w:jc w:val="center"/>
                                <w:rPr>
                                  <w:sz w:val="22"/>
                                </w:rPr>
                              </w:pPr>
                            </w:p>
                          </w:txbxContent>
                        </wps:txbx>
                        <wps:bodyPr rot="0" vert="horz" wrap="square" lIns="54000" tIns="10800" rIns="54000" bIns="10800" anchor="t" anchorCtr="0" upright="1">
                          <a:noAutofit/>
                        </wps:bodyPr>
                      </wps:wsp>
                      <wps:wsp>
                        <wps:cNvPr id="23989" name="Text Box 81"/>
                        <wps:cNvSpPr txBox="1">
                          <a:spLocks noChangeArrowheads="1"/>
                        </wps:cNvSpPr>
                        <wps:spPr bwMode="auto">
                          <a:xfrm>
                            <a:off x="4565" y="5990"/>
                            <a:ext cx="2747" cy="1394"/>
                          </a:xfrm>
                          <a:prstGeom prst="rect">
                            <a:avLst/>
                          </a:prstGeom>
                          <a:solidFill>
                            <a:srgbClr val="FFFFFF"/>
                          </a:solidFill>
                          <a:ln w="9525">
                            <a:solidFill>
                              <a:srgbClr val="000000"/>
                            </a:solidFill>
                            <a:miter lim="800000"/>
                            <a:headEnd/>
                            <a:tailEnd/>
                          </a:ln>
                        </wps:spPr>
                        <wps:txbx>
                          <w:txbxContent>
                            <w:p w14:paraId="6D2A29DA" w14:textId="77777777" w:rsidR="00511D9B" w:rsidRDefault="00511D9B" w:rsidP="002531BE">
                              <w:pPr>
                                <w:spacing w:line="240" w:lineRule="auto"/>
                                <w:jc w:val="center"/>
                                <w:rPr>
                                  <w:b/>
                                  <w:sz w:val="22"/>
                                  <w:u w:val="single"/>
                                </w:rPr>
                              </w:pPr>
                              <w:r>
                                <w:rPr>
                                  <w:b/>
                                  <w:sz w:val="22"/>
                                  <w:u w:val="single"/>
                                </w:rPr>
                                <w:t xml:space="preserve">3. Realizace: řízení a kontrola projektu </w:t>
                              </w:r>
                            </w:p>
                            <w:p w14:paraId="05948ED4" w14:textId="725380C7" w:rsidR="00511D9B" w:rsidRPr="00836AB9" w:rsidRDefault="00511D9B" w:rsidP="002531BE">
                              <w:pPr>
                                <w:spacing w:line="240" w:lineRule="auto"/>
                                <w:jc w:val="center"/>
                                <w:rPr>
                                  <w:sz w:val="18"/>
                                </w:rPr>
                              </w:pPr>
                              <w:r w:rsidRPr="00836AB9">
                                <w:rPr>
                                  <w:sz w:val="18"/>
                                </w:rPr>
                                <w:t xml:space="preserve">(„trojimperativ“ projektu: splnit cíle – indikátory, dodržet harmonogram a </w:t>
                              </w:r>
                              <w:r>
                                <w:rPr>
                                  <w:sz w:val="18"/>
                                </w:rPr>
                                <w:t>rozpočet; vše dle pravidel poskytovatele dotace)</w:t>
                              </w:r>
                            </w:p>
                            <w:p w14:paraId="2F380D98" w14:textId="77777777" w:rsidR="00511D9B" w:rsidRDefault="00511D9B" w:rsidP="002531BE">
                              <w:pPr>
                                <w:spacing w:line="240" w:lineRule="auto"/>
                                <w:jc w:val="center"/>
                                <w:rPr>
                                  <w:sz w:val="22"/>
                                </w:rPr>
                              </w:pPr>
                            </w:p>
                          </w:txbxContent>
                        </wps:txbx>
                        <wps:bodyPr rot="0" vert="horz" wrap="square" lIns="54000" tIns="10800" rIns="54000" bIns="10800" anchor="t" anchorCtr="0" upright="1">
                          <a:noAutofit/>
                        </wps:bodyPr>
                      </wps:wsp>
                      <wps:wsp>
                        <wps:cNvPr id="23990" name="Text Box 82"/>
                        <wps:cNvSpPr txBox="1">
                          <a:spLocks noChangeArrowheads="1"/>
                        </wps:cNvSpPr>
                        <wps:spPr bwMode="auto">
                          <a:xfrm>
                            <a:off x="7851" y="4329"/>
                            <a:ext cx="2590" cy="1360"/>
                          </a:xfrm>
                          <a:prstGeom prst="rect">
                            <a:avLst/>
                          </a:prstGeom>
                          <a:solidFill>
                            <a:srgbClr val="FFFFFF"/>
                          </a:solidFill>
                          <a:ln w="9525">
                            <a:solidFill>
                              <a:srgbClr val="000000"/>
                            </a:solidFill>
                            <a:miter lim="800000"/>
                            <a:headEnd/>
                            <a:tailEnd/>
                          </a:ln>
                        </wps:spPr>
                        <wps:txbx>
                          <w:txbxContent>
                            <w:p w14:paraId="663FFD1D" w14:textId="77777777" w:rsidR="00511D9B" w:rsidRDefault="00511D9B" w:rsidP="002531BE">
                              <w:pPr>
                                <w:spacing w:line="240" w:lineRule="auto"/>
                                <w:jc w:val="center"/>
                                <w:rPr>
                                  <w:b/>
                                  <w:sz w:val="22"/>
                                  <w:u w:val="single"/>
                                </w:rPr>
                              </w:pPr>
                              <w:r>
                                <w:rPr>
                                  <w:b/>
                                  <w:sz w:val="22"/>
                                  <w:u w:val="single"/>
                                </w:rPr>
                                <w:t xml:space="preserve">2. Čekání </w:t>
                              </w:r>
                            </w:p>
                            <w:p w14:paraId="3FDE31A1" w14:textId="4F8B8916" w:rsidR="00511D9B" w:rsidRDefault="00511D9B" w:rsidP="002531BE">
                              <w:pPr>
                                <w:spacing w:line="240" w:lineRule="auto"/>
                                <w:jc w:val="center"/>
                                <w:rPr>
                                  <w:sz w:val="22"/>
                                </w:rPr>
                              </w:pPr>
                              <w:r>
                                <w:rPr>
                                  <w:b/>
                                  <w:sz w:val="22"/>
                                  <w:u w:val="single"/>
                                </w:rPr>
                                <w:t xml:space="preserve">na rozhodnutí </w:t>
                              </w:r>
                              <w:r>
                                <w:rPr>
                                  <w:sz w:val="22"/>
                                </w:rPr>
                                <w:t xml:space="preserve">(schválení/neschválení/ odmítnutí/úprava podmínek) </w:t>
                              </w:r>
                            </w:p>
                            <w:p w14:paraId="4A22BD23" w14:textId="77777777" w:rsidR="00511D9B" w:rsidRDefault="00511D9B" w:rsidP="002531BE">
                              <w:pPr>
                                <w:spacing w:line="240" w:lineRule="auto"/>
                                <w:jc w:val="center"/>
                                <w:rPr>
                                  <w:sz w:val="22"/>
                                </w:rPr>
                              </w:pPr>
                            </w:p>
                          </w:txbxContent>
                        </wps:txbx>
                        <wps:bodyPr rot="0" vert="horz" wrap="square" lIns="54000" tIns="45720" rIns="54000" bIns="10800" anchor="t" anchorCtr="0" upright="1">
                          <a:noAutofit/>
                        </wps:bodyPr>
                      </wps:wsp>
                      <wps:wsp>
                        <wps:cNvPr id="23992" name="Text Box 83"/>
                        <wps:cNvSpPr txBox="1">
                          <a:spLocks noChangeArrowheads="1"/>
                        </wps:cNvSpPr>
                        <wps:spPr bwMode="auto">
                          <a:xfrm>
                            <a:off x="4563" y="4554"/>
                            <a:ext cx="2670" cy="1034"/>
                          </a:xfrm>
                          <a:prstGeom prst="rect">
                            <a:avLst/>
                          </a:prstGeom>
                          <a:solidFill>
                            <a:srgbClr val="FFFFFF"/>
                          </a:solidFill>
                          <a:ln w="19050">
                            <a:solidFill>
                              <a:srgbClr val="000000"/>
                            </a:solidFill>
                            <a:miter lim="800000"/>
                            <a:headEnd/>
                            <a:tailEnd/>
                          </a:ln>
                        </wps:spPr>
                        <wps:txbx>
                          <w:txbxContent>
                            <w:p w14:paraId="7E8FD0B1" w14:textId="241E87F0" w:rsidR="00511D9B" w:rsidRPr="0042116D" w:rsidRDefault="00511D9B" w:rsidP="002531BE">
                              <w:pPr>
                                <w:spacing w:line="240" w:lineRule="auto"/>
                                <w:jc w:val="center"/>
                                <w:rPr>
                                  <w:sz w:val="21"/>
                                  <w:szCs w:val="21"/>
                                </w:rPr>
                              </w:pPr>
                              <w:r>
                                <w:rPr>
                                  <w:b/>
                                  <w:sz w:val="22"/>
                                  <w:u w:val="single"/>
                                </w:rPr>
                                <w:t>management projektu</w:t>
                              </w:r>
                              <w:r>
                                <w:rPr>
                                  <w:b/>
                                  <w:sz w:val="22"/>
                                </w:rPr>
                                <w:t xml:space="preserve">: </w:t>
                              </w:r>
                              <w:r w:rsidRPr="0042116D">
                                <w:rPr>
                                  <w:sz w:val="21"/>
                                  <w:szCs w:val="21"/>
                                </w:rPr>
                                <w:t xml:space="preserve">plánování, organizování, </w:t>
                              </w:r>
                              <w:r>
                                <w:rPr>
                                  <w:sz w:val="21"/>
                                  <w:szCs w:val="21"/>
                                </w:rPr>
                                <w:t>vedení</w:t>
                              </w:r>
                              <w:r w:rsidRPr="0042116D">
                                <w:rPr>
                                  <w:sz w:val="21"/>
                                  <w:szCs w:val="21"/>
                                </w:rPr>
                                <w:t xml:space="preserve"> a kontrola dotačního projektu </w:t>
                              </w:r>
                            </w:p>
                            <w:p w14:paraId="6E4624A9" w14:textId="77777777" w:rsidR="00511D9B" w:rsidRDefault="00511D9B" w:rsidP="002531BE">
                              <w:pPr>
                                <w:spacing w:line="240" w:lineRule="auto"/>
                                <w:jc w:val="center"/>
                                <w:rPr>
                                  <w:sz w:val="22"/>
                                </w:rPr>
                              </w:pPr>
                            </w:p>
                          </w:txbxContent>
                        </wps:txbx>
                        <wps:bodyPr rot="0" vert="horz" wrap="square" lIns="18000" tIns="10800" rIns="18000" bIns="10800" anchor="t" anchorCtr="0" upright="1">
                          <a:noAutofit/>
                        </wps:bodyPr>
                      </wps:wsp>
                      <wps:wsp>
                        <wps:cNvPr id="23993" name="AutoShape 84"/>
                        <wps:cNvSpPr>
                          <a:spLocks noChangeArrowheads="1"/>
                        </wps:cNvSpPr>
                        <wps:spPr bwMode="auto">
                          <a:xfrm>
                            <a:off x="7270" y="4780"/>
                            <a:ext cx="584" cy="514"/>
                          </a:xfrm>
                          <a:prstGeom prst="rightArrow">
                            <a:avLst>
                              <a:gd name="adj1" fmla="val 50000"/>
                              <a:gd name="adj2" fmla="val 2840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94" name="AutoShape 85"/>
                        <wps:cNvSpPr>
                          <a:spLocks noChangeArrowheads="1"/>
                        </wps:cNvSpPr>
                        <wps:spPr bwMode="auto">
                          <a:xfrm rot="10800000">
                            <a:off x="7312" y="5855"/>
                            <a:ext cx="909" cy="874"/>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995" name="AutoShape 86"/>
                        <wps:cNvSpPr>
                          <a:spLocks noChangeArrowheads="1"/>
                        </wps:cNvSpPr>
                        <wps:spPr bwMode="auto">
                          <a:xfrm rot="5400000">
                            <a:off x="7313" y="3407"/>
                            <a:ext cx="874" cy="906"/>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996" name="AutoShape 87"/>
                        <wps:cNvSpPr>
                          <a:spLocks noChangeArrowheads="1"/>
                        </wps:cNvSpPr>
                        <wps:spPr bwMode="auto">
                          <a:xfrm rot="-5400000">
                            <a:off x="5727" y="4112"/>
                            <a:ext cx="374" cy="53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97" name="AutoShape 88"/>
                        <wps:cNvSpPr>
                          <a:spLocks noChangeArrowheads="1"/>
                        </wps:cNvSpPr>
                        <wps:spPr bwMode="auto">
                          <a:xfrm rot="5400000">
                            <a:off x="5721" y="5529"/>
                            <a:ext cx="386" cy="53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98" name="AutoShape 89"/>
                        <wps:cNvSpPr>
                          <a:spLocks noChangeArrowheads="1"/>
                        </wps:cNvSpPr>
                        <wps:spPr bwMode="auto">
                          <a:xfrm rot="27000000" flipH="1" flipV="1">
                            <a:off x="3660" y="5733"/>
                            <a:ext cx="874" cy="90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999" name="Line 90"/>
                        <wps:cNvCnPr>
                          <a:cxnSpLocks noChangeShapeType="1"/>
                        </wps:cNvCnPr>
                        <wps:spPr bwMode="auto">
                          <a:xfrm flipV="1">
                            <a:off x="7900" y="3271"/>
                            <a:ext cx="631"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79" name="AutoShape 91"/>
                        <wps:cNvSpPr>
                          <a:spLocks noChangeArrowheads="1"/>
                        </wps:cNvSpPr>
                        <wps:spPr bwMode="auto">
                          <a:xfrm rot="27000000" flipH="1" flipV="1">
                            <a:off x="6789" y="3997"/>
                            <a:ext cx="874" cy="90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noFill/>
                          <a:ln w="9525">
                            <a:solidFill>
                              <a:srgbClr val="000000"/>
                            </a:solidFill>
                            <a:prstDash val="dash"/>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wps:wsp>
                        <wps:cNvPr id="23581" name="Text Box 92"/>
                        <wps:cNvSpPr txBox="1">
                          <a:spLocks noChangeArrowheads="1"/>
                        </wps:cNvSpPr>
                        <wps:spPr bwMode="auto">
                          <a:xfrm>
                            <a:off x="8396" y="6064"/>
                            <a:ext cx="2029" cy="874"/>
                          </a:xfrm>
                          <a:prstGeom prst="rect">
                            <a:avLst/>
                          </a:prstGeom>
                          <a:solidFill>
                            <a:srgbClr val="FFFFFF"/>
                          </a:solidFill>
                          <a:ln w="9525">
                            <a:solidFill>
                              <a:srgbClr val="000000"/>
                            </a:solidFill>
                            <a:prstDash val="dash"/>
                            <a:miter lim="800000"/>
                            <a:headEnd/>
                            <a:tailEnd/>
                          </a:ln>
                        </wps:spPr>
                        <wps:txbx>
                          <w:txbxContent>
                            <w:p w14:paraId="62B4A291" w14:textId="77777777" w:rsidR="00511D9B" w:rsidRPr="00D864CE" w:rsidRDefault="00511D9B" w:rsidP="002531BE">
                              <w:pPr>
                                <w:spacing w:line="240" w:lineRule="auto"/>
                                <w:jc w:val="center"/>
                                <w:rPr>
                                  <w:sz w:val="20"/>
                                </w:rPr>
                              </w:pPr>
                              <w:r>
                                <w:rPr>
                                  <w:sz w:val="20"/>
                                </w:rPr>
                                <w:t xml:space="preserve">- </w:t>
                              </w:r>
                              <w:r w:rsidRPr="00D864CE">
                                <w:rPr>
                                  <w:sz w:val="20"/>
                                </w:rPr>
                                <w:t>Neschválení projektu</w:t>
                              </w:r>
                            </w:p>
                            <w:p w14:paraId="46CD8A50" w14:textId="77777777" w:rsidR="00511D9B" w:rsidRPr="00D864CE" w:rsidRDefault="00511D9B" w:rsidP="002531BE">
                              <w:pPr>
                                <w:spacing w:line="240" w:lineRule="auto"/>
                                <w:jc w:val="center"/>
                                <w:rPr>
                                  <w:sz w:val="20"/>
                                </w:rPr>
                              </w:pPr>
                              <w:r>
                                <w:rPr>
                                  <w:sz w:val="20"/>
                                </w:rPr>
                                <w:t xml:space="preserve">- </w:t>
                              </w:r>
                              <w:r w:rsidRPr="00D864CE">
                                <w:rPr>
                                  <w:sz w:val="20"/>
                                </w:rPr>
                                <w:t>Odmítnutí schváleného projektu</w:t>
                              </w:r>
                            </w:p>
                            <w:p w14:paraId="563FFFA5" w14:textId="77777777" w:rsidR="00511D9B" w:rsidRDefault="00511D9B" w:rsidP="002531BE">
                              <w:pPr>
                                <w:spacing w:line="240" w:lineRule="auto"/>
                                <w:jc w:val="center"/>
                                <w:rPr>
                                  <w:sz w:val="22"/>
                                </w:rPr>
                              </w:pPr>
                            </w:p>
                          </w:txbxContent>
                        </wps:txbx>
                        <wps:bodyPr rot="0" vert="horz" wrap="square" lIns="54000" tIns="45720" rIns="54000" bIns="10800" anchor="t" anchorCtr="0" upright="1">
                          <a:noAutofit/>
                        </wps:bodyPr>
                      </wps:wsp>
                      <wps:wsp>
                        <wps:cNvPr id="32" name="AutoShape 93"/>
                        <wps:cNvSpPr>
                          <a:spLocks noChangeArrowheads="1"/>
                        </wps:cNvSpPr>
                        <wps:spPr bwMode="auto">
                          <a:xfrm rot="5400000">
                            <a:off x="9105" y="5614"/>
                            <a:ext cx="460" cy="535"/>
                          </a:xfrm>
                          <a:prstGeom prst="rightArrow">
                            <a:avLst>
                              <a:gd name="adj1" fmla="val 51407"/>
                              <a:gd name="adj2" fmla="val 57037"/>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33" name="Text Box 94"/>
                        <wps:cNvSpPr txBox="1">
                          <a:spLocks noChangeArrowheads="1"/>
                        </wps:cNvSpPr>
                        <wps:spPr bwMode="auto">
                          <a:xfrm>
                            <a:off x="1426" y="6050"/>
                            <a:ext cx="2202" cy="1188"/>
                          </a:xfrm>
                          <a:prstGeom prst="rect">
                            <a:avLst/>
                          </a:prstGeom>
                          <a:solidFill>
                            <a:srgbClr val="FFFFFF"/>
                          </a:solidFill>
                          <a:ln w="9525">
                            <a:solidFill>
                              <a:srgbClr val="000000"/>
                            </a:solidFill>
                            <a:prstDash val="dash"/>
                            <a:miter lim="800000"/>
                            <a:headEnd/>
                            <a:tailEnd/>
                          </a:ln>
                        </wps:spPr>
                        <wps:txbx>
                          <w:txbxContent>
                            <w:p w14:paraId="44EBBF68" w14:textId="77777777" w:rsidR="00511D9B" w:rsidRDefault="00511D9B" w:rsidP="002531BE">
                              <w:pPr>
                                <w:spacing w:line="240" w:lineRule="auto"/>
                                <w:ind w:left="-57" w:right="-57"/>
                                <w:jc w:val="center"/>
                                <w:rPr>
                                  <w:sz w:val="18"/>
                                </w:rPr>
                              </w:pPr>
                              <w:r w:rsidRPr="007716FE">
                                <w:rPr>
                                  <w:b/>
                                  <w:sz w:val="18"/>
                                </w:rPr>
                                <w:t>Chyby v projektu</w:t>
                              </w:r>
                              <w:r w:rsidRPr="0042116D">
                                <w:rPr>
                                  <w:sz w:val="18"/>
                                </w:rPr>
                                <w:t xml:space="preserve"> (např. </w:t>
                              </w:r>
                              <w:r>
                                <w:rPr>
                                  <w:sz w:val="18"/>
                                </w:rPr>
                                <w:t xml:space="preserve">    </w:t>
                              </w:r>
                              <w:r w:rsidRPr="0042116D">
                                <w:rPr>
                                  <w:sz w:val="18"/>
                                </w:rPr>
                                <w:t xml:space="preserve">u veřejné zakázky): </w:t>
                              </w:r>
                            </w:p>
                            <w:p w14:paraId="231AC270" w14:textId="77777777" w:rsidR="00511D9B" w:rsidRDefault="00511D9B" w:rsidP="002531BE">
                              <w:pPr>
                                <w:spacing w:line="240" w:lineRule="auto"/>
                                <w:ind w:left="-57" w:right="-57"/>
                                <w:jc w:val="center"/>
                                <w:rPr>
                                  <w:sz w:val="18"/>
                                </w:rPr>
                              </w:pPr>
                              <w:r>
                                <w:rPr>
                                  <w:sz w:val="18"/>
                                </w:rPr>
                                <w:t>- Neuznání části výdajů</w:t>
                              </w:r>
                            </w:p>
                            <w:p w14:paraId="54A20B5E" w14:textId="77777777" w:rsidR="00511D9B" w:rsidRPr="0042116D" w:rsidRDefault="00511D9B" w:rsidP="002531BE">
                              <w:pPr>
                                <w:spacing w:line="240" w:lineRule="auto"/>
                                <w:ind w:left="-57" w:right="-57"/>
                                <w:jc w:val="center"/>
                                <w:rPr>
                                  <w:sz w:val="18"/>
                                </w:rPr>
                              </w:pPr>
                              <w:r>
                                <w:rPr>
                                  <w:sz w:val="18"/>
                                </w:rPr>
                                <w:t>- V</w:t>
                              </w:r>
                              <w:r w:rsidRPr="0042116D">
                                <w:rPr>
                                  <w:sz w:val="18"/>
                                </w:rPr>
                                <w:t xml:space="preserve">rácení části nebo všech </w:t>
                              </w:r>
                              <w:r>
                                <w:rPr>
                                  <w:sz w:val="18"/>
                                </w:rPr>
                                <w:t>prostředků</w:t>
                              </w:r>
                            </w:p>
                            <w:p w14:paraId="679AF654" w14:textId="77777777" w:rsidR="00511D9B" w:rsidRPr="0042116D" w:rsidRDefault="00511D9B" w:rsidP="002531BE">
                              <w:pPr>
                                <w:spacing w:line="240" w:lineRule="auto"/>
                                <w:jc w:val="center"/>
                                <w:rPr>
                                  <w:sz w:val="20"/>
                                </w:rPr>
                              </w:pPr>
                            </w:p>
                          </w:txbxContent>
                        </wps:txbx>
                        <wps:bodyPr rot="0" vert="horz" wrap="square" lIns="54000" tIns="45720" rIns="54000" bIns="10800" anchor="t" anchorCtr="0" upright="1">
                          <a:noAutofit/>
                        </wps:bodyPr>
                      </wps:wsp>
                      <wps:wsp>
                        <wps:cNvPr id="34" name="AutoShape 95"/>
                        <wps:cNvSpPr>
                          <a:spLocks noChangeArrowheads="1"/>
                        </wps:cNvSpPr>
                        <wps:spPr bwMode="auto">
                          <a:xfrm rot="5400000">
                            <a:off x="2380" y="5684"/>
                            <a:ext cx="508" cy="347"/>
                          </a:xfrm>
                          <a:prstGeom prst="rightArrow">
                            <a:avLst>
                              <a:gd name="adj1" fmla="val 50000"/>
                              <a:gd name="adj2" fmla="val 36599"/>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wps:wsp>
                        <wps:cNvPr id="35" name="AutoShape 96"/>
                        <wps:cNvSpPr>
                          <a:spLocks noChangeArrowheads="1"/>
                        </wps:cNvSpPr>
                        <wps:spPr bwMode="auto">
                          <a:xfrm rot="10800000">
                            <a:off x="3695" y="6667"/>
                            <a:ext cx="850" cy="340"/>
                          </a:xfrm>
                          <a:prstGeom prst="rightArrow">
                            <a:avLst>
                              <a:gd name="adj1" fmla="val 50000"/>
                              <a:gd name="adj2" fmla="val 62500"/>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57C1C" id="Skupina 23970" o:spid="_x0000_s1286" style="position:absolute;left:0;text-align:left;margin-left:.4pt;margin-top:.85pt;width:451.25pt;height:223.35pt;z-index:251540992;mso-position-horizontal-relative:text;mso-position-vertical-relative:text" coordorigin="1426,2917" coordsize="9025,4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wdIwsAAGVdAAAOAAAAZHJzL2Uyb0RvYy54bWzsXFmP28gRfg+Q/0DwMYEs3odgeWHPWNoA&#10;3s0CVvLOkagjK5EKybHGG+S/56tqdvOSPJbt0dgKZwCJIot9VFdV19kvf3rYbbUPcZZv0mSsmy8M&#10;XYuTebrYJKux/o/ZZBDoWl5EySLapkk81j/Guf7Tqz//6eVhP4qtdJ1uF3GmoZEkHx32Y31dFPvR&#10;cJjP1/Euyl+k+zjBw2Wa7aICP7PVcJFFB7S+2w4tw/CGhzRb7LN0Huc57t6Kh/orbn+5jOfF35fL&#10;PC607VjH2Ar+zPjzjj6Hr15Go1UW7debeTmM6AtGsYs2CTpVTd1GRaTdZ5tOU7vNPEvzdFm8mKe7&#10;YbpcbuYxzwGzMY3WbKZZer/nuaxGh9VeoQmobeHpi5ud//rht0zbLMa6ZYc+MJREOyzT+9/v95sk&#10;0sRNIOmwX40AO8327/e/ZWKmuHyXzn/P8XjYfk6/VwJYuzv8ki7QaHRfpIykh2W2oyYwfe2B1+Kj&#10;Wov4odDmuOn6thH4rq7N8cwKbM91XLFa8zWWlN4zHcvTNXocmr589rZ8PzSs8mXH8fjpMBqJjnmw&#10;5eBoZqC8vEJu/nXIfb+O9jGvWU4IqyHXlMid0RzfpA+az+OiAQCS8KoVD7iPmTGacoFeLUlv1lGy&#10;il9nWXpYx9ECQzRpvpiIelVMJKdGHsN34ARhC28S62boWQLlodFEWjTaZ3kxjdOdRhdjPQNv8TCj&#10;D+/ygkZTgdDiJulks93ifjTaJo0bABR30CtepWfUP7PLf0IjfBu8DZwBFvftwDFubwevJzfOwJuY&#10;vntr397c3Jr/pX5NZ7TeLBZxQt1I1jWdz1u9UogIplPMm6fbzYKaoyHl2eruZptpHyKIjgn/Mc7x&#10;pAIbNofBSMBcWlMyLcd4Y4WDiRf4A2fiuAOwWjAwzPBN6BlO6NxOmlN6t0nir5+SdhjroQs24OlU&#10;g27NzeC/7tyi0W5TQDhvN7uxHiigaEQk+DZZ8NIW0WYrrmuooOFXqMByy4VmgiUaFdRaPNw9sOwx&#10;Bf8SOd+li4+g4SwFiUEcYWvBxTrN/tC1A8T0WM//fR9lsa5t/5aAD2wPA4Nc5x+Oh2HqWsY/XIef&#10;3PEP3I2SOZoZ64W8vCnEPnC/zzarNXoRXJekryGnlhsm6WpEJbdBUlxQZGDzFPK4EhkBLVSN7y8j&#10;MpSodaywFLXEsiSoLdcFdklKA+grZUaNs1pEeooBSZRcms5Zep0mZbVCZ5JySbCClEu6PkLKpsFE&#10;/iOSM3YdQc7EYbxRan7YomeWVd9y49OW283+Z8ndpcoBXUeoDo4flEqgpGeXNkciZ9d0SqEo9ZX2&#10;Dkhigzflah+k4a8W5TSjxb+w6S93W6iU2EY0l4QotdmEwY5bwViB5zAFQWzyztrZWH9cJjmTIULT&#10;cSrZ7vqWku3lEyHbHfHkB2SIoCvfBTVeXL47rgdtuaFKS36oyXfLE2qnVKQrhe8zdcIfl3RrqoqS&#10;WGeSc0O+l1L8quQ7Cc6WuhIwwTwfObth2BLvlu/4pbpih48J+EdMnGsgZwjVUqHsyblpsINyOuRs&#10;SWRd1GD3Axd6BKSzY1ssfYTBLLRvGiZr31AZH9FX/h/IWQmcryHnUqW4KukcQs1sS2f7WcgZyoYt&#10;yNl1WQLXyNkjHySTs2E/m3Q2QwM27YW8Jp+2Ji0lcc6kZ5M8NtIx0tA2yidCef5xrckQNNS2JgMm&#10;mZq68c2tSWqwtCF9i2iVpPIRG9J5XhvSMdhZ3tuQV29DQoftsgEv/lOygfDPsvAgMVPnCtvERkPu&#10;k8AtAzbSkoRrX3BF4LdF+/xexBaoIRlPICdJGR5QHpUpOE74Sv460EzXtDzN0NoulalyugAIsSHr&#10;GIxyulBDlukGACJY2hFr7pkppIzqcEotHQPCGgigvwy1qa3Zlu8F+DTcUlurxg8ru4J0NFPrdAi/&#10;lOrQMuHeRp880/bIYMZUTXliop4hHGr1GcDJoBqc+hJrrdZmCrGYgkDsQePu24AKuQA0tPVxIIXd&#10;x1pT6CVAXoYTLdZRbFu2r50YXh3BAn0nGlR4Rs8C8ESLdTwTfk/NWeGZpuJ7oQOHlUbhCXy6ru21&#10;EQlmUOsHp2OAINGnwM36Cn0OfHOhPjEQYlg1EsSqrJPINevLNTVPYQKO06rBaXBqqcz6WoG3aguF&#10;jUsxf7QW8cVoNH9ISoGAKwR0EAefBSx89mlOEWGiYoiemXRTAYy4uYIOG9BCUM1YC0aPHWignF6X&#10;jWNW1LjcWbvgIoAkwYWDeSZDIgwueiknQRFUykuY0QIg/jQj9CImNSP8ITthBgSxNNpHBeGAx4JL&#10;incI1tTW8oqe7dIP8SxlqIKwUcJgzFIsoPsKaJvUgYWIoQlKK1I+l997brSCk4IQjUoQ+V2CEikx&#10;zo6Azu/vNvM38R/1MbiuJ3As4YF77lQsq2+4pbSs32WpQXgi3DYabY5GtCFwIqDlc/ktWvUc7E6E&#10;hzNA62OQrTXH0mrbNChqJhaXZxiaNuQBeg0tp5QU4hXmx8aTR+ZZLZBs6vQC0QbKbR+dwDbNY4Ep&#10;IkARh5CUyIOo9uzTnrAbg/7L9WmAfR+BuzPNquvXJyGUO2YVU+TT65PsIe+okxCK4AvbEQkpla+A&#10;tEh2FYQGjw8kKQN1vTopQ5BTpeaQLtyrk9IFBtJRKk+vTvbqZK9OkrewVyf1uibUVOGkYldXPs/Q&#10;Ec8ArY9B9tocS69Okrrfq5PffQpjCP2jo06ySfz06uTgiD6JXCFhkjqm9PVJ96Qt9UnXlia+1Ccv&#10;kvhF2WGlndQnfl134hdyaLtcofJGy9wCcuR80xIA4bQ/zhQiv8B12/kFdgAG5mzIninqGfRnpsYf&#10;C/L2nodWvo3KhqzSg5FSBg/U028VCOXyH6xCmS3MV/9s5w17SLIhdwTKk9htfNQdIV2+cvvo3RG9&#10;O6KPbvXRLXK/lRpeH93qo1t9dAveFhkirAWrmq4O6QApw2EqZFV7QYLI7zboUX9KH93qVlNef3RL&#10;lShwia0oDijVy5tEFLYjUF8WtqvKa65Vm33co4hdpBY0XqEfpwuvj+qRfkjuVgprWT63WOmRng1b&#10;jCwupxPWarkhtiiz5QQFmTEFl5gEIeOxUYH91UWSOIugrPk9Vf/LRg5PpExWIM/K81d1KzTUKpRF&#10;kTfwhSFyYBvfPOhWWaew0SgITot8yeJfF4lcHR9BqLLbn9ZH8LnmkOeXJwnYYbssuBad7c0hZIRN&#10;+2Q/JFpVQVfek+spX7WUxVkfncXuoOLTfXS2j8720dlOntqnzAShXJ0Rcj0D9Kg10Ug8vPLorFKo&#10;vsnhG6Sx3kb5Why0s8AVuUjOPnzmO1U+GyHqxpFCpxIjv1hL/ewzc67dynNRdS7zvMgEoaO2UP3Y&#10;DCRc5tycwKYAOIw5z0BqM9M1jYgrdw3E2tjQ65bDSCvu+z5W4Vtybsvuqo5bsFSN6pnxssZxC1dX&#10;0GujZKCdV4GKyCaNXy6CHCKhXcTFPHFqTuXPcChi9kQRZFMlBasKK5y5o8pZ+Mwd37ClAXpuWsWb&#10;Cf0TUvtkozT7zs9LQzy2I/Tb5cCXEfrqsDSPysibQt8yQJ1c327i9B9BWTJM3Et9dR6gpVaul/q1&#10;LAkcidCV+pysVjqk6RDRy0l9y8ZxVZwN4YnK+0rquwayOYjObRy382kyf4pT1HBcbMipIxDc50r9&#10;yYRSQU5L/Wc/HeJMlrhudR9paV2WuFC90rH6d9sLhSbkeeLY4YonAnlQJmqZnoEnPAsZpmW/PU88&#10;09GCsHP4LG9WKctzx+mw8PpvjjZVp6O/+h8AAAD//wMAUEsDBBQABgAIAAAAIQClU7Qf3gAAAAYB&#10;AAAPAAAAZHJzL2Rvd25yZXYueG1sTM7BTsMwDAbgOxLvEBmJG0tLC4zSdJom4DRNYkOadvMar63W&#10;OFWTtd3bE05wtH/r95cvJtOKgXrXWFYQzyIQxKXVDVcKvncfD3MQziNrbC2Tgis5WBS3Nzlm2o78&#10;RcPWVyKUsMtQQe19l0npypoMupntiEN2sr1BH8a+krrHMZSbVj5G0bM02HD4UGNHq5rK8/ZiFHyO&#10;OC6T+H1Yn0+r62H3tNmvY1Lq/m5avoHwNPm/Y/jlBzoUwXS0F9ZOtAqC24ftC4gQvkZJAuKoIE3n&#10;Kcgil//5xQ8AAAD//wMAUEsBAi0AFAAGAAgAAAAhALaDOJL+AAAA4QEAABMAAAAAAAAAAAAAAAAA&#10;AAAAAFtDb250ZW50X1R5cGVzXS54bWxQSwECLQAUAAYACAAAACEAOP0h/9YAAACUAQAACwAAAAAA&#10;AAAAAAAAAAAvAQAAX3JlbHMvLnJlbHNQSwECLQAUAAYACAAAACEAYylcHSMLAABlXQAADgAAAAAA&#10;AAAAAAAAAAAuAgAAZHJzL2Uyb0RvYy54bWxQSwECLQAUAAYACAAAACEApVO0H94AAAAGAQAADwAA&#10;AAAAAAAAAAAAAAB9DQAAZHJzL2Rvd25yZXYueG1sUEsFBgAAAAAEAAQA8wAAAIgOAAAAAA==&#10;">
                <v:shape id="Text Box 77" o:spid="_x0000_s1287" type="#_x0000_t202" style="position:absolute;left:8489;top:2917;width:1962;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gnxQAAAN4AAAAPAAAAZHJzL2Rvd25yZXYueG1sRI/dagIx&#10;FITvC32HcAre1awrVN0aRRTRi1Lw5wEOm7M/NDlZk6jr25tCoZfDzHzDzJe9NeJGPrSOFYyGGQji&#10;0umWawXn0/Z9CiJEZI3GMSl4UIDl4vVljoV2dz7Q7RhrkSAcClTQxNgVUoayIYth6Dri5FXOW4xJ&#10;+lpqj/cEt0bmWfYhLbacFhrsaN1Q+XO8WgVrL+Nk4/LVo/w2l69qtjMV7pQavPWrTxCR+vgf/mvv&#10;tYJ8PJuM4PdOugJy8QQAAP//AwBQSwECLQAUAAYACAAAACEA2+H2y+4AAACFAQAAEwAAAAAAAAAA&#10;AAAAAAAAAAAAW0NvbnRlbnRfVHlwZXNdLnhtbFBLAQItABQABgAIAAAAIQBa9CxbvwAAABUBAAAL&#10;AAAAAAAAAAAAAAAAAB8BAABfcmVscy8ucmVsc1BLAQItABQABgAIAAAAIQDJrygnxQAAAN4AAAAP&#10;AAAAAAAAAAAAAAAAAAcCAABkcnMvZG93bnJldi54bWxQSwUGAAAAAAMAAwC3AAAA+QIAAAAA&#10;" filled="f" stroked="f">
                  <v:textbox inset="1mm,1.3mm,1.5mm,0">
                    <w:txbxContent>
                      <w:p w14:paraId="4C138DA2" w14:textId="77777777" w:rsidR="00511D9B" w:rsidRPr="00ED7611" w:rsidRDefault="00511D9B" w:rsidP="002531BE">
                        <w:pPr>
                          <w:pStyle w:val="A1-text"/>
                          <w:spacing w:after="0" w:line="240" w:lineRule="auto"/>
                          <w:jc w:val="left"/>
                          <w:rPr>
                            <w:rFonts w:ascii="Calibri" w:hAnsi="Calibri"/>
                          </w:rPr>
                        </w:pPr>
                        <w:bookmarkStart w:id="60" w:name="_Toc431063856"/>
                        <w:r w:rsidRPr="00ED7611">
                          <w:rPr>
                            <w:rFonts w:ascii="Calibri" w:hAnsi="Calibri"/>
                          </w:rPr>
                          <w:t>Cyklus (fáze) dotačního managementu</w:t>
                        </w:r>
                        <w:bookmarkEnd w:id="60"/>
                      </w:p>
                    </w:txbxContent>
                  </v:textbox>
                </v:shape>
                <v:shape id="Text Box 78" o:spid="_x0000_s1288" type="#_x0000_t202" style="position:absolute;left:1426;top:4297;width:2550;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j6wQAAAN4AAAAPAAAAZHJzL2Rvd25yZXYueG1sRE/LisIw&#10;FN0L/kO4gjtNVcZHNYoKolsdRd1dmmtb2tyUJmrn781CmOXhvBerxpTiRbXLLSsY9CMQxInVOacK&#10;zr+73hSE88gaS8uk4I8crJbt1gJjbd98pNfJpyKEsItRQeZ9FUvpkowMur6tiAP3sLVBH2CdSl3j&#10;O4SbUg6jaCwN5hwaMqxom1FSnJ5GAe33t6K4YHOPWB5+xo/NdZQclep2mvUchKfG/4u/7oNWMBzN&#10;JmFvuBOugFx+AAAA//8DAFBLAQItABQABgAIAAAAIQDb4fbL7gAAAIUBAAATAAAAAAAAAAAAAAAA&#10;AAAAAABbQ29udGVudF9UeXBlc10ueG1sUEsBAi0AFAAGAAgAAAAhAFr0LFu/AAAAFQEAAAsAAAAA&#10;AAAAAAAAAAAAHwEAAF9yZWxzLy5yZWxzUEsBAi0AFAAGAAgAAAAhAKWzqPrBAAAA3gAAAA8AAAAA&#10;AAAAAAAAAAAABwIAAGRycy9kb3ducmV2LnhtbFBLBQYAAAAAAwADALcAAAD1AgAAAAA=&#10;">
                  <v:textbox inset="1.5mm,1mm,1.5mm,.3mm">
                    <w:txbxContent>
                      <w:p w14:paraId="562D401D" w14:textId="77777777" w:rsidR="00511D9B" w:rsidRDefault="00511D9B" w:rsidP="002531BE">
                        <w:pPr>
                          <w:spacing w:line="240" w:lineRule="auto"/>
                          <w:jc w:val="center"/>
                          <w:rPr>
                            <w:b/>
                            <w:sz w:val="22"/>
                            <w:u w:val="single"/>
                          </w:rPr>
                        </w:pPr>
                        <w:r>
                          <w:rPr>
                            <w:b/>
                            <w:sz w:val="22"/>
                            <w:u w:val="single"/>
                          </w:rPr>
                          <w:t xml:space="preserve">4. Vyhodnocení, ukončení, </w:t>
                        </w:r>
                      </w:p>
                      <w:p w14:paraId="21016E08" w14:textId="77777777" w:rsidR="00511D9B" w:rsidRDefault="00511D9B" w:rsidP="002531BE">
                        <w:pPr>
                          <w:spacing w:line="240" w:lineRule="auto"/>
                          <w:jc w:val="center"/>
                          <w:rPr>
                            <w:b/>
                            <w:sz w:val="22"/>
                            <w:u w:val="single"/>
                          </w:rPr>
                        </w:pPr>
                        <w:r>
                          <w:rPr>
                            <w:b/>
                            <w:sz w:val="22"/>
                            <w:u w:val="single"/>
                          </w:rPr>
                          <w:t xml:space="preserve">doúčtování, </w:t>
                        </w:r>
                      </w:p>
                      <w:p w14:paraId="4EE6E60C" w14:textId="77777777" w:rsidR="00511D9B" w:rsidRDefault="00511D9B" w:rsidP="002531BE">
                        <w:pPr>
                          <w:spacing w:line="240" w:lineRule="auto"/>
                          <w:jc w:val="center"/>
                          <w:rPr>
                            <w:b/>
                            <w:sz w:val="22"/>
                            <w:u w:val="single"/>
                          </w:rPr>
                        </w:pPr>
                        <w:r>
                          <w:rPr>
                            <w:b/>
                            <w:sz w:val="22"/>
                            <w:u w:val="single"/>
                          </w:rPr>
                          <w:t>následné kontroly a zajištění udržitelnosti</w:t>
                        </w:r>
                      </w:p>
                      <w:p w14:paraId="0B143C98" w14:textId="77777777" w:rsidR="00511D9B" w:rsidRDefault="00511D9B" w:rsidP="002531BE">
                        <w:pPr>
                          <w:spacing w:line="240" w:lineRule="auto"/>
                          <w:rPr>
                            <w:sz w:val="22"/>
                          </w:rPr>
                        </w:pPr>
                        <w:r>
                          <w:rPr>
                            <w:sz w:val="22"/>
                          </w:rPr>
                          <w:t xml:space="preserve"> </w:t>
                        </w:r>
                      </w:p>
                      <w:p w14:paraId="22654BB8" w14:textId="77777777" w:rsidR="00511D9B" w:rsidRDefault="00511D9B" w:rsidP="002531BE">
                        <w:pPr>
                          <w:spacing w:line="240" w:lineRule="auto"/>
                          <w:rPr>
                            <w:sz w:val="22"/>
                          </w:rPr>
                        </w:pPr>
                      </w:p>
                    </w:txbxContent>
                  </v:textbox>
                </v:shape>
                <v:shape id="AutoShape 79" o:spid="_x0000_s1289" type="#_x0000_t13" style="position:absolute;left:3976;top:4780;width:589;height:51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oXwgAAAN4AAAAPAAAAZHJzL2Rvd25yZXYueG1sRI9Bi8Iw&#10;FITvC/6H8ARva2rdVVuNsghCD15W/QGP5NkWm5faZLX+eyMseBxm5htmteltI27U+dqxgsk4AUGs&#10;nam5VHA67j4XIHxANtg4JgUP8rBZDz5WmBt351+6HUIpIoR9jgqqENpcSq8rsujHriWO3tl1FkOU&#10;XSlNh/cIt41Mk2QmLdYcFypsaVuRvhz+rAJztWnQ3By/ixcgKwtt9l9KjYb9zxJEoD68w//twihI&#10;p9k8g9edeAXk+gkAAP//AwBQSwECLQAUAAYACAAAACEA2+H2y+4AAACFAQAAEwAAAAAAAAAAAAAA&#10;AAAAAAAAW0NvbnRlbnRfVHlwZXNdLnhtbFBLAQItABQABgAIAAAAIQBa9CxbvwAAABUBAAALAAAA&#10;AAAAAAAAAAAAAB8BAABfcmVscy8ucmVsc1BLAQItABQABgAIAAAAIQCdMFoXwgAAAN4AAAAPAAAA&#10;AAAAAAAAAAAAAAcCAABkcnMvZG93bnJldi54bWxQSwUGAAAAAAMAAwC3AAAA9gIAAAAA&#10;"/>
                <v:shape id="Text Box 80" o:spid="_x0000_s1290" type="#_x0000_t202" style="position:absolute;left:4565;top:2917;width:2550;height: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HSHxQAAAN4AAAAPAAAAZHJzL2Rvd25yZXYueG1sRE/dasIw&#10;FL4f+A7hCLubqY5Z7YwiwzEdbPj3AGfNsaltTkqTaX375ULY5cf3P1t0thYXan3pWMFwkIAgzp0u&#10;uVBwPLw/TUD4gKyxdkwKbuRhMe89zDDT7so7uuxDIWII+wwVmBCaTEqfG7LoB64hjtzJtRZDhG0h&#10;dYvXGG5rOUqSsbRYcmww2NCbobza/1oFaZN+mO9q8/L5dUx/hrfzqlpuV0o99rvlK4hAXfgX391r&#10;rWD0PJ3EvfFOvAJy/gcAAP//AwBQSwECLQAUAAYACAAAACEA2+H2y+4AAACFAQAAEwAAAAAAAAAA&#10;AAAAAAAAAAAAW0NvbnRlbnRfVHlwZXNdLnhtbFBLAQItABQABgAIAAAAIQBa9CxbvwAAABUBAAAL&#10;AAAAAAAAAAAAAAAAAB8BAABfcmVscy8ucmVsc1BLAQItABQABgAIAAAAIQDc1HSHxQAAAN4AAAAP&#10;AAAAAAAAAAAAAAAAAAcCAABkcnMvZG93bnJldi54bWxQSwUGAAAAAAMAAwC3AAAA+QIAAAAA&#10;">
                  <v:textbox inset="1.5mm,.3mm,1.5mm,.3mm">
                    <w:txbxContent>
                      <w:p w14:paraId="31C62F4F" w14:textId="77777777" w:rsidR="00511D9B" w:rsidRDefault="00511D9B" w:rsidP="002531BE">
                        <w:pPr>
                          <w:spacing w:line="240" w:lineRule="auto"/>
                          <w:jc w:val="center"/>
                          <w:rPr>
                            <w:b/>
                            <w:sz w:val="22"/>
                            <w:u w:val="single"/>
                          </w:rPr>
                        </w:pPr>
                        <w:r>
                          <w:rPr>
                            <w:b/>
                            <w:sz w:val="22"/>
                            <w:u w:val="single"/>
                          </w:rPr>
                          <w:t xml:space="preserve">1. Plánování, </w:t>
                        </w:r>
                      </w:p>
                      <w:p w14:paraId="1B11AAAA" w14:textId="77777777" w:rsidR="00511D9B" w:rsidRDefault="00511D9B" w:rsidP="002531BE">
                        <w:pPr>
                          <w:spacing w:line="240" w:lineRule="auto"/>
                          <w:jc w:val="center"/>
                          <w:rPr>
                            <w:b/>
                            <w:sz w:val="22"/>
                            <w:u w:val="single"/>
                          </w:rPr>
                        </w:pPr>
                        <w:r>
                          <w:rPr>
                            <w:b/>
                            <w:sz w:val="22"/>
                            <w:u w:val="single"/>
                          </w:rPr>
                          <w:t xml:space="preserve">zpracování a podání žádosti </w:t>
                        </w:r>
                      </w:p>
                      <w:p w14:paraId="0FCD01BE" w14:textId="77777777" w:rsidR="00511D9B" w:rsidRPr="00901A6E" w:rsidRDefault="00511D9B" w:rsidP="002531BE">
                        <w:pPr>
                          <w:spacing w:line="240" w:lineRule="auto"/>
                          <w:jc w:val="center"/>
                          <w:rPr>
                            <w:sz w:val="20"/>
                          </w:rPr>
                        </w:pPr>
                        <w:r w:rsidRPr="00901A6E">
                          <w:rPr>
                            <w:sz w:val="20"/>
                          </w:rPr>
                          <w:t xml:space="preserve">(co, proč, jak, kdy, kde, za co, s kým provádět) </w:t>
                        </w:r>
                      </w:p>
                      <w:p w14:paraId="46C8A286" w14:textId="77777777" w:rsidR="00511D9B" w:rsidRDefault="00511D9B" w:rsidP="002531BE">
                        <w:pPr>
                          <w:spacing w:line="240" w:lineRule="auto"/>
                          <w:jc w:val="center"/>
                          <w:rPr>
                            <w:sz w:val="22"/>
                          </w:rPr>
                        </w:pPr>
                      </w:p>
                    </w:txbxContent>
                  </v:textbox>
                </v:shape>
                <v:shape id="Text Box 81" o:spid="_x0000_s1291" type="#_x0000_t202" style="position:absolute;left:4565;top:5990;width:2747;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EcyQAAAN4AAAAPAAAAZHJzL2Rvd25yZXYueG1sRI/dSsNA&#10;FITvC77DcgTv2k0rNmnsthSpaAuK/XmAY/aYjcmeDdm1Td/eFQpeDjPzDTNf9rYRJ+p85VjBeJSA&#10;IC6crrhUcDw8DzMQPiBrbByTggt5WC5uBnPMtTvzjk77UIoIYZ+jAhNCm0vpC0MW/ci1xNH7cp3F&#10;EGVXSt3hOcJtIydJMpUWK44LBlt6MlTU+x+rIG3TF/Nebx62b8f0c3z5Xterj7VSd7f96hFEoD78&#10;h6/tV61gcj/LZvB3J14BufgFAAD//wMAUEsBAi0AFAAGAAgAAAAhANvh9svuAAAAhQEAABMAAAAA&#10;AAAAAAAAAAAAAAAAAFtDb250ZW50X1R5cGVzXS54bWxQSwECLQAUAAYACAAAACEAWvQsW78AAAAV&#10;AQAACwAAAAAAAAAAAAAAAAAfAQAAX3JlbHMvLnJlbHNQSwECLQAUAAYACAAAACEAs5jRHMkAAADe&#10;AAAADwAAAAAAAAAAAAAAAAAHAgAAZHJzL2Rvd25yZXYueG1sUEsFBgAAAAADAAMAtwAAAP0CAAAA&#10;AA==&#10;">
                  <v:textbox inset="1.5mm,.3mm,1.5mm,.3mm">
                    <w:txbxContent>
                      <w:p w14:paraId="6D2A29DA" w14:textId="77777777" w:rsidR="00511D9B" w:rsidRDefault="00511D9B" w:rsidP="002531BE">
                        <w:pPr>
                          <w:spacing w:line="240" w:lineRule="auto"/>
                          <w:jc w:val="center"/>
                          <w:rPr>
                            <w:b/>
                            <w:sz w:val="22"/>
                            <w:u w:val="single"/>
                          </w:rPr>
                        </w:pPr>
                        <w:r>
                          <w:rPr>
                            <w:b/>
                            <w:sz w:val="22"/>
                            <w:u w:val="single"/>
                          </w:rPr>
                          <w:t xml:space="preserve">3. Realizace: řízení a kontrola projektu </w:t>
                        </w:r>
                      </w:p>
                      <w:p w14:paraId="05948ED4" w14:textId="725380C7" w:rsidR="00511D9B" w:rsidRPr="00836AB9" w:rsidRDefault="00511D9B" w:rsidP="002531BE">
                        <w:pPr>
                          <w:spacing w:line="240" w:lineRule="auto"/>
                          <w:jc w:val="center"/>
                          <w:rPr>
                            <w:sz w:val="18"/>
                          </w:rPr>
                        </w:pPr>
                        <w:r w:rsidRPr="00836AB9">
                          <w:rPr>
                            <w:sz w:val="18"/>
                          </w:rPr>
                          <w:t xml:space="preserve">(„trojimperativ“ projektu: splnit cíle – indikátory, dodržet harmonogram a </w:t>
                        </w:r>
                        <w:r>
                          <w:rPr>
                            <w:sz w:val="18"/>
                          </w:rPr>
                          <w:t>rozpočet; vše dle pravidel poskytovatele dotace)</w:t>
                        </w:r>
                      </w:p>
                      <w:p w14:paraId="2F380D98" w14:textId="77777777" w:rsidR="00511D9B" w:rsidRDefault="00511D9B" w:rsidP="002531BE">
                        <w:pPr>
                          <w:spacing w:line="240" w:lineRule="auto"/>
                          <w:jc w:val="center"/>
                          <w:rPr>
                            <w:sz w:val="22"/>
                          </w:rPr>
                        </w:pPr>
                      </w:p>
                    </w:txbxContent>
                  </v:textbox>
                </v:shape>
                <v:shape id="Text Box 82" o:spid="_x0000_s1292" type="#_x0000_t202" style="position:absolute;left:7851;top:4329;width:2590;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lUxgAAAN4AAAAPAAAAZHJzL2Rvd25yZXYueG1sRI/LbsIw&#10;EEX3lfgHa5DYFYdHHwkY1AKV2g0qIR8wxEMSEY+j2IHw93hRqcur+9JZrntTiyu1rrKsYDKOQBDn&#10;VldcKMiOX8/vIJxH1lhbJgV3crBeDZ6WmGh74wNdU1+IMMIuQQWl900ipctLMujGtiEO3tm2Bn2Q&#10;bSF1i7cwbmo5jaJXabDi8FBiQ5uS8kvaGQXzn5e9fTtl3W53yO/b/W+XfTak1GjYfyxAeOr9f/iv&#10;/a0VTGdxHAACTkABuXoAAAD//wMAUEsBAi0AFAAGAAgAAAAhANvh9svuAAAAhQEAABMAAAAAAAAA&#10;AAAAAAAAAAAAAFtDb250ZW50X1R5cGVzXS54bWxQSwECLQAUAAYACAAAACEAWvQsW78AAAAVAQAA&#10;CwAAAAAAAAAAAAAAAAAfAQAAX3JlbHMvLnJlbHNQSwECLQAUAAYACAAAACEAwkFJVMYAAADeAAAA&#10;DwAAAAAAAAAAAAAAAAAHAgAAZHJzL2Rvd25yZXYueG1sUEsFBgAAAAADAAMAtwAAAPoCAAAAAA==&#10;">
                  <v:textbox inset="1.5mm,,1.5mm,.3mm">
                    <w:txbxContent>
                      <w:p w14:paraId="663FFD1D" w14:textId="77777777" w:rsidR="00511D9B" w:rsidRDefault="00511D9B" w:rsidP="002531BE">
                        <w:pPr>
                          <w:spacing w:line="240" w:lineRule="auto"/>
                          <w:jc w:val="center"/>
                          <w:rPr>
                            <w:b/>
                            <w:sz w:val="22"/>
                            <w:u w:val="single"/>
                          </w:rPr>
                        </w:pPr>
                        <w:r>
                          <w:rPr>
                            <w:b/>
                            <w:sz w:val="22"/>
                            <w:u w:val="single"/>
                          </w:rPr>
                          <w:t xml:space="preserve">2. Čekání </w:t>
                        </w:r>
                      </w:p>
                      <w:p w14:paraId="3FDE31A1" w14:textId="4F8B8916" w:rsidR="00511D9B" w:rsidRDefault="00511D9B" w:rsidP="002531BE">
                        <w:pPr>
                          <w:spacing w:line="240" w:lineRule="auto"/>
                          <w:jc w:val="center"/>
                          <w:rPr>
                            <w:sz w:val="22"/>
                          </w:rPr>
                        </w:pPr>
                        <w:r>
                          <w:rPr>
                            <w:b/>
                            <w:sz w:val="22"/>
                            <w:u w:val="single"/>
                          </w:rPr>
                          <w:t xml:space="preserve">na rozhodnutí </w:t>
                        </w:r>
                        <w:r>
                          <w:rPr>
                            <w:sz w:val="22"/>
                          </w:rPr>
                          <w:t xml:space="preserve">(schválení/neschválení/ odmítnutí/úprava podmínek) </w:t>
                        </w:r>
                      </w:p>
                      <w:p w14:paraId="4A22BD23" w14:textId="77777777" w:rsidR="00511D9B" w:rsidRDefault="00511D9B" w:rsidP="002531BE">
                        <w:pPr>
                          <w:spacing w:line="240" w:lineRule="auto"/>
                          <w:jc w:val="center"/>
                          <w:rPr>
                            <w:sz w:val="22"/>
                          </w:rPr>
                        </w:pPr>
                      </w:p>
                    </w:txbxContent>
                  </v:textbox>
                </v:shape>
                <v:shape id="Text Box 83" o:spid="_x0000_s1293" type="#_x0000_t202" style="position:absolute;left:4563;top:4554;width:2670;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6MxQAAAN4AAAAPAAAAZHJzL2Rvd25yZXYueG1sRI9BawIx&#10;FITvgv8hPKE3zXZbRFejaGmhl4Jae39sXnbXbl7WJNXtv28KgsdhZr5hluvetuJCPjSOFTxOMhDE&#10;pdMNVwqOn2/jGYgQkTW2jknBLwVYr4aDJRbaXXlPl0OsRIJwKFBBHWNXSBnKmiyGieuIk2ectxiT&#10;9JXUHq8JbluZZ9lUWmw4LdTY0UtN5ffhxyp4rb78yWzIHLdm92zsWTv80Eo9jPrNAkSkPt7Dt/a7&#10;VpA/zec5/N9JV0Cu/gAAAP//AwBQSwECLQAUAAYACAAAACEA2+H2y+4AAACFAQAAEwAAAAAAAAAA&#10;AAAAAAAAAAAAW0NvbnRlbnRfVHlwZXNdLnhtbFBLAQItABQABgAIAAAAIQBa9CxbvwAAABUBAAAL&#10;AAAAAAAAAAAAAAAAAB8BAABfcmVscy8ucmVsc1BLAQItABQABgAIAAAAIQARhi6MxQAAAN4AAAAP&#10;AAAAAAAAAAAAAAAAAAcCAABkcnMvZG93bnJldi54bWxQSwUGAAAAAAMAAwC3AAAA+QIAAAAA&#10;" strokeweight="1.5pt">
                  <v:textbox inset=".5mm,.3mm,.5mm,.3mm">
                    <w:txbxContent>
                      <w:p w14:paraId="7E8FD0B1" w14:textId="241E87F0" w:rsidR="00511D9B" w:rsidRPr="0042116D" w:rsidRDefault="00511D9B" w:rsidP="002531BE">
                        <w:pPr>
                          <w:spacing w:line="240" w:lineRule="auto"/>
                          <w:jc w:val="center"/>
                          <w:rPr>
                            <w:sz w:val="21"/>
                            <w:szCs w:val="21"/>
                          </w:rPr>
                        </w:pPr>
                        <w:r>
                          <w:rPr>
                            <w:b/>
                            <w:sz w:val="22"/>
                            <w:u w:val="single"/>
                          </w:rPr>
                          <w:t>management projektu</w:t>
                        </w:r>
                        <w:r>
                          <w:rPr>
                            <w:b/>
                            <w:sz w:val="22"/>
                          </w:rPr>
                          <w:t xml:space="preserve">: </w:t>
                        </w:r>
                        <w:r w:rsidRPr="0042116D">
                          <w:rPr>
                            <w:sz w:val="21"/>
                            <w:szCs w:val="21"/>
                          </w:rPr>
                          <w:t xml:space="preserve">plánování, organizování, </w:t>
                        </w:r>
                        <w:r>
                          <w:rPr>
                            <w:sz w:val="21"/>
                            <w:szCs w:val="21"/>
                          </w:rPr>
                          <w:t>vedení</w:t>
                        </w:r>
                        <w:r w:rsidRPr="0042116D">
                          <w:rPr>
                            <w:sz w:val="21"/>
                            <w:szCs w:val="21"/>
                          </w:rPr>
                          <w:t xml:space="preserve"> a kontrola dotačního projektu </w:t>
                        </w:r>
                      </w:p>
                      <w:p w14:paraId="6E4624A9" w14:textId="77777777" w:rsidR="00511D9B" w:rsidRDefault="00511D9B" w:rsidP="002531BE">
                        <w:pPr>
                          <w:spacing w:line="240" w:lineRule="auto"/>
                          <w:jc w:val="center"/>
                          <w:rPr>
                            <w:sz w:val="22"/>
                          </w:rPr>
                        </w:pPr>
                      </w:p>
                    </w:txbxContent>
                  </v:textbox>
                </v:shape>
                <v:shape id="AutoShape 84" o:spid="_x0000_s1294" type="#_x0000_t13" style="position:absolute;left:7270;top:4780;width:58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H9xQAAAN4AAAAPAAAAZHJzL2Rvd25yZXYueG1sRI9Pa8JA&#10;FMTvhX6H5Qne6osKoqmrlBbBm38PHp/Z1yQ0+zbNribtp3cFweMwM79h5svOVurKjS+daBgOElAs&#10;mTOl5BqOh9XbFJQPJIYqJ6zhjz0sF68vc0qNa2XH133IVYSIT0lDEUKdIvqsYEt+4GqW6H27xlKI&#10;ssnRNNRGuK1wlCQTtFRKXCio5s+Cs5/9xWo4V1+T07b+XaPBdsv/CR663Ubrfq/7eAcVuAvP8KO9&#10;NhpG49lsDPc78Qrg4gYAAP//AwBQSwECLQAUAAYACAAAACEA2+H2y+4AAACFAQAAEwAAAAAAAAAA&#10;AAAAAAAAAAAAW0NvbnRlbnRfVHlwZXNdLnhtbFBLAQItABQABgAIAAAAIQBa9CxbvwAAABUBAAAL&#10;AAAAAAAAAAAAAAAAAB8BAABfcmVscy8ucmVsc1BLAQItABQABgAIAAAAIQBSAkH9xQAAAN4AAAAP&#10;AAAAAAAAAAAAAAAAAAcCAABkcnMvZG93bnJldi54bWxQSwUGAAAAAAMAAwC3AAAA+QIAAAAA&#10;"/>
                <v:shape id="AutoShape 85" o:spid="_x0000_s1295" style="position:absolute;left:7312;top:5855;width:909;height:874;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EaxgAAAN4AAAAPAAAAZHJzL2Rvd25yZXYueG1sRI9BawIx&#10;FITvBf9DeIK3mtRK0dUoYlH0VFztobfn5nV3cfOyJFG3/74RCj0OM/MNM192thE38qF2rOFlqEAQ&#10;F87UXGo4HTfPExAhIhtsHJOGHwqwXPSe5pgZd+cD3fJYigThkKGGKsY2kzIUFVkMQ9cSJ+/beYsx&#10;SV9K4/Ge4LaRI6XepMWa00KFLa0rKi751Wqw5zYvtnKnPr4u6r0Op0+/p43Wg363moGI1MX/8F97&#10;ZzSMXqfTMTzupCsgF78AAAD//wMAUEsBAi0AFAAGAAgAAAAhANvh9svuAAAAhQEAABMAAAAAAAAA&#10;AAAAAAAAAAAAAFtDb250ZW50X1R5cGVzXS54bWxQSwECLQAUAAYACAAAACEAWvQsW78AAAAVAQAA&#10;CwAAAAAAAAAAAAAAAAAfAQAAX3JlbHMvLnJlbHNQSwECLQAUAAYACAAAACEAWCuhGsYAAADeAAAA&#10;DwAAAAAAAAAAAAAAAAAHAgAAZHJzL2Rvd25yZXYueG1sUEsFBgAAAAADAAMAtwAAAPoCAAAAAA==&#10;" path="m21600,6079l15126,r,2912l12427,2912c5564,2912,,7052,,12158r,9442l6474,21600r,-9442c6474,10550,9139,9246,12427,9246r2699,l15126,12158,21600,6079xe" fillcolor="silver">
                  <v:stroke joinstyle="miter"/>
                  <v:path o:connecttype="custom" o:connectlocs="637,0;637,492;136,874;909,246" o:connectangles="270,90,90,0" textboxrect="12428,2916,18226,9243"/>
                </v:shape>
                <v:shape id="AutoShape 86" o:spid="_x0000_s1296" style="position:absolute;left:7313;top:3407;width:874;height:90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LIcyAAAAN4AAAAPAAAAZHJzL2Rvd25yZXYueG1sRI9PawIx&#10;FMTvgt8hPMGbZlUsdWsU/1Dc6qnWS2+PzXN3cfOyJKmufnpTKPQ4zMxvmPmyNbW4kvOVZQWjYQKC&#10;OLe64kLB6et98ArCB2SNtWVScCcPy0W3M8dU2xt/0vUYChEh7FNUUIbQpFL6vCSDfmgb4uidrTMY&#10;onSF1A5vEW5qOU6SF2mw4rhQYkObkvLL8ccoaE6Tw/ax262/74fV5iPLXPHYO6X6vXb1BiJQG/7D&#10;f+1MKxhPZrMp/N6JV0AungAAAP//AwBQSwECLQAUAAYACAAAACEA2+H2y+4AAACFAQAAEwAAAAAA&#10;AAAAAAAAAAAAAAAAW0NvbnRlbnRfVHlwZXNdLnhtbFBLAQItABQABgAIAAAAIQBa9CxbvwAAABUB&#10;AAALAAAAAAAAAAAAAAAAAB8BAABfcmVscy8ucmVsc1BLAQItABQABgAIAAAAIQCbLLIcyAAAAN4A&#10;AAAPAAAAAAAAAAAAAAAAAAcCAABkcnMvZG93bnJldi54bWxQSwUGAAAAAAMAAwC3AAAA/AIAAAAA&#10;" path="m21600,6079l15126,r,2912l12427,2912c5564,2912,,7052,,12158r,9442l6474,21600r,-9442c6474,10550,9139,9246,12427,9246r2699,l15126,12158,21600,6079xe" fillcolor="silver">
                  <v:stroke joinstyle="miter"/>
                  <v:path o:connecttype="custom" o:connectlocs="612,0;612,510;131,906;874,255" o:connectangles="270,90,90,0" textboxrect="12431,2909,18239,9250"/>
                </v:shape>
                <v:shape id="AutoShape 87" o:spid="_x0000_s1297" type="#_x0000_t13" style="position:absolute;left:5727;top:4112;width:374;height:5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ZDxwAAAN4AAAAPAAAAZHJzL2Rvd25yZXYueG1sRI9Ba8JA&#10;FITvQv/D8gpepG60EEx0DaFSEOylaRGPj+xrEsy+jdltEv99t1DocZiZb5hdNplWDNS7xrKC1TIC&#10;QVxa3XCl4PPj9WkDwnlkja1lUnAnB9n+YbbDVNuR32kofCUChF2KCmrvu1RKV9Zk0C1tRxy8L9sb&#10;9EH2ldQ9jgFuWrmOolgabDgs1NjRS03ltfg2CorTgtFf4zNfTP6WROfbodrclJo/TvkWhKfJ/4f/&#10;2ketYP2cJDH83glXQO5/AAAA//8DAFBLAQItABQABgAIAAAAIQDb4fbL7gAAAIUBAAATAAAAAAAA&#10;AAAAAAAAAAAAAABbQ29udGVudF9UeXBlc10ueG1sUEsBAi0AFAAGAAgAAAAhAFr0LFu/AAAAFQEA&#10;AAsAAAAAAAAAAAAAAAAAHwEAAF9yZWxzLy5yZWxzUEsBAi0AFAAGAAgAAAAhAAKZFkPHAAAA3gAA&#10;AA8AAAAAAAAAAAAAAAAABwIAAGRycy9kb3ducmV2LnhtbFBLBQYAAAAAAwADALcAAAD7AgAAAAA=&#10;"/>
                <v:shape id="AutoShape 88" o:spid="_x0000_s1298" type="#_x0000_t13" style="position:absolute;left:5721;top:5529;width:386;height:5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X5yQAAAN4AAAAPAAAAZHJzL2Rvd25yZXYueG1sRI/dasJA&#10;FITvC32H5Qje1Y0p2BpdxRYq0iLUH0TvDtljNjR7NmTXmPbpu4WCl8PMfMNM552tREuNLx0rGA4S&#10;EMS50yUXCva7t4dnED4ga6wck4Jv8jCf3d9NMdPuyhtqt6EQEcI+QwUmhDqT0ueGLPqBq4mjd3aN&#10;xRBlU0jd4DXCbSXTJBlJiyXHBYM1vRrKv7YXq+DzI31fLo8v2qwXsmuDs7uf00Gpfq9bTEAE6sIt&#10;/N9eaQXp43j8BH934hWQs18AAAD//wMAUEsBAi0AFAAGAAgAAAAhANvh9svuAAAAhQEAABMAAAAA&#10;AAAAAAAAAAAAAAAAAFtDb250ZW50X1R5cGVzXS54bWxQSwECLQAUAAYACAAAACEAWvQsW78AAAAV&#10;AQAACwAAAAAAAAAAAAAAAAAfAQAAX3JlbHMvLnJlbHNQSwECLQAUAAYACAAAACEAtRIl+ckAAADe&#10;AAAADwAAAAAAAAAAAAAAAAAHAgAAZHJzL2Rvd25yZXYueG1sUEsFBgAAAAADAAMAtwAAAP0CAAAA&#10;AA==&#10;"/>
                <v:shape id="AutoShape 89" o:spid="_x0000_s1299" style="position:absolute;left:3660;top:5733;width:874;height:907;rotation:9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0K7wgAAAN4AAAAPAAAAZHJzL2Rvd25yZXYueG1sRE/PS8Mw&#10;FL4P/B/CE7ytqS1IV5cNEQY7bbjq/dE822LzEpJsbf3rl4Pg8eP7vd3PZhQ38mGwrOA5y0EQt1YP&#10;3Cn4bA7rCkSIyBpHy6RgoQD73cNqi7W2E3/Q7RI7kUI41Kigj9HVUoa2J4Mhs444cd/WG4wJ+k5q&#10;j1MKN6Ms8vxFGhw4NfTo6L2n9udyNQoqR+cTF7/a51OzGDeevtryqtTT4/z2CiLSHP/Ff+6jVlCU&#10;m03am+6kKyB3dwAAAP//AwBQSwECLQAUAAYACAAAACEA2+H2y+4AAACFAQAAEwAAAAAAAAAAAAAA&#10;AAAAAAAAW0NvbnRlbnRfVHlwZXNdLnhtbFBLAQItABQABgAIAAAAIQBa9CxbvwAAABUBAAALAAAA&#10;AAAAAAAAAAAAAB8BAABfcmVscy8ucmVsc1BLAQItABQABgAIAAAAIQDaW0K7wgAAAN4AAAAPAAAA&#10;AAAAAAAAAAAAAAcCAABkcnMvZG93bnJldi54bWxQSwUGAAAAAAMAAwC3AAAA9gIAAAAA&#10;" path="m21600,6079l15126,r,2912l12427,2912c5564,2912,,7052,,12158r,9442l6474,21600r,-9442c6474,10550,9139,9246,12427,9246r2699,l15126,12158,21600,6079xe" fillcolor="silver">
                  <v:stroke joinstyle="miter"/>
                  <v:path o:connecttype="custom" o:connectlocs="612,0;612,511;131,907;874,255" o:connectangles="270,90,90,0" textboxrect="12431,2905,18239,9240"/>
                </v:shape>
                <v:line id="Line 90" o:spid="_x0000_s1300" style="position:absolute;flip:y;visibility:visible;mso-wrap-style:square" from="7900,3271" to="853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3TyAAAAN4AAAAPAAAAZHJzL2Rvd25yZXYueG1sRI9BawIx&#10;FITvhf6H8ApepGZrS3G3RhFB8OClWlZ6e928bpbdvKxJ1O2/bwpCj8PMfMPMl4PtxIV8aBwreJpk&#10;IIgrpxuuFXwcNo8zECEia+wck4IfCrBc3N/NsdDuyu902cdaJAiHAhWYGPtCylAZshgmridO3rfz&#10;FmOSvpba4zXBbSenWfYqLTacFgz2tDZUtfuzVSBnu/HJr75e2rI9HnNTVmX/uVNq9DCs3kBEGuJ/&#10;+NbeagXT5zzP4e9OugJy8QsAAP//AwBQSwECLQAUAAYACAAAACEA2+H2y+4AAACFAQAAEwAAAAAA&#10;AAAAAAAAAAAAAAAAW0NvbnRlbnRfVHlwZXNdLnhtbFBLAQItABQABgAIAAAAIQBa9CxbvwAAABUB&#10;AAALAAAAAAAAAAAAAAAAAB8BAABfcmVscy8ucmVsc1BLAQItABQABgAIAAAAIQCNDI3TyAAAAN4A&#10;AAAPAAAAAAAAAAAAAAAAAAcCAABkcnMvZG93bnJldi54bWxQSwUGAAAAAAMAAwC3AAAA/AIAAAAA&#10;"/>
                <v:shape id="AutoShape 91" o:spid="_x0000_s1301" style="position:absolute;left:6789;top:3997;width:874;height:907;rotation:9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qvxQAAAN4AAAAPAAAAZHJzL2Rvd25yZXYueG1sRI9Pi8Iw&#10;FMTvgt8hPMGbpiq7ajWK+Af2JuqC10fzbIrNS22itt9+s7Cwx2FmfsMs140txYtqXzhWMBomIIgz&#10;pwvOFXxfDoMZCB+QNZaOSUFLHtarbmeJqXZvPtHrHHIRIexTVGBCqFIpfWbIoh+6ijh6N1dbDFHW&#10;udQ1viPclnKcJJ/SYsFxwWBFW0PZ/fy0Clw7zZO9a3bXon0cj7vLSd5Lo1S/12wWIAI14T/81/7S&#10;CsaTj+kcfu/EKyBXPwAAAP//AwBQSwECLQAUAAYACAAAACEA2+H2y+4AAACFAQAAEwAAAAAAAAAA&#10;AAAAAAAAAAAAW0NvbnRlbnRfVHlwZXNdLnhtbFBLAQItABQABgAIAAAAIQBa9CxbvwAAABUBAAAL&#10;AAAAAAAAAAAAAAAAAB8BAABfcmVscy8ucmVsc1BLAQItABQABgAIAAAAIQBvbCqvxQAAAN4AAAAP&#10;AAAAAAAAAAAAAAAAAAcCAABkcnMvZG93bnJldi54bWxQSwUGAAAAAAMAAwC3AAAA+QIAAAAA&#10;" path="m21600,6079l15126,r,2912l12427,2912c5564,2912,,7052,,12158r,9442l6474,21600r,-9442c6474,10550,9139,9246,12427,9246r2699,l15126,12158,21600,6079xe" filled="f" fillcolor="silver">
                  <v:stroke dashstyle="dash" joinstyle="miter"/>
                  <v:path o:connecttype="custom" o:connectlocs="612,0;612,511;131,907;874,255" o:connectangles="270,90,90,0" textboxrect="12431,2905,18239,9240"/>
                </v:shape>
                <v:shape id="Text Box 92" o:spid="_x0000_s1302" type="#_x0000_t202" style="position:absolute;left:8396;top:6064;width:2029;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F0xwAAAN4AAAAPAAAAZHJzL2Rvd25yZXYueG1sRI/NasMw&#10;EITvgb6D2EIvoZGdpK1xLYe2UOJbyM8DLNbWNrFWrqXa7ttHgUCOw8x8w2SbybRioN41lhXEiwgE&#10;cWl1w5WC0/H7OQHhPLLG1jIp+CcHm/xhlmGq7ch7Gg6+EgHCLkUFtfddKqUrazLoFrYjDt6P7Q36&#10;IPtK6h7HADetXEbRqzTYcFiosaOvmsrz4c8okMXxravKONmdtvPfT4nDeb3fKfX0OH28g/A0+Xv4&#10;1i60guXqJYnheidcAZlfAAAA//8DAFBLAQItABQABgAIAAAAIQDb4fbL7gAAAIUBAAATAAAAAAAA&#10;AAAAAAAAAAAAAABbQ29udGVudF9UeXBlc10ueG1sUEsBAi0AFAAGAAgAAAAhAFr0LFu/AAAAFQEA&#10;AAsAAAAAAAAAAAAAAAAAHwEAAF9yZWxzLy5yZWxzUEsBAi0AFAAGAAgAAAAhAF4VkXTHAAAA3gAA&#10;AA8AAAAAAAAAAAAAAAAABwIAAGRycy9kb3ducmV2LnhtbFBLBQYAAAAAAwADALcAAAD7AgAAAAA=&#10;">
                  <v:stroke dashstyle="dash"/>
                  <v:textbox inset="1.5mm,,1.5mm,.3mm">
                    <w:txbxContent>
                      <w:p w14:paraId="62B4A291" w14:textId="77777777" w:rsidR="00511D9B" w:rsidRPr="00D864CE" w:rsidRDefault="00511D9B" w:rsidP="002531BE">
                        <w:pPr>
                          <w:spacing w:line="240" w:lineRule="auto"/>
                          <w:jc w:val="center"/>
                          <w:rPr>
                            <w:sz w:val="20"/>
                          </w:rPr>
                        </w:pPr>
                        <w:r>
                          <w:rPr>
                            <w:sz w:val="20"/>
                          </w:rPr>
                          <w:t xml:space="preserve">- </w:t>
                        </w:r>
                        <w:r w:rsidRPr="00D864CE">
                          <w:rPr>
                            <w:sz w:val="20"/>
                          </w:rPr>
                          <w:t>Neschválení projektu</w:t>
                        </w:r>
                      </w:p>
                      <w:p w14:paraId="46CD8A50" w14:textId="77777777" w:rsidR="00511D9B" w:rsidRPr="00D864CE" w:rsidRDefault="00511D9B" w:rsidP="002531BE">
                        <w:pPr>
                          <w:spacing w:line="240" w:lineRule="auto"/>
                          <w:jc w:val="center"/>
                          <w:rPr>
                            <w:sz w:val="20"/>
                          </w:rPr>
                        </w:pPr>
                        <w:r>
                          <w:rPr>
                            <w:sz w:val="20"/>
                          </w:rPr>
                          <w:t xml:space="preserve">- </w:t>
                        </w:r>
                        <w:r w:rsidRPr="00D864CE">
                          <w:rPr>
                            <w:sz w:val="20"/>
                          </w:rPr>
                          <w:t>Odmítnutí schváleného projektu</w:t>
                        </w:r>
                      </w:p>
                      <w:p w14:paraId="563FFFA5" w14:textId="77777777" w:rsidR="00511D9B" w:rsidRDefault="00511D9B" w:rsidP="002531BE">
                        <w:pPr>
                          <w:spacing w:line="240" w:lineRule="auto"/>
                          <w:jc w:val="center"/>
                          <w:rPr>
                            <w:sz w:val="22"/>
                          </w:rPr>
                        </w:pPr>
                      </w:p>
                    </w:txbxContent>
                  </v:textbox>
                </v:shape>
                <v:shape id="AutoShape 93" o:spid="_x0000_s1303" type="#_x0000_t13" style="position:absolute;left:9105;top:5614;width:460;height:5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yxAAAANsAAAAPAAAAZHJzL2Rvd25yZXYueG1sRI9bawIx&#10;FITfBf9DOIW+iCZVKLIapVYKIgXx9n7YnL3o5mS7iev23zdCwcdhZr5h5svOVqKlxpeONbyNFAji&#10;1JmScw2n49dwCsIHZIOVY9LwSx6Wi35vjolxd95Tewi5iBD2CWooQqgTKX1akEU/cjVx9DLXWAxR&#10;Nrk0Dd4j3FZyrNS7tFhyXCiwps+C0uvhZjWobTe5rLebTN18Nvg+r3er/U+r9etL9zEDEagLz/B/&#10;e2M0TMbw+BJ/gFz8AQAA//8DAFBLAQItABQABgAIAAAAIQDb4fbL7gAAAIUBAAATAAAAAAAAAAAA&#10;AAAAAAAAAABbQ29udGVudF9UeXBlc10ueG1sUEsBAi0AFAAGAAgAAAAhAFr0LFu/AAAAFQEAAAsA&#10;AAAAAAAAAAAAAAAAHwEAAF9yZWxzLy5yZWxzUEsBAi0AFAAGAAgAAAAhAJD46jLEAAAA2wAAAA8A&#10;AAAAAAAAAAAAAAAABwIAAGRycy9kb3ducmV2LnhtbFBLBQYAAAAAAwADALcAAAD4AgAAAAA=&#10;" adj="9280,5248" fillcolor="#bfbfbf"/>
                <v:shape id="Text Box 94" o:spid="_x0000_s1304" type="#_x0000_t202" style="position:absolute;left:1426;top:6050;width:2202;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UNwwAAANsAAAAPAAAAZHJzL2Rvd25yZXYueG1sRI/disIw&#10;FITvF3yHcARvFpv6g0ptFF2Q9U6qPsChObbF5qQ22VrffrOw4OUwM98w6bY3teiodZVlBZMoBkGc&#10;W11xoeB6OYxXIJxH1lhbJgUvcrDdDD5STLR9ckbd2RciQNglqKD0vkmkdHlJBl1kG+Lg3Wxr0AfZ&#10;FlK3+AxwU8tpHC+kwYrDQokNfZWU388/RoE8XpZNkU9Wp+v352MvsbvPs5NSo2G/W4Pw1Pt3+L99&#10;1ApmM/j7En6A3PwCAAD//wMAUEsBAi0AFAAGAAgAAAAhANvh9svuAAAAhQEAABMAAAAAAAAAAAAA&#10;AAAAAAAAAFtDb250ZW50X1R5cGVzXS54bWxQSwECLQAUAAYACAAAACEAWvQsW78AAAAVAQAACwAA&#10;AAAAAAAAAAAAAAAfAQAAX3JlbHMvLnJlbHNQSwECLQAUAAYACAAAACEAMExFDcMAAADbAAAADwAA&#10;AAAAAAAAAAAAAAAHAgAAZHJzL2Rvd25yZXYueG1sUEsFBgAAAAADAAMAtwAAAPcCAAAAAA==&#10;">
                  <v:stroke dashstyle="dash"/>
                  <v:textbox inset="1.5mm,,1.5mm,.3mm">
                    <w:txbxContent>
                      <w:p w14:paraId="44EBBF68" w14:textId="77777777" w:rsidR="00511D9B" w:rsidRDefault="00511D9B" w:rsidP="002531BE">
                        <w:pPr>
                          <w:spacing w:line="240" w:lineRule="auto"/>
                          <w:ind w:left="-57" w:right="-57"/>
                          <w:jc w:val="center"/>
                          <w:rPr>
                            <w:sz w:val="18"/>
                          </w:rPr>
                        </w:pPr>
                        <w:r w:rsidRPr="007716FE">
                          <w:rPr>
                            <w:b/>
                            <w:sz w:val="18"/>
                          </w:rPr>
                          <w:t>Chyby v projektu</w:t>
                        </w:r>
                        <w:r w:rsidRPr="0042116D">
                          <w:rPr>
                            <w:sz w:val="18"/>
                          </w:rPr>
                          <w:t xml:space="preserve"> (např. </w:t>
                        </w:r>
                        <w:r>
                          <w:rPr>
                            <w:sz w:val="18"/>
                          </w:rPr>
                          <w:t xml:space="preserve">    </w:t>
                        </w:r>
                        <w:r w:rsidRPr="0042116D">
                          <w:rPr>
                            <w:sz w:val="18"/>
                          </w:rPr>
                          <w:t xml:space="preserve">u veřejné zakázky): </w:t>
                        </w:r>
                      </w:p>
                      <w:p w14:paraId="231AC270" w14:textId="77777777" w:rsidR="00511D9B" w:rsidRDefault="00511D9B" w:rsidP="002531BE">
                        <w:pPr>
                          <w:spacing w:line="240" w:lineRule="auto"/>
                          <w:ind w:left="-57" w:right="-57"/>
                          <w:jc w:val="center"/>
                          <w:rPr>
                            <w:sz w:val="18"/>
                          </w:rPr>
                        </w:pPr>
                        <w:r>
                          <w:rPr>
                            <w:sz w:val="18"/>
                          </w:rPr>
                          <w:t>- Neuznání části výdajů</w:t>
                        </w:r>
                      </w:p>
                      <w:p w14:paraId="54A20B5E" w14:textId="77777777" w:rsidR="00511D9B" w:rsidRPr="0042116D" w:rsidRDefault="00511D9B" w:rsidP="002531BE">
                        <w:pPr>
                          <w:spacing w:line="240" w:lineRule="auto"/>
                          <w:ind w:left="-57" w:right="-57"/>
                          <w:jc w:val="center"/>
                          <w:rPr>
                            <w:sz w:val="18"/>
                          </w:rPr>
                        </w:pPr>
                        <w:r>
                          <w:rPr>
                            <w:sz w:val="18"/>
                          </w:rPr>
                          <w:t>- V</w:t>
                        </w:r>
                        <w:r w:rsidRPr="0042116D">
                          <w:rPr>
                            <w:sz w:val="18"/>
                          </w:rPr>
                          <w:t xml:space="preserve">rácení části nebo všech </w:t>
                        </w:r>
                        <w:r>
                          <w:rPr>
                            <w:sz w:val="18"/>
                          </w:rPr>
                          <w:t>prostředků</w:t>
                        </w:r>
                      </w:p>
                      <w:p w14:paraId="679AF654" w14:textId="77777777" w:rsidR="00511D9B" w:rsidRPr="0042116D" w:rsidRDefault="00511D9B" w:rsidP="002531BE">
                        <w:pPr>
                          <w:spacing w:line="240" w:lineRule="auto"/>
                          <w:jc w:val="center"/>
                          <w:rPr>
                            <w:sz w:val="20"/>
                          </w:rPr>
                        </w:pPr>
                      </w:p>
                    </w:txbxContent>
                  </v:textbox>
                </v:shape>
                <v:shape id="AutoShape 95" o:spid="_x0000_s1305" type="#_x0000_t13" style="position:absolute;left:2380;top:5684;width:508;height:3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oUxQAAANsAAAAPAAAAZHJzL2Rvd25yZXYueG1sRI9Pa8JA&#10;FMTvBb/D8oReim4aRUOajRShWOjFf7TX1+wzCWbfptnVpN++WxA8DjPzGyZbDaYRV+pcbVnB8zQC&#10;QVxYXXOp4Hh4myQgnEfW2FgmBb/kYJWPHjJMte15R9e9L0WAsEtRQeV9m0rpiooMuqltiYN3sp1B&#10;H2RXSt1hH+CmkXEULaTBmsNChS2tKyrO+4tR8LNbL5OP2WXTf9I3b59svPmiWKnH8fD6AsLT4O/h&#10;W/tdK5jN4f9L+AEy/wMAAP//AwBQSwECLQAUAAYACAAAACEA2+H2y+4AAACFAQAAEwAAAAAAAAAA&#10;AAAAAAAAAAAAW0NvbnRlbnRfVHlwZXNdLnhtbFBLAQItABQABgAIAAAAIQBa9CxbvwAAABUBAAAL&#10;AAAAAAAAAAAAAAAAAB8BAABfcmVscy8ucmVsc1BLAQItABQABgAIAAAAIQCQvIoUxQAAANsAAAAP&#10;AAAAAAAAAAAAAAAAAAcCAABkcnMvZG93bnJldi54bWxQSwUGAAAAAAMAAwC3AAAA+QIAAAAA&#10;" fillcolor="red" strokeweight="1.5pt"/>
                <v:shape id="AutoShape 96" o:spid="_x0000_s1306" type="#_x0000_t13" style="position:absolute;left:3695;top:6667;width:850;height:34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VSwgAAANsAAAAPAAAAZHJzL2Rvd25yZXYueG1sRI9Bi8Iw&#10;FITvgv8hPMGbpuuuIl2jqLDiwYtVweOjeduWbV5qE2v77zeC4HGYmW+Yxao1pWiodoVlBR/jCARx&#10;anXBmYLz6Wc0B+E8ssbSMinoyMFq2e8tMNb2wUdqEp+JAGEXo4Lc+yqW0qU5GXRjWxEH79fWBn2Q&#10;dSZ1jY8AN6WcRNFMGiw4LORY0Tan9C+5m0CZ3drb4dLsMNnI+9V0dtcdv5QaDtr1NwhPrX+HX+29&#10;VvA5heeX8APk8h8AAP//AwBQSwECLQAUAAYACAAAACEA2+H2y+4AAACFAQAAEwAAAAAAAAAAAAAA&#10;AAAAAAAAW0NvbnRlbnRfVHlwZXNdLnhtbFBLAQItABQABgAIAAAAIQBa9CxbvwAAABUBAAALAAAA&#10;AAAAAAAAAAAAAB8BAABfcmVscy8ucmVsc1BLAQItABQABgAIAAAAIQA/57VSwgAAANsAAAAPAAAA&#10;AAAAAAAAAAAAAAcCAABkcnMvZG93bnJldi54bWxQSwUGAAAAAAMAAwC3AAAA9gIAAAAA&#10;" fillcolor="red" strokeweight="1.5pt"/>
              </v:group>
            </w:pict>
          </mc:Fallback>
        </mc:AlternateContent>
      </w:r>
    </w:p>
    <w:p w14:paraId="43AD3713" w14:textId="77777777" w:rsidR="002531BE" w:rsidRDefault="002531BE" w:rsidP="002531BE">
      <w:pPr>
        <w:pStyle w:val="A1-text"/>
        <w:rPr>
          <w:lang w:val="cs-CZ"/>
        </w:rPr>
      </w:pPr>
    </w:p>
    <w:p w14:paraId="672699F5" w14:textId="77777777" w:rsidR="002531BE" w:rsidRPr="00D864CE" w:rsidRDefault="002531BE" w:rsidP="002531BE">
      <w:pPr>
        <w:pStyle w:val="A1-text"/>
        <w:rPr>
          <w:lang w:val="cs-CZ"/>
        </w:rPr>
      </w:pPr>
    </w:p>
    <w:p w14:paraId="4EED45D6" w14:textId="77777777" w:rsidR="002531BE" w:rsidRPr="008D484D" w:rsidRDefault="002531BE" w:rsidP="002531BE">
      <w:pPr>
        <w:spacing w:before="120"/>
      </w:pPr>
      <w:r w:rsidRPr="008D484D">
        <w:t xml:space="preserve"> </w:t>
      </w:r>
    </w:p>
    <w:p w14:paraId="7F9D09EA" w14:textId="77777777" w:rsidR="002531BE" w:rsidRPr="008D484D" w:rsidRDefault="002531BE" w:rsidP="002531BE">
      <w:pPr>
        <w:spacing w:before="120"/>
      </w:pPr>
      <w:r w:rsidRPr="008D484D">
        <w:t xml:space="preserve"> </w:t>
      </w:r>
    </w:p>
    <w:p w14:paraId="46925AC8" w14:textId="77777777" w:rsidR="002531BE" w:rsidRPr="00331D6F" w:rsidRDefault="002531BE" w:rsidP="002531BE">
      <w:pPr>
        <w:spacing w:after="120"/>
        <w:rPr>
          <w:rFonts w:ascii="Calibri" w:hAnsi="Calibri"/>
        </w:rPr>
      </w:pPr>
      <w:r w:rsidRPr="008D484D">
        <w:t xml:space="preserve"> </w:t>
      </w:r>
    </w:p>
    <w:p w14:paraId="77B17F66" w14:textId="77777777" w:rsidR="002531BE" w:rsidRPr="00331D6F" w:rsidRDefault="002531BE" w:rsidP="002531BE">
      <w:pPr>
        <w:spacing w:after="120"/>
        <w:rPr>
          <w:rFonts w:ascii="Calibri" w:hAnsi="Calibri"/>
        </w:rPr>
      </w:pPr>
      <w:r w:rsidRPr="00331D6F">
        <w:rPr>
          <w:rFonts w:ascii="Calibri" w:hAnsi="Calibri"/>
        </w:rPr>
        <w:t xml:space="preserve"> </w:t>
      </w:r>
    </w:p>
    <w:p w14:paraId="6F71569A" w14:textId="77777777" w:rsidR="002531BE" w:rsidRPr="00331D6F" w:rsidRDefault="002531BE" w:rsidP="002531BE">
      <w:pPr>
        <w:spacing w:after="120"/>
        <w:rPr>
          <w:rFonts w:ascii="Calibri" w:hAnsi="Calibri"/>
        </w:rPr>
      </w:pPr>
      <w:r w:rsidRPr="00331D6F">
        <w:rPr>
          <w:rFonts w:ascii="Calibri" w:hAnsi="Calibri"/>
        </w:rPr>
        <w:t xml:space="preserve"> </w:t>
      </w:r>
    </w:p>
    <w:p w14:paraId="6A14372C" w14:textId="543AC73F" w:rsidR="002531BE" w:rsidRPr="001D789C" w:rsidRDefault="002531BE" w:rsidP="002531BE">
      <w:pPr>
        <w:spacing w:after="120"/>
        <w:rPr>
          <w:rFonts w:ascii="Calibri" w:hAnsi="Calibri"/>
          <w:i/>
          <w:iCs/>
        </w:rPr>
      </w:pPr>
      <w:r w:rsidRPr="001D789C">
        <w:rPr>
          <w:rFonts w:ascii="Calibri" w:hAnsi="Calibri"/>
          <w:i/>
          <w:iCs/>
        </w:rPr>
        <w:t xml:space="preserve"> Zdroj</w:t>
      </w:r>
      <w:r w:rsidR="00311520" w:rsidRPr="001D789C">
        <w:rPr>
          <w:rFonts w:ascii="Calibri" w:hAnsi="Calibri"/>
          <w:i/>
          <w:iCs/>
        </w:rPr>
        <w:t>: autoři</w:t>
      </w:r>
      <w:r w:rsidR="00FB4F9D">
        <w:rPr>
          <w:rFonts w:ascii="Calibri" w:hAnsi="Calibri"/>
          <w:i/>
          <w:iCs/>
        </w:rPr>
        <w:t xml:space="preserve"> dle Půček, Ochrana 2009</w:t>
      </w:r>
    </w:p>
    <w:p w14:paraId="2E17075F" w14:textId="1C4B3D80" w:rsidR="004F685A" w:rsidRDefault="00E1525D" w:rsidP="00311520">
      <w:pPr>
        <w:pStyle w:val="A1-text"/>
        <w:spacing w:after="0"/>
        <w:rPr>
          <w:rFonts w:ascii="Calibri" w:hAnsi="Calibri"/>
          <w:lang w:val="cs-CZ"/>
        </w:rPr>
      </w:pPr>
      <w:r w:rsidRPr="00757323">
        <w:rPr>
          <w:rFonts w:ascii="Calibri" w:hAnsi="Calibri"/>
          <w:lang w:val="cs-CZ"/>
        </w:rPr>
        <w:t xml:space="preserve">První fáze se týká plánování projektu, zpracování projektové žádosti a podání projektu. Žadatel tak obvykle reaguje na danou výzvu k podávání projektů. Ve druhé fázi čeká žadatel </w:t>
      </w:r>
      <w:r w:rsidRPr="00757323">
        <w:rPr>
          <w:rFonts w:ascii="Calibri" w:hAnsi="Calibri"/>
          <w:lang w:val="cs-CZ"/>
        </w:rPr>
        <w:lastRenderedPageBreak/>
        <w:t>na rozhodnutí, zda projekt byl či nebyl schválen. Má samozřejmě také možnost odmítnout schválený projekt. Třetí fáze je fází realizační – realizujeme v projektu schválené aktivity v daných termínech a daném rozpočtu tak, aby byly dosaženy cíle a indikátory projektu</w:t>
      </w:r>
      <w:r w:rsidRPr="00757323">
        <w:rPr>
          <w:rStyle w:val="Znakapoznpodarou"/>
          <w:rFonts w:ascii="Calibri" w:hAnsi="Calibri"/>
          <w:lang w:val="cs-CZ"/>
        </w:rPr>
        <w:footnoteReference w:id="49"/>
      </w:r>
      <w:r w:rsidRPr="00757323">
        <w:rPr>
          <w:rFonts w:ascii="Calibri" w:hAnsi="Calibri"/>
          <w:lang w:val="cs-CZ"/>
        </w:rPr>
        <w:t xml:space="preserve">. Přitom musíme dodržovat podmínky schválené dotace včetně problematiky veřejných zakázek. Třetí fáze končí dokončením projektu. Čtvrtá fáze začíná po ukončení projektu – jde o následné kontroly a zajištění udržitelnosti. </w:t>
      </w:r>
      <w:r w:rsidRPr="00757323">
        <w:rPr>
          <w:rFonts w:ascii="Calibri" w:hAnsi="Calibri"/>
        </w:rPr>
        <w:t>Každá</w:t>
      </w:r>
      <w:r w:rsidRPr="001A7558">
        <w:rPr>
          <w:rFonts w:ascii="Calibri" w:hAnsi="Calibri"/>
        </w:rPr>
        <w:t xml:space="preserve"> z uvedených fází projektu je důležitá a nese sv</w:t>
      </w:r>
      <w:r w:rsidR="00D40AB7">
        <w:rPr>
          <w:rFonts w:ascii="Calibri" w:hAnsi="Calibri"/>
          <w:lang w:val="cs-CZ"/>
        </w:rPr>
        <w:t>á</w:t>
      </w:r>
      <w:r w:rsidRPr="001A7558">
        <w:rPr>
          <w:rFonts w:ascii="Calibri" w:hAnsi="Calibri"/>
        </w:rPr>
        <w:t xml:space="preserve"> rizika a vyžaduje efektivní řízení.</w:t>
      </w:r>
      <w:r>
        <w:rPr>
          <w:rFonts w:ascii="Calibri" w:hAnsi="Calibri"/>
          <w:lang w:val="cs-CZ"/>
        </w:rPr>
        <w:t xml:space="preserve"> </w:t>
      </w:r>
      <w:r w:rsidR="00757323" w:rsidRPr="001A7558">
        <w:rPr>
          <w:rFonts w:ascii="Calibri" w:hAnsi="Calibri"/>
          <w:lang w:val="cs-CZ"/>
        </w:rPr>
        <w:t xml:space="preserve">Významné </w:t>
      </w:r>
      <w:r w:rsidR="00757323" w:rsidRPr="001A7558">
        <w:rPr>
          <w:rFonts w:ascii="Calibri" w:hAnsi="Calibri"/>
          <w:b/>
          <w:lang w:val="cs-CZ"/>
        </w:rPr>
        <w:t>chyby v projektu</w:t>
      </w:r>
      <w:r w:rsidR="00757323" w:rsidRPr="001A7558">
        <w:rPr>
          <w:rFonts w:ascii="Calibri" w:hAnsi="Calibri"/>
          <w:lang w:val="cs-CZ"/>
        </w:rPr>
        <w:t xml:space="preserve"> (které se nepodaří včas napravit) </w:t>
      </w:r>
      <w:r w:rsidR="00311520">
        <w:rPr>
          <w:rFonts w:ascii="Calibri" w:hAnsi="Calibri"/>
          <w:lang w:val="cs-CZ"/>
        </w:rPr>
        <w:t xml:space="preserve">obvykle </w:t>
      </w:r>
      <w:r w:rsidR="00757323" w:rsidRPr="001A7558">
        <w:rPr>
          <w:rFonts w:ascii="Calibri" w:hAnsi="Calibri"/>
          <w:lang w:val="cs-CZ"/>
        </w:rPr>
        <w:t xml:space="preserve">vedou k neuznání části výdajů (v době realizace projektu) nebo k vrácení části nebo všech </w:t>
      </w:r>
      <w:r w:rsidR="00311520">
        <w:rPr>
          <w:rFonts w:ascii="Calibri" w:hAnsi="Calibri"/>
          <w:lang w:val="cs-CZ"/>
        </w:rPr>
        <w:t>prostředků</w:t>
      </w:r>
      <w:r w:rsidR="00757323" w:rsidRPr="001A7558">
        <w:rPr>
          <w:rFonts w:ascii="Calibri" w:hAnsi="Calibri"/>
          <w:lang w:val="cs-CZ"/>
        </w:rPr>
        <w:t xml:space="preserve"> (při následných kontrolách). Výhodnost projektu se musí posuzovat nejen ve vztahu k výši dotace a spoluúčasti </w:t>
      </w:r>
      <w:r w:rsidR="00311520">
        <w:rPr>
          <w:rFonts w:ascii="Calibri" w:hAnsi="Calibri"/>
          <w:lang w:val="cs-CZ"/>
        </w:rPr>
        <w:t>žadatele</w:t>
      </w:r>
      <w:r w:rsidR="00757323" w:rsidRPr="001A7558">
        <w:rPr>
          <w:rFonts w:ascii="Calibri" w:hAnsi="Calibri"/>
          <w:lang w:val="cs-CZ"/>
        </w:rPr>
        <w:t xml:space="preserve">, ale je třeba vyhodnotit </w:t>
      </w:r>
      <w:r w:rsidR="00757323" w:rsidRPr="001A7558">
        <w:rPr>
          <w:rFonts w:ascii="Calibri" w:hAnsi="Calibri"/>
          <w:b/>
          <w:lang w:val="cs-CZ"/>
        </w:rPr>
        <w:t>výši „nezpůsobilých“ (neuznatelných) výdajů</w:t>
      </w:r>
      <w:r w:rsidR="00757323" w:rsidRPr="001A7558">
        <w:rPr>
          <w:rFonts w:ascii="Calibri" w:hAnsi="Calibri"/>
          <w:lang w:val="cs-CZ"/>
        </w:rPr>
        <w:t xml:space="preserve"> projektu během jeho realizace (ne každý výdaj projektu je uznatelný, ale může být pro realizaci nezbytný) a </w:t>
      </w:r>
      <w:r w:rsidR="00757323" w:rsidRPr="001A7558">
        <w:rPr>
          <w:rFonts w:ascii="Calibri" w:hAnsi="Calibri"/>
          <w:b/>
          <w:lang w:val="cs-CZ"/>
        </w:rPr>
        <w:t xml:space="preserve">dopady do rozpočtu </w:t>
      </w:r>
      <w:r w:rsidR="00757323" w:rsidRPr="001A7558">
        <w:rPr>
          <w:rFonts w:ascii="Calibri" w:hAnsi="Calibri"/>
          <w:lang w:val="cs-CZ"/>
        </w:rPr>
        <w:t xml:space="preserve">(běžné i případně investiční výdaje) po ukončení projektu (po dobu udržitelnosti i dále). U investičních projektů může jít například </w:t>
      </w:r>
      <w:r w:rsidR="00757323">
        <w:rPr>
          <w:rFonts w:ascii="Calibri" w:hAnsi="Calibri"/>
          <w:lang w:val="cs-CZ"/>
        </w:rPr>
        <w:t xml:space="preserve">u dopadů do provozního rozpočtu </w:t>
      </w:r>
      <w:r w:rsidR="00757323" w:rsidRPr="001A7558">
        <w:rPr>
          <w:rFonts w:ascii="Calibri" w:hAnsi="Calibri"/>
          <w:lang w:val="cs-CZ"/>
        </w:rPr>
        <w:t xml:space="preserve">o zvýšení odpisů, zvýšení výdajů na energie, zajištění oprav či údržby, různé druhy revizí, platy zaměstnanců atd. </w:t>
      </w:r>
    </w:p>
    <w:p w14:paraId="714E81B2" w14:textId="77777777" w:rsidR="004F685A" w:rsidRDefault="004F685A" w:rsidP="00311520">
      <w:pPr>
        <w:pStyle w:val="A1-text"/>
        <w:spacing w:after="0"/>
        <w:rPr>
          <w:rFonts w:ascii="Calibri" w:hAnsi="Calibri"/>
          <w:lang w:val="cs-CZ"/>
        </w:rPr>
      </w:pPr>
    </w:p>
    <w:p w14:paraId="40E70A7E" w14:textId="7F187F2D" w:rsidR="004F685A" w:rsidRDefault="004F685A" w:rsidP="004F685A">
      <w:pPr>
        <w:pStyle w:val="Nadpis2"/>
        <w:spacing w:before="240" w:after="120"/>
        <w:ind w:left="578" w:hanging="578"/>
        <w:rPr>
          <w:rFonts w:asciiTheme="minorHAnsi" w:hAnsiTheme="minorHAnsi" w:cstheme="minorHAnsi"/>
          <w:color w:val="7493B0"/>
          <w:sz w:val="24"/>
          <w:szCs w:val="24"/>
          <w:lang w:val="cs-CZ"/>
        </w:rPr>
      </w:pPr>
      <w:bookmarkStart w:id="57" w:name="_Toc117270012"/>
      <w:r w:rsidRPr="004F685A">
        <w:rPr>
          <w:rFonts w:asciiTheme="minorHAnsi" w:hAnsiTheme="minorHAnsi" w:cstheme="minorHAnsi"/>
          <w:color w:val="7493B0"/>
          <w:sz w:val="24"/>
          <w:szCs w:val="24"/>
          <w:lang w:val="cs-CZ"/>
        </w:rPr>
        <w:t>Změny rozpočtu</w:t>
      </w:r>
      <w:bookmarkEnd w:id="57"/>
    </w:p>
    <w:p w14:paraId="4A2F808E" w14:textId="54124E25" w:rsidR="00C03F8A" w:rsidRDefault="00DC7A1A" w:rsidP="00C03F8A">
      <w:pPr>
        <w:jc w:val="both"/>
        <w:rPr>
          <w:rFonts w:ascii="Calibri" w:hAnsi="Calibri"/>
          <w:lang w:eastAsia="x-none"/>
        </w:rPr>
      </w:pPr>
      <w:r>
        <w:rPr>
          <w:rFonts w:ascii="Calibri" w:hAnsi="Calibri"/>
          <w:lang w:eastAsia="x-none"/>
        </w:rPr>
        <w:t xml:space="preserve">V rámci strategické práce se mohou vyskytnout důvody, kdy je nezbytné požádat o změnu rozpočtu. Například z důvodu, že došlo ke změně legislativy, organizační struktury, změně strategie nebo se mohla změnit významně situace nebo podmínky. </w:t>
      </w:r>
      <w:r w:rsidR="004F685A" w:rsidRPr="004F685A">
        <w:rPr>
          <w:rFonts w:ascii="Calibri" w:hAnsi="Calibri"/>
          <w:lang w:eastAsia="x-none"/>
        </w:rPr>
        <w:t xml:space="preserve">Provádění změn rozpočtu je jak u státu, tak u samospráv běžné. </w:t>
      </w:r>
      <w:r w:rsidR="004F685A">
        <w:rPr>
          <w:rFonts w:ascii="Calibri" w:hAnsi="Calibri"/>
          <w:lang w:eastAsia="x-none"/>
        </w:rPr>
        <w:t>Podmínky a postup určují rozpočtová pravidla a u konkrétní instituce též vnitřní předpisy a zvyklosti. Změn</w:t>
      </w:r>
      <w:r w:rsidR="00C03F8A">
        <w:rPr>
          <w:rFonts w:ascii="Calibri" w:hAnsi="Calibri"/>
          <w:lang w:eastAsia="x-none"/>
        </w:rPr>
        <w:t>a</w:t>
      </w:r>
      <w:r w:rsidR="004F685A">
        <w:rPr>
          <w:rFonts w:ascii="Calibri" w:hAnsi="Calibri"/>
          <w:lang w:eastAsia="x-none"/>
        </w:rPr>
        <w:t xml:space="preserve"> rozpočtu je </w:t>
      </w:r>
      <w:r w:rsidR="00C03F8A">
        <w:rPr>
          <w:rFonts w:ascii="Calibri" w:hAnsi="Calibri"/>
          <w:lang w:eastAsia="x-none"/>
        </w:rPr>
        <w:t>v souladu se zákonem nazývána</w:t>
      </w:r>
      <w:r w:rsidR="004F685A">
        <w:rPr>
          <w:rFonts w:ascii="Calibri" w:hAnsi="Calibri"/>
          <w:lang w:eastAsia="x-none"/>
        </w:rPr>
        <w:t xml:space="preserve"> „rozpočtovým opatřením“.</w:t>
      </w:r>
      <w:r w:rsidR="00C03F8A">
        <w:rPr>
          <w:rFonts w:ascii="Calibri" w:hAnsi="Calibri"/>
          <w:lang w:eastAsia="x-none"/>
        </w:rPr>
        <w:t xml:space="preserve"> Každé rozpočtové opatření je nezbytné řádně odůvodnit, provést potřebné analýz. Dle zákona o rozpočtových pravidlech jsou změny rozpočtu možné jen na základě jedné ze tří možností:</w:t>
      </w:r>
    </w:p>
    <w:p w14:paraId="688D08E7" w14:textId="571FBEAE" w:rsidR="00C03F8A" w:rsidRDefault="00C03F8A" w:rsidP="00C03F8A">
      <w:pPr>
        <w:pStyle w:val="Odstavecseseznamem"/>
        <w:numPr>
          <w:ilvl w:val="0"/>
          <w:numId w:val="36"/>
        </w:numPr>
        <w:jc w:val="both"/>
        <w:rPr>
          <w:rFonts w:ascii="Calibri" w:hAnsi="Calibri"/>
          <w:lang w:eastAsia="x-none"/>
        </w:rPr>
      </w:pPr>
      <w:r>
        <w:rPr>
          <w:rFonts w:ascii="Calibri" w:hAnsi="Calibri"/>
          <w:lang w:eastAsia="x-none"/>
        </w:rPr>
        <w:lastRenderedPageBreak/>
        <w:t>Organizační změny - například dojde ke změně organizační struktury úřadu a je adekvátně k tomu nutné upravit rozpočet. Teoreticky se to může týkat též strategické práce – například útvar či osoby zajišťující strategickou práci jsou přesunuty do jiného útvaru včetně rozpočtu na přípravu / realizaci strategie a projekty.</w:t>
      </w:r>
    </w:p>
    <w:p w14:paraId="3D4D81A4" w14:textId="23E7EAFD" w:rsidR="00C03F8A" w:rsidRDefault="00C03F8A" w:rsidP="0017160F">
      <w:pPr>
        <w:pStyle w:val="Odstavecseseznamem"/>
        <w:numPr>
          <w:ilvl w:val="0"/>
          <w:numId w:val="36"/>
        </w:numPr>
        <w:jc w:val="both"/>
        <w:rPr>
          <w:rFonts w:ascii="Calibri" w:hAnsi="Calibri"/>
          <w:lang w:eastAsia="x-none"/>
        </w:rPr>
      </w:pPr>
      <w:r w:rsidRPr="00C03F8A">
        <w:rPr>
          <w:rFonts w:ascii="Calibri" w:hAnsi="Calibri"/>
          <w:lang w:eastAsia="x-none"/>
        </w:rPr>
        <w:t xml:space="preserve">Metodické změny </w:t>
      </w:r>
      <w:r w:rsidR="00220B50">
        <w:rPr>
          <w:rFonts w:ascii="Calibri" w:hAnsi="Calibri"/>
          <w:lang w:eastAsia="x-none"/>
        </w:rPr>
        <w:t xml:space="preserve">- </w:t>
      </w:r>
      <w:r w:rsidRPr="00C03F8A">
        <w:rPr>
          <w:rFonts w:ascii="Calibri" w:hAnsi="Calibri"/>
          <w:lang w:eastAsia="x-none"/>
        </w:rPr>
        <w:t xml:space="preserve">souvisí se </w:t>
      </w:r>
      <w:r>
        <w:rPr>
          <w:rFonts w:ascii="Calibri" w:hAnsi="Calibri"/>
          <w:lang w:eastAsia="x-none"/>
        </w:rPr>
        <w:t>změnami</w:t>
      </w:r>
      <w:r w:rsidRPr="004F685A">
        <w:rPr>
          <w:rFonts w:ascii="Calibri" w:hAnsi="Calibri"/>
          <w:lang w:eastAsia="x-none"/>
        </w:rPr>
        <w:t xml:space="preserve"> právních předpisů ovlivňujících výši rozpočtovaných příjmů nebo výdajů</w:t>
      </w:r>
      <w:r>
        <w:rPr>
          <w:rFonts w:ascii="Calibri" w:hAnsi="Calibri"/>
          <w:lang w:eastAsia="x-none"/>
        </w:rPr>
        <w:t>.</w:t>
      </w:r>
      <w:r w:rsidR="00220B50">
        <w:rPr>
          <w:rFonts w:ascii="Calibri" w:hAnsi="Calibri"/>
          <w:lang w:eastAsia="x-none"/>
        </w:rPr>
        <w:t xml:space="preserve"> </w:t>
      </w:r>
    </w:p>
    <w:p w14:paraId="43295161" w14:textId="06BB004B" w:rsidR="00C03F8A" w:rsidRPr="00C03F8A" w:rsidRDefault="00C03F8A" w:rsidP="0017160F">
      <w:pPr>
        <w:pStyle w:val="Odstavecseseznamem"/>
        <w:numPr>
          <w:ilvl w:val="0"/>
          <w:numId w:val="36"/>
        </w:numPr>
        <w:jc w:val="both"/>
        <w:rPr>
          <w:rFonts w:ascii="Calibri" w:hAnsi="Calibri"/>
          <w:lang w:eastAsia="x-none"/>
        </w:rPr>
      </w:pPr>
      <w:r w:rsidRPr="00C03F8A">
        <w:rPr>
          <w:rFonts w:ascii="Calibri" w:hAnsi="Calibri"/>
          <w:lang w:eastAsia="x-none"/>
        </w:rPr>
        <w:t xml:space="preserve">Věcné změny (jde o </w:t>
      </w:r>
      <w:r w:rsidRPr="004F685A">
        <w:rPr>
          <w:rFonts w:ascii="Calibri" w:hAnsi="Calibri"/>
          <w:lang w:eastAsia="x-none"/>
        </w:rPr>
        <w:t>změny objektivně působících skutečností ovlivňujících plnění rozpočtu příjmů či výdajů</w:t>
      </w:r>
      <w:r>
        <w:rPr>
          <w:rFonts w:ascii="Calibri" w:hAnsi="Calibri"/>
          <w:lang w:eastAsia="x-none"/>
        </w:rPr>
        <w:t>).</w:t>
      </w:r>
      <w:r w:rsidR="00220B50">
        <w:rPr>
          <w:rFonts w:ascii="Calibri" w:hAnsi="Calibri"/>
          <w:lang w:eastAsia="x-none"/>
        </w:rPr>
        <w:t xml:space="preserve"> Věcné změny mohou být nejčastějším důvodem, proč je třeba z hlediska strategické práce měnit rozpočet. Například může dojít k tomu, že na konkrétní projekt nebo opatření jsou zajišťovány veřejnou zakázkou a cena veřejné zakázky přesáhne rozpočtované prostředky například z důvodu růstu cen.</w:t>
      </w:r>
    </w:p>
    <w:p w14:paraId="0BAE447C" w14:textId="31D798F9" w:rsidR="00205BC5" w:rsidRDefault="00C03F8A" w:rsidP="00220B50">
      <w:pPr>
        <w:jc w:val="both"/>
        <w:rPr>
          <w:rFonts w:ascii="Calibri" w:hAnsi="Calibri"/>
          <w:b/>
          <w:bCs/>
          <w:color w:val="7493B0"/>
          <w:sz w:val="32"/>
          <w:szCs w:val="28"/>
        </w:rPr>
      </w:pPr>
      <w:r>
        <w:rPr>
          <w:rFonts w:ascii="Calibri" w:hAnsi="Calibri"/>
          <w:lang w:eastAsia="x-none"/>
        </w:rPr>
        <w:t xml:space="preserve">Rozpočtové opatření u samospráv schvaluje zastupitelstvo, respektive je oprávněna je provádět rada </w:t>
      </w:r>
      <w:r w:rsidRPr="00C03F8A">
        <w:rPr>
          <w:rFonts w:ascii="Calibri" w:hAnsi="Calibri"/>
          <w:lang w:eastAsia="x-none"/>
        </w:rPr>
        <w:t>v rozsahu stanoveném zastupitelstvem obce</w:t>
      </w:r>
      <w:r>
        <w:rPr>
          <w:rFonts w:ascii="Calibri" w:hAnsi="Calibri"/>
          <w:lang w:eastAsia="x-none"/>
        </w:rPr>
        <w:t>.</w:t>
      </w:r>
      <w:r w:rsidR="00205BC5">
        <w:rPr>
          <w:rFonts w:ascii="Calibri" w:hAnsi="Calibri"/>
          <w:color w:val="7493B0"/>
          <w:sz w:val="32"/>
        </w:rPr>
        <w:br w:type="page"/>
      </w:r>
    </w:p>
    <w:p w14:paraId="13ADE600" w14:textId="6557E939" w:rsidR="00F85B23" w:rsidRPr="00F85B23" w:rsidRDefault="009D2B4B" w:rsidP="00F85B23">
      <w:pPr>
        <w:pStyle w:val="Nadpis1"/>
        <w:spacing w:before="240" w:after="120"/>
        <w:ind w:left="431" w:hanging="431"/>
        <w:rPr>
          <w:rFonts w:ascii="Calibri" w:hAnsi="Calibri"/>
          <w:color w:val="7493B0"/>
          <w:sz w:val="32"/>
          <w:lang w:val="cs-CZ"/>
        </w:rPr>
      </w:pPr>
      <w:bookmarkStart w:id="58" w:name="_Toc117270013"/>
      <w:r>
        <w:rPr>
          <w:rFonts w:ascii="Calibri" w:hAnsi="Calibri"/>
          <w:color w:val="7493B0"/>
          <w:sz w:val="32"/>
          <w:lang w:val="cs-CZ"/>
        </w:rPr>
        <w:lastRenderedPageBreak/>
        <w:t>Strategická práce a č</w:t>
      </w:r>
      <w:r w:rsidR="00F85B23">
        <w:rPr>
          <w:rFonts w:ascii="Calibri" w:hAnsi="Calibri"/>
          <w:color w:val="7493B0"/>
          <w:sz w:val="32"/>
          <w:lang w:val="cs-CZ"/>
        </w:rPr>
        <w:t>tvrtá</w:t>
      </w:r>
      <w:r w:rsidR="00F85B23" w:rsidRPr="00F85B23">
        <w:rPr>
          <w:rFonts w:ascii="Calibri" w:hAnsi="Calibri"/>
          <w:color w:val="7493B0"/>
          <w:sz w:val="32"/>
          <w:lang w:val="cs-CZ"/>
        </w:rPr>
        <w:t xml:space="preserve"> fáze </w:t>
      </w:r>
      <w:r w:rsidR="00F85B23">
        <w:rPr>
          <w:rFonts w:ascii="Calibri" w:hAnsi="Calibri"/>
          <w:color w:val="7493B0"/>
          <w:sz w:val="32"/>
          <w:lang w:val="cs-CZ"/>
        </w:rPr>
        <w:t>rozpočtového procesu</w:t>
      </w:r>
      <w:r w:rsidR="00F85B23" w:rsidRPr="00F85B23">
        <w:rPr>
          <w:rFonts w:ascii="Calibri" w:hAnsi="Calibri"/>
          <w:color w:val="7493B0"/>
          <w:sz w:val="32"/>
          <w:lang w:val="cs-CZ"/>
        </w:rPr>
        <w:t xml:space="preserve">: </w:t>
      </w:r>
      <w:r w:rsidR="00F85B23">
        <w:rPr>
          <w:rFonts w:ascii="Calibri" w:hAnsi="Calibri"/>
          <w:color w:val="7493B0"/>
          <w:sz w:val="32"/>
          <w:lang w:val="cs-CZ"/>
        </w:rPr>
        <w:t xml:space="preserve">zpracování </w:t>
      </w:r>
      <w:r w:rsidR="00A22812">
        <w:rPr>
          <w:rFonts w:ascii="Calibri" w:hAnsi="Calibri"/>
          <w:color w:val="7493B0"/>
          <w:sz w:val="32"/>
          <w:lang w:val="cs-CZ"/>
        </w:rPr>
        <w:t xml:space="preserve">a schválení </w:t>
      </w:r>
      <w:r w:rsidR="00F85B23">
        <w:rPr>
          <w:rFonts w:ascii="Calibri" w:hAnsi="Calibri"/>
          <w:color w:val="7493B0"/>
          <w:sz w:val="32"/>
          <w:lang w:val="cs-CZ"/>
        </w:rPr>
        <w:t>závěrečného účtu</w:t>
      </w:r>
      <w:bookmarkEnd w:id="58"/>
    </w:p>
    <w:p w14:paraId="23BDD9AD" w14:textId="5B45B3A1" w:rsidR="00D31C74" w:rsidRDefault="0082143E" w:rsidP="00D31C74">
      <w:pPr>
        <w:pStyle w:val="A1-text"/>
        <w:spacing w:after="0"/>
        <w:rPr>
          <w:rFonts w:asciiTheme="minorHAnsi" w:hAnsiTheme="minorHAnsi" w:cstheme="minorHAnsi"/>
          <w:lang w:val="cs-CZ"/>
        </w:rPr>
      </w:pPr>
      <w:bookmarkStart w:id="59" w:name="_Toc75781889"/>
      <w:bookmarkStart w:id="60" w:name="_Toc78206001"/>
      <w:r>
        <w:rPr>
          <w:rFonts w:asciiTheme="minorHAnsi" w:hAnsiTheme="minorHAnsi" w:cstheme="minorHAnsi"/>
          <w:lang w:val="cs-CZ"/>
        </w:rPr>
        <w:t>Z hlediska strategické práce je důležité vědět, že rozpočet</w:t>
      </w:r>
      <w:r w:rsidRPr="0082143E">
        <w:rPr>
          <w:rFonts w:asciiTheme="minorHAnsi" w:hAnsiTheme="minorHAnsi" w:cstheme="minorHAnsi"/>
        </w:rPr>
        <w:t xml:space="preserve"> </w:t>
      </w:r>
      <w:r>
        <w:rPr>
          <w:rFonts w:asciiTheme="minorHAnsi" w:hAnsiTheme="minorHAnsi" w:cstheme="minorHAnsi"/>
          <w:lang w:val="cs-CZ"/>
        </w:rPr>
        <w:t xml:space="preserve">za předchozí rok </w:t>
      </w:r>
      <w:r w:rsidRPr="0082143E">
        <w:rPr>
          <w:rFonts w:asciiTheme="minorHAnsi" w:hAnsiTheme="minorHAnsi" w:cstheme="minorHAnsi"/>
        </w:rPr>
        <w:t xml:space="preserve">je formálně uzavřen </w:t>
      </w:r>
      <w:r w:rsidRPr="0082143E">
        <w:rPr>
          <w:rFonts w:asciiTheme="minorHAnsi" w:hAnsiTheme="minorHAnsi" w:cstheme="minorHAnsi"/>
          <w:lang w:val="cs-CZ"/>
        </w:rPr>
        <w:t>schválením</w:t>
      </w:r>
      <w:r w:rsidRPr="0082143E">
        <w:rPr>
          <w:rFonts w:asciiTheme="minorHAnsi" w:hAnsiTheme="minorHAnsi" w:cstheme="minorHAnsi"/>
        </w:rPr>
        <w:t xml:space="preserve"> závěrečného účtu. </w:t>
      </w:r>
      <w:r w:rsidR="001939A5" w:rsidRPr="00D31C74">
        <w:rPr>
          <w:rFonts w:asciiTheme="minorHAnsi" w:hAnsiTheme="minorHAnsi" w:cstheme="minorHAnsi"/>
          <w:b/>
          <w:lang w:val="cs-CZ"/>
        </w:rPr>
        <w:t>Závěrečný účet je z hlediska strategické práce velmi důležitým analytickým dokumentem, který podrobně hodnotí hospodaření za předcházející rok</w:t>
      </w:r>
      <w:r w:rsidR="00D31C74" w:rsidRPr="00D31C74">
        <w:rPr>
          <w:rFonts w:asciiTheme="minorHAnsi" w:hAnsiTheme="minorHAnsi" w:cstheme="minorHAnsi"/>
          <w:b/>
          <w:lang w:val="cs-CZ"/>
        </w:rPr>
        <w:t>, a to včetně vyhodnocení investic</w:t>
      </w:r>
      <w:r w:rsidR="00D31C74">
        <w:rPr>
          <w:rFonts w:asciiTheme="minorHAnsi" w:hAnsiTheme="minorHAnsi" w:cstheme="minorHAnsi"/>
          <w:lang w:val="cs-CZ"/>
        </w:rPr>
        <w:t xml:space="preserve">, které jsou pro naplňování strategií v samosprávách </w:t>
      </w:r>
      <w:r w:rsidR="00C71CC4">
        <w:rPr>
          <w:rFonts w:asciiTheme="minorHAnsi" w:hAnsiTheme="minorHAnsi" w:cstheme="minorHAnsi"/>
          <w:lang w:val="cs-CZ"/>
        </w:rPr>
        <w:t xml:space="preserve">obvykle </w:t>
      </w:r>
      <w:r w:rsidR="00D31C74">
        <w:rPr>
          <w:rFonts w:asciiTheme="minorHAnsi" w:hAnsiTheme="minorHAnsi" w:cstheme="minorHAnsi"/>
          <w:lang w:val="cs-CZ"/>
        </w:rPr>
        <w:t>zásadní.</w:t>
      </w:r>
      <w:r w:rsidR="001939A5">
        <w:rPr>
          <w:rFonts w:asciiTheme="minorHAnsi" w:hAnsiTheme="minorHAnsi" w:cstheme="minorHAnsi"/>
          <w:lang w:val="cs-CZ"/>
        </w:rPr>
        <w:t xml:space="preserve"> </w:t>
      </w:r>
      <w:r w:rsidR="00D31C74">
        <w:rPr>
          <w:rFonts w:asciiTheme="minorHAnsi" w:hAnsiTheme="minorHAnsi" w:cstheme="minorHAnsi"/>
          <w:lang w:val="cs-CZ"/>
        </w:rPr>
        <w:t>V závěrečném účtu j</w:t>
      </w:r>
      <w:r w:rsidR="001939A5">
        <w:rPr>
          <w:rFonts w:asciiTheme="minorHAnsi" w:hAnsiTheme="minorHAnsi" w:cstheme="minorHAnsi"/>
          <w:lang w:val="cs-CZ"/>
        </w:rPr>
        <w:t xml:space="preserve">sou </w:t>
      </w:r>
      <w:r w:rsidR="001939A5" w:rsidRPr="001939A5">
        <w:rPr>
          <w:rFonts w:asciiTheme="minorHAnsi" w:hAnsiTheme="minorHAnsi" w:cstheme="minorHAnsi"/>
          <w:lang w:val="cs-CZ"/>
        </w:rPr>
        <w:t>údaje o plnění rozpočtu příjmů a výdajů</w:t>
      </w:r>
      <w:r w:rsidR="001939A5">
        <w:rPr>
          <w:rFonts w:asciiTheme="minorHAnsi" w:hAnsiTheme="minorHAnsi" w:cstheme="minorHAnsi"/>
          <w:lang w:val="cs-CZ"/>
        </w:rPr>
        <w:t xml:space="preserve">, </w:t>
      </w:r>
      <w:r w:rsidR="001939A5" w:rsidRPr="001939A5">
        <w:rPr>
          <w:rFonts w:asciiTheme="minorHAnsi" w:hAnsiTheme="minorHAnsi" w:cstheme="minorHAnsi"/>
          <w:lang w:val="cs-CZ"/>
        </w:rPr>
        <w:t>údaje o hospodaření s majetkem a o dalších finančních operacích, včetně t</w:t>
      </w:r>
      <w:r w:rsidR="001939A5">
        <w:rPr>
          <w:rFonts w:asciiTheme="minorHAnsi" w:hAnsiTheme="minorHAnsi" w:cstheme="minorHAnsi"/>
          <w:lang w:val="cs-CZ"/>
        </w:rPr>
        <w:t xml:space="preserve">vorby a použití peněžních fondů. Přičemž je nezbytné, aby byl </w:t>
      </w:r>
      <w:r w:rsidR="00D31C74">
        <w:rPr>
          <w:rFonts w:asciiTheme="minorHAnsi" w:hAnsiTheme="minorHAnsi" w:cstheme="minorHAnsi"/>
          <w:lang w:val="cs-CZ"/>
        </w:rPr>
        <w:t xml:space="preserve">závěrečný účet </w:t>
      </w:r>
      <w:r w:rsidR="001939A5">
        <w:rPr>
          <w:rFonts w:asciiTheme="minorHAnsi" w:hAnsiTheme="minorHAnsi" w:cstheme="minorHAnsi"/>
          <w:lang w:val="cs-CZ"/>
        </w:rPr>
        <w:t xml:space="preserve">v takové míře podrobnosti, </w:t>
      </w:r>
      <w:r w:rsidR="001939A5" w:rsidRPr="001939A5">
        <w:rPr>
          <w:rFonts w:asciiTheme="minorHAnsi" w:hAnsiTheme="minorHAnsi" w:cstheme="minorHAnsi"/>
          <w:lang w:val="cs-CZ"/>
        </w:rPr>
        <w:t xml:space="preserve">aby bylo možné zhodnotit </w:t>
      </w:r>
      <w:r w:rsidR="001939A5">
        <w:rPr>
          <w:rFonts w:asciiTheme="minorHAnsi" w:hAnsiTheme="minorHAnsi" w:cstheme="minorHAnsi"/>
          <w:lang w:val="cs-CZ"/>
        </w:rPr>
        <w:t xml:space="preserve">jak </w:t>
      </w:r>
      <w:r w:rsidR="001939A5" w:rsidRPr="001939A5">
        <w:rPr>
          <w:rFonts w:asciiTheme="minorHAnsi" w:hAnsiTheme="minorHAnsi" w:cstheme="minorHAnsi"/>
          <w:lang w:val="cs-CZ"/>
        </w:rPr>
        <w:t xml:space="preserve">hospodaření </w:t>
      </w:r>
      <w:r w:rsidR="001939A5">
        <w:rPr>
          <w:rFonts w:asciiTheme="minorHAnsi" w:hAnsiTheme="minorHAnsi" w:cstheme="minorHAnsi"/>
          <w:lang w:val="cs-CZ"/>
        </w:rPr>
        <w:t xml:space="preserve">samosprávy (obce, kraje), tak </w:t>
      </w:r>
      <w:r w:rsidR="001939A5" w:rsidRPr="001939A5">
        <w:rPr>
          <w:rFonts w:asciiTheme="minorHAnsi" w:hAnsiTheme="minorHAnsi" w:cstheme="minorHAnsi"/>
          <w:lang w:val="cs-CZ"/>
        </w:rPr>
        <w:t>jimi zřízených nebo založených právnických osob.</w:t>
      </w:r>
      <w:r w:rsidR="001939A5">
        <w:rPr>
          <w:rFonts w:asciiTheme="minorHAnsi" w:hAnsiTheme="minorHAnsi" w:cstheme="minorHAnsi"/>
          <w:lang w:val="cs-CZ"/>
        </w:rPr>
        <w:t xml:space="preserve"> </w:t>
      </w:r>
      <w:r w:rsidR="00D31C74">
        <w:rPr>
          <w:rFonts w:asciiTheme="minorHAnsi" w:hAnsiTheme="minorHAnsi" w:cstheme="minorHAnsi"/>
          <w:lang w:val="cs-CZ"/>
        </w:rPr>
        <w:t xml:space="preserve">Ze závěrečného účtu tak musí být patrné, jak byly prostředky využity </w:t>
      </w:r>
      <w:r w:rsidR="00D31C74" w:rsidRPr="00D31C74">
        <w:rPr>
          <w:rFonts w:asciiTheme="minorHAnsi" w:hAnsiTheme="minorHAnsi" w:cstheme="minorHAnsi"/>
          <w:lang w:val="cs-CZ"/>
        </w:rPr>
        <w:t xml:space="preserve">a jak byly věcně naplněny činnosti a aktivity, na které byly finanční prostředky daného rozpočtu vynaloženy. </w:t>
      </w:r>
      <w:r w:rsidR="00D31C74">
        <w:rPr>
          <w:rFonts w:asciiTheme="minorHAnsi" w:hAnsiTheme="minorHAnsi" w:cstheme="minorHAnsi"/>
          <w:lang w:val="cs-CZ"/>
        </w:rPr>
        <w:t xml:space="preserve">S ohledem na tuto skutečnost se v samosprávách často </w:t>
      </w:r>
      <w:r w:rsidR="00D31C74" w:rsidRPr="00D31C74">
        <w:rPr>
          <w:rFonts w:asciiTheme="minorHAnsi" w:hAnsiTheme="minorHAnsi" w:cstheme="minorHAnsi"/>
          <w:b/>
          <w:lang w:val="cs-CZ"/>
        </w:rPr>
        <w:t>souběžně (ve stejném termínu) předkládá schválení závěrečného účtu a schválení vyhodnocení strategie za předcházející rok</w:t>
      </w:r>
      <w:r w:rsidR="00D31C74">
        <w:rPr>
          <w:rFonts w:asciiTheme="minorHAnsi" w:hAnsiTheme="minorHAnsi" w:cstheme="minorHAnsi"/>
          <w:lang w:val="cs-CZ"/>
        </w:rPr>
        <w:t xml:space="preserve">. </w:t>
      </w:r>
      <w:r w:rsidR="00D31C74" w:rsidRPr="00D31C74">
        <w:rPr>
          <w:rFonts w:asciiTheme="minorHAnsi" w:hAnsiTheme="minorHAnsi" w:cstheme="minorHAnsi"/>
          <w:lang w:val="cs-CZ"/>
        </w:rPr>
        <w:t>Informace ze závěrečného účtu mohou také vyvolat změny rozpočtu běžného roku</w:t>
      </w:r>
      <w:r w:rsidR="00D31C74">
        <w:rPr>
          <w:rFonts w:asciiTheme="minorHAnsi" w:hAnsiTheme="minorHAnsi" w:cstheme="minorHAnsi"/>
          <w:lang w:val="cs-CZ"/>
        </w:rPr>
        <w:t xml:space="preserve">. </w:t>
      </w:r>
    </w:p>
    <w:p w14:paraId="682D0037" w14:textId="32DDD452" w:rsidR="00D31C74" w:rsidRDefault="00D31C74" w:rsidP="00BD65C8">
      <w:pPr>
        <w:pStyle w:val="A1-text"/>
        <w:spacing w:after="0"/>
        <w:rPr>
          <w:rFonts w:asciiTheme="minorHAnsi" w:hAnsiTheme="minorHAnsi" w:cstheme="minorHAnsi"/>
          <w:lang w:val="cs-CZ"/>
        </w:rPr>
      </w:pPr>
    </w:p>
    <w:p w14:paraId="22C29341" w14:textId="1A6A3A43" w:rsidR="005B1305" w:rsidRDefault="00D31C74" w:rsidP="00BD65C8">
      <w:pPr>
        <w:pStyle w:val="A1-text"/>
        <w:spacing w:after="0"/>
        <w:rPr>
          <w:rFonts w:asciiTheme="minorHAnsi" w:hAnsiTheme="minorHAnsi" w:cstheme="minorHAnsi"/>
          <w:lang w:val="cs-CZ"/>
        </w:rPr>
      </w:pPr>
      <w:r>
        <w:rPr>
          <w:rFonts w:asciiTheme="minorHAnsi" w:hAnsiTheme="minorHAnsi" w:cstheme="minorHAnsi"/>
          <w:lang w:val="cs-CZ"/>
        </w:rPr>
        <w:t xml:space="preserve">Před schválením závěrečného účtu </w:t>
      </w:r>
      <w:r w:rsidR="0082143E">
        <w:rPr>
          <w:rFonts w:asciiTheme="minorHAnsi" w:hAnsiTheme="minorHAnsi" w:cstheme="minorHAnsi"/>
          <w:lang w:val="cs-CZ"/>
        </w:rPr>
        <w:t xml:space="preserve">musí být provedena roční účetní závěrka. </w:t>
      </w:r>
      <w:r w:rsidR="00BD65C8" w:rsidRPr="0082143E">
        <w:rPr>
          <w:rFonts w:asciiTheme="minorHAnsi" w:hAnsiTheme="minorHAnsi" w:cstheme="minorHAnsi"/>
          <w:lang w:val="cs-CZ"/>
        </w:rPr>
        <w:t xml:space="preserve">Zpracování závěrečného účtu </w:t>
      </w:r>
      <w:r w:rsidR="00BD65C8" w:rsidRPr="0082143E">
        <w:rPr>
          <w:rFonts w:asciiTheme="minorHAnsi" w:hAnsiTheme="minorHAnsi" w:cstheme="minorHAnsi"/>
        </w:rPr>
        <w:t>je</w:t>
      </w:r>
      <w:r w:rsidR="00BD65C8" w:rsidRPr="00E628CC">
        <w:rPr>
          <w:rFonts w:asciiTheme="minorHAnsi" w:hAnsiTheme="minorHAnsi" w:cstheme="minorHAnsi"/>
        </w:rPr>
        <w:t xml:space="preserve"> </w:t>
      </w:r>
      <w:r w:rsidR="005B1305">
        <w:rPr>
          <w:rFonts w:asciiTheme="minorHAnsi" w:hAnsiTheme="minorHAnsi" w:cstheme="minorHAnsi"/>
          <w:lang w:val="cs-CZ"/>
        </w:rPr>
        <w:t>čtvrtou a poslední</w:t>
      </w:r>
      <w:r w:rsidR="00BD65C8" w:rsidRPr="00E628CC">
        <w:rPr>
          <w:rFonts w:asciiTheme="minorHAnsi" w:hAnsiTheme="minorHAnsi" w:cstheme="minorHAnsi"/>
        </w:rPr>
        <w:t xml:space="preserve"> fází rozpočtového procesu.</w:t>
      </w:r>
      <w:r w:rsidR="00BD65C8" w:rsidRPr="008D26C2">
        <w:rPr>
          <w:rFonts w:asciiTheme="minorHAnsi" w:hAnsiTheme="minorHAnsi" w:cstheme="minorHAnsi"/>
        </w:rPr>
        <w:t xml:space="preserve"> P</w:t>
      </w:r>
      <w:r w:rsidR="00BD65C8">
        <w:rPr>
          <w:rFonts w:asciiTheme="minorHAnsi" w:hAnsiTheme="minorHAnsi" w:cstheme="minorHAnsi"/>
        </w:rPr>
        <w:t xml:space="preserve">robíhá </w:t>
      </w:r>
      <w:r w:rsidR="005B1305">
        <w:rPr>
          <w:rFonts w:asciiTheme="minorHAnsi" w:hAnsiTheme="minorHAnsi" w:cstheme="minorHAnsi"/>
          <w:lang w:val="cs-CZ"/>
        </w:rPr>
        <w:t>od 1.1. roku do doby schválení závěrečného účtu za předcházející rok</w:t>
      </w:r>
      <w:r w:rsidR="00BD65C8">
        <w:rPr>
          <w:rFonts w:asciiTheme="minorHAnsi" w:hAnsiTheme="minorHAnsi" w:cstheme="minorHAnsi"/>
        </w:rPr>
        <w:t xml:space="preserve">. </w:t>
      </w:r>
      <w:r w:rsidR="0042031A">
        <w:rPr>
          <w:rFonts w:asciiTheme="minorHAnsi" w:hAnsiTheme="minorHAnsi" w:cstheme="minorHAnsi"/>
          <w:lang w:val="cs-CZ"/>
        </w:rPr>
        <w:t>Poslanecká sněmovna, respektive obec nebo kraj se v jednom roce věnují rozpočtu nejméně dvakrát:</w:t>
      </w:r>
    </w:p>
    <w:p w14:paraId="2DA56E25" w14:textId="5BA2C2DA" w:rsidR="0042031A" w:rsidRDefault="0042031A" w:rsidP="00D31C74">
      <w:pPr>
        <w:pStyle w:val="A1-text"/>
        <w:numPr>
          <w:ilvl w:val="1"/>
          <w:numId w:val="65"/>
        </w:numPr>
        <w:spacing w:after="0"/>
        <w:ind w:left="709"/>
        <w:rPr>
          <w:rFonts w:asciiTheme="minorHAnsi" w:hAnsiTheme="minorHAnsi" w:cstheme="minorHAnsi"/>
          <w:lang w:val="cs-CZ"/>
        </w:rPr>
      </w:pPr>
      <w:r>
        <w:rPr>
          <w:rFonts w:asciiTheme="minorHAnsi" w:hAnsiTheme="minorHAnsi" w:cstheme="minorHAnsi"/>
          <w:lang w:val="cs-CZ"/>
        </w:rPr>
        <w:t>V květnu nebo červ</w:t>
      </w:r>
      <w:r w:rsidR="00D40AB7">
        <w:rPr>
          <w:rFonts w:asciiTheme="minorHAnsi" w:hAnsiTheme="minorHAnsi" w:cstheme="minorHAnsi"/>
          <w:lang w:val="cs-CZ"/>
        </w:rPr>
        <w:t>n</w:t>
      </w:r>
      <w:r>
        <w:rPr>
          <w:rFonts w:asciiTheme="minorHAnsi" w:hAnsiTheme="minorHAnsi" w:cstheme="minorHAnsi"/>
          <w:lang w:val="cs-CZ"/>
        </w:rPr>
        <w:t>u je schvalován závěrečný úč</w:t>
      </w:r>
      <w:r w:rsidR="00D40AB7">
        <w:rPr>
          <w:rFonts w:asciiTheme="minorHAnsi" w:hAnsiTheme="minorHAnsi" w:cstheme="minorHAnsi"/>
          <w:lang w:val="cs-CZ"/>
        </w:rPr>
        <w:t>e</w:t>
      </w:r>
      <w:r>
        <w:rPr>
          <w:rFonts w:asciiTheme="minorHAnsi" w:hAnsiTheme="minorHAnsi" w:cstheme="minorHAnsi"/>
          <w:lang w:val="cs-CZ"/>
        </w:rPr>
        <w:t>t za předchozí rok.</w:t>
      </w:r>
    </w:p>
    <w:p w14:paraId="668B15CB" w14:textId="4AA27AF7" w:rsidR="0042031A" w:rsidRPr="0042031A" w:rsidRDefault="0042031A" w:rsidP="00D31C74">
      <w:pPr>
        <w:pStyle w:val="A1-text"/>
        <w:numPr>
          <w:ilvl w:val="1"/>
          <w:numId w:val="65"/>
        </w:numPr>
        <w:spacing w:after="0"/>
        <w:ind w:left="709"/>
        <w:rPr>
          <w:rFonts w:asciiTheme="minorHAnsi" w:hAnsiTheme="minorHAnsi" w:cstheme="minorHAnsi"/>
          <w:lang w:val="cs-CZ"/>
        </w:rPr>
      </w:pPr>
      <w:r>
        <w:rPr>
          <w:rFonts w:asciiTheme="minorHAnsi" w:hAnsiTheme="minorHAnsi" w:cstheme="minorHAnsi"/>
          <w:lang w:val="cs-CZ"/>
        </w:rPr>
        <w:t>Na podzim probíhá projednávání a schvalování rozpočtu na následující rok.</w:t>
      </w:r>
    </w:p>
    <w:p w14:paraId="7DDA4D11" w14:textId="77777777" w:rsidR="00D31C74" w:rsidRDefault="00D31C74" w:rsidP="00BD65C8">
      <w:pPr>
        <w:pStyle w:val="A1-text"/>
        <w:spacing w:after="0"/>
        <w:rPr>
          <w:rFonts w:asciiTheme="minorHAnsi" w:hAnsiTheme="minorHAnsi" w:cstheme="minorHAnsi"/>
          <w:lang w:val="cs-CZ"/>
        </w:rPr>
      </w:pPr>
    </w:p>
    <w:p w14:paraId="1018E0CA" w14:textId="28A5DB49" w:rsidR="00BD65C8" w:rsidRPr="008D26C2" w:rsidRDefault="0042031A" w:rsidP="00BD65C8">
      <w:pPr>
        <w:pStyle w:val="A1-text"/>
        <w:spacing w:after="0"/>
        <w:rPr>
          <w:rFonts w:asciiTheme="minorHAnsi" w:hAnsiTheme="minorHAnsi" w:cstheme="minorHAnsi"/>
          <w:lang w:val="cs-CZ"/>
        </w:rPr>
      </w:pPr>
      <w:r>
        <w:rPr>
          <w:rFonts w:asciiTheme="minorHAnsi" w:hAnsiTheme="minorHAnsi" w:cstheme="minorHAnsi"/>
          <w:lang w:val="cs-CZ"/>
        </w:rPr>
        <w:t>Státní závěrečný účet</w:t>
      </w:r>
      <w:r w:rsidR="000065EA">
        <w:rPr>
          <w:rStyle w:val="Znakapoznpodarou"/>
          <w:rFonts w:asciiTheme="minorHAnsi" w:hAnsiTheme="minorHAnsi" w:cstheme="minorHAnsi"/>
          <w:lang w:val="cs-CZ"/>
        </w:rPr>
        <w:footnoteReference w:id="50"/>
      </w:r>
      <w:r w:rsidR="00BD65C8">
        <w:rPr>
          <w:rFonts w:asciiTheme="minorHAnsi" w:hAnsiTheme="minorHAnsi" w:cstheme="minorHAnsi"/>
          <w:lang w:val="cs-CZ"/>
        </w:rPr>
        <w:t xml:space="preserve"> je </w:t>
      </w:r>
      <w:r w:rsidR="00F62D18">
        <w:rPr>
          <w:rFonts w:asciiTheme="minorHAnsi" w:hAnsiTheme="minorHAnsi" w:cstheme="minorHAnsi"/>
          <w:lang w:val="cs-CZ"/>
        </w:rPr>
        <w:t xml:space="preserve">připravován a </w:t>
      </w:r>
      <w:r w:rsidR="00BD65C8">
        <w:rPr>
          <w:rFonts w:asciiTheme="minorHAnsi" w:hAnsiTheme="minorHAnsi" w:cstheme="minorHAnsi"/>
          <w:lang w:val="cs-CZ"/>
        </w:rPr>
        <w:t>schvalován</w:t>
      </w:r>
      <w:r w:rsidR="00F62D18">
        <w:rPr>
          <w:rFonts w:asciiTheme="minorHAnsi" w:hAnsiTheme="minorHAnsi" w:cstheme="minorHAnsi"/>
          <w:lang w:val="cs-CZ"/>
        </w:rPr>
        <w:t xml:space="preserve"> </w:t>
      </w:r>
      <w:r w:rsidR="00BD65C8">
        <w:rPr>
          <w:rFonts w:asciiTheme="minorHAnsi" w:hAnsiTheme="minorHAnsi" w:cstheme="minorHAnsi"/>
          <w:lang w:val="cs-CZ"/>
        </w:rPr>
        <w:t xml:space="preserve">v souladu se zákonem č. 218/2000, </w:t>
      </w:r>
      <w:r>
        <w:rPr>
          <w:rFonts w:asciiTheme="minorHAnsi" w:hAnsiTheme="minorHAnsi" w:cstheme="minorHAnsi"/>
          <w:lang w:val="cs-CZ"/>
        </w:rPr>
        <w:t>závěrečný účet obce nebo kraje</w:t>
      </w:r>
      <w:r w:rsidR="00BD65C8">
        <w:rPr>
          <w:rFonts w:asciiTheme="minorHAnsi" w:hAnsiTheme="minorHAnsi" w:cstheme="minorHAnsi"/>
          <w:lang w:val="cs-CZ"/>
        </w:rPr>
        <w:t xml:space="preserve"> v souladu se zákonem č. 250/2000. Jak ukazuje následující obrázek, státní </w:t>
      </w:r>
      <w:r w:rsidR="00F62D18">
        <w:rPr>
          <w:rFonts w:asciiTheme="minorHAnsi" w:hAnsiTheme="minorHAnsi" w:cstheme="minorHAnsi"/>
          <w:lang w:val="cs-CZ"/>
        </w:rPr>
        <w:t>závěrečný účet</w:t>
      </w:r>
      <w:r w:rsidR="00BD65C8">
        <w:rPr>
          <w:rFonts w:asciiTheme="minorHAnsi" w:hAnsiTheme="minorHAnsi" w:cstheme="minorHAnsi"/>
          <w:lang w:val="cs-CZ"/>
        </w:rPr>
        <w:t xml:space="preserve"> schvaluje Poslanecká sněmovna, </w:t>
      </w:r>
      <w:r w:rsidR="00F62D18">
        <w:rPr>
          <w:rFonts w:asciiTheme="minorHAnsi" w:hAnsiTheme="minorHAnsi" w:cstheme="minorHAnsi"/>
          <w:lang w:val="cs-CZ"/>
        </w:rPr>
        <w:t>závěrečný účet obce nebo kraje</w:t>
      </w:r>
      <w:r w:rsidR="00BD65C8">
        <w:rPr>
          <w:rFonts w:asciiTheme="minorHAnsi" w:hAnsiTheme="minorHAnsi" w:cstheme="minorHAnsi"/>
          <w:lang w:val="cs-CZ"/>
        </w:rPr>
        <w:t xml:space="preserve"> schvaluje </w:t>
      </w:r>
      <w:r w:rsidR="00F62D18">
        <w:rPr>
          <w:rFonts w:asciiTheme="minorHAnsi" w:hAnsiTheme="minorHAnsi" w:cstheme="minorHAnsi"/>
          <w:lang w:val="cs-CZ"/>
        </w:rPr>
        <w:t xml:space="preserve">jejich </w:t>
      </w:r>
      <w:r w:rsidR="00BD65C8">
        <w:rPr>
          <w:rFonts w:asciiTheme="minorHAnsi" w:hAnsiTheme="minorHAnsi" w:cstheme="minorHAnsi"/>
          <w:lang w:val="cs-CZ"/>
        </w:rPr>
        <w:t>zastupitelstvo.</w:t>
      </w:r>
    </w:p>
    <w:p w14:paraId="17306E9C" w14:textId="77777777" w:rsidR="00D31C74" w:rsidRDefault="00D31C74" w:rsidP="00BD65C8">
      <w:pPr>
        <w:pStyle w:val="Zkladntext3"/>
        <w:spacing w:after="0" w:line="360" w:lineRule="auto"/>
        <w:jc w:val="both"/>
        <w:rPr>
          <w:rFonts w:asciiTheme="minorHAnsi" w:eastAsia="Calibri" w:hAnsiTheme="minorHAnsi" w:cstheme="minorHAnsi"/>
          <w:i/>
          <w:iCs/>
          <w:sz w:val="24"/>
          <w:szCs w:val="24"/>
        </w:rPr>
      </w:pPr>
    </w:p>
    <w:p w14:paraId="25746227" w14:textId="620961EC" w:rsidR="00BD65C8" w:rsidRDefault="00C66926" w:rsidP="00BD65C8">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noProof/>
          <w:sz w:val="24"/>
          <w:szCs w:val="24"/>
        </w:rPr>
        <w:lastRenderedPageBreak/>
        <mc:AlternateContent>
          <mc:Choice Requires="wpg">
            <w:drawing>
              <wp:anchor distT="0" distB="0" distL="114300" distR="114300" simplePos="0" relativeHeight="251545088" behindDoc="0" locked="0" layoutInCell="1" allowOverlap="1" wp14:anchorId="58B30313" wp14:editId="58B470E5">
                <wp:simplePos x="0" y="0"/>
                <wp:positionH relativeFrom="column">
                  <wp:posOffset>119380</wp:posOffset>
                </wp:positionH>
                <wp:positionV relativeFrom="paragraph">
                  <wp:posOffset>272415</wp:posOffset>
                </wp:positionV>
                <wp:extent cx="5495925" cy="1847850"/>
                <wp:effectExtent l="0" t="0" r="28575" b="19050"/>
                <wp:wrapNone/>
                <wp:docPr id="3789" name="Skupina 3789"/>
                <wp:cNvGraphicFramePr/>
                <a:graphic xmlns:a="http://schemas.openxmlformats.org/drawingml/2006/main">
                  <a:graphicData uri="http://schemas.microsoft.com/office/word/2010/wordprocessingGroup">
                    <wpg:wgp>
                      <wpg:cNvGrpSpPr/>
                      <wpg:grpSpPr>
                        <a:xfrm>
                          <a:off x="0" y="0"/>
                          <a:ext cx="5495925" cy="1847850"/>
                          <a:chOff x="0" y="-28575"/>
                          <a:chExt cx="5495925" cy="1847850"/>
                        </a:xfrm>
                      </wpg:grpSpPr>
                      <wps:wsp>
                        <wps:cNvPr id="3790" name="Textové pole 2"/>
                        <wps:cNvSpPr txBox="1">
                          <a:spLocks noChangeArrowheads="1"/>
                        </wps:cNvSpPr>
                        <wps:spPr bwMode="auto">
                          <a:xfrm>
                            <a:off x="1581150" y="0"/>
                            <a:ext cx="1436370" cy="810895"/>
                          </a:xfrm>
                          <a:prstGeom prst="rect">
                            <a:avLst/>
                          </a:prstGeom>
                          <a:solidFill>
                            <a:schemeClr val="bg1"/>
                          </a:solidFill>
                          <a:ln w="3175">
                            <a:solidFill>
                              <a:srgbClr val="0070C0"/>
                            </a:solidFill>
                            <a:prstDash val="solid"/>
                            <a:miter lim="800000"/>
                            <a:headEnd/>
                            <a:tailEnd/>
                          </a:ln>
                        </wps:spPr>
                        <wps:txbx>
                          <w:txbxContent>
                            <w:p w14:paraId="68E63353" w14:textId="3897B019" w:rsidR="00511D9B" w:rsidRPr="00D459B5" w:rsidRDefault="00511D9B" w:rsidP="00BD65C8">
                              <w:pPr>
                                <w:spacing w:line="192" w:lineRule="auto"/>
                                <w:rPr>
                                  <w:rFonts w:asciiTheme="minorHAnsi" w:hAnsiTheme="minorHAnsi" w:cstheme="minorHAnsi"/>
                                  <w:b/>
                                  <w:szCs w:val="22"/>
                                </w:rPr>
                              </w:pPr>
                              <w:r>
                                <w:rPr>
                                  <w:rFonts w:asciiTheme="minorHAnsi" w:hAnsiTheme="minorHAnsi" w:cstheme="minorHAnsi"/>
                                  <w:b/>
                                  <w:szCs w:val="22"/>
                                </w:rPr>
                                <w:t>Stát</w:t>
                              </w:r>
                            </w:p>
                            <w:p w14:paraId="624BD795" w14:textId="1F33A7F8" w:rsidR="00511D9B" w:rsidRPr="00D459B5" w:rsidRDefault="00511D9B" w:rsidP="00BD65C8">
                              <w:pPr>
                                <w:spacing w:line="192" w:lineRule="auto"/>
                                <w:rPr>
                                  <w:rFonts w:asciiTheme="minorHAnsi" w:hAnsiTheme="minorHAnsi" w:cstheme="minorHAnsi"/>
                                  <w:sz w:val="22"/>
                                  <w:szCs w:val="22"/>
                                </w:rPr>
                              </w:pPr>
                              <w:r w:rsidRPr="00D459B5">
                                <w:rPr>
                                  <w:rFonts w:asciiTheme="minorHAnsi" w:hAnsiTheme="minorHAnsi"/>
                                  <w:sz w:val="22"/>
                                  <w:szCs w:val="22"/>
                                </w:rPr>
                                <w:t>(ministerstva, organizační složky státu, příspěvkové organizace atd.)</w:t>
                              </w:r>
                            </w:p>
                            <w:p w14:paraId="129A6691" w14:textId="77777777" w:rsidR="00511D9B" w:rsidRPr="00D459B5" w:rsidRDefault="00511D9B" w:rsidP="00BD65C8">
                              <w:pPr>
                                <w:spacing w:line="192" w:lineRule="auto"/>
                                <w:rPr>
                                  <w:rFonts w:asciiTheme="minorHAnsi" w:hAnsiTheme="minorHAnsi" w:cstheme="minorHAnsi"/>
                                  <w:b/>
                                  <w:sz w:val="22"/>
                                  <w:szCs w:val="22"/>
                                </w:rPr>
                              </w:pPr>
                            </w:p>
                          </w:txbxContent>
                        </wps:txbx>
                        <wps:bodyPr rot="0" vert="horz" wrap="square" lIns="91440" tIns="45720" rIns="91440" bIns="45720" anchor="t" anchorCtr="0">
                          <a:noAutofit/>
                        </wps:bodyPr>
                      </wps:wsp>
                      <wps:wsp>
                        <wps:cNvPr id="3791" name="Textové pole 2"/>
                        <wps:cNvSpPr txBox="1">
                          <a:spLocks noChangeArrowheads="1"/>
                        </wps:cNvSpPr>
                        <wps:spPr bwMode="auto">
                          <a:xfrm>
                            <a:off x="0" y="518433"/>
                            <a:ext cx="1257300" cy="609600"/>
                          </a:xfrm>
                          <a:prstGeom prst="rect">
                            <a:avLst/>
                          </a:prstGeom>
                          <a:noFill/>
                          <a:ln w="3175">
                            <a:solidFill>
                              <a:srgbClr val="0070C0"/>
                            </a:solidFill>
                            <a:prstDash val="solid"/>
                            <a:miter lim="800000"/>
                            <a:headEnd/>
                            <a:tailEnd/>
                          </a:ln>
                        </wps:spPr>
                        <wps:txbx>
                          <w:txbxContent>
                            <w:p w14:paraId="485D90AF" w14:textId="4D1BD9A5" w:rsidR="00511D9B" w:rsidRPr="003A1FE8" w:rsidRDefault="00511D9B" w:rsidP="00BD65C8">
                              <w:pPr>
                                <w:spacing w:line="180" w:lineRule="auto"/>
                                <w:jc w:val="center"/>
                                <w:rPr>
                                  <w:rFonts w:asciiTheme="minorHAnsi" w:hAnsiTheme="minorHAnsi" w:cstheme="minorHAnsi"/>
                                  <w:b/>
                                  <w:sz w:val="28"/>
                                </w:rPr>
                              </w:pPr>
                              <w:r w:rsidRPr="003A1FE8">
                                <w:rPr>
                                  <w:rFonts w:asciiTheme="minorHAnsi" w:hAnsiTheme="minorHAnsi" w:cstheme="minorHAnsi"/>
                                  <w:b/>
                                  <w:sz w:val="28"/>
                                </w:rPr>
                                <w:t>Zpracování závěrečného účtu</w:t>
                              </w:r>
                            </w:p>
                            <w:p w14:paraId="48845268" w14:textId="77777777" w:rsidR="00511D9B" w:rsidRPr="00576CB4" w:rsidRDefault="00511D9B" w:rsidP="00BD65C8">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3792" name="Textové pole 2"/>
                        <wps:cNvSpPr txBox="1">
                          <a:spLocks noChangeArrowheads="1"/>
                        </wps:cNvSpPr>
                        <wps:spPr bwMode="auto">
                          <a:xfrm>
                            <a:off x="3409950" y="-28575"/>
                            <a:ext cx="2085975" cy="228600"/>
                          </a:xfrm>
                          <a:prstGeom prst="rect">
                            <a:avLst/>
                          </a:prstGeom>
                          <a:solidFill>
                            <a:schemeClr val="bg1"/>
                          </a:solidFill>
                          <a:ln w="3175">
                            <a:solidFill>
                              <a:srgbClr val="0070C0"/>
                            </a:solidFill>
                            <a:prstDash val="solid"/>
                            <a:miter lim="800000"/>
                            <a:headEnd/>
                            <a:tailEnd/>
                          </a:ln>
                        </wps:spPr>
                        <wps:txbx>
                          <w:txbxContent>
                            <w:p w14:paraId="175A288A" w14:textId="77777777"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 xml:space="preserve">Schvaluje: Poslanecká sněmovna </w:t>
                              </w:r>
                            </w:p>
                            <w:p w14:paraId="78D1F7EB"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793" name="Zakřivená spojnice 3793"/>
                        <wps:cNvCnPr/>
                        <wps:spPr>
                          <a:xfrm flipV="1">
                            <a:off x="1257300" y="409575"/>
                            <a:ext cx="323850" cy="423227"/>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94" name="Textové pole 2"/>
                        <wps:cNvSpPr txBox="1">
                          <a:spLocks noChangeArrowheads="1"/>
                        </wps:cNvSpPr>
                        <wps:spPr bwMode="auto">
                          <a:xfrm>
                            <a:off x="3409950" y="428625"/>
                            <a:ext cx="2085975" cy="356870"/>
                          </a:xfrm>
                          <a:prstGeom prst="rect">
                            <a:avLst/>
                          </a:prstGeom>
                          <a:solidFill>
                            <a:schemeClr val="bg1"/>
                          </a:solidFill>
                          <a:ln w="3175">
                            <a:solidFill>
                              <a:srgbClr val="0070C0"/>
                            </a:solidFill>
                            <a:prstDash val="solid"/>
                            <a:miter lim="800000"/>
                            <a:headEnd/>
                            <a:tailEnd/>
                          </a:ln>
                        </wps:spPr>
                        <wps:txbx>
                          <w:txbxContent>
                            <w:p w14:paraId="2A20DEA5" w14:textId="77777777" w:rsidR="00511D9B" w:rsidRDefault="00511D9B" w:rsidP="00BD65C8">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w:t>
                              </w:r>
                              <w:r>
                                <w:rPr>
                                  <w:rFonts w:asciiTheme="minorHAnsi" w:hAnsiTheme="minorHAnsi"/>
                                  <w:b/>
                                  <w:sz w:val="22"/>
                                  <w:szCs w:val="20"/>
                                </w:rPr>
                                <w:t>18</w:t>
                              </w:r>
                              <w:r w:rsidRPr="00D459B5">
                                <w:rPr>
                                  <w:rFonts w:asciiTheme="minorHAnsi" w:hAnsiTheme="minorHAnsi"/>
                                  <w:b/>
                                  <w:sz w:val="22"/>
                                  <w:szCs w:val="20"/>
                                </w:rPr>
                                <w:t>/2000</w:t>
                              </w:r>
                              <w:r w:rsidRPr="00D459B5">
                                <w:rPr>
                                  <w:rFonts w:asciiTheme="minorHAnsi" w:hAnsiTheme="minorHAnsi"/>
                                  <w:sz w:val="20"/>
                                  <w:szCs w:val="20"/>
                                </w:rPr>
                                <w:t xml:space="preserve">, </w:t>
                              </w:r>
                            </w:p>
                            <w:p w14:paraId="4A0A258D" w14:textId="77777777" w:rsidR="00511D9B" w:rsidRPr="00216BFB" w:rsidRDefault="00511D9B" w:rsidP="00BD65C8">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w:t>
                              </w:r>
                            </w:p>
                            <w:p w14:paraId="024F6240"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795" name="Zakřivená spojnice 3795"/>
                        <wps:cNvCnPr/>
                        <wps:spPr>
                          <a:xfrm flipV="1">
                            <a:off x="3017520" y="85725"/>
                            <a:ext cx="392430" cy="31972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96" name="Zakřivená spojnice 3796"/>
                        <wps:cNvCnPr/>
                        <wps:spPr>
                          <a:xfrm>
                            <a:off x="3017520" y="405448"/>
                            <a:ext cx="392430" cy="201612"/>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97" name="Textové pole 2"/>
                        <wps:cNvSpPr txBox="1">
                          <a:spLocks noChangeArrowheads="1"/>
                        </wps:cNvSpPr>
                        <wps:spPr bwMode="auto">
                          <a:xfrm>
                            <a:off x="1581150" y="904875"/>
                            <a:ext cx="1436370" cy="828675"/>
                          </a:xfrm>
                          <a:prstGeom prst="rect">
                            <a:avLst/>
                          </a:prstGeom>
                          <a:solidFill>
                            <a:schemeClr val="bg1"/>
                          </a:solidFill>
                          <a:ln w="3175">
                            <a:solidFill>
                              <a:srgbClr val="0070C0"/>
                            </a:solidFill>
                            <a:prstDash val="solid"/>
                            <a:miter lim="800000"/>
                            <a:headEnd/>
                            <a:tailEnd/>
                          </a:ln>
                        </wps:spPr>
                        <wps:txbx>
                          <w:txbxContent>
                            <w:p w14:paraId="3A78E46D" w14:textId="7601DA10" w:rsidR="00511D9B" w:rsidRPr="00D459B5" w:rsidRDefault="00511D9B" w:rsidP="00BD65C8">
                              <w:pPr>
                                <w:spacing w:line="192" w:lineRule="auto"/>
                                <w:rPr>
                                  <w:rFonts w:asciiTheme="minorHAnsi" w:hAnsiTheme="minorHAnsi" w:cstheme="minorHAnsi"/>
                                  <w:sz w:val="20"/>
                                  <w:szCs w:val="20"/>
                                </w:rPr>
                              </w:pPr>
                              <w:r>
                                <w:rPr>
                                  <w:rFonts w:asciiTheme="minorHAnsi" w:hAnsiTheme="minorHAnsi" w:cstheme="minorHAnsi"/>
                                  <w:b/>
                                  <w:szCs w:val="20"/>
                                </w:rPr>
                                <w:t>Samospráva</w:t>
                              </w:r>
                              <w:r w:rsidRPr="00D459B5">
                                <w:rPr>
                                  <w:rFonts w:asciiTheme="minorHAnsi" w:hAnsiTheme="minorHAnsi" w:cstheme="minorHAnsi"/>
                                  <w:b/>
                                  <w:szCs w:val="20"/>
                                </w:rPr>
                                <w:t xml:space="preserve"> </w:t>
                              </w:r>
                              <w:r w:rsidRPr="00D459B5">
                                <w:rPr>
                                  <w:rFonts w:asciiTheme="minorHAnsi" w:hAnsiTheme="minorHAnsi" w:cstheme="minorHAnsi"/>
                                  <w:sz w:val="22"/>
                                  <w:szCs w:val="20"/>
                                </w:rPr>
                                <w:t>(zejména obce, kraje, dobrovolné svazky obcí</w:t>
                              </w:r>
                              <w:r>
                                <w:rPr>
                                  <w:rFonts w:asciiTheme="minorHAnsi" w:hAnsiTheme="minorHAnsi" w:cstheme="minorHAnsi"/>
                                  <w:sz w:val="22"/>
                                  <w:szCs w:val="20"/>
                                </w:rPr>
                                <w:t>, jejich organizace</w:t>
                              </w:r>
                              <w:r w:rsidRPr="00D459B5">
                                <w:rPr>
                                  <w:rFonts w:asciiTheme="minorHAnsi" w:hAnsiTheme="minorHAnsi" w:cstheme="minorHAnsi"/>
                                  <w:sz w:val="22"/>
                                  <w:szCs w:val="20"/>
                                </w:rPr>
                                <w:t xml:space="preserve"> atd.)</w:t>
                              </w:r>
                            </w:p>
                            <w:p w14:paraId="4AE005C3"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798" name="Textové pole 2"/>
                        <wps:cNvSpPr txBox="1">
                          <a:spLocks noChangeArrowheads="1"/>
                        </wps:cNvSpPr>
                        <wps:spPr bwMode="auto">
                          <a:xfrm>
                            <a:off x="3409950" y="876300"/>
                            <a:ext cx="2085975" cy="219075"/>
                          </a:xfrm>
                          <a:prstGeom prst="rect">
                            <a:avLst/>
                          </a:prstGeom>
                          <a:solidFill>
                            <a:schemeClr val="bg1"/>
                          </a:solidFill>
                          <a:ln w="3175">
                            <a:solidFill>
                              <a:srgbClr val="0070C0"/>
                            </a:solidFill>
                            <a:prstDash val="solid"/>
                            <a:miter lim="800000"/>
                            <a:headEnd/>
                            <a:tailEnd/>
                          </a:ln>
                        </wps:spPr>
                        <wps:txbx>
                          <w:txbxContent>
                            <w:p w14:paraId="0F49E45B" w14:textId="77777777"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Schvaluje: zastupitelstvo</w:t>
                              </w:r>
                            </w:p>
                            <w:p w14:paraId="20CA3AB9"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799" name="Zakřivená spojnice 3799"/>
                        <wps:cNvCnPr/>
                        <wps:spPr>
                          <a:xfrm>
                            <a:off x="1257300" y="828675"/>
                            <a:ext cx="323850" cy="490538"/>
                          </a:xfrm>
                          <a:prstGeom prst="curvedConnector3">
                            <a:avLst>
                              <a:gd name="adj1" fmla="val 50000"/>
                            </a:avLst>
                          </a:prstGeom>
                          <a:ln>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00" name="Zakřivená spojnice 3800"/>
                        <wps:cNvCnPr/>
                        <wps:spPr>
                          <a:xfrm flipV="1">
                            <a:off x="3019425" y="985838"/>
                            <a:ext cx="390525" cy="32861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01" name="Textové pole 2"/>
                        <wps:cNvSpPr txBox="1">
                          <a:spLocks noChangeArrowheads="1"/>
                        </wps:cNvSpPr>
                        <wps:spPr bwMode="auto">
                          <a:xfrm>
                            <a:off x="3409950" y="1314450"/>
                            <a:ext cx="2085975" cy="504825"/>
                          </a:xfrm>
                          <a:prstGeom prst="rect">
                            <a:avLst/>
                          </a:prstGeom>
                          <a:solidFill>
                            <a:schemeClr val="bg1"/>
                          </a:solidFill>
                          <a:ln w="3175">
                            <a:solidFill>
                              <a:srgbClr val="0070C0"/>
                            </a:solidFill>
                            <a:prstDash val="solid"/>
                            <a:miter lim="800000"/>
                            <a:headEnd/>
                            <a:tailEnd/>
                          </a:ln>
                        </wps:spPr>
                        <wps:txbx>
                          <w:txbxContent>
                            <w:p w14:paraId="093B7F83" w14:textId="77777777" w:rsidR="00511D9B" w:rsidRDefault="00511D9B" w:rsidP="00BD65C8">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250/2000</w:t>
                              </w:r>
                              <w:r w:rsidRPr="00D459B5">
                                <w:rPr>
                                  <w:rFonts w:asciiTheme="minorHAnsi" w:hAnsiTheme="minorHAnsi"/>
                                  <w:sz w:val="20"/>
                                  <w:szCs w:val="20"/>
                                </w:rPr>
                                <w:t xml:space="preserve">, </w:t>
                              </w:r>
                            </w:p>
                            <w:p w14:paraId="4A976FD3" w14:textId="77777777" w:rsidR="00511D9B" w:rsidRPr="00216BFB" w:rsidRDefault="00511D9B" w:rsidP="00BD65C8">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 územních rozpočtů</w:t>
                              </w:r>
                            </w:p>
                            <w:p w14:paraId="2EA9C413"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802" name="Zakřivená spojnice 3802"/>
                        <wps:cNvCnPr/>
                        <wps:spPr>
                          <a:xfrm>
                            <a:off x="3019425" y="1314450"/>
                            <a:ext cx="390525" cy="25241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03" name="Textové pole 2"/>
                        <wps:cNvSpPr txBox="1">
                          <a:spLocks noChangeArrowheads="1"/>
                        </wps:cNvSpPr>
                        <wps:spPr bwMode="auto">
                          <a:xfrm>
                            <a:off x="3409950" y="200025"/>
                            <a:ext cx="2085975" cy="228600"/>
                          </a:xfrm>
                          <a:prstGeom prst="rect">
                            <a:avLst/>
                          </a:prstGeom>
                          <a:solidFill>
                            <a:schemeClr val="bg1"/>
                          </a:solidFill>
                          <a:ln w="3175">
                            <a:solidFill>
                              <a:srgbClr val="0070C0"/>
                            </a:solidFill>
                            <a:prstDash val="solid"/>
                            <a:miter lim="800000"/>
                            <a:headEnd/>
                            <a:tailEnd/>
                          </a:ln>
                        </wps:spPr>
                        <wps:txbx>
                          <w:txbxContent>
                            <w:p w14:paraId="41D3DF40" w14:textId="39C33443"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vláda do 30.4.</w:t>
                              </w:r>
                            </w:p>
                            <w:p w14:paraId="782865A0"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804" name="Textové pole 2"/>
                        <wps:cNvSpPr txBox="1">
                          <a:spLocks noChangeArrowheads="1"/>
                        </wps:cNvSpPr>
                        <wps:spPr bwMode="auto">
                          <a:xfrm>
                            <a:off x="3409950" y="1095375"/>
                            <a:ext cx="2085975" cy="228600"/>
                          </a:xfrm>
                          <a:prstGeom prst="rect">
                            <a:avLst/>
                          </a:prstGeom>
                          <a:solidFill>
                            <a:schemeClr val="bg1"/>
                          </a:solidFill>
                          <a:ln w="3175">
                            <a:solidFill>
                              <a:srgbClr val="0070C0"/>
                            </a:solidFill>
                            <a:prstDash val="solid"/>
                            <a:miter lim="800000"/>
                            <a:headEnd/>
                            <a:tailEnd/>
                          </a:ln>
                        </wps:spPr>
                        <wps:txbx>
                          <w:txbxContent>
                            <w:p w14:paraId="40CFA0FD" w14:textId="77097A05"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rada v květnu/červnu</w:t>
                              </w:r>
                            </w:p>
                            <w:p w14:paraId="785FD91B" w14:textId="77777777" w:rsidR="00511D9B" w:rsidRPr="00576CB4" w:rsidRDefault="00511D9B" w:rsidP="00BD65C8">
                              <w:pPr>
                                <w:spacing w:line="180" w:lineRule="auto"/>
                                <w:rPr>
                                  <w:rFonts w:asciiTheme="minorHAnsi" w:hAnsiTheme="minorHAnsi" w:cstheme="minorHAnsi"/>
                                  <w:b/>
                                  <w:sz w:val="20"/>
                                </w:rPr>
                              </w:pPr>
                            </w:p>
                          </w:txbxContent>
                        </wps:txbx>
                        <wps:bodyPr rot="0" vert="horz" wrap="square" lIns="91440" tIns="45720" rIns="91440" bIns="45720" anchor="t" anchorCtr="0">
                          <a:noAutofit/>
                        </wps:bodyPr>
                      </wps:wsp>
                      <wps:wsp>
                        <wps:cNvPr id="3805" name="Zakřivená spojnice 3805"/>
                        <wps:cNvCnPr/>
                        <wps:spPr>
                          <a:xfrm flipV="1">
                            <a:off x="3017520" y="314325"/>
                            <a:ext cx="392430" cy="91123"/>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06" name="Zakřivená spojnice 3806"/>
                        <wps:cNvCnPr/>
                        <wps:spPr>
                          <a:xfrm flipV="1">
                            <a:off x="3017520" y="1209675"/>
                            <a:ext cx="392430" cy="109538"/>
                          </a:xfrm>
                          <a:prstGeom prst="curvedConnector3">
                            <a:avLst>
                              <a:gd name="adj1" fmla="val 50000"/>
                            </a:avLst>
                          </a:prstGeom>
                          <a:ln>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8B30313" id="Skupina 3789" o:spid="_x0000_s1307" style="position:absolute;left:0;text-align:left;margin-left:9.4pt;margin-top:21.45pt;width:432.75pt;height:145.5pt;z-index:251545088;mso-position-horizontal-relative:text;mso-position-vertical-relative:text;mso-height-relative:margin" coordorigin=",-285" coordsize="54959,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NtQwYAAJw0AAAOAAAAZHJzL2Uyb0RvYy54bWzsW0tz2zYQvnem/wHDeyyQICVSEzmT2omn&#10;M0mbadIeeoNIUGJMAiwIS3L/SY899ndk+r+6APiSLMW181Ji+iDzgcdi8WH32wX4+MmmyNGKySoT&#10;fOa4J9hBjMciyfhi5vz65vmj0EGVojyhueBs5lyzynly+v13j9fllHliKfKESQSN8Gq6LmfOUqly&#10;OhpV8ZIVtDoRJePwMhWyoApu5WKUSLqG1ot85GE8Hq2FTEopYlZV8PTcvnROTftpymL1c5pWTKF8&#10;5oBsyvxK8zvXv6PTx3S6kLRcZnEtBr2HFAXNOHTaNnVOFUVXMrvRVJHFUlQiVSexKEYiTbOYmTHA&#10;aFy8M5oLKa5KM5bFdL0oWzWBanf0dO9m459WryTKkplDJmHkIE4LmKXXl1dlxikyz0BF63IxhZIX&#10;snxdvpL1g4W906PepLLQ/2E8aGOUe90ql20UiuFh4EdB5AUOiuGdG/qTMKjVHy9hjrp6j7wwmAR2&#10;ZuLls1uqj5reR1rIVqZ1CXiqOpVVH6ay10taMjMTlVZEq7IIMGVV9gbGKVbv/kGlyBnytPhaBiis&#10;VYbU5gcBSnANSKryhYgvK8TF2ZLyBXsqpVgvGU1ASlfXhLG0VW07lW5kvn4pEpgeeqWEaWhH724Q&#10;ui5oFd3UvuuTMZnAK6390MVhZDTcao9OS1mpCyYKpC9mjoSlY/qgqxeV0jJ1RfRUVyLPkudZnpsb&#10;vVzZWS7RisJCmy/sKHZK5RytAWcuTO7NFuRi3tbHeILPDDig062OtGzntFrafswrC5QiU2BH8qyA&#10;0WH9Zx9rpT7jCYhPp4pmub2GVnNea1kr1qpYbeYbsxJcQGk9fXORXIPipbCGAwwdXCyF/NNBazAa&#10;M6f644pK5qD8Rw6TF7m+r62MufGDiQc3sv9m3n9DeQxNzRzlIHt5poxl0sJy8RQmOc2M5jUarCS1&#10;0IBsK/PngLh7TBC34A7AfhBip7ixLzBrEwLzbhA+xtHYYuD+COdCw9tA5+tB7nhAbmecvWNCLvFx&#10;FNXGue/iGvx6OAwiMI0Gv54XfjB+twynIVTfkIWeDDjvcE4anP9OL//9K1sx/u5vVJXiLQd2CSQu&#10;Mqay5hRnvGZw1dT6PkugUJpn5W8NQ6mJXGtTgTQAfFta1mCWeESzOANZ3yOeZ6blsMmNr+SKJWeC&#10;c2AXQpKOYGift0hqLkWTt+B00iIHKg6EAgWNQ4eWDR25wUa0O9+hCjuIV5u9nKQmCEhdl0CsBPQG&#10;nn3mFCwBn84gpNFXffpQl1QyA+aWg+ffV3o/wajUdc60nDn/haVANTpCuM2faBwzrhp5TWldLQV3&#10;1FbElkO9r2JdXldlJhS6S+W2hulZcNVWLjIu5L7eOxWntnxDsey4OxYD+jQM97PSGL9ZJMfA1PvO&#10;wAdbbxknzFMd7Ww5AxKMQ6DuWmtNsNNx8YGuu144OIPOGQCDsBHpIWfQBjcQm97FGRAMkZuOaHQE&#10;CbFNHaI3kCWR55PaFxA3mnjG6RxG7Cf2BYNhb8PpbXfyzRn28W2Ab2Oiw4DXTq7mPH2Y+zjwfWNd&#10;OtPcxznk7MauyfUMOO8ngLYRNxCYuyR9D6YaJw3Oj4HA9FONEfbDJmHbeIPtfCMwHFvg8DJ50PnG&#10;aCAwHYGBHaPjSan3iXo4GesEo4kGG5xvEXXPjfCAcxvb7curAz0E5XVx4MPOq7e7bYeIemsV/hdv&#10;6edqwtbg9nhLP1cT4YAYXnPYIH9ifv6+7GSXSNgqNVD6h0HpYQOvcQH7l4YuUBuSw0tjb0ITyH3k&#10;601oiGGjMAjtIugtElgY+rXeJSWwiNwhiIW06vuSjAO5/wjkPsRHtcnaJz0ugT3t5qTGXtYTAP23&#10;yaDDzuQhs3tiEvkD69FnjELc7skeMu39ozMH0pPb2ZrWoO+FKulZdC/w/MGiQ6prsOif+mRYiNtN&#10;2WNI1/QtOhybxLvJ++0wFojPhx6e2SLuO3D72o+HkdZEDcfDQny0+6ouHFggu3nJAeh3OAdpj9gN&#10;zMUyl1s2VkP8MTZWgW2TXePc33GKXHfYWB0YzGc42x7iWzZWdYF7Z2HakwSuB0d1d610H/HGjH/Z&#10;XOWQePzSiUfzcQd8AmOOQNWf6+hvbPr35lBZ91HR6X8AAAD//wMAUEsDBBQABgAIAAAAIQBWO3Xz&#10;4AAAAAkBAAAPAAAAZHJzL2Rvd25yZXYueG1sTI9BS8NAFITvgv9heYI3u0lTJU2zKaWopyLYCtLb&#10;a/Y1Cc2+Ddltkv5715MehxlmvsnXk2nFQL1rLCuIZxEI4tLqhisFX4e3pxSE88gaW8uk4EYO1sX9&#10;XY6ZtiN/0rD3lQgl7DJUUHvfZVK6siaDbmY74uCdbW/QB9lXUvc4hnLTynkUvUiDDYeFGjva1lRe&#10;9lej4H3EcZPEr8Puct7ejofnj+9dTEo9PkybFQhPk/8Lwy9+QIciMJ3slbUTbdBpIPcKFvMliOCn&#10;6SIBcVKQJMkSZJHL/w+KHwAAAP//AwBQSwECLQAUAAYACAAAACEAtoM4kv4AAADhAQAAEwAAAAAA&#10;AAAAAAAAAAAAAAAAW0NvbnRlbnRfVHlwZXNdLnhtbFBLAQItABQABgAIAAAAIQA4/SH/1gAAAJQB&#10;AAALAAAAAAAAAAAAAAAAAC8BAABfcmVscy8ucmVsc1BLAQItABQABgAIAAAAIQCfWvNtQwYAAJw0&#10;AAAOAAAAAAAAAAAAAAAAAC4CAABkcnMvZTJvRG9jLnhtbFBLAQItABQABgAIAAAAIQBWO3Xz4AAA&#10;AAkBAAAPAAAAAAAAAAAAAAAAAJ0IAABkcnMvZG93bnJldi54bWxQSwUGAAAAAAQABADzAAAAqgkA&#10;AAAA&#10;">
                <v:shape id="_x0000_s1308" type="#_x0000_t202" style="position:absolute;left:15811;width:14364;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Q8JwwAAAN0AAAAPAAAAZHJzL2Rvd25yZXYueG1sRE9Na4NA&#10;EL0H+h+WKfQWV1uSVpONSCFNIadYIT0O7kQl7qy4G2P/ffdQ6PHxvrf5bHox0eg6ywqSKAZBXFvd&#10;caOg+tov30A4j6yxt0wKfshBvntYbDHT9s4nmkrfiBDCLkMFrfdDJqWrWzLoIjsQB+5iR4M+wLGR&#10;esR7CDe9fI7jtTTYcWhocaD3lupreTMK8DstPqhYTcehuiXmOp3Tw/6s1NPjXGxAeJr9v/jP/akV&#10;vLymYX94E56A3P0CAAD//wMAUEsBAi0AFAAGAAgAAAAhANvh9svuAAAAhQEAABMAAAAAAAAAAAAA&#10;AAAAAAAAAFtDb250ZW50X1R5cGVzXS54bWxQSwECLQAUAAYACAAAACEAWvQsW78AAAAVAQAACwAA&#10;AAAAAAAAAAAAAAAfAQAAX3JlbHMvLnJlbHNQSwECLQAUAAYACAAAACEA5xkPCcMAAADdAAAADwAA&#10;AAAAAAAAAAAAAAAHAgAAZHJzL2Rvd25yZXYueG1sUEsFBgAAAAADAAMAtwAAAPcCAAAAAA==&#10;" fillcolor="white [3212]" strokecolor="#0070c0" strokeweight=".25pt">
                  <v:textbox>
                    <w:txbxContent>
                      <w:p w14:paraId="68E63353" w14:textId="3897B019" w:rsidR="00511D9B" w:rsidRPr="00D459B5" w:rsidRDefault="00511D9B" w:rsidP="00BD65C8">
                        <w:pPr>
                          <w:spacing w:line="192" w:lineRule="auto"/>
                          <w:rPr>
                            <w:rFonts w:asciiTheme="minorHAnsi" w:hAnsiTheme="minorHAnsi" w:cstheme="minorHAnsi"/>
                            <w:b/>
                            <w:szCs w:val="22"/>
                          </w:rPr>
                        </w:pPr>
                        <w:r>
                          <w:rPr>
                            <w:rFonts w:asciiTheme="minorHAnsi" w:hAnsiTheme="minorHAnsi" w:cstheme="minorHAnsi"/>
                            <w:b/>
                            <w:szCs w:val="22"/>
                          </w:rPr>
                          <w:t>Stát</w:t>
                        </w:r>
                      </w:p>
                      <w:p w14:paraId="624BD795" w14:textId="1F33A7F8" w:rsidR="00511D9B" w:rsidRPr="00D459B5" w:rsidRDefault="00511D9B" w:rsidP="00BD65C8">
                        <w:pPr>
                          <w:spacing w:line="192" w:lineRule="auto"/>
                          <w:rPr>
                            <w:rFonts w:asciiTheme="minorHAnsi" w:hAnsiTheme="minorHAnsi" w:cstheme="minorHAnsi"/>
                            <w:sz w:val="22"/>
                            <w:szCs w:val="22"/>
                          </w:rPr>
                        </w:pPr>
                        <w:r w:rsidRPr="00D459B5">
                          <w:rPr>
                            <w:rFonts w:asciiTheme="minorHAnsi" w:hAnsiTheme="minorHAnsi"/>
                            <w:sz w:val="22"/>
                            <w:szCs w:val="22"/>
                          </w:rPr>
                          <w:t>(ministerstva, organizační složky státu, příspěvkové organizace atd.)</w:t>
                        </w:r>
                      </w:p>
                      <w:p w14:paraId="129A6691" w14:textId="77777777" w:rsidR="00511D9B" w:rsidRPr="00D459B5" w:rsidRDefault="00511D9B" w:rsidP="00BD65C8">
                        <w:pPr>
                          <w:spacing w:line="192" w:lineRule="auto"/>
                          <w:rPr>
                            <w:rFonts w:asciiTheme="minorHAnsi" w:hAnsiTheme="minorHAnsi" w:cstheme="minorHAnsi"/>
                            <w:b/>
                            <w:sz w:val="22"/>
                            <w:szCs w:val="22"/>
                          </w:rPr>
                        </w:pPr>
                      </w:p>
                    </w:txbxContent>
                  </v:textbox>
                </v:shape>
                <v:shape id="_x0000_s1309" type="#_x0000_t202" style="position:absolute;top:5184;width:1257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2pxgAAAN0AAAAPAAAAZHJzL2Rvd25yZXYueG1sRI9Ba8JA&#10;FITvBf/D8oRepG5SNWp0lbZU8CRWC70+ss8kbfZtyK66/fddQehxmJlvmOU6mEZcqHO1ZQXpMAFB&#10;XFhdc6ng87h5moFwHlljY5kU/JKD9ar3sMRc2yt/0OXgSxEh7HJUUHnf5lK6oiKDbmhb4uidbGfQ&#10;R9mVUnd4jXDTyOckyaTBmuNChS29VVT8HM5Gwf482Y4pfIf3QdYU5us11btRqtRjP7wsQHgK/j98&#10;b2+1gtF0nsLtTXwCcvUHAAD//wMAUEsBAi0AFAAGAAgAAAAhANvh9svuAAAAhQEAABMAAAAAAAAA&#10;AAAAAAAAAAAAAFtDb250ZW50X1R5cGVzXS54bWxQSwECLQAUAAYACAAAACEAWvQsW78AAAAVAQAA&#10;CwAAAAAAAAAAAAAAAAAfAQAAX3JlbHMvLnJlbHNQSwECLQAUAAYACAAAACEA6jL9qcYAAADdAAAA&#10;DwAAAAAAAAAAAAAAAAAHAgAAZHJzL2Rvd25yZXYueG1sUEsFBgAAAAADAAMAtwAAAPoCAAAAAA==&#10;" filled="f" strokecolor="#0070c0" strokeweight=".25pt">
                  <v:textbox>
                    <w:txbxContent>
                      <w:p w14:paraId="485D90AF" w14:textId="4D1BD9A5" w:rsidR="00511D9B" w:rsidRPr="003A1FE8" w:rsidRDefault="00511D9B" w:rsidP="00BD65C8">
                        <w:pPr>
                          <w:spacing w:line="180" w:lineRule="auto"/>
                          <w:jc w:val="center"/>
                          <w:rPr>
                            <w:rFonts w:asciiTheme="minorHAnsi" w:hAnsiTheme="minorHAnsi" w:cstheme="minorHAnsi"/>
                            <w:b/>
                            <w:sz w:val="28"/>
                          </w:rPr>
                        </w:pPr>
                        <w:r w:rsidRPr="003A1FE8">
                          <w:rPr>
                            <w:rFonts w:asciiTheme="minorHAnsi" w:hAnsiTheme="minorHAnsi" w:cstheme="minorHAnsi"/>
                            <w:b/>
                            <w:sz w:val="28"/>
                          </w:rPr>
                          <w:t>Zpracování závěrečného účtu</w:t>
                        </w:r>
                      </w:p>
                      <w:p w14:paraId="48845268" w14:textId="77777777" w:rsidR="00511D9B" w:rsidRPr="00576CB4" w:rsidRDefault="00511D9B" w:rsidP="00BD65C8">
                        <w:pPr>
                          <w:spacing w:line="180" w:lineRule="auto"/>
                          <w:jc w:val="center"/>
                          <w:rPr>
                            <w:rFonts w:asciiTheme="minorHAnsi" w:hAnsiTheme="minorHAnsi" w:cstheme="minorHAnsi"/>
                            <w:b/>
                            <w:sz w:val="20"/>
                          </w:rPr>
                        </w:pPr>
                      </w:p>
                    </w:txbxContent>
                  </v:textbox>
                </v:shape>
                <v:shape id="_x0000_s1310" type="#_x0000_t202" style="position:absolute;left:34099;top:-285;width:20860;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zTlxAAAAN0AAAAPAAAAZHJzL2Rvd25yZXYueG1sRI9Bi8Iw&#10;FITvwv6H8Ba8aaqLrq1GKQu6giddQY+P5tkWm5fSxNr990YQPA4z8w2zWHWmEi01rrSsYDSMQBBn&#10;VpecKzj+rQczEM4ja6wsk4J/crBafvQWmGh75z21B5+LAGGXoILC+zqR0mUFGXRDWxMH72Ibgz7I&#10;Jpe6wXuAm0qOo2gqDZYcFgqs6aeg7Hq4GQV4jtMNpZN2Vx9vI3NtT/Hv+qRU/7NL5yA8df4dfrW3&#10;WsHXdzyG55vwBOTyAQAA//8DAFBLAQItABQABgAIAAAAIQDb4fbL7gAAAIUBAAATAAAAAAAAAAAA&#10;AAAAAAAAAABbQ29udGVudF9UeXBlc10ueG1sUEsBAi0AFAAGAAgAAAAhAFr0LFu/AAAAFQEAAAsA&#10;AAAAAAAAAAAAAAAAHwEAAF9yZWxzLy5yZWxzUEsBAi0AFAAGAAgAAAAhAHiHNOXEAAAA3QAAAA8A&#10;AAAAAAAAAAAAAAAABwIAAGRycy9kb3ducmV2LnhtbFBLBQYAAAAAAwADALcAAAD4AgAAAAA=&#10;" fillcolor="white [3212]" strokecolor="#0070c0" strokeweight=".25pt">
                  <v:textbox>
                    <w:txbxContent>
                      <w:p w14:paraId="175A288A" w14:textId="77777777"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 xml:space="preserve">Schvaluje: Poslanecká sněmovna </w:t>
                        </w:r>
                      </w:p>
                      <w:p w14:paraId="78D1F7EB" w14:textId="77777777" w:rsidR="00511D9B" w:rsidRPr="00576CB4" w:rsidRDefault="00511D9B" w:rsidP="00BD65C8">
                        <w:pPr>
                          <w:spacing w:line="180" w:lineRule="auto"/>
                          <w:rPr>
                            <w:rFonts w:asciiTheme="minorHAnsi" w:hAnsiTheme="minorHAnsi" w:cstheme="minorHAnsi"/>
                            <w:b/>
                            <w:sz w:val="20"/>
                          </w:rPr>
                        </w:pPr>
                      </w:p>
                    </w:txbxContent>
                  </v:textbox>
                </v:shape>
                <v:shape id="Zakřivená spojnice 3793" o:spid="_x0000_s1311" type="#_x0000_t38" style="position:absolute;left:12573;top:4095;width:3238;height:423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1OxxgAAAN0AAAAPAAAAZHJzL2Rvd25yZXYueG1sRI9BawIx&#10;FITvgv8hPKEXqVl3wdqtUaRQKfZUKz2/bl53Qzcv2ySu239vCoLHYWa+YVabwbaiJx+MYwXzWQaC&#10;uHLacK3g+PFyvwQRIrLG1jEp+KMAm/V4tMJSuzO/U3+ItUgQDiUqaGLsSilD1ZDFMHMdcfK+nbcY&#10;k/S11B7PCW5bmWfZQlo0nBYa7Oi5oerncLIK4nS/DL/Fwhz1m/8yn90u70Ou1N1k2D6BiDTEW/ja&#10;ftUKiofHAv7fpCcg1xcAAAD//wMAUEsBAi0AFAAGAAgAAAAhANvh9svuAAAAhQEAABMAAAAAAAAA&#10;AAAAAAAAAAAAAFtDb250ZW50X1R5cGVzXS54bWxQSwECLQAUAAYACAAAACEAWvQsW78AAAAVAQAA&#10;CwAAAAAAAAAAAAAAAAAfAQAAX3JlbHMvLnJlbHNQSwECLQAUAAYACAAAACEAXtNTscYAAADdAAAA&#10;DwAAAAAAAAAAAAAAAAAHAgAAZHJzL2Rvd25yZXYueG1sUEsFBgAAAAADAAMAtwAAAPoCAAAAAA==&#10;" adj="10800" strokecolor="black [3213]" strokeweight=".5pt">
                  <v:stroke startarrow="oval" endarrow="block" joinstyle="miter"/>
                </v:shape>
                <v:shape id="_x0000_s1312" type="#_x0000_t202" style="position:absolute;left:34099;top:4286;width:20860;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kKxgAAAN0AAAAPAAAAZHJzL2Rvd25yZXYueG1sRI9Ba8JA&#10;FITvQv/D8gq91Y22tU3MKkGwLXgyFdLjI/tMgtm3IbvG+O/dQsHjMDPfMOl6NK0YqHeNZQWzaQSC&#10;uLS64UrB4Wf7/AHCeWSNrWVScCUH69XDJMVE2wvvach9JQKEXYIKau+7REpX1mTQTW1HHLyj7Q36&#10;IPtK6h4vAW5aOY+ihTTYcFiosaNNTeUpPxsF+Btnn5S9DbvucJ6Z01DEX9tCqafHMVuC8DT6e/i/&#10;/a0VvLzHr/D3JjwBuboBAAD//wMAUEsBAi0AFAAGAAgAAAAhANvh9svuAAAAhQEAABMAAAAAAAAA&#10;AAAAAAAAAAAAAFtDb250ZW50X1R5cGVzXS54bWxQSwECLQAUAAYACAAAACEAWvQsW78AAAAVAQAA&#10;CwAAAAAAAAAAAAAAAAAfAQAAX3JlbHMvLnJlbHNQSwECLQAUAAYACAAAACEAmCIJCsYAAADdAAAA&#10;DwAAAAAAAAAAAAAAAAAHAgAAZHJzL2Rvd25yZXYueG1sUEsFBgAAAAADAAMAtwAAAPoCAAAAAA==&#10;" fillcolor="white [3212]" strokecolor="#0070c0" strokeweight=".25pt">
                  <v:textbox>
                    <w:txbxContent>
                      <w:p w14:paraId="2A20DEA5" w14:textId="77777777" w:rsidR="00511D9B" w:rsidRDefault="00511D9B" w:rsidP="00BD65C8">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w:t>
                        </w:r>
                        <w:r>
                          <w:rPr>
                            <w:rFonts w:asciiTheme="minorHAnsi" w:hAnsiTheme="minorHAnsi"/>
                            <w:b/>
                            <w:sz w:val="22"/>
                            <w:szCs w:val="20"/>
                          </w:rPr>
                          <w:t>18</w:t>
                        </w:r>
                        <w:r w:rsidRPr="00D459B5">
                          <w:rPr>
                            <w:rFonts w:asciiTheme="minorHAnsi" w:hAnsiTheme="minorHAnsi"/>
                            <w:b/>
                            <w:sz w:val="22"/>
                            <w:szCs w:val="20"/>
                          </w:rPr>
                          <w:t>/2000</w:t>
                        </w:r>
                        <w:r w:rsidRPr="00D459B5">
                          <w:rPr>
                            <w:rFonts w:asciiTheme="minorHAnsi" w:hAnsiTheme="minorHAnsi"/>
                            <w:sz w:val="20"/>
                            <w:szCs w:val="20"/>
                          </w:rPr>
                          <w:t xml:space="preserve">, </w:t>
                        </w:r>
                      </w:p>
                      <w:p w14:paraId="4A0A258D" w14:textId="77777777" w:rsidR="00511D9B" w:rsidRPr="00216BFB" w:rsidRDefault="00511D9B" w:rsidP="00BD65C8">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w:t>
                        </w:r>
                      </w:p>
                      <w:p w14:paraId="024F6240" w14:textId="77777777" w:rsidR="00511D9B" w:rsidRPr="00576CB4" w:rsidRDefault="00511D9B" w:rsidP="00BD65C8">
                        <w:pPr>
                          <w:spacing w:line="180" w:lineRule="auto"/>
                          <w:rPr>
                            <w:rFonts w:asciiTheme="minorHAnsi" w:hAnsiTheme="minorHAnsi" w:cstheme="minorHAnsi"/>
                            <w:b/>
                            <w:sz w:val="20"/>
                          </w:rPr>
                        </w:pPr>
                      </w:p>
                    </w:txbxContent>
                  </v:textbox>
                </v:shape>
                <v:shape id="Zakřivená spojnice 3795" o:spid="_x0000_s1313" type="#_x0000_t38" style="position:absolute;left:30175;top:857;width:3924;height:319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UxAAAAN0AAAAPAAAAZHJzL2Rvd25yZXYueG1sRI9PawIx&#10;FMTvBb9DeEJvNbFSdVejSK3gSfyH58fmubu4eVmSqNtv3xQKPQ4z8xtmvuxsIx7kQ+1Yw3CgQBAX&#10;ztRcajifNm9TECEiG2wck4ZvCrBc9F7mmBv35AM9jrEUCcIhRw1VjG0uZSgqshgGriVO3tV5izFJ&#10;X0rj8ZngtpHvSo2lxZrTQoUtfVZU3I53mygXlrvtpv5CtR5nF6/u2b7baf3a71YzEJG6+B/+a2+N&#10;htEk+4DfN+kJyMUPAAAA//8DAFBLAQItABQABgAIAAAAIQDb4fbL7gAAAIUBAAATAAAAAAAAAAAA&#10;AAAAAAAAAABbQ29udGVudF9UeXBlc10ueG1sUEsBAi0AFAAGAAgAAAAhAFr0LFu/AAAAFQEAAAsA&#10;AAAAAAAAAAAAAAAAHwEAAF9yZWxzLy5yZWxzUEsBAi0AFAAGAAgAAAAhANqMjlTEAAAA3QAAAA8A&#10;AAAAAAAAAAAAAAAABwIAAGRycy9kb3ducmV2LnhtbFBLBQYAAAAAAwADALcAAAD4AgAAAAA=&#10;" adj="10800" strokecolor="#4472c4 [3204]" strokeweight=".5pt">
                  <v:stroke startarrow="oval" endarrow="block" joinstyle="miter"/>
                </v:shape>
                <v:shape id="Zakřivená spojnice 3796" o:spid="_x0000_s1314" type="#_x0000_t38" style="position:absolute;left:30175;top:4054;width:3924;height:201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rexgAAAN0AAAAPAAAAZHJzL2Rvd25yZXYueG1sRI9BawIx&#10;FITvgv8hvEIvotlWsLo1SmkpVBChq2iPj81rdnHzsiSpbv+9EQSPw8x8w8yXnW3EiXyoHSt4GmUg&#10;iEunazYKdtvP4RREiMgaG8ek4J8CLBf93hxz7c78TaciGpEgHHJUUMXY5lKGsiKLYeRa4uT9Om8x&#10;JumN1B7PCW4b+ZxlE2mx5rRQYUvvFZXH4s8qWK/DbvVzwKIYjDf7Dxp4Y1qv1OND9/YKIlIX7+Fb&#10;+0srGL/MJnB9k56AXFwAAAD//wMAUEsBAi0AFAAGAAgAAAAhANvh9svuAAAAhQEAABMAAAAAAAAA&#10;AAAAAAAAAAAAAFtDb250ZW50X1R5cGVzXS54bWxQSwECLQAUAAYACAAAACEAWvQsW78AAAAVAQAA&#10;CwAAAAAAAAAAAAAAAAAfAQAAX3JlbHMvLnJlbHNQSwECLQAUAAYACAAAACEAFcW63sYAAADdAAAA&#10;DwAAAAAAAAAAAAAAAAAHAgAAZHJzL2Rvd25yZXYueG1sUEsFBgAAAAADAAMAtwAAAPoCAAAAAA==&#10;" adj="10800" strokecolor="#4472c4 [3204]" strokeweight=".5pt">
                  <v:stroke startarrow="oval" endarrow="block" joinstyle="miter"/>
                </v:shape>
                <v:shape id="_x0000_s1315" type="#_x0000_t202" style="position:absolute;left:15811;top:9048;width:14364;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Jd9xgAAAN0AAAAPAAAAZHJzL2Rvd25yZXYueG1sRI9Ba8JA&#10;FITvhf6H5RW8NRuV1iZ1lSDECj01FezxkX1Ngtm3Ibsm8d+7hYLHYWa+YdbbybRioN41lhXMoxgE&#10;cWl1w5WC43f+/AbCeWSNrWVScCUH283jwxpTbUf+oqHwlQgQdikqqL3vUildWZNBF9mOOHi/tjfo&#10;g+wrqXscA9y0chHHr9Jgw2Ghxo52NZXn4mIU4E+S7Sl7GT6742VuzsMp+chPSs2epuwdhKfJ38P/&#10;7YNWsFwlK/h7E56A3NwAAAD//wMAUEsBAi0AFAAGAAgAAAAhANvh9svuAAAAhQEAABMAAAAAAAAA&#10;AAAAAAAAAAAAAFtDb250ZW50X1R5cGVzXS54bWxQSwECLQAUAAYACAAAACEAWvQsW78AAAAVAQAA&#10;CwAAAAAAAAAAAAAAAAAfAQAAX3JlbHMvLnJlbHNQSwECLQAUAAYACAAAACEAaPCXfcYAAADdAAAA&#10;DwAAAAAAAAAAAAAAAAAHAgAAZHJzL2Rvd25yZXYueG1sUEsFBgAAAAADAAMAtwAAAPoCAAAAAA==&#10;" fillcolor="white [3212]" strokecolor="#0070c0" strokeweight=".25pt">
                  <v:textbox>
                    <w:txbxContent>
                      <w:p w14:paraId="3A78E46D" w14:textId="7601DA10" w:rsidR="00511D9B" w:rsidRPr="00D459B5" w:rsidRDefault="00511D9B" w:rsidP="00BD65C8">
                        <w:pPr>
                          <w:spacing w:line="192" w:lineRule="auto"/>
                          <w:rPr>
                            <w:rFonts w:asciiTheme="minorHAnsi" w:hAnsiTheme="minorHAnsi" w:cstheme="minorHAnsi"/>
                            <w:sz w:val="20"/>
                            <w:szCs w:val="20"/>
                          </w:rPr>
                        </w:pPr>
                        <w:r>
                          <w:rPr>
                            <w:rFonts w:asciiTheme="minorHAnsi" w:hAnsiTheme="minorHAnsi" w:cstheme="minorHAnsi"/>
                            <w:b/>
                            <w:szCs w:val="20"/>
                          </w:rPr>
                          <w:t>Samospráva</w:t>
                        </w:r>
                        <w:r w:rsidRPr="00D459B5">
                          <w:rPr>
                            <w:rFonts w:asciiTheme="minorHAnsi" w:hAnsiTheme="minorHAnsi" w:cstheme="minorHAnsi"/>
                            <w:b/>
                            <w:szCs w:val="20"/>
                          </w:rPr>
                          <w:t xml:space="preserve"> </w:t>
                        </w:r>
                        <w:r w:rsidRPr="00D459B5">
                          <w:rPr>
                            <w:rFonts w:asciiTheme="minorHAnsi" w:hAnsiTheme="minorHAnsi" w:cstheme="minorHAnsi"/>
                            <w:sz w:val="22"/>
                            <w:szCs w:val="20"/>
                          </w:rPr>
                          <w:t>(zejména obce, kraje, dobrovolné svazky obcí</w:t>
                        </w:r>
                        <w:r>
                          <w:rPr>
                            <w:rFonts w:asciiTheme="minorHAnsi" w:hAnsiTheme="minorHAnsi" w:cstheme="minorHAnsi"/>
                            <w:sz w:val="22"/>
                            <w:szCs w:val="20"/>
                          </w:rPr>
                          <w:t>, jejich organizace</w:t>
                        </w:r>
                        <w:r w:rsidRPr="00D459B5">
                          <w:rPr>
                            <w:rFonts w:asciiTheme="minorHAnsi" w:hAnsiTheme="minorHAnsi" w:cstheme="minorHAnsi"/>
                            <w:sz w:val="22"/>
                            <w:szCs w:val="20"/>
                          </w:rPr>
                          <w:t xml:space="preserve"> atd.)</w:t>
                        </w:r>
                      </w:p>
                      <w:p w14:paraId="4AE005C3" w14:textId="77777777" w:rsidR="00511D9B" w:rsidRPr="00576CB4" w:rsidRDefault="00511D9B" w:rsidP="00BD65C8">
                        <w:pPr>
                          <w:spacing w:line="180" w:lineRule="auto"/>
                          <w:rPr>
                            <w:rFonts w:asciiTheme="minorHAnsi" w:hAnsiTheme="minorHAnsi" w:cstheme="minorHAnsi"/>
                            <w:b/>
                            <w:sz w:val="20"/>
                          </w:rPr>
                        </w:pPr>
                      </w:p>
                    </w:txbxContent>
                  </v:textbox>
                </v:shape>
                <v:shape id="_x0000_s1316" type="#_x0000_t202" style="position:absolute;left:34099;top:8763;width:20860;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wMPwwAAAN0AAAAPAAAAZHJzL2Rvd25yZXYueG1sRE9Na4NA&#10;EL0H+h+WKfQWV1uSVpONSCFNIadYIT0O7kQl7qy4G2P/ffdQ6PHxvrf5bHox0eg6ywqSKAZBXFvd&#10;caOg+tov30A4j6yxt0wKfshBvntYbDHT9s4nmkrfiBDCLkMFrfdDJqWrWzLoIjsQB+5iR4M+wLGR&#10;esR7CDe9fI7jtTTYcWhocaD3lupreTMK8DstPqhYTcehuiXmOp3Tw/6s1NPjXGxAeJr9v/jP/akV&#10;vLymYW54E56A3P0CAAD//wMAUEsBAi0AFAAGAAgAAAAhANvh9svuAAAAhQEAABMAAAAAAAAAAAAA&#10;AAAAAAAAAFtDb250ZW50X1R5cGVzXS54bWxQSwECLQAUAAYACAAAACEAWvQsW78AAAAVAQAACwAA&#10;AAAAAAAAAAAAAAAfAQAAX3JlbHMvLnJlbHNQSwECLQAUAAYACAAAACEAGW8DD8MAAADdAAAADwAA&#10;AAAAAAAAAAAAAAAHAgAAZHJzL2Rvd25yZXYueG1sUEsFBgAAAAADAAMAtwAAAPcCAAAAAA==&#10;" fillcolor="white [3212]" strokecolor="#0070c0" strokeweight=".25pt">
                  <v:textbox>
                    <w:txbxContent>
                      <w:p w14:paraId="0F49E45B" w14:textId="77777777"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Schvaluje: zastupitelstvo</w:t>
                        </w:r>
                      </w:p>
                      <w:p w14:paraId="20CA3AB9" w14:textId="77777777" w:rsidR="00511D9B" w:rsidRPr="00576CB4" w:rsidRDefault="00511D9B" w:rsidP="00BD65C8">
                        <w:pPr>
                          <w:spacing w:line="180" w:lineRule="auto"/>
                          <w:rPr>
                            <w:rFonts w:asciiTheme="minorHAnsi" w:hAnsiTheme="minorHAnsi" w:cstheme="minorHAnsi"/>
                            <w:b/>
                            <w:sz w:val="20"/>
                          </w:rPr>
                        </w:pPr>
                      </w:p>
                    </w:txbxContent>
                  </v:textbox>
                </v:shape>
                <v:shape id="Zakřivená spojnice 3799" o:spid="_x0000_s1317" type="#_x0000_t38" style="position:absolute;left:12573;top:8286;width:3238;height:490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bQxAAAAN0AAAAPAAAAZHJzL2Rvd25yZXYueG1sRI9Ba8JA&#10;FITvBf/D8gRvdWOktUldRcSUXhs99PjYfU2C2bcxu5r4791CocdhZr5h1tvRtuJGvW8cK1jMExDE&#10;2pmGKwWnY/H8BsIHZIOtY1JwJw/bzeRpjblxA3/RrQyViBD2OSqoQ+hyKb2uyaKfu444ej+utxii&#10;7Ctpehwi3LYyTZJXabHhuFBjR/ua9Lm8WgXpIVvql2uxv1TD4HTqbfldfCg1m467dxCBxvAf/mt/&#10;GgXLVZbB75v4BOTmAQAA//8DAFBLAQItABQABgAIAAAAIQDb4fbL7gAAAIUBAAATAAAAAAAAAAAA&#10;AAAAAAAAAABbQ29udGVudF9UeXBlc10ueG1sUEsBAi0AFAAGAAgAAAAhAFr0LFu/AAAAFQEAAAsA&#10;AAAAAAAAAAAAAAAAHwEAAF9yZWxzLy5yZWxzUEsBAi0AFAAGAAgAAAAhAMo4VtDEAAAA3QAAAA8A&#10;AAAAAAAAAAAAAAAABwIAAGRycy9kb3ducmV2LnhtbFBLBQYAAAAAAwADALcAAAD4AgAAAAA=&#10;" adj="10800" strokecolor="black [3213]" strokeweight=".5pt">
                  <v:stroke startarrow="oval" endarrow="block" joinstyle="miter"/>
                </v:shape>
                <v:shape id="Zakřivená spojnice 3800" o:spid="_x0000_s1318" type="#_x0000_t38" style="position:absolute;left:30194;top:9858;width:3905;height:328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wdwwAAAN0AAAAPAAAAZHJzL2Rvd25yZXYueG1sRI/BagIx&#10;EIbvQt8hTKE3TWpBdDVKaRU8SaviediMu4ubyZJE3b595yB4HP75v5lvsep9q24UUxPYwvvIgCIu&#10;g2u4snA8bIZTUCkjO2wDk4U/SrBavgwWWLhw51+67XOlBMKpQAt1zl2hdSpr8phGoSOW7Byixyxj&#10;rLSLeBe4b/XYmIn22LBcqLGjr5rKy/7qhXJivdtumjWa78nsFM119tPvrH177T/noDL1+bn8aG+d&#10;hY+pkf/FRkxAL/8BAAD//wMAUEsBAi0AFAAGAAgAAAAhANvh9svuAAAAhQEAABMAAAAAAAAAAAAA&#10;AAAAAAAAAFtDb250ZW50X1R5cGVzXS54bWxQSwECLQAUAAYACAAAACEAWvQsW78AAAAVAQAACwAA&#10;AAAAAAAAAAAAAAAfAQAAX3JlbHMvLnJlbHNQSwECLQAUAAYACAAAACEA1EUsHcMAAADdAAAADwAA&#10;AAAAAAAAAAAAAAAHAgAAZHJzL2Rvd25yZXYueG1sUEsFBgAAAAADAAMAtwAAAPcCAAAAAA==&#10;" adj="10800" strokecolor="#4472c4 [3204]" strokeweight=".5pt">
                  <v:stroke startarrow="oval" endarrow="block" joinstyle="miter"/>
                </v:shape>
                <v:shape id="_x0000_s1319" type="#_x0000_t202" style="position:absolute;left:34099;top:13144;width:20860;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tDxAAAAN0AAAAPAAAAZHJzL2Rvd25yZXYueG1sRI9Bi8Iw&#10;FITvwv6H8Bb2pmlXFK1GKQu6gieroMdH82yLzUtpYq3/3ggLexxm5htmue5NLTpqXWVZQTyKQBDn&#10;VldcKDgdN8MZCOeRNdaWScGTHKxXH4MlJto++EBd5gsRIOwSVFB63yRSurwkg25kG+LgXW1r0AfZ&#10;FlK3+AhwU8vvKJpKgxWHhRIb+ikpv2V3owAv83RL6aTbN6d7bG7def67OSv19dmnCxCeev8f/mvv&#10;tILxLIrh/SY8Abl6AQAA//8DAFBLAQItABQABgAIAAAAIQDb4fbL7gAAAIUBAAATAAAAAAAAAAAA&#10;AAAAAAAAAABbQ29udGVudF9UeXBlc10ueG1sUEsBAi0AFAAGAAgAAAAhAFr0LFu/AAAAFQEAAAsA&#10;AAAAAAAAAAAAAAAAHwEAAF9yZWxzLy5yZWxzUEsBAi0AFAAGAAgAAAAhAJbrq0PEAAAA3QAAAA8A&#10;AAAAAAAAAAAAAAAABwIAAGRycy9kb3ducmV2LnhtbFBLBQYAAAAAAwADALcAAAD4AgAAAAA=&#10;" fillcolor="white [3212]" strokecolor="#0070c0" strokeweight=".25pt">
                  <v:textbox>
                    <w:txbxContent>
                      <w:p w14:paraId="093B7F83" w14:textId="77777777" w:rsidR="00511D9B" w:rsidRDefault="00511D9B" w:rsidP="00BD65C8">
                        <w:pPr>
                          <w:spacing w:line="192" w:lineRule="auto"/>
                          <w:rPr>
                            <w:rFonts w:asciiTheme="minorHAnsi" w:hAnsiTheme="minorHAnsi"/>
                            <w:sz w:val="20"/>
                            <w:szCs w:val="20"/>
                          </w:rPr>
                        </w:pPr>
                        <w:r w:rsidRPr="00D459B5">
                          <w:rPr>
                            <w:rFonts w:asciiTheme="minorHAnsi" w:hAnsiTheme="minorHAnsi" w:cstheme="minorHAnsi"/>
                            <w:b/>
                            <w:sz w:val="22"/>
                            <w:szCs w:val="20"/>
                          </w:rPr>
                          <w:t xml:space="preserve">Dle zákona č. </w:t>
                        </w:r>
                        <w:r w:rsidRPr="00D459B5">
                          <w:rPr>
                            <w:rFonts w:asciiTheme="minorHAnsi" w:hAnsiTheme="minorHAnsi"/>
                            <w:b/>
                            <w:sz w:val="22"/>
                            <w:szCs w:val="20"/>
                          </w:rPr>
                          <w:t>250/2000</w:t>
                        </w:r>
                        <w:r w:rsidRPr="00D459B5">
                          <w:rPr>
                            <w:rFonts w:asciiTheme="minorHAnsi" w:hAnsiTheme="minorHAnsi"/>
                            <w:sz w:val="20"/>
                            <w:szCs w:val="20"/>
                          </w:rPr>
                          <w:t xml:space="preserve">, </w:t>
                        </w:r>
                      </w:p>
                      <w:p w14:paraId="4A976FD3" w14:textId="77777777" w:rsidR="00511D9B" w:rsidRPr="00216BFB" w:rsidRDefault="00511D9B" w:rsidP="00BD65C8">
                        <w:pPr>
                          <w:spacing w:line="192" w:lineRule="auto"/>
                          <w:rPr>
                            <w:rFonts w:asciiTheme="minorHAnsi" w:hAnsiTheme="minorHAnsi"/>
                            <w:sz w:val="22"/>
                            <w:szCs w:val="20"/>
                          </w:rPr>
                        </w:pPr>
                        <w:r w:rsidRPr="00216BFB">
                          <w:rPr>
                            <w:rFonts w:asciiTheme="minorHAnsi" w:hAnsiTheme="minorHAnsi"/>
                            <w:sz w:val="22"/>
                            <w:szCs w:val="20"/>
                          </w:rPr>
                          <w:t>o rozpočtových pra</w:t>
                        </w:r>
                        <w:r>
                          <w:rPr>
                            <w:rFonts w:asciiTheme="minorHAnsi" w:hAnsiTheme="minorHAnsi"/>
                            <w:sz w:val="22"/>
                            <w:szCs w:val="20"/>
                          </w:rPr>
                          <w:t>vidlech územních rozpočtů</w:t>
                        </w:r>
                      </w:p>
                      <w:p w14:paraId="2EA9C413" w14:textId="77777777" w:rsidR="00511D9B" w:rsidRPr="00576CB4" w:rsidRDefault="00511D9B" w:rsidP="00BD65C8">
                        <w:pPr>
                          <w:spacing w:line="180" w:lineRule="auto"/>
                          <w:rPr>
                            <w:rFonts w:asciiTheme="minorHAnsi" w:hAnsiTheme="minorHAnsi" w:cstheme="minorHAnsi"/>
                            <w:b/>
                            <w:sz w:val="20"/>
                          </w:rPr>
                        </w:pPr>
                      </w:p>
                    </w:txbxContent>
                  </v:textbox>
                </v:shape>
                <v:shape id="Zakřivená spojnice 3802" o:spid="_x0000_s1320" type="#_x0000_t38" style="position:absolute;left:30194;top:13144;width:3905;height:252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L0MxQAAAN0AAAAPAAAAZHJzL2Rvd25yZXYueG1sRI9BawIx&#10;FITvBf9DeEIvolkVimyNIopgQQpdxfb42LxmFzcvSxJ1/femUPA4zMw3zHzZ2UZcyYfasYLxKANB&#10;XDpds1FwPGyHMxAhImtsHJOCOwVYLnovc8y1u/EXXYtoRIJwyFFBFWObSxnKiiyGkWuJk/frvMWY&#10;pDdSe7wluG3kJMvepMWa00KFLa0rKs/FxSrY78Px4+cbi2Iw/TxtaOCNab1Sr/1u9Q4iUhef4f/2&#10;TiuYzrIJ/L1JT0AuHgAAAP//AwBQSwECLQAUAAYACAAAACEA2+H2y+4AAACFAQAAEwAAAAAAAAAA&#10;AAAAAAAAAAAAW0NvbnRlbnRfVHlwZXNdLnhtbFBLAQItABQABgAIAAAAIQBa9CxbvwAAABUBAAAL&#10;AAAAAAAAAAAAAAAAAB8BAABfcmVscy8ucmVsc1BLAQItABQABgAIAAAAIQB0QL0MxQAAAN0AAAAP&#10;AAAAAAAAAAAAAAAAAAcCAABkcnMvZG93bnJldi54bWxQSwUGAAAAAAMAAwC3AAAA+QIAAAAA&#10;" adj="10800" strokecolor="#4472c4 [3204]" strokeweight=".5pt">
                  <v:stroke startarrow="oval" endarrow="block" joinstyle="miter"/>
                </v:shape>
                <v:shape id="_x0000_s1321" type="#_x0000_t202" style="position:absolute;left:34099;top:2000;width:20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ZCvxQAAAN0AAAAPAAAAZHJzL2Rvd25yZXYueG1sRI9Pi8Iw&#10;FMTvwn6H8IS9aaqi2K5RyoKu4Mk/0D0+mmdbbF5KE2v3228EweMwM79hVpve1KKj1lWWFUzGEQji&#10;3OqKCwWX83a0BOE8ssbaMin4Iweb9cdghYm2Dz5Sd/KFCBB2CSoovW8SKV1ekkE3tg1x8K62NeiD&#10;bAupW3wEuKnlNIoW0mDFYaHEhr5Lym+nu1GAv3G6o3TeHZrLfWJuXRb/bDOlPod9+gXCU+/f4Vd7&#10;rxXMltEMnm/CE5DrfwAAAP//AwBQSwECLQAUAAYACAAAACEA2+H2y+4AAACFAQAAEwAAAAAAAAAA&#10;AAAAAAAAAAAAW0NvbnRlbnRfVHlwZXNdLnhtbFBLAQItABQABgAIAAAAIQBa9CxbvwAAABUBAAAL&#10;AAAAAAAAAAAAAAAAAB8BAABfcmVscy8ucmVsc1BLAQItABQABgAIAAAAIQAJdZCvxQAAAN0AAAAP&#10;AAAAAAAAAAAAAAAAAAcCAABkcnMvZG93bnJldi54bWxQSwUGAAAAAAMAAwC3AAAA+QIAAAAA&#10;" fillcolor="white [3212]" strokecolor="#0070c0" strokeweight=".25pt">
                  <v:textbox>
                    <w:txbxContent>
                      <w:p w14:paraId="41D3DF40" w14:textId="39C33443"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vláda do 30.4.</w:t>
                        </w:r>
                      </w:p>
                      <w:p w14:paraId="782865A0" w14:textId="77777777" w:rsidR="00511D9B" w:rsidRPr="00576CB4" w:rsidRDefault="00511D9B" w:rsidP="00BD65C8">
                        <w:pPr>
                          <w:spacing w:line="180" w:lineRule="auto"/>
                          <w:rPr>
                            <w:rFonts w:asciiTheme="minorHAnsi" w:hAnsiTheme="minorHAnsi" w:cstheme="minorHAnsi"/>
                            <w:b/>
                            <w:sz w:val="20"/>
                          </w:rPr>
                        </w:pPr>
                      </w:p>
                    </w:txbxContent>
                  </v:textbox>
                </v:shape>
                <v:shape id="_x0000_s1322" type="#_x0000_t202" style="position:absolute;left:34099;top:10953;width:20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jbxgAAAN0AAAAPAAAAZHJzL2Rvd25yZXYueG1sRI9Ba8JA&#10;FITvBf/D8oTedKOtJUY3Egq2Qk/agB4f2WcSkn0bsmtM/31XKPQ4zMw3zHY3mlYM1LvasoLFPAJB&#10;XFhdc6kg/97PYhDOI2tsLZOCH3KwSydPW0y0vfORhpMvRYCwS1BB5X2XSOmKigy6ue2Ig3e1vUEf&#10;ZF9K3eM9wE0rl1H0Jg3WHBYq7Oi9oqI53YwCvKyzD8pWw1eX3xamGc7rz/1ZqefpmG1AeBr9f/iv&#10;fdAKXuLoFR5vwhOQ6S8AAAD//wMAUEsBAi0AFAAGAAgAAAAhANvh9svuAAAAhQEAABMAAAAAAAAA&#10;AAAAAAAAAAAAAFtDb250ZW50X1R5cGVzXS54bWxQSwECLQAUAAYACAAAACEAWvQsW78AAAAVAQAA&#10;CwAAAAAAAAAAAAAAAAAfAQAAX3JlbHMvLnJlbHNQSwECLQAUAAYACAAAACEAhpwI28YAAADdAAAA&#10;DwAAAAAAAAAAAAAAAAAHAgAAZHJzL2Rvd25yZXYueG1sUEsFBgAAAAADAAMAtwAAAPoCAAAAAA==&#10;" fillcolor="white [3212]" strokecolor="#0070c0" strokeweight=".25pt">
                  <v:textbox>
                    <w:txbxContent>
                      <w:p w14:paraId="40CFA0FD" w14:textId="77097A05" w:rsidR="00511D9B" w:rsidRDefault="00511D9B" w:rsidP="00BD65C8">
                        <w:pPr>
                          <w:spacing w:line="180" w:lineRule="auto"/>
                          <w:rPr>
                            <w:rFonts w:asciiTheme="minorHAnsi" w:hAnsiTheme="minorHAnsi" w:cstheme="minorHAnsi"/>
                            <w:sz w:val="20"/>
                            <w:szCs w:val="20"/>
                          </w:rPr>
                        </w:pPr>
                        <w:r>
                          <w:rPr>
                            <w:rFonts w:asciiTheme="minorHAnsi" w:hAnsiTheme="minorHAnsi" w:cstheme="minorHAnsi"/>
                            <w:b/>
                            <w:sz w:val="22"/>
                            <w:szCs w:val="20"/>
                          </w:rPr>
                          <w:t>Předkládá rada v květnu/červnu</w:t>
                        </w:r>
                      </w:p>
                      <w:p w14:paraId="785FD91B" w14:textId="77777777" w:rsidR="00511D9B" w:rsidRPr="00576CB4" w:rsidRDefault="00511D9B" w:rsidP="00BD65C8">
                        <w:pPr>
                          <w:spacing w:line="180" w:lineRule="auto"/>
                          <w:rPr>
                            <w:rFonts w:asciiTheme="minorHAnsi" w:hAnsiTheme="minorHAnsi" w:cstheme="minorHAnsi"/>
                            <w:b/>
                            <w:sz w:val="20"/>
                          </w:rPr>
                        </w:pPr>
                      </w:p>
                    </w:txbxContent>
                  </v:textbox>
                </v:shape>
                <v:shape id="Zakřivená spojnice 3805" o:spid="_x0000_s1323" type="#_x0000_t38" style="position:absolute;left:30175;top:3143;width:3924;height:911;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FxAAAAN0AAAAPAAAAZHJzL2Rvd25yZXYueG1sRI9Ba8JA&#10;FITvQv/D8gq96a4tlRhdpbQN5CSaFs+P7DMJZt+G3VXTf98tFDwOM/MNs96OthdX8qFzrGE+UyCI&#10;a2c6bjR8fxXTDESIyAZ7x6ThhwJsNw+TNebG3fhA1yo2IkE45KihjXHIpQx1SxbDzA3EyTs5bzEm&#10;6RtpPN4S3PbyWamFtNhxWmhxoPeW6nN1sYlyZLkri+4T1cdiefTqstyPO62fHse3FYhIY7yH/9ul&#10;0fCSqVf4e5OegNz8AgAA//8DAFBLAQItABQABgAIAAAAIQDb4fbL7gAAAIUBAAATAAAAAAAAAAAA&#10;AAAAAAAAAABbQ29udGVudF9UeXBlc10ueG1sUEsBAi0AFAAGAAgAAAAhAFr0LFu/AAAAFQEAAAsA&#10;AAAAAAAAAAAAAAAAHwEAAF9yZWxzLy5yZWxzUEsBAi0AFAAGAAgAAAAhAMQyj4XEAAAA3QAAAA8A&#10;AAAAAAAAAAAAAAAABwIAAGRycy9kb3ducmV2LnhtbFBLBQYAAAAAAwADALcAAAD4AgAAAAA=&#10;" adj="10800" strokecolor="#4472c4 [3204]" strokeweight=".5pt">
                  <v:stroke startarrow="oval" endarrow="block" joinstyle="miter"/>
                </v:shape>
                <v:shape id="Zakřivená spojnice 3806" o:spid="_x0000_s1324" type="#_x0000_t38" style="position:absolute;left:30175;top:12096;width:3924;height:109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BHywgAAAN0AAAAPAAAAZHJzL2Rvd25yZXYueG1sRI9Pi8Iw&#10;FMTvC36H8ARva6JC0a5RFv+AJ3FVPD+at23Z5qUkUeu3N4Kwx2FmfsPMl51txI18qB1rGA0VCOLC&#10;mZpLDefT9nMKIkRkg41j0vCgAMtF72OOuXF3/qHbMZYiQTjkqKGKsc2lDEVFFsPQtcTJ+3XeYkzS&#10;l9J4vCe4beRYqUxarDktVNjSqqLi73i1iXJhud9t6w2qdTa7eHWdHbq91oN+9/0FIlIX/8Pv9s5o&#10;mExVBq836QnIxRMAAP//AwBQSwECLQAUAAYACAAAACEA2+H2y+4AAACFAQAAEwAAAAAAAAAAAAAA&#10;AAAAAAAAW0NvbnRlbnRfVHlwZXNdLnhtbFBLAQItABQABgAIAAAAIQBa9CxbvwAAABUBAAALAAAA&#10;AAAAAAAAAAAAAB8BAABfcmVscy8ucmVsc1BLAQItABQABgAIAAAAIQA04BHywgAAAN0AAAAPAAAA&#10;AAAAAAAAAAAAAAcCAABkcnMvZG93bnJldi54bWxQSwUGAAAAAAMAAwC3AAAA9gIAAAAA&#10;" adj="10800" strokecolor="#4472c4 [3204]" strokeweight=".5pt">
                  <v:stroke startarrow="oval" endarrow="block" joinstyle="miter"/>
                </v:shape>
              </v:group>
            </w:pict>
          </mc:Fallback>
        </mc:AlternateContent>
      </w:r>
      <w:r w:rsidR="00BD65C8" w:rsidRPr="006E498E">
        <w:rPr>
          <w:rFonts w:asciiTheme="minorHAnsi" w:eastAsia="Calibri" w:hAnsiTheme="minorHAnsi" w:cstheme="minorHAnsi"/>
          <w:i/>
          <w:iCs/>
          <w:sz w:val="24"/>
          <w:szCs w:val="24"/>
        </w:rPr>
        <w:t>Obr.</w:t>
      </w:r>
      <w:r w:rsidR="00EA14C5">
        <w:rPr>
          <w:rFonts w:asciiTheme="minorHAnsi" w:eastAsia="Calibri" w:hAnsiTheme="minorHAnsi" w:cstheme="minorHAnsi"/>
          <w:i/>
          <w:iCs/>
          <w:sz w:val="24"/>
          <w:szCs w:val="24"/>
        </w:rPr>
        <w:t xml:space="preserve"> </w:t>
      </w:r>
      <w:r w:rsidR="00C14739">
        <w:rPr>
          <w:rFonts w:asciiTheme="minorHAnsi" w:eastAsia="Calibri" w:hAnsiTheme="minorHAnsi" w:cstheme="minorHAnsi"/>
          <w:i/>
          <w:iCs/>
          <w:sz w:val="24"/>
          <w:szCs w:val="24"/>
        </w:rPr>
        <w:t>2</w:t>
      </w:r>
      <w:r w:rsidR="00257449">
        <w:rPr>
          <w:rFonts w:asciiTheme="minorHAnsi" w:eastAsia="Calibri" w:hAnsiTheme="minorHAnsi" w:cstheme="minorHAnsi"/>
          <w:i/>
          <w:iCs/>
          <w:sz w:val="24"/>
          <w:szCs w:val="24"/>
        </w:rPr>
        <w:t>2</w:t>
      </w:r>
      <w:r w:rsidR="00BD65C8" w:rsidRPr="006E498E">
        <w:rPr>
          <w:rFonts w:asciiTheme="minorHAnsi" w:eastAsia="Calibri" w:hAnsiTheme="minorHAnsi" w:cstheme="minorHAnsi"/>
          <w:i/>
          <w:iCs/>
          <w:sz w:val="24"/>
          <w:szCs w:val="24"/>
        </w:rPr>
        <w:t xml:space="preserve"> </w:t>
      </w:r>
      <w:r w:rsidR="00F62D18">
        <w:rPr>
          <w:rFonts w:asciiTheme="minorHAnsi" w:eastAsia="Calibri" w:hAnsiTheme="minorHAnsi" w:cstheme="minorHAnsi"/>
          <w:i/>
          <w:iCs/>
          <w:sz w:val="24"/>
          <w:szCs w:val="24"/>
        </w:rPr>
        <w:t>Zpracování a schválení závěrečného účtu</w:t>
      </w:r>
    </w:p>
    <w:p w14:paraId="7CE6318E" w14:textId="20EFD5BE" w:rsidR="00BD65C8" w:rsidRDefault="00BD65C8" w:rsidP="00BD65C8">
      <w:pPr>
        <w:pStyle w:val="Zkladntext3"/>
        <w:spacing w:after="0" w:line="360" w:lineRule="auto"/>
        <w:jc w:val="both"/>
        <w:rPr>
          <w:rFonts w:asciiTheme="minorHAnsi" w:eastAsia="Calibri" w:hAnsiTheme="minorHAnsi" w:cstheme="minorHAnsi"/>
          <w:i/>
          <w:iCs/>
          <w:sz w:val="24"/>
          <w:szCs w:val="24"/>
        </w:rPr>
      </w:pPr>
    </w:p>
    <w:p w14:paraId="2608080D" w14:textId="77777777" w:rsidR="00BD65C8" w:rsidRDefault="00BD65C8" w:rsidP="00BD65C8">
      <w:pPr>
        <w:tabs>
          <w:tab w:val="num" w:pos="720"/>
        </w:tabs>
        <w:jc w:val="both"/>
        <w:rPr>
          <w:rFonts w:ascii="Calibri" w:hAnsi="Calibri" w:cs="Calibri"/>
        </w:rPr>
      </w:pPr>
    </w:p>
    <w:p w14:paraId="1D29B11E" w14:textId="77777777" w:rsidR="00BD65C8" w:rsidRDefault="00BD65C8" w:rsidP="00BD65C8">
      <w:pPr>
        <w:tabs>
          <w:tab w:val="num" w:pos="720"/>
        </w:tabs>
        <w:jc w:val="both"/>
        <w:rPr>
          <w:rFonts w:ascii="Calibri" w:hAnsi="Calibri" w:cs="Calibri"/>
        </w:rPr>
      </w:pPr>
    </w:p>
    <w:p w14:paraId="637C8FEE" w14:textId="77777777" w:rsidR="00BD65C8" w:rsidRDefault="00BD65C8" w:rsidP="00BD65C8">
      <w:pPr>
        <w:tabs>
          <w:tab w:val="num" w:pos="720"/>
        </w:tabs>
        <w:jc w:val="both"/>
        <w:rPr>
          <w:rFonts w:asciiTheme="minorHAnsi" w:hAnsiTheme="minorHAnsi" w:cstheme="minorHAnsi"/>
        </w:rPr>
      </w:pPr>
    </w:p>
    <w:p w14:paraId="3CAA9AF7" w14:textId="77777777" w:rsidR="00BD65C8" w:rsidRDefault="00BD65C8" w:rsidP="00BD65C8">
      <w:pPr>
        <w:pStyle w:val="Zkladntext3"/>
        <w:spacing w:after="0" w:line="360" w:lineRule="auto"/>
        <w:ind w:left="66" w:firstLine="294"/>
        <w:jc w:val="both"/>
        <w:rPr>
          <w:rFonts w:asciiTheme="minorHAnsi" w:eastAsia="Calibri" w:hAnsiTheme="minorHAnsi" w:cstheme="minorHAnsi"/>
          <w:i/>
          <w:iCs/>
          <w:sz w:val="24"/>
          <w:szCs w:val="24"/>
        </w:rPr>
      </w:pPr>
    </w:p>
    <w:p w14:paraId="7807D915" w14:textId="77777777" w:rsidR="00BD65C8" w:rsidRDefault="00BD65C8" w:rsidP="00BD65C8">
      <w:pPr>
        <w:pStyle w:val="Zkladntext3"/>
        <w:spacing w:after="0" w:line="360" w:lineRule="auto"/>
        <w:ind w:left="66" w:firstLine="294"/>
        <w:jc w:val="both"/>
        <w:rPr>
          <w:rFonts w:asciiTheme="minorHAnsi" w:eastAsia="Calibri" w:hAnsiTheme="minorHAnsi" w:cstheme="minorHAnsi"/>
          <w:i/>
          <w:iCs/>
          <w:sz w:val="24"/>
          <w:szCs w:val="24"/>
        </w:rPr>
      </w:pPr>
    </w:p>
    <w:p w14:paraId="601FF549" w14:textId="77777777" w:rsidR="00BD65C8" w:rsidRDefault="00BD65C8" w:rsidP="00C66926">
      <w:pPr>
        <w:pStyle w:val="Zkladntext3"/>
        <w:spacing w:after="0"/>
        <w:jc w:val="both"/>
        <w:rPr>
          <w:rFonts w:asciiTheme="minorHAnsi" w:eastAsia="Calibri" w:hAnsiTheme="minorHAnsi" w:cstheme="minorHAnsi"/>
          <w:i/>
          <w:iCs/>
          <w:sz w:val="24"/>
          <w:szCs w:val="24"/>
        </w:rPr>
      </w:pPr>
    </w:p>
    <w:p w14:paraId="4511D8B2" w14:textId="77777777" w:rsidR="00BD65C8" w:rsidRPr="00A06E6A" w:rsidRDefault="00BD65C8" w:rsidP="00BD65C8">
      <w:pPr>
        <w:pStyle w:val="Zkladntext3"/>
        <w:spacing w:after="0" w:line="360" w:lineRule="auto"/>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Zdroj: autoři</w:t>
      </w:r>
    </w:p>
    <w:p w14:paraId="24621A67" w14:textId="0E1A101F" w:rsidR="0082143E" w:rsidRDefault="0082143E" w:rsidP="0082143E">
      <w:pPr>
        <w:jc w:val="both"/>
        <w:rPr>
          <w:rFonts w:asciiTheme="minorHAnsi" w:hAnsiTheme="minorHAnsi" w:cstheme="minorHAnsi"/>
        </w:rPr>
      </w:pPr>
      <w:r>
        <w:rPr>
          <w:rFonts w:asciiTheme="minorHAnsi" w:hAnsiTheme="minorHAnsi" w:cstheme="minorHAnsi"/>
        </w:rPr>
        <w:t>Pokud je</w:t>
      </w:r>
      <w:r w:rsidRPr="00880EA9">
        <w:rPr>
          <w:rFonts w:asciiTheme="minorHAnsi" w:hAnsiTheme="minorHAnsi" w:cstheme="minorHAnsi"/>
        </w:rPr>
        <w:t xml:space="preserve"> saldo hospodaření státního rozpočtu odlišné od salda stanoveného v zákoně o státním rozpočtu, rozhodne Poslanecká sněmovna na návrh vlády, jak bude uhrazen daný schodek</w:t>
      </w:r>
      <w:r w:rsidR="00D40AB7">
        <w:rPr>
          <w:rFonts w:asciiTheme="minorHAnsi" w:hAnsiTheme="minorHAnsi" w:cstheme="minorHAnsi"/>
        </w:rPr>
        <w:t>,</w:t>
      </w:r>
      <w:r w:rsidRPr="00880EA9">
        <w:rPr>
          <w:rFonts w:asciiTheme="minorHAnsi" w:hAnsiTheme="minorHAnsi" w:cstheme="minorHAnsi"/>
        </w:rPr>
        <w:t xml:space="preserve"> či jak bude na</w:t>
      </w:r>
      <w:r>
        <w:rPr>
          <w:rFonts w:asciiTheme="minorHAnsi" w:hAnsiTheme="minorHAnsi" w:cstheme="minorHAnsi"/>
        </w:rPr>
        <w:t>loženo s existujícím přebytkem. Obdobně o schodku / přebytku rozhoduje u samospráv jejich zastupitelstvo.</w:t>
      </w:r>
      <w:r w:rsidR="002B409C">
        <w:rPr>
          <w:rFonts w:asciiTheme="minorHAnsi" w:hAnsiTheme="minorHAnsi" w:cstheme="minorHAnsi"/>
        </w:rPr>
        <w:t xml:space="preserve"> </w:t>
      </w:r>
    </w:p>
    <w:p w14:paraId="15A87C22" w14:textId="77777777" w:rsidR="00D31C74" w:rsidRDefault="00D31C74" w:rsidP="00C66926">
      <w:pPr>
        <w:jc w:val="both"/>
        <w:rPr>
          <w:rFonts w:asciiTheme="minorHAnsi" w:hAnsiTheme="minorHAnsi" w:cstheme="minorHAnsi"/>
        </w:rPr>
      </w:pPr>
    </w:p>
    <w:p w14:paraId="7A28315E" w14:textId="7D0721CC" w:rsidR="002A0F14" w:rsidRPr="00DC7F02" w:rsidRDefault="00683E30" w:rsidP="00C66926">
      <w:pPr>
        <w:jc w:val="both"/>
        <w:rPr>
          <w:rFonts w:ascii="Calibri" w:hAnsi="Calibri"/>
          <w:b/>
          <w:bCs/>
          <w:color w:val="7493B0"/>
          <w:sz w:val="32"/>
          <w:szCs w:val="28"/>
        </w:rPr>
      </w:pPr>
      <w:r>
        <w:rPr>
          <w:rFonts w:asciiTheme="minorHAnsi" w:hAnsiTheme="minorHAnsi" w:cstheme="minorHAnsi"/>
        </w:rPr>
        <w:t>U samospráv lze za dobrou praxi považovat to, pokud se ve stejných termínech v zastupitelstvu, jako je projednávání závěrečného účtu, projednává také vyhodnocení strategie obce (programu rozvoje obce)</w:t>
      </w:r>
      <w:r w:rsidR="002B409C">
        <w:rPr>
          <w:rFonts w:asciiTheme="minorHAnsi" w:hAnsiTheme="minorHAnsi" w:cstheme="minorHAnsi"/>
        </w:rPr>
        <w:t xml:space="preserve"> za předcházející rok</w:t>
      </w:r>
      <w:r>
        <w:rPr>
          <w:rFonts w:asciiTheme="minorHAnsi" w:hAnsiTheme="minorHAnsi" w:cstheme="minorHAnsi"/>
        </w:rPr>
        <w:t>.</w:t>
      </w:r>
      <w:bookmarkEnd w:id="59"/>
      <w:bookmarkEnd w:id="60"/>
      <w:r w:rsidR="002A0F14" w:rsidRPr="00DC7F02">
        <w:rPr>
          <w:rFonts w:ascii="Calibri" w:hAnsi="Calibri"/>
          <w:color w:val="7493B0"/>
          <w:sz w:val="32"/>
        </w:rPr>
        <w:br w:type="page"/>
      </w:r>
    </w:p>
    <w:p w14:paraId="3261077E" w14:textId="296714D8" w:rsidR="008A60AC" w:rsidRDefault="008A60AC" w:rsidP="008A60AC">
      <w:pPr>
        <w:pStyle w:val="Nadpis1"/>
        <w:spacing w:before="240" w:after="120"/>
        <w:ind w:left="431" w:hanging="431"/>
        <w:rPr>
          <w:rFonts w:ascii="Calibri" w:hAnsi="Calibri"/>
          <w:color w:val="7493B0"/>
          <w:sz w:val="32"/>
          <w:lang w:val="cs-CZ"/>
        </w:rPr>
      </w:pPr>
      <w:bookmarkStart w:id="61" w:name="_Toc78206009"/>
      <w:bookmarkStart w:id="62" w:name="_Toc117270014"/>
      <w:r w:rsidRPr="008A60AC">
        <w:rPr>
          <w:rFonts w:ascii="Calibri" w:hAnsi="Calibri"/>
          <w:color w:val="7493B0"/>
          <w:sz w:val="32"/>
          <w:lang w:val="cs-CZ"/>
        </w:rPr>
        <w:lastRenderedPageBreak/>
        <w:t>Zásady zdravého (udržitelného) finančního řízení</w:t>
      </w:r>
      <w:bookmarkEnd w:id="61"/>
      <w:bookmarkEnd w:id="62"/>
    </w:p>
    <w:p w14:paraId="6AD04B5E" w14:textId="05ED613F" w:rsidR="00550951" w:rsidRDefault="00652D9E" w:rsidP="00A33A46">
      <w:pPr>
        <w:jc w:val="both"/>
        <w:rPr>
          <w:rFonts w:asciiTheme="minorHAnsi" w:hAnsiTheme="minorHAnsi" w:cstheme="minorHAnsi"/>
        </w:rPr>
      </w:pPr>
      <w:r>
        <w:rPr>
          <w:rFonts w:asciiTheme="minorHAnsi" w:hAnsiTheme="minorHAnsi" w:cstheme="minorHAnsi"/>
        </w:rPr>
        <w:t xml:space="preserve">V kapitole 3.1 byla </w:t>
      </w:r>
      <w:r w:rsidR="00A33A46">
        <w:rPr>
          <w:rFonts w:asciiTheme="minorHAnsi" w:hAnsiTheme="minorHAnsi" w:cstheme="minorHAnsi"/>
        </w:rPr>
        <w:t>vymezena</w:t>
      </w:r>
      <w:r>
        <w:rPr>
          <w:rFonts w:asciiTheme="minorHAnsi" w:hAnsiTheme="minorHAnsi" w:cstheme="minorHAnsi"/>
        </w:rPr>
        <w:t xml:space="preserve"> probl</w:t>
      </w:r>
      <w:r w:rsidR="00A33A46">
        <w:rPr>
          <w:rFonts w:asciiTheme="minorHAnsi" w:hAnsiTheme="minorHAnsi" w:cstheme="minorHAnsi"/>
        </w:rPr>
        <w:t xml:space="preserve">ematika rozpočtové odpovědnosti dle zákona </w:t>
      </w:r>
      <w:r w:rsidR="00A33A46" w:rsidRPr="006A669F">
        <w:rPr>
          <w:rFonts w:asciiTheme="minorHAnsi" w:hAnsiTheme="minorHAnsi" w:cstheme="minorHAnsi"/>
        </w:rPr>
        <w:t>č. 23/2017 Sb., o prav</w:t>
      </w:r>
      <w:r w:rsidR="00A33A46">
        <w:rPr>
          <w:rFonts w:asciiTheme="minorHAnsi" w:hAnsiTheme="minorHAnsi" w:cstheme="minorHAnsi"/>
        </w:rPr>
        <w:t xml:space="preserve">idlech rozpočtové odpovědnosti.  Ze zákona plyne pro stát i samosprávy povinnost </w:t>
      </w:r>
      <w:r w:rsidR="00A33A46" w:rsidRPr="007D63CC">
        <w:rPr>
          <w:rFonts w:asciiTheme="minorHAnsi" w:hAnsiTheme="minorHAnsi" w:cstheme="minorHAnsi"/>
          <w:b/>
        </w:rPr>
        <w:t>dbát o zdravé a udržitelné veřejné finance</w:t>
      </w:r>
      <w:r w:rsidR="00A33A46" w:rsidRPr="000C05A7">
        <w:rPr>
          <w:rFonts w:asciiTheme="minorHAnsi" w:hAnsiTheme="minorHAnsi" w:cstheme="minorHAnsi"/>
        </w:rPr>
        <w:t xml:space="preserve">. </w:t>
      </w:r>
      <w:r w:rsidR="00A33A46" w:rsidRPr="007D63CC">
        <w:rPr>
          <w:rFonts w:asciiTheme="minorHAnsi" w:hAnsiTheme="minorHAnsi" w:cstheme="minorHAnsi"/>
          <w:b/>
        </w:rPr>
        <w:t>To je nezbytné respektovat též v rámci strategické práce</w:t>
      </w:r>
      <w:r w:rsidR="00A33A46">
        <w:rPr>
          <w:rFonts w:asciiTheme="minorHAnsi" w:hAnsiTheme="minorHAnsi" w:cstheme="minorHAnsi"/>
        </w:rPr>
        <w:t>. Proto jsou v následujícím textu vymezeny zásady zdravého finančního řízení pro samosprávy (kapitole 9.1) a obecně pro jakoukoli instituci veřejného sektoru (kapitola 9.2).</w:t>
      </w:r>
      <w:r w:rsidR="00550951">
        <w:rPr>
          <w:rFonts w:asciiTheme="minorHAnsi" w:hAnsiTheme="minorHAnsi" w:cstheme="minorHAnsi"/>
        </w:rPr>
        <w:t xml:space="preserve"> Je třeba uvést, že uvedené zásady odpovídají oblasti k finančnímu řízení v </w:t>
      </w:r>
      <w:r w:rsidR="00550951" w:rsidRPr="00550951">
        <w:rPr>
          <w:rFonts w:asciiTheme="minorHAnsi" w:hAnsiTheme="minorHAnsi" w:cstheme="minorHAnsi"/>
        </w:rPr>
        <w:t>Metodickém doporučení k řízení kvality v územních samosprávných celcích</w:t>
      </w:r>
      <w:r w:rsidR="00550951">
        <w:rPr>
          <w:rFonts w:asciiTheme="minorHAnsi" w:hAnsiTheme="minorHAnsi" w:cstheme="minorHAnsi"/>
        </w:rPr>
        <w:t>, které je dostupné na stránkách Ministerstva vnitra</w:t>
      </w:r>
      <w:r w:rsidR="00550951">
        <w:rPr>
          <w:rStyle w:val="Znakapoznpodarou"/>
          <w:rFonts w:asciiTheme="minorHAnsi" w:hAnsiTheme="minorHAnsi" w:cstheme="minorHAnsi"/>
        </w:rPr>
        <w:footnoteReference w:id="51"/>
      </w:r>
      <w:r w:rsidR="00550951">
        <w:rPr>
          <w:rFonts w:asciiTheme="minorHAnsi" w:hAnsiTheme="minorHAnsi" w:cstheme="minorHAnsi"/>
        </w:rPr>
        <w:t>.</w:t>
      </w:r>
    </w:p>
    <w:p w14:paraId="4F69403E" w14:textId="77777777" w:rsidR="008A60AC" w:rsidRPr="00DF1A3A" w:rsidRDefault="008A60AC" w:rsidP="00DF1A3A">
      <w:pPr>
        <w:pStyle w:val="Nadpis2"/>
        <w:spacing w:before="240" w:after="120"/>
        <w:ind w:left="578" w:hanging="578"/>
        <w:rPr>
          <w:rFonts w:asciiTheme="minorHAnsi" w:hAnsiTheme="minorHAnsi" w:cstheme="minorHAnsi"/>
          <w:color w:val="7493B0"/>
          <w:sz w:val="24"/>
          <w:szCs w:val="24"/>
          <w:lang w:val="cs-CZ"/>
        </w:rPr>
      </w:pPr>
      <w:bookmarkStart w:id="63" w:name="_Toc75781788"/>
      <w:bookmarkStart w:id="64" w:name="_Toc78206010"/>
      <w:bookmarkStart w:id="65" w:name="_Toc117270015"/>
      <w:r w:rsidRPr="00DF1A3A">
        <w:rPr>
          <w:rFonts w:asciiTheme="minorHAnsi" w:hAnsiTheme="minorHAnsi" w:cstheme="minorHAnsi"/>
          <w:color w:val="7493B0"/>
          <w:sz w:val="24"/>
          <w:szCs w:val="24"/>
          <w:lang w:val="cs-CZ"/>
        </w:rPr>
        <w:t>Sedm zásad zdravého finančního řízení pro samosprávy (obce)</w:t>
      </w:r>
      <w:bookmarkEnd w:id="63"/>
      <w:bookmarkEnd w:id="64"/>
      <w:bookmarkEnd w:id="65"/>
    </w:p>
    <w:p w14:paraId="13D271B4" w14:textId="77777777" w:rsidR="008A60AC" w:rsidRPr="00AD0755" w:rsidRDefault="008A60AC" w:rsidP="008A60AC">
      <w:pPr>
        <w:pStyle w:val="A1-text"/>
        <w:spacing w:after="120"/>
        <w:rPr>
          <w:rFonts w:ascii="Calibri" w:hAnsi="Calibri"/>
          <w:lang w:val="cs-CZ"/>
        </w:rPr>
      </w:pPr>
      <w:r w:rsidRPr="00331D6F">
        <w:rPr>
          <w:rFonts w:ascii="Calibri" w:hAnsi="Calibri"/>
          <w:lang w:val="cs-CZ"/>
        </w:rPr>
        <w:t xml:space="preserve">Řada ekonomů pojem „zdravé“ finance a „udržitelné“ finance považují za synonymum. Při naplňování těchto zásad je nezbytné vždy vycházet z místních možností a podmínek. Pojem </w:t>
      </w:r>
      <w:r>
        <w:rPr>
          <w:rFonts w:ascii="Calibri" w:hAnsi="Calibri"/>
          <w:lang w:val="cs-CZ"/>
        </w:rPr>
        <w:t>„</w:t>
      </w:r>
      <w:r w:rsidRPr="00331D6F">
        <w:rPr>
          <w:rFonts w:ascii="Calibri" w:hAnsi="Calibri"/>
          <w:lang w:val="cs-CZ"/>
        </w:rPr>
        <w:t>zdravé finanční řízení</w:t>
      </w:r>
      <w:r>
        <w:rPr>
          <w:rFonts w:ascii="Calibri" w:hAnsi="Calibri"/>
          <w:lang w:val="cs-CZ"/>
        </w:rPr>
        <w:t>“</w:t>
      </w:r>
      <w:r w:rsidRPr="00331D6F">
        <w:rPr>
          <w:rFonts w:ascii="Calibri" w:hAnsi="Calibri"/>
          <w:lang w:val="cs-CZ"/>
        </w:rPr>
        <w:t xml:space="preserve"> </w:t>
      </w:r>
      <w:r>
        <w:rPr>
          <w:rFonts w:ascii="Calibri" w:hAnsi="Calibri"/>
          <w:lang w:val="cs-CZ"/>
        </w:rPr>
        <w:t>je vymezen</w:t>
      </w:r>
      <w:r w:rsidRPr="00331D6F">
        <w:rPr>
          <w:rFonts w:ascii="Calibri" w:hAnsi="Calibri"/>
          <w:lang w:val="cs-CZ"/>
        </w:rPr>
        <w:t xml:space="preserve"> pomocí následujících zásad. Pokud jsou tyto zásady naplňovány, pak lze hovořit o zdravém finančním řízení obcí nebo krajů. </w:t>
      </w:r>
      <w:r w:rsidRPr="00FA737D">
        <w:rPr>
          <w:rFonts w:asciiTheme="minorHAnsi" w:hAnsiTheme="minorHAnsi" w:cstheme="minorHAnsi"/>
          <w:lang w:val="cs-CZ"/>
        </w:rPr>
        <w:t xml:space="preserve">K těmto zásadám zdravého finančního řízení patří (Ochrana, Půček 2012, s. 129-130, upraveno): </w:t>
      </w:r>
    </w:p>
    <w:p w14:paraId="0B60BE71" w14:textId="139A44F8" w:rsidR="008A60AC" w:rsidRPr="00FA737D" w:rsidRDefault="008A60AC" w:rsidP="008A60AC">
      <w:pPr>
        <w:pStyle w:val="A1-text"/>
        <w:spacing w:after="120"/>
        <w:rPr>
          <w:rFonts w:asciiTheme="minorHAnsi" w:hAnsiTheme="minorHAnsi" w:cstheme="minorHAnsi"/>
          <w:lang w:val="cs-CZ"/>
        </w:rPr>
      </w:pPr>
      <w:r w:rsidRPr="00FA737D">
        <w:rPr>
          <w:rFonts w:asciiTheme="minorHAnsi" w:hAnsiTheme="minorHAnsi" w:cstheme="minorHAnsi"/>
          <w:lang w:val="cs-CZ"/>
        </w:rPr>
        <w:t xml:space="preserve">(1) </w:t>
      </w:r>
      <w:r w:rsidRPr="00FA737D">
        <w:rPr>
          <w:rFonts w:asciiTheme="minorHAnsi" w:hAnsiTheme="minorHAnsi" w:cstheme="minorHAnsi"/>
          <w:b/>
          <w:lang w:val="cs-CZ"/>
        </w:rPr>
        <w:t>Zadlužování</w:t>
      </w:r>
      <w:r w:rsidRPr="00FA737D">
        <w:rPr>
          <w:rFonts w:asciiTheme="minorHAnsi" w:hAnsiTheme="minorHAnsi" w:cstheme="minorHAnsi"/>
          <w:lang w:val="cs-CZ"/>
        </w:rPr>
        <w:t xml:space="preserve"> obce či kraje nesmí být na úkor budoucnosti. Jinými slovy jde o zodpovědné financování – pokud si již samospráva bere úvěr, mělo by to být například na návratné (například zateplování škol) či nezbytné investice (v posledních letech velmi často na dofinancování smysluplných projektů financovaných ze strukturálních fondů). K sledování zadluženosti se používá například </w:t>
      </w:r>
      <w:r w:rsidR="00E20D54">
        <w:rPr>
          <w:rFonts w:asciiTheme="minorHAnsi" w:hAnsiTheme="minorHAnsi" w:cstheme="minorHAnsi"/>
          <w:lang w:val="cs-CZ"/>
        </w:rPr>
        <w:t xml:space="preserve">index </w:t>
      </w:r>
      <w:r w:rsidRPr="00FA737D">
        <w:rPr>
          <w:rFonts w:asciiTheme="minorHAnsi" w:hAnsiTheme="minorHAnsi" w:cstheme="minorHAnsi"/>
          <w:lang w:val="cs-CZ"/>
        </w:rPr>
        <w:t>dluhové služby</w:t>
      </w:r>
      <w:r w:rsidRPr="00FA737D">
        <w:rPr>
          <w:rStyle w:val="Znakapoznpodarou"/>
          <w:rFonts w:asciiTheme="minorHAnsi" w:hAnsiTheme="minorHAnsi" w:cstheme="minorHAnsi"/>
          <w:lang w:val="cs-CZ"/>
        </w:rPr>
        <w:footnoteReference w:id="52"/>
      </w:r>
      <w:r w:rsidRPr="00FA737D">
        <w:rPr>
          <w:rFonts w:asciiTheme="minorHAnsi" w:hAnsiTheme="minorHAnsi" w:cstheme="minorHAnsi"/>
          <w:lang w:val="cs-CZ"/>
        </w:rPr>
        <w:t xml:space="preserve">. Za transparentní přístup k zadlužování je považován postup, kdy zastupitelstvo předem schválí svým usnesením pravidla pro </w:t>
      </w:r>
      <w:r>
        <w:rPr>
          <w:rFonts w:asciiTheme="minorHAnsi" w:hAnsiTheme="minorHAnsi" w:cstheme="minorHAnsi"/>
          <w:lang w:val="cs-CZ"/>
        </w:rPr>
        <w:t>(ne)</w:t>
      </w:r>
      <w:r w:rsidRPr="00FA737D">
        <w:rPr>
          <w:rFonts w:asciiTheme="minorHAnsi" w:hAnsiTheme="minorHAnsi" w:cstheme="minorHAnsi"/>
          <w:lang w:val="cs-CZ"/>
        </w:rPr>
        <w:t>zadlužování a dodržuje je (jako příklad lze uvést město Chrudim</w:t>
      </w:r>
      <w:r w:rsidR="004E320C">
        <w:rPr>
          <w:rFonts w:asciiTheme="minorHAnsi" w:hAnsiTheme="minorHAnsi" w:cstheme="minorHAnsi"/>
          <w:lang w:val="cs-CZ"/>
        </w:rPr>
        <w:t xml:space="preserve"> – více viz kapitola 10</w:t>
      </w:r>
      <w:r w:rsidRPr="00FA737D">
        <w:rPr>
          <w:rFonts w:asciiTheme="minorHAnsi" w:hAnsiTheme="minorHAnsi" w:cstheme="minorHAnsi"/>
          <w:lang w:val="cs-CZ"/>
        </w:rPr>
        <w:t xml:space="preserve">). Vedení obce by též mělo provést optimalizaci dluhu z hlediska úspor úroků. </w:t>
      </w:r>
    </w:p>
    <w:p w14:paraId="1976A36F" w14:textId="75324758" w:rsidR="008A60AC" w:rsidRPr="00FA737D" w:rsidRDefault="008A60AC" w:rsidP="008A60AC">
      <w:pPr>
        <w:pStyle w:val="A1-text"/>
        <w:spacing w:after="120"/>
        <w:rPr>
          <w:rFonts w:asciiTheme="minorHAnsi" w:hAnsiTheme="minorHAnsi" w:cstheme="minorHAnsi"/>
          <w:lang w:val="cs-CZ"/>
        </w:rPr>
      </w:pPr>
      <w:r w:rsidRPr="00FA737D">
        <w:rPr>
          <w:rFonts w:asciiTheme="minorHAnsi" w:hAnsiTheme="minorHAnsi" w:cstheme="minorHAnsi"/>
        </w:rPr>
        <w:t xml:space="preserve">(2) </w:t>
      </w:r>
      <w:r w:rsidRPr="00FA737D">
        <w:rPr>
          <w:rFonts w:asciiTheme="minorHAnsi" w:hAnsiTheme="minorHAnsi" w:cstheme="minorHAnsi"/>
          <w:b/>
        </w:rPr>
        <w:t>Index provozních úspor</w:t>
      </w:r>
      <w:r w:rsidRPr="00FA737D">
        <w:rPr>
          <w:rFonts w:asciiTheme="minorHAnsi" w:hAnsiTheme="minorHAnsi" w:cstheme="minorHAnsi"/>
          <w:lang w:val="cs-CZ"/>
        </w:rPr>
        <w:t xml:space="preserve"> musí být každoročně</w:t>
      </w:r>
      <w:r w:rsidRPr="00FA737D">
        <w:rPr>
          <w:rFonts w:asciiTheme="minorHAnsi" w:hAnsiTheme="minorHAnsi" w:cstheme="minorHAnsi"/>
        </w:rPr>
        <w:t xml:space="preserve"> minimálně 10</w:t>
      </w:r>
      <w:r w:rsidR="00D40AB7">
        <w:rPr>
          <w:rFonts w:asciiTheme="minorHAnsi" w:hAnsiTheme="minorHAnsi" w:cstheme="minorHAnsi"/>
          <w:lang w:val="cs-CZ"/>
        </w:rPr>
        <w:t xml:space="preserve"> </w:t>
      </w:r>
      <w:r w:rsidRPr="00FA737D">
        <w:rPr>
          <w:rFonts w:asciiTheme="minorHAnsi" w:hAnsiTheme="minorHAnsi" w:cstheme="minorHAnsi"/>
        </w:rPr>
        <w:t>%</w:t>
      </w:r>
      <w:r w:rsidRPr="00FA737D">
        <w:rPr>
          <w:rFonts w:asciiTheme="minorHAnsi" w:hAnsiTheme="minorHAnsi" w:cstheme="minorHAnsi"/>
          <w:lang w:val="cs-CZ"/>
        </w:rPr>
        <w:t>.</w:t>
      </w:r>
      <w:r w:rsidRPr="00FA737D">
        <w:rPr>
          <w:rFonts w:asciiTheme="minorHAnsi" w:hAnsiTheme="minorHAnsi" w:cstheme="minorHAnsi"/>
        </w:rPr>
        <w:t xml:space="preserve"> Ideální hodnota se nachází v intervalu 20 – 25 %.</w:t>
      </w:r>
      <w:r w:rsidRPr="00FA737D">
        <w:rPr>
          <w:rFonts w:asciiTheme="minorHAnsi" w:hAnsiTheme="minorHAnsi" w:cstheme="minorHAnsi"/>
          <w:lang w:val="cs-CZ"/>
        </w:rPr>
        <w:t xml:space="preserve"> </w:t>
      </w:r>
      <w:r w:rsidRPr="00FA737D">
        <w:rPr>
          <w:rFonts w:asciiTheme="minorHAnsi" w:hAnsiTheme="minorHAnsi" w:cstheme="minorHAnsi"/>
        </w:rPr>
        <w:t>Index se vypočítá jako podíl provozního přebytku</w:t>
      </w:r>
      <w:r w:rsidRPr="00FA737D">
        <w:rPr>
          <w:rStyle w:val="Znakapoznpodarou"/>
          <w:rFonts w:asciiTheme="minorHAnsi" w:hAnsiTheme="minorHAnsi" w:cstheme="minorHAnsi"/>
        </w:rPr>
        <w:footnoteReference w:id="53"/>
      </w:r>
      <w:r w:rsidRPr="00FA737D">
        <w:rPr>
          <w:rFonts w:asciiTheme="minorHAnsi" w:hAnsiTheme="minorHAnsi" w:cstheme="minorHAnsi"/>
        </w:rPr>
        <w:t xml:space="preserve"> (rozdíl běžných příjmů a běžných výdajů) a běžných příjmů.</w:t>
      </w:r>
      <w:r w:rsidRPr="00FA737D">
        <w:rPr>
          <w:rFonts w:asciiTheme="minorHAnsi" w:hAnsiTheme="minorHAnsi" w:cstheme="minorHAnsi"/>
          <w:lang w:val="cs-CZ"/>
        </w:rPr>
        <w:t xml:space="preserve"> </w:t>
      </w:r>
      <w:r w:rsidR="00D40AB7">
        <w:rPr>
          <w:rFonts w:asciiTheme="minorHAnsi" w:hAnsiTheme="minorHAnsi" w:cstheme="minorHAnsi"/>
          <w:lang w:val="cs-CZ"/>
        </w:rPr>
        <w:t>U s</w:t>
      </w:r>
      <w:r w:rsidRPr="00FA737D">
        <w:rPr>
          <w:rFonts w:asciiTheme="minorHAnsi" w:hAnsiTheme="minorHAnsi" w:cstheme="minorHAnsi"/>
          <w:lang w:val="cs-CZ"/>
        </w:rPr>
        <w:t xml:space="preserve">amospráv, u kterých nejsou kryty běžné výdaje </w:t>
      </w:r>
      <w:r w:rsidRPr="00FA737D">
        <w:rPr>
          <w:rFonts w:asciiTheme="minorHAnsi" w:hAnsiTheme="minorHAnsi" w:cstheme="minorHAnsi"/>
          <w:lang w:val="cs-CZ"/>
        </w:rPr>
        <w:lastRenderedPageBreak/>
        <w:t xml:space="preserve">běžnými příjmy, lze v krátkém čase očekávat významné problémy. Aby index provozních úspor dosahoval optimálních hodnot, je nezbytné </w:t>
      </w:r>
      <w:r w:rsidRPr="00FA737D">
        <w:rPr>
          <w:rFonts w:asciiTheme="minorHAnsi" w:hAnsiTheme="minorHAnsi" w:cstheme="minorHAnsi"/>
        </w:rPr>
        <w:t>usilovat a jít příkladem v dosahování efektivních úspor</w:t>
      </w:r>
      <w:r w:rsidRPr="00FA737D">
        <w:rPr>
          <w:rFonts w:asciiTheme="minorHAnsi" w:hAnsiTheme="minorHAnsi" w:cstheme="minorHAnsi"/>
          <w:lang w:val="cs-CZ"/>
        </w:rPr>
        <w:t xml:space="preserve"> (racionální ús</w:t>
      </w:r>
      <w:r>
        <w:rPr>
          <w:rFonts w:asciiTheme="minorHAnsi" w:hAnsiTheme="minorHAnsi" w:cstheme="minorHAnsi"/>
          <w:lang w:val="cs-CZ"/>
        </w:rPr>
        <w:t xml:space="preserve">pory jsou popsány v kapitole </w:t>
      </w:r>
      <w:r w:rsidR="00D40AB7">
        <w:rPr>
          <w:rFonts w:asciiTheme="minorHAnsi" w:hAnsiTheme="minorHAnsi" w:cstheme="minorHAnsi"/>
          <w:lang w:val="cs-CZ"/>
        </w:rPr>
        <w:t>7.4</w:t>
      </w:r>
      <w:r w:rsidRPr="00FA737D">
        <w:rPr>
          <w:rFonts w:asciiTheme="minorHAnsi" w:hAnsiTheme="minorHAnsi" w:cstheme="minorHAnsi"/>
          <w:lang w:val="cs-CZ"/>
        </w:rPr>
        <w:t>)</w:t>
      </w:r>
      <w:r w:rsidRPr="00FA737D">
        <w:rPr>
          <w:rFonts w:asciiTheme="minorHAnsi" w:hAnsiTheme="minorHAnsi" w:cstheme="minorHAnsi"/>
        </w:rPr>
        <w:t xml:space="preserve"> a </w:t>
      </w:r>
      <w:r w:rsidRPr="00FA737D">
        <w:rPr>
          <w:rFonts w:asciiTheme="minorHAnsi" w:hAnsiTheme="minorHAnsi" w:cstheme="minorHAnsi"/>
          <w:lang w:val="cs-CZ"/>
        </w:rPr>
        <w:t xml:space="preserve">usilovat o </w:t>
      </w:r>
      <w:r w:rsidRPr="00FA737D">
        <w:rPr>
          <w:rFonts w:asciiTheme="minorHAnsi" w:hAnsiTheme="minorHAnsi" w:cstheme="minorHAnsi"/>
        </w:rPr>
        <w:t>odstraňování všech druhů plýtvání</w:t>
      </w:r>
      <w:r w:rsidR="004E320C">
        <w:rPr>
          <w:rFonts w:asciiTheme="minorHAnsi" w:hAnsiTheme="minorHAnsi" w:cstheme="minorHAnsi"/>
          <w:lang w:val="cs-CZ"/>
        </w:rPr>
        <w:t xml:space="preserve"> (více k auditu ztrát případová studie v kapitole 10)</w:t>
      </w:r>
      <w:r w:rsidRPr="00FA737D">
        <w:rPr>
          <w:rFonts w:asciiTheme="minorHAnsi" w:hAnsiTheme="minorHAnsi" w:cstheme="minorHAnsi"/>
        </w:rPr>
        <w:t>.</w:t>
      </w:r>
      <w:r w:rsidRPr="00FA737D">
        <w:rPr>
          <w:rFonts w:asciiTheme="minorHAnsi" w:hAnsiTheme="minorHAnsi" w:cstheme="minorHAnsi"/>
          <w:lang w:val="cs-CZ"/>
        </w:rPr>
        <w:t xml:space="preserve"> Přitom je nezbytné rozhodovat na základě faktů (potřebných analýz, řešit spíše příčiny než jen důsledky), znalosti souvislostí a místních podmínek.</w:t>
      </w:r>
      <w:r w:rsidR="0082042F">
        <w:rPr>
          <w:rFonts w:asciiTheme="minorHAnsi" w:hAnsiTheme="minorHAnsi" w:cstheme="minorHAnsi"/>
          <w:lang w:val="cs-CZ"/>
        </w:rPr>
        <w:t xml:space="preserve"> Index provozních úspor vyjadřuje, jak velký prostor je v rozpočtu na investice.</w:t>
      </w:r>
    </w:p>
    <w:p w14:paraId="77689D82" w14:textId="6FFAF6FE" w:rsidR="008A60AC" w:rsidRPr="00FA737D" w:rsidRDefault="008A60AC" w:rsidP="008A60AC">
      <w:pPr>
        <w:pStyle w:val="A1-text"/>
        <w:spacing w:after="120"/>
        <w:rPr>
          <w:rFonts w:asciiTheme="minorHAnsi" w:hAnsiTheme="minorHAnsi" w:cstheme="minorHAnsi"/>
          <w:lang w:val="cs-CZ"/>
        </w:rPr>
      </w:pPr>
      <w:r w:rsidRPr="00FA737D">
        <w:rPr>
          <w:rFonts w:asciiTheme="minorHAnsi" w:hAnsiTheme="minorHAnsi" w:cstheme="minorHAnsi"/>
          <w:lang w:val="cs-CZ"/>
        </w:rPr>
        <w:t xml:space="preserve">(3) </w:t>
      </w:r>
      <w:r w:rsidRPr="00FA737D">
        <w:rPr>
          <w:rFonts w:asciiTheme="minorHAnsi" w:hAnsiTheme="minorHAnsi" w:cstheme="minorHAnsi"/>
          <w:b/>
          <w:lang w:val="cs-CZ"/>
        </w:rPr>
        <w:t>Účelnost, efektivnost a hospodárnost jako součást systému řízení</w:t>
      </w:r>
      <w:r w:rsidRPr="00FA737D">
        <w:rPr>
          <w:rFonts w:asciiTheme="minorHAnsi" w:hAnsiTheme="minorHAnsi" w:cstheme="minorHAnsi"/>
          <w:lang w:val="cs-CZ"/>
        </w:rPr>
        <w:t xml:space="preserve">. Vysvětlení </w:t>
      </w:r>
      <w:r>
        <w:rPr>
          <w:rFonts w:asciiTheme="minorHAnsi" w:hAnsiTheme="minorHAnsi" w:cstheme="minorHAnsi"/>
          <w:lang w:val="cs-CZ"/>
        </w:rPr>
        <w:t xml:space="preserve">pojmů 3E je v kapitole </w:t>
      </w:r>
      <w:r w:rsidR="00D40AB7">
        <w:rPr>
          <w:rFonts w:asciiTheme="minorHAnsi" w:hAnsiTheme="minorHAnsi" w:cstheme="minorHAnsi"/>
          <w:lang w:val="cs-CZ"/>
        </w:rPr>
        <w:t>3</w:t>
      </w:r>
      <w:r w:rsidRPr="00FA737D">
        <w:rPr>
          <w:rFonts w:asciiTheme="minorHAnsi" w:hAnsiTheme="minorHAnsi" w:cstheme="minorHAnsi"/>
          <w:lang w:val="cs-CZ"/>
        </w:rPr>
        <w:t xml:space="preserve">. </w:t>
      </w:r>
      <w:r>
        <w:rPr>
          <w:rFonts w:asciiTheme="minorHAnsi" w:hAnsiTheme="minorHAnsi" w:cstheme="minorHAnsi"/>
          <w:lang w:val="cs-CZ"/>
        </w:rPr>
        <w:t xml:space="preserve">Důležité je, </w:t>
      </w:r>
      <w:r w:rsidRPr="00FA737D">
        <w:rPr>
          <w:rFonts w:asciiTheme="minorHAnsi" w:hAnsiTheme="minorHAnsi" w:cstheme="minorHAnsi"/>
          <w:lang w:val="cs-CZ"/>
        </w:rPr>
        <w:t>aby se</w:t>
      </w:r>
      <w:r>
        <w:rPr>
          <w:rFonts w:asciiTheme="minorHAnsi" w:hAnsiTheme="minorHAnsi" w:cstheme="minorHAnsi"/>
          <w:lang w:val="cs-CZ"/>
        </w:rPr>
        <w:t xml:space="preserve"> 3E</w:t>
      </w:r>
      <w:r w:rsidRPr="00FA737D">
        <w:rPr>
          <w:rFonts w:asciiTheme="minorHAnsi" w:hAnsiTheme="minorHAnsi" w:cstheme="minorHAnsi"/>
          <w:lang w:val="cs-CZ"/>
        </w:rPr>
        <w:t xml:space="preserve"> promítaly do každodenní praxe (například účinný systém vnitřní kontroly, provázanost na oběh účetních dokladů, manažerské účetnictví, cílové rozpočtování, „štíhlý“ systém směrnic a postupů, finanční reporting atd.). </w:t>
      </w:r>
    </w:p>
    <w:p w14:paraId="036F694F" w14:textId="77777777" w:rsidR="008A60AC" w:rsidRPr="00FA737D" w:rsidRDefault="008A60AC" w:rsidP="008A60AC">
      <w:pPr>
        <w:pStyle w:val="A1-text"/>
        <w:spacing w:after="120"/>
        <w:rPr>
          <w:rFonts w:asciiTheme="minorHAnsi" w:hAnsiTheme="minorHAnsi" w:cstheme="minorHAnsi"/>
          <w:lang w:val="cs-CZ"/>
        </w:rPr>
      </w:pPr>
      <w:r w:rsidRPr="00FA737D">
        <w:rPr>
          <w:rFonts w:asciiTheme="minorHAnsi" w:hAnsiTheme="minorHAnsi" w:cstheme="minorHAnsi"/>
          <w:lang w:val="cs-CZ"/>
        </w:rPr>
        <w:t xml:space="preserve">(4) </w:t>
      </w:r>
      <w:r w:rsidRPr="00FA737D">
        <w:rPr>
          <w:rFonts w:asciiTheme="minorHAnsi" w:hAnsiTheme="minorHAnsi" w:cstheme="minorHAnsi"/>
          <w:b/>
          <w:lang w:val="cs-CZ"/>
        </w:rPr>
        <w:t>Minimalizace rizik bez omezení příležitostí</w:t>
      </w:r>
      <w:r w:rsidRPr="00FA737D">
        <w:rPr>
          <w:rFonts w:asciiTheme="minorHAnsi" w:hAnsiTheme="minorHAnsi" w:cstheme="minorHAnsi"/>
          <w:lang w:val="cs-CZ"/>
        </w:rPr>
        <w:t xml:space="preserve">. Usilovat o minimalizaci rizik tak, aby současně snaha o minimalizaci rizik nebyla v rozporu s využíváním příležitostí, partnerství a synergie. Problematice rizik se věnuje kapitola </w:t>
      </w:r>
      <w:r>
        <w:rPr>
          <w:rFonts w:asciiTheme="minorHAnsi" w:hAnsiTheme="minorHAnsi" w:cstheme="minorHAnsi"/>
          <w:lang w:val="cs-CZ"/>
        </w:rPr>
        <w:t>5</w:t>
      </w:r>
      <w:r w:rsidRPr="00FA737D">
        <w:rPr>
          <w:rFonts w:asciiTheme="minorHAnsi" w:hAnsiTheme="minorHAnsi" w:cstheme="minorHAnsi"/>
          <w:lang w:val="cs-CZ"/>
        </w:rPr>
        <w:t>.</w:t>
      </w:r>
      <w:r>
        <w:rPr>
          <w:rFonts w:asciiTheme="minorHAnsi" w:hAnsiTheme="minorHAnsi" w:cstheme="minorHAnsi"/>
          <w:lang w:val="cs-CZ"/>
        </w:rPr>
        <w:t xml:space="preserve"> </w:t>
      </w:r>
    </w:p>
    <w:p w14:paraId="0E253971" w14:textId="42E8F3FB" w:rsidR="00031D00" w:rsidRDefault="008A60AC" w:rsidP="00031D00">
      <w:pPr>
        <w:pStyle w:val="A-nadpis"/>
        <w:rPr>
          <w:rFonts w:asciiTheme="minorHAnsi" w:hAnsiTheme="minorHAnsi" w:cstheme="minorHAnsi"/>
          <w:b w:val="0"/>
          <w:lang w:val="cs-CZ"/>
        </w:rPr>
      </w:pPr>
      <w:r w:rsidRPr="00FA737D">
        <w:rPr>
          <w:rFonts w:asciiTheme="minorHAnsi" w:hAnsiTheme="minorHAnsi" w:cstheme="minorHAnsi"/>
          <w:b w:val="0"/>
        </w:rPr>
        <w:t xml:space="preserve">(5) </w:t>
      </w:r>
      <w:r w:rsidRPr="00FA737D">
        <w:rPr>
          <w:rFonts w:asciiTheme="minorHAnsi" w:hAnsiTheme="minorHAnsi" w:cstheme="minorHAnsi"/>
        </w:rPr>
        <w:t xml:space="preserve">Rozpočet a </w:t>
      </w:r>
      <w:r w:rsidR="00D8433F">
        <w:rPr>
          <w:rFonts w:asciiTheme="minorHAnsi" w:hAnsiTheme="minorHAnsi" w:cstheme="minorHAnsi"/>
        </w:rPr>
        <w:t xml:space="preserve">strategie rozvoje </w:t>
      </w:r>
      <w:r w:rsidRPr="00FA737D">
        <w:rPr>
          <w:rFonts w:asciiTheme="minorHAnsi" w:hAnsiTheme="minorHAnsi" w:cstheme="minorHAnsi"/>
        </w:rPr>
        <w:t xml:space="preserve"> jsou propojeny</w:t>
      </w:r>
      <w:r w:rsidRPr="00FA737D">
        <w:rPr>
          <w:rFonts w:asciiTheme="minorHAnsi" w:hAnsiTheme="minorHAnsi" w:cstheme="minorHAnsi"/>
          <w:lang w:val="cs-CZ"/>
        </w:rPr>
        <w:t>.</w:t>
      </w:r>
      <w:r w:rsidRPr="00FA737D">
        <w:rPr>
          <w:rFonts w:asciiTheme="minorHAnsi" w:hAnsiTheme="minorHAnsi" w:cstheme="minorHAnsi"/>
          <w:b w:val="0"/>
        </w:rPr>
        <w:t xml:space="preserve"> Zajistit propojení rozpočtu (rozpočtového výhledu) a </w:t>
      </w:r>
      <w:r w:rsidR="00D8433F">
        <w:rPr>
          <w:rFonts w:asciiTheme="minorHAnsi" w:hAnsiTheme="minorHAnsi" w:cstheme="minorHAnsi"/>
          <w:b w:val="0"/>
        </w:rPr>
        <w:t>strategie</w:t>
      </w:r>
      <w:r w:rsidRPr="00FA737D">
        <w:rPr>
          <w:rFonts w:asciiTheme="minorHAnsi" w:hAnsiTheme="minorHAnsi" w:cstheme="minorHAnsi"/>
          <w:b w:val="0"/>
          <w:lang w:val="cs-CZ"/>
        </w:rPr>
        <w:t xml:space="preserve"> (plánu rozvoje obce nebo kraje)</w:t>
      </w:r>
      <w:r w:rsidR="005C6B03">
        <w:rPr>
          <w:rFonts w:asciiTheme="minorHAnsi" w:hAnsiTheme="minorHAnsi" w:cstheme="minorHAnsi"/>
          <w:b w:val="0"/>
          <w:lang w:val="cs-CZ"/>
        </w:rPr>
        <w:t xml:space="preserve"> prostřednictvím nastavených ukazatelů a procesů v rámci úřadu. </w:t>
      </w:r>
      <w:r w:rsidRPr="00FA737D">
        <w:rPr>
          <w:rFonts w:asciiTheme="minorHAnsi" w:hAnsiTheme="minorHAnsi" w:cstheme="minorHAnsi"/>
          <w:b w:val="0"/>
          <w:lang w:val="cs-CZ"/>
        </w:rPr>
        <w:t xml:space="preserve">Pokud </w:t>
      </w:r>
      <w:r w:rsidR="00D8433F">
        <w:rPr>
          <w:rFonts w:asciiTheme="minorHAnsi" w:hAnsiTheme="minorHAnsi" w:cstheme="minorHAnsi"/>
          <w:b w:val="0"/>
          <w:lang w:val="cs-CZ"/>
        </w:rPr>
        <w:t>strategie</w:t>
      </w:r>
      <w:r w:rsidRPr="00FA737D">
        <w:rPr>
          <w:rFonts w:asciiTheme="minorHAnsi" w:hAnsiTheme="minorHAnsi" w:cstheme="minorHAnsi"/>
          <w:b w:val="0"/>
          <w:lang w:val="cs-CZ"/>
        </w:rPr>
        <w:t xml:space="preserve"> není propojen</w:t>
      </w:r>
      <w:r w:rsidR="00D8433F">
        <w:rPr>
          <w:rFonts w:asciiTheme="minorHAnsi" w:hAnsiTheme="minorHAnsi" w:cstheme="minorHAnsi"/>
          <w:b w:val="0"/>
          <w:lang w:val="cs-CZ"/>
        </w:rPr>
        <w:t>a</w:t>
      </w:r>
      <w:r w:rsidRPr="00FA737D">
        <w:rPr>
          <w:rFonts w:asciiTheme="minorHAnsi" w:hAnsiTheme="minorHAnsi" w:cstheme="minorHAnsi"/>
          <w:b w:val="0"/>
          <w:lang w:val="cs-CZ"/>
        </w:rPr>
        <w:t xml:space="preserve"> s rozpočtem,</w:t>
      </w:r>
      <w:r w:rsidRPr="00FA737D">
        <w:rPr>
          <w:rFonts w:asciiTheme="minorHAnsi" w:hAnsiTheme="minorHAnsi" w:cstheme="minorHAnsi"/>
          <w:b w:val="0"/>
        </w:rPr>
        <w:t xml:space="preserve"> je </w:t>
      </w:r>
      <w:r w:rsidR="00D8433F">
        <w:rPr>
          <w:rFonts w:asciiTheme="minorHAnsi" w:hAnsiTheme="minorHAnsi" w:cstheme="minorHAnsi"/>
          <w:b w:val="0"/>
        </w:rPr>
        <w:t xml:space="preserve">strategie rozvoje </w:t>
      </w:r>
      <w:r w:rsidRPr="00FA737D">
        <w:rPr>
          <w:rFonts w:asciiTheme="minorHAnsi" w:hAnsiTheme="minorHAnsi" w:cstheme="minorHAnsi"/>
          <w:b w:val="0"/>
        </w:rPr>
        <w:t xml:space="preserve"> jen „souborem nereálných přání“.</w:t>
      </w:r>
      <w:r w:rsidRPr="00FA737D">
        <w:rPr>
          <w:rFonts w:asciiTheme="minorHAnsi" w:hAnsiTheme="minorHAnsi" w:cstheme="minorHAnsi"/>
          <w:b w:val="0"/>
          <w:lang w:val="cs-CZ"/>
        </w:rPr>
        <w:t xml:space="preserve"> Navíc je nezbytné, aby </w:t>
      </w:r>
      <w:r w:rsidR="00D8433F">
        <w:rPr>
          <w:rFonts w:asciiTheme="minorHAnsi" w:hAnsiTheme="minorHAnsi" w:cstheme="minorHAnsi"/>
          <w:b w:val="0"/>
          <w:lang w:val="cs-CZ"/>
        </w:rPr>
        <w:t>strategie</w:t>
      </w:r>
      <w:r w:rsidRPr="00FA737D">
        <w:rPr>
          <w:rFonts w:asciiTheme="minorHAnsi" w:hAnsiTheme="minorHAnsi" w:cstheme="minorHAnsi"/>
          <w:b w:val="0"/>
          <w:lang w:val="cs-CZ"/>
        </w:rPr>
        <w:t xml:space="preserve"> jasně definoval</w:t>
      </w:r>
      <w:r w:rsidR="00D8433F">
        <w:rPr>
          <w:rFonts w:asciiTheme="minorHAnsi" w:hAnsiTheme="minorHAnsi" w:cstheme="minorHAnsi"/>
          <w:b w:val="0"/>
          <w:lang w:val="cs-CZ"/>
        </w:rPr>
        <w:t>a</w:t>
      </w:r>
      <w:r w:rsidRPr="00FA737D">
        <w:rPr>
          <w:rFonts w:asciiTheme="minorHAnsi" w:hAnsiTheme="minorHAnsi" w:cstheme="minorHAnsi"/>
          <w:b w:val="0"/>
          <w:lang w:val="cs-CZ"/>
        </w:rPr>
        <w:t xml:space="preserve"> měřitelné cíle a byl</w:t>
      </w:r>
      <w:r w:rsidR="00D8433F">
        <w:rPr>
          <w:rFonts w:asciiTheme="minorHAnsi" w:hAnsiTheme="minorHAnsi" w:cstheme="minorHAnsi"/>
          <w:b w:val="0"/>
          <w:lang w:val="cs-CZ"/>
        </w:rPr>
        <w:t>a</w:t>
      </w:r>
      <w:r w:rsidRPr="00FA737D">
        <w:rPr>
          <w:rFonts w:asciiTheme="minorHAnsi" w:hAnsiTheme="minorHAnsi" w:cstheme="minorHAnsi"/>
          <w:b w:val="0"/>
          <w:lang w:val="cs-CZ"/>
        </w:rPr>
        <w:t xml:space="preserve"> propojen</w:t>
      </w:r>
      <w:r w:rsidR="00D8433F">
        <w:rPr>
          <w:rFonts w:asciiTheme="minorHAnsi" w:hAnsiTheme="minorHAnsi" w:cstheme="minorHAnsi"/>
          <w:b w:val="0"/>
          <w:lang w:val="cs-CZ"/>
        </w:rPr>
        <w:t>a</w:t>
      </w:r>
      <w:r w:rsidRPr="00FA737D">
        <w:rPr>
          <w:rFonts w:asciiTheme="minorHAnsi" w:hAnsiTheme="minorHAnsi" w:cstheme="minorHAnsi"/>
          <w:b w:val="0"/>
          <w:lang w:val="cs-CZ"/>
        </w:rPr>
        <w:t xml:space="preserve"> s vnitřním kontrolním systémem (váže se na posuzování účelnosti</w:t>
      </w:r>
      <w:r>
        <w:rPr>
          <w:rFonts w:asciiTheme="minorHAnsi" w:hAnsiTheme="minorHAnsi" w:cstheme="minorHAnsi"/>
          <w:b w:val="0"/>
          <w:lang w:val="cs-CZ"/>
        </w:rPr>
        <w:t>)</w:t>
      </w:r>
      <w:r w:rsidRPr="00FA737D">
        <w:rPr>
          <w:rFonts w:asciiTheme="minorHAnsi" w:hAnsiTheme="minorHAnsi" w:cstheme="minorHAnsi"/>
          <w:b w:val="0"/>
          <w:lang w:val="cs-CZ"/>
        </w:rPr>
        <w:t>.</w:t>
      </w:r>
      <w:r w:rsidR="00753D1D">
        <w:rPr>
          <w:rFonts w:asciiTheme="minorHAnsi" w:hAnsiTheme="minorHAnsi" w:cstheme="minorHAnsi"/>
          <w:b w:val="0"/>
          <w:lang w:val="cs-CZ"/>
        </w:rPr>
        <w:t xml:space="preserve"> Dále je třeba</w:t>
      </w:r>
      <w:r w:rsidR="005A0082">
        <w:rPr>
          <w:rFonts w:asciiTheme="minorHAnsi" w:hAnsiTheme="minorHAnsi" w:cstheme="minorHAnsi"/>
          <w:b w:val="0"/>
          <w:lang w:val="cs-CZ"/>
        </w:rPr>
        <w:t>,</w:t>
      </w:r>
      <w:r w:rsidR="00753D1D">
        <w:rPr>
          <w:rFonts w:asciiTheme="minorHAnsi" w:hAnsiTheme="minorHAnsi" w:cstheme="minorHAnsi"/>
          <w:b w:val="0"/>
          <w:lang w:val="cs-CZ"/>
        </w:rPr>
        <w:t xml:space="preserve"> aby obec vytvářela zásobníky investic a velkých oprav, které jsou v souladu se strategi</w:t>
      </w:r>
      <w:r w:rsidR="005A0082">
        <w:rPr>
          <w:rFonts w:asciiTheme="minorHAnsi" w:hAnsiTheme="minorHAnsi" w:cstheme="minorHAnsi"/>
          <w:b w:val="0"/>
          <w:lang w:val="cs-CZ"/>
        </w:rPr>
        <w:t>í</w:t>
      </w:r>
      <w:r w:rsidR="00753D1D">
        <w:rPr>
          <w:rFonts w:asciiTheme="minorHAnsi" w:hAnsiTheme="minorHAnsi" w:cstheme="minorHAnsi"/>
          <w:b w:val="0"/>
          <w:lang w:val="cs-CZ"/>
        </w:rPr>
        <w:t xml:space="preserve"> rozvoje obce</w:t>
      </w:r>
      <w:r w:rsidR="005A0082">
        <w:rPr>
          <w:rFonts w:asciiTheme="minorHAnsi" w:hAnsiTheme="minorHAnsi" w:cstheme="minorHAnsi"/>
          <w:b w:val="0"/>
          <w:lang w:val="cs-CZ"/>
        </w:rPr>
        <w:t xml:space="preserve"> a jsou připravovány k realizaci dle skutečných potřeb, jejich udržitelnosti a realizovatelnosti.</w:t>
      </w:r>
    </w:p>
    <w:p w14:paraId="57788203" w14:textId="7B2D265A" w:rsidR="00A33A46" w:rsidRPr="00031D00" w:rsidRDefault="008A60AC" w:rsidP="00031D00">
      <w:pPr>
        <w:pStyle w:val="A-nadpis"/>
        <w:rPr>
          <w:rFonts w:asciiTheme="minorHAnsi" w:hAnsiTheme="minorHAnsi" w:cstheme="minorHAnsi"/>
          <w:b w:val="0"/>
          <w:szCs w:val="20"/>
          <w:lang w:val="cs-CZ"/>
        </w:rPr>
      </w:pPr>
      <w:r w:rsidRPr="00FA737D">
        <w:rPr>
          <w:rFonts w:asciiTheme="minorHAnsi" w:hAnsiTheme="minorHAnsi" w:cstheme="minorHAnsi"/>
        </w:rPr>
        <w:t xml:space="preserve">(6) </w:t>
      </w:r>
      <w:r w:rsidRPr="00FA737D">
        <w:rPr>
          <w:rFonts w:asciiTheme="minorHAnsi" w:hAnsiTheme="minorHAnsi" w:cstheme="minorHAnsi"/>
          <w:b w:val="0"/>
        </w:rPr>
        <w:t xml:space="preserve">Rovnováha mezi rozsahem </w:t>
      </w:r>
      <w:r w:rsidRPr="00FA737D">
        <w:rPr>
          <w:rFonts w:asciiTheme="minorHAnsi" w:hAnsiTheme="minorHAnsi" w:cstheme="minorHAnsi"/>
          <w:b w:val="0"/>
          <w:lang w:val="cs-CZ"/>
        </w:rPr>
        <w:t xml:space="preserve">(a </w:t>
      </w:r>
      <w:r w:rsidRPr="00FA737D">
        <w:rPr>
          <w:rFonts w:asciiTheme="minorHAnsi" w:hAnsiTheme="minorHAnsi" w:cstheme="minorHAnsi"/>
          <w:b w:val="0"/>
        </w:rPr>
        <w:t>kvalitou</w:t>
      </w:r>
      <w:r w:rsidRPr="00FA737D">
        <w:rPr>
          <w:rFonts w:asciiTheme="minorHAnsi" w:hAnsiTheme="minorHAnsi" w:cstheme="minorHAnsi"/>
          <w:b w:val="0"/>
          <w:lang w:val="cs-CZ"/>
        </w:rPr>
        <w:t>) poskytovaných</w:t>
      </w:r>
      <w:r w:rsidRPr="00FA737D">
        <w:rPr>
          <w:rFonts w:asciiTheme="minorHAnsi" w:hAnsiTheme="minorHAnsi" w:cstheme="minorHAnsi"/>
          <w:b w:val="0"/>
        </w:rPr>
        <w:t xml:space="preserve"> služeb a příjmy rozpočtu</w:t>
      </w:r>
      <w:r w:rsidRPr="00FA737D">
        <w:rPr>
          <w:rFonts w:asciiTheme="minorHAnsi" w:hAnsiTheme="minorHAnsi" w:cstheme="minorHAnsi"/>
          <w:b w:val="0"/>
          <w:lang w:val="cs-CZ"/>
        </w:rPr>
        <w:t>.</w:t>
      </w:r>
      <w:r w:rsidRPr="00FA737D">
        <w:rPr>
          <w:rFonts w:asciiTheme="minorHAnsi" w:hAnsiTheme="minorHAnsi" w:cstheme="minorHAnsi"/>
        </w:rPr>
        <w:t xml:space="preserve"> </w:t>
      </w:r>
      <w:r w:rsidRPr="00FA737D">
        <w:rPr>
          <w:rFonts w:asciiTheme="minorHAnsi" w:hAnsiTheme="minorHAnsi" w:cstheme="minorHAnsi"/>
          <w:lang w:val="cs-CZ"/>
        </w:rPr>
        <w:t>Ve své podstatě jde o klasickou účetní zásadu “má dáti</w:t>
      </w:r>
      <w:r w:rsidR="004D6B82">
        <w:rPr>
          <w:rFonts w:asciiTheme="minorHAnsi" w:hAnsiTheme="minorHAnsi" w:cstheme="minorHAnsi"/>
          <w:lang w:val="cs-CZ"/>
        </w:rPr>
        <w:t xml:space="preserve"> </w:t>
      </w:r>
      <w:r w:rsidRPr="00FA737D">
        <w:rPr>
          <w:rFonts w:asciiTheme="minorHAnsi" w:hAnsiTheme="minorHAnsi" w:cstheme="minorHAnsi"/>
          <w:lang w:val="cs-CZ"/>
        </w:rPr>
        <w:t>-</w:t>
      </w:r>
      <w:r w:rsidR="004D6B82">
        <w:rPr>
          <w:rFonts w:asciiTheme="minorHAnsi" w:hAnsiTheme="minorHAnsi" w:cstheme="minorHAnsi"/>
          <w:lang w:val="cs-CZ"/>
        </w:rPr>
        <w:t xml:space="preserve"> </w:t>
      </w:r>
      <w:r w:rsidRPr="00FA737D">
        <w:rPr>
          <w:rFonts w:asciiTheme="minorHAnsi" w:hAnsiTheme="minorHAnsi" w:cstheme="minorHAnsi"/>
          <w:lang w:val="cs-CZ"/>
        </w:rPr>
        <w:t xml:space="preserve">dal“. </w:t>
      </w:r>
      <w:r w:rsidRPr="00031D00">
        <w:rPr>
          <w:rFonts w:asciiTheme="minorHAnsi" w:hAnsiTheme="minorHAnsi" w:cstheme="minorHAnsi"/>
          <w:b w:val="0"/>
        </w:rPr>
        <w:t>Usilovat o rovnováhu mezi tím, co obec občanům a zákazníkům veřejných služeb poskytuje</w:t>
      </w:r>
      <w:r w:rsidRPr="00031D00">
        <w:rPr>
          <w:rFonts w:asciiTheme="minorHAnsi" w:hAnsiTheme="minorHAnsi" w:cstheme="minorHAnsi"/>
          <w:b w:val="0"/>
          <w:lang w:val="cs-CZ"/>
        </w:rPr>
        <w:t xml:space="preserve"> (je tvořeno výdajovou stránkou rozpočtu)</w:t>
      </w:r>
      <w:r w:rsidRPr="00031D00">
        <w:rPr>
          <w:rFonts w:asciiTheme="minorHAnsi" w:hAnsiTheme="minorHAnsi" w:cstheme="minorHAnsi"/>
          <w:b w:val="0"/>
        </w:rPr>
        <w:t xml:space="preserve"> a mezi tím, co od občanů a daňových poplatníků dostává</w:t>
      </w:r>
      <w:r w:rsidRPr="00031D00">
        <w:rPr>
          <w:rFonts w:asciiTheme="minorHAnsi" w:hAnsiTheme="minorHAnsi" w:cstheme="minorHAnsi"/>
          <w:b w:val="0"/>
          <w:lang w:val="cs-CZ"/>
        </w:rPr>
        <w:t xml:space="preserve"> (příjmové stránka rozpočtu)</w:t>
      </w:r>
      <w:r w:rsidRPr="00031D00">
        <w:rPr>
          <w:rFonts w:asciiTheme="minorHAnsi" w:hAnsiTheme="minorHAnsi" w:cstheme="minorHAnsi"/>
          <w:b w:val="0"/>
        </w:rPr>
        <w:t>.</w:t>
      </w:r>
      <w:r w:rsidRPr="00031D00">
        <w:rPr>
          <w:rFonts w:asciiTheme="minorHAnsi" w:hAnsiTheme="minorHAnsi" w:cstheme="minorHAnsi"/>
          <w:b w:val="0"/>
          <w:lang w:val="cs-CZ"/>
        </w:rPr>
        <w:t xml:space="preserve"> Jinak řečeno: </w:t>
      </w:r>
      <w:r w:rsidRPr="00031D00">
        <w:rPr>
          <w:rFonts w:asciiTheme="minorHAnsi" w:hAnsiTheme="minorHAnsi" w:cstheme="minorHAnsi"/>
          <w:b w:val="0"/>
          <w:szCs w:val="20"/>
        </w:rPr>
        <w:t>Pro obec (kraj) usilovat o rovnováhu mezi (a) tím, co obec (kraj) občanům a zákazníkům veřejných služeb poskytuje a mezi tím (b) co od občanů a daňových poplatníků dostává, (c) současně usilovat o to, aby tato rovnováha byla vnímána ze strany daňových poplatníků a občanů jako spravedlivá</w:t>
      </w:r>
      <w:r w:rsidRPr="00031D00">
        <w:rPr>
          <w:rFonts w:asciiTheme="minorHAnsi" w:hAnsiTheme="minorHAnsi" w:cstheme="minorHAnsi"/>
          <w:b w:val="0"/>
          <w:szCs w:val="20"/>
          <w:lang w:val="cs-CZ"/>
        </w:rPr>
        <w:t>.</w:t>
      </w:r>
      <w:r w:rsidR="003A0F2C" w:rsidRPr="00031D00">
        <w:rPr>
          <w:rFonts w:asciiTheme="minorHAnsi" w:hAnsiTheme="minorHAnsi" w:cstheme="minorHAnsi"/>
          <w:b w:val="0"/>
          <w:szCs w:val="20"/>
          <w:lang w:val="cs-CZ"/>
        </w:rPr>
        <w:t xml:space="preserve"> </w:t>
      </w:r>
    </w:p>
    <w:p w14:paraId="23F53901" w14:textId="28308E48" w:rsidR="00A33A46" w:rsidRPr="003A0F2C" w:rsidRDefault="00921496" w:rsidP="00A33A46">
      <w:pPr>
        <w:pStyle w:val="A1-text"/>
        <w:spacing w:after="120"/>
        <w:rPr>
          <w:rFonts w:asciiTheme="minorHAnsi" w:hAnsiTheme="minorHAnsi" w:cstheme="minorHAnsi"/>
        </w:rPr>
      </w:pPr>
      <w:r w:rsidRPr="00D85F66">
        <w:rPr>
          <w:rFonts w:asciiTheme="minorHAnsi" w:hAnsiTheme="minorHAnsi" w:cstheme="minorHAnsi"/>
        </w:rPr>
        <w:t xml:space="preserve">Rovnováha vztahu mezi dáváním a braním je zobrazena na následujícím obrázku. </w:t>
      </w:r>
    </w:p>
    <w:p w14:paraId="28C7DDF9" w14:textId="4FD33FA6" w:rsidR="00921496" w:rsidRPr="00B24687" w:rsidRDefault="00921496" w:rsidP="00921496">
      <w:pPr>
        <w:rPr>
          <w:rFonts w:asciiTheme="minorHAnsi" w:hAnsiTheme="minorHAnsi" w:cstheme="minorHAnsi"/>
          <w:i/>
          <w:iCs/>
        </w:rPr>
      </w:pPr>
      <w:r w:rsidRPr="00B24687">
        <w:rPr>
          <w:rFonts w:asciiTheme="minorHAnsi" w:hAnsiTheme="minorHAnsi" w:cstheme="minorHAnsi"/>
          <w:i/>
          <w:iCs/>
          <w:noProof/>
        </w:rPr>
        <w:lastRenderedPageBreak/>
        <mc:AlternateContent>
          <mc:Choice Requires="wpg">
            <w:drawing>
              <wp:anchor distT="0" distB="0" distL="114300" distR="114300" simplePos="0" relativeHeight="251569664" behindDoc="0" locked="0" layoutInCell="0" allowOverlap="1" wp14:anchorId="6339937C" wp14:editId="1D5BF2A3">
                <wp:simplePos x="0" y="0"/>
                <wp:positionH relativeFrom="column">
                  <wp:posOffset>-15240</wp:posOffset>
                </wp:positionH>
                <wp:positionV relativeFrom="paragraph">
                  <wp:posOffset>187960</wp:posOffset>
                </wp:positionV>
                <wp:extent cx="5768562" cy="2907030"/>
                <wp:effectExtent l="0" t="0" r="3810" b="26670"/>
                <wp:wrapNone/>
                <wp:docPr id="4099" name="Skupina 4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562" cy="2907030"/>
                          <a:chOff x="1820" y="6277"/>
                          <a:chExt cx="9484" cy="4578"/>
                        </a:xfrm>
                      </wpg:grpSpPr>
                      <wps:wsp>
                        <wps:cNvPr id="4100" name="Oval 3"/>
                        <wps:cNvSpPr>
                          <a:spLocks noChangeArrowheads="1"/>
                        </wps:cNvSpPr>
                        <wps:spPr bwMode="auto">
                          <a:xfrm>
                            <a:off x="3264" y="6604"/>
                            <a:ext cx="3000" cy="2697"/>
                          </a:xfrm>
                          <a:prstGeom prst="ellipse">
                            <a:avLst/>
                          </a:prstGeom>
                          <a:noFill/>
                          <a:ln w="9525">
                            <a:solidFill>
                              <a:srgbClr val="000000"/>
                            </a:solidFill>
                            <a:round/>
                            <a:headEnd/>
                            <a:tailEnd/>
                          </a:ln>
                          <a:extLst>
                            <a:ext uri="{909E8E84-426E-40DD-AFC4-6F175D3DCCD1}">
                              <a14:hiddenFill xmlns:a14="http://schemas.microsoft.com/office/drawing/2010/main">
                                <a:solidFill>
                                  <a:srgbClr val="CCFF99"/>
                                </a:solidFill>
                              </a14:hiddenFill>
                            </a:ext>
                          </a:extLst>
                        </wps:spPr>
                        <wps:bodyPr rot="0" vert="horz" wrap="square" lIns="91440" tIns="45720" rIns="91440" bIns="45720" anchor="t" anchorCtr="0" upright="1">
                          <a:noAutofit/>
                        </wps:bodyPr>
                      </wps:wsp>
                      <wps:wsp>
                        <wps:cNvPr id="4101" name="Oval 4"/>
                        <wps:cNvSpPr>
                          <a:spLocks noChangeArrowheads="1"/>
                        </wps:cNvSpPr>
                        <wps:spPr bwMode="auto">
                          <a:xfrm>
                            <a:off x="5596" y="6604"/>
                            <a:ext cx="3000" cy="2697"/>
                          </a:xfrm>
                          <a:prstGeom prst="ellipse">
                            <a:avLst/>
                          </a:prstGeom>
                          <a:noFill/>
                          <a:ln w="9525">
                            <a:solidFill>
                              <a:srgbClr val="000000"/>
                            </a:solidFill>
                            <a:round/>
                            <a:headEnd/>
                            <a:tailEnd/>
                          </a:ln>
                          <a:extLst>
                            <a:ext uri="{909E8E84-426E-40DD-AFC4-6F175D3DCCD1}">
                              <a14:hiddenFill xmlns:a14="http://schemas.microsoft.com/office/drawing/2010/main">
                                <a:solidFill>
                                  <a:srgbClr val="CCECFF">
                                    <a:alpha val="69000"/>
                                  </a:srgbClr>
                                </a:solidFill>
                              </a14:hiddenFill>
                            </a:ext>
                          </a:extLst>
                        </wps:spPr>
                        <wps:bodyPr rot="0" vert="horz" wrap="square" lIns="91440" tIns="45720" rIns="91440" bIns="45720" anchor="t" anchorCtr="0" upright="1">
                          <a:noAutofit/>
                        </wps:bodyPr>
                      </wps:wsp>
                      <wps:wsp>
                        <wps:cNvPr id="4102" name="Text Box 5"/>
                        <wps:cNvSpPr txBox="1">
                          <a:spLocks noChangeArrowheads="1"/>
                        </wps:cNvSpPr>
                        <wps:spPr bwMode="auto">
                          <a:xfrm>
                            <a:off x="3597" y="6604"/>
                            <a:ext cx="1999" cy="2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43A25" w14:textId="77777777" w:rsidR="00511D9B" w:rsidRPr="00D85F66" w:rsidRDefault="00511D9B" w:rsidP="00D85F66">
                              <w:pPr>
                                <w:spacing w:line="240" w:lineRule="auto"/>
                                <w:jc w:val="center"/>
                                <w:rPr>
                                  <w:rFonts w:asciiTheme="minorHAnsi" w:hAnsiTheme="minorHAnsi" w:cstheme="minorHAnsi"/>
                                  <w:b/>
                                  <w:sz w:val="22"/>
                                  <w:szCs w:val="22"/>
                                  <w:u w:val="single"/>
                                </w:rPr>
                              </w:pPr>
                            </w:p>
                            <w:p w14:paraId="41776CB7" w14:textId="77777777" w:rsidR="00511D9B" w:rsidRPr="00D85F66" w:rsidRDefault="00511D9B" w:rsidP="00D85F66">
                              <w:pPr>
                                <w:spacing w:line="240" w:lineRule="auto"/>
                                <w:jc w:val="center"/>
                                <w:rPr>
                                  <w:rFonts w:asciiTheme="minorHAnsi" w:hAnsiTheme="minorHAnsi" w:cstheme="minorHAnsi"/>
                                  <w:sz w:val="22"/>
                                  <w:szCs w:val="22"/>
                                </w:rPr>
                              </w:pPr>
                            </w:p>
                            <w:p w14:paraId="6D5941BE" w14:textId="77777777" w:rsidR="00511D9B"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Poskytnutá </w:t>
                              </w:r>
                            </w:p>
                            <w:p w14:paraId="1D928911" w14:textId="65A10568"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hodnota ze strany veřejné správy („dávání“)</w:t>
                              </w:r>
                            </w:p>
                          </w:txbxContent>
                        </wps:txbx>
                        <wps:bodyPr rot="0" vert="horz" wrap="square" lIns="18000" tIns="10800" rIns="18000" bIns="10800" anchor="t" anchorCtr="0" upright="1">
                          <a:noAutofit/>
                        </wps:bodyPr>
                      </wps:wsp>
                      <wps:wsp>
                        <wps:cNvPr id="4103" name="Text Box 6"/>
                        <wps:cNvSpPr txBox="1">
                          <a:spLocks noChangeArrowheads="1"/>
                        </wps:cNvSpPr>
                        <wps:spPr bwMode="auto">
                          <a:xfrm>
                            <a:off x="6264" y="6742"/>
                            <a:ext cx="2166"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109D3" w14:textId="77777777" w:rsidR="00511D9B" w:rsidRPr="00D85F66" w:rsidRDefault="00511D9B" w:rsidP="00D85F66">
                              <w:pPr>
                                <w:spacing w:line="240" w:lineRule="auto"/>
                                <w:jc w:val="center"/>
                                <w:rPr>
                                  <w:rFonts w:asciiTheme="minorHAnsi" w:hAnsiTheme="minorHAnsi" w:cstheme="minorHAnsi"/>
                                  <w:b/>
                                  <w:sz w:val="22"/>
                                  <w:szCs w:val="22"/>
                                  <w:u w:val="single"/>
                                </w:rPr>
                              </w:pPr>
                            </w:p>
                            <w:p w14:paraId="5202A36A" w14:textId="77777777"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Veřejné zdroje</w:t>
                              </w:r>
                            </w:p>
                            <w:p w14:paraId="4A440973" w14:textId="686E32A8"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na produkci získané „braním“ (platba, daně od daňových </w:t>
                              </w:r>
                            </w:p>
                            <w:p w14:paraId="2F2B68DB" w14:textId="575FB4F6"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 poplatníků</w:t>
                              </w:r>
                              <w:r>
                                <w:rPr>
                                  <w:rFonts w:asciiTheme="minorHAnsi" w:hAnsiTheme="minorHAnsi" w:cstheme="minorHAnsi"/>
                                  <w:sz w:val="22"/>
                                  <w:szCs w:val="22"/>
                                </w:rPr>
                                <w:t>)</w:t>
                              </w:r>
                            </w:p>
                            <w:p w14:paraId="2F625880" w14:textId="77777777" w:rsidR="00511D9B" w:rsidRPr="00D85F66" w:rsidRDefault="00511D9B" w:rsidP="00D85F66">
                              <w:pPr>
                                <w:spacing w:line="240"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 </w:t>
                              </w:r>
                            </w:p>
                          </w:txbxContent>
                        </wps:txbx>
                        <wps:bodyPr rot="0" vert="horz" wrap="square" lIns="18000" tIns="10800" rIns="18000" bIns="10800" anchor="t" anchorCtr="0" upright="1">
                          <a:noAutofit/>
                        </wps:bodyPr>
                      </wps:wsp>
                      <wps:wsp>
                        <wps:cNvPr id="4104" name="Oval 7"/>
                        <wps:cNvSpPr>
                          <a:spLocks noChangeArrowheads="1"/>
                        </wps:cNvSpPr>
                        <wps:spPr bwMode="auto">
                          <a:xfrm>
                            <a:off x="4430" y="8076"/>
                            <a:ext cx="3000" cy="2779"/>
                          </a:xfrm>
                          <a:prstGeom prst="ellipse">
                            <a:avLst/>
                          </a:prstGeom>
                          <a:noFill/>
                          <a:ln w="9525">
                            <a:solidFill>
                              <a:srgbClr val="000000"/>
                            </a:solidFill>
                            <a:round/>
                            <a:headEnd/>
                            <a:tailEnd/>
                          </a:ln>
                          <a:extLst>
                            <a:ext uri="{909E8E84-426E-40DD-AFC4-6F175D3DCCD1}">
                              <a14:hiddenFill xmlns:a14="http://schemas.microsoft.com/office/drawing/2010/main">
                                <a:solidFill>
                                  <a:srgbClr val="FF0000">
                                    <a:alpha val="25000"/>
                                  </a:srgbClr>
                                </a:solidFill>
                              </a14:hiddenFill>
                            </a:ext>
                          </a:extLst>
                        </wps:spPr>
                        <wps:bodyPr rot="0" vert="horz" wrap="square" lIns="91440" tIns="45720" rIns="91440" bIns="45720" anchor="t" anchorCtr="0" upright="1">
                          <a:noAutofit/>
                        </wps:bodyPr>
                      </wps:wsp>
                      <wps:wsp>
                        <wps:cNvPr id="4105" name="Text Box 8"/>
                        <wps:cNvSpPr txBox="1">
                          <a:spLocks noChangeArrowheads="1"/>
                        </wps:cNvSpPr>
                        <wps:spPr bwMode="auto">
                          <a:xfrm>
                            <a:off x="4852" y="9085"/>
                            <a:ext cx="2167" cy="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9F027" w14:textId="77777777" w:rsidR="00511D9B" w:rsidRPr="00D85F66" w:rsidRDefault="00511D9B" w:rsidP="00D85F66">
                              <w:pPr>
                                <w:spacing w:line="240" w:lineRule="auto"/>
                                <w:jc w:val="center"/>
                                <w:rPr>
                                  <w:rFonts w:asciiTheme="minorHAnsi" w:hAnsiTheme="minorHAnsi" w:cstheme="minorHAnsi"/>
                                  <w:sz w:val="22"/>
                                  <w:szCs w:val="22"/>
                                </w:rPr>
                              </w:pPr>
                            </w:p>
                            <w:p w14:paraId="2BAEF737" w14:textId="77777777"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Vnímaní „rovnováhy“ ze strany občanů (spokojenost) </w:t>
                              </w:r>
                            </w:p>
                            <w:p w14:paraId="724EB3F2" w14:textId="77777777"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občanů a daňových poplatníků </w:t>
                              </w:r>
                            </w:p>
                            <w:p w14:paraId="505A493E" w14:textId="77777777" w:rsidR="00511D9B" w:rsidRPr="00D85F66" w:rsidRDefault="00511D9B" w:rsidP="00D85F66">
                              <w:pPr>
                                <w:spacing w:line="240"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 </w:t>
                              </w:r>
                            </w:p>
                            <w:p w14:paraId="32B8B2F4" w14:textId="77777777" w:rsidR="00511D9B" w:rsidRPr="00D85F66" w:rsidRDefault="00511D9B" w:rsidP="00D85F66">
                              <w:pPr>
                                <w:spacing w:line="240" w:lineRule="auto"/>
                                <w:jc w:val="center"/>
                                <w:rPr>
                                  <w:rFonts w:asciiTheme="minorHAnsi" w:hAnsiTheme="minorHAnsi" w:cstheme="minorHAnsi"/>
                                  <w:sz w:val="22"/>
                                  <w:szCs w:val="22"/>
                                </w:rPr>
                              </w:pPr>
                            </w:p>
                          </w:txbxContent>
                        </wps:txbx>
                        <wps:bodyPr rot="0" vert="horz" wrap="square" lIns="18000" tIns="10800" rIns="18000" bIns="10800" anchor="t" anchorCtr="0" upright="1">
                          <a:noAutofit/>
                        </wps:bodyPr>
                      </wps:wsp>
                      <wps:wsp>
                        <wps:cNvPr id="4106" name="Text Box 9"/>
                        <wps:cNvSpPr txBox="1">
                          <a:spLocks noChangeArrowheads="1"/>
                        </wps:cNvSpPr>
                        <wps:spPr bwMode="auto">
                          <a:xfrm>
                            <a:off x="4930" y="6277"/>
                            <a:ext cx="4998"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15E7" w14:textId="50A51B9C" w:rsidR="00511D9B" w:rsidRPr="00D06DB6" w:rsidRDefault="00511D9B" w:rsidP="00D85F66">
                              <w:pPr>
                                <w:spacing w:line="240" w:lineRule="auto"/>
                                <w:jc w:val="center"/>
                                <w:rPr>
                                  <w:rFonts w:asciiTheme="minorHAnsi" w:hAnsiTheme="minorHAnsi" w:cstheme="minorHAnsi"/>
                                  <w:i/>
                                  <w:sz w:val="22"/>
                                  <w:szCs w:val="22"/>
                                </w:rPr>
                              </w:pPr>
                              <w:r w:rsidRPr="00D06DB6">
                                <w:rPr>
                                  <w:rFonts w:asciiTheme="minorHAnsi" w:hAnsiTheme="minorHAnsi" w:cstheme="minorHAnsi"/>
                                  <w:i/>
                                  <w:sz w:val="22"/>
                                  <w:szCs w:val="22"/>
                                </w:rPr>
                                <w:t>Rovnováha mezi „dáváním – braním“ (spravedlnost)</w:t>
                              </w:r>
                              <w:r>
                                <w:rPr>
                                  <w:rFonts w:asciiTheme="minorHAnsi" w:hAnsiTheme="minorHAnsi" w:cstheme="minorHAnsi"/>
                                  <w:i/>
                                  <w:sz w:val="22"/>
                                  <w:szCs w:val="22"/>
                                </w:rPr>
                                <w:t>.</w:t>
                              </w:r>
                              <w:r w:rsidRPr="00D06DB6">
                                <w:rPr>
                                  <w:rFonts w:asciiTheme="minorHAnsi" w:hAnsiTheme="minorHAnsi" w:cstheme="minorHAnsi"/>
                                  <w:i/>
                                  <w:sz w:val="22"/>
                                  <w:szCs w:val="22"/>
                                </w:rPr>
                                <w:t xml:space="preserve"> </w:t>
                              </w:r>
                            </w:p>
                            <w:p w14:paraId="4E7321E6" w14:textId="77777777" w:rsidR="00511D9B" w:rsidRPr="00D06DB6" w:rsidRDefault="00511D9B" w:rsidP="00D85F66">
                              <w:pPr>
                                <w:spacing w:line="240" w:lineRule="auto"/>
                                <w:jc w:val="center"/>
                                <w:rPr>
                                  <w:rFonts w:asciiTheme="minorHAnsi" w:hAnsiTheme="minorHAnsi" w:cstheme="minorHAnsi"/>
                                  <w:i/>
                                  <w:sz w:val="22"/>
                                  <w:szCs w:val="22"/>
                                </w:rPr>
                              </w:pPr>
                              <w:r w:rsidRPr="00D06DB6">
                                <w:rPr>
                                  <w:rFonts w:asciiTheme="minorHAnsi" w:hAnsiTheme="minorHAnsi" w:cstheme="minorHAnsi"/>
                                  <w:i/>
                                  <w:sz w:val="22"/>
                                  <w:szCs w:val="22"/>
                                </w:rPr>
                                <w:t xml:space="preserve"> </w:t>
                              </w:r>
                            </w:p>
                            <w:p w14:paraId="31E84C72" w14:textId="77777777" w:rsidR="00511D9B" w:rsidRPr="00D06DB6" w:rsidRDefault="00511D9B" w:rsidP="00D85F66">
                              <w:pPr>
                                <w:spacing w:line="240" w:lineRule="auto"/>
                                <w:jc w:val="center"/>
                                <w:rPr>
                                  <w:rFonts w:asciiTheme="minorHAnsi" w:hAnsiTheme="minorHAnsi" w:cstheme="minorHAnsi"/>
                                  <w:i/>
                                  <w:sz w:val="22"/>
                                  <w:szCs w:val="22"/>
                                </w:rPr>
                              </w:pPr>
                            </w:p>
                          </w:txbxContent>
                        </wps:txbx>
                        <wps:bodyPr rot="0" vert="horz" wrap="square" lIns="18000" tIns="10800" rIns="18000" bIns="10800" anchor="t" anchorCtr="0" upright="1">
                          <a:noAutofit/>
                        </wps:bodyPr>
                      </wps:wsp>
                      <wps:wsp>
                        <wps:cNvPr id="4107" name="Line 10"/>
                        <wps:cNvCnPr>
                          <a:cxnSpLocks noChangeShapeType="1"/>
                        </wps:cNvCnPr>
                        <wps:spPr bwMode="auto">
                          <a:xfrm rot="10800000" flipV="1">
                            <a:off x="5930" y="6492"/>
                            <a:ext cx="0" cy="1417"/>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4108" name="Line 11"/>
                        <wps:cNvCnPr>
                          <a:cxnSpLocks noChangeShapeType="1"/>
                        </wps:cNvCnPr>
                        <wps:spPr bwMode="auto">
                          <a:xfrm flipH="1" flipV="1">
                            <a:off x="5954" y="8411"/>
                            <a:ext cx="1616" cy="1226"/>
                          </a:xfrm>
                          <a:prstGeom prst="line">
                            <a:avLst/>
                          </a:prstGeom>
                          <a:noFill/>
                          <a:ln w="1905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4109" name="Text Box 12"/>
                        <wps:cNvSpPr txBox="1">
                          <a:spLocks noChangeArrowheads="1"/>
                        </wps:cNvSpPr>
                        <wps:spPr bwMode="auto">
                          <a:xfrm>
                            <a:off x="7570" y="9384"/>
                            <a:ext cx="3734" cy="1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C418E" w14:textId="447E5796" w:rsidR="00511D9B" w:rsidRPr="00D06DB6" w:rsidRDefault="00511D9B" w:rsidP="006B7DCE">
                              <w:pPr>
                                <w:spacing w:line="216" w:lineRule="auto"/>
                                <w:rPr>
                                  <w:i/>
                                </w:rPr>
                              </w:pPr>
                              <w:r w:rsidRPr="00D06DB6">
                                <w:rPr>
                                  <w:rFonts w:asciiTheme="minorHAnsi" w:hAnsiTheme="minorHAnsi" w:cstheme="minorHAnsi"/>
                                  <w:i/>
                                  <w:sz w:val="22"/>
                                  <w:szCs w:val="22"/>
                                </w:rPr>
                                <w:t xml:space="preserve">Je dosažena rovnováha mezi „dáváním – braním“, současně ji občané (a daňoví poplatníci) vnímají jako spravedlivou. Kritériem je soulad mezi individuálními preferencemi a veřejným zájmem. </w:t>
                              </w:r>
                            </w:p>
                          </w:txbxContent>
                        </wps:txbx>
                        <wps:bodyPr rot="0" vert="horz" wrap="square" lIns="0" tIns="0" rIns="0" bIns="0" anchor="t" anchorCtr="0" upright="1">
                          <a:noAutofit/>
                        </wps:bodyPr>
                      </wps:wsp>
                      <wps:wsp>
                        <wps:cNvPr id="4110" name="Text Box 13"/>
                        <wps:cNvSpPr txBox="1">
                          <a:spLocks noChangeArrowheads="1"/>
                        </wps:cNvSpPr>
                        <wps:spPr bwMode="auto">
                          <a:xfrm>
                            <a:off x="8621" y="6894"/>
                            <a:ext cx="1687" cy="653"/>
                          </a:xfrm>
                          <a:prstGeom prst="rect">
                            <a:avLst/>
                          </a:prstGeom>
                          <a:solidFill>
                            <a:srgbClr val="FFFFFF"/>
                          </a:solidFill>
                          <a:ln w="9525">
                            <a:solidFill>
                              <a:srgbClr val="000000"/>
                            </a:solidFill>
                            <a:miter lim="800000"/>
                            <a:headEnd/>
                            <a:tailEnd/>
                          </a:ln>
                        </wps:spPr>
                        <wps:txbx>
                          <w:txbxContent>
                            <w:p w14:paraId="21511290" w14:textId="77777777" w:rsidR="00511D9B" w:rsidRPr="00D85F66" w:rsidRDefault="00511D9B" w:rsidP="006B7DCE">
                              <w:pPr>
                                <w:spacing w:line="216" w:lineRule="auto"/>
                                <w:rPr>
                                  <w:rFonts w:asciiTheme="minorHAnsi" w:hAnsiTheme="minorHAnsi" w:cstheme="minorHAnsi"/>
                                  <w:sz w:val="22"/>
                                  <w:szCs w:val="22"/>
                                </w:rPr>
                              </w:pPr>
                              <w:r w:rsidRPr="00D85F66">
                                <w:rPr>
                                  <w:rFonts w:asciiTheme="minorHAnsi" w:hAnsiTheme="minorHAnsi" w:cstheme="minorHAnsi"/>
                                  <w:sz w:val="22"/>
                                  <w:szCs w:val="22"/>
                                </w:rPr>
                                <w:t xml:space="preserve">Pozor na míru zadlužování </w:t>
                              </w:r>
                            </w:p>
                            <w:p w14:paraId="3E41E8F1" w14:textId="77777777" w:rsidR="00511D9B" w:rsidRPr="00D85F66" w:rsidRDefault="00511D9B" w:rsidP="00D85F66">
                              <w:pPr>
                                <w:spacing w:line="240" w:lineRule="auto"/>
                                <w:rPr>
                                  <w:rFonts w:asciiTheme="minorHAnsi" w:hAnsiTheme="minorHAnsi" w:cstheme="minorHAnsi"/>
                                  <w:sz w:val="22"/>
                                  <w:szCs w:val="22"/>
                                </w:rPr>
                              </w:pPr>
                              <w:r w:rsidRPr="00D85F66">
                                <w:rPr>
                                  <w:rFonts w:asciiTheme="minorHAnsi" w:hAnsiTheme="minorHAnsi" w:cstheme="minorHAnsi"/>
                                  <w:sz w:val="22"/>
                                  <w:szCs w:val="22"/>
                                </w:rPr>
                                <w:t xml:space="preserve"> </w:t>
                              </w:r>
                            </w:p>
                            <w:p w14:paraId="01923C19" w14:textId="77777777" w:rsidR="00511D9B" w:rsidRPr="00D85F66" w:rsidRDefault="00511D9B" w:rsidP="00D85F66">
                              <w:pPr>
                                <w:spacing w:line="240" w:lineRule="auto"/>
                                <w:rPr>
                                  <w:rFonts w:asciiTheme="minorHAnsi" w:hAnsiTheme="minorHAnsi" w:cstheme="minorHAnsi"/>
                                  <w:sz w:val="22"/>
                                  <w:szCs w:val="22"/>
                                </w:rPr>
                              </w:pPr>
                            </w:p>
                          </w:txbxContent>
                        </wps:txbx>
                        <wps:bodyPr rot="0" vert="horz" wrap="square" lIns="54000" tIns="45720" rIns="54000" bIns="45720" anchor="t" anchorCtr="0" upright="1">
                          <a:noAutofit/>
                        </wps:bodyPr>
                      </wps:wsp>
                      <wps:wsp>
                        <wps:cNvPr id="4111" name="Text Box 14"/>
                        <wps:cNvSpPr txBox="1">
                          <a:spLocks noChangeArrowheads="1"/>
                        </wps:cNvSpPr>
                        <wps:spPr bwMode="auto">
                          <a:xfrm>
                            <a:off x="1820" y="6878"/>
                            <a:ext cx="1487" cy="653"/>
                          </a:xfrm>
                          <a:prstGeom prst="rect">
                            <a:avLst/>
                          </a:prstGeom>
                          <a:solidFill>
                            <a:srgbClr val="FFFFFF"/>
                          </a:solidFill>
                          <a:ln w="9525">
                            <a:solidFill>
                              <a:srgbClr val="000000"/>
                            </a:solidFill>
                            <a:miter lim="800000"/>
                            <a:headEnd/>
                            <a:tailEnd/>
                          </a:ln>
                        </wps:spPr>
                        <wps:txbx>
                          <w:txbxContent>
                            <w:p w14:paraId="621836B0" w14:textId="77777777" w:rsidR="00511D9B" w:rsidRPr="00D85F66" w:rsidRDefault="00511D9B" w:rsidP="006B7DCE">
                              <w:pPr>
                                <w:spacing w:line="216" w:lineRule="auto"/>
                                <w:rPr>
                                  <w:rFonts w:asciiTheme="minorHAnsi" w:hAnsiTheme="minorHAnsi" w:cstheme="minorHAnsi"/>
                                  <w:sz w:val="22"/>
                                  <w:szCs w:val="22"/>
                                </w:rPr>
                              </w:pPr>
                              <w:r w:rsidRPr="00D85F66">
                                <w:rPr>
                                  <w:rFonts w:asciiTheme="minorHAnsi" w:hAnsiTheme="minorHAnsi" w:cstheme="minorHAnsi"/>
                                  <w:sz w:val="22"/>
                                  <w:szCs w:val="22"/>
                                </w:rPr>
                                <w:t xml:space="preserve">Pozor na externality </w:t>
                              </w:r>
                            </w:p>
                            <w:p w14:paraId="55F6F333" w14:textId="77777777" w:rsidR="00511D9B" w:rsidRPr="00D85F66" w:rsidRDefault="00511D9B" w:rsidP="00D85F66">
                              <w:pPr>
                                <w:spacing w:line="240" w:lineRule="auto"/>
                                <w:rPr>
                                  <w:rFonts w:asciiTheme="minorHAnsi" w:hAnsiTheme="minorHAnsi" w:cstheme="minorHAnsi"/>
                                  <w:sz w:val="22"/>
                                  <w:szCs w:val="22"/>
                                </w:rPr>
                              </w:pPr>
                              <w:r w:rsidRPr="00D85F66">
                                <w:rPr>
                                  <w:rFonts w:asciiTheme="minorHAnsi" w:hAnsiTheme="minorHAnsi" w:cstheme="minorHAnsi"/>
                                  <w:sz w:val="22"/>
                                  <w:szCs w:val="22"/>
                                </w:rPr>
                                <w:t xml:space="preserve"> </w:t>
                              </w:r>
                            </w:p>
                            <w:p w14:paraId="7DDCDB18" w14:textId="77777777" w:rsidR="00511D9B" w:rsidRPr="00D85F66" w:rsidRDefault="00511D9B" w:rsidP="00D85F66">
                              <w:pPr>
                                <w:spacing w:line="240" w:lineRule="auto"/>
                                <w:rPr>
                                  <w:rFonts w:asciiTheme="minorHAnsi" w:hAnsiTheme="minorHAnsi" w:cstheme="minorHAnsi"/>
                                  <w:sz w:val="22"/>
                                  <w:szCs w:val="22"/>
                                </w:rPr>
                              </w:pPr>
                            </w:p>
                          </w:txbxContent>
                        </wps:txbx>
                        <wps:bodyPr rot="0" vert="horz" wrap="square" lIns="54000" tIns="45720" rIns="54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9937C" id="Skupina 4099" o:spid="_x0000_s1325" style="position:absolute;margin-left:-1.2pt;margin-top:14.8pt;width:454.2pt;height:228.9pt;z-index:251569664;mso-position-horizontal-relative:text;mso-position-vertical-relative:text" coordorigin="1820,6277" coordsize="9484,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y6iawYAAJstAAAOAAAAZHJzL2Uyb0RvYy54bWzsWt1vo0YQf6/U/wHx7jMLy8eic053dnyt&#10;lPZOyrXvG8AGHWbpQmKnVf/3zs4CBidWksvFvUj4wV5YWM/Ozsxvvt6+221y4yaRVSaKmUneWKaR&#10;FJGIs2I9M//4spwEplHVvIh5LopkZt4mlfnu7Oef3m7LMLFFKvI4kQYsUlThtpyZaV2X4XRaRWmy&#10;4dUbUSYFTK6E3PAaLuV6Gku+hdU3+dS2LG+6FTIupYiSqoK7Cz1pnuH6q1US1Z9WqyqpjXxmAm01&#10;fkv8vlLf07O3PFxLXqZZ1JDBv4GKDc8K+NNuqQWvuXEtsztLbbJIikqs6jeR2EzFapVFCe4BdkOs&#10;g918lOK6xL2sw+267NgErD3g0zcvG/1+81kaWTwzqcWYaRR8A6d0+fW6zApu4D1g0bZch/DkR1le&#10;lp+l3icML0T0tYLp6eG8ul7rh42r7W8ihjX5dS2QRbuV3KglYPPGDk/itjuJZFcbEdx0fS9wPds0&#10;IpizmeVbTnNWUQoHqt4jgQ0HCtOe7fv6HKP0vHmf0YDql6nrB2p2ykP9x0hsQ5zaGchdtWdt9TzW&#10;Xqa8TPDEKsWwlrXEAlI1az/d8NxwFEXqr+GZlqOVZqdRiHnKi3XyXkqxTRMeA0kEdzB4QV1UcBgP&#10;8texPWCF4pNnUc2nlsuOpehCFnsMedhxiYelrOqPidgYajAzkzzPykrtjYf85qKqNU/bp9TtQiyz&#10;PIf7PMwLYzszmWu7+EIl8ixWk2qukuureS4NYAScO36aAxo8BrJfxLiYYsJ5M655lusxkJoXaj3Y&#10;DZDTjLTS/cMsdh6cB3RCbe98Qq3FYvJ+OacTb0l8d+Es5vMF+VeRRmiYZnGcFIq61gAQ+jgpaEyR&#10;Vt3OBAx2MdjsfL5cgpJpzvUemw7JQGGFXbW/uDsQW33gWnCuRHwLhy+FtmhggWGQCvm3aWzBms3M&#10;6q9rLhPTyH8tQIAYoVSZP7wAlVCqI/szV/0ZXkSw1MysTUMP57U2mdelzNYp/BPBYy3Ee1DqVYay&#10;oOjTVKFBQLU6nX6RgX6hnA/UBcTuhfTLdZk36tcPol/noGHaROVlyrWJ8Zgyc43SaduDmjUqoPax&#10;nuQ7HAU4wGoNcF8UunwQO8NVPO8poVHv4HZrO15KHR0XkOx+uCNMeTgId64zdAruwJ0Ez1EL0iOw&#10;TmFPB36vEJeW+GlVZI/VR3EJQbeFWmJT64PNJksv8Cd0Sd0J861gYhH2gYHLwehiOYTai6xIng+1&#10;z3YwNlkNoUeebWZm0HkhPDzmbXSegiK/heb29z6IrndXO/SsidPh0RNhmyjCWtgmFly1sN3MaNhu&#10;Zl4hbDt3rIb3v1gNr3OSfWorCrSEq1DEJh7gu7IahEFQoXGkjWFa97dxkkerAR7+aDV6McpzrEYH&#10;oKPVGAbTEM/2gmkMXHt+hlLel/IuKIU8hPIuAstHS7W3E71g2vfbIO+InRiD6btJsKcG08ulAu1D&#10;Z9921c3R2df51JfKZrmtAnbOPrrTPSU8jbNPAxfiDlBHZgVoLffqCLANcQDCtufg3PHc1gjbI2zz&#10;sJ9afA5sdx7sCNtD2AY3+iBFgDB5eqvBGhDfVw7ajDhlDApWymo49gMJ8dFojEbj+xmNzokdjcbQ&#10;aACIa6OBWSOCvl1jMeaFrkVGu+LyILmPacovtyXUHQe1M/2Kev947UwXVTCngtmXFRS+/mzTlk3R&#10;0u1MCGUH+QKID9DroOQBA5JDHunRKUaV7SLMcrXD20tdf596mlEjrwTU5KCANDM3SQylowRK+mqk&#10;3ekfs9rWy7t2oK0rjeDvPaqIpnanJALKwKerVwHK9MUahfSFxVrJ8S9Kjo37JdrVZeKAEqRm70oT&#10;j7QZMNtG7+a4Kz0KNbayQEH3OSXkVyrUXf9IFxYSNI6NYKtOh9PEhb7r6zQNc3TKdi/Mjg/Z+MZC&#10;+xob2s6QsQgExdMmdTIWge5tOekg5huKQF2K5IkuHkiy7tuAge7ZgIEu/MDg9RV9wIc7jAPJYUPU&#10;acxE4NmAhhDseQHDys7eTBAoZmoz4blI3HHIeygQPO6sHau7fpf+qSeWN7GZ6qDJqFfB7CL1Jwqv&#10;S9GHvqfxqJl55Y1H4CvdEeau2tt0951GmPf9kIHueOwJMx2FOdwLM3TCAcopp+S1CDP2rEIHMLYb&#10;NN3KqsW4f41RzL6n+uw/AAAA//8DAFBLAwQUAAYACAAAACEAv38Wx+EAAAAJAQAADwAAAGRycy9k&#10;b3ducmV2LnhtbEyPQWuDQBSE74X+h+UVektWrbWJcQ0htD2FQpNCyW2jLypx34q7UfPv+3pqj8MM&#10;M99k68m0YsDeNZYUhPMABFJhy4YqBV+Ht9kChPOaSt1aQgU3dLDO7+8ynZZ2pE8c9r4SXEIu1Qpq&#10;77tUSlfUaLSb2w6JvbPtjfYs+0qWvR653LQyCoJEGt0QL9S6w22NxWV/NQreRz1unsLXYXc5b2/H&#10;w/PH9y5EpR4fps0KhMfJ/4XhF5/RIWemk71S6USrYBbFnFQQLRMQ7C+DhL+dFMSLlxhknsn/D/If&#10;AAAA//8DAFBLAQItABQABgAIAAAAIQC2gziS/gAAAOEBAAATAAAAAAAAAAAAAAAAAAAAAABbQ29u&#10;dGVudF9UeXBlc10ueG1sUEsBAi0AFAAGAAgAAAAhADj9If/WAAAAlAEAAAsAAAAAAAAAAAAAAAAA&#10;LwEAAF9yZWxzLy5yZWxzUEsBAi0AFAAGAAgAAAAhAGrXLqJrBgAAmy0AAA4AAAAAAAAAAAAAAAAA&#10;LgIAAGRycy9lMm9Eb2MueG1sUEsBAi0AFAAGAAgAAAAhAL9/FsfhAAAACQEAAA8AAAAAAAAAAAAA&#10;AAAAxQgAAGRycy9kb3ducmV2LnhtbFBLBQYAAAAABAAEAPMAAADTCQAAAAA=&#10;" o:allowincell="f">
                <v:oval id="Oval 3" o:spid="_x0000_s1326" style="position:absolute;left:3264;top:6604;width:3000;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nlcwgAAAN0AAAAPAAAAZHJzL2Rvd25yZXYueG1sRE/Pa4Mw&#10;FL4X9j+EN9itjZVZimta5thgeCnTsvPDvKrMvEiSqfvvm0Nhx4/v9+G0mEFM5HxvWcF2k4Agbqzu&#10;uVVwqT/WexA+IGscLJOCP/JwOj6sDphrO/MXTVVoRQxhn6OCLoQxl9I3HRn0GzsSR+5qncEQoWul&#10;djjHcDPINEl20mDPsaHDkd46an6qX6Pg27psqousynbF2b2X6dmW/qrU0+Py+gIi0BL+xXf3p1bw&#10;vE3i/vgmPgF5vAEAAP//AwBQSwECLQAUAAYACAAAACEA2+H2y+4AAACFAQAAEwAAAAAAAAAAAAAA&#10;AAAAAAAAW0NvbnRlbnRfVHlwZXNdLnhtbFBLAQItABQABgAIAAAAIQBa9CxbvwAAABUBAAALAAAA&#10;AAAAAAAAAAAAAB8BAABfcmVscy8ucmVsc1BLAQItABQABgAIAAAAIQCOunlcwgAAAN0AAAAPAAAA&#10;AAAAAAAAAAAAAAcCAABkcnMvZG93bnJldi54bWxQSwUGAAAAAAMAAwC3AAAA9gIAAAAA&#10;" filled="f" fillcolor="#cf9"/>
                <v:oval id="Oval 4" o:spid="_x0000_s1327" style="position:absolute;left:5596;top:6604;width:3000;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3nXxwAAAN0AAAAPAAAAZHJzL2Rvd25yZXYueG1sRI9BawIx&#10;FITvhf6H8AreanaLlLIaxbYr9FCopiIeH5vnZnHzsm6ibv99UxB6HGbmG2a2GFwrLtSHxrOCfJyB&#10;IK68abhWsP1ePb6ACBHZYOuZFPxQgMX8/m6GhfFX3tBFx1okCIcCFdgYu0LKUFlyGMa+I07ewfcO&#10;Y5J9LU2P1wR3rXzKsmfpsOG0YLGjN0vVUZ+dgnJzHJz+1Oe1PVWv669dqffvpVKjh2E5BRFpiP/h&#10;W/vDKJjkWQ5/b9ITkPNfAAAA//8DAFBLAQItABQABgAIAAAAIQDb4fbL7gAAAIUBAAATAAAAAAAA&#10;AAAAAAAAAAAAAABbQ29udGVudF9UeXBlc10ueG1sUEsBAi0AFAAGAAgAAAAhAFr0LFu/AAAAFQEA&#10;AAsAAAAAAAAAAAAAAAAAHwEAAF9yZWxzLy5yZWxzUEsBAi0AFAAGAAgAAAAhAIzjedfHAAAA3QAA&#10;AA8AAAAAAAAAAAAAAAAABwIAAGRycy9kb3ducmV2LnhtbFBLBQYAAAAAAwADALcAAAD7AgAAAAA=&#10;" filled="f" fillcolor="#ccecff">
                  <v:fill opacity="45232f"/>
                </v:oval>
                <v:shape id="Text Box 5" o:spid="_x0000_s1328" type="#_x0000_t202" style="position:absolute;left:3597;top:6604;width:1999;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ZtxAAAAN0AAAAPAAAAZHJzL2Rvd25yZXYueG1sRI9BS8NA&#10;FITvQv/D8gre7G6CSIndFi0oekzsocdH9pkNzb4N2dc2+utdQfA4zMw3zGY3h0FdaEp9ZAvFyoAi&#10;bqPrubNw+Hi5W4NKguxwiEwWvijBbru42WDl4pVrujTSqQzhVKEFLzJWWqfWU8C0iiNx9j7jFFCy&#10;nDrtJrxmeBh0acyDDthzXvA40t5Te2rOwUJnyrqojf8ejq/P9fq9ETmenLW3y/npEZTQLP/hv/ab&#10;s3BfmBJ+3+QnoLc/AAAA//8DAFBLAQItABQABgAIAAAAIQDb4fbL7gAAAIUBAAATAAAAAAAAAAAA&#10;AAAAAAAAAABbQ29udGVudF9UeXBlc10ueG1sUEsBAi0AFAAGAAgAAAAhAFr0LFu/AAAAFQEAAAsA&#10;AAAAAAAAAAAAAAAAHwEAAF9yZWxzLy5yZWxzUEsBAi0AFAAGAAgAAAAhAHGMFm3EAAAA3QAAAA8A&#10;AAAAAAAAAAAAAAAABwIAAGRycy9kb3ducmV2LnhtbFBLBQYAAAAAAwADALcAAAD4AgAAAAA=&#10;" filled="f" stroked="f">
                  <v:textbox inset=".5mm,.3mm,.5mm,.3mm">
                    <w:txbxContent>
                      <w:p w14:paraId="51443A25" w14:textId="77777777" w:rsidR="00511D9B" w:rsidRPr="00D85F66" w:rsidRDefault="00511D9B" w:rsidP="00D85F66">
                        <w:pPr>
                          <w:spacing w:line="240" w:lineRule="auto"/>
                          <w:jc w:val="center"/>
                          <w:rPr>
                            <w:rFonts w:asciiTheme="minorHAnsi" w:hAnsiTheme="minorHAnsi" w:cstheme="minorHAnsi"/>
                            <w:b/>
                            <w:sz w:val="22"/>
                            <w:szCs w:val="22"/>
                            <w:u w:val="single"/>
                          </w:rPr>
                        </w:pPr>
                      </w:p>
                      <w:p w14:paraId="41776CB7" w14:textId="77777777" w:rsidR="00511D9B" w:rsidRPr="00D85F66" w:rsidRDefault="00511D9B" w:rsidP="00D85F66">
                        <w:pPr>
                          <w:spacing w:line="240" w:lineRule="auto"/>
                          <w:jc w:val="center"/>
                          <w:rPr>
                            <w:rFonts w:asciiTheme="minorHAnsi" w:hAnsiTheme="minorHAnsi" w:cstheme="minorHAnsi"/>
                            <w:sz w:val="22"/>
                            <w:szCs w:val="22"/>
                          </w:rPr>
                        </w:pPr>
                      </w:p>
                      <w:p w14:paraId="6D5941BE" w14:textId="77777777" w:rsidR="00511D9B"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Poskytnutá </w:t>
                        </w:r>
                      </w:p>
                      <w:p w14:paraId="1D928911" w14:textId="65A10568"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hodnota ze strany veřejné správy („dávání“)</w:t>
                        </w:r>
                      </w:p>
                    </w:txbxContent>
                  </v:textbox>
                </v:shape>
                <v:shape id="Text Box 6" o:spid="_x0000_s1329" type="#_x0000_t202" style="position:absolute;left:6264;top:6742;width:2166;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P2xAAAAN0AAAAPAAAAZHJzL2Rvd25yZXYueG1sRI9BS8NA&#10;FITvQv/D8gre7G6qSIndllZo0WOihx4f2Wc2NPs2ZJ9t9Ne7guBxmJlvmPV2Cr260Ji6yBaKhQFF&#10;3ETXcWvh/e1wtwKVBNlhH5ksfFGC7WZ2s8bSxStXdKmlVRnCqUQLXmQotU6Np4BpEQfi7H3EMaBk&#10;ObbajXjN8NDrpTGPOmDHecHjQM+emnP9GSy0ZlkVlfHf/em4r1avtcjp7Ky9nU+7J1BCk/yH/9ov&#10;zsJDYe7h901+AnrzAwAA//8DAFBLAQItABQABgAIAAAAIQDb4fbL7gAAAIUBAAATAAAAAAAAAAAA&#10;AAAAAAAAAABbQ29udGVudF9UeXBlc10ueG1sUEsBAi0AFAAGAAgAAAAhAFr0LFu/AAAAFQEAAAsA&#10;AAAAAAAAAAAAAAAAHwEAAF9yZWxzLy5yZWxzUEsBAi0AFAAGAAgAAAAhAB7As/bEAAAA3QAAAA8A&#10;AAAAAAAAAAAAAAAABwIAAGRycy9kb3ducmV2LnhtbFBLBQYAAAAAAwADALcAAAD4AgAAAAA=&#10;" filled="f" stroked="f">
                  <v:textbox inset=".5mm,.3mm,.5mm,.3mm">
                    <w:txbxContent>
                      <w:p w14:paraId="19A109D3" w14:textId="77777777" w:rsidR="00511D9B" w:rsidRPr="00D85F66" w:rsidRDefault="00511D9B" w:rsidP="00D85F66">
                        <w:pPr>
                          <w:spacing w:line="240" w:lineRule="auto"/>
                          <w:jc w:val="center"/>
                          <w:rPr>
                            <w:rFonts w:asciiTheme="minorHAnsi" w:hAnsiTheme="minorHAnsi" w:cstheme="minorHAnsi"/>
                            <w:b/>
                            <w:sz w:val="22"/>
                            <w:szCs w:val="22"/>
                            <w:u w:val="single"/>
                          </w:rPr>
                        </w:pPr>
                      </w:p>
                      <w:p w14:paraId="5202A36A" w14:textId="77777777"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Veřejné zdroje</w:t>
                        </w:r>
                      </w:p>
                      <w:p w14:paraId="4A440973" w14:textId="686E32A8"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na produkci získané „braním“ (platba, daně od daňových </w:t>
                        </w:r>
                      </w:p>
                      <w:p w14:paraId="2F2B68DB" w14:textId="575FB4F6"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 poplatníků</w:t>
                        </w:r>
                        <w:r>
                          <w:rPr>
                            <w:rFonts w:asciiTheme="minorHAnsi" w:hAnsiTheme="minorHAnsi" w:cstheme="minorHAnsi"/>
                            <w:sz w:val="22"/>
                            <w:szCs w:val="22"/>
                          </w:rPr>
                          <w:t>)</w:t>
                        </w:r>
                      </w:p>
                      <w:p w14:paraId="2F625880" w14:textId="77777777" w:rsidR="00511D9B" w:rsidRPr="00D85F66" w:rsidRDefault="00511D9B" w:rsidP="00D85F66">
                        <w:pPr>
                          <w:spacing w:line="240"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 </w:t>
                        </w:r>
                      </w:p>
                    </w:txbxContent>
                  </v:textbox>
                </v:shape>
                <v:oval id="Oval 7" o:spid="_x0000_s1330" style="position:absolute;left:4430;top:8076;width:3000;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rc4xAAAAN0AAAAPAAAAZHJzL2Rvd25yZXYueG1sRI/BasMw&#10;EETvhf6D2EJvjZw2JK0TJZRAoT42Ljkv1tY2sVZCUmzHXx8FCjkOs/NmZ7MbTSd68qG1rGA+y0AQ&#10;V1a3XCv4Lb9e3kGEiKyxs0wKLhRgt3182GCu7cA/1B9iLRKEQ44KmhhdLmWoGjIYZtYRJ+/PeoMx&#10;SV9L7XFIcNPJ1yxbSoMtp4YGHe0bqk6Hs0lvuEtlj5M/4qr+KN9cKKZuVSj1/DR+rkFEGuP9+D/9&#10;rRUs5tkCbmsSAuT2CgAA//8DAFBLAQItABQABgAIAAAAIQDb4fbL7gAAAIUBAAATAAAAAAAAAAAA&#10;AAAAAAAAAABbQ29udGVudF9UeXBlc10ueG1sUEsBAi0AFAAGAAgAAAAhAFr0LFu/AAAAFQEAAAsA&#10;AAAAAAAAAAAAAAAAHwEAAF9yZWxzLy5yZWxzUEsBAi0AFAAGAAgAAAAhAO7atzjEAAAA3QAAAA8A&#10;AAAAAAAAAAAAAAAABwIAAGRycy9kb3ducmV2LnhtbFBLBQYAAAAAAwADALcAAAD4AgAAAAA=&#10;" filled="f" fillcolor="red">
                  <v:fill opacity="16448f"/>
                </v:oval>
                <v:shape id="Text Box 8" o:spid="_x0000_s1331" type="#_x0000_t202" style="position:absolute;left:4852;top:9085;width:2167;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4ZxAAAAN0AAAAPAAAAZHJzL2Rvd25yZXYueG1sRI9BS8NA&#10;FITvQv/D8gre7G6KSondllZo0WOihx4f2Wc2NPs2ZJ9t9Ne7guBxmJlvmPV2Cr260Ji6yBaKhQFF&#10;3ETXcWvh/e1wtwKVBNlhH5ksfFGC7WZ2s8bSxStXdKmlVRnCqUQLXmQotU6Np4BpEQfi7H3EMaBk&#10;ObbajXjN8NDrpTGPOmDHecHjQM+emnP9GSy0ZlkVlfHf/em4r1avtcjp7Ky9nU+7J1BCk/yH/9ov&#10;zsJ9YR7g901+AnrzAwAA//8DAFBLAQItABQABgAIAAAAIQDb4fbL7gAAAIUBAAATAAAAAAAAAAAA&#10;AAAAAAAAAABbQ29udGVudF9UeXBlc10ueG1sUEsBAi0AFAAGAAgAAAAhAFr0LFu/AAAAFQEAAAsA&#10;AAAAAAAAAAAAAAAAHwEAAF9yZWxzLy5yZWxzUEsBAi0AFAAGAAgAAAAhAP5ljhnEAAAA3QAAAA8A&#10;AAAAAAAAAAAAAAAABwIAAGRycy9kb3ducmV2LnhtbFBLBQYAAAAAAwADALcAAAD4AgAAAAA=&#10;" filled="f" stroked="f">
                  <v:textbox inset=".5mm,.3mm,.5mm,.3mm">
                    <w:txbxContent>
                      <w:p w14:paraId="6AE9F027" w14:textId="77777777" w:rsidR="00511D9B" w:rsidRPr="00D85F66" w:rsidRDefault="00511D9B" w:rsidP="00D85F66">
                        <w:pPr>
                          <w:spacing w:line="240" w:lineRule="auto"/>
                          <w:jc w:val="center"/>
                          <w:rPr>
                            <w:rFonts w:asciiTheme="minorHAnsi" w:hAnsiTheme="minorHAnsi" w:cstheme="minorHAnsi"/>
                            <w:sz w:val="22"/>
                            <w:szCs w:val="22"/>
                          </w:rPr>
                        </w:pPr>
                      </w:p>
                      <w:p w14:paraId="2BAEF737" w14:textId="77777777"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Vnímaní „rovnováhy“ ze strany občanů (spokojenost) </w:t>
                        </w:r>
                      </w:p>
                      <w:p w14:paraId="724EB3F2" w14:textId="77777777" w:rsidR="00511D9B" w:rsidRPr="00D85F66" w:rsidRDefault="00511D9B" w:rsidP="006B7DCE">
                        <w:pPr>
                          <w:spacing w:line="216"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občanů a daňových poplatníků </w:t>
                        </w:r>
                      </w:p>
                      <w:p w14:paraId="505A493E" w14:textId="77777777" w:rsidR="00511D9B" w:rsidRPr="00D85F66" w:rsidRDefault="00511D9B" w:rsidP="00D85F66">
                        <w:pPr>
                          <w:spacing w:line="240" w:lineRule="auto"/>
                          <w:jc w:val="center"/>
                          <w:rPr>
                            <w:rFonts w:asciiTheme="minorHAnsi" w:hAnsiTheme="minorHAnsi" w:cstheme="minorHAnsi"/>
                            <w:sz w:val="22"/>
                            <w:szCs w:val="22"/>
                          </w:rPr>
                        </w:pPr>
                        <w:r w:rsidRPr="00D85F66">
                          <w:rPr>
                            <w:rFonts w:asciiTheme="minorHAnsi" w:hAnsiTheme="minorHAnsi" w:cstheme="minorHAnsi"/>
                            <w:sz w:val="22"/>
                            <w:szCs w:val="22"/>
                          </w:rPr>
                          <w:t xml:space="preserve"> </w:t>
                        </w:r>
                      </w:p>
                      <w:p w14:paraId="32B8B2F4" w14:textId="77777777" w:rsidR="00511D9B" w:rsidRPr="00D85F66" w:rsidRDefault="00511D9B" w:rsidP="00D85F66">
                        <w:pPr>
                          <w:spacing w:line="240" w:lineRule="auto"/>
                          <w:jc w:val="center"/>
                          <w:rPr>
                            <w:rFonts w:asciiTheme="minorHAnsi" w:hAnsiTheme="minorHAnsi" w:cstheme="minorHAnsi"/>
                            <w:sz w:val="22"/>
                            <w:szCs w:val="22"/>
                          </w:rPr>
                        </w:pPr>
                      </w:p>
                    </w:txbxContent>
                  </v:textbox>
                </v:shape>
                <v:shape id="Text Box 9" o:spid="_x0000_s1332" type="#_x0000_t202" style="position:absolute;left:4930;top:6277;width:4998;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BuxAAAAN0AAAAPAAAAZHJzL2Rvd25yZXYueG1sRI/BasMw&#10;EETvhfyD2EBvjeRQQnCjhCbQ0B7t9pDjYm0tE2tlrG3i9OurQqHHYWbeMJvdFHp1oTF1kS0UCwOK&#10;uImu49bCx/vLwxpUEmSHfWSycKMEu+3sboOli1eu6FJLqzKEU4kWvMhQap0aTwHTIg7E2fuMY0DJ&#10;cmy1G/Ga4aHXS2NWOmDHecHjQAdPzbn+ChZas6yKyvjv/nTcV+u3WuR0dtbez6fnJ1BCk/yH/9qv&#10;zsJjYVbw+yY/Ab39AQAA//8DAFBLAQItABQABgAIAAAAIQDb4fbL7gAAAIUBAAATAAAAAAAAAAAA&#10;AAAAAAAAAABbQ29udGVudF9UeXBlc10ueG1sUEsBAi0AFAAGAAgAAAAhAFr0LFu/AAAAFQEAAAsA&#10;AAAAAAAAAAAAAAAAHwEAAF9yZWxzLy5yZWxzUEsBAi0AFAAGAAgAAAAhAA63EG7EAAAA3QAAAA8A&#10;AAAAAAAAAAAAAAAABwIAAGRycy9kb3ducmV2LnhtbFBLBQYAAAAAAwADALcAAAD4AgAAAAA=&#10;" filled="f" stroked="f">
                  <v:textbox inset=".5mm,.3mm,.5mm,.3mm">
                    <w:txbxContent>
                      <w:p w14:paraId="72B615E7" w14:textId="50A51B9C" w:rsidR="00511D9B" w:rsidRPr="00D06DB6" w:rsidRDefault="00511D9B" w:rsidP="00D85F66">
                        <w:pPr>
                          <w:spacing w:line="240" w:lineRule="auto"/>
                          <w:jc w:val="center"/>
                          <w:rPr>
                            <w:rFonts w:asciiTheme="minorHAnsi" w:hAnsiTheme="minorHAnsi" w:cstheme="minorHAnsi"/>
                            <w:i/>
                            <w:sz w:val="22"/>
                            <w:szCs w:val="22"/>
                          </w:rPr>
                        </w:pPr>
                        <w:r w:rsidRPr="00D06DB6">
                          <w:rPr>
                            <w:rFonts w:asciiTheme="minorHAnsi" w:hAnsiTheme="minorHAnsi" w:cstheme="minorHAnsi"/>
                            <w:i/>
                            <w:sz w:val="22"/>
                            <w:szCs w:val="22"/>
                          </w:rPr>
                          <w:t>Rovnováha mezi „dáváním – braním“ (spravedlnost)</w:t>
                        </w:r>
                        <w:r>
                          <w:rPr>
                            <w:rFonts w:asciiTheme="minorHAnsi" w:hAnsiTheme="minorHAnsi" w:cstheme="minorHAnsi"/>
                            <w:i/>
                            <w:sz w:val="22"/>
                            <w:szCs w:val="22"/>
                          </w:rPr>
                          <w:t>.</w:t>
                        </w:r>
                        <w:r w:rsidRPr="00D06DB6">
                          <w:rPr>
                            <w:rFonts w:asciiTheme="minorHAnsi" w:hAnsiTheme="minorHAnsi" w:cstheme="minorHAnsi"/>
                            <w:i/>
                            <w:sz w:val="22"/>
                            <w:szCs w:val="22"/>
                          </w:rPr>
                          <w:t xml:space="preserve"> </w:t>
                        </w:r>
                      </w:p>
                      <w:p w14:paraId="4E7321E6" w14:textId="77777777" w:rsidR="00511D9B" w:rsidRPr="00D06DB6" w:rsidRDefault="00511D9B" w:rsidP="00D85F66">
                        <w:pPr>
                          <w:spacing w:line="240" w:lineRule="auto"/>
                          <w:jc w:val="center"/>
                          <w:rPr>
                            <w:rFonts w:asciiTheme="minorHAnsi" w:hAnsiTheme="minorHAnsi" w:cstheme="minorHAnsi"/>
                            <w:i/>
                            <w:sz w:val="22"/>
                            <w:szCs w:val="22"/>
                          </w:rPr>
                        </w:pPr>
                        <w:r w:rsidRPr="00D06DB6">
                          <w:rPr>
                            <w:rFonts w:asciiTheme="minorHAnsi" w:hAnsiTheme="minorHAnsi" w:cstheme="minorHAnsi"/>
                            <w:i/>
                            <w:sz w:val="22"/>
                            <w:szCs w:val="22"/>
                          </w:rPr>
                          <w:t xml:space="preserve"> </w:t>
                        </w:r>
                      </w:p>
                      <w:p w14:paraId="31E84C72" w14:textId="77777777" w:rsidR="00511D9B" w:rsidRPr="00D06DB6" w:rsidRDefault="00511D9B" w:rsidP="00D85F66">
                        <w:pPr>
                          <w:spacing w:line="240" w:lineRule="auto"/>
                          <w:jc w:val="center"/>
                          <w:rPr>
                            <w:rFonts w:asciiTheme="minorHAnsi" w:hAnsiTheme="minorHAnsi" w:cstheme="minorHAnsi"/>
                            <w:i/>
                            <w:sz w:val="22"/>
                            <w:szCs w:val="22"/>
                          </w:rPr>
                        </w:pPr>
                      </w:p>
                    </w:txbxContent>
                  </v:textbox>
                </v:shape>
                <v:line id="Line 10" o:spid="_x0000_s1333" style="position:absolute;rotation:180;flip:y;visibility:visible;mso-wrap-style:square" from="5930,6492" to="5930,7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JofxwAAAN0AAAAPAAAAZHJzL2Rvd25yZXYueG1sRI9PawIx&#10;FMTvBb9DeEIvRbOrrcpqFLEU7EGK/w7eHpvn7urmJWxSXb99Uyj0OMzMb5jZojW1uFHjK8sK0n4C&#10;gji3uuJCwWH/0ZuA8AFZY22ZFDzIw2LeeZphpu2dt3TbhUJECPsMFZQhuExKn5dk0PetI47e2TYG&#10;Q5RNIXWD9wg3tRwkyUgarDgulOhoVVJ+3X0bBfTp05U7bvDIw/XL1+XdTd7OJ6Weu+1yCiJQG/7D&#10;f+21VvCaJmP4fROfgJz/AAAA//8DAFBLAQItABQABgAIAAAAIQDb4fbL7gAAAIUBAAATAAAAAAAA&#10;AAAAAAAAAAAAAABbQ29udGVudF9UeXBlc10ueG1sUEsBAi0AFAAGAAgAAAAhAFr0LFu/AAAAFQEA&#10;AAsAAAAAAAAAAAAAAAAAHwEAAF9yZWxzLy5yZWxzUEsBAi0AFAAGAAgAAAAhAG2kmh/HAAAA3QAA&#10;AA8AAAAAAAAAAAAAAAAABwIAAGRycy9kb3ducmV2LnhtbFBLBQYAAAAAAwADALcAAAD7AgAAAAA=&#10;" strokeweight="1.5pt">
                  <v:stroke endarrow="oval"/>
                </v:line>
                <v:line id="Line 11" o:spid="_x0000_s1334" style="position:absolute;flip:x y;visibility:visible;mso-wrap-style:square" from="5954,8411" to="7570,9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cCwwAAAN0AAAAPAAAAZHJzL2Rvd25yZXYueG1sRE9NawIx&#10;EL0X/A9hhN5qsmJVVqOIVBBaD2p7Hzbj7moy2W5SXfvrzaHQ4+N9z5eds+JKbag9a8gGCgRx4U3N&#10;pYbP4+ZlCiJEZIPWM2m4U4Dlovc0x9z4G+/peoilSCEcctRQxdjkUoaiIodh4BvixJ186zAm2JbS&#10;tHhL4c7KoVJj6bDm1FBhQ+uKisvhx2lwu7dmrSb33297tlv1mn18jd+nWj/3u9UMRKQu/ov/3Fuj&#10;YZSpNDe9SU9ALh4AAAD//wMAUEsBAi0AFAAGAAgAAAAhANvh9svuAAAAhQEAABMAAAAAAAAAAAAA&#10;AAAAAAAAAFtDb250ZW50X1R5cGVzXS54bWxQSwECLQAUAAYACAAAACEAWvQsW78AAAAVAQAACwAA&#10;AAAAAAAAAAAAAAAfAQAAX3JlbHMvLnJlbHNQSwECLQAUAAYACAAAACEA2acXAsMAAADdAAAADwAA&#10;AAAAAAAAAAAAAAAHAgAAZHJzL2Rvd25yZXYueG1sUEsFBgAAAAADAAMAtwAAAPcCAAAAAA==&#10;" strokeweight="1.5pt">
                  <v:stroke endarrow="oval"/>
                </v:line>
                <v:shape id="Text Box 12" o:spid="_x0000_s1335" type="#_x0000_t202" style="position:absolute;left:7570;top:9384;width:3734;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LxQAAAN0AAAAPAAAAZHJzL2Rvd25yZXYueG1sRI9BawIx&#10;FITvhf6H8AreamIRqVujSLFQEIrrevD43Dx3g5uXdZPq+u8boeBxmJlvmNmid424UBesZw2joQJB&#10;XHpjudKwK75e30GEiGyw8UwabhRgMX9+mmFm/JVzumxjJRKEQ4Ya6hjbTMpQ1uQwDH1LnLyj7xzG&#10;JLtKmg6vCe4a+abURDq0nBZqbOmzpvK0/XUalnvOV/b8c9jkx9wWxVTxenLSevDSLz9AROrjI/zf&#10;/jYaxiM1hfub9ATk/A8AAP//AwBQSwECLQAUAAYACAAAACEA2+H2y+4AAACFAQAAEwAAAAAAAAAA&#10;AAAAAAAAAAAAW0NvbnRlbnRfVHlwZXNdLnhtbFBLAQItABQABgAIAAAAIQBa9CxbvwAAABUBAAAL&#10;AAAAAAAAAAAAAAAAAB8BAABfcmVscy8ucmVsc1BLAQItABQABgAIAAAAIQDP/UCLxQAAAN0AAAAP&#10;AAAAAAAAAAAAAAAAAAcCAABkcnMvZG93bnJldi54bWxQSwUGAAAAAAMAAwC3AAAA+QIAAAAA&#10;" filled="f" stroked="f">
                  <v:textbox inset="0,0,0,0">
                    <w:txbxContent>
                      <w:p w14:paraId="3BAC418E" w14:textId="447E5796" w:rsidR="00511D9B" w:rsidRPr="00D06DB6" w:rsidRDefault="00511D9B" w:rsidP="006B7DCE">
                        <w:pPr>
                          <w:spacing w:line="216" w:lineRule="auto"/>
                          <w:rPr>
                            <w:i/>
                          </w:rPr>
                        </w:pPr>
                        <w:r w:rsidRPr="00D06DB6">
                          <w:rPr>
                            <w:rFonts w:asciiTheme="minorHAnsi" w:hAnsiTheme="minorHAnsi" w:cstheme="minorHAnsi"/>
                            <w:i/>
                            <w:sz w:val="22"/>
                            <w:szCs w:val="22"/>
                          </w:rPr>
                          <w:t xml:space="preserve">Je dosažena rovnováha mezi „dáváním – braním“, současně ji občané (a daňoví poplatníci) vnímají jako spravedlivou. Kritériem je soulad mezi individuálními preferencemi a veřejným zájmem. </w:t>
                        </w:r>
                      </w:p>
                    </w:txbxContent>
                  </v:textbox>
                </v:shape>
                <v:shape id="Text Box 13" o:spid="_x0000_s1336" type="#_x0000_t202" style="position:absolute;left:8621;top:6894;width:1687;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dEzwgAAAN0AAAAPAAAAZHJzL2Rvd25yZXYueG1sRE/Pa8Iw&#10;FL4P/B/CE7zNtLqJ65qKCGJvYyp4fTZvbVnzEppY6/765TDY8eP7nW9G04mBet9aVpDOExDEldUt&#10;1wrOp/3zGoQPyBo7y6TgQR42xeQpx0zbO3/ScAy1iCHsM1TQhOAyKX3VkEE/t444cl+2Nxgi7Gup&#10;e7zHcNPJRZKspMGWY0ODjnYNVd/Hm1FQXt/o9GEGdyiXdr1fje7nUr0qNZuO23cQgcbwL/5zl1rB&#10;S5rG/fFNfAKy+AUAAP//AwBQSwECLQAUAAYACAAAACEA2+H2y+4AAACFAQAAEwAAAAAAAAAAAAAA&#10;AAAAAAAAW0NvbnRlbnRfVHlwZXNdLnhtbFBLAQItABQABgAIAAAAIQBa9CxbvwAAABUBAAALAAAA&#10;AAAAAAAAAAAAAB8BAABfcmVscy8ucmVsc1BLAQItABQABgAIAAAAIQC1PdEzwgAAAN0AAAAPAAAA&#10;AAAAAAAAAAAAAAcCAABkcnMvZG93bnJldi54bWxQSwUGAAAAAAMAAwC3AAAA9gIAAAAA&#10;">
                  <v:textbox inset="1.5mm,,1.5mm">
                    <w:txbxContent>
                      <w:p w14:paraId="21511290" w14:textId="77777777" w:rsidR="00511D9B" w:rsidRPr="00D85F66" w:rsidRDefault="00511D9B" w:rsidP="006B7DCE">
                        <w:pPr>
                          <w:spacing w:line="216" w:lineRule="auto"/>
                          <w:rPr>
                            <w:rFonts w:asciiTheme="minorHAnsi" w:hAnsiTheme="minorHAnsi" w:cstheme="minorHAnsi"/>
                            <w:sz w:val="22"/>
                            <w:szCs w:val="22"/>
                          </w:rPr>
                        </w:pPr>
                        <w:r w:rsidRPr="00D85F66">
                          <w:rPr>
                            <w:rFonts w:asciiTheme="minorHAnsi" w:hAnsiTheme="minorHAnsi" w:cstheme="minorHAnsi"/>
                            <w:sz w:val="22"/>
                            <w:szCs w:val="22"/>
                          </w:rPr>
                          <w:t xml:space="preserve">Pozor na míru zadlužování </w:t>
                        </w:r>
                      </w:p>
                      <w:p w14:paraId="3E41E8F1" w14:textId="77777777" w:rsidR="00511D9B" w:rsidRPr="00D85F66" w:rsidRDefault="00511D9B" w:rsidP="00D85F66">
                        <w:pPr>
                          <w:spacing w:line="240" w:lineRule="auto"/>
                          <w:rPr>
                            <w:rFonts w:asciiTheme="minorHAnsi" w:hAnsiTheme="minorHAnsi" w:cstheme="minorHAnsi"/>
                            <w:sz w:val="22"/>
                            <w:szCs w:val="22"/>
                          </w:rPr>
                        </w:pPr>
                        <w:r w:rsidRPr="00D85F66">
                          <w:rPr>
                            <w:rFonts w:asciiTheme="minorHAnsi" w:hAnsiTheme="minorHAnsi" w:cstheme="minorHAnsi"/>
                            <w:sz w:val="22"/>
                            <w:szCs w:val="22"/>
                          </w:rPr>
                          <w:t xml:space="preserve"> </w:t>
                        </w:r>
                      </w:p>
                      <w:p w14:paraId="01923C19" w14:textId="77777777" w:rsidR="00511D9B" w:rsidRPr="00D85F66" w:rsidRDefault="00511D9B" w:rsidP="00D85F66">
                        <w:pPr>
                          <w:spacing w:line="240" w:lineRule="auto"/>
                          <w:rPr>
                            <w:rFonts w:asciiTheme="minorHAnsi" w:hAnsiTheme="minorHAnsi" w:cstheme="minorHAnsi"/>
                            <w:sz w:val="22"/>
                            <w:szCs w:val="22"/>
                          </w:rPr>
                        </w:pPr>
                      </w:p>
                    </w:txbxContent>
                  </v:textbox>
                </v:shape>
                <v:shape id="Text Box 14" o:spid="_x0000_s1337" type="#_x0000_t202" style="position:absolute;left:1820;top:6878;width:1487;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SoxQAAAN0AAAAPAAAAZHJzL2Rvd25yZXYueG1sRI9Pa8JA&#10;FMTvhX6H5RV6q5v0j2iajRRBzE2qBa/P7DMJzb5dsmuM/fSuIPQ4zMxvmHwxmk4M1PvWsoJ0koAg&#10;rqxuuVbws1u9zED4gKyxs0wKLuRhUTw+5Jhpe+ZvGrahFhHCPkMFTQguk9JXDRn0E+uIo3e0vcEQ&#10;ZV9L3eM5wk0nX5NkKg22HBcadLRsqPrdnoyC8jCn3cYMbl2+2dlqOrq/ffWh1PPT+PUJItAY/sP3&#10;dqkVvKdpCrc38QnI4goAAP//AwBQSwECLQAUAAYACAAAACEA2+H2y+4AAACFAQAAEwAAAAAAAAAA&#10;AAAAAAAAAAAAW0NvbnRlbnRfVHlwZXNdLnhtbFBLAQItABQABgAIAAAAIQBa9CxbvwAAABUBAAAL&#10;AAAAAAAAAAAAAAAAAB8BAABfcmVscy8ucmVsc1BLAQItABQABgAIAAAAIQDacXSoxQAAAN0AAAAP&#10;AAAAAAAAAAAAAAAAAAcCAABkcnMvZG93bnJldi54bWxQSwUGAAAAAAMAAwC3AAAA+QIAAAAA&#10;">
                  <v:textbox inset="1.5mm,,1.5mm">
                    <w:txbxContent>
                      <w:p w14:paraId="621836B0" w14:textId="77777777" w:rsidR="00511D9B" w:rsidRPr="00D85F66" w:rsidRDefault="00511D9B" w:rsidP="006B7DCE">
                        <w:pPr>
                          <w:spacing w:line="216" w:lineRule="auto"/>
                          <w:rPr>
                            <w:rFonts w:asciiTheme="minorHAnsi" w:hAnsiTheme="minorHAnsi" w:cstheme="minorHAnsi"/>
                            <w:sz w:val="22"/>
                            <w:szCs w:val="22"/>
                          </w:rPr>
                        </w:pPr>
                        <w:r w:rsidRPr="00D85F66">
                          <w:rPr>
                            <w:rFonts w:asciiTheme="minorHAnsi" w:hAnsiTheme="minorHAnsi" w:cstheme="minorHAnsi"/>
                            <w:sz w:val="22"/>
                            <w:szCs w:val="22"/>
                          </w:rPr>
                          <w:t xml:space="preserve">Pozor na externality </w:t>
                        </w:r>
                      </w:p>
                      <w:p w14:paraId="55F6F333" w14:textId="77777777" w:rsidR="00511D9B" w:rsidRPr="00D85F66" w:rsidRDefault="00511D9B" w:rsidP="00D85F66">
                        <w:pPr>
                          <w:spacing w:line="240" w:lineRule="auto"/>
                          <w:rPr>
                            <w:rFonts w:asciiTheme="minorHAnsi" w:hAnsiTheme="minorHAnsi" w:cstheme="minorHAnsi"/>
                            <w:sz w:val="22"/>
                            <w:szCs w:val="22"/>
                          </w:rPr>
                        </w:pPr>
                        <w:r w:rsidRPr="00D85F66">
                          <w:rPr>
                            <w:rFonts w:asciiTheme="minorHAnsi" w:hAnsiTheme="minorHAnsi" w:cstheme="minorHAnsi"/>
                            <w:sz w:val="22"/>
                            <w:szCs w:val="22"/>
                          </w:rPr>
                          <w:t xml:space="preserve"> </w:t>
                        </w:r>
                      </w:p>
                      <w:p w14:paraId="7DDCDB18" w14:textId="77777777" w:rsidR="00511D9B" w:rsidRPr="00D85F66" w:rsidRDefault="00511D9B" w:rsidP="00D85F66">
                        <w:pPr>
                          <w:spacing w:line="240" w:lineRule="auto"/>
                          <w:rPr>
                            <w:rFonts w:asciiTheme="minorHAnsi" w:hAnsiTheme="minorHAnsi" w:cstheme="minorHAnsi"/>
                            <w:sz w:val="22"/>
                            <w:szCs w:val="22"/>
                          </w:rPr>
                        </w:pPr>
                      </w:p>
                    </w:txbxContent>
                  </v:textbox>
                </v:shape>
              </v:group>
            </w:pict>
          </mc:Fallback>
        </mc:AlternateContent>
      </w:r>
      <w:r w:rsidRPr="00B24687">
        <w:rPr>
          <w:rFonts w:asciiTheme="minorHAnsi" w:hAnsiTheme="minorHAnsi" w:cstheme="minorHAnsi"/>
          <w:i/>
          <w:iCs/>
        </w:rPr>
        <w:t>Obr.</w:t>
      </w:r>
      <w:r w:rsidR="00EA14C5" w:rsidRPr="00B24687">
        <w:rPr>
          <w:rFonts w:asciiTheme="minorHAnsi" w:hAnsiTheme="minorHAnsi" w:cstheme="minorHAnsi"/>
          <w:i/>
          <w:iCs/>
        </w:rPr>
        <w:t xml:space="preserve"> </w:t>
      </w:r>
      <w:r w:rsidR="004F0E1D">
        <w:rPr>
          <w:rFonts w:asciiTheme="minorHAnsi" w:hAnsiTheme="minorHAnsi" w:cstheme="minorHAnsi"/>
          <w:i/>
          <w:iCs/>
        </w:rPr>
        <w:t>2</w:t>
      </w:r>
      <w:r w:rsidR="00257449">
        <w:rPr>
          <w:rFonts w:asciiTheme="minorHAnsi" w:hAnsiTheme="minorHAnsi" w:cstheme="minorHAnsi"/>
          <w:i/>
          <w:iCs/>
        </w:rPr>
        <w:t>3</w:t>
      </w:r>
      <w:r w:rsidRPr="00B24687">
        <w:rPr>
          <w:rFonts w:asciiTheme="minorHAnsi" w:hAnsiTheme="minorHAnsi" w:cstheme="minorHAnsi"/>
          <w:i/>
          <w:iCs/>
        </w:rPr>
        <w:t xml:space="preserve"> Podstata „zdravého“ finančního řízení z pohledu hodnoty za peníze </w:t>
      </w:r>
    </w:p>
    <w:p w14:paraId="169B613E" w14:textId="77777777" w:rsidR="00921496" w:rsidRDefault="00921496" w:rsidP="00921496">
      <w:pPr>
        <w:rPr>
          <w:b/>
        </w:rPr>
      </w:pPr>
    </w:p>
    <w:p w14:paraId="61EE3B72" w14:textId="77777777" w:rsidR="00921496" w:rsidRPr="008D484D" w:rsidRDefault="00921496" w:rsidP="00921496">
      <w:pPr>
        <w:rPr>
          <w:b/>
        </w:rPr>
      </w:pPr>
    </w:p>
    <w:p w14:paraId="0B6B7FE6" w14:textId="77777777" w:rsidR="00921496" w:rsidRPr="008D484D" w:rsidRDefault="00921496" w:rsidP="00921496">
      <w:pPr>
        <w:spacing w:after="120" w:line="288" w:lineRule="auto"/>
        <w:jc w:val="both"/>
      </w:pPr>
      <w:r w:rsidRPr="008D484D">
        <w:t xml:space="preserve"> </w:t>
      </w:r>
    </w:p>
    <w:p w14:paraId="36165B38" w14:textId="77777777" w:rsidR="00921496" w:rsidRPr="008D484D" w:rsidRDefault="00921496" w:rsidP="00921496">
      <w:pPr>
        <w:spacing w:after="120" w:line="288" w:lineRule="auto"/>
        <w:jc w:val="both"/>
      </w:pPr>
      <w:r w:rsidRPr="008D484D">
        <w:t xml:space="preserve"> </w:t>
      </w:r>
    </w:p>
    <w:p w14:paraId="12B643D2" w14:textId="77777777" w:rsidR="00921496" w:rsidRPr="008D484D" w:rsidRDefault="00921496" w:rsidP="00921496">
      <w:pPr>
        <w:spacing w:after="120" w:line="288" w:lineRule="auto"/>
        <w:jc w:val="both"/>
      </w:pPr>
      <w:r w:rsidRPr="008D484D">
        <w:t xml:space="preserve"> </w:t>
      </w:r>
    </w:p>
    <w:p w14:paraId="755485E9" w14:textId="77777777" w:rsidR="00921496" w:rsidRPr="008D484D" w:rsidRDefault="00921496" w:rsidP="00921496">
      <w:pPr>
        <w:spacing w:after="120" w:line="288" w:lineRule="auto"/>
        <w:jc w:val="both"/>
      </w:pPr>
      <w:r w:rsidRPr="008D484D">
        <w:t xml:space="preserve"> </w:t>
      </w:r>
    </w:p>
    <w:p w14:paraId="46A22571" w14:textId="77777777" w:rsidR="00921496" w:rsidRPr="008D484D" w:rsidRDefault="00921496" w:rsidP="00921496">
      <w:pPr>
        <w:spacing w:after="120" w:line="288" w:lineRule="auto"/>
        <w:jc w:val="both"/>
      </w:pPr>
      <w:r w:rsidRPr="008D484D">
        <w:t xml:space="preserve"> </w:t>
      </w:r>
    </w:p>
    <w:p w14:paraId="55834C2C" w14:textId="77777777" w:rsidR="00921496" w:rsidRPr="008D484D" w:rsidRDefault="00921496" w:rsidP="00921496">
      <w:pPr>
        <w:spacing w:after="120" w:line="288" w:lineRule="auto"/>
        <w:jc w:val="both"/>
      </w:pPr>
      <w:r w:rsidRPr="008D484D">
        <w:t xml:space="preserve"> </w:t>
      </w:r>
    </w:p>
    <w:p w14:paraId="290E11F2" w14:textId="77777777" w:rsidR="00921496" w:rsidRPr="008D484D" w:rsidRDefault="00921496" w:rsidP="00921496">
      <w:pPr>
        <w:spacing w:after="120" w:line="288" w:lineRule="auto"/>
        <w:jc w:val="both"/>
      </w:pPr>
      <w:r w:rsidRPr="008D484D">
        <w:t xml:space="preserve"> </w:t>
      </w:r>
    </w:p>
    <w:p w14:paraId="29BAA96C" w14:textId="77777777" w:rsidR="003A0F2C" w:rsidRDefault="003A0F2C" w:rsidP="003A0F2C">
      <w:pPr>
        <w:pStyle w:val="Zkladntext"/>
        <w:spacing w:after="0"/>
        <w:rPr>
          <w:rFonts w:asciiTheme="minorHAnsi" w:hAnsiTheme="minorHAnsi" w:cstheme="minorHAnsi"/>
          <w:szCs w:val="24"/>
        </w:rPr>
      </w:pPr>
    </w:p>
    <w:p w14:paraId="24CBC242" w14:textId="74856E68" w:rsidR="00921496" w:rsidRPr="006B5327" w:rsidRDefault="006B5327" w:rsidP="00A33A46">
      <w:pPr>
        <w:pStyle w:val="Zkladntext"/>
        <w:spacing w:after="120"/>
        <w:rPr>
          <w:rFonts w:asciiTheme="minorHAnsi" w:hAnsiTheme="minorHAnsi" w:cstheme="minorHAnsi"/>
          <w:i/>
          <w:iCs/>
          <w:szCs w:val="24"/>
          <w:lang w:val="cs-CZ"/>
        </w:rPr>
      </w:pPr>
      <w:r w:rsidRPr="006B5327">
        <w:rPr>
          <w:rFonts w:asciiTheme="minorHAnsi" w:hAnsiTheme="minorHAnsi" w:cstheme="minorHAnsi"/>
          <w:i/>
          <w:iCs/>
          <w:szCs w:val="24"/>
          <w:lang w:val="cs-CZ"/>
        </w:rPr>
        <w:t>Zdroj</w:t>
      </w:r>
      <w:r w:rsidR="00921496" w:rsidRPr="006B5327">
        <w:rPr>
          <w:rFonts w:asciiTheme="minorHAnsi" w:hAnsiTheme="minorHAnsi" w:cstheme="minorHAnsi"/>
          <w:i/>
          <w:iCs/>
          <w:szCs w:val="24"/>
        </w:rPr>
        <w:t xml:space="preserve">: </w:t>
      </w:r>
      <w:r w:rsidR="00D85F66" w:rsidRPr="006B5327">
        <w:rPr>
          <w:rFonts w:asciiTheme="minorHAnsi" w:hAnsiTheme="minorHAnsi" w:cstheme="minorHAnsi"/>
          <w:i/>
          <w:iCs/>
          <w:szCs w:val="24"/>
          <w:lang w:val="cs-CZ"/>
        </w:rPr>
        <w:t>Ochrana, Půček 2012</w:t>
      </w:r>
    </w:p>
    <w:p w14:paraId="1B877FE0" w14:textId="77777777" w:rsidR="005C6B03" w:rsidRDefault="005C6B03" w:rsidP="008A60AC">
      <w:pPr>
        <w:pStyle w:val="A1-text"/>
        <w:spacing w:after="120"/>
        <w:rPr>
          <w:rFonts w:asciiTheme="minorHAnsi" w:hAnsiTheme="minorHAnsi" w:cstheme="minorHAnsi"/>
        </w:rPr>
      </w:pPr>
      <w:r w:rsidRPr="00D85F66">
        <w:rPr>
          <w:rFonts w:asciiTheme="minorHAnsi" w:hAnsiTheme="minorHAnsi" w:cstheme="minorHAnsi"/>
        </w:rPr>
        <w:t xml:space="preserve">Zdravé finanční řízení sice připouští také zadlužování, je však nezbytné k němu přistupovat velmi obezřetně (jde o „braní“ na úkor budoucnosti). </w:t>
      </w:r>
      <w:r w:rsidRPr="003A0F2C">
        <w:rPr>
          <w:rFonts w:asciiTheme="minorHAnsi" w:hAnsiTheme="minorHAnsi" w:cstheme="minorHAnsi"/>
        </w:rPr>
        <w:t>Důležité</w:t>
      </w:r>
      <w:r>
        <w:rPr>
          <w:rFonts w:asciiTheme="minorHAnsi" w:hAnsiTheme="minorHAnsi" w:cstheme="minorHAnsi"/>
          <w:lang w:val="cs-CZ"/>
        </w:rPr>
        <w:t xml:space="preserve"> </w:t>
      </w:r>
      <w:r w:rsidRPr="003A0F2C">
        <w:rPr>
          <w:rFonts w:asciiTheme="minorHAnsi" w:hAnsiTheme="minorHAnsi" w:cstheme="minorHAnsi"/>
        </w:rPr>
        <w:t xml:space="preserve">je, aby stát (kraj, město) neprováděl správu, neposkytoval služby a nezajišťoval rozvoj trvale na dluh – na úkor budoucnosti. </w:t>
      </w:r>
      <w:r>
        <w:rPr>
          <w:rFonts w:asciiTheme="minorHAnsi" w:hAnsiTheme="minorHAnsi" w:cstheme="minorHAnsi"/>
          <w:lang w:val="cs-CZ"/>
        </w:rPr>
        <w:t xml:space="preserve">Jak je z obrázku patrné, </w:t>
      </w:r>
      <w:r w:rsidRPr="003A0F2C">
        <w:rPr>
          <w:rFonts w:asciiTheme="minorHAnsi" w:hAnsiTheme="minorHAnsi" w:cstheme="minorHAnsi"/>
        </w:rPr>
        <w:t xml:space="preserve">vztah je doplněn ještě o třetí faktor – vnímání této rovnováhy (spokojeností s rovnováhou) ze strany občanů a daňových poplatníků. </w:t>
      </w:r>
      <w:r>
        <w:rPr>
          <w:rFonts w:asciiTheme="minorHAnsi" w:hAnsiTheme="minorHAnsi" w:cstheme="minorHAnsi"/>
          <w:lang w:val="cs-CZ"/>
        </w:rPr>
        <w:t xml:space="preserve">Ideální </w:t>
      </w:r>
      <w:r w:rsidRPr="003A0F2C">
        <w:rPr>
          <w:rFonts w:asciiTheme="minorHAnsi" w:hAnsiTheme="minorHAnsi" w:cstheme="minorHAnsi"/>
        </w:rPr>
        <w:t xml:space="preserve">stav nastává, když jsou v rovnováze poskytované služby, zajišťovaná správa a rozvoj ze strany veřejného sektoru, zejména s daněmi (které odvádějí </w:t>
      </w:r>
      <w:r>
        <w:rPr>
          <w:rFonts w:asciiTheme="minorHAnsi" w:hAnsiTheme="minorHAnsi" w:cstheme="minorHAnsi"/>
          <w:lang w:val="cs-CZ"/>
        </w:rPr>
        <w:t xml:space="preserve">daňoví </w:t>
      </w:r>
      <w:r w:rsidRPr="003A0F2C">
        <w:rPr>
          <w:rFonts w:asciiTheme="minorHAnsi" w:hAnsiTheme="minorHAnsi" w:cstheme="minorHAnsi"/>
        </w:rPr>
        <w:t>poplatníci)</w:t>
      </w:r>
      <w:r>
        <w:rPr>
          <w:rFonts w:asciiTheme="minorHAnsi" w:hAnsiTheme="minorHAnsi" w:cstheme="minorHAnsi"/>
        </w:rPr>
        <w:t xml:space="preserve"> a s poplatky </w:t>
      </w:r>
      <w:r>
        <w:rPr>
          <w:rFonts w:asciiTheme="minorHAnsi" w:hAnsiTheme="minorHAnsi" w:cstheme="minorHAnsi"/>
          <w:lang w:val="cs-CZ"/>
        </w:rPr>
        <w:t>(</w:t>
      </w:r>
      <w:r w:rsidRPr="003A0F2C">
        <w:rPr>
          <w:rFonts w:asciiTheme="minorHAnsi" w:hAnsiTheme="minorHAnsi" w:cstheme="minorHAnsi"/>
        </w:rPr>
        <w:t>které občané za placené veřejné služby platí</w:t>
      </w:r>
      <w:r>
        <w:rPr>
          <w:rFonts w:asciiTheme="minorHAnsi" w:hAnsiTheme="minorHAnsi" w:cstheme="minorHAnsi"/>
          <w:lang w:val="cs-CZ"/>
        </w:rPr>
        <w:t>)</w:t>
      </w:r>
      <w:r w:rsidRPr="003A0F2C">
        <w:rPr>
          <w:rFonts w:asciiTheme="minorHAnsi" w:hAnsiTheme="minorHAnsi" w:cstheme="minorHAnsi"/>
        </w:rPr>
        <w:t>. Současně je rovnováha vnímána ze strany daňových poplatníků a občanů jako spravedlivá (nebo alespoň relativně spravedlivá). Neměli  bychom opomíjet problém externalit (</w:t>
      </w:r>
      <w:r>
        <w:rPr>
          <w:rFonts w:asciiTheme="minorHAnsi" w:hAnsiTheme="minorHAnsi" w:cstheme="minorHAnsi"/>
          <w:lang w:val="cs-CZ"/>
        </w:rPr>
        <w:t>například</w:t>
      </w:r>
      <w:r w:rsidRPr="003A0F2C">
        <w:rPr>
          <w:rFonts w:asciiTheme="minorHAnsi" w:hAnsiTheme="minorHAnsi" w:cstheme="minorHAnsi"/>
        </w:rPr>
        <w:t xml:space="preserve">  fenomén černého pasažéra) a současně sledovat míru zadlužení. </w:t>
      </w:r>
    </w:p>
    <w:p w14:paraId="19D7C23E" w14:textId="384182FA" w:rsidR="008A60AC" w:rsidRPr="00FA737D" w:rsidRDefault="008A60AC" w:rsidP="008A60AC">
      <w:pPr>
        <w:pStyle w:val="A1-text"/>
        <w:spacing w:after="120"/>
        <w:rPr>
          <w:rFonts w:asciiTheme="minorHAnsi" w:hAnsiTheme="minorHAnsi" w:cstheme="minorHAnsi"/>
          <w:sz w:val="28"/>
          <w:lang w:val="cs-CZ"/>
        </w:rPr>
      </w:pPr>
      <w:r w:rsidRPr="00FA737D">
        <w:rPr>
          <w:rFonts w:asciiTheme="minorHAnsi" w:hAnsiTheme="minorHAnsi" w:cstheme="minorHAnsi"/>
          <w:szCs w:val="20"/>
          <w:lang w:val="cs-CZ"/>
        </w:rPr>
        <w:t xml:space="preserve">(7) </w:t>
      </w:r>
      <w:r w:rsidRPr="00FA737D">
        <w:rPr>
          <w:rFonts w:asciiTheme="minorHAnsi" w:hAnsiTheme="minorHAnsi" w:cstheme="minorHAnsi"/>
          <w:b/>
          <w:szCs w:val="20"/>
          <w:lang w:val="cs-CZ"/>
        </w:rPr>
        <w:t>Usilovat o zvýšení místní a regionální soběstačnosti</w:t>
      </w:r>
      <w:r w:rsidRPr="00FA737D">
        <w:rPr>
          <w:rFonts w:asciiTheme="minorHAnsi" w:hAnsiTheme="minorHAnsi" w:cstheme="minorHAnsi"/>
          <w:szCs w:val="20"/>
          <w:lang w:val="cs-CZ"/>
        </w:rPr>
        <w:t>. Soběstačnost</w:t>
      </w:r>
      <w:r w:rsidRPr="00FA737D">
        <w:rPr>
          <w:rStyle w:val="Znakapoznpodarou"/>
          <w:rFonts w:asciiTheme="minorHAnsi" w:hAnsiTheme="minorHAnsi" w:cstheme="minorHAnsi"/>
          <w:szCs w:val="20"/>
          <w:lang w:val="cs-CZ"/>
        </w:rPr>
        <w:footnoteReference w:id="54"/>
      </w:r>
      <w:r w:rsidRPr="00FA737D">
        <w:rPr>
          <w:rFonts w:asciiTheme="minorHAnsi" w:hAnsiTheme="minorHAnsi" w:cstheme="minorHAnsi"/>
          <w:szCs w:val="20"/>
          <w:lang w:val="cs-CZ"/>
        </w:rPr>
        <w:t xml:space="preserve"> má více podob. V prvé řadě jde o zvyšování ekonomické soběstačnosti – čili usilovat o to, aby nedaňové příjmy obce (kraje) se zvyšovaly a tím se zvyšovala také soběstačnost. Tento princip je třeba přenést </w:t>
      </w:r>
      <w:r w:rsidRPr="00FA737D">
        <w:rPr>
          <w:rFonts w:asciiTheme="minorHAnsi" w:hAnsiTheme="minorHAnsi" w:cstheme="minorHAnsi"/>
          <w:szCs w:val="20"/>
          <w:lang w:val="cs-CZ"/>
        </w:rPr>
        <w:lastRenderedPageBreak/>
        <w:t xml:space="preserve">na všechny založené a zřízené organizace. Dalším aspektem soběstačnosti je energetická </w:t>
      </w:r>
      <w:r>
        <w:rPr>
          <w:rFonts w:asciiTheme="minorHAnsi" w:hAnsiTheme="minorHAnsi" w:cstheme="minorHAnsi"/>
          <w:szCs w:val="20"/>
          <w:lang w:val="cs-CZ"/>
        </w:rPr>
        <w:t>soběstačnost</w:t>
      </w:r>
      <w:r w:rsidRPr="004735D1">
        <w:rPr>
          <w:rFonts w:asciiTheme="minorHAnsi" w:hAnsiTheme="minorHAnsi" w:cstheme="minorHAnsi"/>
          <w:szCs w:val="20"/>
          <w:lang w:val="cs-CZ"/>
        </w:rPr>
        <w:t>. Když pomineme</w:t>
      </w:r>
      <w:r w:rsidRPr="00FA737D">
        <w:rPr>
          <w:rFonts w:asciiTheme="minorHAnsi" w:hAnsiTheme="minorHAnsi" w:cstheme="minorHAnsi"/>
          <w:szCs w:val="20"/>
          <w:lang w:val="cs-CZ"/>
        </w:rPr>
        <w:t xml:space="preserve"> odbornou diskusi, do jaké míry je energetická soběstačnost možná, </w:t>
      </w:r>
      <w:r>
        <w:rPr>
          <w:rFonts w:asciiTheme="minorHAnsi" w:hAnsiTheme="minorHAnsi" w:cstheme="minorHAnsi"/>
          <w:szCs w:val="20"/>
          <w:lang w:val="cs-CZ"/>
        </w:rPr>
        <w:t xml:space="preserve">tak se všichni odborníci </w:t>
      </w:r>
      <w:r w:rsidRPr="00FA737D">
        <w:rPr>
          <w:rFonts w:asciiTheme="minorHAnsi" w:hAnsiTheme="minorHAnsi" w:cstheme="minorHAnsi"/>
          <w:szCs w:val="20"/>
          <w:lang w:val="cs-CZ"/>
        </w:rPr>
        <w:t>shodují, že její zvyšování na úrovni regionů i obcí bude do budoucna významným cílem. Soběstačnost má také vazbu na odpovědné nakupování (podpora místních výrobků, potravin, služeb), podporu místní zaměstnanosti a využívání místních podmínek</w:t>
      </w:r>
      <w:r w:rsidR="00683E30">
        <w:rPr>
          <w:rFonts w:asciiTheme="minorHAnsi" w:hAnsiTheme="minorHAnsi" w:cstheme="minorHAnsi"/>
          <w:szCs w:val="20"/>
          <w:lang w:val="cs-CZ"/>
        </w:rPr>
        <w:t xml:space="preserve"> (Ochrana, Půček 2012)</w:t>
      </w:r>
      <w:r w:rsidRPr="00FA737D">
        <w:rPr>
          <w:rFonts w:asciiTheme="minorHAnsi" w:hAnsiTheme="minorHAnsi" w:cstheme="minorHAnsi"/>
          <w:szCs w:val="20"/>
          <w:lang w:val="cs-CZ"/>
        </w:rPr>
        <w:t>.</w:t>
      </w:r>
    </w:p>
    <w:p w14:paraId="05437322" w14:textId="77777777" w:rsidR="008A60AC" w:rsidRPr="00031D00" w:rsidRDefault="008A60AC" w:rsidP="008A60AC">
      <w:pPr>
        <w:pStyle w:val="A1-text"/>
        <w:spacing w:after="120"/>
        <w:rPr>
          <w:rFonts w:ascii="Calibri" w:hAnsi="Calibri"/>
          <w:b/>
          <w:lang w:val="cs-CZ"/>
        </w:rPr>
      </w:pPr>
      <w:r w:rsidRPr="00031D00">
        <w:rPr>
          <w:rFonts w:ascii="Calibri" w:hAnsi="Calibri"/>
          <w:b/>
          <w:lang w:val="cs-CZ"/>
        </w:rPr>
        <w:t>Zásady pro samosprávy shrnuje následující tabulka.</w:t>
      </w:r>
    </w:p>
    <w:p w14:paraId="07A49215" w14:textId="3D644BDD" w:rsidR="008A60AC" w:rsidRPr="003E790A" w:rsidRDefault="008A60AC" w:rsidP="008A60AC">
      <w:pPr>
        <w:pStyle w:val="A-pramen"/>
        <w:spacing w:after="0"/>
        <w:rPr>
          <w:rFonts w:asciiTheme="minorHAnsi" w:eastAsia="Calibri" w:hAnsiTheme="minorHAnsi" w:cstheme="minorHAnsi"/>
          <w:i/>
          <w:iCs/>
          <w:szCs w:val="24"/>
          <w:lang w:val="cs-CZ" w:eastAsia="cs-CZ"/>
        </w:rPr>
      </w:pPr>
      <w:r w:rsidRPr="003E790A">
        <w:rPr>
          <w:rFonts w:asciiTheme="minorHAnsi" w:eastAsia="Calibri" w:hAnsiTheme="minorHAnsi" w:cstheme="minorHAnsi"/>
          <w:i/>
          <w:iCs/>
          <w:szCs w:val="24"/>
          <w:lang w:val="cs-CZ" w:eastAsia="cs-CZ"/>
        </w:rPr>
        <w:t>Tab.</w:t>
      </w:r>
      <w:r w:rsidR="00B24687">
        <w:rPr>
          <w:rFonts w:asciiTheme="minorHAnsi" w:eastAsia="Calibri" w:hAnsiTheme="minorHAnsi" w:cstheme="minorHAnsi"/>
          <w:i/>
          <w:iCs/>
          <w:szCs w:val="24"/>
          <w:lang w:val="cs-CZ" w:eastAsia="cs-CZ"/>
        </w:rPr>
        <w:t xml:space="preserve"> </w:t>
      </w:r>
      <w:r w:rsidR="00C14739">
        <w:rPr>
          <w:rFonts w:asciiTheme="minorHAnsi" w:eastAsia="Calibri" w:hAnsiTheme="minorHAnsi" w:cstheme="minorHAnsi"/>
          <w:i/>
          <w:iCs/>
          <w:szCs w:val="24"/>
          <w:lang w:val="cs-CZ" w:eastAsia="cs-CZ"/>
        </w:rPr>
        <w:t>20</w:t>
      </w:r>
      <w:r w:rsidRPr="003E790A">
        <w:rPr>
          <w:rFonts w:asciiTheme="minorHAnsi" w:eastAsia="Calibri" w:hAnsiTheme="minorHAnsi" w:cstheme="minorHAnsi"/>
          <w:i/>
          <w:iCs/>
          <w:szCs w:val="24"/>
          <w:lang w:val="cs-CZ" w:eastAsia="cs-CZ"/>
        </w:rPr>
        <w:t xml:space="preserve"> Zásady zdravého finančního řízení samospráv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7051"/>
      </w:tblGrid>
      <w:tr w:rsidR="008A60AC" w:rsidRPr="00AD6033" w14:paraId="76FB1015" w14:textId="77777777" w:rsidTr="00874F70">
        <w:tc>
          <w:tcPr>
            <w:tcW w:w="392" w:type="dxa"/>
            <w:shd w:val="clear" w:color="auto" w:fill="EEECE1"/>
            <w:vAlign w:val="center"/>
          </w:tcPr>
          <w:p w14:paraId="4F84E1FB" w14:textId="77777777" w:rsidR="008A60AC" w:rsidRPr="00AD6033" w:rsidRDefault="008A60AC" w:rsidP="00874F70">
            <w:pPr>
              <w:spacing w:line="192" w:lineRule="auto"/>
              <w:ind w:left="-57" w:right="-57"/>
              <w:jc w:val="both"/>
              <w:rPr>
                <w:rFonts w:ascii="Calibri" w:hAnsi="Calibri"/>
                <w:sz w:val="22"/>
                <w:szCs w:val="20"/>
              </w:rPr>
            </w:pPr>
            <w:bookmarkStart w:id="66" w:name="_Toc431063868"/>
            <w:r w:rsidRPr="00AD6033">
              <w:rPr>
                <w:rFonts w:ascii="Calibri" w:hAnsi="Calibri"/>
                <w:sz w:val="22"/>
                <w:szCs w:val="20"/>
              </w:rPr>
              <w:t>Č.</w:t>
            </w:r>
            <w:bookmarkEnd w:id="66"/>
          </w:p>
        </w:tc>
        <w:tc>
          <w:tcPr>
            <w:tcW w:w="1843" w:type="dxa"/>
            <w:shd w:val="clear" w:color="auto" w:fill="EEECE1"/>
            <w:vAlign w:val="center"/>
          </w:tcPr>
          <w:p w14:paraId="37DE366C" w14:textId="77777777" w:rsidR="008A60AC" w:rsidRPr="00AD6033" w:rsidRDefault="008A60AC" w:rsidP="00874F70">
            <w:pPr>
              <w:spacing w:line="192" w:lineRule="auto"/>
              <w:ind w:left="-57" w:right="-57"/>
              <w:jc w:val="center"/>
              <w:rPr>
                <w:rFonts w:ascii="Calibri" w:hAnsi="Calibri"/>
                <w:b/>
                <w:sz w:val="22"/>
                <w:szCs w:val="20"/>
              </w:rPr>
            </w:pPr>
            <w:r w:rsidRPr="00AD6033">
              <w:rPr>
                <w:rFonts w:ascii="Calibri" w:hAnsi="Calibri"/>
                <w:b/>
                <w:sz w:val="22"/>
                <w:szCs w:val="20"/>
              </w:rPr>
              <w:t>Název</w:t>
            </w:r>
          </w:p>
        </w:tc>
        <w:tc>
          <w:tcPr>
            <w:tcW w:w="7051" w:type="dxa"/>
            <w:shd w:val="clear" w:color="auto" w:fill="EEECE1"/>
          </w:tcPr>
          <w:p w14:paraId="62DA97B6" w14:textId="77777777" w:rsidR="008A60AC" w:rsidRPr="00AD6033" w:rsidRDefault="008A60AC" w:rsidP="00874F70">
            <w:pPr>
              <w:spacing w:line="192" w:lineRule="auto"/>
              <w:ind w:left="-57" w:right="-57"/>
              <w:jc w:val="center"/>
              <w:rPr>
                <w:rFonts w:ascii="Calibri" w:hAnsi="Calibri"/>
                <w:b/>
                <w:sz w:val="22"/>
                <w:szCs w:val="20"/>
              </w:rPr>
            </w:pPr>
            <w:r w:rsidRPr="00AD6033">
              <w:rPr>
                <w:rFonts w:ascii="Calibri" w:hAnsi="Calibri"/>
                <w:b/>
                <w:sz w:val="22"/>
                <w:szCs w:val="20"/>
              </w:rPr>
              <w:t>Komentář</w:t>
            </w:r>
          </w:p>
        </w:tc>
      </w:tr>
      <w:tr w:rsidR="008A60AC" w:rsidRPr="00AD6033" w14:paraId="5C8101C6" w14:textId="77777777" w:rsidTr="00874F70">
        <w:tc>
          <w:tcPr>
            <w:tcW w:w="392" w:type="dxa"/>
            <w:shd w:val="clear" w:color="auto" w:fill="EEECE1"/>
            <w:vAlign w:val="center"/>
          </w:tcPr>
          <w:p w14:paraId="18A4F635" w14:textId="77777777" w:rsidR="008A60AC" w:rsidRPr="00AD6033" w:rsidRDefault="008A60AC" w:rsidP="00874F70">
            <w:pPr>
              <w:spacing w:line="192" w:lineRule="auto"/>
              <w:ind w:left="-57" w:right="-57"/>
              <w:jc w:val="both"/>
              <w:rPr>
                <w:rFonts w:ascii="Calibri" w:hAnsi="Calibri"/>
                <w:sz w:val="22"/>
                <w:szCs w:val="20"/>
              </w:rPr>
            </w:pPr>
            <w:bookmarkStart w:id="67" w:name="_Toc431063869"/>
            <w:r w:rsidRPr="00AD6033">
              <w:rPr>
                <w:rFonts w:ascii="Calibri" w:hAnsi="Calibri"/>
                <w:sz w:val="22"/>
                <w:szCs w:val="20"/>
              </w:rPr>
              <w:t>1</w:t>
            </w:r>
            <w:bookmarkEnd w:id="67"/>
          </w:p>
        </w:tc>
        <w:tc>
          <w:tcPr>
            <w:tcW w:w="1843" w:type="dxa"/>
            <w:shd w:val="clear" w:color="auto" w:fill="FFFFFF"/>
            <w:vAlign w:val="center"/>
          </w:tcPr>
          <w:p w14:paraId="0B861D68" w14:textId="77777777" w:rsidR="008A60AC" w:rsidRPr="00AD6033" w:rsidRDefault="008A60AC" w:rsidP="00874F70">
            <w:pPr>
              <w:spacing w:line="192" w:lineRule="auto"/>
              <w:ind w:left="-57" w:right="-57"/>
              <w:rPr>
                <w:rFonts w:ascii="Calibri" w:hAnsi="Calibri"/>
                <w:sz w:val="22"/>
                <w:szCs w:val="20"/>
              </w:rPr>
            </w:pPr>
            <w:r w:rsidRPr="00AD6033">
              <w:rPr>
                <w:rFonts w:ascii="Calibri" w:hAnsi="Calibri"/>
                <w:sz w:val="22"/>
                <w:szCs w:val="20"/>
              </w:rPr>
              <w:t>Zadlužování nesmí být na úkor budoucnosti</w:t>
            </w:r>
          </w:p>
        </w:tc>
        <w:tc>
          <w:tcPr>
            <w:tcW w:w="7051" w:type="dxa"/>
            <w:vAlign w:val="center"/>
          </w:tcPr>
          <w:p w14:paraId="3322E391"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Zajistit odpovědné financování – nežít na úkor budoucnosti. Obec či kraj by měly pracovat se schodkovým rozpočtem jen v nezbytných případech. Úvěr by měl být využíván zejména na investice (v ideálním případě návratné investice nebo ke kofinancování projektů financovaných ze zdrojů EU).</w:t>
            </w:r>
          </w:p>
        </w:tc>
      </w:tr>
      <w:tr w:rsidR="008A60AC" w:rsidRPr="00AD6033" w14:paraId="59129472" w14:textId="77777777" w:rsidTr="00874F70">
        <w:tc>
          <w:tcPr>
            <w:tcW w:w="392" w:type="dxa"/>
            <w:shd w:val="clear" w:color="auto" w:fill="EEECE1"/>
            <w:vAlign w:val="center"/>
          </w:tcPr>
          <w:p w14:paraId="5C2DE970" w14:textId="77777777" w:rsidR="008A60AC" w:rsidRPr="00AD6033" w:rsidRDefault="008A60AC" w:rsidP="00874F70">
            <w:pPr>
              <w:spacing w:line="192" w:lineRule="auto"/>
              <w:ind w:left="-57" w:right="-57"/>
              <w:jc w:val="both"/>
              <w:rPr>
                <w:rFonts w:ascii="Calibri" w:hAnsi="Calibri"/>
                <w:sz w:val="22"/>
                <w:szCs w:val="20"/>
              </w:rPr>
            </w:pPr>
            <w:bookmarkStart w:id="68" w:name="_Toc431063870"/>
            <w:r w:rsidRPr="00AD6033">
              <w:rPr>
                <w:rFonts w:ascii="Calibri" w:hAnsi="Calibri"/>
                <w:sz w:val="22"/>
                <w:szCs w:val="20"/>
              </w:rPr>
              <w:t>2</w:t>
            </w:r>
            <w:bookmarkEnd w:id="68"/>
          </w:p>
        </w:tc>
        <w:tc>
          <w:tcPr>
            <w:tcW w:w="1843" w:type="dxa"/>
            <w:shd w:val="clear" w:color="auto" w:fill="FFFFFF"/>
            <w:vAlign w:val="center"/>
          </w:tcPr>
          <w:p w14:paraId="686145BA" w14:textId="09E253E1" w:rsidR="008A60AC" w:rsidRPr="00AD6033" w:rsidRDefault="008A60AC" w:rsidP="00874F70">
            <w:pPr>
              <w:spacing w:line="192" w:lineRule="auto"/>
              <w:ind w:left="-57" w:right="-57"/>
              <w:rPr>
                <w:rFonts w:ascii="Calibri" w:hAnsi="Calibri"/>
                <w:sz w:val="22"/>
                <w:szCs w:val="20"/>
              </w:rPr>
            </w:pPr>
            <w:r w:rsidRPr="00AD6033">
              <w:rPr>
                <w:rFonts w:ascii="Calibri" w:hAnsi="Calibri"/>
                <w:sz w:val="22"/>
                <w:szCs w:val="20"/>
              </w:rPr>
              <w:t>Index provozních úspor minimálně 10</w:t>
            </w:r>
            <w:r w:rsidR="00D40AB7">
              <w:rPr>
                <w:rFonts w:ascii="Calibri" w:hAnsi="Calibri"/>
                <w:sz w:val="22"/>
                <w:szCs w:val="20"/>
              </w:rPr>
              <w:t xml:space="preserve"> </w:t>
            </w:r>
            <w:r w:rsidRPr="00AD6033">
              <w:rPr>
                <w:rFonts w:ascii="Calibri" w:hAnsi="Calibri"/>
                <w:sz w:val="22"/>
                <w:szCs w:val="20"/>
              </w:rPr>
              <w:t>%</w:t>
            </w:r>
          </w:p>
        </w:tc>
        <w:tc>
          <w:tcPr>
            <w:tcW w:w="7051" w:type="dxa"/>
            <w:vAlign w:val="center"/>
          </w:tcPr>
          <w:p w14:paraId="38CF7133" w14:textId="77777777" w:rsidR="0082042F" w:rsidRPr="00AD6033" w:rsidRDefault="0082042F" w:rsidP="00874F70">
            <w:pPr>
              <w:spacing w:line="192" w:lineRule="auto"/>
              <w:ind w:left="-57" w:right="-57"/>
              <w:jc w:val="both"/>
              <w:rPr>
                <w:rFonts w:ascii="Calibri" w:hAnsi="Calibri"/>
                <w:sz w:val="22"/>
                <w:szCs w:val="20"/>
              </w:rPr>
            </w:pPr>
            <w:r w:rsidRPr="00AD6033">
              <w:rPr>
                <w:rFonts w:ascii="Calibri" w:hAnsi="Calibri"/>
                <w:sz w:val="22"/>
                <w:szCs w:val="20"/>
              </w:rPr>
              <w:t>Index provozních úspor vyjadřuje, jak velký prostor je v rozpočtu na investice.</w:t>
            </w:r>
          </w:p>
          <w:p w14:paraId="76BCDAD1" w14:textId="741DDDB5"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Index se vypočítá jako podíl provozního přebytku (rozdíl běžných příjmů a běžných výdajů) a běžných příjmů. Výše tohoto ukazatele by neměla klesnout pod 10 %. Ideální hodnota se nachází v intervalu 20 – 25 %.</w:t>
            </w:r>
          </w:p>
          <w:p w14:paraId="4623737E" w14:textId="1BAFF8B4" w:rsidR="0082042F" w:rsidRPr="00AD6033" w:rsidRDefault="008A60AC" w:rsidP="0082042F">
            <w:pPr>
              <w:spacing w:line="192" w:lineRule="auto"/>
              <w:ind w:left="-57" w:right="-57"/>
              <w:jc w:val="both"/>
              <w:rPr>
                <w:rFonts w:ascii="Calibri" w:hAnsi="Calibri"/>
                <w:sz w:val="22"/>
                <w:szCs w:val="20"/>
              </w:rPr>
            </w:pPr>
            <w:r w:rsidRPr="00AD6033">
              <w:rPr>
                <w:rFonts w:ascii="Calibri" w:hAnsi="Calibri"/>
                <w:sz w:val="22"/>
                <w:szCs w:val="20"/>
              </w:rPr>
              <w:t>K tomu je nezbytné každodenně usilovat a jít příkladem v dosahování efektivních úspor a od</w:t>
            </w:r>
            <w:r w:rsidR="0082042F" w:rsidRPr="00AD6033">
              <w:rPr>
                <w:rFonts w:ascii="Calibri" w:hAnsi="Calibri"/>
                <w:sz w:val="22"/>
                <w:szCs w:val="20"/>
              </w:rPr>
              <w:t>straňování všech druhů plýtvání.</w:t>
            </w:r>
          </w:p>
        </w:tc>
      </w:tr>
      <w:tr w:rsidR="008A60AC" w:rsidRPr="00AD6033" w14:paraId="4EA655D8" w14:textId="77777777" w:rsidTr="00874F70">
        <w:tc>
          <w:tcPr>
            <w:tcW w:w="392" w:type="dxa"/>
            <w:shd w:val="clear" w:color="auto" w:fill="EEECE1"/>
            <w:vAlign w:val="center"/>
          </w:tcPr>
          <w:p w14:paraId="38D5B3EE" w14:textId="77777777" w:rsidR="008A60AC" w:rsidRPr="00AD6033" w:rsidRDefault="008A60AC" w:rsidP="00874F70">
            <w:pPr>
              <w:spacing w:line="192" w:lineRule="auto"/>
              <w:ind w:left="-57" w:right="-57"/>
              <w:jc w:val="both"/>
              <w:rPr>
                <w:rFonts w:ascii="Calibri" w:hAnsi="Calibri"/>
                <w:sz w:val="22"/>
                <w:szCs w:val="20"/>
              </w:rPr>
            </w:pPr>
            <w:bookmarkStart w:id="69" w:name="_Toc431063871"/>
            <w:r w:rsidRPr="00AD6033">
              <w:rPr>
                <w:rFonts w:ascii="Calibri" w:hAnsi="Calibri"/>
                <w:sz w:val="22"/>
                <w:szCs w:val="20"/>
              </w:rPr>
              <w:t>3</w:t>
            </w:r>
            <w:bookmarkEnd w:id="69"/>
          </w:p>
        </w:tc>
        <w:tc>
          <w:tcPr>
            <w:tcW w:w="1843" w:type="dxa"/>
            <w:shd w:val="clear" w:color="auto" w:fill="FFFFFF"/>
            <w:vAlign w:val="center"/>
          </w:tcPr>
          <w:p w14:paraId="7964751E" w14:textId="77777777" w:rsidR="008A60AC" w:rsidRPr="00AD6033" w:rsidRDefault="008A60AC" w:rsidP="00874F70">
            <w:pPr>
              <w:spacing w:line="192" w:lineRule="auto"/>
              <w:ind w:left="-57" w:right="-57"/>
              <w:rPr>
                <w:rFonts w:ascii="Calibri" w:hAnsi="Calibri"/>
                <w:sz w:val="22"/>
                <w:szCs w:val="20"/>
              </w:rPr>
            </w:pPr>
            <w:r w:rsidRPr="00AD6033">
              <w:rPr>
                <w:rFonts w:ascii="Calibri" w:hAnsi="Calibri"/>
                <w:sz w:val="22"/>
                <w:szCs w:val="20"/>
              </w:rPr>
              <w:t xml:space="preserve">Účelnost, efektivnost a hospodárnost jako součást systému řízení </w:t>
            </w:r>
          </w:p>
        </w:tc>
        <w:tc>
          <w:tcPr>
            <w:tcW w:w="7051" w:type="dxa"/>
            <w:vAlign w:val="center"/>
          </w:tcPr>
          <w:p w14:paraId="1DEE00ED"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Vytvořit systém řízení podporující účelnost, efektivnost a hospodárnost. Přitom formálně tento systém mají zavedené všechny instituce a organizace veřejného sektoru. V praxi je většina z nich částečně či plně nefunkční.</w:t>
            </w:r>
          </w:p>
        </w:tc>
      </w:tr>
      <w:tr w:rsidR="008A60AC" w:rsidRPr="00AD6033" w14:paraId="3017B3C9" w14:textId="77777777" w:rsidTr="00874F70">
        <w:tc>
          <w:tcPr>
            <w:tcW w:w="392" w:type="dxa"/>
            <w:shd w:val="clear" w:color="auto" w:fill="EEECE1"/>
            <w:vAlign w:val="center"/>
          </w:tcPr>
          <w:p w14:paraId="5E381FD3" w14:textId="77777777" w:rsidR="008A60AC" w:rsidRPr="00AD6033" w:rsidRDefault="008A60AC" w:rsidP="00874F70">
            <w:pPr>
              <w:spacing w:line="192" w:lineRule="auto"/>
              <w:ind w:left="-57" w:right="-57"/>
              <w:jc w:val="both"/>
              <w:rPr>
                <w:rFonts w:ascii="Calibri" w:hAnsi="Calibri"/>
                <w:sz w:val="22"/>
                <w:szCs w:val="20"/>
              </w:rPr>
            </w:pPr>
            <w:bookmarkStart w:id="70" w:name="_Toc431063872"/>
            <w:r w:rsidRPr="00AD6033">
              <w:rPr>
                <w:rFonts w:ascii="Calibri" w:hAnsi="Calibri"/>
                <w:sz w:val="22"/>
                <w:szCs w:val="20"/>
              </w:rPr>
              <w:t>4</w:t>
            </w:r>
            <w:bookmarkEnd w:id="70"/>
          </w:p>
        </w:tc>
        <w:tc>
          <w:tcPr>
            <w:tcW w:w="1843" w:type="dxa"/>
            <w:shd w:val="clear" w:color="auto" w:fill="FFFFFF"/>
            <w:vAlign w:val="center"/>
          </w:tcPr>
          <w:p w14:paraId="2A29D21F" w14:textId="77777777" w:rsidR="008A60AC" w:rsidRPr="00AD6033" w:rsidRDefault="008A60AC" w:rsidP="00874F70">
            <w:pPr>
              <w:spacing w:line="192" w:lineRule="auto"/>
              <w:ind w:left="-57" w:right="-57"/>
              <w:rPr>
                <w:rFonts w:ascii="Calibri" w:hAnsi="Calibri"/>
                <w:sz w:val="22"/>
                <w:szCs w:val="20"/>
              </w:rPr>
            </w:pPr>
            <w:r w:rsidRPr="00AD6033">
              <w:rPr>
                <w:rFonts w:ascii="Calibri" w:hAnsi="Calibri"/>
                <w:sz w:val="22"/>
                <w:szCs w:val="20"/>
              </w:rPr>
              <w:t>Minimalizace rizik bez omezení příležitostí</w:t>
            </w:r>
          </w:p>
        </w:tc>
        <w:tc>
          <w:tcPr>
            <w:tcW w:w="7051" w:type="dxa"/>
            <w:vAlign w:val="center"/>
          </w:tcPr>
          <w:p w14:paraId="216EBB64"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 xml:space="preserve">Usilovat o minimalizaci rizik tak, aby současně snaha o minimalizaci rizik nebyla v rozporu s využíváním příležitostí, partnerství a synergie. </w:t>
            </w:r>
          </w:p>
        </w:tc>
      </w:tr>
      <w:tr w:rsidR="008A60AC" w:rsidRPr="00AD6033" w14:paraId="352D6633" w14:textId="77777777" w:rsidTr="00874F70">
        <w:tc>
          <w:tcPr>
            <w:tcW w:w="392" w:type="dxa"/>
            <w:shd w:val="clear" w:color="auto" w:fill="EEECE1"/>
            <w:vAlign w:val="center"/>
          </w:tcPr>
          <w:p w14:paraId="1858F24D" w14:textId="77777777" w:rsidR="008A60AC" w:rsidRPr="00AD6033" w:rsidRDefault="008A60AC" w:rsidP="00874F70">
            <w:pPr>
              <w:spacing w:line="192" w:lineRule="auto"/>
              <w:ind w:left="-57" w:right="-57"/>
              <w:jc w:val="both"/>
              <w:rPr>
                <w:rFonts w:ascii="Calibri" w:hAnsi="Calibri"/>
                <w:sz w:val="22"/>
                <w:szCs w:val="20"/>
              </w:rPr>
            </w:pPr>
            <w:bookmarkStart w:id="71" w:name="_Toc431063873"/>
            <w:r w:rsidRPr="00AD6033">
              <w:rPr>
                <w:rFonts w:ascii="Calibri" w:hAnsi="Calibri"/>
                <w:sz w:val="22"/>
                <w:szCs w:val="20"/>
              </w:rPr>
              <w:t>5</w:t>
            </w:r>
            <w:bookmarkEnd w:id="71"/>
          </w:p>
        </w:tc>
        <w:tc>
          <w:tcPr>
            <w:tcW w:w="1843" w:type="dxa"/>
            <w:shd w:val="clear" w:color="auto" w:fill="FFFFFF"/>
            <w:vAlign w:val="center"/>
          </w:tcPr>
          <w:p w14:paraId="27542401" w14:textId="383681B7" w:rsidR="008A60AC" w:rsidRPr="00AD6033" w:rsidRDefault="008A60AC" w:rsidP="00874F70">
            <w:pPr>
              <w:spacing w:line="192" w:lineRule="auto"/>
              <w:ind w:left="-57" w:right="-57"/>
              <w:rPr>
                <w:rFonts w:ascii="Calibri" w:hAnsi="Calibri"/>
                <w:sz w:val="22"/>
                <w:szCs w:val="20"/>
              </w:rPr>
            </w:pPr>
            <w:r w:rsidRPr="00AD6033">
              <w:rPr>
                <w:rFonts w:ascii="Calibri" w:hAnsi="Calibri"/>
                <w:sz w:val="22"/>
                <w:szCs w:val="20"/>
              </w:rPr>
              <w:t xml:space="preserve">Rozpočet a </w:t>
            </w:r>
            <w:r w:rsidR="00D8433F">
              <w:rPr>
                <w:rFonts w:ascii="Calibri" w:hAnsi="Calibri"/>
                <w:sz w:val="22"/>
                <w:szCs w:val="20"/>
              </w:rPr>
              <w:t xml:space="preserve">strategie rozvoje </w:t>
            </w:r>
            <w:r w:rsidRPr="00AD6033">
              <w:rPr>
                <w:rFonts w:ascii="Calibri" w:hAnsi="Calibri"/>
                <w:sz w:val="22"/>
                <w:szCs w:val="20"/>
              </w:rPr>
              <w:t xml:space="preserve"> jsou propojeny</w:t>
            </w:r>
          </w:p>
        </w:tc>
        <w:tc>
          <w:tcPr>
            <w:tcW w:w="7051" w:type="dxa"/>
            <w:vAlign w:val="center"/>
          </w:tcPr>
          <w:p w14:paraId="61F5FE65" w14:textId="307A938F" w:rsidR="008A60AC" w:rsidRPr="00AD6033" w:rsidRDefault="008A60AC" w:rsidP="00497811">
            <w:pPr>
              <w:spacing w:line="192" w:lineRule="auto"/>
              <w:ind w:left="-57" w:right="-57"/>
              <w:jc w:val="both"/>
              <w:rPr>
                <w:rFonts w:ascii="Calibri" w:hAnsi="Calibri"/>
                <w:sz w:val="22"/>
                <w:szCs w:val="20"/>
                <w:highlight w:val="yellow"/>
              </w:rPr>
            </w:pPr>
            <w:r w:rsidRPr="00AD6033">
              <w:rPr>
                <w:rFonts w:ascii="Calibri" w:hAnsi="Calibri"/>
                <w:sz w:val="22"/>
                <w:szCs w:val="20"/>
              </w:rPr>
              <w:t xml:space="preserve">Zajistit propojení rozpočtu (rozpočtového výhledu) a </w:t>
            </w:r>
            <w:r w:rsidR="00D8433F">
              <w:rPr>
                <w:rFonts w:ascii="Calibri" w:hAnsi="Calibri"/>
                <w:sz w:val="22"/>
                <w:szCs w:val="20"/>
              </w:rPr>
              <w:t>strategie</w:t>
            </w:r>
            <w:r w:rsidRPr="00AD6033">
              <w:rPr>
                <w:rFonts w:ascii="Calibri" w:hAnsi="Calibri"/>
                <w:sz w:val="22"/>
                <w:szCs w:val="20"/>
              </w:rPr>
              <w:t>. Propojení je myšleno zejména tak, že pracují se stejnými daty a vznikají souběžně (například akční plán k</w:t>
            </w:r>
            <w:r w:rsidR="00497811">
              <w:rPr>
                <w:rFonts w:ascii="Calibri" w:hAnsi="Calibri"/>
                <w:sz w:val="22"/>
                <w:szCs w:val="20"/>
              </w:rPr>
              <w:t>e</w:t>
            </w:r>
            <w:r w:rsidRPr="00AD6033">
              <w:rPr>
                <w:rFonts w:ascii="Calibri" w:hAnsi="Calibri"/>
                <w:sz w:val="22"/>
                <w:szCs w:val="20"/>
              </w:rPr>
              <w:t> strategi</w:t>
            </w:r>
            <w:r w:rsidR="00497811">
              <w:rPr>
                <w:rFonts w:ascii="Calibri" w:hAnsi="Calibri"/>
                <w:sz w:val="22"/>
                <w:szCs w:val="20"/>
              </w:rPr>
              <w:t>i rozvoje obce</w:t>
            </w:r>
            <w:r w:rsidRPr="00AD6033">
              <w:rPr>
                <w:rFonts w:ascii="Calibri" w:hAnsi="Calibri"/>
                <w:sz w:val="22"/>
                <w:szCs w:val="20"/>
              </w:rPr>
              <w:t xml:space="preserve"> je zpracováván a schvalován souběžně s rozpočtem).</w:t>
            </w:r>
          </w:p>
        </w:tc>
      </w:tr>
      <w:tr w:rsidR="008A60AC" w:rsidRPr="00AD6033" w14:paraId="681CCB5E" w14:textId="77777777" w:rsidTr="00874F70">
        <w:tc>
          <w:tcPr>
            <w:tcW w:w="392" w:type="dxa"/>
            <w:shd w:val="clear" w:color="auto" w:fill="EEECE1"/>
            <w:vAlign w:val="center"/>
          </w:tcPr>
          <w:p w14:paraId="29B66F85" w14:textId="77777777" w:rsidR="008A60AC" w:rsidRPr="00AD6033" w:rsidRDefault="008A60AC" w:rsidP="00874F70">
            <w:pPr>
              <w:spacing w:line="192" w:lineRule="auto"/>
              <w:ind w:left="-57" w:right="-57"/>
              <w:jc w:val="both"/>
              <w:rPr>
                <w:rFonts w:ascii="Calibri" w:hAnsi="Calibri"/>
                <w:sz w:val="22"/>
                <w:szCs w:val="20"/>
              </w:rPr>
            </w:pPr>
            <w:bookmarkStart w:id="72" w:name="_Toc431063874"/>
            <w:r w:rsidRPr="00AD6033">
              <w:rPr>
                <w:rFonts w:ascii="Calibri" w:hAnsi="Calibri"/>
                <w:sz w:val="22"/>
                <w:szCs w:val="20"/>
              </w:rPr>
              <w:t>6</w:t>
            </w:r>
            <w:bookmarkEnd w:id="72"/>
          </w:p>
        </w:tc>
        <w:tc>
          <w:tcPr>
            <w:tcW w:w="1843" w:type="dxa"/>
            <w:shd w:val="clear" w:color="auto" w:fill="FFFFFF"/>
            <w:vAlign w:val="center"/>
          </w:tcPr>
          <w:p w14:paraId="56E1159C" w14:textId="69CF4409" w:rsidR="008A60AC" w:rsidRPr="00AD6033" w:rsidRDefault="0008581B" w:rsidP="00874F70">
            <w:pPr>
              <w:spacing w:line="192" w:lineRule="auto"/>
              <w:ind w:left="-57" w:right="-57"/>
              <w:rPr>
                <w:rFonts w:ascii="Calibri" w:hAnsi="Calibri"/>
                <w:sz w:val="22"/>
                <w:szCs w:val="20"/>
              </w:rPr>
            </w:pPr>
            <w:r w:rsidRPr="00AD6033">
              <w:rPr>
                <w:rFonts w:ascii="Calibri" w:hAnsi="Calibri"/>
                <w:sz w:val="22"/>
                <w:szCs w:val="20"/>
              </w:rPr>
              <w:t xml:space="preserve">Rovnováha mezi </w:t>
            </w:r>
            <w:r w:rsidR="008A60AC" w:rsidRPr="00AD6033">
              <w:rPr>
                <w:rFonts w:ascii="Calibri" w:hAnsi="Calibri"/>
                <w:sz w:val="22"/>
                <w:szCs w:val="20"/>
              </w:rPr>
              <w:t>rozsahem (a kvalitou) služeb a příjmy rozpočtu</w:t>
            </w:r>
          </w:p>
        </w:tc>
        <w:tc>
          <w:tcPr>
            <w:tcW w:w="7051" w:type="dxa"/>
            <w:vAlign w:val="center"/>
          </w:tcPr>
          <w:p w14:paraId="1406E8C7"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Pro obec (kraj) usilovat o rovnováhu mezi (a) tím, co obec (kraj) občanům a zákazníkům veřejných služeb poskytuje a mezi tím (b) co od občanů a daňových poplatníků dostává, (c) současně usilovat o to, aby tato rovnováha byla vnímána ze strany daňových poplatníků a občanů jako spravedlivá. Ve své podstatě jde o klasickou účetní zásadu „má dáti-dal“.</w:t>
            </w:r>
          </w:p>
        </w:tc>
      </w:tr>
      <w:tr w:rsidR="008A60AC" w:rsidRPr="00AD6033" w14:paraId="75A7A3B8" w14:textId="77777777" w:rsidTr="00874F70">
        <w:tc>
          <w:tcPr>
            <w:tcW w:w="392" w:type="dxa"/>
            <w:shd w:val="clear" w:color="auto" w:fill="EEECE1"/>
            <w:vAlign w:val="center"/>
          </w:tcPr>
          <w:p w14:paraId="33B2D461" w14:textId="77777777" w:rsidR="008A60AC" w:rsidRPr="00AD6033" w:rsidRDefault="008A60AC" w:rsidP="00874F70">
            <w:pPr>
              <w:spacing w:line="192" w:lineRule="auto"/>
              <w:ind w:left="-57" w:right="-57"/>
              <w:jc w:val="both"/>
              <w:rPr>
                <w:rFonts w:ascii="Calibri" w:hAnsi="Calibri"/>
                <w:sz w:val="22"/>
                <w:szCs w:val="20"/>
              </w:rPr>
            </w:pPr>
            <w:bookmarkStart w:id="73" w:name="_Toc431063875"/>
            <w:r w:rsidRPr="00AD6033">
              <w:rPr>
                <w:rFonts w:ascii="Calibri" w:hAnsi="Calibri"/>
                <w:sz w:val="22"/>
                <w:szCs w:val="20"/>
              </w:rPr>
              <w:t>7</w:t>
            </w:r>
            <w:bookmarkEnd w:id="73"/>
          </w:p>
        </w:tc>
        <w:tc>
          <w:tcPr>
            <w:tcW w:w="1843" w:type="dxa"/>
            <w:shd w:val="clear" w:color="auto" w:fill="FFFFFF"/>
            <w:vAlign w:val="center"/>
          </w:tcPr>
          <w:p w14:paraId="6E8A510C" w14:textId="77777777" w:rsidR="008A60AC" w:rsidRPr="00AD6033" w:rsidRDefault="008A60AC" w:rsidP="00874F70">
            <w:pPr>
              <w:spacing w:line="192" w:lineRule="auto"/>
              <w:ind w:left="-57" w:right="-57"/>
              <w:rPr>
                <w:rFonts w:ascii="Calibri" w:hAnsi="Calibri"/>
                <w:sz w:val="22"/>
                <w:szCs w:val="20"/>
              </w:rPr>
            </w:pPr>
            <w:r w:rsidRPr="00AD6033">
              <w:rPr>
                <w:rFonts w:ascii="Calibri" w:hAnsi="Calibri"/>
                <w:sz w:val="22"/>
                <w:szCs w:val="20"/>
              </w:rPr>
              <w:t>Usilovat o zvyšování místní a regionální soběstačnosti</w:t>
            </w:r>
          </w:p>
        </w:tc>
        <w:tc>
          <w:tcPr>
            <w:tcW w:w="7051" w:type="dxa"/>
            <w:vAlign w:val="center"/>
          </w:tcPr>
          <w:p w14:paraId="4B5421F5"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V prvé řadě jde o zvyšování ekonomické soběstačnosti – čili usilovat o to, aby nedaňové příjmy obce (kraje) se zvyšovaly; důležité je přenést tento princip na založené a zřízené organizace. Dalším aspektem soběstačnosti je energetická soběstačnost.</w:t>
            </w:r>
          </w:p>
        </w:tc>
      </w:tr>
    </w:tbl>
    <w:p w14:paraId="3B40C361" w14:textId="77777777" w:rsidR="008A60AC" w:rsidRDefault="008A60AC" w:rsidP="008A60AC">
      <w:pPr>
        <w:pStyle w:val="A-pramen"/>
        <w:spacing w:after="120"/>
        <w:rPr>
          <w:rFonts w:asciiTheme="minorHAnsi" w:eastAsia="Calibri" w:hAnsiTheme="minorHAnsi" w:cstheme="minorHAnsi"/>
          <w:i/>
          <w:iCs/>
          <w:szCs w:val="24"/>
          <w:lang w:val="cs-CZ" w:eastAsia="cs-CZ"/>
        </w:rPr>
      </w:pPr>
      <w:r w:rsidRPr="003E790A">
        <w:rPr>
          <w:rFonts w:asciiTheme="minorHAnsi" w:eastAsia="Calibri" w:hAnsiTheme="minorHAnsi" w:cstheme="minorHAnsi"/>
          <w:i/>
          <w:iCs/>
          <w:szCs w:val="24"/>
          <w:lang w:val="cs-CZ" w:eastAsia="cs-CZ"/>
        </w:rPr>
        <w:t>Zdroj: Ochrana, Půček, 2012</w:t>
      </w:r>
    </w:p>
    <w:p w14:paraId="3E942BB1" w14:textId="77777777" w:rsidR="008A60AC" w:rsidRPr="00423280" w:rsidRDefault="008A60AC" w:rsidP="008A60AC">
      <w:pPr>
        <w:pStyle w:val="A1-text"/>
        <w:spacing w:after="0"/>
        <w:rPr>
          <w:rFonts w:asciiTheme="minorHAnsi" w:hAnsiTheme="minorHAnsi" w:cstheme="minorHAnsi"/>
          <w:b/>
          <w:lang w:val="cs-CZ"/>
        </w:rPr>
      </w:pPr>
      <w:r w:rsidRPr="00423280">
        <w:rPr>
          <w:rFonts w:asciiTheme="minorHAnsi" w:hAnsiTheme="minorHAnsi" w:cstheme="minorHAnsi"/>
          <w:b/>
          <w:lang w:val="cs-CZ"/>
        </w:rPr>
        <w:t>Příklady chyb a problémů:</w:t>
      </w:r>
    </w:p>
    <w:p w14:paraId="555CFBC4" w14:textId="7BF41AB4" w:rsidR="008A60AC" w:rsidRPr="00423280" w:rsidRDefault="008A60AC" w:rsidP="0065698B">
      <w:pPr>
        <w:pStyle w:val="A1-text"/>
        <w:numPr>
          <w:ilvl w:val="0"/>
          <w:numId w:val="11"/>
        </w:numPr>
        <w:tabs>
          <w:tab w:val="clear" w:pos="284"/>
          <w:tab w:val="left" w:pos="426"/>
        </w:tabs>
        <w:spacing w:after="0"/>
        <w:ind w:left="425" w:hanging="357"/>
        <w:rPr>
          <w:rFonts w:asciiTheme="minorHAnsi" w:hAnsiTheme="minorHAnsi" w:cstheme="minorHAnsi"/>
          <w:lang w:val="cs-CZ"/>
        </w:rPr>
      </w:pPr>
      <w:r w:rsidRPr="00423280">
        <w:rPr>
          <w:rFonts w:asciiTheme="minorHAnsi" w:hAnsiTheme="minorHAnsi" w:cstheme="minorHAnsi"/>
          <w:lang w:val="cs-CZ"/>
        </w:rPr>
        <w:t xml:space="preserve">Neexistence </w:t>
      </w:r>
      <w:r>
        <w:rPr>
          <w:rFonts w:asciiTheme="minorHAnsi" w:hAnsiTheme="minorHAnsi" w:cstheme="minorHAnsi"/>
          <w:lang w:val="cs-CZ"/>
        </w:rPr>
        <w:t xml:space="preserve">systému </w:t>
      </w:r>
      <w:r w:rsidRPr="00423280">
        <w:rPr>
          <w:rFonts w:asciiTheme="minorHAnsi" w:hAnsiTheme="minorHAnsi" w:cstheme="minorHAnsi"/>
          <w:lang w:val="cs-CZ"/>
        </w:rPr>
        <w:t>hodnocení účelnosti, hospodárnosti, efektivnosti</w:t>
      </w:r>
      <w:r w:rsidR="00753D1D">
        <w:rPr>
          <w:rFonts w:asciiTheme="minorHAnsi" w:hAnsiTheme="minorHAnsi" w:cstheme="minorHAnsi"/>
          <w:lang w:val="cs-CZ"/>
        </w:rPr>
        <w:t>.</w:t>
      </w:r>
      <w:r w:rsidR="00031D00">
        <w:rPr>
          <w:rFonts w:asciiTheme="minorHAnsi" w:hAnsiTheme="minorHAnsi" w:cstheme="minorHAnsi"/>
          <w:lang w:val="cs-CZ"/>
        </w:rPr>
        <w:t xml:space="preserve"> </w:t>
      </w:r>
      <w:r w:rsidR="00497811">
        <w:rPr>
          <w:rFonts w:asciiTheme="minorHAnsi" w:hAnsiTheme="minorHAnsi" w:cstheme="minorHAnsi"/>
          <w:lang w:val="cs-CZ"/>
        </w:rPr>
        <w:t xml:space="preserve">Rozpočet je sestavován „zvykovým právem“ a ne na základě rozboru </w:t>
      </w:r>
      <w:r w:rsidR="004A517F">
        <w:rPr>
          <w:rFonts w:asciiTheme="minorHAnsi" w:hAnsiTheme="minorHAnsi" w:cstheme="minorHAnsi"/>
          <w:lang w:val="cs-CZ"/>
        </w:rPr>
        <w:t xml:space="preserve"> 3E při čerpání financí a skutečných potřeb.</w:t>
      </w:r>
    </w:p>
    <w:p w14:paraId="6B337F91" w14:textId="77777777" w:rsidR="008A60AC" w:rsidRPr="00423280" w:rsidRDefault="008A60AC" w:rsidP="0065698B">
      <w:pPr>
        <w:pStyle w:val="A1-text"/>
        <w:numPr>
          <w:ilvl w:val="0"/>
          <w:numId w:val="11"/>
        </w:numPr>
        <w:tabs>
          <w:tab w:val="clear" w:pos="284"/>
          <w:tab w:val="left" w:pos="426"/>
        </w:tabs>
        <w:spacing w:after="0"/>
        <w:ind w:left="425" w:hanging="357"/>
        <w:rPr>
          <w:rFonts w:asciiTheme="minorHAnsi" w:hAnsiTheme="minorHAnsi" w:cstheme="minorHAnsi"/>
          <w:lang w:val="cs-CZ"/>
        </w:rPr>
      </w:pPr>
      <w:r w:rsidRPr="00423280">
        <w:rPr>
          <w:rFonts w:asciiTheme="minorHAnsi" w:hAnsiTheme="minorHAnsi" w:cstheme="minorHAnsi"/>
          <w:lang w:val="cs-CZ"/>
        </w:rPr>
        <w:t>Neznalost zásad zdravého finančního řízení. Opačnou chybou je stav, kdy vše je řízeno jen finančním hlediskem (to však může být nezbytné u obcí ve finanční krizi).</w:t>
      </w:r>
    </w:p>
    <w:p w14:paraId="31B1D710" w14:textId="77777777" w:rsidR="008A60AC" w:rsidRPr="00423280" w:rsidRDefault="008A60AC" w:rsidP="0065698B">
      <w:pPr>
        <w:pStyle w:val="A1-text"/>
        <w:numPr>
          <w:ilvl w:val="0"/>
          <w:numId w:val="11"/>
        </w:numPr>
        <w:tabs>
          <w:tab w:val="clear" w:pos="284"/>
          <w:tab w:val="left" w:pos="426"/>
        </w:tabs>
        <w:spacing w:after="0"/>
        <w:ind w:left="425" w:hanging="357"/>
        <w:rPr>
          <w:rFonts w:asciiTheme="minorHAnsi" w:hAnsiTheme="minorHAnsi" w:cstheme="minorHAnsi"/>
          <w:lang w:val="cs-CZ"/>
        </w:rPr>
      </w:pPr>
      <w:r w:rsidRPr="00423280">
        <w:rPr>
          <w:rFonts w:asciiTheme="minorHAnsi" w:hAnsiTheme="minorHAnsi" w:cstheme="minorHAnsi"/>
          <w:lang w:val="cs-CZ"/>
        </w:rPr>
        <w:t xml:space="preserve">Nejsou stanovena pravidla pro zadlužování, úvěry se používají na </w:t>
      </w:r>
      <w:r>
        <w:rPr>
          <w:rFonts w:asciiTheme="minorHAnsi" w:hAnsiTheme="minorHAnsi" w:cstheme="minorHAnsi"/>
          <w:lang w:val="cs-CZ"/>
        </w:rPr>
        <w:t xml:space="preserve">neúčelné </w:t>
      </w:r>
      <w:r w:rsidRPr="00423280">
        <w:rPr>
          <w:rFonts w:asciiTheme="minorHAnsi" w:hAnsiTheme="minorHAnsi" w:cstheme="minorHAnsi"/>
          <w:lang w:val="cs-CZ"/>
        </w:rPr>
        <w:t>aktivit</w:t>
      </w:r>
      <w:r>
        <w:rPr>
          <w:rFonts w:asciiTheme="minorHAnsi" w:hAnsiTheme="minorHAnsi" w:cstheme="minorHAnsi"/>
          <w:lang w:val="cs-CZ"/>
        </w:rPr>
        <w:t>y</w:t>
      </w:r>
      <w:r w:rsidRPr="00423280">
        <w:rPr>
          <w:rFonts w:asciiTheme="minorHAnsi" w:hAnsiTheme="minorHAnsi" w:cstheme="minorHAnsi"/>
          <w:lang w:val="cs-CZ"/>
        </w:rPr>
        <w:t>.</w:t>
      </w:r>
    </w:p>
    <w:p w14:paraId="0E943E2F" w14:textId="2B37AEDE" w:rsidR="008A60AC" w:rsidRPr="00423280" w:rsidRDefault="008A60AC" w:rsidP="0065698B">
      <w:pPr>
        <w:pStyle w:val="A1-text"/>
        <w:numPr>
          <w:ilvl w:val="0"/>
          <w:numId w:val="11"/>
        </w:numPr>
        <w:tabs>
          <w:tab w:val="clear" w:pos="284"/>
          <w:tab w:val="left" w:pos="426"/>
        </w:tabs>
        <w:spacing w:after="0"/>
        <w:ind w:left="425" w:hanging="357"/>
        <w:rPr>
          <w:rFonts w:asciiTheme="minorHAnsi" w:hAnsiTheme="minorHAnsi" w:cstheme="minorHAnsi"/>
          <w:lang w:val="cs-CZ"/>
        </w:rPr>
      </w:pPr>
      <w:r w:rsidRPr="00423280">
        <w:rPr>
          <w:rFonts w:asciiTheme="minorHAnsi" w:hAnsiTheme="minorHAnsi" w:cstheme="minorHAnsi"/>
          <w:lang w:val="cs-CZ"/>
        </w:rPr>
        <w:lastRenderedPageBreak/>
        <w:t>Běžné výdaje jsou vyšší než běžné příjmy (velký problém), případně index provozních úspor není na úrovni alespoň 10</w:t>
      </w:r>
      <w:r w:rsidR="00C4437F">
        <w:rPr>
          <w:rFonts w:asciiTheme="minorHAnsi" w:hAnsiTheme="minorHAnsi" w:cstheme="minorHAnsi"/>
          <w:lang w:val="cs-CZ"/>
        </w:rPr>
        <w:t xml:space="preserve"> </w:t>
      </w:r>
      <w:r w:rsidRPr="00423280">
        <w:rPr>
          <w:rFonts w:asciiTheme="minorHAnsi" w:hAnsiTheme="minorHAnsi" w:cstheme="minorHAnsi"/>
          <w:lang w:val="cs-CZ"/>
        </w:rPr>
        <w:t>%.</w:t>
      </w:r>
    </w:p>
    <w:p w14:paraId="68223B7B" w14:textId="77777777" w:rsidR="008A60AC" w:rsidRPr="00423280" w:rsidRDefault="008A60AC" w:rsidP="0065698B">
      <w:pPr>
        <w:pStyle w:val="A1-text"/>
        <w:numPr>
          <w:ilvl w:val="0"/>
          <w:numId w:val="11"/>
        </w:numPr>
        <w:tabs>
          <w:tab w:val="clear" w:pos="284"/>
          <w:tab w:val="left" w:pos="426"/>
        </w:tabs>
        <w:spacing w:after="0"/>
        <w:ind w:left="425" w:hanging="357"/>
        <w:rPr>
          <w:rFonts w:asciiTheme="minorHAnsi" w:hAnsiTheme="minorHAnsi" w:cstheme="minorHAnsi"/>
          <w:lang w:val="cs-CZ"/>
        </w:rPr>
      </w:pPr>
      <w:r w:rsidRPr="00423280">
        <w:rPr>
          <w:rFonts w:asciiTheme="minorHAnsi" w:hAnsiTheme="minorHAnsi" w:cstheme="minorHAnsi"/>
          <w:lang w:val="cs-CZ"/>
        </w:rPr>
        <w:t>Za úspory jsou vydávány všechny „škrty“ investic, oprav atd. – pokud by připravovaná investice byla neúčelná, pak se jedná o úsporu; pokud však jde jen o přesunutí opravy do dalšího roku, jde spíše o přesun výdajů do dalších let.</w:t>
      </w:r>
    </w:p>
    <w:p w14:paraId="13DF2595" w14:textId="3791B173" w:rsidR="00916C5E" w:rsidRPr="00916C5E" w:rsidRDefault="008A60AC" w:rsidP="00916C5E">
      <w:pPr>
        <w:pStyle w:val="A1-text"/>
        <w:numPr>
          <w:ilvl w:val="0"/>
          <w:numId w:val="11"/>
        </w:numPr>
        <w:tabs>
          <w:tab w:val="clear" w:pos="284"/>
          <w:tab w:val="left" w:pos="426"/>
        </w:tabs>
        <w:ind w:left="425" w:hanging="357"/>
        <w:rPr>
          <w:rFonts w:asciiTheme="minorHAnsi" w:hAnsiTheme="minorHAnsi" w:cstheme="minorHAnsi"/>
          <w:b/>
          <w:lang w:val="cs-CZ"/>
        </w:rPr>
      </w:pPr>
      <w:r w:rsidRPr="00423280">
        <w:rPr>
          <w:rFonts w:asciiTheme="minorHAnsi" w:hAnsiTheme="minorHAnsi" w:cstheme="minorHAnsi"/>
          <w:lang w:val="cs-CZ"/>
        </w:rPr>
        <w:t xml:space="preserve">Rozpočtování a strategické plánování nejsou propojené </w:t>
      </w:r>
      <w:r w:rsidR="00916C5E">
        <w:rPr>
          <w:rFonts w:asciiTheme="minorHAnsi" w:hAnsiTheme="minorHAnsi" w:cstheme="minorHAnsi"/>
          <w:lang w:val="cs-CZ"/>
        </w:rPr>
        <w:t>činnosti</w:t>
      </w:r>
      <w:r w:rsidRPr="00423280">
        <w:rPr>
          <w:rFonts w:asciiTheme="minorHAnsi" w:hAnsiTheme="minorHAnsi" w:cstheme="minorHAnsi"/>
          <w:lang w:val="cs-CZ"/>
        </w:rPr>
        <w:t>.</w:t>
      </w:r>
      <w:r w:rsidR="004A517F">
        <w:rPr>
          <w:rFonts w:asciiTheme="minorHAnsi" w:hAnsiTheme="minorHAnsi" w:cstheme="minorHAnsi"/>
          <w:lang w:val="cs-CZ"/>
        </w:rPr>
        <w:t xml:space="preserve"> </w:t>
      </w:r>
      <w:r w:rsidR="00753D1D">
        <w:rPr>
          <w:rFonts w:asciiTheme="minorHAnsi" w:hAnsiTheme="minorHAnsi" w:cstheme="minorHAnsi"/>
          <w:lang w:val="cs-CZ"/>
        </w:rPr>
        <w:t>Rozpočet není provázán se strategií rozvoje obce a neřeší (až na havárie) ad hoc investice a rozsáhlejší opravy.</w:t>
      </w:r>
      <w:r w:rsidR="00916C5E">
        <w:rPr>
          <w:rFonts w:asciiTheme="minorHAnsi" w:hAnsiTheme="minorHAnsi" w:cstheme="minorHAnsi"/>
          <w:lang w:val="cs-CZ"/>
        </w:rPr>
        <w:t xml:space="preserve"> </w:t>
      </w:r>
      <w:r w:rsidR="00916C5E" w:rsidRPr="00916C5E">
        <w:rPr>
          <w:rFonts w:asciiTheme="minorHAnsi" w:hAnsiTheme="minorHAnsi" w:cstheme="minorHAnsi"/>
          <w:b/>
          <w:lang w:val="cs-CZ"/>
        </w:rPr>
        <w:t>Investiční plány obce, jako podklad pro tvorbu rozpočtu, nejsou sladěny s implementačními (akčními) plány strategie</w:t>
      </w:r>
      <w:r w:rsidR="00916C5E">
        <w:rPr>
          <w:rFonts w:asciiTheme="minorHAnsi" w:hAnsiTheme="minorHAnsi" w:cstheme="minorHAnsi"/>
          <w:b/>
          <w:lang w:val="cs-CZ"/>
        </w:rPr>
        <w:t>.</w:t>
      </w:r>
    </w:p>
    <w:p w14:paraId="4E390B67" w14:textId="77777777" w:rsidR="00916C5E" w:rsidRDefault="00916C5E" w:rsidP="00686930">
      <w:pPr>
        <w:pStyle w:val="A1-text"/>
        <w:tabs>
          <w:tab w:val="clear" w:pos="284"/>
          <w:tab w:val="left" w:pos="426"/>
        </w:tabs>
        <w:ind w:left="425"/>
        <w:rPr>
          <w:rFonts w:asciiTheme="minorHAnsi" w:hAnsiTheme="minorHAnsi" w:cstheme="minorHAnsi"/>
          <w:lang w:val="cs-CZ"/>
        </w:rPr>
      </w:pPr>
    </w:p>
    <w:p w14:paraId="318BD1D2" w14:textId="77777777" w:rsidR="008A60AC" w:rsidRPr="00DF1A3A" w:rsidRDefault="008A60AC" w:rsidP="00DF1A3A">
      <w:pPr>
        <w:pStyle w:val="Nadpis2"/>
        <w:spacing w:before="240" w:after="120"/>
        <w:ind w:left="578" w:hanging="578"/>
        <w:rPr>
          <w:rFonts w:asciiTheme="minorHAnsi" w:hAnsiTheme="minorHAnsi" w:cstheme="minorHAnsi"/>
          <w:color w:val="7493B0"/>
          <w:sz w:val="24"/>
          <w:szCs w:val="24"/>
          <w:lang w:val="cs-CZ"/>
        </w:rPr>
      </w:pPr>
      <w:bookmarkStart w:id="74" w:name="_Toc75781789"/>
      <w:bookmarkStart w:id="75" w:name="_Toc78206011"/>
      <w:bookmarkStart w:id="76" w:name="_Toc117270016"/>
      <w:r w:rsidRPr="00DF1A3A">
        <w:rPr>
          <w:rFonts w:asciiTheme="minorHAnsi" w:hAnsiTheme="minorHAnsi" w:cstheme="minorHAnsi"/>
          <w:color w:val="7493B0"/>
          <w:sz w:val="24"/>
          <w:szCs w:val="24"/>
          <w:lang w:val="cs-CZ"/>
        </w:rPr>
        <w:t>Alternativně: Zásady zdravého finančního řízení – obecně veřejný sektor</w:t>
      </w:r>
      <w:bookmarkEnd w:id="74"/>
      <w:bookmarkEnd w:id="75"/>
      <w:bookmarkEnd w:id="76"/>
    </w:p>
    <w:p w14:paraId="1BED57DD" w14:textId="582659B4" w:rsidR="008A60AC" w:rsidRPr="00297E2D" w:rsidRDefault="008A60AC" w:rsidP="00AF05EF">
      <w:pPr>
        <w:ind w:right="-57"/>
        <w:jc w:val="both"/>
        <w:rPr>
          <w:rFonts w:asciiTheme="minorHAnsi" w:hAnsiTheme="minorHAnsi" w:cstheme="minorHAnsi"/>
        </w:rPr>
      </w:pPr>
      <w:r w:rsidRPr="00297E2D">
        <w:rPr>
          <w:rFonts w:asciiTheme="minorHAnsi" w:hAnsiTheme="minorHAnsi" w:cstheme="minorHAnsi"/>
          <w:lang w:eastAsia="x-none"/>
        </w:rPr>
        <w:t xml:space="preserve">Pojem „zdravé (udržitelné) finanční řízení“ ve veřejném sektoru je vymezen </w:t>
      </w:r>
      <w:r w:rsidRPr="00297E2D">
        <w:rPr>
          <w:rFonts w:asciiTheme="minorHAnsi" w:hAnsiTheme="minorHAnsi" w:cstheme="minorHAnsi"/>
        </w:rPr>
        <w:t xml:space="preserve">taxativně. Jsou vyjmenovány zásady, které patří do obsahu pojmu „zdravé finanční řízení“.  </w:t>
      </w:r>
      <w:r w:rsidR="00DC43C1">
        <w:rPr>
          <w:rFonts w:asciiTheme="minorHAnsi" w:hAnsiTheme="minorHAnsi" w:cstheme="minorHAnsi"/>
        </w:rPr>
        <w:t>P</w:t>
      </w:r>
      <w:r w:rsidRPr="00297E2D">
        <w:rPr>
          <w:rFonts w:asciiTheme="minorHAnsi" w:hAnsiTheme="minorHAnsi" w:cstheme="minorHAnsi"/>
        </w:rPr>
        <w:t xml:space="preserve">okud jsou tyto zásady naplňovány, pak lze hovořit o zdravém finančním řízení. K těmto zásadám zdravého finančního řízení ve veřejné správě patří: </w:t>
      </w:r>
    </w:p>
    <w:p w14:paraId="7B507753" w14:textId="77777777" w:rsidR="008A60AC" w:rsidRPr="00297E2D" w:rsidRDefault="008A60AC" w:rsidP="0065698B">
      <w:pPr>
        <w:pStyle w:val="Odstavecseseznamem"/>
        <w:numPr>
          <w:ilvl w:val="0"/>
          <w:numId w:val="13"/>
        </w:numPr>
        <w:ind w:right="-57"/>
        <w:contextualSpacing/>
        <w:jc w:val="both"/>
        <w:rPr>
          <w:rFonts w:asciiTheme="minorHAnsi" w:hAnsiTheme="minorHAnsi" w:cstheme="minorHAnsi"/>
          <w:b/>
        </w:rPr>
      </w:pPr>
      <w:r w:rsidRPr="00297E2D">
        <w:rPr>
          <w:rFonts w:asciiTheme="minorHAnsi" w:hAnsiTheme="minorHAnsi" w:cstheme="minorHAnsi"/>
          <w:b/>
        </w:rPr>
        <w:t>Zadlužování nesmí být na úkor budoucnosti (vyvažování toho, co je oprávněné získat pomocí dluhu)</w:t>
      </w:r>
    </w:p>
    <w:p w14:paraId="58FE9447"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Otázky k zásadě:</w:t>
      </w:r>
    </w:p>
    <w:p w14:paraId="398B3BA3"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Žijeme na dluh?</w:t>
      </w:r>
    </w:p>
    <w:p w14:paraId="2D7BBFDF"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Používá se zadlužování na investice (dle typu investice obvykle přijatelné) nebo na provozní výdaje (obvykle nepřijatelné)? Je to zdůvodnitelné?</w:t>
      </w:r>
    </w:p>
    <w:p w14:paraId="7F7C97D0"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Jsou k tomu vymezená pravidla a dodržují se?</w:t>
      </w:r>
    </w:p>
    <w:p w14:paraId="69D9038A"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 xml:space="preserve">Komentář: </w:t>
      </w:r>
    </w:p>
    <w:p w14:paraId="4569C470" w14:textId="123C377E"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Nejde o to zadlužování zakázat, ale správně nastavit, kdy je to účelné</w:t>
      </w:r>
      <w:r w:rsidR="00C4437F">
        <w:rPr>
          <w:rFonts w:asciiTheme="minorHAnsi" w:hAnsiTheme="minorHAnsi" w:cstheme="minorHAnsi"/>
        </w:rPr>
        <w:t>,</w:t>
      </w:r>
      <w:r w:rsidRPr="00297E2D">
        <w:rPr>
          <w:rFonts w:asciiTheme="minorHAnsi" w:hAnsiTheme="minorHAnsi" w:cstheme="minorHAnsi"/>
        </w:rPr>
        <w:t xml:space="preserve"> respektive odůvodnitelné. Pro některé instituce ve veřejné správě (např. pro příspěvkové organizace) je tato zásada nepoužitelná – nemohou se totiž zadlužovat (stát a samosprávy však ano).</w:t>
      </w:r>
    </w:p>
    <w:p w14:paraId="05A1C778" w14:textId="77777777" w:rsidR="008A60AC" w:rsidRPr="00297E2D" w:rsidRDefault="008A60AC" w:rsidP="0065698B">
      <w:pPr>
        <w:pStyle w:val="Odstavecseseznamem"/>
        <w:numPr>
          <w:ilvl w:val="0"/>
          <w:numId w:val="13"/>
        </w:numPr>
        <w:ind w:right="-57"/>
        <w:contextualSpacing/>
        <w:rPr>
          <w:rFonts w:asciiTheme="minorHAnsi" w:hAnsiTheme="minorHAnsi" w:cstheme="minorHAnsi"/>
          <w:b/>
        </w:rPr>
      </w:pPr>
      <w:r w:rsidRPr="00297E2D">
        <w:rPr>
          <w:rFonts w:asciiTheme="minorHAnsi" w:hAnsiTheme="minorHAnsi" w:cstheme="minorHAnsi"/>
          <w:b/>
        </w:rPr>
        <w:t>Vztah k investicím a majetku – chovat se jako řádní hospodáři</w:t>
      </w:r>
    </w:p>
    <w:p w14:paraId="2A6E04B6"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Otázky k zásadě:</w:t>
      </w:r>
    </w:p>
    <w:p w14:paraId="59B783D8"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Jaký je poměr mezi provozními a investičními (včetně oprav a údržby) prostředky? Je tento poměr správně vyvážen?</w:t>
      </w:r>
    </w:p>
    <w:p w14:paraId="7049EB7A"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lastRenderedPageBreak/>
        <w:t>Spravujeme svěřený majetek jako řádní hospodáři? Jsme „vnitřně“ zadlužení z hlediska majetku a investic? Tedy máme zanedbanou údržbu a opravy majetku či nedostatečné investice? Chováme se ke svěřenému majetku tak, že se za něj nemusíme stydět? Rozvíjíme jej či udržujme je dle „smyslu pro krásu“ (harmonii)?</w:t>
      </w:r>
    </w:p>
    <w:p w14:paraId="5EDBAABE" w14:textId="4AB89DE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Jsme si vědomi, která část svěřeného majetku je strategická, tedy naprosto nezbytná pro vykonávání naší činnosti nebo potřebná pro společnost? Věnuj</w:t>
      </w:r>
      <w:r w:rsidR="00D40AB7">
        <w:rPr>
          <w:rFonts w:asciiTheme="minorHAnsi" w:hAnsiTheme="minorHAnsi" w:cstheme="minorHAnsi"/>
        </w:rPr>
        <w:t>e</w:t>
      </w:r>
      <w:r w:rsidRPr="00297E2D">
        <w:rPr>
          <w:rFonts w:asciiTheme="minorHAnsi" w:hAnsiTheme="minorHAnsi" w:cstheme="minorHAnsi"/>
        </w:rPr>
        <w:t>me ochraně a správě tohoto majetku dostatečnou pozornost?</w:t>
      </w:r>
    </w:p>
    <w:p w14:paraId="2C322BF1"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 xml:space="preserve">Komentář: </w:t>
      </w:r>
    </w:p>
    <w:p w14:paraId="1BCC8C21"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Prakticky každá instituce ve veřejné správě má majetek nebo jej má ve správě. K majetku i k investicím do majetku je nutné se chovat jako řádný hospodář – provádět údržbu, opravy, dle potřeby též modernizaci.</w:t>
      </w:r>
    </w:p>
    <w:p w14:paraId="11287DB9" w14:textId="77777777" w:rsidR="008A60AC" w:rsidRPr="00297E2D" w:rsidRDefault="008A60AC" w:rsidP="0065698B">
      <w:pPr>
        <w:pStyle w:val="Odstavecseseznamem"/>
        <w:numPr>
          <w:ilvl w:val="0"/>
          <w:numId w:val="13"/>
        </w:numPr>
        <w:ind w:right="-57"/>
        <w:contextualSpacing/>
        <w:jc w:val="both"/>
        <w:rPr>
          <w:rFonts w:asciiTheme="minorHAnsi" w:hAnsiTheme="minorHAnsi" w:cstheme="minorHAnsi"/>
          <w:b/>
        </w:rPr>
      </w:pPr>
      <w:r w:rsidRPr="00297E2D">
        <w:rPr>
          <w:rFonts w:asciiTheme="minorHAnsi" w:hAnsiTheme="minorHAnsi" w:cstheme="minorHAnsi"/>
          <w:b/>
        </w:rPr>
        <w:t xml:space="preserve">Neplýtvat veřejnými prostředky: účelnost, efektivnost a hospodárnost jako součást systému řízení </w:t>
      </w:r>
    </w:p>
    <w:p w14:paraId="596BCA5E" w14:textId="77777777" w:rsidR="008A60AC" w:rsidRPr="00297E2D" w:rsidRDefault="008A60AC" w:rsidP="00B90AB4">
      <w:pPr>
        <w:pStyle w:val="Odstavecseseznamem"/>
        <w:ind w:left="303" w:right="-57"/>
        <w:jc w:val="both"/>
        <w:rPr>
          <w:rFonts w:asciiTheme="minorHAnsi" w:hAnsiTheme="minorHAnsi" w:cstheme="minorHAnsi"/>
        </w:rPr>
      </w:pPr>
      <w:r w:rsidRPr="00297E2D">
        <w:rPr>
          <w:rFonts w:asciiTheme="minorHAnsi" w:hAnsiTheme="minorHAnsi" w:cstheme="minorHAnsi"/>
        </w:rPr>
        <w:t>Otázky k zásadě:</w:t>
      </w:r>
    </w:p>
    <w:p w14:paraId="173F5FC7"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Je vytvořen systém finanční kontroly včetně prověřování 3E (hospodárnosti, efektivnosti, účelnosti)? Neplýtvá se s veřejnými prostředky (výdaji, příjmy, majetkem či jinými právy)?</w:t>
      </w:r>
    </w:p>
    <w:p w14:paraId="754A10C8"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Chápou (vedoucí) zaměstnanci, co je plýtvání a jak mu čelit?</w:t>
      </w:r>
    </w:p>
    <w:p w14:paraId="3572D167"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Je každý zaměstnanec, který ve své instituci poukáže na plýtvání (= nehospodárné, neefektivní nebo neúčelné chování) odměněn nebo je potrestán, jak se v některých institucích děje?</w:t>
      </w:r>
    </w:p>
    <w:p w14:paraId="10D822EE"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 xml:space="preserve">Komentář: </w:t>
      </w:r>
    </w:p>
    <w:p w14:paraId="4EC0B504" w14:textId="2E329E18"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Je nutné vytvořit systém řízení (vnitřní kontrolní systém) podporující účelnost, efektivnost a hospodárnost. Přitom formálně tento systém mají zaveden</w:t>
      </w:r>
      <w:r w:rsidR="002D76F7">
        <w:rPr>
          <w:rFonts w:asciiTheme="minorHAnsi" w:hAnsiTheme="minorHAnsi" w:cstheme="minorHAnsi"/>
        </w:rPr>
        <w:t>y</w:t>
      </w:r>
      <w:r w:rsidRPr="00297E2D">
        <w:rPr>
          <w:rFonts w:asciiTheme="minorHAnsi" w:hAnsiTheme="minorHAnsi" w:cstheme="minorHAnsi"/>
        </w:rPr>
        <w:t xml:space="preserve"> všechny instituce veřejného sektoru (nařizuje to zákon o finanční kontrole). V praxi je část z nich částečně či plně nefunkční. Je nutné zaměstnance motivovat k tomu, aby neplýtvali a motivovat je k odhalování plýtvání.</w:t>
      </w:r>
    </w:p>
    <w:p w14:paraId="51ED28E7" w14:textId="77777777" w:rsidR="008A60AC" w:rsidRPr="00297E2D" w:rsidRDefault="008A60AC" w:rsidP="0065698B">
      <w:pPr>
        <w:pStyle w:val="Odstavecseseznamem"/>
        <w:numPr>
          <w:ilvl w:val="0"/>
          <w:numId w:val="13"/>
        </w:numPr>
        <w:ind w:right="-57"/>
        <w:contextualSpacing/>
        <w:rPr>
          <w:rFonts w:asciiTheme="minorHAnsi" w:hAnsiTheme="minorHAnsi" w:cstheme="minorHAnsi"/>
          <w:b/>
        </w:rPr>
      </w:pPr>
      <w:r w:rsidRPr="00297E2D">
        <w:rPr>
          <w:rFonts w:asciiTheme="minorHAnsi" w:hAnsiTheme="minorHAnsi" w:cstheme="minorHAnsi"/>
          <w:b/>
        </w:rPr>
        <w:t>Zvládání rizik (bdělost, ostražitost) bez omezení příležitostí</w:t>
      </w:r>
    </w:p>
    <w:p w14:paraId="12470694" w14:textId="77777777" w:rsidR="008A60AC" w:rsidRPr="00297E2D" w:rsidRDefault="008A60AC" w:rsidP="00B90AB4">
      <w:pPr>
        <w:pStyle w:val="Odstavecseseznamem"/>
        <w:ind w:left="303" w:right="-57"/>
        <w:jc w:val="both"/>
        <w:rPr>
          <w:rFonts w:asciiTheme="minorHAnsi" w:hAnsiTheme="minorHAnsi" w:cstheme="minorHAnsi"/>
        </w:rPr>
      </w:pPr>
      <w:r w:rsidRPr="00297E2D">
        <w:rPr>
          <w:rFonts w:asciiTheme="minorHAnsi" w:hAnsiTheme="minorHAnsi" w:cstheme="minorHAnsi"/>
        </w:rPr>
        <w:t>Otázky k zásadě:</w:t>
      </w:r>
    </w:p>
    <w:p w14:paraId="49D41B61" w14:textId="66C7DEFE"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Rozpoznávají (bdělost, ostražitost), hodnotí, zvládají a sl</w:t>
      </w:r>
      <w:r w:rsidR="002D76F7">
        <w:rPr>
          <w:rFonts w:asciiTheme="minorHAnsi" w:hAnsiTheme="minorHAnsi" w:cstheme="minorHAnsi"/>
        </w:rPr>
        <w:t>e</w:t>
      </w:r>
      <w:r w:rsidRPr="00297E2D">
        <w:rPr>
          <w:rFonts w:asciiTheme="minorHAnsi" w:hAnsiTheme="minorHAnsi" w:cstheme="minorHAnsi"/>
        </w:rPr>
        <w:t>dují zaměstnanci vznikající či existující rizika (hrozby)? Berou je v potaz při svém rozhodování?</w:t>
      </w:r>
    </w:p>
    <w:p w14:paraId="692B3A3E"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lastRenderedPageBreak/>
        <w:t>Jsou schopni zaměstnanci efektivně rizika analyzovat, tedy zhodnotit tak, aby tuto analýzu mohli využít jako podklad pro správné rozhodnutí?</w:t>
      </w:r>
    </w:p>
    <w:p w14:paraId="3A664CD7"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Jsou si zaměstnanci vědomi, že předcházet rizikům souvisí s jejich připraveností nést odpovědnost při rozhodování za nepříznivé důsledky?</w:t>
      </w:r>
    </w:p>
    <w:p w14:paraId="019EB8AA"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Co se stane, když někdo upozorní na riziko? Je odměněn nebo je potrestán, jak se v některých institucích děje?</w:t>
      </w:r>
    </w:p>
    <w:p w14:paraId="411EFC18"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Jak je přistupováno k příležitostem? Sledují se, vyhodnocují, a pokud je to účelné, tak se využívají?</w:t>
      </w:r>
    </w:p>
    <w:p w14:paraId="5CB9F03F"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 xml:space="preserve">Je vedoucím zaměstnancům jasné, že zvládání rizik a využívání příležitostí souvisí mimo jiné s jejich schopností (přizpůsobivostí, mírou flexibility) řešit vznikající problémy? Je jim jasné, že „strnulost“ brání zvládání rizik a využívání příležitostí? Dokážou zaměstnanci chápat situaci v potřebných souvislostech tak, aby mohli efektivně čelit rizikům a využívat příležitosti? </w:t>
      </w:r>
    </w:p>
    <w:p w14:paraId="644289C9"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 xml:space="preserve">Komentář: </w:t>
      </w:r>
    </w:p>
    <w:p w14:paraId="67ACC93F"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 xml:space="preserve">V Baťově systému řízení, který může být pro řízení rizik a využívání příležitostí inspirací, se nemluvilo o „rizicích“, ale o řešení problémů, o bdělosti či ostražitosti při rozhodování a vykonávání každé činnosti. Stejný přístup se používá v japonských systémech řízení (například TPS). Je kladen velký důraz na prevenci rizik, jejich včasné odhalování a hodnocení. V české veřejné správě jsou někteří vedoucí zaměstnanci již natolik „strnulí“, že každou příležitost chápou jako riziko a každého podřízeného, který riziko nahlásí, vidí jako problémovou osobu, která jim přidělává práci. </w:t>
      </w:r>
    </w:p>
    <w:p w14:paraId="6AB15EEF" w14:textId="77777777" w:rsidR="008A60AC" w:rsidRPr="00297E2D" w:rsidRDefault="008A60AC" w:rsidP="0065698B">
      <w:pPr>
        <w:pStyle w:val="Odstavecseseznamem"/>
        <w:numPr>
          <w:ilvl w:val="0"/>
          <w:numId w:val="13"/>
        </w:numPr>
        <w:ind w:right="-57"/>
        <w:contextualSpacing/>
        <w:jc w:val="both"/>
        <w:rPr>
          <w:rFonts w:asciiTheme="minorHAnsi" w:hAnsiTheme="minorHAnsi" w:cstheme="minorHAnsi"/>
          <w:b/>
        </w:rPr>
      </w:pPr>
      <w:r w:rsidRPr="00297E2D">
        <w:rPr>
          <w:rFonts w:asciiTheme="minorHAnsi" w:hAnsiTheme="minorHAnsi" w:cstheme="minorHAnsi"/>
          <w:b/>
        </w:rPr>
        <w:t>Rozpočtování (i hospodaření) je orientováno na dosahování cílů (společenských potřeb)</w:t>
      </w:r>
    </w:p>
    <w:p w14:paraId="3193E9FD" w14:textId="77777777" w:rsidR="008A60AC" w:rsidRPr="00297E2D" w:rsidRDefault="008A60AC" w:rsidP="00B90AB4">
      <w:pPr>
        <w:pStyle w:val="Odstavecseseznamem"/>
        <w:ind w:left="303" w:right="-57"/>
        <w:jc w:val="both"/>
        <w:rPr>
          <w:rFonts w:asciiTheme="minorHAnsi" w:hAnsiTheme="minorHAnsi" w:cstheme="minorHAnsi"/>
        </w:rPr>
      </w:pPr>
      <w:r w:rsidRPr="00297E2D">
        <w:rPr>
          <w:rFonts w:asciiTheme="minorHAnsi" w:hAnsiTheme="minorHAnsi" w:cstheme="minorHAnsi"/>
        </w:rPr>
        <w:t>Otázky k zásadě:</w:t>
      </w:r>
    </w:p>
    <w:p w14:paraId="12846FB8"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Používá se institucionální (například přírůstkové) rozpočtování nebo cílově orientované rozpočtování?</w:t>
      </w:r>
    </w:p>
    <w:p w14:paraId="7DBEB364" w14:textId="51B00775"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Jsou rozpočet a  veřejná strategie propojeny? Nebo rozpočet uvádí jiné prostředky například na investice, než veřejná strategie</w:t>
      </w:r>
      <w:r w:rsidR="00916C5E">
        <w:rPr>
          <w:rFonts w:asciiTheme="minorHAnsi" w:hAnsiTheme="minorHAnsi" w:cstheme="minorHAnsi"/>
        </w:rPr>
        <w:t xml:space="preserve"> (například v implementačním plánu)</w:t>
      </w:r>
      <w:r w:rsidRPr="00297E2D">
        <w:rPr>
          <w:rFonts w:asciiTheme="minorHAnsi" w:hAnsiTheme="minorHAnsi" w:cstheme="minorHAnsi"/>
        </w:rPr>
        <w:t>?</w:t>
      </w:r>
    </w:p>
    <w:p w14:paraId="17F50375"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 xml:space="preserve">Je natavení cílů i jejich dosahování morální a zákonné (neřídíme se: účel světí prostředky)?  </w:t>
      </w:r>
    </w:p>
    <w:p w14:paraId="2D926A5C"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Vede hospodaření dle schváleného rozpočtu k naplňování potřeb společnosti? Jsou cíle instituce ve shodně s potřebami společnosti? Je vůbec jasné, jaká je společenská potřeba?</w:t>
      </w:r>
    </w:p>
    <w:p w14:paraId="65071081"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lastRenderedPageBreak/>
        <w:t xml:space="preserve">Komentář: </w:t>
      </w:r>
    </w:p>
    <w:p w14:paraId="5B1110D5"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 xml:space="preserve">Mnoho veřejných strategií (na úrovni státu i samospráv) je schvalována bez jasné vazby na rozpočet. To znamená, že rozpočet a veřejné strategie nepracují se stejnými čísly (nejsou v tomto smyslu propojeny), což je špatně. Mimo jiné se to stává proto, že tvůrci strategie mají obavy, že pokud by ve vazbě na strategií přiznali reálné výdaje, které bude strategie potřebovat, nebyla by strategie schválena. </w:t>
      </w:r>
    </w:p>
    <w:p w14:paraId="38BFB1C4"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Ve veřejném sektoru se často používá institucionální financování – podnětem pro financování není reálná potřeba (ve vazbě na cíle či výkony instituce), ale existence dané instituce. Často se pracuje s přírůstkovým rozpočtováním (rozpočet je zvýšen či snížen o stanovené procento), místo aby se používalo výkonové či cílově orientované rozpočtování.</w:t>
      </w:r>
    </w:p>
    <w:p w14:paraId="2D1385BE" w14:textId="77777777" w:rsidR="008A60AC" w:rsidRPr="00297E2D" w:rsidRDefault="008A60AC" w:rsidP="0065698B">
      <w:pPr>
        <w:pStyle w:val="Odstavecseseznamem"/>
        <w:numPr>
          <w:ilvl w:val="0"/>
          <w:numId w:val="13"/>
        </w:numPr>
        <w:ind w:right="-57"/>
        <w:contextualSpacing/>
        <w:rPr>
          <w:rFonts w:asciiTheme="minorHAnsi" w:hAnsiTheme="minorHAnsi" w:cstheme="minorHAnsi"/>
          <w:b/>
        </w:rPr>
      </w:pPr>
      <w:r w:rsidRPr="00297E2D">
        <w:rPr>
          <w:rFonts w:asciiTheme="minorHAnsi" w:hAnsiTheme="minorHAnsi" w:cstheme="minorHAnsi"/>
          <w:b/>
        </w:rPr>
        <w:t>Rovnováha mezi rozsahem (a kvalitou) veřejné správy a příjmy rozpočtu (daněmi)</w:t>
      </w:r>
    </w:p>
    <w:p w14:paraId="60FEA62F"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Otázky k zásadě:</w:t>
      </w:r>
    </w:p>
    <w:p w14:paraId="243A42F3"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Jak je tato rovnováha chápána politiky, odborníky, médii, veřejností?</w:t>
      </w:r>
    </w:p>
    <w:p w14:paraId="6A273100"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Je rovnováha mezi jednotlivými poskytovanými veřejnými službami (nebo je něco nespravedlivě upřednostňováno)?</w:t>
      </w:r>
    </w:p>
    <w:p w14:paraId="7C8FCD33"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Je rovnováha vnímána občany/zákazníky jako spravedlivá?</w:t>
      </w:r>
    </w:p>
    <w:p w14:paraId="33C01590"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 xml:space="preserve">Komentář: </w:t>
      </w:r>
    </w:p>
    <w:p w14:paraId="6B080ED9" w14:textId="2B58654D"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 xml:space="preserve">Na úrovni celé veřejné správy jde o rovnováhu mezi rozsahem (a kvalitou) veřejného sektoru na straně jedné a mezi výší daní na straně druhé. Na úrovni obce jde o vyvažování veřejných investic a služeb na straně jedné a cenou za tyto služby na straně druhé. Pravidlo </w:t>
      </w:r>
      <w:r w:rsidR="002D76F7">
        <w:rPr>
          <w:rFonts w:asciiTheme="minorHAnsi" w:hAnsiTheme="minorHAnsi" w:cstheme="minorHAnsi"/>
        </w:rPr>
        <w:t>lze</w:t>
      </w:r>
      <w:r w:rsidRPr="00297E2D">
        <w:rPr>
          <w:rFonts w:asciiTheme="minorHAnsi" w:hAnsiTheme="minorHAnsi" w:cstheme="minorHAnsi"/>
        </w:rPr>
        <w:t xml:space="preserve"> uplatnit i pro konkrétní instituci, například příspěvkovou organizaci. </w:t>
      </w:r>
    </w:p>
    <w:p w14:paraId="2F2E9D5C"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Je třeba udržovat rovnováhu také ve vazbě na externality.</w:t>
      </w:r>
    </w:p>
    <w:p w14:paraId="2A579615" w14:textId="77777777" w:rsidR="008A60AC" w:rsidRPr="00297E2D" w:rsidRDefault="008A60AC" w:rsidP="0065698B">
      <w:pPr>
        <w:pStyle w:val="Odstavecseseznamem"/>
        <w:numPr>
          <w:ilvl w:val="0"/>
          <w:numId w:val="13"/>
        </w:numPr>
        <w:ind w:right="-57"/>
        <w:contextualSpacing/>
        <w:jc w:val="both"/>
        <w:rPr>
          <w:rFonts w:asciiTheme="minorHAnsi" w:hAnsiTheme="minorHAnsi" w:cstheme="minorHAnsi"/>
          <w:b/>
        </w:rPr>
      </w:pPr>
      <w:r w:rsidRPr="00297E2D">
        <w:rPr>
          <w:rFonts w:asciiTheme="minorHAnsi" w:hAnsiTheme="minorHAnsi" w:cstheme="minorHAnsi"/>
          <w:b/>
        </w:rPr>
        <w:t>Usilovat o zvyšování soběstačnosti (zvyšování nedaňových příjmů – příjmů z vlastní činnosti)</w:t>
      </w:r>
    </w:p>
    <w:p w14:paraId="7D257E4A"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Otázky k zásadě:</w:t>
      </w:r>
    </w:p>
    <w:p w14:paraId="226AD4D8"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Jaké má instituce vlastní příjmy? Je možné je spravedlivě zvýšit? Co můžeme pro účelné zvýšení těchto příjmů udělat?</w:t>
      </w:r>
    </w:p>
    <w:p w14:paraId="777434F6"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Komentář:</w:t>
      </w:r>
    </w:p>
    <w:p w14:paraId="4020C10C" w14:textId="77777777" w:rsidR="008A60AC" w:rsidRPr="00297E2D" w:rsidRDefault="008A60AC" w:rsidP="00B90AB4">
      <w:pPr>
        <w:ind w:left="349" w:right="-57"/>
        <w:jc w:val="both"/>
        <w:rPr>
          <w:rFonts w:asciiTheme="minorHAnsi" w:hAnsiTheme="minorHAnsi" w:cstheme="minorHAnsi"/>
        </w:rPr>
      </w:pPr>
      <w:r w:rsidRPr="00297E2D">
        <w:rPr>
          <w:rFonts w:asciiTheme="minorHAnsi" w:hAnsiTheme="minorHAnsi" w:cstheme="minorHAnsi"/>
        </w:rPr>
        <w:t xml:space="preserve">Rozhodující příjmy pro stát a samosprávy jsou daňové příjmy. Přesto by měly samosprávy (ale také stát) i jejich organizace usilovat o zvyšování vlastních příjmů všude tam, kde je to účelné. Mezi příjmy z vlastní činnosti patří zejména příjmy za zpoplatněné služby (jako je </w:t>
      </w:r>
      <w:r w:rsidRPr="00297E2D">
        <w:rPr>
          <w:rFonts w:asciiTheme="minorHAnsi" w:hAnsiTheme="minorHAnsi" w:cstheme="minorHAnsi"/>
        </w:rPr>
        <w:lastRenderedPageBreak/>
        <w:t>příjem z reklam) a příjmy, které souvisí s užíváním či pronájmem majetku, výnosy z finančního majetku.</w:t>
      </w:r>
    </w:p>
    <w:p w14:paraId="439AB09E" w14:textId="77777777" w:rsidR="008A60AC" w:rsidRPr="00297E2D" w:rsidRDefault="008A60AC" w:rsidP="0065698B">
      <w:pPr>
        <w:pStyle w:val="Odstavecseseznamem"/>
        <w:numPr>
          <w:ilvl w:val="0"/>
          <w:numId w:val="13"/>
        </w:numPr>
        <w:ind w:right="-57"/>
        <w:contextualSpacing/>
        <w:rPr>
          <w:rFonts w:asciiTheme="minorHAnsi" w:hAnsiTheme="minorHAnsi" w:cstheme="minorHAnsi"/>
          <w:b/>
        </w:rPr>
      </w:pPr>
      <w:r w:rsidRPr="00297E2D">
        <w:rPr>
          <w:rFonts w:asciiTheme="minorHAnsi" w:hAnsiTheme="minorHAnsi" w:cstheme="minorHAnsi"/>
          <w:b/>
        </w:rPr>
        <w:t>Odpovědnost (včetně dopadů, externalit), průkaznost, transparentnost a kontrola</w:t>
      </w:r>
    </w:p>
    <w:p w14:paraId="20766D46"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Otázky k zásadě:</w:t>
      </w:r>
    </w:p>
    <w:p w14:paraId="7A4AE207"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 xml:space="preserve">Jsme připraveni nést odpovědnost za nežádoucí nepříznivé dopady (například externality) našich rozhodnutí? </w:t>
      </w:r>
    </w:p>
    <w:p w14:paraId="25CE3150"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Vedeme průkazné účetnictví? Je naše hospodaření průkazné?</w:t>
      </w:r>
    </w:p>
    <w:p w14:paraId="72468CD2"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 xml:space="preserve">Je v rámci hospodaření uplatňován princip transparentnosti? </w:t>
      </w:r>
    </w:p>
    <w:p w14:paraId="17954E6D"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Provádíme účinnou vnitřní kontrolu? Poskytujeme součinnost při vnějších kontrolách? Umožňujeme provádět kontrolu ze strany veřejnosti?</w:t>
      </w:r>
    </w:p>
    <w:p w14:paraId="55EE6212"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Komentář:</w:t>
      </w:r>
    </w:p>
    <w:p w14:paraId="35352867" w14:textId="77777777" w:rsidR="008A60AC" w:rsidRPr="00297E2D" w:rsidRDefault="008A60AC" w:rsidP="008A60AC">
      <w:pPr>
        <w:pStyle w:val="Odstavecseseznamem"/>
        <w:ind w:left="303" w:right="-57"/>
        <w:jc w:val="both"/>
        <w:rPr>
          <w:rFonts w:asciiTheme="minorHAnsi" w:hAnsiTheme="minorHAnsi" w:cstheme="minorHAnsi"/>
        </w:rPr>
      </w:pPr>
      <w:r w:rsidRPr="00297E2D">
        <w:rPr>
          <w:rFonts w:asciiTheme="minorHAnsi" w:hAnsiTheme="minorHAnsi" w:cstheme="minorHAnsi"/>
        </w:rPr>
        <w:t>Nést odpovědnost včetně odpovědnosti za nepříznivé nežádoucí důsledky patří k důležitým zásadám, stejně jako průkaznost, transparentnost a součinnost při kontrolách.</w:t>
      </w:r>
    </w:p>
    <w:p w14:paraId="535BC56B" w14:textId="4EFCF4A2" w:rsidR="008A60AC" w:rsidRPr="00297E2D" w:rsidRDefault="008A60AC" w:rsidP="0065698B">
      <w:pPr>
        <w:pStyle w:val="Odstavecseseznamem"/>
        <w:numPr>
          <w:ilvl w:val="0"/>
          <w:numId w:val="13"/>
        </w:numPr>
        <w:ind w:right="-57"/>
        <w:contextualSpacing/>
        <w:rPr>
          <w:rFonts w:asciiTheme="minorHAnsi" w:hAnsiTheme="minorHAnsi" w:cstheme="minorHAnsi"/>
          <w:b/>
        </w:rPr>
      </w:pPr>
      <w:r w:rsidRPr="00297E2D">
        <w:rPr>
          <w:rFonts w:asciiTheme="minorHAnsi" w:hAnsiTheme="minorHAnsi" w:cstheme="minorHAnsi"/>
          <w:b/>
        </w:rPr>
        <w:t>Spravedlnost vůči zaměstnancům, dodavatelům</w:t>
      </w:r>
      <w:r w:rsidR="00C4437F">
        <w:rPr>
          <w:rFonts w:asciiTheme="minorHAnsi" w:hAnsiTheme="minorHAnsi" w:cstheme="minorHAnsi"/>
          <w:b/>
        </w:rPr>
        <w:t>,</w:t>
      </w:r>
      <w:r w:rsidRPr="00297E2D">
        <w:rPr>
          <w:rFonts w:asciiTheme="minorHAnsi" w:hAnsiTheme="minorHAnsi" w:cstheme="minorHAnsi"/>
          <w:b/>
        </w:rPr>
        <w:t xml:space="preserve"> klíčový</w:t>
      </w:r>
      <w:r w:rsidR="00C4437F">
        <w:rPr>
          <w:rFonts w:asciiTheme="minorHAnsi" w:hAnsiTheme="minorHAnsi" w:cstheme="minorHAnsi"/>
          <w:b/>
        </w:rPr>
        <w:t>m</w:t>
      </w:r>
      <w:r w:rsidRPr="00297E2D">
        <w:rPr>
          <w:rFonts w:asciiTheme="minorHAnsi" w:hAnsiTheme="minorHAnsi" w:cstheme="minorHAnsi"/>
          <w:b/>
        </w:rPr>
        <w:t xml:space="preserve"> hráčům společnosti</w:t>
      </w:r>
    </w:p>
    <w:p w14:paraId="02B17716" w14:textId="77777777" w:rsidR="008A60AC" w:rsidRPr="00297E2D" w:rsidRDefault="008A60AC" w:rsidP="008A60AC">
      <w:pPr>
        <w:pStyle w:val="Odstavecseseznamem"/>
        <w:ind w:left="303" w:right="-57"/>
        <w:rPr>
          <w:rFonts w:asciiTheme="minorHAnsi" w:hAnsiTheme="minorHAnsi" w:cstheme="minorHAnsi"/>
        </w:rPr>
      </w:pPr>
      <w:r w:rsidRPr="00297E2D">
        <w:rPr>
          <w:rFonts w:asciiTheme="minorHAnsi" w:hAnsiTheme="minorHAnsi" w:cstheme="minorHAnsi"/>
        </w:rPr>
        <w:t>Otázky k zásadě:</w:t>
      </w:r>
    </w:p>
    <w:p w14:paraId="6D3238F8"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 xml:space="preserve">Je odměňování zaměstnanců spravedlivé? </w:t>
      </w:r>
    </w:p>
    <w:p w14:paraId="3AC061DB" w14:textId="0402CD19"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Poskytujeme férové ceny dodavatelům</w:t>
      </w:r>
      <w:r w:rsidR="00916C5E">
        <w:rPr>
          <w:rFonts w:asciiTheme="minorHAnsi" w:hAnsiTheme="minorHAnsi" w:cstheme="minorHAnsi"/>
        </w:rPr>
        <w:t xml:space="preserve"> (nebo případně zahrnujeme do veřejných zakázek principy společensky odpovědného zadávání)</w:t>
      </w:r>
      <w:r w:rsidRPr="00297E2D">
        <w:rPr>
          <w:rFonts w:asciiTheme="minorHAnsi" w:hAnsiTheme="minorHAnsi" w:cstheme="minorHAnsi"/>
        </w:rPr>
        <w:t>?</w:t>
      </w:r>
    </w:p>
    <w:p w14:paraId="0176DE5D" w14:textId="77777777" w:rsidR="008A60AC" w:rsidRPr="00297E2D" w:rsidRDefault="008A60AC" w:rsidP="0065698B">
      <w:pPr>
        <w:pStyle w:val="Odstavecseseznamem"/>
        <w:numPr>
          <w:ilvl w:val="0"/>
          <w:numId w:val="12"/>
        </w:numPr>
        <w:ind w:left="709" w:right="-57"/>
        <w:contextualSpacing/>
        <w:jc w:val="both"/>
        <w:rPr>
          <w:rFonts w:asciiTheme="minorHAnsi" w:hAnsiTheme="minorHAnsi" w:cstheme="minorHAnsi"/>
        </w:rPr>
      </w:pPr>
      <w:r w:rsidRPr="00297E2D">
        <w:rPr>
          <w:rFonts w:asciiTheme="minorHAnsi" w:hAnsiTheme="minorHAnsi" w:cstheme="minorHAnsi"/>
        </w:rPr>
        <w:t>Zabýváme se spravedlností vůči dalším klíčovým hráčům a společnosti?</w:t>
      </w:r>
    </w:p>
    <w:p w14:paraId="483D340E"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Komentář:</w:t>
      </w:r>
    </w:p>
    <w:p w14:paraId="6F02E59C" w14:textId="77777777" w:rsidR="008A60AC" w:rsidRPr="00297E2D" w:rsidRDefault="008A60AC" w:rsidP="008A60AC">
      <w:pPr>
        <w:ind w:left="349" w:right="-57"/>
        <w:rPr>
          <w:rFonts w:asciiTheme="minorHAnsi" w:hAnsiTheme="minorHAnsi" w:cstheme="minorHAnsi"/>
        </w:rPr>
      </w:pPr>
      <w:r w:rsidRPr="00297E2D">
        <w:rPr>
          <w:rFonts w:asciiTheme="minorHAnsi" w:hAnsiTheme="minorHAnsi" w:cstheme="minorHAnsi"/>
        </w:rPr>
        <w:t>Každá instituce ve veřejném sektoru by měla fungovat tak, aby byla schopna včas a v adekvátní výši hradit své finanční závazky, aby byla spravedlivá v odměňování vůči zaměstnancům a férová vůči svým dodavatelům, dalším klíčovým hráčům a společnosti.</w:t>
      </w:r>
    </w:p>
    <w:p w14:paraId="5D2F85E2" w14:textId="77777777" w:rsidR="008A60AC" w:rsidRDefault="008A60AC" w:rsidP="008A60AC">
      <w:pPr>
        <w:ind w:right="-57"/>
        <w:jc w:val="both"/>
        <w:rPr>
          <w:rFonts w:asciiTheme="minorHAnsi" w:hAnsiTheme="minorHAnsi" w:cstheme="minorHAnsi"/>
        </w:rPr>
      </w:pPr>
    </w:p>
    <w:p w14:paraId="033024D1" w14:textId="77777777" w:rsidR="008A60AC" w:rsidRPr="00031D00" w:rsidRDefault="008A60AC" w:rsidP="008A60AC">
      <w:pPr>
        <w:ind w:right="-57"/>
        <w:jc w:val="both"/>
        <w:rPr>
          <w:rFonts w:asciiTheme="minorHAnsi" w:hAnsiTheme="minorHAnsi" w:cstheme="minorHAnsi"/>
          <w:b/>
        </w:rPr>
      </w:pPr>
      <w:r w:rsidRPr="00031D00">
        <w:rPr>
          <w:rFonts w:asciiTheme="minorHAnsi" w:hAnsiTheme="minorHAnsi" w:cstheme="minorHAnsi"/>
          <w:b/>
        </w:rPr>
        <w:t>Zásady jsou shrnuty v následující tabulce.</w:t>
      </w:r>
    </w:p>
    <w:p w14:paraId="6901271C" w14:textId="10EC4551" w:rsidR="008A60AC" w:rsidRPr="003E790A" w:rsidRDefault="008A60AC" w:rsidP="008A60AC">
      <w:pPr>
        <w:pStyle w:val="A-pramen"/>
        <w:spacing w:after="0"/>
        <w:rPr>
          <w:rFonts w:asciiTheme="minorHAnsi" w:eastAsia="Calibri" w:hAnsiTheme="minorHAnsi" w:cstheme="minorHAnsi"/>
          <w:i/>
          <w:iCs/>
          <w:szCs w:val="24"/>
          <w:lang w:val="cs-CZ" w:eastAsia="cs-CZ"/>
        </w:rPr>
      </w:pPr>
      <w:r w:rsidRPr="003E790A">
        <w:rPr>
          <w:rFonts w:asciiTheme="minorHAnsi" w:eastAsia="Calibri" w:hAnsiTheme="minorHAnsi" w:cstheme="minorHAnsi"/>
          <w:i/>
          <w:iCs/>
          <w:szCs w:val="24"/>
          <w:lang w:val="cs-CZ" w:eastAsia="cs-CZ"/>
        </w:rPr>
        <w:t xml:space="preserve">Tab. </w:t>
      </w:r>
      <w:r w:rsidR="004F0E1D">
        <w:rPr>
          <w:rFonts w:asciiTheme="minorHAnsi" w:eastAsia="Calibri" w:hAnsiTheme="minorHAnsi" w:cstheme="minorHAnsi"/>
          <w:i/>
          <w:iCs/>
          <w:szCs w:val="24"/>
          <w:lang w:val="cs-CZ" w:eastAsia="cs-CZ"/>
        </w:rPr>
        <w:t>2</w:t>
      </w:r>
      <w:r w:rsidR="00C14739">
        <w:rPr>
          <w:rFonts w:asciiTheme="minorHAnsi" w:eastAsia="Calibri" w:hAnsiTheme="minorHAnsi" w:cstheme="minorHAnsi"/>
          <w:i/>
          <w:iCs/>
          <w:szCs w:val="24"/>
          <w:lang w:val="cs-CZ" w:eastAsia="cs-CZ"/>
        </w:rPr>
        <w:t>1</w:t>
      </w:r>
      <w:r>
        <w:rPr>
          <w:rFonts w:asciiTheme="minorHAnsi" w:eastAsia="Calibri" w:hAnsiTheme="minorHAnsi" w:cstheme="minorHAnsi"/>
          <w:i/>
          <w:iCs/>
          <w:szCs w:val="24"/>
          <w:lang w:val="cs-CZ" w:eastAsia="cs-CZ"/>
        </w:rPr>
        <w:t xml:space="preserve"> </w:t>
      </w:r>
      <w:r w:rsidRPr="003E790A">
        <w:rPr>
          <w:rFonts w:asciiTheme="minorHAnsi" w:eastAsia="Calibri" w:hAnsiTheme="minorHAnsi" w:cstheme="minorHAnsi"/>
          <w:i/>
          <w:iCs/>
          <w:szCs w:val="24"/>
          <w:lang w:val="cs-CZ" w:eastAsia="cs-CZ"/>
        </w:rPr>
        <w:t xml:space="preserve">Zásady zdravého finančního řízení </w:t>
      </w:r>
      <w:r>
        <w:rPr>
          <w:rFonts w:asciiTheme="minorHAnsi" w:eastAsia="Calibri" w:hAnsiTheme="minorHAnsi" w:cstheme="minorHAnsi"/>
          <w:i/>
          <w:iCs/>
          <w:szCs w:val="24"/>
          <w:lang w:val="cs-CZ" w:eastAsia="cs-CZ"/>
        </w:rPr>
        <w:t>– obecně veřejný sektor</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956"/>
        <w:gridCol w:w="7051"/>
      </w:tblGrid>
      <w:tr w:rsidR="008A60AC" w:rsidRPr="00AD6033" w14:paraId="4F404D9E" w14:textId="77777777" w:rsidTr="00874F70">
        <w:tc>
          <w:tcPr>
            <w:tcW w:w="279" w:type="dxa"/>
            <w:shd w:val="clear" w:color="auto" w:fill="EEECE1"/>
            <w:vAlign w:val="center"/>
          </w:tcPr>
          <w:p w14:paraId="6C465E6C"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Č.</w:t>
            </w:r>
          </w:p>
        </w:tc>
        <w:tc>
          <w:tcPr>
            <w:tcW w:w="1956" w:type="dxa"/>
            <w:shd w:val="clear" w:color="auto" w:fill="EEECE1"/>
            <w:vAlign w:val="center"/>
          </w:tcPr>
          <w:p w14:paraId="62A152BD" w14:textId="77777777" w:rsidR="008A60AC" w:rsidRPr="00AD6033" w:rsidRDefault="008A60AC" w:rsidP="00874F70">
            <w:pPr>
              <w:spacing w:line="192" w:lineRule="auto"/>
              <w:ind w:left="-57" w:right="-57"/>
              <w:jc w:val="center"/>
              <w:rPr>
                <w:rFonts w:ascii="Calibri" w:hAnsi="Calibri"/>
                <w:b/>
                <w:sz w:val="22"/>
                <w:szCs w:val="20"/>
              </w:rPr>
            </w:pPr>
            <w:r w:rsidRPr="00AD6033">
              <w:rPr>
                <w:rFonts w:ascii="Calibri" w:hAnsi="Calibri"/>
                <w:b/>
                <w:sz w:val="22"/>
                <w:szCs w:val="20"/>
              </w:rPr>
              <w:t>Název</w:t>
            </w:r>
          </w:p>
        </w:tc>
        <w:tc>
          <w:tcPr>
            <w:tcW w:w="7051" w:type="dxa"/>
            <w:shd w:val="clear" w:color="auto" w:fill="EEECE1"/>
          </w:tcPr>
          <w:p w14:paraId="61F00017" w14:textId="77777777" w:rsidR="008A60AC" w:rsidRPr="00AD6033" w:rsidRDefault="008A60AC" w:rsidP="00874F70">
            <w:pPr>
              <w:spacing w:line="192" w:lineRule="auto"/>
              <w:ind w:left="-57" w:right="-57"/>
              <w:jc w:val="center"/>
              <w:rPr>
                <w:rFonts w:ascii="Calibri" w:hAnsi="Calibri"/>
                <w:b/>
                <w:sz w:val="22"/>
                <w:szCs w:val="20"/>
              </w:rPr>
            </w:pPr>
            <w:r w:rsidRPr="00AD6033">
              <w:rPr>
                <w:rFonts w:ascii="Calibri" w:hAnsi="Calibri"/>
                <w:b/>
                <w:sz w:val="22"/>
                <w:szCs w:val="20"/>
              </w:rPr>
              <w:t>Komentář</w:t>
            </w:r>
          </w:p>
        </w:tc>
      </w:tr>
      <w:tr w:rsidR="008A60AC" w:rsidRPr="00AD6033" w14:paraId="4F6A2E85" w14:textId="77777777" w:rsidTr="00874F70">
        <w:tc>
          <w:tcPr>
            <w:tcW w:w="279" w:type="dxa"/>
            <w:shd w:val="clear" w:color="auto" w:fill="EEECE1"/>
            <w:vAlign w:val="center"/>
          </w:tcPr>
          <w:p w14:paraId="70EE8960"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1</w:t>
            </w:r>
          </w:p>
        </w:tc>
        <w:tc>
          <w:tcPr>
            <w:tcW w:w="1956" w:type="dxa"/>
            <w:shd w:val="clear" w:color="auto" w:fill="FFFFFF"/>
            <w:vAlign w:val="center"/>
          </w:tcPr>
          <w:p w14:paraId="0A19260F"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Zadlužování nesmí být na úkor budoucnosti (vyvažování toho, co je oprávněné získat pomocí dluhu)</w:t>
            </w:r>
          </w:p>
        </w:tc>
        <w:tc>
          <w:tcPr>
            <w:tcW w:w="7051" w:type="dxa"/>
            <w:vAlign w:val="center"/>
          </w:tcPr>
          <w:p w14:paraId="01D5BC6F" w14:textId="79331449"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Nejde o to zadlužování zakázat, ale správně nastavit, kdy je to účelné</w:t>
            </w:r>
            <w:r w:rsidR="002D76F7">
              <w:rPr>
                <w:rFonts w:asciiTheme="minorHAnsi" w:hAnsiTheme="minorHAnsi" w:cstheme="minorHAnsi"/>
                <w:sz w:val="22"/>
                <w:szCs w:val="20"/>
              </w:rPr>
              <w:t>,</w:t>
            </w:r>
            <w:r w:rsidRPr="00AD6033">
              <w:rPr>
                <w:rFonts w:asciiTheme="minorHAnsi" w:hAnsiTheme="minorHAnsi" w:cstheme="minorHAnsi"/>
                <w:sz w:val="22"/>
                <w:szCs w:val="20"/>
              </w:rPr>
              <w:t xml:space="preserve"> respektive odůvodnitelné. Pro některé instituce ve veřejné správě (např. pro příspěvkové organizace) je tato zásada nepoužitelná – nemohou se totiž zadlužovat (stát a samosprávy však ano).</w:t>
            </w:r>
          </w:p>
          <w:p w14:paraId="7FAA9D87" w14:textId="77777777" w:rsidR="008A60AC" w:rsidRPr="00AD6033" w:rsidRDefault="008A60AC" w:rsidP="00874F70">
            <w:pPr>
              <w:spacing w:line="192" w:lineRule="auto"/>
              <w:ind w:left="-57" w:right="-57"/>
              <w:jc w:val="both"/>
              <w:rPr>
                <w:rFonts w:ascii="Calibri" w:hAnsi="Calibri"/>
                <w:sz w:val="22"/>
                <w:szCs w:val="20"/>
              </w:rPr>
            </w:pPr>
          </w:p>
        </w:tc>
      </w:tr>
      <w:tr w:rsidR="008A60AC" w:rsidRPr="00AD6033" w14:paraId="393B945F" w14:textId="77777777" w:rsidTr="00874F70">
        <w:tc>
          <w:tcPr>
            <w:tcW w:w="279" w:type="dxa"/>
            <w:shd w:val="clear" w:color="auto" w:fill="EEECE1"/>
            <w:vAlign w:val="center"/>
          </w:tcPr>
          <w:p w14:paraId="37877311"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2</w:t>
            </w:r>
          </w:p>
        </w:tc>
        <w:tc>
          <w:tcPr>
            <w:tcW w:w="1956" w:type="dxa"/>
            <w:shd w:val="clear" w:color="auto" w:fill="FFFFFF"/>
            <w:vAlign w:val="center"/>
          </w:tcPr>
          <w:p w14:paraId="62562957"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Vztah k investicím a majetku – chovat se jako řádní hospodáři</w:t>
            </w:r>
          </w:p>
        </w:tc>
        <w:tc>
          <w:tcPr>
            <w:tcW w:w="7051" w:type="dxa"/>
            <w:vAlign w:val="center"/>
          </w:tcPr>
          <w:p w14:paraId="1E7CEA77"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Prakticky každá instituce ve veřejné správě má majetek nebo jej má ve správě. K majetku i k investicím do majetku je nutné se chovat jako řádný hospodář – provádět údržbu, opravy, dle potřeby též modernizaci.</w:t>
            </w:r>
          </w:p>
        </w:tc>
      </w:tr>
      <w:tr w:rsidR="008A60AC" w:rsidRPr="00AD6033" w14:paraId="4EEBE611" w14:textId="77777777" w:rsidTr="00874F70">
        <w:tc>
          <w:tcPr>
            <w:tcW w:w="279" w:type="dxa"/>
            <w:shd w:val="clear" w:color="auto" w:fill="EEECE1"/>
            <w:vAlign w:val="center"/>
          </w:tcPr>
          <w:p w14:paraId="3DB7E2BE"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3</w:t>
            </w:r>
          </w:p>
        </w:tc>
        <w:tc>
          <w:tcPr>
            <w:tcW w:w="1956" w:type="dxa"/>
            <w:shd w:val="clear" w:color="auto" w:fill="FFFFFF"/>
            <w:vAlign w:val="center"/>
          </w:tcPr>
          <w:p w14:paraId="528271E2"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 xml:space="preserve">Neplýtvat veřejnými prostředky: účelnost, </w:t>
            </w:r>
            <w:r w:rsidRPr="00AD6033">
              <w:rPr>
                <w:rFonts w:asciiTheme="minorHAnsi" w:hAnsiTheme="minorHAnsi" w:cstheme="minorHAnsi"/>
                <w:sz w:val="22"/>
                <w:szCs w:val="20"/>
              </w:rPr>
              <w:lastRenderedPageBreak/>
              <w:t xml:space="preserve">efektivnost a hospodárnost jako součást systému řízení </w:t>
            </w:r>
          </w:p>
        </w:tc>
        <w:tc>
          <w:tcPr>
            <w:tcW w:w="7051" w:type="dxa"/>
            <w:vAlign w:val="center"/>
          </w:tcPr>
          <w:p w14:paraId="7157C34A" w14:textId="48908F0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lastRenderedPageBreak/>
              <w:t>Je nutné vytvořit systém řízení (vnitřní kontrolní systém) podporující účelnost, efektivnost a hospodárnost. Přitom formálně tento systém mají zaveden</w:t>
            </w:r>
            <w:r w:rsidR="002D76F7">
              <w:rPr>
                <w:rFonts w:asciiTheme="minorHAnsi" w:hAnsiTheme="minorHAnsi" w:cstheme="minorHAnsi"/>
                <w:sz w:val="22"/>
                <w:szCs w:val="20"/>
              </w:rPr>
              <w:t>y</w:t>
            </w:r>
            <w:r w:rsidRPr="00AD6033">
              <w:rPr>
                <w:rFonts w:asciiTheme="minorHAnsi" w:hAnsiTheme="minorHAnsi" w:cstheme="minorHAnsi"/>
                <w:sz w:val="22"/>
                <w:szCs w:val="20"/>
              </w:rPr>
              <w:t xml:space="preserve"> všechny instituce veřejného sektoru (nařizuje to zákon o finanční kontrole). </w:t>
            </w:r>
            <w:r w:rsidRPr="00AD6033">
              <w:rPr>
                <w:rFonts w:asciiTheme="minorHAnsi" w:hAnsiTheme="minorHAnsi" w:cstheme="minorHAnsi"/>
                <w:sz w:val="22"/>
                <w:szCs w:val="20"/>
              </w:rPr>
              <w:lastRenderedPageBreak/>
              <w:t>V praxi je část z nich částečně či plně nefunkční. Je nutné zaměstnance motivovat k tomu, aby neplýtvali a motivovat je k odhalování plýtvání.</w:t>
            </w:r>
          </w:p>
        </w:tc>
      </w:tr>
      <w:tr w:rsidR="008A60AC" w:rsidRPr="00AD6033" w14:paraId="14428441" w14:textId="77777777" w:rsidTr="00874F70">
        <w:tc>
          <w:tcPr>
            <w:tcW w:w="279" w:type="dxa"/>
            <w:shd w:val="clear" w:color="auto" w:fill="EEECE1"/>
            <w:vAlign w:val="center"/>
          </w:tcPr>
          <w:p w14:paraId="4AE60180"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lastRenderedPageBreak/>
              <w:t>4</w:t>
            </w:r>
          </w:p>
        </w:tc>
        <w:tc>
          <w:tcPr>
            <w:tcW w:w="1956" w:type="dxa"/>
            <w:shd w:val="clear" w:color="auto" w:fill="FFFFFF"/>
            <w:vAlign w:val="center"/>
          </w:tcPr>
          <w:p w14:paraId="74D477D8"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Zvládání rizik (bdělost, ostražitost) bez omezení příležitostí</w:t>
            </w:r>
          </w:p>
        </w:tc>
        <w:tc>
          <w:tcPr>
            <w:tcW w:w="7051" w:type="dxa"/>
            <w:vAlign w:val="center"/>
          </w:tcPr>
          <w:p w14:paraId="16068C56"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 xml:space="preserve">V Baťově systému řízení, který může být pro řízení rizik a využívání příležitostí inspirací, se nemluvilo o „rizicích“, ale o řešení problémů, o bdělosti či ostražitosti při rozhodování a vykonávání každé činnosti. Stejný přístup se používá v japonských systémech řízení (například TPS). Je kladen velký důraz na prevenci rizik, jejich včasné odhalování a hodnocení. V české veřejné správě jsou někteří vedoucí zaměstnanci již natolik „strnulí“, že každou příležitost chápou jako riziko a každého podřízeného, který riziko nahlásí, vidí jako problémovou osobu, která jim přidělává práci. </w:t>
            </w:r>
          </w:p>
        </w:tc>
      </w:tr>
      <w:tr w:rsidR="008A60AC" w:rsidRPr="00AD6033" w14:paraId="49A87175" w14:textId="77777777" w:rsidTr="00874F70">
        <w:tc>
          <w:tcPr>
            <w:tcW w:w="279" w:type="dxa"/>
            <w:shd w:val="clear" w:color="auto" w:fill="EEECE1"/>
            <w:vAlign w:val="center"/>
          </w:tcPr>
          <w:p w14:paraId="56D87041"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5</w:t>
            </w:r>
          </w:p>
        </w:tc>
        <w:tc>
          <w:tcPr>
            <w:tcW w:w="1956" w:type="dxa"/>
            <w:shd w:val="clear" w:color="auto" w:fill="FFFFFF"/>
            <w:vAlign w:val="center"/>
          </w:tcPr>
          <w:p w14:paraId="485741C2"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Rozpočtování (i hospodaření) je orientováno na dosahování cílů (společenských potřeb)</w:t>
            </w:r>
          </w:p>
          <w:p w14:paraId="568288A4" w14:textId="77777777" w:rsidR="008A60AC" w:rsidRPr="00AD6033" w:rsidRDefault="008A60AC" w:rsidP="00874F70">
            <w:pPr>
              <w:spacing w:line="192" w:lineRule="auto"/>
              <w:ind w:left="-57" w:right="-57"/>
              <w:rPr>
                <w:rFonts w:ascii="Calibri" w:hAnsi="Calibri"/>
                <w:sz w:val="22"/>
                <w:szCs w:val="20"/>
              </w:rPr>
            </w:pPr>
          </w:p>
        </w:tc>
        <w:tc>
          <w:tcPr>
            <w:tcW w:w="7051" w:type="dxa"/>
            <w:vAlign w:val="center"/>
          </w:tcPr>
          <w:p w14:paraId="68C0DB42"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Mnoho veřejných strategií (na úrovni státu i samospráv) je schvalováno bez jasné vazby na rozpočet. Mimo jiné se to stává proto, že tvůrci strategie mají obavy, že pokud by ve vazbě na strategii přiznali reálné výdaje, které bude strategie potřebovat, nebyla by strategie schválena. Ve veřejném sektoru se často používá institucionální financování – podnětem pro financování není reálná potřeba (ve vazbě na cíle či výkony instituce), ale existence dané instituce. Často se pracuje s přírůstkovým rozpočtováním (rozpočet je zvýšen či snížen o stanovené procento), místo aby se používalo výkonové či cílově orientované rozpočtování.</w:t>
            </w:r>
          </w:p>
        </w:tc>
      </w:tr>
      <w:tr w:rsidR="008A60AC" w:rsidRPr="00AD6033" w14:paraId="38FB3B9D" w14:textId="77777777" w:rsidTr="00874F70">
        <w:tc>
          <w:tcPr>
            <w:tcW w:w="279" w:type="dxa"/>
            <w:shd w:val="clear" w:color="auto" w:fill="EEECE1"/>
            <w:vAlign w:val="center"/>
          </w:tcPr>
          <w:p w14:paraId="5E15605B"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6</w:t>
            </w:r>
          </w:p>
        </w:tc>
        <w:tc>
          <w:tcPr>
            <w:tcW w:w="1956" w:type="dxa"/>
            <w:shd w:val="clear" w:color="auto" w:fill="FFFFFF"/>
            <w:vAlign w:val="center"/>
          </w:tcPr>
          <w:p w14:paraId="751E6E81"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Rovnováha mezi rozsahem (a kvalitou) veřejné správy a příjmy rozpočtu (daněmi)</w:t>
            </w:r>
          </w:p>
        </w:tc>
        <w:tc>
          <w:tcPr>
            <w:tcW w:w="7051" w:type="dxa"/>
            <w:vAlign w:val="center"/>
          </w:tcPr>
          <w:p w14:paraId="2B8236D6"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 xml:space="preserve">Na úrovni celé veřejné správy jde o rovnováhu mezi rozsahem (a kvalitou) veřejného sektoru na straně jedné a mezi výší daní na straně druhé. Na úrovni obce jde o vyvažování veřejných investic a služeb na straně jedné a cenou za tyto služby na straně druhé. Pravidlo lze uplatnit i pro konkrétní instituci, například příspěvkovou organizaci. </w:t>
            </w:r>
          </w:p>
          <w:p w14:paraId="3D7E7FD7"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Je třeba udržovat rovnováhu také ve vazbě na externality.</w:t>
            </w:r>
          </w:p>
        </w:tc>
      </w:tr>
      <w:tr w:rsidR="008A60AC" w:rsidRPr="00AD6033" w14:paraId="4CE2C61C" w14:textId="77777777" w:rsidTr="00874F70">
        <w:tc>
          <w:tcPr>
            <w:tcW w:w="279" w:type="dxa"/>
            <w:shd w:val="clear" w:color="auto" w:fill="EEECE1"/>
            <w:vAlign w:val="center"/>
          </w:tcPr>
          <w:p w14:paraId="192ACE14"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7</w:t>
            </w:r>
          </w:p>
        </w:tc>
        <w:tc>
          <w:tcPr>
            <w:tcW w:w="1956" w:type="dxa"/>
            <w:shd w:val="clear" w:color="auto" w:fill="FFFFFF"/>
            <w:vAlign w:val="center"/>
          </w:tcPr>
          <w:p w14:paraId="1A309927"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Usilovat o zvyšování soběstačnosti (zvyšování nedaňových příjmů – příjmů z vlastní činnosti)</w:t>
            </w:r>
          </w:p>
        </w:tc>
        <w:tc>
          <w:tcPr>
            <w:tcW w:w="7051" w:type="dxa"/>
            <w:vAlign w:val="center"/>
          </w:tcPr>
          <w:p w14:paraId="5570365F"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Rozhodující příjmy pro stát a samosprávy jsou daňové příjmy. Přesto by měly samosprávy (ale také stát) i jejich organizace usilovat o zvyšování vlastních příjmů všude tam, kde je to účelné. Mezi příjmy z vlastní činnosti patří zejména příjmy za zpoplatněné služby (jako je příjem z reklam) a příjmy, které souvisí s užíváním či pronájmem majetku, výnosy z finančního majetku.</w:t>
            </w:r>
          </w:p>
        </w:tc>
      </w:tr>
      <w:tr w:rsidR="008A60AC" w:rsidRPr="00AD6033" w14:paraId="672124B3" w14:textId="77777777" w:rsidTr="00874F70">
        <w:tc>
          <w:tcPr>
            <w:tcW w:w="279" w:type="dxa"/>
            <w:shd w:val="clear" w:color="auto" w:fill="EEECE1"/>
            <w:vAlign w:val="center"/>
          </w:tcPr>
          <w:p w14:paraId="32D6F3B8"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8</w:t>
            </w:r>
          </w:p>
        </w:tc>
        <w:tc>
          <w:tcPr>
            <w:tcW w:w="1956" w:type="dxa"/>
            <w:shd w:val="clear" w:color="auto" w:fill="FFFFFF"/>
            <w:vAlign w:val="center"/>
          </w:tcPr>
          <w:p w14:paraId="7B50A19F" w14:textId="77777777"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Odpovědnost (včetně dopadů, externalit), průkaznost, transparentnost a kontrola</w:t>
            </w:r>
          </w:p>
        </w:tc>
        <w:tc>
          <w:tcPr>
            <w:tcW w:w="7051" w:type="dxa"/>
            <w:vAlign w:val="center"/>
          </w:tcPr>
          <w:p w14:paraId="5F555169" w14:textId="77777777" w:rsidR="008A60AC" w:rsidRPr="00AD6033" w:rsidRDefault="008A60AC" w:rsidP="00874F70">
            <w:pPr>
              <w:pStyle w:val="Odstavecseseznamem"/>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Nést odpovědnost včetně odpovědnosti za nepříznivé nežádoucí důsledky patří k důležitým zásadám, stejně jako průkaznost, transparentnost a součinnost při kontrolách.</w:t>
            </w:r>
          </w:p>
        </w:tc>
      </w:tr>
      <w:tr w:rsidR="008A60AC" w:rsidRPr="00AD6033" w14:paraId="3EB8965A" w14:textId="77777777" w:rsidTr="00874F70">
        <w:tc>
          <w:tcPr>
            <w:tcW w:w="279" w:type="dxa"/>
            <w:shd w:val="clear" w:color="auto" w:fill="EEECE1"/>
            <w:vAlign w:val="center"/>
          </w:tcPr>
          <w:p w14:paraId="7D89D505" w14:textId="77777777" w:rsidR="008A60AC" w:rsidRPr="00AD6033" w:rsidRDefault="008A60AC" w:rsidP="00874F70">
            <w:pPr>
              <w:spacing w:line="192" w:lineRule="auto"/>
              <w:ind w:left="-57" w:right="-57"/>
              <w:jc w:val="both"/>
              <w:rPr>
                <w:rFonts w:ascii="Calibri" w:hAnsi="Calibri"/>
                <w:sz w:val="22"/>
                <w:szCs w:val="20"/>
              </w:rPr>
            </w:pPr>
            <w:r w:rsidRPr="00AD6033">
              <w:rPr>
                <w:rFonts w:ascii="Calibri" w:hAnsi="Calibri"/>
                <w:sz w:val="22"/>
                <w:szCs w:val="20"/>
              </w:rPr>
              <w:t>9</w:t>
            </w:r>
          </w:p>
        </w:tc>
        <w:tc>
          <w:tcPr>
            <w:tcW w:w="1956" w:type="dxa"/>
            <w:shd w:val="clear" w:color="auto" w:fill="FFFFFF"/>
            <w:vAlign w:val="center"/>
          </w:tcPr>
          <w:p w14:paraId="2BBE1388" w14:textId="5B126AF4" w:rsidR="008A60AC" w:rsidRPr="00AD6033" w:rsidRDefault="008A60AC" w:rsidP="00874F70">
            <w:pPr>
              <w:spacing w:line="192" w:lineRule="auto"/>
              <w:ind w:left="-57" w:right="-57"/>
              <w:contextualSpacing/>
              <w:rPr>
                <w:rFonts w:asciiTheme="minorHAnsi" w:hAnsiTheme="minorHAnsi" w:cstheme="minorHAnsi"/>
                <w:sz w:val="22"/>
                <w:szCs w:val="20"/>
              </w:rPr>
            </w:pPr>
            <w:r w:rsidRPr="00AD6033">
              <w:rPr>
                <w:rFonts w:asciiTheme="minorHAnsi" w:hAnsiTheme="minorHAnsi" w:cstheme="minorHAnsi"/>
                <w:sz w:val="22"/>
                <w:szCs w:val="20"/>
              </w:rPr>
              <w:t>Spravedlnost vůči zaměstnancům, dodavatelům</w:t>
            </w:r>
            <w:r w:rsidR="00C4437F">
              <w:rPr>
                <w:rFonts w:asciiTheme="minorHAnsi" w:hAnsiTheme="minorHAnsi" w:cstheme="minorHAnsi"/>
                <w:sz w:val="22"/>
                <w:szCs w:val="20"/>
              </w:rPr>
              <w:t>,</w:t>
            </w:r>
            <w:r w:rsidRPr="00AD6033">
              <w:rPr>
                <w:rFonts w:asciiTheme="minorHAnsi" w:hAnsiTheme="minorHAnsi" w:cstheme="minorHAnsi"/>
                <w:sz w:val="22"/>
                <w:szCs w:val="20"/>
              </w:rPr>
              <w:t xml:space="preserve"> klíčový</w:t>
            </w:r>
            <w:r w:rsidR="00C4437F">
              <w:rPr>
                <w:rFonts w:asciiTheme="minorHAnsi" w:hAnsiTheme="minorHAnsi" w:cstheme="minorHAnsi"/>
                <w:sz w:val="22"/>
                <w:szCs w:val="20"/>
              </w:rPr>
              <w:t>m</w:t>
            </w:r>
            <w:r w:rsidRPr="00AD6033">
              <w:rPr>
                <w:rFonts w:asciiTheme="minorHAnsi" w:hAnsiTheme="minorHAnsi" w:cstheme="minorHAnsi"/>
                <w:sz w:val="22"/>
                <w:szCs w:val="20"/>
              </w:rPr>
              <w:t xml:space="preserve"> hráčům společnosti</w:t>
            </w:r>
          </w:p>
        </w:tc>
        <w:tc>
          <w:tcPr>
            <w:tcW w:w="7051" w:type="dxa"/>
            <w:vAlign w:val="center"/>
          </w:tcPr>
          <w:p w14:paraId="360025D8" w14:textId="77777777" w:rsidR="008A60AC" w:rsidRPr="00AD6033" w:rsidRDefault="008A60AC" w:rsidP="00874F70">
            <w:pPr>
              <w:spacing w:line="192" w:lineRule="auto"/>
              <w:ind w:left="-57" w:right="-57"/>
              <w:jc w:val="both"/>
              <w:rPr>
                <w:rFonts w:asciiTheme="minorHAnsi" w:hAnsiTheme="minorHAnsi" w:cstheme="minorHAnsi"/>
                <w:sz w:val="22"/>
                <w:szCs w:val="20"/>
              </w:rPr>
            </w:pPr>
            <w:r w:rsidRPr="00AD6033">
              <w:rPr>
                <w:rFonts w:asciiTheme="minorHAnsi" w:hAnsiTheme="minorHAnsi" w:cstheme="minorHAnsi"/>
                <w:sz w:val="22"/>
                <w:szCs w:val="20"/>
              </w:rPr>
              <w:t>Každá instituce ve veřejném sektoru by měla fungovat tak, aby byla schopna včas a v adekvátní výši hradit své finanční závazky, aby byla spravedlivá v odměňování vůči zaměstnancům a férová vůči svým dodavatelům, dalším klíčovým hráčům a společnosti.</w:t>
            </w:r>
          </w:p>
        </w:tc>
      </w:tr>
    </w:tbl>
    <w:p w14:paraId="4A6CCE17" w14:textId="43CDFD04" w:rsidR="008A60AC" w:rsidRDefault="008A60AC" w:rsidP="008A60AC">
      <w:pPr>
        <w:pStyle w:val="A-pramen"/>
        <w:spacing w:after="120"/>
        <w:rPr>
          <w:rFonts w:asciiTheme="minorHAnsi" w:eastAsia="Calibri" w:hAnsiTheme="minorHAnsi" w:cstheme="minorHAnsi"/>
          <w:i/>
          <w:iCs/>
          <w:szCs w:val="24"/>
          <w:lang w:val="cs-CZ" w:eastAsia="cs-CZ"/>
        </w:rPr>
      </w:pPr>
      <w:r w:rsidRPr="003E790A">
        <w:rPr>
          <w:rFonts w:asciiTheme="minorHAnsi" w:eastAsia="Calibri" w:hAnsiTheme="minorHAnsi" w:cstheme="minorHAnsi"/>
          <w:i/>
          <w:iCs/>
          <w:szCs w:val="24"/>
          <w:lang w:val="cs-CZ" w:eastAsia="cs-CZ"/>
        </w:rPr>
        <w:t xml:space="preserve">Zdroj: </w:t>
      </w:r>
      <w:r w:rsidR="002C2624">
        <w:rPr>
          <w:rFonts w:asciiTheme="minorHAnsi" w:eastAsia="Calibri" w:hAnsiTheme="minorHAnsi" w:cstheme="minorHAnsi"/>
          <w:i/>
          <w:iCs/>
          <w:szCs w:val="24"/>
          <w:lang w:val="cs-CZ" w:eastAsia="cs-CZ"/>
        </w:rPr>
        <w:t>autoři</w:t>
      </w:r>
    </w:p>
    <w:p w14:paraId="10C6F782" w14:textId="77777777" w:rsidR="00A51E3C" w:rsidRDefault="00A51E3C">
      <w:pPr>
        <w:spacing w:after="160" w:line="259" w:lineRule="auto"/>
        <w:rPr>
          <w:rFonts w:ascii="Calibri" w:hAnsi="Calibri"/>
          <w:b/>
          <w:bCs/>
          <w:color w:val="7493B0"/>
          <w:sz w:val="32"/>
          <w:szCs w:val="28"/>
        </w:rPr>
      </w:pPr>
      <w:bookmarkStart w:id="77" w:name="_Toc43552753"/>
      <w:r>
        <w:rPr>
          <w:rFonts w:ascii="Calibri" w:hAnsi="Calibri"/>
          <w:color w:val="7493B0"/>
          <w:sz w:val="32"/>
        </w:rPr>
        <w:br w:type="page"/>
      </w:r>
    </w:p>
    <w:p w14:paraId="2A6ADC50" w14:textId="6BC03E0D" w:rsidR="008B40EA" w:rsidRDefault="008B40EA" w:rsidP="004E3500">
      <w:pPr>
        <w:pStyle w:val="Nadpis1"/>
        <w:spacing w:before="240" w:after="120"/>
        <w:ind w:left="431" w:hanging="431"/>
        <w:rPr>
          <w:rFonts w:ascii="Calibri" w:hAnsi="Calibri"/>
          <w:color w:val="7493B0"/>
          <w:sz w:val="32"/>
          <w:lang w:val="cs-CZ"/>
        </w:rPr>
      </w:pPr>
      <w:bookmarkStart w:id="78" w:name="_Toc117270017"/>
      <w:bookmarkStart w:id="79" w:name="_Toc92813813"/>
      <w:bookmarkEnd w:id="77"/>
      <w:r>
        <w:rPr>
          <w:rFonts w:ascii="Calibri" w:hAnsi="Calibri"/>
          <w:color w:val="7493B0"/>
          <w:sz w:val="32"/>
          <w:lang w:val="cs-CZ"/>
        </w:rPr>
        <w:lastRenderedPageBreak/>
        <w:t>Příklady</w:t>
      </w:r>
      <w:r w:rsidR="00945A97">
        <w:rPr>
          <w:rFonts w:ascii="Calibri" w:hAnsi="Calibri"/>
          <w:color w:val="7493B0"/>
          <w:sz w:val="32"/>
          <w:lang w:val="cs-CZ"/>
        </w:rPr>
        <w:t xml:space="preserve"> a případové studie</w:t>
      </w:r>
      <w:bookmarkEnd w:id="78"/>
    </w:p>
    <w:p w14:paraId="49196751" w14:textId="476DAECE" w:rsidR="003A2F6C" w:rsidRPr="003A2F6C" w:rsidRDefault="003A2F6C" w:rsidP="003A2F6C">
      <w:pPr>
        <w:jc w:val="both"/>
        <w:rPr>
          <w:rFonts w:asciiTheme="minorHAnsi" w:hAnsiTheme="minorHAnsi" w:cstheme="minorHAnsi"/>
        </w:rPr>
      </w:pPr>
      <w:r w:rsidRPr="003A2F6C">
        <w:rPr>
          <w:rFonts w:asciiTheme="minorHAnsi" w:hAnsiTheme="minorHAnsi" w:cstheme="minorHAnsi"/>
        </w:rPr>
        <w:t>Kapitola 10 se věnuje případovým studiím.</w:t>
      </w:r>
      <w:r>
        <w:rPr>
          <w:rFonts w:asciiTheme="minorHAnsi" w:hAnsiTheme="minorHAnsi" w:cstheme="minorHAnsi"/>
        </w:rPr>
        <w:t xml:space="preserve"> Je zpracováno celkem </w:t>
      </w:r>
      <w:r w:rsidR="006774B3" w:rsidRPr="00C4437F">
        <w:rPr>
          <w:rFonts w:asciiTheme="minorHAnsi" w:hAnsiTheme="minorHAnsi" w:cstheme="minorHAnsi"/>
        </w:rPr>
        <w:t>1</w:t>
      </w:r>
      <w:r w:rsidR="008D0602">
        <w:rPr>
          <w:rFonts w:asciiTheme="minorHAnsi" w:hAnsiTheme="minorHAnsi" w:cstheme="minorHAnsi"/>
        </w:rPr>
        <w:t>8</w:t>
      </w:r>
      <w:r>
        <w:rPr>
          <w:rFonts w:asciiTheme="minorHAnsi" w:hAnsiTheme="minorHAnsi" w:cstheme="minorHAnsi"/>
        </w:rPr>
        <w:t xml:space="preserve"> příkladů nebo případových studií. Případové studie se zaměřují na zásady zdravého finančního řízení pro samosprávy, které byly popsány v kapitole 9.1. Nebo se zaměřují na rozpočtování nebo na finanční analýzy.</w:t>
      </w:r>
    </w:p>
    <w:p w14:paraId="6F0508B3" w14:textId="42F4B605" w:rsidR="00B979A0" w:rsidRPr="00EE05EB" w:rsidRDefault="00B979A0" w:rsidP="00B979A0">
      <w:pPr>
        <w:pStyle w:val="Nadpis2"/>
        <w:spacing w:before="240" w:after="120"/>
        <w:ind w:left="578" w:hanging="578"/>
        <w:rPr>
          <w:rFonts w:asciiTheme="minorHAnsi" w:hAnsiTheme="minorHAnsi" w:cstheme="minorHAnsi"/>
          <w:color w:val="7493B0"/>
          <w:sz w:val="24"/>
          <w:szCs w:val="24"/>
          <w:lang w:val="cs-CZ"/>
        </w:rPr>
      </w:pPr>
      <w:bookmarkStart w:id="80" w:name="_Toc117270018"/>
      <w:r w:rsidRPr="00EE05EB">
        <w:rPr>
          <w:rFonts w:asciiTheme="minorHAnsi" w:hAnsiTheme="minorHAnsi" w:cstheme="minorHAnsi"/>
          <w:color w:val="7493B0"/>
          <w:sz w:val="24"/>
          <w:szCs w:val="24"/>
          <w:lang w:val="cs-CZ"/>
        </w:rPr>
        <w:t>Příklad řešení vazby mezi rozpočtem a strategi</w:t>
      </w:r>
      <w:r w:rsidR="00766292">
        <w:rPr>
          <w:rFonts w:asciiTheme="minorHAnsi" w:hAnsiTheme="minorHAnsi" w:cstheme="minorHAnsi"/>
          <w:color w:val="7493B0"/>
          <w:sz w:val="24"/>
          <w:szCs w:val="24"/>
          <w:lang w:val="cs-CZ"/>
        </w:rPr>
        <w:t>í</w:t>
      </w:r>
      <w:r w:rsidRPr="00EE05EB">
        <w:rPr>
          <w:rFonts w:asciiTheme="minorHAnsi" w:hAnsiTheme="minorHAnsi" w:cstheme="minorHAnsi"/>
          <w:color w:val="7493B0"/>
          <w:sz w:val="24"/>
          <w:szCs w:val="24"/>
          <w:lang w:val="cs-CZ"/>
        </w:rPr>
        <w:t xml:space="preserve"> pomocí akčního plánu</w:t>
      </w:r>
      <w:bookmarkEnd w:id="80"/>
      <w:r w:rsidRPr="00EE05EB">
        <w:rPr>
          <w:rFonts w:asciiTheme="minorHAnsi" w:hAnsiTheme="minorHAnsi" w:cstheme="minorHAnsi"/>
          <w:color w:val="7493B0"/>
          <w:sz w:val="24"/>
          <w:szCs w:val="24"/>
          <w:lang w:val="cs-CZ"/>
        </w:rPr>
        <w:t xml:space="preserve"> </w:t>
      </w:r>
    </w:p>
    <w:p w14:paraId="2F2BBB3B" w14:textId="77777777" w:rsidR="00B979A0" w:rsidRDefault="00B979A0" w:rsidP="00B979A0">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3BBA982E" w14:textId="5A96AB8E" w:rsidR="00B979A0" w:rsidRDefault="00B37DF3" w:rsidP="00B979A0">
      <w:pPr>
        <w:spacing w:after="120"/>
        <w:jc w:val="both"/>
        <w:rPr>
          <w:rFonts w:asciiTheme="minorHAnsi" w:hAnsiTheme="minorHAnsi" w:cstheme="minorHAnsi"/>
        </w:rPr>
      </w:pPr>
      <w:r w:rsidRPr="00B37DF3">
        <w:rPr>
          <w:rFonts w:asciiTheme="minorHAnsi" w:hAnsiTheme="minorHAnsi" w:cstheme="minorHAnsi"/>
        </w:rPr>
        <w:t xml:space="preserve">Jednou z důležitých zásad zdravého finančního řízení samospráv (viz kapitola 9.1) je propojení strategického řízení a rozpočtu. </w:t>
      </w:r>
      <w:r w:rsidR="00B979A0">
        <w:rPr>
          <w:rFonts w:asciiTheme="minorHAnsi" w:hAnsiTheme="minorHAnsi" w:cstheme="minorHAnsi"/>
        </w:rPr>
        <w:t xml:space="preserve">Případová studie se týká </w:t>
      </w:r>
      <w:r w:rsidR="00B979A0" w:rsidRPr="00813C40">
        <w:rPr>
          <w:rFonts w:asciiTheme="minorHAnsi" w:hAnsiTheme="minorHAnsi" w:cstheme="minorHAnsi"/>
        </w:rPr>
        <w:t>řešení vazby mezi rozpočtem</w:t>
      </w:r>
      <w:r w:rsidR="00B979A0">
        <w:rPr>
          <w:rFonts w:asciiTheme="minorHAnsi" w:hAnsiTheme="minorHAnsi" w:cstheme="minorHAnsi"/>
        </w:rPr>
        <w:t xml:space="preserve"> (proces tvorby rozpočtu)</w:t>
      </w:r>
      <w:r w:rsidR="00B979A0" w:rsidRPr="00813C40">
        <w:rPr>
          <w:rFonts w:asciiTheme="minorHAnsi" w:hAnsiTheme="minorHAnsi" w:cstheme="minorHAnsi"/>
        </w:rPr>
        <w:t xml:space="preserve"> a </w:t>
      </w:r>
      <w:r w:rsidR="00737C01">
        <w:rPr>
          <w:rFonts w:asciiTheme="minorHAnsi" w:hAnsiTheme="minorHAnsi" w:cstheme="minorHAnsi"/>
        </w:rPr>
        <w:t xml:space="preserve">veřejnou strategií </w:t>
      </w:r>
      <w:r w:rsidR="00B979A0" w:rsidRPr="00813C40">
        <w:rPr>
          <w:rFonts w:asciiTheme="minorHAnsi" w:hAnsiTheme="minorHAnsi" w:cstheme="minorHAnsi"/>
        </w:rPr>
        <w:t xml:space="preserve"> pomocí akčního plánu</w:t>
      </w:r>
      <w:r w:rsidR="00B979A0">
        <w:rPr>
          <w:rFonts w:asciiTheme="minorHAnsi" w:hAnsiTheme="minorHAnsi" w:cstheme="minorHAnsi"/>
        </w:rPr>
        <w:t xml:space="preserve"> (proces tvorby akčního plánu). Akční plán je jiný název pro prováděcí neboli implementační plán strategie. Vazba je popsána textem a vizualizována pomocí schématu. Jde o konkrétní příklad z konkrétního města.</w:t>
      </w:r>
    </w:p>
    <w:p w14:paraId="006CFD13" w14:textId="77777777" w:rsidR="00B979A0" w:rsidRPr="006B6EA5" w:rsidRDefault="00B979A0" w:rsidP="00B979A0">
      <w:pPr>
        <w:spacing w:after="120"/>
        <w:jc w:val="both"/>
        <w:rPr>
          <w:rFonts w:asciiTheme="minorHAnsi" w:hAnsiTheme="minorHAnsi" w:cstheme="minorHAnsi"/>
          <w:b/>
        </w:rPr>
      </w:pPr>
      <w:r w:rsidRPr="006B6EA5">
        <w:rPr>
          <w:rFonts w:asciiTheme="minorHAnsi" w:hAnsiTheme="minorHAnsi" w:cstheme="minorHAnsi"/>
          <w:b/>
        </w:rPr>
        <w:t>Popis případové studie:</w:t>
      </w:r>
    </w:p>
    <w:p w14:paraId="703565A4" w14:textId="1BAFE143" w:rsidR="00B979A0" w:rsidRPr="00264123" w:rsidRDefault="00B979A0" w:rsidP="00B979A0">
      <w:pPr>
        <w:pStyle w:val="A1-text"/>
        <w:spacing w:after="0"/>
        <w:rPr>
          <w:rFonts w:asciiTheme="minorHAnsi" w:hAnsiTheme="minorHAnsi"/>
          <w:lang w:val="cs-CZ"/>
        </w:rPr>
      </w:pPr>
      <w:r w:rsidRPr="006D1111">
        <w:rPr>
          <w:rFonts w:asciiTheme="minorHAnsi" w:hAnsiTheme="minorHAnsi"/>
          <w:lang w:val="cs-CZ"/>
        </w:rPr>
        <w:t>Jednou z</w:t>
      </w:r>
      <w:r>
        <w:rPr>
          <w:rFonts w:asciiTheme="minorHAnsi" w:hAnsiTheme="minorHAnsi"/>
          <w:lang w:val="cs-CZ"/>
        </w:rPr>
        <w:t> </w:t>
      </w:r>
      <w:r w:rsidRPr="006D1111">
        <w:rPr>
          <w:rFonts w:asciiTheme="minorHAnsi" w:hAnsiTheme="minorHAnsi"/>
          <w:lang w:val="cs-CZ"/>
        </w:rPr>
        <w:t>možností</w:t>
      </w:r>
      <w:r>
        <w:rPr>
          <w:rFonts w:asciiTheme="minorHAnsi" w:hAnsiTheme="minorHAnsi"/>
          <w:lang w:val="cs-CZ"/>
        </w:rPr>
        <w:t>,</w:t>
      </w:r>
      <w:r w:rsidRPr="006D1111">
        <w:rPr>
          <w:rFonts w:asciiTheme="minorHAnsi" w:hAnsiTheme="minorHAnsi"/>
          <w:lang w:val="cs-CZ"/>
        </w:rPr>
        <w:t xml:space="preserve"> </w:t>
      </w:r>
      <w:r>
        <w:rPr>
          <w:rFonts w:asciiTheme="minorHAnsi" w:hAnsiTheme="minorHAnsi"/>
          <w:lang w:val="cs-CZ"/>
        </w:rPr>
        <w:t xml:space="preserve">jak účelně v samosprávě propojit strategické řízení a rozpočtování, </w:t>
      </w:r>
      <w:r w:rsidRPr="006D1111">
        <w:rPr>
          <w:rFonts w:asciiTheme="minorHAnsi" w:hAnsiTheme="minorHAnsi"/>
          <w:lang w:val="cs-CZ"/>
        </w:rPr>
        <w:t>je propojení</w:t>
      </w:r>
      <w:r>
        <w:rPr>
          <w:rFonts w:asciiTheme="minorHAnsi" w:hAnsiTheme="minorHAnsi"/>
          <w:lang w:val="cs-CZ"/>
        </w:rPr>
        <w:t xml:space="preserve"> prostřednictvím akčního plánu. Akční plán </w:t>
      </w:r>
      <w:r w:rsidRPr="006D1111">
        <w:rPr>
          <w:rFonts w:asciiTheme="minorHAnsi" w:hAnsiTheme="minorHAnsi"/>
          <w:lang w:val="cs-CZ"/>
        </w:rPr>
        <w:t>je souborem opatření a projektů ke strategi</w:t>
      </w:r>
      <w:r w:rsidR="00766292">
        <w:rPr>
          <w:rFonts w:asciiTheme="minorHAnsi" w:hAnsiTheme="minorHAnsi"/>
          <w:lang w:val="cs-CZ"/>
        </w:rPr>
        <w:t>i</w:t>
      </w:r>
      <w:r w:rsidRPr="006D1111">
        <w:rPr>
          <w:rFonts w:asciiTheme="minorHAnsi" w:hAnsiTheme="minorHAnsi"/>
          <w:lang w:val="cs-CZ"/>
        </w:rPr>
        <w:t xml:space="preserve">. </w:t>
      </w:r>
      <w:r>
        <w:rPr>
          <w:rFonts w:asciiTheme="minorHAnsi" w:hAnsiTheme="minorHAnsi"/>
          <w:lang w:val="cs-CZ"/>
        </w:rPr>
        <w:t>Zatímco strategi</w:t>
      </w:r>
      <w:r w:rsidR="00737C01">
        <w:rPr>
          <w:rFonts w:asciiTheme="minorHAnsi" w:hAnsiTheme="minorHAnsi"/>
          <w:lang w:val="cs-CZ"/>
        </w:rPr>
        <w:t>e rozvoje</w:t>
      </w:r>
      <w:r>
        <w:rPr>
          <w:rFonts w:asciiTheme="minorHAnsi" w:hAnsiTheme="minorHAnsi"/>
          <w:lang w:val="cs-CZ"/>
        </w:rPr>
        <w:t xml:space="preserve"> města je schválen</w:t>
      </w:r>
      <w:r w:rsidR="00737C01">
        <w:rPr>
          <w:rFonts w:asciiTheme="minorHAnsi" w:hAnsiTheme="minorHAnsi"/>
          <w:lang w:val="cs-CZ"/>
        </w:rPr>
        <w:t>a</w:t>
      </w:r>
      <w:r>
        <w:rPr>
          <w:rFonts w:asciiTheme="minorHAnsi" w:hAnsiTheme="minorHAnsi"/>
          <w:lang w:val="cs-CZ"/>
        </w:rPr>
        <w:t xml:space="preserve"> na několik let, akční plán je schvalován (aktualizován) každoročně ve stejných termínech, jako připravovaný rozpočet na následující rok. </w:t>
      </w:r>
      <w:r w:rsidRPr="006D1111">
        <w:rPr>
          <w:rFonts w:asciiTheme="minorHAnsi" w:hAnsiTheme="minorHAnsi"/>
          <w:lang w:val="cs-CZ"/>
        </w:rPr>
        <w:t xml:space="preserve">Příklad procesu tvorby akčního plánu, který se váže na rozpočet, je zobrazen na následujícím obrázku. </w:t>
      </w:r>
      <w:r w:rsidRPr="0008581B">
        <w:rPr>
          <w:rFonts w:asciiTheme="minorHAnsi" w:hAnsiTheme="minorHAnsi"/>
        </w:rPr>
        <w:t>Proces tvorby akčního plánu prostupuje celým kalendářním rokem</w:t>
      </w:r>
      <w:r w:rsidRPr="0008581B">
        <w:rPr>
          <w:rFonts w:asciiTheme="minorHAnsi" w:hAnsiTheme="minorHAnsi"/>
          <w:lang w:val="cs-CZ"/>
        </w:rPr>
        <w:t xml:space="preserve"> a má</w:t>
      </w:r>
      <w:r w:rsidRPr="0008581B">
        <w:rPr>
          <w:rFonts w:asciiTheme="minorHAnsi" w:hAnsiTheme="minorHAnsi"/>
        </w:rPr>
        <w:t xml:space="preserve"> tři </w:t>
      </w:r>
      <w:r>
        <w:rPr>
          <w:rFonts w:asciiTheme="minorHAnsi" w:hAnsiTheme="minorHAnsi"/>
          <w:lang w:val="cs-CZ"/>
        </w:rPr>
        <w:t>fáze (Půček, Koppitz, 2012)</w:t>
      </w:r>
      <w:r w:rsidRPr="0008581B">
        <w:rPr>
          <w:rFonts w:asciiTheme="minorHAnsi" w:hAnsiTheme="minorHAnsi"/>
        </w:rPr>
        <w:t xml:space="preserve">: </w:t>
      </w:r>
    </w:p>
    <w:p w14:paraId="4B893712" w14:textId="77777777" w:rsidR="00B979A0" w:rsidRDefault="00B979A0" w:rsidP="0065698B">
      <w:pPr>
        <w:pStyle w:val="A1-text"/>
        <w:numPr>
          <w:ilvl w:val="0"/>
          <w:numId w:val="51"/>
        </w:numPr>
        <w:tabs>
          <w:tab w:val="clear" w:pos="284"/>
        </w:tabs>
        <w:spacing w:after="0"/>
        <w:ind w:left="284" w:hanging="284"/>
        <w:rPr>
          <w:rFonts w:asciiTheme="minorHAnsi" w:hAnsiTheme="minorHAnsi"/>
        </w:rPr>
      </w:pPr>
      <w:r>
        <w:rPr>
          <w:rFonts w:asciiTheme="minorHAnsi" w:hAnsiTheme="minorHAnsi"/>
          <w:b/>
        </w:rPr>
        <w:t>První</w:t>
      </w:r>
      <w:r w:rsidRPr="0008581B">
        <w:rPr>
          <w:rFonts w:asciiTheme="minorHAnsi" w:hAnsiTheme="minorHAnsi"/>
          <w:b/>
        </w:rPr>
        <w:t xml:space="preserve"> </w:t>
      </w:r>
      <w:r>
        <w:rPr>
          <w:rFonts w:asciiTheme="minorHAnsi" w:hAnsiTheme="minorHAnsi"/>
          <w:b/>
          <w:lang w:val="cs-CZ"/>
        </w:rPr>
        <w:t>fáze</w:t>
      </w:r>
      <w:r w:rsidRPr="0008581B">
        <w:rPr>
          <w:rFonts w:asciiTheme="minorHAnsi" w:hAnsiTheme="minorHAnsi"/>
        </w:rPr>
        <w:t xml:space="preserve"> je získání podnětů na realizaci projektů</w:t>
      </w:r>
      <w:r>
        <w:rPr>
          <w:rFonts w:asciiTheme="minorHAnsi" w:hAnsiTheme="minorHAnsi"/>
          <w:lang w:val="cs-CZ"/>
        </w:rPr>
        <w:t>. Jde o sběr podnětů</w:t>
      </w:r>
      <w:r w:rsidRPr="0008581B">
        <w:rPr>
          <w:rFonts w:asciiTheme="minorHAnsi" w:hAnsiTheme="minorHAnsi"/>
        </w:rPr>
        <w:t xml:space="preserve"> jak </w:t>
      </w:r>
      <w:r>
        <w:rPr>
          <w:rFonts w:asciiTheme="minorHAnsi" w:hAnsiTheme="minorHAnsi"/>
          <w:lang w:val="cs-CZ"/>
        </w:rPr>
        <w:t>od</w:t>
      </w:r>
      <w:r w:rsidRPr="0008581B">
        <w:rPr>
          <w:rFonts w:asciiTheme="minorHAnsi" w:hAnsiTheme="minorHAnsi"/>
        </w:rPr>
        <w:t xml:space="preserve"> veřejnosti</w:t>
      </w:r>
      <w:r>
        <w:rPr>
          <w:rFonts w:asciiTheme="minorHAnsi" w:hAnsiTheme="minorHAnsi"/>
          <w:lang w:val="cs-CZ"/>
        </w:rPr>
        <w:t>, neziskového sektoru a dalších partnerů města</w:t>
      </w:r>
      <w:r w:rsidRPr="0008581B">
        <w:rPr>
          <w:rFonts w:asciiTheme="minorHAnsi" w:hAnsiTheme="minorHAnsi"/>
        </w:rPr>
        <w:t>, tak ze strany jednotlivých odborů městského úřadu.</w:t>
      </w:r>
      <w:r w:rsidRPr="0008581B">
        <w:rPr>
          <w:rFonts w:asciiTheme="minorHAnsi" w:hAnsiTheme="minorHAnsi"/>
          <w:lang w:val="cs-CZ"/>
        </w:rPr>
        <w:t xml:space="preserve"> </w:t>
      </w:r>
      <w:r>
        <w:rPr>
          <w:rFonts w:asciiTheme="minorHAnsi" w:hAnsiTheme="minorHAnsi"/>
          <w:lang w:val="cs-CZ"/>
        </w:rPr>
        <w:t>V této fázi se posoudí</w:t>
      </w:r>
      <w:r w:rsidRPr="0008581B">
        <w:rPr>
          <w:rFonts w:asciiTheme="minorHAnsi" w:hAnsiTheme="minorHAnsi"/>
          <w:lang w:val="cs-CZ"/>
        </w:rPr>
        <w:t>, zda se jedná o požadavek do akčního plánu.</w:t>
      </w:r>
      <w:r w:rsidRPr="0008581B">
        <w:rPr>
          <w:rFonts w:asciiTheme="minorHAnsi" w:hAnsiTheme="minorHAnsi"/>
        </w:rPr>
        <w:t xml:space="preserve"> </w:t>
      </w:r>
    </w:p>
    <w:p w14:paraId="6A128188" w14:textId="77777777" w:rsidR="00B979A0" w:rsidRDefault="00B979A0" w:rsidP="0065698B">
      <w:pPr>
        <w:pStyle w:val="A1-text"/>
        <w:numPr>
          <w:ilvl w:val="0"/>
          <w:numId w:val="51"/>
        </w:numPr>
        <w:tabs>
          <w:tab w:val="clear" w:pos="284"/>
        </w:tabs>
        <w:spacing w:after="0"/>
        <w:ind w:left="284" w:hanging="284"/>
        <w:rPr>
          <w:rFonts w:asciiTheme="minorHAnsi" w:hAnsiTheme="minorHAnsi"/>
          <w:lang w:val="cs-CZ"/>
        </w:rPr>
      </w:pPr>
      <w:r>
        <w:rPr>
          <w:rFonts w:asciiTheme="minorHAnsi" w:hAnsiTheme="minorHAnsi"/>
          <w:b/>
        </w:rPr>
        <w:t>Druh</w:t>
      </w:r>
      <w:r>
        <w:rPr>
          <w:rFonts w:asciiTheme="minorHAnsi" w:hAnsiTheme="minorHAnsi"/>
          <w:b/>
          <w:lang w:val="cs-CZ"/>
        </w:rPr>
        <w:t>á</w:t>
      </w:r>
      <w:r w:rsidRPr="0008581B">
        <w:rPr>
          <w:rFonts w:asciiTheme="minorHAnsi" w:hAnsiTheme="minorHAnsi"/>
          <w:b/>
        </w:rPr>
        <w:t xml:space="preserve"> </w:t>
      </w:r>
      <w:r>
        <w:rPr>
          <w:rFonts w:asciiTheme="minorHAnsi" w:hAnsiTheme="minorHAnsi"/>
          <w:b/>
          <w:lang w:val="cs-CZ"/>
        </w:rPr>
        <w:t>fáze</w:t>
      </w:r>
      <w:r w:rsidRPr="0008581B">
        <w:rPr>
          <w:rFonts w:asciiTheme="minorHAnsi" w:hAnsiTheme="minorHAnsi"/>
        </w:rPr>
        <w:t xml:space="preserve"> je sumarizace projektových záměrů a jejich transparentní posouzení </w:t>
      </w:r>
      <w:r>
        <w:rPr>
          <w:rFonts w:asciiTheme="minorHAnsi" w:hAnsiTheme="minorHAnsi"/>
          <w:lang w:val="cs-CZ"/>
        </w:rPr>
        <w:t>„</w:t>
      </w:r>
      <w:r w:rsidRPr="0008581B">
        <w:rPr>
          <w:rFonts w:asciiTheme="minorHAnsi" w:hAnsiTheme="minorHAnsi"/>
        </w:rPr>
        <w:t>Strategi</w:t>
      </w:r>
      <w:r>
        <w:rPr>
          <w:rFonts w:asciiTheme="minorHAnsi" w:hAnsiTheme="minorHAnsi"/>
        </w:rPr>
        <w:t>ckým týmem udržitelného rozvoje</w:t>
      </w:r>
      <w:r>
        <w:rPr>
          <w:rFonts w:asciiTheme="minorHAnsi" w:hAnsiTheme="minorHAnsi"/>
          <w:lang w:val="cs-CZ"/>
        </w:rPr>
        <w:t xml:space="preserve">“. </w:t>
      </w:r>
      <w:r w:rsidRPr="0008581B">
        <w:rPr>
          <w:rFonts w:asciiTheme="minorHAnsi" w:hAnsiTheme="minorHAnsi"/>
        </w:rPr>
        <w:t xml:space="preserve">Posouzení </w:t>
      </w:r>
      <w:r>
        <w:rPr>
          <w:rFonts w:asciiTheme="minorHAnsi" w:hAnsiTheme="minorHAnsi"/>
          <w:lang w:val="cs-CZ"/>
        </w:rPr>
        <w:t>se provádí</w:t>
      </w:r>
      <w:r w:rsidRPr="0008581B">
        <w:rPr>
          <w:rFonts w:asciiTheme="minorHAnsi" w:hAnsiTheme="minorHAnsi"/>
        </w:rPr>
        <w:t xml:space="preserve"> (mimo jiné) na základě </w:t>
      </w:r>
      <w:r>
        <w:rPr>
          <w:rFonts w:asciiTheme="minorHAnsi" w:hAnsiTheme="minorHAnsi"/>
          <w:lang w:val="cs-CZ"/>
        </w:rPr>
        <w:t>„</w:t>
      </w:r>
      <w:r w:rsidRPr="0008581B">
        <w:rPr>
          <w:rFonts w:asciiTheme="minorHAnsi" w:hAnsiTheme="minorHAnsi"/>
        </w:rPr>
        <w:t>Metodiky multikriteriálního hodnocení socioekonomického přínosu</w:t>
      </w:r>
      <w:r>
        <w:rPr>
          <w:rFonts w:asciiTheme="minorHAnsi" w:hAnsiTheme="minorHAnsi"/>
          <w:lang w:val="cs-CZ"/>
        </w:rPr>
        <w:t>“</w:t>
      </w:r>
      <w:r w:rsidRPr="0008581B">
        <w:rPr>
          <w:rFonts w:asciiTheme="minorHAnsi" w:hAnsiTheme="minorHAnsi"/>
        </w:rPr>
        <w:t xml:space="preserve">. Na základě odborného hodnocení </w:t>
      </w:r>
      <w:r>
        <w:rPr>
          <w:rFonts w:asciiTheme="minorHAnsi" w:hAnsiTheme="minorHAnsi"/>
          <w:lang w:val="cs-CZ"/>
        </w:rPr>
        <w:t>jsou</w:t>
      </w:r>
      <w:r w:rsidRPr="0008581B">
        <w:rPr>
          <w:rFonts w:asciiTheme="minorHAnsi" w:hAnsiTheme="minorHAnsi"/>
        </w:rPr>
        <w:t xml:space="preserve"> některé projekty odmítnuty (vráceny jednotlivým zodpovědným odborům) a některé doporučeny k zařazení do akčního plánu.</w:t>
      </w:r>
      <w:r w:rsidRPr="0008581B">
        <w:rPr>
          <w:rFonts w:asciiTheme="minorHAnsi" w:hAnsiTheme="minorHAnsi"/>
          <w:lang w:val="cs-CZ"/>
        </w:rPr>
        <w:t xml:space="preserve"> </w:t>
      </w:r>
    </w:p>
    <w:p w14:paraId="63002FFF" w14:textId="77777777" w:rsidR="00B979A0" w:rsidRPr="00EE3DB8" w:rsidRDefault="00B979A0" w:rsidP="0065698B">
      <w:pPr>
        <w:pStyle w:val="A1-text"/>
        <w:numPr>
          <w:ilvl w:val="0"/>
          <w:numId w:val="51"/>
        </w:numPr>
        <w:tabs>
          <w:tab w:val="clear" w:pos="284"/>
        </w:tabs>
        <w:spacing w:after="0"/>
        <w:ind w:left="284" w:hanging="284"/>
        <w:rPr>
          <w:rFonts w:asciiTheme="minorHAnsi" w:hAnsiTheme="minorHAnsi"/>
          <w:lang w:val="cs-CZ"/>
        </w:rPr>
      </w:pPr>
      <w:r w:rsidRPr="00EE3DB8">
        <w:rPr>
          <w:rFonts w:asciiTheme="minorHAnsi" w:hAnsiTheme="minorHAnsi"/>
          <w:b/>
        </w:rPr>
        <w:t xml:space="preserve">Třetí </w:t>
      </w:r>
      <w:r w:rsidRPr="00EE3DB8">
        <w:rPr>
          <w:rFonts w:asciiTheme="minorHAnsi" w:hAnsiTheme="minorHAnsi"/>
          <w:b/>
          <w:lang w:val="cs-CZ"/>
        </w:rPr>
        <w:t>fází</w:t>
      </w:r>
      <w:r w:rsidRPr="00EE3DB8">
        <w:rPr>
          <w:rFonts w:asciiTheme="minorHAnsi" w:hAnsiTheme="minorHAnsi"/>
          <w:b/>
        </w:rPr>
        <w:t xml:space="preserve"> </w:t>
      </w:r>
      <w:r w:rsidRPr="00EE3DB8">
        <w:rPr>
          <w:rFonts w:asciiTheme="minorHAnsi" w:hAnsiTheme="minorHAnsi"/>
        </w:rPr>
        <w:t>je politické rozhodnutí (</w:t>
      </w:r>
      <w:r w:rsidRPr="00EE3DB8">
        <w:rPr>
          <w:rFonts w:asciiTheme="minorHAnsi" w:hAnsiTheme="minorHAnsi"/>
          <w:lang w:val="cs-CZ"/>
        </w:rPr>
        <w:t>zahrnuje</w:t>
      </w:r>
      <w:r w:rsidRPr="00EE3DB8">
        <w:rPr>
          <w:rFonts w:asciiTheme="minorHAnsi" w:hAnsiTheme="minorHAnsi"/>
        </w:rPr>
        <w:t xml:space="preserve"> rozhodnutí </w:t>
      </w:r>
      <w:r w:rsidRPr="00EE3DB8">
        <w:rPr>
          <w:rFonts w:asciiTheme="minorHAnsi" w:hAnsiTheme="minorHAnsi"/>
          <w:lang w:val="cs-CZ"/>
        </w:rPr>
        <w:t>rady a následně zastupitelstva</w:t>
      </w:r>
      <w:r w:rsidRPr="00EE3DB8">
        <w:rPr>
          <w:rFonts w:asciiTheme="minorHAnsi" w:hAnsiTheme="minorHAnsi"/>
        </w:rPr>
        <w:t xml:space="preserve">) o projektech doporučených Strategickým týmem udržitelného rozvoje. Na základě </w:t>
      </w:r>
      <w:r w:rsidRPr="00EE3DB8">
        <w:rPr>
          <w:rFonts w:asciiTheme="minorHAnsi" w:hAnsiTheme="minorHAnsi"/>
        </w:rPr>
        <w:lastRenderedPageBreak/>
        <w:t xml:space="preserve">politického rozhodnutí </w:t>
      </w:r>
      <w:r w:rsidRPr="00EE3DB8">
        <w:rPr>
          <w:rFonts w:asciiTheme="minorHAnsi" w:hAnsiTheme="minorHAnsi"/>
          <w:lang w:val="cs-CZ"/>
        </w:rPr>
        <w:t xml:space="preserve">jsou vybrány </w:t>
      </w:r>
      <w:r w:rsidRPr="00EE3DB8">
        <w:rPr>
          <w:rFonts w:asciiTheme="minorHAnsi" w:hAnsiTheme="minorHAnsi"/>
        </w:rPr>
        <w:t xml:space="preserve">projekty, které </w:t>
      </w:r>
      <w:r w:rsidRPr="00EE3DB8">
        <w:rPr>
          <w:rFonts w:asciiTheme="minorHAnsi" w:hAnsiTheme="minorHAnsi"/>
          <w:lang w:val="cs-CZ"/>
        </w:rPr>
        <w:t>jsou</w:t>
      </w:r>
      <w:r w:rsidRPr="00EE3DB8">
        <w:rPr>
          <w:rFonts w:asciiTheme="minorHAnsi" w:hAnsiTheme="minorHAnsi"/>
        </w:rPr>
        <w:t xml:space="preserve"> zařazeny do akčního plánu (a v dalším roce tak budou realizovány) a současně to rozpočtu města. Zbylé projekty </w:t>
      </w:r>
      <w:r>
        <w:rPr>
          <w:rFonts w:asciiTheme="minorHAnsi" w:hAnsiTheme="minorHAnsi"/>
          <w:lang w:val="cs-CZ"/>
        </w:rPr>
        <w:t>jsou</w:t>
      </w:r>
      <w:r w:rsidRPr="00EE3DB8">
        <w:rPr>
          <w:rFonts w:asciiTheme="minorHAnsi" w:hAnsiTheme="minorHAnsi"/>
        </w:rPr>
        <w:t xml:space="preserve"> zařazeny do zásobníku a realizovány v případě uvolnění dodatečných finančních prostředků (neplánované příjmy, dotace apod.)</w:t>
      </w:r>
      <w:r>
        <w:rPr>
          <w:rFonts w:asciiTheme="minorHAnsi" w:hAnsiTheme="minorHAnsi"/>
          <w:lang w:val="cs-CZ"/>
        </w:rPr>
        <w:t xml:space="preserve"> nebo posuzovány znovu v dalších letech</w:t>
      </w:r>
      <w:r w:rsidRPr="00EE3DB8">
        <w:rPr>
          <w:rFonts w:asciiTheme="minorHAnsi" w:hAnsiTheme="minorHAnsi"/>
        </w:rPr>
        <w:t>.</w:t>
      </w:r>
    </w:p>
    <w:p w14:paraId="5F8905C2" w14:textId="77777777" w:rsidR="00B979A0" w:rsidRDefault="00B979A0" w:rsidP="00B979A0">
      <w:pPr>
        <w:pStyle w:val="A1-text"/>
        <w:spacing w:after="0" w:line="240" w:lineRule="auto"/>
        <w:rPr>
          <w:rFonts w:asciiTheme="minorHAnsi" w:hAnsiTheme="minorHAnsi"/>
        </w:rPr>
      </w:pPr>
    </w:p>
    <w:p w14:paraId="0CDA160E" w14:textId="61BC3937" w:rsidR="00B979A0" w:rsidRPr="00DF2FF4" w:rsidRDefault="00DF2FF4" w:rsidP="00DF2FF4">
      <w:pPr>
        <w:pStyle w:val="A1-text"/>
        <w:spacing w:after="0"/>
        <w:rPr>
          <w:rFonts w:asciiTheme="minorHAnsi" w:hAnsiTheme="minorHAnsi"/>
          <w:lang w:val="cs-CZ"/>
        </w:rPr>
      </w:pPr>
      <w:r>
        <w:rPr>
          <w:rFonts w:asciiTheme="minorHAnsi" w:hAnsiTheme="minorHAnsi"/>
          <w:lang w:val="cs-CZ"/>
        </w:rPr>
        <w:t>Na tuto případovou studii navazuje následující případová studie harmonogramu rozpočtu města.</w:t>
      </w:r>
    </w:p>
    <w:p w14:paraId="193E3191" w14:textId="4CB43B63" w:rsidR="00B979A0" w:rsidRPr="006B5327" w:rsidRDefault="00B979A0" w:rsidP="00B979A0">
      <w:pPr>
        <w:pStyle w:val="A1-text"/>
        <w:spacing w:after="0" w:line="240" w:lineRule="auto"/>
        <w:rPr>
          <w:rFonts w:asciiTheme="minorHAnsi" w:hAnsiTheme="minorHAnsi"/>
          <w:i/>
          <w:iCs/>
          <w:lang w:val="cs-CZ"/>
        </w:rPr>
      </w:pPr>
      <w:r w:rsidRPr="006B5327">
        <w:rPr>
          <w:rFonts w:asciiTheme="minorHAnsi" w:hAnsiTheme="minorHAnsi"/>
          <w:i/>
          <w:iCs/>
        </w:rPr>
        <w:t>Obr.</w:t>
      </w:r>
      <w:r w:rsidR="004F0E1D">
        <w:rPr>
          <w:rFonts w:asciiTheme="minorHAnsi" w:hAnsiTheme="minorHAnsi"/>
          <w:i/>
          <w:iCs/>
          <w:lang w:val="cs-CZ"/>
        </w:rPr>
        <w:t xml:space="preserve"> 2</w:t>
      </w:r>
      <w:r w:rsidR="00257449">
        <w:rPr>
          <w:rFonts w:asciiTheme="minorHAnsi" w:hAnsiTheme="minorHAnsi"/>
          <w:i/>
          <w:iCs/>
          <w:lang w:val="cs-CZ"/>
        </w:rPr>
        <w:t>4</w:t>
      </w:r>
      <w:r w:rsidRPr="006B5327">
        <w:rPr>
          <w:rFonts w:asciiTheme="minorHAnsi" w:hAnsiTheme="minorHAnsi"/>
          <w:i/>
          <w:iCs/>
        </w:rPr>
        <w:t xml:space="preserve"> </w:t>
      </w:r>
      <w:r w:rsidRPr="006B5327">
        <w:rPr>
          <w:rFonts w:asciiTheme="minorHAnsi" w:hAnsiTheme="minorHAnsi"/>
          <w:i/>
          <w:iCs/>
          <w:lang w:val="cs-CZ"/>
        </w:rPr>
        <w:t>Proces</w:t>
      </w:r>
      <w:r w:rsidRPr="006B5327">
        <w:rPr>
          <w:rFonts w:asciiTheme="minorHAnsi" w:hAnsiTheme="minorHAnsi"/>
          <w:i/>
          <w:iCs/>
        </w:rPr>
        <w:t xml:space="preserve"> přípravy akčního plánu</w:t>
      </w:r>
      <w:r w:rsidRPr="006B5327">
        <w:rPr>
          <w:rFonts w:asciiTheme="minorHAnsi" w:hAnsiTheme="minorHAnsi"/>
          <w:i/>
          <w:iCs/>
          <w:lang w:val="cs-CZ"/>
        </w:rPr>
        <w:t xml:space="preserve"> ve vazbě na rozpočet</w:t>
      </w:r>
    </w:p>
    <w:p w14:paraId="020038AF" w14:textId="77777777" w:rsidR="00B979A0" w:rsidRPr="00EB6DBA" w:rsidRDefault="00B979A0" w:rsidP="00B979A0">
      <w:pPr>
        <w:pStyle w:val="A1-text"/>
        <w:spacing w:after="0"/>
        <w:rPr>
          <w:lang w:val="cs-CZ"/>
        </w:rPr>
      </w:pPr>
      <w:r w:rsidRPr="00EB6DBA">
        <w:rPr>
          <w:noProof/>
          <w:lang w:val="cs-CZ" w:eastAsia="cs-CZ"/>
        </w:rPr>
        <mc:AlternateContent>
          <mc:Choice Requires="wpg">
            <w:drawing>
              <wp:inline distT="0" distB="0" distL="0" distR="0" wp14:anchorId="5A507D0D" wp14:editId="6B780AD7">
                <wp:extent cx="5273040" cy="6295390"/>
                <wp:effectExtent l="0" t="0" r="22860" b="1016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040" cy="6295390"/>
                          <a:chOff x="0" y="0"/>
                          <a:chExt cx="9259230" cy="6886550"/>
                        </a:xfrm>
                      </wpg:grpSpPr>
                      <wps:wsp>
                        <wps:cNvPr id="37" name="Vývojový diagram: alternativní postup 3"/>
                        <wps:cNvSpPr>
                          <a:spLocks noChangeArrowheads="1"/>
                        </wps:cNvSpPr>
                        <wps:spPr bwMode="auto">
                          <a:xfrm>
                            <a:off x="0" y="5086350"/>
                            <a:ext cx="3694377" cy="1800200"/>
                          </a:xfrm>
                          <a:prstGeom prst="flowChartAlternateProcess">
                            <a:avLst/>
                          </a:prstGeom>
                          <a:solidFill>
                            <a:srgbClr val="FFFFFF"/>
                          </a:solidFill>
                          <a:ln w="25400" algn="ctr">
                            <a:solidFill>
                              <a:srgbClr val="385D8A"/>
                            </a:solidFill>
                            <a:miter lim="800000"/>
                            <a:headEnd/>
                            <a:tailEnd/>
                          </a:ln>
                        </wps:spPr>
                        <wps:txbx>
                          <w:txbxContent>
                            <w:p w14:paraId="56FB9BCF" w14:textId="77777777" w:rsidR="00511D9B" w:rsidRPr="00CB3614" w:rsidRDefault="00511D9B" w:rsidP="00B979A0">
                              <w:pPr>
                                <w:pStyle w:val="Normlnweb"/>
                                <w:jc w:val="center"/>
                                <w:textAlignment w:val="baseline"/>
                                <w:rPr>
                                  <w:sz w:val="22"/>
                                  <w:szCs w:val="22"/>
                                </w:rPr>
                              </w:pPr>
                              <w:r w:rsidRPr="00AE55D0">
                                <w:rPr>
                                  <w:rFonts w:ascii="Calibri" w:hAnsi="Calibri"/>
                                  <w:b/>
                                  <w:bCs/>
                                  <w:color w:val="000000"/>
                                  <w:kern w:val="24"/>
                                  <w:sz w:val="22"/>
                                  <w:szCs w:val="22"/>
                                </w:rPr>
                                <w:t>Návrhy projektů vzešlé od veřejnosti</w:t>
                              </w:r>
                            </w:p>
                            <w:p w14:paraId="0D952F8A" w14:textId="77777777" w:rsidR="00511D9B" w:rsidRDefault="00511D9B" w:rsidP="00B979A0">
                              <w:pPr>
                                <w:pStyle w:val="Odstavecseseznamem"/>
                                <w:spacing w:line="240" w:lineRule="auto"/>
                                <w:ind w:left="0"/>
                                <w:jc w:val="center"/>
                                <w:textAlignment w:val="baseline"/>
                                <w:rPr>
                                  <w:rFonts w:ascii="Calibri" w:hAnsi="Calibri"/>
                                  <w:color w:val="000000"/>
                                  <w:kern w:val="24"/>
                                  <w:sz w:val="22"/>
                                  <w:szCs w:val="22"/>
                                </w:rPr>
                              </w:pPr>
                              <w:r w:rsidRPr="00AE55D0">
                                <w:rPr>
                                  <w:rFonts w:ascii="Calibri" w:hAnsi="Calibri"/>
                                  <w:color w:val="000000"/>
                                  <w:kern w:val="24"/>
                                  <w:sz w:val="22"/>
                                  <w:szCs w:val="22"/>
                                </w:rPr>
                                <w:t xml:space="preserve"> </w:t>
                              </w:r>
                              <w:r w:rsidRPr="00AE55D0">
                                <w:rPr>
                                  <w:rFonts w:ascii="Calibri"/>
                                  <w:color w:val="000000"/>
                                  <w:kern w:val="24"/>
                                  <w:sz w:val="22"/>
                                  <w:szCs w:val="22"/>
                                </w:rPr>
                                <w:t xml:space="preserve">- </w:t>
                              </w:r>
                              <w:r w:rsidRPr="00AE55D0">
                                <w:rPr>
                                  <w:rFonts w:ascii="Calibri" w:hAnsi="Calibri"/>
                                  <w:color w:val="000000"/>
                                  <w:kern w:val="24"/>
                                  <w:sz w:val="22"/>
                                  <w:szCs w:val="22"/>
                                </w:rPr>
                                <w:t xml:space="preserve">Fórum Zdravého města </w:t>
                              </w:r>
                            </w:p>
                            <w:p w14:paraId="2F4D84B8" w14:textId="77777777" w:rsidR="00511D9B" w:rsidRPr="00CB3614" w:rsidRDefault="00511D9B" w:rsidP="00B979A0">
                              <w:pPr>
                                <w:pStyle w:val="Odstavecseseznamem"/>
                                <w:spacing w:line="240" w:lineRule="auto"/>
                                <w:ind w:left="0"/>
                                <w:jc w:val="center"/>
                                <w:textAlignment w:val="baseline"/>
                                <w:rPr>
                                  <w:sz w:val="22"/>
                                  <w:szCs w:val="22"/>
                                </w:rPr>
                              </w:pPr>
                              <w:r w:rsidRPr="00AE55D0">
                                <w:rPr>
                                  <w:rFonts w:ascii="Calibri" w:hAnsi="Calibri"/>
                                  <w:color w:val="000000"/>
                                  <w:kern w:val="24"/>
                                  <w:sz w:val="22"/>
                                  <w:szCs w:val="22"/>
                                </w:rPr>
                                <w:t>Litoměřice a další veřejná projednávání</w:t>
                              </w:r>
                            </w:p>
                            <w:p w14:paraId="4BE95A8A" w14:textId="77777777" w:rsidR="00511D9B" w:rsidRDefault="00511D9B" w:rsidP="00B979A0">
                              <w:pPr>
                                <w:pStyle w:val="Odstavecseseznamem"/>
                                <w:spacing w:line="240" w:lineRule="auto"/>
                                <w:ind w:left="0"/>
                                <w:jc w:val="center"/>
                                <w:textAlignment w:val="baseline"/>
                                <w:rPr>
                                  <w:rFonts w:ascii="Calibri" w:hAnsi="Calibri"/>
                                  <w:color w:val="000000"/>
                                  <w:kern w:val="24"/>
                                  <w:sz w:val="22"/>
                                  <w:szCs w:val="22"/>
                                </w:rPr>
                              </w:pPr>
                              <w:r w:rsidRPr="00AE55D0">
                                <w:rPr>
                                  <w:rFonts w:ascii="Calibri"/>
                                  <w:color w:val="000000"/>
                                  <w:kern w:val="24"/>
                                  <w:sz w:val="22"/>
                                  <w:szCs w:val="22"/>
                                </w:rPr>
                                <w:t>-</w:t>
                              </w:r>
                              <w:r w:rsidRPr="00AE55D0">
                                <w:rPr>
                                  <w:rFonts w:ascii="Calibri" w:hAnsi="Calibri"/>
                                  <w:color w:val="000000"/>
                                  <w:kern w:val="24"/>
                                  <w:sz w:val="22"/>
                                  <w:szCs w:val="22"/>
                                </w:rPr>
                                <w:t xml:space="preserve"> Dílčí návrhy veřejnosti </w:t>
                              </w:r>
                            </w:p>
                            <w:p w14:paraId="524335DA" w14:textId="77777777" w:rsidR="00511D9B" w:rsidRPr="00CB3614" w:rsidRDefault="00511D9B" w:rsidP="00B979A0">
                              <w:pPr>
                                <w:pStyle w:val="Odstavecseseznamem"/>
                                <w:spacing w:line="240" w:lineRule="auto"/>
                                <w:ind w:left="0"/>
                                <w:jc w:val="center"/>
                                <w:textAlignment w:val="baseline"/>
                                <w:rPr>
                                  <w:sz w:val="22"/>
                                  <w:szCs w:val="22"/>
                                </w:rPr>
                              </w:pPr>
                              <w:r w:rsidRPr="00AE55D0">
                                <w:rPr>
                                  <w:rFonts w:ascii="Calibri" w:hAnsi="Calibri"/>
                                  <w:color w:val="000000"/>
                                  <w:kern w:val="24"/>
                                  <w:sz w:val="22"/>
                                  <w:szCs w:val="22"/>
                                </w:rPr>
                                <w:t>oznamované na městském úřadě</w:t>
                              </w:r>
                            </w:p>
                          </w:txbxContent>
                        </wps:txbx>
                        <wps:bodyPr rot="0" vert="horz" wrap="square" lIns="91440" tIns="45720" rIns="91440" bIns="45720" anchor="t" anchorCtr="0" upright="1">
                          <a:noAutofit/>
                        </wps:bodyPr>
                      </wps:wsp>
                      <wps:wsp>
                        <wps:cNvPr id="38" name="Vývojový diagram: alternativní postup 4"/>
                        <wps:cNvSpPr>
                          <a:spLocks noChangeArrowheads="1"/>
                        </wps:cNvSpPr>
                        <wps:spPr bwMode="auto">
                          <a:xfrm>
                            <a:off x="3774937" y="5086350"/>
                            <a:ext cx="3600450" cy="1800200"/>
                          </a:xfrm>
                          <a:prstGeom prst="flowChartAlternateProcess">
                            <a:avLst/>
                          </a:prstGeom>
                          <a:solidFill>
                            <a:srgbClr val="FFFFFF"/>
                          </a:solidFill>
                          <a:ln w="25400" algn="ctr">
                            <a:solidFill>
                              <a:srgbClr val="385D8A"/>
                            </a:solidFill>
                            <a:miter lim="800000"/>
                            <a:headEnd/>
                            <a:tailEnd/>
                          </a:ln>
                        </wps:spPr>
                        <wps:txbx>
                          <w:txbxContent>
                            <w:p w14:paraId="7775BE3D"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b/>
                                  <w:bCs/>
                                  <w:color w:val="000000"/>
                                  <w:kern w:val="24"/>
                                  <w:sz w:val="22"/>
                                  <w:szCs w:val="22"/>
                                </w:rPr>
                                <w:t xml:space="preserve">Návrhy projektů vzešlé od odborů a organizací </w:t>
                              </w:r>
                              <w:r w:rsidRPr="00AE55D0">
                                <w:rPr>
                                  <w:rFonts w:ascii="Calibri" w:hAnsi="Calibri"/>
                                  <w:color w:val="000000"/>
                                  <w:kern w:val="24"/>
                                  <w:sz w:val="22"/>
                                  <w:szCs w:val="22"/>
                                </w:rPr>
                                <w:t>(přímo či dle pokynů vedení):</w:t>
                              </w:r>
                            </w:p>
                            <w:p w14:paraId="7B102663"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b/>
                                  <w:bCs/>
                                  <w:color w:val="000000"/>
                                  <w:kern w:val="24"/>
                                  <w:sz w:val="22"/>
                                  <w:szCs w:val="22"/>
                                </w:rPr>
                                <w:t xml:space="preserve">- </w:t>
                              </w:r>
                              <w:r w:rsidRPr="00AE55D0">
                                <w:rPr>
                                  <w:rFonts w:ascii="Calibri" w:hAnsi="Calibri"/>
                                  <w:color w:val="000000"/>
                                  <w:kern w:val="24"/>
                                  <w:sz w:val="22"/>
                                  <w:szCs w:val="22"/>
                                </w:rPr>
                                <w:t>Odbor územního rozvoje</w:t>
                              </w:r>
                            </w:p>
                            <w:p w14:paraId="359DAA76"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b/>
                                  <w:bCs/>
                                  <w:color w:val="000000"/>
                                  <w:kern w:val="24"/>
                                  <w:sz w:val="22"/>
                                  <w:szCs w:val="22"/>
                                </w:rPr>
                                <w:t xml:space="preserve">- </w:t>
                              </w:r>
                              <w:r w:rsidRPr="00AE55D0">
                                <w:rPr>
                                  <w:rFonts w:ascii="Calibri" w:hAnsi="Calibri"/>
                                  <w:color w:val="000000"/>
                                  <w:kern w:val="24"/>
                                  <w:sz w:val="22"/>
                                  <w:szCs w:val="22"/>
                                </w:rPr>
                                <w:t>Odbor územního plánování</w:t>
                              </w:r>
                            </w:p>
                            <w:p w14:paraId="7CA14C80"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hAnsi="Calibri"/>
                                  <w:color w:val="000000"/>
                                  <w:kern w:val="24"/>
                                  <w:sz w:val="22"/>
                                  <w:szCs w:val="22"/>
                                </w:rPr>
                                <w:t xml:space="preserve"> </w:t>
                              </w:r>
                              <w:r w:rsidRPr="00AE55D0">
                                <w:rPr>
                                  <w:rFonts w:ascii="Calibri"/>
                                  <w:color w:val="000000"/>
                                  <w:kern w:val="24"/>
                                  <w:sz w:val="22"/>
                                  <w:szCs w:val="22"/>
                                </w:rPr>
                                <w:t xml:space="preserve">- </w:t>
                              </w:r>
                              <w:r w:rsidRPr="00AE55D0">
                                <w:rPr>
                                  <w:rFonts w:ascii="Calibri" w:hAnsi="Calibri"/>
                                  <w:color w:val="000000"/>
                                  <w:kern w:val="24"/>
                                  <w:sz w:val="22"/>
                                  <w:szCs w:val="22"/>
                                </w:rPr>
                                <w:t>Odbor životního prostředí</w:t>
                              </w:r>
                            </w:p>
                            <w:p w14:paraId="5300D052"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hAnsi="Calibri"/>
                                  <w:color w:val="000000"/>
                                  <w:kern w:val="24"/>
                                  <w:sz w:val="22"/>
                                  <w:szCs w:val="22"/>
                                </w:rPr>
                                <w:t xml:space="preserve"> </w:t>
                              </w:r>
                              <w:r w:rsidRPr="00AE55D0">
                                <w:rPr>
                                  <w:rFonts w:ascii="Calibri"/>
                                  <w:color w:val="000000"/>
                                  <w:kern w:val="24"/>
                                  <w:sz w:val="22"/>
                                  <w:szCs w:val="22"/>
                                </w:rPr>
                                <w:t xml:space="preserve">- </w:t>
                              </w:r>
                              <w:r w:rsidRPr="00AE55D0">
                                <w:rPr>
                                  <w:rFonts w:ascii="Calibri" w:hAnsi="Calibri"/>
                                  <w:color w:val="000000"/>
                                  <w:kern w:val="24"/>
                                  <w:sz w:val="22"/>
                                  <w:szCs w:val="22"/>
                                </w:rPr>
                                <w:t xml:space="preserve">Ostatní odbory a organizace </w:t>
                              </w:r>
                            </w:p>
                          </w:txbxContent>
                        </wps:txbx>
                        <wps:bodyPr rot="0" vert="horz" wrap="square" lIns="91440" tIns="45720" rIns="91440" bIns="45720" anchor="t" anchorCtr="0" upright="1">
                          <a:noAutofit/>
                        </wps:bodyPr>
                      </wps:wsp>
                      <wps:wsp>
                        <wps:cNvPr id="39" name="TextovéPole 10"/>
                        <wps:cNvSpPr txBox="1">
                          <a:spLocks noChangeArrowheads="1"/>
                        </wps:cNvSpPr>
                        <wps:spPr bwMode="auto">
                          <a:xfrm>
                            <a:off x="0" y="3548748"/>
                            <a:ext cx="7238998" cy="1363004"/>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6144C383" w14:textId="77777777" w:rsidR="00511D9B" w:rsidRPr="00B411B7" w:rsidRDefault="00511D9B" w:rsidP="00B979A0">
                              <w:pPr>
                                <w:pStyle w:val="Normlnweb"/>
                                <w:ind w:left="-57" w:right="-57"/>
                                <w:jc w:val="center"/>
                                <w:textAlignment w:val="baseline"/>
                                <w:rPr>
                                  <w:sz w:val="20"/>
                                  <w:szCs w:val="22"/>
                                </w:rPr>
                              </w:pPr>
                              <w:r w:rsidRPr="00AE55D0">
                                <w:rPr>
                                  <w:rFonts w:ascii="Arial" w:hAnsi="Arial"/>
                                  <w:b/>
                                  <w:bCs/>
                                  <w:color w:val="000000"/>
                                  <w:kern w:val="24"/>
                                  <w:sz w:val="20"/>
                                  <w:szCs w:val="22"/>
                                </w:rPr>
                                <w:t xml:space="preserve">Sběr záměrů </w:t>
                              </w:r>
                              <w:r w:rsidRPr="00AE55D0">
                                <w:rPr>
                                  <w:rFonts w:ascii="Arial" w:hAnsi="Arial"/>
                                  <w:color w:val="000000"/>
                                  <w:kern w:val="24"/>
                                  <w:sz w:val="20"/>
                                  <w:szCs w:val="22"/>
                                </w:rPr>
                                <w:t>(koordinuje E</w:t>
                              </w:r>
                              <w:r>
                                <w:rPr>
                                  <w:rFonts w:ascii="Arial" w:hAnsi="Arial"/>
                                  <w:color w:val="000000"/>
                                  <w:kern w:val="24"/>
                                  <w:sz w:val="20"/>
                                  <w:szCs w:val="22"/>
                                </w:rPr>
                                <w:t>konomický odbor</w:t>
                              </w:r>
                              <w:r w:rsidRPr="00AE55D0">
                                <w:rPr>
                                  <w:rFonts w:ascii="Arial" w:hAnsi="Arial"/>
                                  <w:color w:val="000000"/>
                                  <w:kern w:val="24"/>
                                  <w:sz w:val="20"/>
                                  <w:szCs w:val="22"/>
                                </w:rPr>
                                <w:t>,</w:t>
                              </w:r>
                              <w:r>
                                <w:rPr>
                                  <w:rFonts w:ascii="Arial" w:hAnsi="Arial"/>
                                  <w:color w:val="000000"/>
                                  <w:kern w:val="24"/>
                                  <w:sz w:val="20"/>
                                  <w:szCs w:val="22"/>
                                </w:rPr>
                                <w:t xml:space="preserve"> oddělení projektů a strategií</w:t>
                              </w:r>
                              <w:r w:rsidRPr="00AE55D0">
                                <w:rPr>
                                  <w:rFonts w:ascii="Arial" w:hAnsi="Arial"/>
                                  <w:color w:val="000000"/>
                                  <w:kern w:val="24"/>
                                  <w:sz w:val="20"/>
                                  <w:szCs w:val="22"/>
                                </w:rPr>
                                <w:t xml:space="preserve">) </w:t>
                              </w:r>
                              <w:r w:rsidRPr="00AE55D0">
                                <w:rPr>
                                  <w:rFonts w:ascii="Arial" w:hAnsi="Arial"/>
                                  <w:b/>
                                  <w:bCs/>
                                  <w:color w:val="000000"/>
                                  <w:kern w:val="24"/>
                                  <w:sz w:val="20"/>
                                  <w:szCs w:val="22"/>
                                </w:rPr>
                                <w:t xml:space="preserve">a odborné posouzení projektů </w:t>
                              </w:r>
                            </w:p>
                            <w:p w14:paraId="260D5DBF" w14:textId="02C32708" w:rsidR="00511D9B" w:rsidRPr="00B411B7" w:rsidRDefault="00511D9B" w:rsidP="00B979A0">
                              <w:pPr>
                                <w:pStyle w:val="Normlnweb"/>
                                <w:ind w:left="-57" w:right="-57"/>
                                <w:jc w:val="center"/>
                                <w:textAlignment w:val="baseline"/>
                                <w:rPr>
                                  <w:sz w:val="20"/>
                                  <w:szCs w:val="20"/>
                                </w:rPr>
                              </w:pPr>
                              <w:r w:rsidRPr="00AE55D0">
                                <w:rPr>
                                  <w:rFonts w:ascii="Arial" w:hAnsi="Arial"/>
                                  <w:color w:val="000000"/>
                                  <w:kern w:val="24"/>
                                  <w:sz w:val="20"/>
                                  <w:szCs w:val="22"/>
                                </w:rPr>
                                <w:t xml:space="preserve">Strategickým </w:t>
                              </w:r>
                              <w:r>
                                <w:rPr>
                                  <w:rFonts w:ascii="Arial" w:hAnsi="Arial"/>
                                  <w:color w:val="000000"/>
                                  <w:kern w:val="24"/>
                                  <w:sz w:val="20"/>
                                  <w:szCs w:val="22"/>
                                </w:rPr>
                                <w:t>týmem udržitelného rozvoje</w:t>
                              </w:r>
                              <w:r w:rsidRPr="00AE55D0">
                                <w:rPr>
                                  <w:rFonts w:ascii="Arial" w:hAnsi="Arial"/>
                                  <w:color w:val="000000"/>
                                  <w:kern w:val="24"/>
                                  <w:sz w:val="20"/>
                                  <w:szCs w:val="22"/>
                                </w:rPr>
                                <w:t xml:space="preserve"> (respektive jeho pracovními skupinami – předsedou je starosta, místostarostové nebo tajemník; relevantní vedoucí je odborný garant) </w:t>
                              </w:r>
                              <w:r w:rsidRPr="00AE55D0">
                                <w:rPr>
                                  <w:rFonts w:ascii="Arial" w:hAnsi="Arial"/>
                                  <w:color w:val="000000"/>
                                  <w:kern w:val="24"/>
                                  <w:sz w:val="20"/>
                                  <w:szCs w:val="22"/>
                                </w:rPr>
                                <w:br/>
                                <w:t xml:space="preserve">na základě kritérií možností rozpočtu a rozpočtového výhledu, kvality, socioekonomického dopadu, souladu se </w:t>
                              </w:r>
                              <w:r w:rsidRPr="00AE55D0">
                                <w:rPr>
                                  <w:rFonts w:ascii="Arial" w:hAnsi="Arial"/>
                                  <w:color w:val="000000"/>
                                  <w:kern w:val="24"/>
                                  <w:sz w:val="20"/>
                                  <w:szCs w:val="20"/>
                                </w:rPr>
                                <w:t xml:space="preserve">strategickým </w:t>
                              </w:r>
                              <w:r>
                                <w:rPr>
                                  <w:rFonts w:ascii="Arial" w:hAnsi="Arial"/>
                                  <w:color w:val="000000"/>
                                  <w:kern w:val="24"/>
                                  <w:sz w:val="20"/>
                                  <w:szCs w:val="20"/>
                                </w:rPr>
                                <w:t xml:space="preserve"> dokumentem</w:t>
                              </w:r>
                              <w:r w:rsidRPr="00AE55D0">
                                <w:rPr>
                                  <w:rFonts w:ascii="Arial" w:hAnsi="Arial"/>
                                  <w:color w:val="000000"/>
                                  <w:kern w:val="24"/>
                                  <w:sz w:val="20"/>
                                  <w:szCs w:val="20"/>
                                </w:rPr>
                                <w:t xml:space="preserve"> a předchozích usnesení</w:t>
                              </w:r>
                              <w:r>
                                <w:rPr>
                                  <w:rFonts w:ascii="Arial" w:hAnsi="Arial"/>
                                  <w:color w:val="000000"/>
                                  <w:kern w:val="24"/>
                                  <w:sz w:val="20"/>
                                  <w:szCs w:val="20"/>
                                </w:rPr>
                                <w:t>ch</w:t>
                              </w:r>
                              <w:r w:rsidRPr="00AE55D0">
                                <w:rPr>
                                  <w:rFonts w:ascii="Arial" w:hAnsi="Arial"/>
                                  <w:color w:val="000000"/>
                                  <w:kern w:val="24"/>
                                  <w:sz w:val="20"/>
                                  <w:szCs w:val="20"/>
                                </w:rPr>
                                <w:t xml:space="preserve">. </w:t>
                              </w:r>
                            </w:p>
                          </w:txbxContent>
                        </wps:txbx>
                        <wps:bodyPr rot="0" vert="horz" wrap="square" lIns="91440" tIns="45720" rIns="91440" bIns="45720" anchor="t" anchorCtr="0" upright="1">
                          <a:noAutofit/>
                        </wps:bodyPr>
                      </wps:wsp>
                      <wps:wsp>
                        <wps:cNvPr id="48" name="Přímá spojovací čára 15"/>
                        <wps:cNvCnPr>
                          <a:cxnSpLocks noChangeShapeType="1"/>
                        </wps:cNvCnPr>
                        <wps:spPr bwMode="auto">
                          <a:xfrm>
                            <a:off x="38099" y="1890689"/>
                            <a:ext cx="9071999" cy="0"/>
                          </a:xfrm>
                          <a:prstGeom prst="line">
                            <a:avLst/>
                          </a:prstGeom>
                          <a:noFill/>
                          <a:ln w="57150" algn="ctr">
                            <a:solidFill>
                              <a:srgbClr val="FF0000"/>
                            </a:solidFill>
                            <a:round/>
                            <a:headEnd/>
                            <a:tailEnd/>
                          </a:ln>
                          <a:extLst>
                            <a:ext uri="{909E8E84-426E-40DD-AFC4-6F175D3DCCD1}">
                              <a14:hiddenFill xmlns:a14="http://schemas.microsoft.com/office/drawing/2010/main">
                                <a:noFill/>
                              </a14:hiddenFill>
                            </a:ext>
                          </a:extLst>
                        </wps:spPr>
                        <wps:bodyPr/>
                      </wps:wsp>
                      <wps:wsp>
                        <wps:cNvPr id="49" name="Elipsa 11"/>
                        <wps:cNvSpPr>
                          <a:spLocks noChangeArrowheads="1"/>
                        </wps:cNvSpPr>
                        <wps:spPr bwMode="auto">
                          <a:xfrm>
                            <a:off x="114300" y="1890689"/>
                            <a:ext cx="4824537" cy="1539056"/>
                          </a:xfrm>
                          <a:prstGeom prst="ellipse">
                            <a:avLst/>
                          </a:prstGeom>
                          <a:solidFill>
                            <a:srgbClr val="FFFFFF"/>
                          </a:solidFill>
                          <a:ln w="25400" algn="ctr">
                            <a:solidFill>
                              <a:srgbClr val="385D8A"/>
                            </a:solidFill>
                            <a:round/>
                            <a:headEnd/>
                            <a:tailEnd/>
                          </a:ln>
                        </wps:spPr>
                        <wps:txbx>
                          <w:txbxContent>
                            <w:p w14:paraId="69D2241A"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color w:val="000000"/>
                                  <w:kern w:val="24"/>
                                  <w:sz w:val="22"/>
                                  <w:szCs w:val="22"/>
                                </w:rPr>
                                <w:t xml:space="preserve">Projekty (požadavky, opatření) </w:t>
                              </w:r>
                              <w:r w:rsidRPr="00AE55D0">
                                <w:rPr>
                                  <w:rFonts w:ascii="Calibri" w:hAnsi="Calibri"/>
                                  <w:b/>
                                  <w:bCs/>
                                  <w:color w:val="000000"/>
                                  <w:kern w:val="24"/>
                                  <w:sz w:val="22"/>
                                  <w:szCs w:val="22"/>
                                </w:rPr>
                                <w:t xml:space="preserve">doporučené k zařazení do </w:t>
                              </w:r>
                            </w:p>
                            <w:p w14:paraId="3DBFF0BB"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color w:val="000000"/>
                                  <w:kern w:val="24"/>
                                  <w:sz w:val="22"/>
                                  <w:szCs w:val="22"/>
                                </w:rPr>
                                <w:t xml:space="preserve">Akčního </w:t>
                              </w:r>
                              <w:r w:rsidRPr="00D06211">
                                <w:rPr>
                                  <w:rFonts w:ascii="Calibri" w:hAnsi="Calibri"/>
                                  <w:b/>
                                  <w:color w:val="000000"/>
                                  <w:kern w:val="24"/>
                                  <w:sz w:val="22"/>
                                  <w:szCs w:val="22"/>
                                </w:rPr>
                                <w:t>plánu (kryto rozpočtem)</w:t>
                              </w:r>
                              <w:r w:rsidRPr="00AE55D0">
                                <w:rPr>
                                  <w:rFonts w:ascii="Calibri" w:hAnsi="Calibri"/>
                                  <w:color w:val="000000"/>
                                  <w:kern w:val="24"/>
                                  <w:sz w:val="22"/>
                                  <w:szCs w:val="22"/>
                                </w:rPr>
                                <w:t xml:space="preserve"> nebo do zásobníku projektů</w:t>
                              </w:r>
                            </w:p>
                          </w:txbxContent>
                        </wps:txbx>
                        <wps:bodyPr rot="0" vert="horz" wrap="square" lIns="91440" tIns="45720" rIns="91440" bIns="45720" anchor="ctr" anchorCtr="0" upright="1">
                          <a:noAutofit/>
                        </wps:bodyPr>
                      </wps:wsp>
                      <wps:wsp>
                        <wps:cNvPr id="50" name="TextovéPole 17"/>
                        <wps:cNvSpPr txBox="1">
                          <a:spLocks noChangeArrowheads="1"/>
                        </wps:cNvSpPr>
                        <wps:spPr bwMode="auto">
                          <a:xfrm>
                            <a:off x="1832957" y="1516414"/>
                            <a:ext cx="3860799" cy="44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3165F" w14:textId="77777777" w:rsidR="00511D9B" w:rsidRPr="00CB3614" w:rsidRDefault="00511D9B" w:rsidP="00B979A0">
                              <w:pPr>
                                <w:pStyle w:val="Normlnweb"/>
                                <w:spacing w:line="204" w:lineRule="auto"/>
                                <w:ind w:left="-57" w:right="-57"/>
                                <w:jc w:val="center"/>
                                <w:textAlignment w:val="baseline"/>
                                <w:rPr>
                                  <w:sz w:val="22"/>
                                  <w:szCs w:val="22"/>
                                </w:rPr>
                              </w:pPr>
                              <w:r w:rsidRPr="00AE55D0">
                                <w:rPr>
                                  <w:rFonts w:ascii="Arial" w:hAnsi="Arial"/>
                                  <w:b/>
                                  <w:bCs/>
                                  <w:color w:val="000000"/>
                                  <w:kern w:val="24"/>
                                  <w:sz w:val="22"/>
                                  <w:szCs w:val="22"/>
                                </w:rPr>
                                <w:t xml:space="preserve">Rozhodnutí </w:t>
                              </w:r>
                              <w:r w:rsidRPr="00D001FF">
                                <w:rPr>
                                  <w:rFonts w:ascii="Arial" w:hAnsi="Arial"/>
                                  <w:b/>
                                  <w:bCs/>
                                  <w:color w:val="FF0000"/>
                                  <w:kern w:val="24"/>
                                  <w:sz w:val="22"/>
                                  <w:szCs w:val="22"/>
                                </w:rPr>
                                <w:t>rady/</w:t>
                              </w:r>
                              <w:r>
                                <w:rPr>
                                  <w:rFonts w:ascii="Arial" w:hAnsi="Arial"/>
                                  <w:b/>
                                  <w:bCs/>
                                  <w:color w:val="FF0000"/>
                                  <w:kern w:val="24"/>
                                  <w:sz w:val="22"/>
                                  <w:szCs w:val="22"/>
                                </w:rPr>
                                <w:t>zastupitelstva</w:t>
                              </w:r>
                              <w:r w:rsidRPr="00AE55D0">
                                <w:rPr>
                                  <w:rFonts w:ascii="Arial" w:hAnsi="Arial"/>
                                  <w:b/>
                                  <w:bCs/>
                                  <w:color w:val="000000"/>
                                  <w:kern w:val="24"/>
                                  <w:sz w:val="22"/>
                                  <w:szCs w:val="22"/>
                                </w:rPr>
                                <w:t xml:space="preserve"> o zařazení do Akčního plánu </w:t>
                              </w:r>
                            </w:p>
                          </w:txbxContent>
                        </wps:txbx>
                        <wps:bodyPr rot="0" vert="horz" wrap="square" lIns="91440" tIns="45720" rIns="91440" bIns="45720" anchor="t" anchorCtr="0" upright="1">
                          <a:noAutofit/>
                        </wps:bodyPr>
                      </wps:wsp>
                      <wps:wsp>
                        <wps:cNvPr id="51" name="Elipsa 21"/>
                        <wps:cNvSpPr>
                          <a:spLocks noChangeArrowheads="1"/>
                        </wps:cNvSpPr>
                        <wps:spPr bwMode="auto">
                          <a:xfrm>
                            <a:off x="2" y="323850"/>
                            <a:ext cx="3389901" cy="1224136"/>
                          </a:xfrm>
                          <a:prstGeom prst="ellipse">
                            <a:avLst/>
                          </a:prstGeom>
                          <a:solidFill>
                            <a:srgbClr val="D6E3BC"/>
                          </a:solidFill>
                          <a:ln w="25400" algn="ctr">
                            <a:solidFill>
                              <a:srgbClr val="71893F"/>
                            </a:solidFill>
                            <a:round/>
                            <a:headEnd/>
                            <a:tailEnd/>
                          </a:ln>
                        </wps:spPr>
                        <wps:txbx>
                          <w:txbxContent>
                            <w:p w14:paraId="4AFDE538" w14:textId="77777777" w:rsidR="00511D9B" w:rsidRDefault="00511D9B" w:rsidP="00B979A0">
                              <w:pPr>
                                <w:pStyle w:val="Normlnweb"/>
                                <w:spacing w:line="204" w:lineRule="auto"/>
                                <w:jc w:val="center"/>
                                <w:textAlignment w:val="baseline"/>
                                <w:rPr>
                                  <w:rFonts w:ascii="Calibri" w:hAnsi="Calibri"/>
                                  <w:b/>
                                  <w:bCs/>
                                  <w:color w:val="000000"/>
                                  <w:kern w:val="24"/>
                                  <w:sz w:val="28"/>
                                  <w:szCs w:val="22"/>
                                </w:rPr>
                              </w:pPr>
                              <w:r w:rsidRPr="00D06211">
                                <w:rPr>
                                  <w:rFonts w:ascii="Calibri" w:hAnsi="Calibri"/>
                                  <w:b/>
                                  <w:bCs/>
                                  <w:color w:val="000000"/>
                                  <w:kern w:val="24"/>
                                  <w:sz w:val="28"/>
                                  <w:szCs w:val="22"/>
                                </w:rPr>
                                <w:t xml:space="preserve">Projekty kryté rozpočtem </w:t>
                              </w:r>
                            </w:p>
                            <w:p w14:paraId="094F83B7" w14:textId="77777777" w:rsidR="00511D9B" w:rsidRPr="00636DEA" w:rsidRDefault="00511D9B" w:rsidP="00B979A0">
                              <w:pPr>
                                <w:pStyle w:val="Normlnweb"/>
                                <w:spacing w:line="204" w:lineRule="auto"/>
                                <w:jc w:val="center"/>
                                <w:textAlignment w:val="baseline"/>
                                <w:rPr>
                                  <w:szCs w:val="22"/>
                                </w:rPr>
                              </w:pPr>
                              <w:r w:rsidRPr="00D06211">
                                <w:rPr>
                                  <w:rFonts w:ascii="Calibri" w:hAnsi="Calibri"/>
                                  <w:color w:val="000000"/>
                                  <w:kern w:val="24"/>
                                  <w:szCs w:val="22"/>
                                </w:rPr>
                                <w:t xml:space="preserve">a </w:t>
                              </w:r>
                              <w:r w:rsidRPr="00636DEA">
                                <w:rPr>
                                  <w:rFonts w:ascii="Calibri" w:hAnsi="Calibri"/>
                                  <w:color w:val="000000"/>
                                  <w:kern w:val="24"/>
                                  <w:szCs w:val="22"/>
                                </w:rPr>
                                <w:t>začleněné do Akčního plánu</w:t>
                              </w:r>
                            </w:p>
                          </w:txbxContent>
                        </wps:txbx>
                        <wps:bodyPr rot="0" vert="horz" wrap="square" lIns="91440" tIns="45720" rIns="91440" bIns="45720" anchor="ctr" anchorCtr="0" upright="1">
                          <a:noAutofit/>
                        </wps:bodyPr>
                      </wps:wsp>
                      <wps:wsp>
                        <wps:cNvPr id="52" name="Elipsa 22"/>
                        <wps:cNvSpPr>
                          <a:spLocks noChangeArrowheads="1"/>
                        </wps:cNvSpPr>
                        <wps:spPr bwMode="auto">
                          <a:xfrm>
                            <a:off x="3848102" y="323850"/>
                            <a:ext cx="3032348" cy="1224136"/>
                          </a:xfrm>
                          <a:prstGeom prst="ellipse">
                            <a:avLst/>
                          </a:prstGeom>
                          <a:solidFill>
                            <a:srgbClr val="FFCCCC"/>
                          </a:solidFill>
                          <a:ln w="25400" algn="ctr">
                            <a:solidFill>
                              <a:srgbClr val="8C3836"/>
                            </a:solidFill>
                            <a:round/>
                            <a:headEnd/>
                            <a:tailEnd/>
                          </a:ln>
                        </wps:spPr>
                        <wps:txbx>
                          <w:txbxContent>
                            <w:p w14:paraId="4A7CCC4F" w14:textId="77777777" w:rsidR="00511D9B" w:rsidRPr="00636DEA" w:rsidRDefault="00511D9B" w:rsidP="00B979A0">
                              <w:pPr>
                                <w:pStyle w:val="Normlnweb"/>
                                <w:spacing w:line="204" w:lineRule="auto"/>
                                <w:jc w:val="center"/>
                                <w:textAlignment w:val="baseline"/>
                                <w:rPr>
                                  <w:szCs w:val="22"/>
                                </w:rPr>
                              </w:pPr>
                              <w:r w:rsidRPr="00D06211">
                                <w:rPr>
                                  <w:rFonts w:ascii="Calibri" w:hAnsi="Calibri"/>
                                  <w:b/>
                                  <w:bCs/>
                                  <w:color w:val="000000"/>
                                  <w:kern w:val="24"/>
                                  <w:sz w:val="28"/>
                                  <w:szCs w:val="22"/>
                                </w:rPr>
                                <w:t xml:space="preserve">Projekty               v zásobníku </w:t>
                              </w:r>
                              <w:r w:rsidRPr="00636DEA">
                                <w:rPr>
                                  <w:rFonts w:ascii="Calibri" w:hAnsi="Calibri"/>
                                  <w:color w:val="000000"/>
                                  <w:kern w:val="24"/>
                                  <w:szCs w:val="22"/>
                                </w:rPr>
                                <w:t>(</w:t>
                              </w:r>
                              <w:r>
                                <w:rPr>
                                  <w:rFonts w:ascii="Calibri" w:hAnsi="Calibri"/>
                                  <w:color w:val="000000"/>
                                  <w:kern w:val="24"/>
                                  <w:szCs w:val="22"/>
                                </w:rPr>
                                <w:t>nezařazeny do rozpočtu</w:t>
                              </w:r>
                              <w:r w:rsidRPr="00636DEA">
                                <w:rPr>
                                  <w:rFonts w:ascii="Calibri" w:hAnsi="Calibri"/>
                                  <w:color w:val="000000"/>
                                  <w:kern w:val="24"/>
                                  <w:szCs w:val="22"/>
                                </w:rPr>
                                <w:t xml:space="preserve">) </w:t>
                              </w:r>
                            </w:p>
                          </w:txbxContent>
                        </wps:txbx>
                        <wps:bodyPr rot="0" vert="horz" wrap="square" lIns="91440" tIns="45720" rIns="91440" bIns="45720" anchor="ctr" anchorCtr="0" upright="1">
                          <a:noAutofit/>
                        </wps:bodyPr>
                      </wps:wsp>
                      <wps:wsp>
                        <wps:cNvPr id="53" name="Šipka doleva 25"/>
                        <wps:cNvSpPr>
                          <a:spLocks noChangeArrowheads="1"/>
                        </wps:cNvSpPr>
                        <wps:spPr bwMode="auto">
                          <a:xfrm rot="7932811">
                            <a:off x="4200802" y="1051623"/>
                            <a:ext cx="250859" cy="524318"/>
                          </a:xfrm>
                          <a:prstGeom prst="left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54" name="Šipka doleva 27"/>
                        <wps:cNvSpPr>
                          <a:spLocks noChangeArrowheads="1"/>
                        </wps:cNvSpPr>
                        <wps:spPr bwMode="auto">
                          <a:xfrm rot="2561940">
                            <a:off x="2499332" y="1154693"/>
                            <a:ext cx="432046" cy="360040"/>
                          </a:xfrm>
                          <a:prstGeom prst="left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55" name="Šipka doprava 18"/>
                        <wps:cNvSpPr>
                          <a:spLocks noChangeArrowheads="1"/>
                        </wps:cNvSpPr>
                        <wps:spPr bwMode="auto">
                          <a:xfrm>
                            <a:off x="3562350" y="5734050"/>
                            <a:ext cx="432048" cy="432048"/>
                          </a:xfrm>
                          <a:prstGeom prst="right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56" name="Šipka nahoru 20"/>
                        <wps:cNvSpPr>
                          <a:spLocks noChangeArrowheads="1"/>
                        </wps:cNvSpPr>
                        <wps:spPr bwMode="auto">
                          <a:xfrm>
                            <a:off x="5391150" y="4830995"/>
                            <a:ext cx="360041" cy="288032"/>
                          </a:xfrm>
                          <a:prstGeom prst="up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57" name="Šipka nahoru 23"/>
                        <wps:cNvSpPr>
                          <a:spLocks noChangeArrowheads="1"/>
                        </wps:cNvSpPr>
                        <wps:spPr bwMode="auto">
                          <a:xfrm>
                            <a:off x="1581151" y="4830995"/>
                            <a:ext cx="360041" cy="288032"/>
                          </a:xfrm>
                          <a:prstGeom prst="up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58" name="Elipsa 11"/>
                        <wps:cNvSpPr>
                          <a:spLocks noChangeArrowheads="1"/>
                        </wps:cNvSpPr>
                        <wps:spPr bwMode="auto">
                          <a:xfrm>
                            <a:off x="4360439" y="1890689"/>
                            <a:ext cx="3503099" cy="1539056"/>
                          </a:xfrm>
                          <a:prstGeom prst="ellipse">
                            <a:avLst/>
                          </a:prstGeom>
                          <a:solidFill>
                            <a:srgbClr val="FFFFFF"/>
                          </a:solidFill>
                          <a:ln w="25400" algn="ctr">
                            <a:solidFill>
                              <a:srgbClr val="385D8A"/>
                            </a:solidFill>
                            <a:round/>
                            <a:headEnd/>
                            <a:tailEnd/>
                          </a:ln>
                        </wps:spPr>
                        <wps:txbx>
                          <w:txbxContent>
                            <w:p w14:paraId="30B6E1D2"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b/>
                                  <w:bCs/>
                                  <w:color w:val="000000"/>
                                  <w:kern w:val="24"/>
                                  <w:sz w:val="22"/>
                                  <w:szCs w:val="22"/>
                                </w:rPr>
                                <w:t xml:space="preserve">Odmítnutí </w:t>
                              </w:r>
                              <w:r w:rsidRPr="00AE55D0">
                                <w:rPr>
                                  <w:rFonts w:ascii="Calibri" w:hAnsi="Calibri"/>
                                  <w:color w:val="000000"/>
                                  <w:kern w:val="24"/>
                                  <w:sz w:val="22"/>
                                  <w:szCs w:val="22"/>
                                </w:rPr>
                                <w:t>projektu či požadavku a vrácení k vyřízení či doplnění relevantnímu odboru</w:t>
                              </w:r>
                            </w:p>
                          </w:txbxContent>
                        </wps:txbx>
                        <wps:bodyPr rot="0" vert="horz" wrap="square" lIns="91440" tIns="45720" rIns="91440" bIns="45720" anchor="ctr" anchorCtr="0" upright="1">
                          <a:noAutofit/>
                        </wps:bodyPr>
                      </wps:wsp>
                      <wps:wsp>
                        <wps:cNvPr id="59" name="Šipka nahoru 26"/>
                        <wps:cNvSpPr>
                          <a:spLocks noChangeArrowheads="1"/>
                        </wps:cNvSpPr>
                        <wps:spPr bwMode="auto">
                          <a:xfrm>
                            <a:off x="2360630" y="3216882"/>
                            <a:ext cx="360041" cy="335390"/>
                          </a:xfrm>
                          <a:prstGeom prst="up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60" name="Šipka nahoru 28"/>
                        <wps:cNvSpPr>
                          <a:spLocks noChangeArrowheads="1"/>
                        </wps:cNvSpPr>
                        <wps:spPr bwMode="auto">
                          <a:xfrm>
                            <a:off x="5874309" y="3231811"/>
                            <a:ext cx="360041" cy="335390"/>
                          </a:xfrm>
                          <a:prstGeom prst="upArrow">
                            <a:avLst>
                              <a:gd name="adj1" fmla="val 50000"/>
                              <a:gd name="adj2" fmla="val 50000"/>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61" name="Šipka nahoru 29"/>
                        <wps:cNvSpPr>
                          <a:spLocks noChangeArrowheads="1"/>
                        </wps:cNvSpPr>
                        <wps:spPr bwMode="auto">
                          <a:xfrm rot="10800000" flipH="1">
                            <a:off x="7117059" y="3038207"/>
                            <a:ext cx="246857" cy="2232248"/>
                          </a:xfrm>
                          <a:prstGeom prst="upArrow">
                            <a:avLst>
                              <a:gd name="adj1" fmla="val 50000"/>
                              <a:gd name="adj2" fmla="val 49986"/>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wps:wsp>
                        <wps:cNvPr id="62" name="Vývojový diagram: alternativní postup 30"/>
                        <wps:cNvSpPr>
                          <a:spLocks noChangeArrowheads="1"/>
                        </wps:cNvSpPr>
                        <wps:spPr bwMode="auto">
                          <a:xfrm>
                            <a:off x="7315200" y="400050"/>
                            <a:ext cx="1799427" cy="1384528"/>
                          </a:xfrm>
                          <a:prstGeom prst="flowChartAlternateProcess">
                            <a:avLst/>
                          </a:prstGeom>
                          <a:solidFill>
                            <a:srgbClr val="FFFF99"/>
                          </a:solidFill>
                          <a:ln w="25400" algn="ctr">
                            <a:solidFill>
                              <a:srgbClr val="000000"/>
                            </a:solidFill>
                            <a:miter lim="800000"/>
                            <a:headEnd/>
                            <a:tailEnd/>
                          </a:ln>
                        </wps:spPr>
                        <wps:txbx>
                          <w:txbxContent>
                            <w:p w14:paraId="7301F713" w14:textId="77777777" w:rsidR="00511D9B" w:rsidRPr="00AE55D0" w:rsidRDefault="00511D9B" w:rsidP="00B979A0">
                              <w:pPr>
                                <w:pStyle w:val="Normlnweb"/>
                                <w:ind w:left="-57" w:right="-57"/>
                                <w:jc w:val="center"/>
                                <w:textAlignment w:val="baseline"/>
                                <w:rPr>
                                  <w:rFonts w:ascii="Calibri" w:hAnsi="Calibri"/>
                                  <w:b/>
                                  <w:bCs/>
                                  <w:color w:val="000000"/>
                                  <w:kern w:val="24"/>
                                  <w:sz w:val="22"/>
                                  <w:szCs w:val="22"/>
                                </w:rPr>
                              </w:pPr>
                            </w:p>
                            <w:p w14:paraId="2D70802D" w14:textId="77777777" w:rsidR="00511D9B" w:rsidRPr="00B411B7" w:rsidRDefault="00511D9B" w:rsidP="00B979A0">
                              <w:pPr>
                                <w:pStyle w:val="Normlnweb"/>
                                <w:ind w:left="-57" w:right="-57"/>
                                <w:jc w:val="center"/>
                                <w:textAlignment w:val="baseline"/>
                                <w:rPr>
                                  <w:sz w:val="22"/>
                                  <w:szCs w:val="22"/>
                                </w:rPr>
                              </w:pPr>
                              <w:r w:rsidRPr="00AE55D0">
                                <w:rPr>
                                  <w:rFonts w:ascii="Calibri" w:hAnsi="Calibri"/>
                                  <w:b/>
                                  <w:bCs/>
                                  <w:color w:val="000000"/>
                                  <w:kern w:val="24"/>
                                  <w:sz w:val="22"/>
                                  <w:szCs w:val="22"/>
                                </w:rPr>
                                <w:t>Politická odpovědnost volených představitelů</w:t>
                              </w:r>
                            </w:p>
                          </w:txbxContent>
                        </wps:txbx>
                        <wps:bodyPr rot="0" vert="horz" wrap="square" lIns="91440" tIns="45720" rIns="91440" bIns="45720" anchor="t" anchorCtr="0" upright="1">
                          <a:noAutofit/>
                        </wps:bodyPr>
                      </wps:wsp>
                      <wps:wsp>
                        <wps:cNvPr id="63" name="Vývojový diagram: alternativní postup 31"/>
                        <wps:cNvSpPr>
                          <a:spLocks noChangeArrowheads="1"/>
                        </wps:cNvSpPr>
                        <wps:spPr bwMode="auto">
                          <a:xfrm>
                            <a:off x="7448550" y="2686050"/>
                            <a:ext cx="1764196" cy="1960592"/>
                          </a:xfrm>
                          <a:prstGeom prst="flowChartAlternateProcess">
                            <a:avLst/>
                          </a:prstGeom>
                          <a:solidFill>
                            <a:srgbClr val="FFFF99"/>
                          </a:solidFill>
                          <a:ln w="25400" algn="ctr">
                            <a:solidFill>
                              <a:srgbClr val="000000"/>
                            </a:solidFill>
                            <a:miter lim="800000"/>
                            <a:headEnd/>
                            <a:tailEnd/>
                          </a:ln>
                        </wps:spPr>
                        <wps:txbx>
                          <w:txbxContent>
                            <w:p w14:paraId="4FF203F5" w14:textId="77777777" w:rsidR="00511D9B" w:rsidRPr="00AE55D0" w:rsidRDefault="00511D9B" w:rsidP="00B979A0">
                              <w:pPr>
                                <w:pStyle w:val="Normlnweb"/>
                                <w:ind w:left="-113" w:right="-113"/>
                                <w:jc w:val="center"/>
                                <w:textAlignment w:val="baseline"/>
                                <w:rPr>
                                  <w:rFonts w:ascii="Calibri" w:hAnsi="Calibri"/>
                                  <w:b/>
                                  <w:bCs/>
                                  <w:color w:val="000000"/>
                                  <w:kern w:val="24"/>
                                  <w:sz w:val="22"/>
                                  <w:szCs w:val="22"/>
                                </w:rPr>
                              </w:pPr>
                            </w:p>
                            <w:p w14:paraId="128E9E08" w14:textId="77777777" w:rsidR="00511D9B" w:rsidRPr="00AE55D0" w:rsidRDefault="00511D9B" w:rsidP="00B979A0">
                              <w:pPr>
                                <w:pStyle w:val="Normlnweb"/>
                                <w:ind w:left="-113" w:right="-113"/>
                                <w:jc w:val="center"/>
                                <w:textAlignment w:val="baseline"/>
                                <w:rPr>
                                  <w:rFonts w:ascii="Calibri" w:hAnsi="Calibri"/>
                                  <w:b/>
                                  <w:bCs/>
                                  <w:color w:val="000000"/>
                                  <w:kern w:val="24"/>
                                  <w:sz w:val="22"/>
                                  <w:szCs w:val="22"/>
                                </w:rPr>
                              </w:pPr>
                            </w:p>
                            <w:p w14:paraId="04514C16" w14:textId="77777777" w:rsidR="00511D9B" w:rsidRPr="00CB3614" w:rsidRDefault="00511D9B" w:rsidP="00B979A0">
                              <w:pPr>
                                <w:pStyle w:val="Normlnweb"/>
                                <w:ind w:left="-113" w:right="-113"/>
                                <w:jc w:val="center"/>
                                <w:textAlignment w:val="baseline"/>
                                <w:rPr>
                                  <w:sz w:val="22"/>
                                  <w:szCs w:val="22"/>
                                </w:rPr>
                              </w:pPr>
                              <w:r w:rsidRPr="00AE55D0">
                                <w:rPr>
                                  <w:rFonts w:ascii="Calibri" w:hAnsi="Calibri"/>
                                  <w:b/>
                                  <w:bCs/>
                                  <w:color w:val="000000"/>
                                  <w:kern w:val="24"/>
                                  <w:sz w:val="22"/>
                                  <w:szCs w:val="22"/>
                                </w:rPr>
                                <w:t>Odborné a transparentní posouzení požadavků</w:t>
                              </w:r>
                            </w:p>
                          </w:txbxContent>
                        </wps:txbx>
                        <wps:bodyPr rot="0" vert="horz" wrap="square" lIns="91440" tIns="45720" rIns="91440" bIns="45720" anchor="t" anchorCtr="0" upright="1">
                          <a:noAutofit/>
                        </wps:bodyPr>
                      </wps:wsp>
                      <wps:wsp>
                        <wps:cNvPr id="24032" name="Vývojový diagram: alternativní postup 32"/>
                        <wps:cNvSpPr>
                          <a:spLocks noChangeArrowheads="1"/>
                        </wps:cNvSpPr>
                        <wps:spPr bwMode="auto">
                          <a:xfrm>
                            <a:off x="7448552" y="5010150"/>
                            <a:ext cx="1810678" cy="1876400"/>
                          </a:xfrm>
                          <a:prstGeom prst="flowChartAlternateProcess">
                            <a:avLst/>
                          </a:prstGeom>
                          <a:solidFill>
                            <a:srgbClr val="FFFF99"/>
                          </a:solidFill>
                          <a:ln w="25400" algn="ctr">
                            <a:solidFill>
                              <a:srgbClr val="000000"/>
                            </a:solidFill>
                            <a:miter lim="800000"/>
                            <a:headEnd/>
                            <a:tailEnd/>
                          </a:ln>
                        </wps:spPr>
                        <wps:txbx>
                          <w:txbxContent>
                            <w:p w14:paraId="3DE09DCB" w14:textId="77777777" w:rsidR="00511D9B" w:rsidRPr="00CB3614" w:rsidRDefault="00511D9B" w:rsidP="002D76F7">
                              <w:pPr>
                                <w:pStyle w:val="Normlnweb"/>
                                <w:spacing w:after="20"/>
                                <w:ind w:left="-57" w:right="-57"/>
                                <w:jc w:val="center"/>
                                <w:textAlignment w:val="baseline"/>
                                <w:rPr>
                                  <w:sz w:val="22"/>
                                  <w:szCs w:val="22"/>
                                </w:rPr>
                              </w:pPr>
                              <w:r w:rsidRPr="00AE55D0">
                                <w:rPr>
                                  <w:rFonts w:ascii="Calibri" w:hAnsi="Calibri"/>
                                  <w:b/>
                                  <w:bCs/>
                                  <w:color w:val="000000"/>
                                  <w:kern w:val="24"/>
                                  <w:sz w:val="22"/>
                                  <w:szCs w:val="22"/>
                                </w:rPr>
                                <w:t>Posouzení odborem, zda je operativní požadavek nebo požadavek do Akčního plánu</w:t>
                              </w:r>
                            </w:p>
                          </w:txbxContent>
                        </wps:txbx>
                        <wps:bodyPr rot="0" vert="horz" wrap="square" lIns="91440" tIns="45720" rIns="91440" bIns="45720" anchor="t" anchorCtr="0" upright="1">
                          <a:noAutofit/>
                        </wps:bodyPr>
                      </wps:wsp>
                      <wps:wsp>
                        <wps:cNvPr id="24033" name="Přímá spojovací čára 15"/>
                        <wps:cNvCnPr>
                          <a:cxnSpLocks noChangeShapeType="1"/>
                        </wps:cNvCnPr>
                        <wps:spPr bwMode="auto">
                          <a:xfrm>
                            <a:off x="38100" y="5010150"/>
                            <a:ext cx="9072000" cy="0"/>
                          </a:xfrm>
                          <a:prstGeom prst="line">
                            <a:avLst/>
                          </a:prstGeom>
                          <a:noFill/>
                          <a:ln w="57150" algn="ctr">
                            <a:solidFill>
                              <a:srgbClr val="FF0000"/>
                            </a:solidFill>
                            <a:round/>
                            <a:headEnd/>
                            <a:tailEnd/>
                          </a:ln>
                          <a:extLst>
                            <a:ext uri="{909E8E84-426E-40DD-AFC4-6F175D3DCCD1}">
                              <a14:hiddenFill xmlns:a14="http://schemas.microsoft.com/office/drawing/2010/main">
                                <a:noFill/>
                              </a14:hiddenFill>
                            </a:ext>
                          </a:extLst>
                        </wps:spPr>
                        <wps:bodyPr/>
                      </wps:wsp>
                      <wps:wsp>
                        <wps:cNvPr id="24034" name="Nadpis 1"/>
                        <wps:cNvSpPr txBox="1">
                          <a:spLocks/>
                        </wps:cNvSpPr>
                        <wps:spPr bwMode="auto">
                          <a:xfrm>
                            <a:off x="0" y="0"/>
                            <a:ext cx="6948264" cy="393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23841" w14:textId="77777777" w:rsidR="00511D9B" w:rsidRPr="00CB3614" w:rsidRDefault="00511D9B" w:rsidP="00B979A0">
                              <w:pPr>
                                <w:pStyle w:val="Normlnweb"/>
                                <w:textAlignment w:val="baseline"/>
                                <w:rPr>
                                  <w:sz w:val="22"/>
                                  <w:szCs w:val="22"/>
                                </w:rPr>
                              </w:pPr>
                              <w:r w:rsidRPr="00AE55D0">
                                <w:rPr>
                                  <w:rFonts w:ascii="Arial" w:hAnsi="Arial"/>
                                  <w:b/>
                                  <w:bCs/>
                                  <w:color w:val="000000"/>
                                  <w:kern w:val="24"/>
                                  <w:sz w:val="22"/>
                                  <w:szCs w:val="22"/>
                                </w:rPr>
                                <w:t>Schéma tvorby Akčního plánu</w:t>
                              </w:r>
                            </w:p>
                          </w:txbxContent>
                        </wps:txbx>
                        <wps:bodyPr rot="0" vert="horz" wrap="square" lIns="91440" tIns="45720" rIns="91440" bIns="45720" anchor="ctr" anchorCtr="0" upright="1">
                          <a:noAutofit/>
                        </wps:bodyPr>
                      </wps:wsp>
                    </wpg:wgp>
                  </a:graphicData>
                </a:graphic>
              </wp:inline>
            </w:drawing>
          </mc:Choice>
          <mc:Fallback>
            <w:pict>
              <v:group w14:anchorId="5A507D0D" id="Skupina 36" o:spid="_x0000_s1338" style="width:415.2pt;height:495.7pt;mso-position-horizontal-relative:char;mso-position-vertical-relative:line" coordsize="92592,6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pbTgkAAEVIAAAOAAAAZHJzL2Uyb0RvYy54bWzsXN1yo8gVvk9V3oHSvUb0D9CoRrNlS9Yk&#10;VZNdV80k920JSewgIIAsO6k8Qh4gd7uXudhH2Ctn3yvndAMCWbJk2WLHVfhCBgFN/5zvnO/8tN5/&#10;d7cMjFsvSf0oHHTIO7NjeOEkmvrhfND565dxV3SMNJPhVAZR6A06917a+e7DH//wfh33PRotomDq&#10;JQY0Eqb9dTzoLLIs7vd66WThLWX6Loq9EC7OomQpMzhN5r1pItfQ+jLoUdO0e+somcZJNPHSFL4d&#10;6YudD6r92cybZD/MZqmXGcGgA33L1GeiPm/ws/fhvezPExkv/EneDXlCL5bSD+GlZVMjmUljlfiP&#10;mlr6kyRKo1n2bhIte9Fs5k88NQYYDTG3RvMxiVaxGsu8v57H5TTB1G7N08nNTr6/vU4MfzroMLtj&#10;hHIJa/T56yr2Q2nANzA963jeh7s+JvHn+DrRY4TDT9HkawqXe9vX8XyubzZu1n+JptCiXGWRmp67&#10;WbLEJmDgxp1ahftyFby7zJjAlxZ1mMlhsSZwzaauxdx8nSYLWMxHz00WV/mTLrVcyoonhbAtSz3Z&#10;k339YtXZvHM4MpC5dDOt6cum9fNCxp5arRQnrJhWp5jWvz38ehv9GN0+/GpMfQkyt+wbMsi8JJSZ&#10;fxs+/GLEUZqtYoPpaVetFHOe6gk3wmi4kOHcu0iSaL3w5BQ6TfB+GFrlATxJYbmOXAHLFDbTcyX7&#10;xTow2+XMge7jOhBhmoA39aZiNmU/TtLsoxctDTwYdGZBtIbuJdlFPizvWiNTrb28/ZRm2NPNcygK&#10;aRT407EfBOokmd8Mg8S4lYDXsfrLX1m7LQiN9aBDLQ49gjmcg+qZZIl6S+2+tNocE9ZIXOxqbunD&#10;KhiBvxx0YJjwhzfJPk7vVThVx5n0A30M3Q/CfL5xirUcZXc3dwpGhKvlwAW4iab3sARJpLUOaEk4&#10;WETJPzrGGjTOoJP+fSUTr2MEfw5hGV3CUeozdcIth8JJUr1yU70iwwk0NehkMAHqcJhptbaKE3++&#10;gDcRNR9hdAHgm/lq5je9ygcA4t8UDsAQaPVyNA44LkNNrEFazoQDEHTuMhB2kPU9aDBNDhBp0QDI&#10;eAYaaLGILRqqVsEt0PAF1C3YhP9eR4FnEKV5KiJvZHeXEdhEjeVzCT9INYg9s7hwuNC6rzACDmXC&#10;dQG7yggwmwEK8I7SpG6UeW4EEuBcT+n7MEJlr5SqVuOuRa0Dqlsp5cL41DQ8Gp6RTBfaYqT3KZ7o&#10;IZyi1ZX1AzOF6h+nQFG4f7qmeyWuBO9yal91uTkadS/GQ961x8SxRmw0HI7Iv3AIhPcX/nTqhTjE&#10;gk4SfhyvyImtJoIloayNtmbP9pnHXr0baq1gLMV/NTrFFnZar5J8tHit4BVgkVuv69/+8/DL8uFn&#10;I42RzMkJ8Lb//fvh50QaxCp0HdC/YajJ8uQuzMlyyd0UUfxyHwMxrlE3/Qii/yjqxoTpghpR5Mw1&#10;beHWkeuaDnHxBkRugZ2Cf28Rt8APkbnK/h6O9gizlkPQFh5LvcbjglWB3qhJNHg4OcN6km19e7gs&#10;p+QEuGlooRbFxW6Og/HS6lwFfpyCxJZcFST2c+7encvKEMLBeuwXWC4ot5CCKVODXp+lHND9psYL&#10;cBhPSm5N2I5Sn0jvX9W7OFLE96vkkgc3opLRkXobLgVqIO1S1EmUU1HDKNTNkCgiGMQqtAdBLGJz&#10;otat4k8L23QKhcw5RW/v9ZgUau+KTlI+6renNZ8Px73qtUbQCOXmJXW7Y1s4XT7mVtd1TNE1iXvp&#10;2iZ3+WhcJ2ifwOK9nKChnngRfX0mRy35JXa/IHTF/wPEriQnjWiRtxKWsEihQ3KTSJs0iVQ7XuBj&#10;PQq+odtlQueUMaSUEx2NPZMxHNlX7HKYq6MaSE8yhg4RLhvvau7FxjCPSTcUXXtDxhBkSRvDQpDL&#10;yEsD3I4JLoj5hDibjDJ0opoR5/F4CH+75O8kcRZDJkr41dDxYnEuuUojWvkNiTMrxPm3n/z4qzSm&#10;EB+7lQaEioAzVSJkyHte1WPR8XrHZVSAe4TN58kqDvkPkcs4MYHhURUr2RA8CoFjK3e4LcoZUbG0&#10;/Ro78GaZyuNsXG983XyaA1lOfwQDMFsGkJGEhIhhFU50/R5A3Y574LXKmVfsoHD31WTtzbfwsSCX&#10;o1dDzVnzLS1cIHKwyTJafA9cSv1yLiOg4UItm7jgz1TgQrnrMqZNAiEWt90tuHBGTQ5JZzQJzIa4&#10;8gF3qIXL6enJFi51uFiP4BInEsyLVtnnNC8VhDALTAgGMQAAlsO4ue0EKITkpCk/fjpggInf1qJs&#10;zOSTMeWtgFsLkTpEynKgnICFEuoNVgZUJZyZgFUQAkFgMB0aIVwwyHco+rehXMpu5F4yFQK8jJy+&#10;7El0rOIWHi08nlUtt7usCwO92t3egociOQ0ZEGKBi4IRLDAgLTx+1/qv1nrUrUeZL/89Mo0czAJn&#10;T+TGgXWhMWlTjSqSUqldVBEL1F6tPNflucycb6n7Mhx9Lv+6woYoiDUUYOU5A2ILodjObjbEWFE3&#10;vT8A1bKhU8t9W3jU4GGXmfgteJT6pAF4WFC9CFq9SKkRDN+Cq9LCY2dxfRudba7uygaKvtNZUCV7&#10;53QWdHSWQN5CeX3GDAqm/lSUE+d5DYcQx8S8BcZhTSaoqYLGG9xQbgv0dzBQSymDZPSBxMbr2xWI&#10;JYuiGKxNa7xwy8jbyQLaZVL76E0jwI+ai085jFi4K0o54ICw7QAugXovTouSRkiSW/QAdM6whQr8&#10;HB01rmWuT0qEKy1SpGlqzT2zkOnAFqpSLzbCs95KrZJd5sSPR0OT1UwO5wJ3XCIaqA3Vjo/hAFWR&#10;bp7ygwOwOgfitS0cwFjraWzMK38rcICST0wva2J1PCKaLIvSiNA5cAv2d+dLuaFW4KSYtlPURQnH&#10;xh2tWlvvyWC0iEBElGqtNRCVKhBERGkjvqWNSiTnSDsxABuVgEOB2UD/4oD0txuV9O9i7Mxg7d5A&#10;WNkUUJaP64gABAYP7AvU6EJ9hNanOYcZBbmsaPpeTmM/NUrI56Gknbs6iq6W4Sbs91G76TRtUeK3&#10;Uc/wCwiC2tATVaPkMthm8LR2ftbmV4xNVVan3bLRbtkAad1kY6ySqjRi5V4lLACKQv1WjSo7zX9X&#10;B38Mp3qu1Mnm138+/B8AAP//AwBQSwMEFAAGAAgAAAAhAKBLHpjdAAAABQEAAA8AAABkcnMvZG93&#10;bnJldi54bWxMj0FrwkAQhe+F/odlhN7qJtUWjdmISNuTCNVC6W3MjkkwOxuyaxL/vauX9jLweI/3&#10;vkmXg6lFR62rLCuIxxEI4tzqigsF3/uP5xkI55E11pZJwYUcLLPHhxQTbXv+om7nCxFK2CWooPS+&#10;SaR0eUkG3dg2xME72tagD7ItpG6xD+Wmli9R9CYNVhwWSmxoXVJ+2p2Ngs8e+9Ukfu82p+P68rt/&#10;3f5sYlLqaTSsFiA8Df4vDDf8gA5ZYDrYM2snagXhEX+/wZtNoimIg4L5PJ6CzFL5nz67AgAA//8D&#10;AFBLAQItABQABgAIAAAAIQC2gziS/gAAAOEBAAATAAAAAAAAAAAAAAAAAAAAAABbQ29udGVudF9U&#10;eXBlc10ueG1sUEsBAi0AFAAGAAgAAAAhADj9If/WAAAAlAEAAAsAAAAAAAAAAAAAAAAALwEAAF9y&#10;ZWxzLy5yZWxzUEsBAi0AFAAGAAgAAAAhAOu2KltOCQAARUgAAA4AAAAAAAAAAAAAAAAALgIAAGRy&#10;cy9lMm9Eb2MueG1sUEsBAi0AFAAGAAgAAAAhAKBLHpjdAAAABQEAAA8AAAAAAAAAAAAAAAAAqAsA&#10;AGRycy9kb3ducmV2LnhtbFBLBQYAAAAABAAEAPMAAACy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339" type="#_x0000_t176" style="position:absolute;top:50863;width:36943;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8qPwwAAANsAAAAPAAAAZHJzL2Rvd25yZXYueG1sRI9BawIx&#10;FITvBf9DeEJvNWsFldUoVRAreKnW++vmuVm7eVmSdF376xuh4HGYmW+Y+bKztWjJh8qxguEgA0Fc&#10;OF1xqeDzuHmZgggRWWPtmBTcKMBy0XuaY67dlT+oPcRSJAiHHBWYGJtcylAYshgGriFO3tl5izFJ&#10;X0rt8ZrgtpavWTaWFitOCwYbWhsqvg8/VsFpu2o77UuzGf7u9WSXXb5O44tSz/3ubQYiUhcf4f/2&#10;u1YwmsD9S/oBcvEHAAD//wMAUEsBAi0AFAAGAAgAAAAhANvh9svuAAAAhQEAABMAAAAAAAAAAAAA&#10;AAAAAAAAAFtDb250ZW50X1R5cGVzXS54bWxQSwECLQAUAAYACAAAACEAWvQsW78AAAAVAQAACwAA&#10;AAAAAAAAAAAAAAAfAQAAX3JlbHMvLnJlbHNQSwECLQAUAAYACAAAACEAAMPKj8MAAADbAAAADwAA&#10;AAAAAAAAAAAAAAAHAgAAZHJzL2Rvd25yZXYueG1sUEsFBgAAAAADAAMAtwAAAPcCAAAAAA==&#10;" strokecolor="#385d8a" strokeweight="2pt">
                  <v:textbox>
                    <w:txbxContent>
                      <w:p w14:paraId="56FB9BCF" w14:textId="77777777" w:rsidR="00511D9B" w:rsidRPr="00CB3614" w:rsidRDefault="00511D9B" w:rsidP="00B979A0">
                        <w:pPr>
                          <w:pStyle w:val="Normlnweb"/>
                          <w:jc w:val="center"/>
                          <w:textAlignment w:val="baseline"/>
                          <w:rPr>
                            <w:sz w:val="22"/>
                            <w:szCs w:val="22"/>
                          </w:rPr>
                        </w:pPr>
                        <w:r w:rsidRPr="00AE55D0">
                          <w:rPr>
                            <w:rFonts w:ascii="Calibri" w:hAnsi="Calibri"/>
                            <w:b/>
                            <w:bCs/>
                            <w:color w:val="000000"/>
                            <w:kern w:val="24"/>
                            <w:sz w:val="22"/>
                            <w:szCs w:val="22"/>
                          </w:rPr>
                          <w:t>Návrhy projektů vzešlé od veřejnosti</w:t>
                        </w:r>
                      </w:p>
                      <w:p w14:paraId="0D952F8A" w14:textId="77777777" w:rsidR="00511D9B" w:rsidRDefault="00511D9B" w:rsidP="00B979A0">
                        <w:pPr>
                          <w:pStyle w:val="Odstavecseseznamem"/>
                          <w:spacing w:line="240" w:lineRule="auto"/>
                          <w:ind w:left="0"/>
                          <w:jc w:val="center"/>
                          <w:textAlignment w:val="baseline"/>
                          <w:rPr>
                            <w:rFonts w:ascii="Calibri" w:hAnsi="Calibri"/>
                            <w:color w:val="000000"/>
                            <w:kern w:val="24"/>
                            <w:sz w:val="22"/>
                            <w:szCs w:val="22"/>
                          </w:rPr>
                        </w:pPr>
                        <w:r w:rsidRPr="00AE55D0">
                          <w:rPr>
                            <w:rFonts w:ascii="Calibri" w:hAnsi="Calibri"/>
                            <w:color w:val="000000"/>
                            <w:kern w:val="24"/>
                            <w:sz w:val="22"/>
                            <w:szCs w:val="22"/>
                          </w:rPr>
                          <w:t xml:space="preserve"> </w:t>
                        </w:r>
                        <w:r w:rsidRPr="00AE55D0">
                          <w:rPr>
                            <w:rFonts w:ascii="Calibri"/>
                            <w:color w:val="000000"/>
                            <w:kern w:val="24"/>
                            <w:sz w:val="22"/>
                            <w:szCs w:val="22"/>
                          </w:rPr>
                          <w:t xml:space="preserve">- </w:t>
                        </w:r>
                        <w:r w:rsidRPr="00AE55D0">
                          <w:rPr>
                            <w:rFonts w:ascii="Calibri" w:hAnsi="Calibri"/>
                            <w:color w:val="000000"/>
                            <w:kern w:val="24"/>
                            <w:sz w:val="22"/>
                            <w:szCs w:val="22"/>
                          </w:rPr>
                          <w:t xml:space="preserve">Fórum Zdravého města </w:t>
                        </w:r>
                      </w:p>
                      <w:p w14:paraId="2F4D84B8" w14:textId="77777777" w:rsidR="00511D9B" w:rsidRPr="00CB3614" w:rsidRDefault="00511D9B" w:rsidP="00B979A0">
                        <w:pPr>
                          <w:pStyle w:val="Odstavecseseznamem"/>
                          <w:spacing w:line="240" w:lineRule="auto"/>
                          <w:ind w:left="0"/>
                          <w:jc w:val="center"/>
                          <w:textAlignment w:val="baseline"/>
                          <w:rPr>
                            <w:sz w:val="22"/>
                            <w:szCs w:val="22"/>
                          </w:rPr>
                        </w:pPr>
                        <w:r w:rsidRPr="00AE55D0">
                          <w:rPr>
                            <w:rFonts w:ascii="Calibri" w:hAnsi="Calibri"/>
                            <w:color w:val="000000"/>
                            <w:kern w:val="24"/>
                            <w:sz w:val="22"/>
                            <w:szCs w:val="22"/>
                          </w:rPr>
                          <w:t>Litoměřice a další veřejná projednávání</w:t>
                        </w:r>
                      </w:p>
                      <w:p w14:paraId="4BE95A8A" w14:textId="77777777" w:rsidR="00511D9B" w:rsidRDefault="00511D9B" w:rsidP="00B979A0">
                        <w:pPr>
                          <w:pStyle w:val="Odstavecseseznamem"/>
                          <w:spacing w:line="240" w:lineRule="auto"/>
                          <w:ind w:left="0"/>
                          <w:jc w:val="center"/>
                          <w:textAlignment w:val="baseline"/>
                          <w:rPr>
                            <w:rFonts w:ascii="Calibri" w:hAnsi="Calibri"/>
                            <w:color w:val="000000"/>
                            <w:kern w:val="24"/>
                            <w:sz w:val="22"/>
                            <w:szCs w:val="22"/>
                          </w:rPr>
                        </w:pPr>
                        <w:r w:rsidRPr="00AE55D0">
                          <w:rPr>
                            <w:rFonts w:ascii="Calibri"/>
                            <w:color w:val="000000"/>
                            <w:kern w:val="24"/>
                            <w:sz w:val="22"/>
                            <w:szCs w:val="22"/>
                          </w:rPr>
                          <w:t>-</w:t>
                        </w:r>
                        <w:r w:rsidRPr="00AE55D0">
                          <w:rPr>
                            <w:rFonts w:ascii="Calibri" w:hAnsi="Calibri"/>
                            <w:color w:val="000000"/>
                            <w:kern w:val="24"/>
                            <w:sz w:val="22"/>
                            <w:szCs w:val="22"/>
                          </w:rPr>
                          <w:t xml:space="preserve"> Dílčí návrhy veřejnosti </w:t>
                        </w:r>
                      </w:p>
                      <w:p w14:paraId="524335DA" w14:textId="77777777" w:rsidR="00511D9B" w:rsidRPr="00CB3614" w:rsidRDefault="00511D9B" w:rsidP="00B979A0">
                        <w:pPr>
                          <w:pStyle w:val="Odstavecseseznamem"/>
                          <w:spacing w:line="240" w:lineRule="auto"/>
                          <w:ind w:left="0"/>
                          <w:jc w:val="center"/>
                          <w:textAlignment w:val="baseline"/>
                          <w:rPr>
                            <w:sz w:val="22"/>
                            <w:szCs w:val="22"/>
                          </w:rPr>
                        </w:pPr>
                        <w:r w:rsidRPr="00AE55D0">
                          <w:rPr>
                            <w:rFonts w:ascii="Calibri" w:hAnsi="Calibri"/>
                            <w:color w:val="000000"/>
                            <w:kern w:val="24"/>
                            <w:sz w:val="22"/>
                            <w:szCs w:val="22"/>
                          </w:rPr>
                          <w:t>oznamované na městském úřadě</w:t>
                        </w:r>
                      </w:p>
                    </w:txbxContent>
                  </v:textbox>
                </v:shape>
                <v:shape id="Vývojový diagram: alternativní postup 4" o:spid="_x0000_s1340" type="#_x0000_t176" style="position:absolute;left:37749;top:50863;width:36004;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79wAAAANsAAAAPAAAAZHJzL2Rvd25yZXYueG1sRE/LagIx&#10;FN0X+g/hFrqrGSuojEapglihG1/76+Q6GTu5GZJ0HP16syi4PJz3dN7ZWrTkQ+VYQb+XgSAunK64&#10;VHDYrz7GIEJE1lg7JgU3CjCfvb5MMdfuyltqd7EUKYRDjgpMjE0uZSgMWQw91xAn7uy8xZigL6X2&#10;eE3htpafWTaUFitODQYbWhoqfnd/VsFxvWg77Uuz6t9/9GiTXU7H4UWp97fuawIiUhef4n/3t1Yw&#10;SGPTl/QD5OwBAAD//wMAUEsBAi0AFAAGAAgAAAAhANvh9svuAAAAhQEAABMAAAAAAAAAAAAAAAAA&#10;AAAAAFtDb250ZW50X1R5cGVzXS54bWxQSwECLQAUAAYACAAAACEAWvQsW78AAAAVAQAACwAAAAAA&#10;AAAAAAAAAAAfAQAAX3JlbHMvLnJlbHNQSwECLQAUAAYACAAAACEAcVxe/cAAAADbAAAADwAAAAAA&#10;AAAAAAAAAAAHAgAAZHJzL2Rvd25yZXYueG1sUEsFBgAAAAADAAMAtwAAAPQCAAAAAA==&#10;" strokecolor="#385d8a" strokeweight="2pt">
                  <v:textbox>
                    <w:txbxContent>
                      <w:p w14:paraId="7775BE3D"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b/>
                            <w:bCs/>
                            <w:color w:val="000000"/>
                            <w:kern w:val="24"/>
                            <w:sz w:val="22"/>
                            <w:szCs w:val="22"/>
                          </w:rPr>
                          <w:t xml:space="preserve">Návrhy projektů vzešlé od odborů a organizací </w:t>
                        </w:r>
                        <w:r w:rsidRPr="00AE55D0">
                          <w:rPr>
                            <w:rFonts w:ascii="Calibri" w:hAnsi="Calibri"/>
                            <w:color w:val="000000"/>
                            <w:kern w:val="24"/>
                            <w:sz w:val="22"/>
                            <w:szCs w:val="22"/>
                          </w:rPr>
                          <w:t>(přímo či dle pokynů vedení):</w:t>
                        </w:r>
                      </w:p>
                      <w:p w14:paraId="7B102663"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b/>
                            <w:bCs/>
                            <w:color w:val="000000"/>
                            <w:kern w:val="24"/>
                            <w:sz w:val="22"/>
                            <w:szCs w:val="22"/>
                          </w:rPr>
                          <w:t xml:space="preserve">- </w:t>
                        </w:r>
                        <w:r w:rsidRPr="00AE55D0">
                          <w:rPr>
                            <w:rFonts w:ascii="Calibri" w:hAnsi="Calibri"/>
                            <w:color w:val="000000"/>
                            <w:kern w:val="24"/>
                            <w:sz w:val="22"/>
                            <w:szCs w:val="22"/>
                          </w:rPr>
                          <w:t>Odbor územního rozvoje</w:t>
                        </w:r>
                      </w:p>
                      <w:p w14:paraId="359DAA76"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b/>
                            <w:bCs/>
                            <w:color w:val="000000"/>
                            <w:kern w:val="24"/>
                            <w:sz w:val="22"/>
                            <w:szCs w:val="22"/>
                          </w:rPr>
                          <w:t xml:space="preserve">- </w:t>
                        </w:r>
                        <w:r w:rsidRPr="00AE55D0">
                          <w:rPr>
                            <w:rFonts w:ascii="Calibri" w:hAnsi="Calibri"/>
                            <w:color w:val="000000"/>
                            <w:kern w:val="24"/>
                            <w:sz w:val="22"/>
                            <w:szCs w:val="22"/>
                          </w:rPr>
                          <w:t>Odbor územního plánování</w:t>
                        </w:r>
                      </w:p>
                      <w:p w14:paraId="7CA14C80"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hAnsi="Calibri"/>
                            <w:color w:val="000000"/>
                            <w:kern w:val="24"/>
                            <w:sz w:val="22"/>
                            <w:szCs w:val="22"/>
                          </w:rPr>
                          <w:t xml:space="preserve"> </w:t>
                        </w:r>
                        <w:r w:rsidRPr="00AE55D0">
                          <w:rPr>
                            <w:rFonts w:ascii="Calibri"/>
                            <w:color w:val="000000"/>
                            <w:kern w:val="24"/>
                            <w:sz w:val="22"/>
                            <w:szCs w:val="22"/>
                          </w:rPr>
                          <w:t xml:space="preserve">- </w:t>
                        </w:r>
                        <w:r w:rsidRPr="00AE55D0">
                          <w:rPr>
                            <w:rFonts w:ascii="Calibri" w:hAnsi="Calibri"/>
                            <w:color w:val="000000"/>
                            <w:kern w:val="24"/>
                            <w:sz w:val="22"/>
                            <w:szCs w:val="22"/>
                          </w:rPr>
                          <w:t>Odbor životního prostředí</w:t>
                        </w:r>
                      </w:p>
                      <w:p w14:paraId="5300D052" w14:textId="77777777" w:rsidR="00511D9B" w:rsidRPr="00CB3614" w:rsidRDefault="00511D9B" w:rsidP="00B979A0">
                        <w:pPr>
                          <w:pStyle w:val="Odstavecseseznamem"/>
                          <w:spacing w:line="240" w:lineRule="auto"/>
                          <w:ind w:left="-57" w:right="-57"/>
                          <w:contextualSpacing/>
                          <w:jc w:val="center"/>
                          <w:textAlignment w:val="baseline"/>
                          <w:rPr>
                            <w:sz w:val="22"/>
                            <w:szCs w:val="22"/>
                          </w:rPr>
                        </w:pPr>
                        <w:r w:rsidRPr="00AE55D0">
                          <w:rPr>
                            <w:rFonts w:ascii="Calibri" w:hAnsi="Calibri"/>
                            <w:color w:val="000000"/>
                            <w:kern w:val="24"/>
                            <w:sz w:val="22"/>
                            <w:szCs w:val="22"/>
                          </w:rPr>
                          <w:t xml:space="preserve"> </w:t>
                        </w:r>
                        <w:r w:rsidRPr="00AE55D0">
                          <w:rPr>
                            <w:rFonts w:ascii="Calibri"/>
                            <w:color w:val="000000"/>
                            <w:kern w:val="24"/>
                            <w:sz w:val="22"/>
                            <w:szCs w:val="22"/>
                          </w:rPr>
                          <w:t xml:space="preserve">- </w:t>
                        </w:r>
                        <w:r w:rsidRPr="00AE55D0">
                          <w:rPr>
                            <w:rFonts w:ascii="Calibri" w:hAnsi="Calibri"/>
                            <w:color w:val="000000"/>
                            <w:kern w:val="24"/>
                            <w:sz w:val="22"/>
                            <w:szCs w:val="22"/>
                          </w:rPr>
                          <w:t xml:space="preserve">Ostatní odbory a organizace </w:t>
                        </w:r>
                      </w:p>
                    </w:txbxContent>
                  </v:textbox>
                </v:shape>
                <v:shape id="TextovéPole 10" o:spid="_x0000_s1341" type="#_x0000_t202" style="position:absolute;top:35487;width:72389;height:13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7MvxgAAANsAAAAPAAAAZHJzL2Rvd25yZXYueG1sRI/dasJA&#10;FITvC32H5RR6Vzc1UjS6SqgUSrHU/+tD9pgEs2djdmuiT98VCl4OM/MNM5l1phJnalxpWcFrLwJB&#10;nFldcq5gu/l4GYJwHlljZZkUXMjBbPr4MMFE25ZXdF77XAQIuwQVFN7XiZQuK8ig69maOHgH2xj0&#10;QTa51A22AW4q2Y+iN2mw5LBQYE3vBWXH9a9RcG0X8fG0/158pYf4ZzfsL+fbQarU81OXjkF46vw9&#10;/N/+1AriEdy+hB8gp38AAAD//wMAUEsBAi0AFAAGAAgAAAAhANvh9svuAAAAhQEAABMAAAAAAAAA&#10;AAAAAAAAAAAAAFtDb250ZW50X1R5cGVzXS54bWxQSwECLQAUAAYACAAAACEAWvQsW78AAAAVAQAA&#10;CwAAAAAAAAAAAAAAAAAfAQAAX3JlbHMvLnJlbHNQSwECLQAUAAYACAAAACEACkuzL8YAAADbAAAA&#10;DwAAAAAAAAAAAAAAAAAHAgAAZHJzL2Rvd25yZXYueG1sUEsFBgAAAAADAAMAtwAAAPoCAAAAAA==&#10;" filled="f">
                  <v:stroke dashstyle="3 1"/>
                  <v:textbox>
                    <w:txbxContent>
                      <w:p w14:paraId="6144C383" w14:textId="77777777" w:rsidR="00511D9B" w:rsidRPr="00B411B7" w:rsidRDefault="00511D9B" w:rsidP="00B979A0">
                        <w:pPr>
                          <w:pStyle w:val="Normlnweb"/>
                          <w:ind w:left="-57" w:right="-57"/>
                          <w:jc w:val="center"/>
                          <w:textAlignment w:val="baseline"/>
                          <w:rPr>
                            <w:sz w:val="20"/>
                            <w:szCs w:val="22"/>
                          </w:rPr>
                        </w:pPr>
                        <w:r w:rsidRPr="00AE55D0">
                          <w:rPr>
                            <w:rFonts w:ascii="Arial" w:hAnsi="Arial"/>
                            <w:b/>
                            <w:bCs/>
                            <w:color w:val="000000"/>
                            <w:kern w:val="24"/>
                            <w:sz w:val="20"/>
                            <w:szCs w:val="22"/>
                          </w:rPr>
                          <w:t xml:space="preserve">Sběr záměrů </w:t>
                        </w:r>
                        <w:r w:rsidRPr="00AE55D0">
                          <w:rPr>
                            <w:rFonts w:ascii="Arial" w:hAnsi="Arial"/>
                            <w:color w:val="000000"/>
                            <w:kern w:val="24"/>
                            <w:sz w:val="20"/>
                            <w:szCs w:val="22"/>
                          </w:rPr>
                          <w:t>(koordinuje E</w:t>
                        </w:r>
                        <w:r>
                          <w:rPr>
                            <w:rFonts w:ascii="Arial" w:hAnsi="Arial"/>
                            <w:color w:val="000000"/>
                            <w:kern w:val="24"/>
                            <w:sz w:val="20"/>
                            <w:szCs w:val="22"/>
                          </w:rPr>
                          <w:t>konomický odbor</w:t>
                        </w:r>
                        <w:r w:rsidRPr="00AE55D0">
                          <w:rPr>
                            <w:rFonts w:ascii="Arial" w:hAnsi="Arial"/>
                            <w:color w:val="000000"/>
                            <w:kern w:val="24"/>
                            <w:sz w:val="20"/>
                            <w:szCs w:val="22"/>
                          </w:rPr>
                          <w:t>,</w:t>
                        </w:r>
                        <w:r>
                          <w:rPr>
                            <w:rFonts w:ascii="Arial" w:hAnsi="Arial"/>
                            <w:color w:val="000000"/>
                            <w:kern w:val="24"/>
                            <w:sz w:val="20"/>
                            <w:szCs w:val="22"/>
                          </w:rPr>
                          <w:t xml:space="preserve"> oddělení projektů a strategií</w:t>
                        </w:r>
                        <w:r w:rsidRPr="00AE55D0">
                          <w:rPr>
                            <w:rFonts w:ascii="Arial" w:hAnsi="Arial"/>
                            <w:color w:val="000000"/>
                            <w:kern w:val="24"/>
                            <w:sz w:val="20"/>
                            <w:szCs w:val="22"/>
                          </w:rPr>
                          <w:t xml:space="preserve">) </w:t>
                        </w:r>
                        <w:r w:rsidRPr="00AE55D0">
                          <w:rPr>
                            <w:rFonts w:ascii="Arial" w:hAnsi="Arial"/>
                            <w:b/>
                            <w:bCs/>
                            <w:color w:val="000000"/>
                            <w:kern w:val="24"/>
                            <w:sz w:val="20"/>
                            <w:szCs w:val="22"/>
                          </w:rPr>
                          <w:t xml:space="preserve">a odborné posouzení projektů </w:t>
                        </w:r>
                      </w:p>
                      <w:p w14:paraId="260D5DBF" w14:textId="02C32708" w:rsidR="00511D9B" w:rsidRPr="00B411B7" w:rsidRDefault="00511D9B" w:rsidP="00B979A0">
                        <w:pPr>
                          <w:pStyle w:val="Normlnweb"/>
                          <w:ind w:left="-57" w:right="-57"/>
                          <w:jc w:val="center"/>
                          <w:textAlignment w:val="baseline"/>
                          <w:rPr>
                            <w:sz w:val="20"/>
                            <w:szCs w:val="20"/>
                          </w:rPr>
                        </w:pPr>
                        <w:r w:rsidRPr="00AE55D0">
                          <w:rPr>
                            <w:rFonts w:ascii="Arial" w:hAnsi="Arial"/>
                            <w:color w:val="000000"/>
                            <w:kern w:val="24"/>
                            <w:sz w:val="20"/>
                            <w:szCs w:val="22"/>
                          </w:rPr>
                          <w:t xml:space="preserve">Strategickým </w:t>
                        </w:r>
                        <w:r>
                          <w:rPr>
                            <w:rFonts w:ascii="Arial" w:hAnsi="Arial"/>
                            <w:color w:val="000000"/>
                            <w:kern w:val="24"/>
                            <w:sz w:val="20"/>
                            <w:szCs w:val="22"/>
                          </w:rPr>
                          <w:t>týmem udržitelného rozvoje</w:t>
                        </w:r>
                        <w:r w:rsidRPr="00AE55D0">
                          <w:rPr>
                            <w:rFonts w:ascii="Arial" w:hAnsi="Arial"/>
                            <w:color w:val="000000"/>
                            <w:kern w:val="24"/>
                            <w:sz w:val="20"/>
                            <w:szCs w:val="22"/>
                          </w:rPr>
                          <w:t xml:space="preserve"> (respektive jeho pracovními skupinami – předsedou je starosta, místostarostové nebo tajemník; relevantní vedoucí je odborný garant) </w:t>
                        </w:r>
                        <w:r w:rsidRPr="00AE55D0">
                          <w:rPr>
                            <w:rFonts w:ascii="Arial" w:hAnsi="Arial"/>
                            <w:color w:val="000000"/>
                            <w:kern w:val="24"/>
                            <w:sz w:val="20"/>
                            <w:szCs w:val="22"/>
                          </w:rPr>
                          <w:br/>
                          <w:t xml:space="preserve">na základě kritérií možností rozpočtu a rozpočtového výhledu, kvality, socioekonomického dopadu, souladu se </w:t>
                        </w:r>
                        <w:r w:rsidRPr="00AE55D0">
                          <w:rPr>
                            <w:rFonts w:ascii="Arial" w:hAnsi="Arial"/>
                            <w:color w:val="000000"/>
                            <w:kern w:val="24"/>
                            <w:sz w:val="20"/>
                            <w:szCs w:val="20"/>
                          </w:rPr>
                          <w:t xml:space="preserve">strategickým </w:t>
                        </w:r>
                        <w:r>
                          <w:rPr>
                            <w:rFonts w:ascii="Arial" w:hAnsi="Arial"/>
                            <w:color w:val="000000"/>
                            <w:kern w:val="24"/>
                            <w:sz w:val="20"/>
                            <w:szCs w:val="20"/>
                          </w:rPr>
                          <w:t xml:space="preserve"> dokumentem</w:t>
                        </w:r>
                        <w:r w:rsidRPr="00AE55D0">
                          <w:rPr>
                            <w:rFonts w:ascii="Arial" w:hAnsi="Arial"/>
                            <w:color w:val="000000"/>
                            <w:kern w:val="24"/>
                            <w:sz w:val="20"/>
                            <w:szCs w:val="20"/>
                          </w:rPr>
                          <w:t xml:space="preserve"> a předchozích usnesení</w:t>
                        </w:r>
                        <w:r>
                          <w:rPr>
                            <w:rFonts w:ascii="Arial" w:hAnsi="Arial"/>
                            <w:color w:val="000000"/>
                            <w:kern w:val="24"/>
                            <w:sz w:val="20"/>
                            <w:szCs w:val="20"/>
                          </w:rPr>
                          <w:t>ch</w:t>
                        </w:r>
                        <w:r w:rsidRPr="00AE55D0">
                          <w:rPr>
                            <w:rFonts w:ascii="Arial" w:hAnsi="Arial"/>
                            <w:color w:val="000000"/>
                            <w:kern w:val="24"/>
                            <w:sz w:val="20"/>
                            <w:szCs w:val="20"/>
                          </w:rPr>
                          <w:t xml:space="preserve">. </w:t>
                        </w:r>
                      </w:p>
                    </w:txbxContent>
                  </v:textbox>
                </v:shape>
                <v:line id="Přímá spojovací čára 15" o:spid="_x0000_s1342" style="position:absolute;visibility:visible;mso-wrap-style:square" from="380,18906" to="91100,18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CowgAAANsAAAAPAAAAZHJzL2Rvd25yZXYueG1sRE9Ni8Iw&#10;EL0L/ocwgjdNFRHpGqVVBFf2YncX8TY0Y1ttJqXJav33m4Pg8fG+l+vO1OJOrassK5iMIxDEudUV&#10;Fwp+vnejBQjnkTXWlknBkxysV/3eEmNtH3yke+YLEULYxaig9L6JpXR5SQbd2DbEgbvY1qAPsC2k&#10;bvERwk0tp1E0lwYrDg0lNrQpKb9lf0ZBdthNbtWmPl3T43b6/PpNP5Nzp9Rw0CUfIDx1/i1+ufda&#10;wSyMDV/CD5CrfwAAAP//AwBQSwECLQAUAAYACAAAACEA2+H2y+4AAACFAQAAEwAAAAAAAAAAAAAA&#10;AAAAAAAAW0NvbnRlbnRfVHlwZXNdLnhtbFBLAQItABQABgAIAAAAIQBa9CxbvwAAABUBAAALAAAA&#10;AAAAAAAAAAAAAB8BAABfcmVscy8ucmVsc1BLAQItABQABgAIAAAAIQD9RvCowgAAANsAAAAPAAAA&#10;AAAAAAAAAAAAAAcCAABkcnMvZG93bnJldi54bWxQSwUGAAAAAAMAAwC3AAAA9gIAAAAA&#10;" strokecolor="red" strokeweight="4.5pt"/>
                <v:oval id="Elipsa 11" o:spid="_x0000_s1343" style="position:absolute;left:1143;top:18906;width:48245;height:1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BckxQAAANsAAAAPAAAAZHJzL2Rvd25yZXYueG1sRI9ba8JA&#10;FITfC/0PyxH6IrqpiJfUVYogFAqlXhAfD9nTJJg9G7JHk/x7t1Do4zAz3zCrTecqdacmlJ4NvI4T&#10;UMSZtyXnBk7H3WgBKgiyxcozGegpwGb9/LTC1PqW93Q/SK4ihEOKBgqROtU6ZAU5DGNfE0fvxzcO&#10;Jcom17bBNsJdpSdJMtMOS44LBda0LSi7Hm7OwPx7t7Wfw64/Xya3L2l78b61xrwMuvc3UEKd/If/&#10;2h/WwHQJv1/iD9DrBwAAAP//AwBQSwECLQAUAAYACAAAACEA2+H2y+4AAACFAQAAEwAAAAAAAAAA&#10;AAAAAAAAAAAAW0NvbnRlbnRfVHlwZXNdLnhtbFBLAQItABQABgAIAAAAIQBa9CxbvwAAABUBAAAL&#10;AAAAAAAAAAAAAAAAAB8BAABfcmVscy8ucmVsc1BLAQItABQABgAIAAAAIQA0ABckxQAAANsAAAAP&#10;AAAAAAAAAAAAAAAAAAcCAABkcnMvZG93bnJldi54bWxQSwUGAAAAAAMAAwC3AAAA+QIAAAAA&#10;" strokecolor="#385d8a" strokeweight="2pt">
                  <v:textbox>
                    <w:txbxContent>
                      <w:p w14:paraId="69D2241A"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color w:val="000000"/>
                            <w:kern w:val="24"/>
                            <w:sz w:val="22"/>
                            <w:szCs w:val="22"/>
                          </w:rPr>
                          <w:t xml:space="preserve">Projekty (požadavky, opatření) </w:t>
                        </w:r>
                        <w:r w:rsidRPr="00AE55D0">
                          <w:rPr>
                            <w:rFonts w:ascii="Calibri" w:hAnsi="Calibri"/>
                            <w:b/>
                            <w:bCs/>
                            <w:color w:val="000000"/>
                            <w:kern w:val="24"/>
                            <w:sz w:val="22"/>
                            <w:szCs w:val="22"/>
                          </w:rPr>
                          <w:t xml:space="preserve">doporučené k zařazení do </w:t>
                        </w:r>
                      </w:p>
                      <w:p w14:paraId="3DBFF0BB"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color w:val="000000"/>
                            <w:kern w:val="24"/>
                            <w:sz w:val="22"/>
                            <w:szCs w:val="22"/>
                          </w:rPr>
                          <w:t xml:space="preserve">Akčního </w:t>
                        </w:r>
                        <w:r w:rsidRPr="00D06211">
                          <w:rPr>
                            <w:rFonts w:ascii="Calibri" w:hAnsi="Calibri"/>
                            <w:b/>
                            <w:color w:val="000000"/>
                            <w:kern w:val="24"/>
                            <w:sz w:val="22"/>
                            <w:szCs w:val="22"/>
                          </w:rPr>
                          <w:t>plánu (kryto rozpočtem)</w:t>
                        </w:r>
                        <w:r w:rsidRPr="00AE55D0">
                          <w:rPr>
                            <w:rFonts w:ascii="Calibri" w:hAnsi="Calibri"/>
                            <w:color w:val="000000"/>
                            <w:kern w:val="24"/>
                            <w:sz w:val="22"/>
                            <w:szCs w:val="22"/>
                          </w:rPr>
                          <w:t xml:space="preserve"> nebo do zásobníku projektů</w:t>
                        </w:r>
                      </w:p>
                    </w:txbxContent>
                  </v:textbox>
                </v:oval>
                <v:shape id="TextovéPole 17" o:spid="_x0000_s1344" type="#_x0000_t202" style="position:absolute;left:18329;top:15164;width:38608;height:4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0783165F" w14:textId="77777777" w:rsidR="00511D9B" w:rsidRPr="00CB3614" w:rsidRDefault="00511D9B" w:rsidP="00B979A0">
                        <w:pPr>
                          <w:pStyle w:val="Normlnweb"/>
                          <w:spacing w:line="204" w:lineRule="auto"/>
                          <w:ind w:left="-57" w:right="-57"/>
                          <w:jc w:val="center"/>
                          <w:textAlignment w:val="baseline"/>
                          <w:rPr>
                            <w:sz w:val="22"/>
                            <w:szCs w:val="22"/>
                          </w:rPr>
                        </w:pPr>
                        <w:r w:rsidRPr="00AE55D0">
                          <w:rPr>
                            <w:rFonts w:ascii="Arial" w:hAnsi="Arial"/>
                            <w:b/>
                            <w:bCs/>
                            <w:color w:val="000000"/>
                            <w:kern w:val="24"/>
                            <w:sz w:val="22"/>
                            <w:szCs w:val="22"/>
                          </w:rPr>
                          <w:t xml:space="preserve">Rozhodnutí </w:t>
                        </w:r>
                        <w:r w:rsidRPr="00D001FF">
                          <w:rPr>
                            <w:rFonts w:ascii="Arial" w:hAnsi="Arial"/>
                            <w:b/>
                            <w:bCs/>
                            <w:color w:val="FF0000"/>
                            <w:kern w:val="24"/>
                            <w:sz w:val="22"/>
                            <w:szCs w:val="22"/>
                          </w:rPr>
                          <w:t>rady/</w:t>
                        </w:r>
                        <w:r>
                          <w:rPr>
                            <w:rFonts w:ascii="Arial" w:hAnsi="Arial"/>
                            <w:b/>
                            <w:bCs/>
                            <w:color w:val="FF0000"/>
                            <w:kern w:val="24"/>
                            <w:sz w:val="22"/>
                            <w:szCs w:val="22"/>
                          </w:rPr>
                          <w:t>zastupitelstva</w:t>
                        </w:r>
                        <w:r w:rsidRPr="00AE55D0">
                          <w:rPr>
                            <w:rFonts w:ascii="Arial" w:hAnsi="Arial"/>
                            <w:b/>
                            <w:bCs/>
                            <w:color w:val="000000"/>
                            <w:kern w:val="24"/>
                            <w:sz w:val="22"/>
                            <w:szCs w:val="22"/>
                          </w:rPr>
                          <w:t xml:space="preserve"> o zařazení do Akčního plánu </w:t>
                        </w:r>
                      </w:p>
                    </w:txbxContent>
                  </v:textbox>
                </v:shape>
                <v:oval id="Elipsa 21" o:spid="_x0000_s1345" style="position:absolute;top:3238;width:33899;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0+FwAAAANsAAAAPAAAAZHJzL2Rvd25yZXYueG1sRI/BisJA&#10;EETvC/7D0IK3deKCskRHEWXBgxd1QY9tpk2CmZ6YaTX+vSMIHouqekVNZq2r1I2aUHo2MOgnoIgz&#10;b0vODfzv/r5/QQVBtlh5JgMPCjCbdr4mmFp/5w3dtpKrCOGQooFCpE61DllBDkPf18TRO/nGoUTZ&#10;5No2eI9wV+mfJBlphyXHhQJrWhSUnbdXZ2A/rOi45vogOSZn2VzCEt3amF63nY9BCbXyCb/bK2tg&#10;OIDXl/gD9PQJAAD//wMAUEsBAi0AFAAGAAgAAAAhANvh9svuAAAAhQEAABMAAAAAAAAAAAAAAAAA&#10;AAAAAFtDb250ZW50X1R5cGVzXS54bWxQSwECLQAUAAYACAAAACEAWvQsW78AAAAVAQAACwAAAAAA&#10;AAAAAAAAAAAfAQAAX3JlbHMvLnJlbHNQSwECLQAUAAYACAAAACEAhTdPhcAAAADbAAAADwAAAAAA&#10;AAAAAAAAAAAHAgAAZHJzL2Rvd25yZXYueG1sUEsFBgAAAAADAAMAtwAAAPQCAAAAAA==&#10;" fillcolor="#d6e3bc" strokecolor="#71893f" strokeweight="2pt">
                  <v:textbox>
                    <w:txbxContent>
                      <w:p w14:paraId="4AFDE538" w14:textId="77777777" w:rsidR="00511D9B" w:rsidRDefault="00511D9B" w:rsidP="00B979A0">
                        <w:pPr>
                          <w:pStyle w:val="Normlnweb"/>
                          <w:spacing w:line="204" w:lineRule="auto"/>
                          <w:jc w:val="center"/>
                          <w:textAlignment w:val="baseline"/>
                          <w:rPr>
                            <w:rFonts w:ascii="Calibri" w:hAnsi="Calibri"/>
                            <w:b/>
                            <w:bCs/>
                            <w:color w:val="000000"/>
                            <w:kern w:val="24"/>
                            <w:sz w:val="28"/>
                            <w:szCs w:val="22"/>
                          </w:rPr>
                        </w:pPr>
                        <w:r w:rsidRPr="00D06211">
                          <w:rPr>
                            <w:rFonts w:ascii="Calibri" w:hAnsi="Calibri"/>
                            <w:b/>
                            <w:bCs/>
                            <w:color w:val="000000"/>
                            <w:kern w:val="24"/>
                            <w:sz w:val="28"/>
                            <w:szCs w:val="22"/>
                          </w:rPr>
                          <w:t xml:space="preserve">Projekty kryté rozpočtem </w:t>
                        </w:r>
                      </w:p>
                      <w:p w14:paraId="094F83B7" w14:textId="77777777" w:rsidR="00511D9B" w:rsidRPr="00636DEA" w:rsidRDefault="00511D9B" w:rsidP="00B979A0">
                        <w:pPr>
                          <w:pStyle w:val="Normlnweb"/>
                          <w:spacing w:line="204" w:lineRule="auto"/>
                          <w:jc w:val="center"/>
                          <w:textAlignment w:val="baseline"/>
                          <w:rPr>
                            <w:szCs w:val="22"/>
                          </w:rPr>
                        </w:pPr>
                        <w:r w:rsidRPr="00D06211">
                          <w:rPr>
                            <w:rFonts w:ascii="Calibri" w:hAnsi="Calibri"/>
                            <w:color w:val="000000"/>
                            <w:kern w:val="24"/>
                            <w:szCs w:val="22"/>
                          </w:rPr>
                          <w:t xml:space="preserve">a </w:t>
                        </w:r>
                        <w:r w:rsidRPr="00636DEA">
                          <w:rPr>
                            <w:rFonts w:ascii="Calibri" w:hAnsi="Calibri"/>
                            <w:color w:val="000000"/>
                            <w:kern w:val="24"/>
                            <w:szCs w:val="22"/>
                          </w:rPr>
                          <w:t>začleněné do Akčního plánu</w:t>
                        </w:r>
                      </w:p>
                    </w:txbxContent>
                  </v:textbox>
                </v:oval>
                <v:oval id="Elipsa 22" o:spid="_x0000_s1346" style="position:absolute;left:38481;top:3238;width:30323;height:12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UTwgAAANsAAAAPAAAAZHJzL2Rvd25yZXYueG1sRI9Bi8Iw&#10;FITvwv6H8Ba82VRBkWosZRdZD3qwLgveHs2zLTYvtclq/fdGEDwOM/MNs0x704grda62rGAcxSCI&#10;C6trLhX8HtajOQjnkTU2lknBnRykq4/BEhNtb7yna+5LESDsElRQed8mUrqiIoMusi1x8E62M+iD&#10;7EqpO7wFuGnkJI5n0mDNYaHClr4qKs75v1HwN87c/UJ22x7ntsx33/yjp6zU8LPPFiA89f4dfrU3&#10;WsF0As8v4QfI1QMAAP//AwBQSwECLQAUAAYACAAAACEA2+H2y+4AAACFAQAAEwAAAAAAAAAAAAAA&#10;AAAAAAAAW0NvbnRlbnRfVHlwZXNdLnhtbFBLAQItABQABgAIAAAAIQBa9CxbvwAAABUBAAALAAAA&#10;AAAAAAAAAAAAAB8BAABfcmVscy8ucmVsc1BLAQItABQABgAIAAAAIQBznlUTwgAAANsAAAAPAAAA&#10;AAAAAAAAAAAAAAcCAABkcnMvZG93bnJldi54bWxQSwUGAAAAAAMAAwC3AAAA9gIAAAAA&#10;" fillcolor="#fcc" strokecolor="#8c3836" strokeweight="2pt">
                  <v:textbox>
                    <w:txbxContent>
                      <w:p w14:paraId="4A7CCC4F" w14:textId="77777777" w:rsidR="00511D9B" w:rsidRPr="00636DEA" w:rsidRDefault="00511D9B" w:rsidP="00B979A0">
                        <w:pPr>
                          <w:pStyle w:val="Normlnweb"/>
                          <w:spacing w:line="204" w:lineRule="auto"/>
                          <w:jc w:val="center"/>
                          <w:textAlignment w:val="baseline"/>
                          <w:rPr>
                            <w:szCs w:val="22"/>
                          </w:rPr>
                        </w:pPr>
                        <w:r w:rsidRPr="00D06211">
                          <w:rPr>
                            <w:rFonts w:ascii="Calibri" w:hAnsi="Calibri"/>
                            <w:b/>
                            <w:bCs/>
                            <w:color w:val="000000"/>
                            <w:kern w:val="24"/>
                            <w:sz w:val="28"/>
                            <w:szCs w:val="22"/>
                          </w:rPr>
                          <w:t xml:space="preserve">Projekty               v zásobníku </w:t>
                        </w:r>
                        <w:r w:rsidRPr="00636DEA">
                          <w:rPr>
                            <w:rFonts w:ascii="Calibri" w:hAnsi="Calibri"/>
                            <w:color w:val="000000"/>
                            <w:kern w:val="24"/>
                            <w:szCs w:val="22"/>
                          </w:rPr>
                          <w:t>(</w:t>
                        </w:r>
                        <w:r>
                          <w:rPr>
                            <w:rFonts w:ascii="Calibri" w:hAnsi="Calibri"/>
                            <w:color w:val="000000"/>
                            <w:kern w:val="24"/>
                            <w:szCs w:val="22"/>
                          </w:rPr>
                          <w:t>nezařazeny do rozpočtu</w:t>
                        </w:r>
                        <w:r w:rsidRPr="00636DEA">
                          <w:rPr>
                            <w:rFonts w:ascii="Calibri" w:hAnsi="Calibri"/>
                            <w:color w:val="000000"/>
                            <w:kern w:val="24"/>
                            <w:szCs w:val="22"/>
                          </w:rPr>
                          <w:t xml:space="preserve">) </w:t>
                        </w:r>
                      </w:p>
                    </w:txbxContent>
                  </v:textbox>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25" o:spid="_x0000_s1347" type="#_x0000_t66" style="position:absolute;left:42007;top:10516;width:2509;height:5243;rotation:86647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lEwQAAANsAAAAPAAAAZHJzL2Rvd25yZXYueG1sRI9BawIx&#10;FITvBf9DeEJvNVmLUlejiCAU6qHa9v7cvG6Wbl6WJF3Xf98UBI/DzHzDrDaDa0VPITaeNRQTBYK4&#10;8qbhWsPnx/7pBURMyAZbz6ThShE269HDCkvjL3yk/pRqkSEcS9RgU+pKKWNlyWGc+I44e98+OExZ&#10;hlqagJcMd62cKjWXDhvOCxY72lmqfk6/TsNi8WULRfX7G4er6v2BU3FmrR/Hw3YJItGQ7uFb+9Vo&#10;mD3D/5f8A+T6DwAA//8DAFBLAQItABQABgAIAAAAIQDb4fbL7gAAAIUBAAATAAAAAAAAAAAAAAAA&#10;AAAAAABbQ29udGVudF9UeXBlc10ueG1sUEsBAi0AFAAGAAgAAAAhAFr0LFu/AAAAFQEAAAsAAAAA&#10;AAAAAAAAAAAAHwEAAF9yZWxzLy5yZWxzUEsBAi0AFAAGAAgAAAAhACBO+UTBAAAA2wAAAA8AAAAA&#10;AAAAAAAAAAAABwIAAGRycy9kb3ducmV2LnhtbFBLBQYAAAAAAwADALcAAAD1AgAAAAA=&#10;" adj="10800" fillcolor="#4f81bd" strokecolor="#385d8a" strokeweight="2pt"/>
                <v:shape id="Šipka doleva 27" o:spid="_x0000_s1348" type="#_x0000_t66" style="position:absolute;left:24993;top:11546;width:4320;height:3601;rotation:27983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DKxgAAANsAAAAPAAAAZHJzL2Rvd25yZXYueG1sRI9Ba8JA&#10;FITvgv9heYI33Si2hOgq0iIopVBTW/T2zD6TYPZtyG419td3BaHHYWa+YWaL1lTiQo0rLSsYDSMQ&#10;xJnVJecKdp+rQQzCeWSNlWVScCMHi3m3M8NE2ytv6ZL6XAQIuwQVFN7XiZQuK8igG9qaOHgn2xj0&#10;QTa51A1eA9xUchxFz9JgyWGhwJpeCsrO6Y9RkC5vcXz4/qWP3df4uHrfv8nXzVGpfq9dTkF4av1/&#10;+NFeawVPE7h/CT9Azv8AAAD//wMAUEsBAi0AFAAGAAgAAAAhANvh9svuAAAAhQEAABMAAAAAAAAA&#10;AAAAAAAAAAAAAFtDb250ZW50X1R5cGVzXS54bWxQSwECLQAUAAYACAAAACEAWvQsW78AAAAVAQAA&#10;CwAAAAAAAAAAAAAAAAAfAQAAX3JlbHMvLnJlbHNQSwECLQAUAAYACAAAACEAMepwysYAAADbAAAA&#10;DwAAAAAAAAAAAAAAAAAHAgAAZHJzL2Rvd25yZXYueG1sUEsFBgAAAAADAAMAtwAAAPoCAAAAAA==&#10;" adj="9000" fillcolor="#4f81bd" strokecolor="#385d8a" strokeweight="2pt"/>
                <v:shape id="Šipka doprava 18" o:spid="_x0000_s1349" type="#_x0000_t13" style="position:absolute;left:35623;top:5734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mGKwgAAANsAAAAPAAAAZHJzL2Rvd25yZXYueG1sRI/dasJA&#10;FITvC77DcoTe1Y1CikZXEa1QemfaBzhkj0k0ezbsbn58e7cgeDnMzDfMZjeaRvTkfG1ZwXyWgCAu&#10;rK65VPD3e/pYgvABWWNjmRTcycNuO3nbYKbtwGfq81CKCGGfoYIqhDaT0hcVGfQz2xJH72KdwRCl&#10;K6V2OES4aeQiST6lwZrjQoUtHSoqbnlnFJT5arnvD8f8Z0iv8/PJdd3XqlPqfTru1yACjeEVfra/&#10;tYI0hf8v8QfI7QMAAP//AwBQSwECLQAUAAYACAAAACEA2+H2y+4AAACFAQAAEwAAAAAAAAAAAAAA&#10;AAAAAAAAW0NvbnRlbnRfVHlwZXNdLnhtbFBLAQItABQABgAIAAAAIQBa9CxbvwAAABUBAAALAAAA&#10;AAAAAAAAAAAAAB8BAABfcmVscy8ucmVsc1BLAQItABQABgAIAAAAIQAUDmGKwgAAANsAAAAPAAAA&#10;AAAAAAAAAAAAAAcCAABkcnMvZG93bnJldi54bWxQSwUGAAAAAAMAAwC3AAAA9gIAAAAA&#10;" adj="10800" fillcolor="#4f81bd" strokecolor="#385d8a" strokeweight="2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20" o:spid="_x0000_s1350" type="#_x0000_t68" style="position:absolute;left:53911;top:48309;width:3600;height:2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lvwQAAANsAAAAPAAAAZHJzL2Rvd25yZXYueG1sRI/NqsIw&#10;FIT3gu8QzgV3ml7FYqtRRBEUV/5s3B2ac9tym5PSxFrf3giCy2FmvmEWq85UoqXGlZYV/I4iEMSZ&#10;1SXnCq6X3XAGwnlkjZVlUvAkB6tlv7fAVNsHn6g9+1wECLsUFRTe16mULivIoBvZmjh4f7Yx6INs&#10;cqkbfAS4qeQ4imJpsOSwUGBNm4Ky//PdKHBojpwl7f06MYfpdmyT2S1OlBr8dOs5CE+d/4Y/7b1W&#10;MI3h/SX8ALl8AQAA//8DAFBLAQItABQABgAIAAAAIQDb4fbL7gAAAIUBAAATAAAAAAAAAAAAAAAA&#10;AAAAAABbQ29udGVudF9UeXBlc10ueG1sUEsBAi0AFAAGAAgAAAAhAFr0LFu/AAAAFQEAAAsAAAAA&#10;AAAAAAAAAAAAHwEAAF9yZWxzLy5yZWxzUEsBAi0AFAAGAAgAAAAhAEa4WW/BAAAA2wAAAA8AAAAA&#10;AAAAAAAAAAAABwIAAGRycy9kb3ducmV2LnhtbFBLBQYAAAAAAwADALcAAAD1AgAAAAA=&#10;" adj="10800" fillcolor="#4f81bd" strokecolor="#385d8a" strokeweight="2pt"/>
                <v:shape id="Šipka nahoru 23" o:spid="_x0000_s1351" type="#_x0000_t68" style="position:absolute;left:15811;top:48309;width:3600;height:2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z0wgAAANsAAAAPAAAAZHJzL2Rvd25yZXYueG1sRI9Bi8Iw&#10;FITvC/6H8ARva6qia2tTEUVw2dOqF2+P5tkWm5fSxFr/vREW9jjMzDdMuu5NLTpqXWVZwWQcgSDO&#10;ra64UHA+7T+XIJxH1lhbJgVPcrDOBh8pJto++Je6oy9EgLBLUEHpfZNI6fKSDLqxbYiDd7WtQR9k&#10;W0jd4iPATS2nUbSQBisOCyU2tC0pvx3vRoFD88N53N3PM/M9301tvLwsYqVGw36zAuGp9//hv/ZB&#10;K5h/wftL+AEyewEAAP//AwBQSwECLQAUAAYACAAAACEA2+H2y+4AAACFAQAAEwAAAAAAAAAAAAAA&#10;AAAAAAAAW0NvbnRlbnRfVHlwZXNdLnhtbFBLAQItABQABgAIAAAAIQBa9CxbvwAAABUBAAALAAAA&#10;AAAAAAAAAAAAAB8BAABfcmVscy8ucmVsc1BLAQItABQABgAIAAAAIQAp9Pz0wgAAANsAAAAPAAAA&#10;AAAAAAAAAAAAAAcCAABkcnMvZG93bnJldi54bWxQSwUGAAAAAAMAAwC3AAAA9gIAAAAA&#10;" adj="10800" fillcolor="#4f81bd" strokecolor="#385d8a" strokeweight="2pt"/>
                <v:oval id="Elipsa 11" o:spid="_x0000_s1352" style="position:absolute;left:43604;top:18906;width:35031;height:1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SRiwQAAANsAAAAPAAAAZHJzL2Rvd25yZXYueG1sRE9Na8JA&#10;EL0L/Q/LCL1I3ShoS3SVIghCoWgspcchOybB7GzIjib5992D4PHxvtfb3tXqTm2oPBuYTRNQxLm3&#10;FRcGfs77tw9QQZAt1p7JwEABtpuX0RpT6zs+0T2TQsUQDikaKEWaVOuQl+QwTH1DHLmLbx1KhG2h&#10;bYtdDHe1nifJUjusODaU2NCupPya3ZyB9+N+Z78m/fD7N799SzeI95015nXcf65ACfXyFD/cB2tg&#10;EcfGL/EH6M0/AAAA//8DAFBLAQItABQABgAIAAAAIQDb4fbL7gAAAIUBAAATAAAAAAAAAAAAAAAA&#10;AAAAAABbQ29udGVudF9UeXBlc10ueG1sUEsBAi0AFAAGAAgAAAAhAFr0LFu/AAAAFQEAAAsAAAAA&#10;AAAAAAAAAAAAHwEAAF9yZWxzLy5yZWxzUEsBAi0AFAAGAAgAAAAhAN6VJGLBAAAA2wAAAA8AAAAA&#10;AAAAAAAAAAAABwIAAGRycy9kb3ducmV2LnhtbFBLBQYAAAAAAwADALcAAAD1AgAAAAA=&#10;" strokecolor="#385d8a" strokeweight="2pt">
                  <v:textbox>
                    <w:txbxContent>
                      <w:p w14:paraId="30B6E1D2" w14:textId="77777777" w:rsidR="00511D9B" w:rsidRPr="00CB3614" w:rsidRDefault="00511D9B" w:rsidP="00B979A0">
                        <w:pPr>
                          <w:pStyle w:val="Normlnweb"/>
                          <w:ind w:left="-57" w:right="-57"/>
                          <w:jc w:val="center"/>
                          <w:textAlignment w:val="baseline"/>
                          <w:rPr>
                            <w:sz w:val="22"/>
                            <w:szCs w:val="22"/>
                          </w:rPr>
                        </w:pPr>
                        <w:r w:rsidRPr="00AE55D0">
                          <w:rPr>
                            <w:rFonts w:ascii="Calibri" w:hAnsi="Calibri"/>
                            <w:b/>
                            <w:bCs/>
                            <w:color w:val="000000"/>
                            <w:kern w:val="24"/>
                            <w:sz w:val="22"/>
                            <w:szCs w:val="22"/>
                          </w:rPr>
                          <w:t xml:space="preserve">Odmítnutí </w:t>
                        </w:r>
                        <w:r w:rsidRPr="00AE55D0">
                          <w:rPr>
                            <w:rFonts w:ascii="Calibri" w:hAnsi="Calibri"/>
                            <w:color w:val="000000"/>
                            <w:kern w:val="24"/>
                            <w:sz w:val="22"/>
                            <w:szCs w:val="22"/>
                          </w:rPr>
                          <w:t>projektu či požadavku a vrácení k vyřízení či doplnění relevantnímu odboru</w:t>
                        </w:r>
                      </w:p>
                    </w:txbxContent>
                  </v:textbox>
                </v:oval>
                <v:shape id="Šipka nahoru 26" o:spid="_x0000_s1353" type="#_x0000_t68" style="position:absolute;left:23606;top:32168;width:3600;height:3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80dwQAAANsAAAAPAAAAZHJzL2Rvd25yZXYueG1sRI9Bi8Iw&#10;FITvgv8hPGFvmqootpoWUYQVT6tevD2aZ1tsXkoTa/ffbwRhj8PMfMNsst7UoqPWVZYVTCcRCOLc&#10;6ooLBdfLYbwC4TyyxtoyKfglB1k6HGww0fbFP9SdfSEChF2CCkrvm0RKl5dk0E1sQxy8u20N+iDb&#10;QuoWXwFuajmLoqU0WHFYKLGhXUn54/w0ChyaE+dx97zOzXGxn9l4dVvGSn2N+u0ahKfe/4c/7W+t&#10;YBHD+0v4ATL9AwAA//8DAFBLAQItABQABgAIAAAAIQDb4fbL7gAAAIUBAAATAAAAAAAAAAAAAAAA&#10;AAAAAABbQ29udGVudF9UeXBlc10ueG1sUEsBAi0AFAAGAAgAAAAhAFr0LFu/AAAAFQEAAAsAAAAA&#10;AAAAAAAAAAAAHwEAAF9yZWxzLy5yZWxzUEsBAi0AFAAGAAgAAAAhADcnzR3BAAAA2wAAAA8AAAAA&#10;AAAAAAAAAAAABwIAAGRycy9kb3ducmV2LnhtbFBLBQYAAAAAAwADALcAAAD1AgAAAAA=&#10;" adj="10800" fillcolor="#4f81bd" strokecolor="#385d8a" strokeweight="2pt"/>
                <v:shape id="Šipka nahoru 28" o:spid="_x0000_s1354" type="#_x0000_t68" style="position:absolute;left:58743;top:32318;width:3600;height:3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49wAAAANsAAAAPAAAAZHJzL2Rvd25yZXYueG1sRE9Na4NA&#10;EL0H+h+WKfQW11oi0bgJpaWQkFNMLrkN7kQl7qy4q7H/Pnso9Ph438VuNp2YaHCtZQXvUQyCuLK6&#10;5VrB5fyzXINwHlljZ5kU/JKD3fZlUWCu7YNPNJW+FiGEXY4KGu/7XEpXNWTQRbYnDtzNDgZ9gEMt&#10;9YCPEG46mcRxKg22HBoa7OmroepejkaBQ3PkKpvGy4c5rL4Tm62vaabU2+v8uQHhafb/4j/3XitI&#10;w/rwJfwAuX0CAAD//wMAUEsBAi0AFAAGAAgAAAAhANvh9svuAAAAhQEAABMAAAAAAAAAAAAAAAAA&#10;AAAAAFtDb250ZW50X1R5cGVzXS54bWxQSwECLQAUAAYACAAAACEAWvQsW78AAAAVAQAACwAAAAAA&#10;AAAAAAAAAAAfAQAAX3JlbHMvLnJlbHNQSwECLQAUAAYACAAAACEAaHGuPcAAAADbAAAADwAAAAAA&#10;AAAAAAAAAAAHAgAAZHJzL2Rvd25yZXYueG1sUEsFBgAAAAADAAMAtwAAAPQCAAAAAA==&#10;" adj="10800" fillcolor="#4f81bd" strokecolor="#385d8a" strokeweight="2pt"/>
                <v:shape id="Šipka nahoru 29" o:spid="_x0000_s1355" type="#_x0000_t68" style="position:absolute;left:71170;top:30382;width:2469;height:22322;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gvowgAAANsAAAAPAAAAZHJzL2Rvd25yZXYueG1sRI9Ba4NA&#10;FITvgfyH5RV6i6ulSDDZSA0Ee9UWkuPDfVWp+9a4W7X/vlso9DjMzDfMMV/NIGaaXG9ZQRLFIIgb&#10;q3tuFby/XXZ7EM4jaxwsk4JvcpCftpsjZtouXNFc+1YECLsMFXTej5mUrunIoIvsSBy8DzsZ9EFO&#10;rdQTLgFuBvkUx6k02HNY6HCkc0fNZ/1lFJTN3tfn4pre1ns5Vmlc3J/rQqnHh/XlAMLT6v/Df+1X&#10;rSBN4PdL+AHy9AMAAP//AwBQSwECLQAUAAYACAAAACEA2+H2y+4AAACFAQAAEwAAAAAAAAAAAAAA&#10;AAAAAAAAW0NvbnRlbnRfVHlwZXNdLnhtbFBLAQItABQABgAIAAAAIQBa9CxbvwAAABUBAAALAAAA&#10;AAAAAAAAAAAAAB8BAABfcmVscy8ucmVsc1BLAQItABQABgAIAAAAIQBzRgvowgAAANsAAAAPAAAA&#10;AAAAAAAAAAAAAAcCAABkcnMvZG93bnJldi54bWxQSwUGAAAAAAMAAwC3AAAA9gIAAAAA&#10;" adj="1194" fillcolor="#4f81bd" strokecolor="#385d8a" strokeweight="2pt"/>
                <v:shape id="Vývojový diagram: alternativní postup 30" o:spid="_x0000_s1356" type="#_x0000_t176" style="position:absolute;left:73152;top:4000;width:17994;height:1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86wwAAANsAAAAPAAAAZHJzL2Rvd25yZXYueG1sRI/disIw&#10;FITvBd8hHMEb0WR7IVKNIoKwgnvhzwMcmmNTbU5qk2r37TcLC3s5zMw3zGrTu1q8qA2VZw0fMwWC&#10;uPCm4lLD9bKfLkCEiGyw9kwavinAZj0crDA3/s0nep1jKRKEQ44abIxNLmUoLDkMM98QJ+/mW4cx&#10;ybaUpsV3grtaZkrNpcOK04LFhnaWise5cxqOapJVi0NtpTp1X8fueYn7+13r8ajfLkFE6uN/+K/9&#10;aTTMM/j9kn6AXP8AAAD//wMAUEsBAi0AFAAGAAgAAAAhANvh9svuAAAAhQEAABMAAAAAAAAAAAAA&#10;AAAAAAAAAFtDb250ZW50X1R5cGVzXS54bWxQSwECLQAUAAYACAAAACEAWvQsW78AAAAVAQAACwAA&#10;AAAAAAAAAAAAAAAfAQAAX3JlbHMvLnJlbHNQSwECLQAUAAYACAAAACEAz11POsMAAADbAAAADwAA&#10;AAAAAAAAAAAAAAAHAgAAZHJzL2Rvd25yZXYueG1sUEsFBgAAAAADAAMAtwAAAPcCAAAAAA==&#10;" fillcolor="#ff9" strokeweight="2pt">
                  <v:textbox>
                    <w:txbxContent>
                      <w:p w14:paraId="7301F713" w14:textId="77777777" w:rsidR="00511D9B" w:rsidRPr="00AE55D0" w:rsidRDefault="00511D9B" w:rsidP="00B979A0">
                        <w:pPr>
                          <w:pStyle w:val="Normlnweb"/>
                          <w:ind w:left="-57" w:right="-57"/>
                          <w:jc w:val="center"/>
                          <w:textAlignment w:val="baseline"/>
                          <w:rPr>
                            <w:rFonts w:ascii="Calibri" w:hAnsi="Calibri"/>
                            <w:b/>
                            <w:bCs/>
                            <w:color w:val="000000"/>
                            <w:kern w:val="24"/>
                            <w:sz w:val="22"/>
                            <w:szCs w:val="22"/>
                          </w:rPr>
                        </w:pPr>
                      </w:p>
                      <w:p w14:paraId="2D70802D" w14:textId="77777777" w:rsidR="00511D9B" w:rsidRPr="00B411B7" w:rsidRDefault="00511D9B" w:rsidP="00B979A0">
                        <w:pPr>
                          <w:pStyle w:val="Normlnweb"/>
                          <w:ind w:left="-57" w:right="-57"/>
                          <w:jc w:val="center"/>
                          <w:textAlignment w:val="baseline"/>
                          <w:rPr>
                            <w:sz w:val="22"/>
                            <w:szCs w:val="22"/>
                          </w:rPr>
                        </w:pPr>
                        <w:r w:rsidRPr="00AE55D0">
                          <w:rPr>
                            <w:rFonts w:ascii="Calibri" w:hAnsi="Calibri"/>
                            <w:b/>
                            <w:bCs/>
                            <w:color w:val="000000"/>
                            <w:kern w:val="24"/>
                            <w:sz w:val="22"/>
                            <w:szCs w:val="22"/>
                          </w:rPr>
                          <w:t>Politická odpovědnost volených představitelů</w:t>
                        </w:r>
                      </w:p>
                    </w:txbxContent>
                  </v:textbox>
                </v:shape>
                <v:shape id="Vývojový diagram: alternativní postup 31" o:spid="_x0000_s1357" type="#_x0000_t176" style="position:absolute;left:74485;top:26860;width:17642;height:19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eqhwwAAANsAAAAPAAAAZHJzL2Rvd25yZXYueG1sRI/disIw&#10;FITvF3yHcARvFk3WBZFqFFkQFNwLfx7g0BybanNSm1Tr228WBC+HmfmGmS87V4k7NaH0rOFrpEAQ&#10;596UXGg4HdfDKYgQkQ1WnknDkwIsF72POWbGP3hP90MsRIJwyFCDjbHOpAy5JYdh5Gvi5J194zAm&#10;2RTSNPhIcFfJsVIT6bDktGCxph9L+fXQOg079Tkup9vKSrVvf3ft7RjXl4vWg363moGI1MV3+NXe&#10;GA2Tb/j/kn6AXPwBAAD//wMAUEsBAi0AFAAGAAgAAAAhANvh9svuAAAAhQEAABMAAAAAAAAAAAAA&#10;AAAAAAAAAFtDb250ZW50X1R5cGVzXS54bWxQSwECLQAUAAYACAAAACEAWvQsW78AAAAVAQAACwAA&#10;AAAAAAAAAAAAAAAfAQAAX3JlbHMvLnJlbHNQSwECLQAUAAYACAAAACEAoBHqocMAAADbAAAADwAA&#10;AAAAAAAAAAAAAAAHAgAAZHJzL2Rvd25yZXYueG1sUEsFBgAAAAADAAMAtwAAAPcCAAAAAA==&#10;" fillcolor="#ff9" strokeweight="2pt">
                  <v:textbox>
                    <w:txbxContent>
                      <w:p w14:paraId="4FF203F5" w14:textId="77777777" w:rsidR="00511D9B" w:rsidRPr="00AE55D0" w:rsidRDefault="00511D9B" w:rsidP="00B979A0">
                        <w:pPr>
                          <w:pStyle w:val="Normlnweb"/>
                          <w:ind w:left="-113" w:right="-113"/>
                          <w:jc w:val="center"/>
                          <w:textAlignment w:val="baseline"/>
                          <w:rPr>
                            <w:rFonts w:ascii="Calibri" w:hAnsi="Calibri"/>
                            <w:b/>
                            <w:bCs/>
                            <w:color w:val="000000"/>
                            <w:kern w:val="24"/>
                            <w:sz w:val="22"/>
                            <w:szCs w:val="22"/>
                          </w:rPr>
                        </w:pPr>
                      </w:p>
                      <w:p w14:paraId="128E9E08" w14:textId="77777777" w:rsidR="00511D9B" w:rsidRPr="00AE55D0" w:rsidRDefault="00511D9B" w:rsidP="00B979A0">
                        <w:pPr>
                          <w:pStyle w:val="Normlnweb"/>
                          <w:ind w:left="-113" w:right="-113"/>
                          <w:jc w:val="center"/>
                          <w:textAlignment w:val="baseline"/>
                          <w:rPr>
                            <w:rFonts w:ascii="Calibri" w:hAnsi="Calibri"/>
                            <w:b/>
                            <w:bCs/>
                            <w:color w:val="000000"/>
                            <w:kern w:val="24"/>
                            <w:sz w:val="22"/>
                            <w:szCs w:val="22"/>
                          </w:rPr>
                        </w:pPr>
                      </w:p>
                      <w:p w14:paraId="04514C16" w14:textId="77777777" w:rsidR="00511D9B" w:rsidRPr="00CB3614" w:rsidRDefault="00511D9B" w:rsidP="00B979A0">
                        <w:pPr>
                          <w:pStyle w:val="Normlnweb"/>
                          <w:ind w:left="-113" w:right="-113"/>
                          <w:jc w:val="center"/>
                          <w:textAlignment w:val="baseline"/>
                          <w:rPr>
                            <w:sz w:val="22"/>
                            <w:szCs w:val="22"/>
                          </w:rPr>
                        </w:pPr>
                        <w:r w:rsidRPr="00AE55D0">
                          <w:rPr>
                            <w:rFonts w:ascii="Calibri" w:hAnsi="Calibri"/>
                            <w:b/>
                            <w:bCs/>
                            <w:color w:val="000000"/>
                            <w:kern w:val="24"/>
                            <w:sz w:val="22"/>
                            <w:szCs w:val="22"/>
                          </w:rPr>
                          <w:t>Odborné a transparentní posouzení požadavků</w:t>
                        </w:r>
                      </w:p>
                    </w:txbxContent>
                  </v:textbox>
                </v:shape>
                <v:shape id="Vývojový diagram: alternativní postup 32" o:spid="_x0000_s1358" type="#_x0000_t176" style="position:absolute;left:74485;top:50101;width:18107;height:18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I1xwAAAN4AAAAPAAAAZHJzL2Rvd25yZXYueG1sRI/NasMw&#10;EITvhbyD2EIvJZHqhhBcKyEUAi0kh/w8wGJtLbvWyrXkxH37qhDIcZiZb5hiPbpWXKgPtWcNLzMF&#10;grj0puZKw/m0nS5BhIhssPVMGn4pwHo1eSgwN/7KB7ocYyUShEOOGmyMXS5lKC05DDPfESfvy/cO&#10;Y5J9JU2P1wR3rcyUWkiHNacFix29Wyq/j4PTsFPPWb38bK1Uh2G/G35Ocds0Wj89jps3EJHGeA/f&#10;2h9GQzZXrxn830lXQK7+AAAA//8DAFBLAQItABQABgAIAAAAIQDb4fbL7gAAAIUBAAATAAAAAAAA&#10;AAAAAAAAAAAAAABbQ29udGVudF9UeXBlc10ueG1sUEsBAi0AFAAGAAgAAAAhAFr0LFu/AAAAFQEA&#10;AAsAAAAAAAAAAAAAAAAAHwEAAF9yZWxzLy5yZWxzUEsBAi0AFAAGAAgAAAAhAFDhUjXHAAAA3gAA&#10;AA8AAAAAAAAAAAAAAAAABwIAAGRycy9kb3ducmV2LnhtbFBLBQYAAAAAAwADALcAAAD7AgAAAAA=&#10;" fillcolor="#ff9" strokeweight="2pt">
                  <v:textbox>
                    <w:txbxContent>
                      <w:p w14:paraId="3DE09DCB" w14:textId="77777777" w:rsidR="00511D9B" w:rsidRPr="00CB3614" w:rsidRDefault="00511D9B" w:rsidP="002D76F7">
                        <w:pPr>
                          <w:pStyle w:val="Normlnweb"/>
                          <w:spacing w:after="20"/>
                          <w:ind w:left="-57" w:right="-57"/>
                          <w:jc w:val="center"/>
                          <w:textAlignment w:val="baseline"/>
                          <w:rPr>
                            <w:sz w:val="22"/>
                            <w:szCs w:val="22"/>
                          </w:rPr>
                        </w:pPr>
                        <w:r w:rsidRPr="00AE55D0">
                          <w:rPr>
                            <w:rFonts w:ascii="Calibri" w:hAnsi="Calibri"/>
                            <w:b/>
                            <w:bCs/>
                            <w:color w:val="000000"/>
                            <w:kern w:val="24"/>
                            <w:sz w:val="22"/>
                            <w:szCs w:val="22"/>
                          </w:rPr>
                          <w:t>Posouzení odborem, zda je operativní požadavek nebo požadavek do Akčního plánu</w:t>
                        </w:r>
                      </w:p>
                    </w:txbxContent>
                  </v:textbox>
                </v:shape>
                <v:line id="Přímá spojovací čára 15" o:spid="_x0000_s1359" style="position:absolute;visibility:visible;mso-wrap-style:square" from="381,50101" to="91101,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byAAAAN4AAAAPAAAAZHJzL2Rvd25yZXYueG1sRI9Ba8JA&#10;FITvQv/D8grezMZYiqSuIVqEtvRibCneHtlnkpp9G7Krxn/fLQgeh5n5hllkg2nFmXrXWFYwjWIQ&#10;xKXVDVcKvnabyRyE88gaW8uk4EoOsuXDaIGpthfe0rnwlQgQdikqqL3vUildWZNBF9mOOHgH2xv0&#10;QfaV1D1eAty0MonjZ2mw4bBQY0frmspjcTIKio/N9Nis25/f1fY1uX5+r97z/aDU+HHIX0B4Gvw9&#10;fGu/aQXJUzybwf+dcAXk8g8AAP//AwBQSwECLQAUAAYACAAAACEA2+H2y+4AAACFAQAAEwAAAAAA&#10;AAAAAAAAAAAAAAAAW0NvbnRlbnRfVHlwZXNdLnhtbFBLAQItABQABgAIAAAAIQBa9CxbvwAAABUB&#10;AAALAAAAAAAAAAAAAAAAAB8BAABfcmVscy8ucmVsc1BLAQItABQABgAIAAAAIQChoV+byAAAAN4A&#10;AAAPAAAAAAAAAAAAAAAAAAcCAABkcnMvZG93bnJldi54bWxQSwUGAAAAAAMAAwC3AAAA/AIAAAAA&#10;" strokecolor="red" strokeweight="4.5pt"/>
                <v:shape id="Nadpis 1" o:spid="_x0000_s1360" type="#_x0000_t202" style="position:absolute;width:69482;height:3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VzyAAAAN4AAAAPAAAAZHJzL2Rvd25yZXYueG1sRI/RasJA&#10;FETfhf7Dcgt9Cbqp2iqpq5RCiw+CrfoBl+w1G8zeDdk1Jv16VxB8HGbmDLNYdbYSLTW+dKzgdZSC&#10;IM6dLrlQcNh/D+cgfEDWWDkmBT15WC2fBgvMtLvwH7W7UIgIYZ+hAhNCnUnpc0MW/cjVxNE7usZi&#10;iLIppG7wEuG2kuM0fZcWS44LBmv6MpSfdmer4Kc/z0MxMdvk7T9pZ7+bQ59sTkq9PHefHyACdeER&#10;vrfXWsF4mk6mcLsTr4BcXgEAAP//AwBQSwECLQAUAAYACAAAACEA2+H2y+4AAACFAQAAEwAAAAAA&#10;AAAAAAAAAAAAAAAAW0NvbnRlbnRfVHlwZXNdLnhtbFBLAQItABQABgAIAAAAIQBa9CxbvwAAABUB&#10;AAALAAAAAAAAAAAAAAAAAB8BAABfcmVscy8ucmVsc1BLAQItABQABgAIAAAAIQBmVfVzyAAAAN4A&#10;AAAPAAAAAAAAAAAAAAAAAAcCAABkcnMvZG93bnJldi54bWxQSwUGAAAAAAMAAwC3AAAA/AIAAAAA&#10;" filled="f" stroked="f">
                  <v:path arrowok="t"/>
                  <v:textbox>
                    <w:txbxContent>
                      <w:p w14:paraId="6D123841" w14:textId="77777777" w:rsidR="00511D9B" w:rsidRPr="00CB3614" w:rsidRDefault="00511D9B" w:rsidP="00B979A0">
                        <w:pPr>
                          <w:pStyle w:val="Normlnweb"/>
                          <w:textAlignment w:val="baseline"/>
                          <w:rPr>
                            <w:sz w:val="22"/>
                            <w:szCs w:val="22"/>
                          </w:rPr>
                        </w:pPr>
                        <w:r w:rsidRPr="00AE55D0">
                          <w:rPr>
                            <w:rFonts w:ascii="Arial" w:hAnsi="Arial"/>
                            <w:b/>
                            <w:bCs/>
                            <w:color w:val="000000"/>
                            <w:kern w:val="24"/>
                            <w:sz w:val="22"/>
                            <w:szCs w:val="22"/>
                          </w:rPr>
                          <w:t>Schéma tvorby Akčního plánu</w:t>
                        </w:r>
                      </w:p>
                    </w:txbxContent>
                  </v:textbox>
                </v:shape>
                <w10:anchorlock/>
              </v:group>
            </w:pict>
          </mc:Fallback>
        </mc:AlternateContent>
      </w:r>
    </w:p>
    <w:p w14:paraId="5D8B3D1B" w14:textId="40443784" w:rsidR="00B979A0" w:rsidRDefault="006B5327" w:rsidP="00B979A0">
      <w:pPr>
        <w:pStyle w:val="A1-text"/>
        <w:rPr>
          <w:rFonts w:asciiTheme="minorHAnsi" w:hAnsiTheme="minorHAnsi"/>
          <w:i/>
          <w:iCs/>
          <w:lang w:val="cs-CZ"/>
        </w:rPr>
      </w:pPr>
      <w:r w:rsidRPr="006B5327">
        <w:rPr>
          <w:rFonts w:asciiTheme="minorHAnsi" w:hAnsiTheme="minorHAnsi"/>
          <w:i/>
          <w:iCs/>
          <w:lang w:val="cs-CZ"/>
        </w:rPr>
        <w:t>Zdroj</w:t>
      </w:r>
      <w:r w:rsidR="00B979A0" w:rsidRPr="006B5327">
        <w:rPr>
          <w:rFonts w:asciiTheme="minorHAnsi" w:hAnsiTheme="minorHAnsi"/>
          <w:i/>
          <w:iCs/>
          <w:lang w:val="cs-CZ"/>
        </w:rPr>
        <w:t>: Půček, Koppitz (2012), podklady města Litoměřic</w:t>
      </w:r>
    </w:p>
    <w:p w14:paraId="1412A689" w14:textId="77777777" w:rsidR="00B37DF3" w:rsidRPr="006B5327" w:rsidRDefault="00B37DF3" w:rsidP="00B979A0">
      <w:pPr>
        <w:pStyle w:val="A1-text"/>
        <w:rPr>
          <w:rFonts w:asciiTheme="minorHAnsi" w:hAnsiTheme="minorHAnsi"/>
          <w:i/>
          <w:iCs/>
          <w:lang w:val="cs-CZ"/>
        </w:rPr>
      </w:pPr>
    </w:p>
    <w:p w14:paraId="41B4231B" w14:textId="77777777" w:rsidR="00B979A0" w:rsidRPr="005149E0" w:rsidRDefault="00B979A0" w:rsidP="00B979A0">
      <w:pPr>
        <w:pStyle w:val="A1-text"/>
        <w:spacing w:after="120"/>
        <w:rPr>
          <w:rFonts w:asciiTheme="minorHAnsi" w:hAnsiTheme="minorHAnsi" w:cstheme="minorHAnsi"/>
          <w:b/>
          <w:lang w:val="cs-CZ"/>
        </w:rPr>
      </w:pPr>
      <w:r w:rsidRPr="005149E0">
        <w:rPr>
          <w:rFonts w:asciiTheme="minorHAnsi" w:hAnsiTheme="minorHAnsi" w:cstheme="minorHAnsi"/>
          <w:b/>
          <w:lang w:val="cs-CZ"/>
        </w:rPr>
        <w:lastRenderedPageBreak/>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36B39BAD" w14:textId="77777777" w:rsidR="00B979A0" w:rsidRDefault="00B979A0" w:rsidP="0065698B">
      <w:pPr>
        <w:pStyle w:val="Odstavecseseznamem"/>
        <w:numPr>
          <w:ilvl w:val="0"/>
          <w:numId w:val="22"/>
        </w:numPr>
        <w:jc w:val="both"/>
        <w:rPr>
          <w:rFonts w:asciiTheme="minorHAnsi" w:hAnsiTheme="minorHAnsi" w:cstheme="minorHAnsi"/>
        </w:rPr>
      </w:pPr>
      <w:r>
        <w:rPr>
          <w:rFonts w:asciiTheme="minorHAnsi" w:hAnsiTheme="minorHAnsi" w:cstheme="minorHAnsi"/>
        </w:rPr>
        <w:t>Schéma je převzato z konkrétního města (Litoměřice), odpovídá tedy místním podmínkám a zvyklostem.</w:t>
      </w:r>
    </w:p>
    <w:p w14:paraId="2367FFA9" w14:textId="77777777" w:rsidR="00B979A0" w:rsidRDefault="00B979A0" w:rsidP="0065698B">
      <w:pPr>
        <w:pStyle w:val="Odstavecseseznamem"/>
        <w:numPr>
          <w:ilvl w:val="0"/>
          <w:numId w:val="22"/>
        </w:numPr>
        <w:jc w:val="both"/>
        <w:rPr>
          <w:rFonts w:asciiTheme="minorHAnsi" w:hAnsiTheme="minorHAnsi" w:cstheme="minorHAnsi"/>
        </w:rPr>
      </w:pPr>
      <w:r>
        <w:rPr>
          <w:rFonts w:asciiTheme="minorHAnsi" w:hAnsiTheme="minorHAnsi" w:cstheme="minorHAnsi"/>
        </w:rPr>
        <w:t xml:space="preserve">Z případové studie je zřejmé, že je možné mít propojený proces </w:t>
      </w:r>
    </w:p>
    <w:p w14:paraId="67C7B8A1" w14:textId="77777777" w:rsidR="00B979A0" w:rsidRDefault="00B979A0" w:rsidP="0065698B">
      <w:pPr>
        <w:pStyle w:val="Odstavecseseznamem"/>
        <w:numPr>
          <w:ilvl w:val="1"/>
          <w:numId w:val="22"/>
        </w:numPr>
        <w:jc w:val="both"/>
        <w:rPr>
          <w:rFonts w:asciiTheme="minorHAnsi" w:hAnsiTheme="minorHAnsi" w:cstheme="minorHAnsi"/>
        </w:rPr>
      </w:pPr>
      <w:r>
        <w:rPr>
          <w:rFonts w:asciiTheme="minorHAnsi" w:hAnsiTheme="minorHAnsi" w:cstheme="minorHAnsi"/>
        </w:rPr>
        <w:t xml:space="preserve">rozpočtování se </w:t>
      </w:r>
    </w:p>
    <w:p w14:paraId="7402E834" w14:textId="77777777" w:rsidR="00B979A0" w:rsidRDefault="00B979A0" w:rsidP="0065698B">
      <w:pPr>
        <w:pStyle w:val="Odstavecseseznamem"/>
        <w:numPr>
          <w:ilvl w:val="1"/>
          <w:numId w:val="22"/>
        </w:numPr>
        <w:jc w:val="both"/>
        <w:rPr>
          <w:rFonts w:asciiTheme="minorHAnsi" w:hAnsiTheme="minorHAnsi" w:cstheme="minorHAnsi"/>
        </w:rPr>
      </w:pPr>
      <w:r>
        <w:rPr>
          <w:rFonts w:asciiTheme="minorHAnsi" w:hAnsiTheme="minorHAnsi" w:cstheme="minorHAnsi"/>
        </w:rPr>
        <w:t xml:space="preserve">strategickým řízením pomocí akčního (prováděcího) plánu. </w:t>
      </w:r>
    </w:p>
    <w:p w14:paraId="43FB3A65" w14:textId="2A8B989B" w:rsidR="007E2788" w:rsidRDefault="00B979A0" w:rsidP="00DF2FF4">
      <w:pPr>
        <w:pStyle w:val="Odstavecseseznamem"/>
        <w:ind w:left="360"/>
        <w:jc w:val="both"/>
        <w:rPr>
          <w:rFonts w:asciiTheme="minorHAnsi" w:hAnsiTheme="minorHAnsi" w:cstheme="minorHAnsi"/>
        </w:rPr>
      </w:pPr>
      <w:r>
        <w:rPr>
          <w:rFonts w:asciiTheme="minorHAnsi" w:hAnsiTheme="minorHAnsi" w:cstheme="minorHAnsi"/>
        </w:rPr>
        <w:t>Je to</w:t>
      </w:r>
      <w:r w:rsidRPr="00430C22">
        <w:rPr>
          <w:rFonts w:asciiTheme="minorHAnsi" w:hAnsiTheme="minorHAnsi" w:cstheme="minorHAnsi"/>
        </w:rPr>
        <w:t xml:space="preserve"> velmi úče</w:t>
      </w:r>
      <w:r>
        <w:rPr>
          <w:rFonts w:asciiTheme="minorHAnsi" w:hAnsiTheme="minorHAnsi" w:cstheme="minorHAnsi"/>
        </w:rPr>
        <w:t xml:space="preserve">lné, šetří to čas i prostředky a </w:t>
      </w:r>
      <w:r w:rsidRPr="00430C22">
        <w:rPr>
          <w:rFonts w:asciiTheme="minorHAnsi" w:hAnsiTheme="minorHAnsi" w:cstheme="minorHAnsi"/>
        </w:rPr>
        <w:t xml:space="preserve">posiluje transparentnost. </w:t>
      </w:r>
      <w:r>
        <w:rPr>
          <w:rFonts w:asciiTheme="minorHAnsi" w:hAnsiTheme="minorHAnsi" w:cstheme="minorHAnsi"/>
        </w:rPr>
        <w:t xml:space="preserve">Cenné je zejména třífázové hodnocení záměrů projektů a také jasné oddělení politické odpovědnosti od odborného posouzení. </w:t>
      </w:r>
      <w:r w:rsidRPr="00430C22">
        <w:rPr>
          <w:rFonts w:asciiTheme="minorHAnsi" w:hAnsiTheme="minorHAnsi" w:cstheme="minorHAnsi"/>
        </w:rPr>
        <w:t>Lze to považovat za dobrou praxi.</w:t>
      </w:r>
    </w:p>
    <w:p w14:paraId="486A4D0C" w14:textId="77777777" w:rsidR="00B37DF3" w:rsidRDefault="00B37DF3" w:rsidP="00DF2FF4">
      <w:pPr>
        <w:pStyle w:val="Odstavecseseznamem"/>
        <w:ind w:left="360"/>
        <w:jc w:val="both"/>
        <w:rPr>
          <w:rFonts w:asciiTheme="minorHAnsi" w:hAnsiTheme="minorHAnsi" w:cstheme="minorHAnsi"/>
        </w:rPr>
      </w:pPr>
    </w:p>
    <w:p w14:paraId="7C959235" w14:textId="77777777" w:rsidR="00B37DF3" w:rsidRDefault="00B37DF3" w:rsidP="00B37DF3">
      <w:pPr>
        <w:pStyle w:val="Nadpis2"/>
        <w:spacing w:before="240" w:after="120"/>
        <w:ind w:left="578" w:hanging="578"/>
        <w:rPr>
          <w:rFonts w:asciiTheme="minorHAnsi" w:hAnsiTheme="minorHAnsi" w:cstheme="minorHAnsi"/>
          <w:color w:val="7493B0"/>
          <w:sz w:val="24"/>
          <w:szCs w:val="24"/>
          <w:lang w:val="cs-CZ"/>
        </w:rPr>
      </w:pPr>
      <w:bookmarkStart w:id="81" w:name="_Toc117270019"/>
      <w:r>
        <w:rPr>
          <w:rFonts w:asciiTheme="minorHAnsi" w:hAnsiTheme="minorHAnsi" w:cstheme="minorHAnsi"/>
          <w:color w:val="7493B0"/>
          <w:sz w:val="24"/>
          <w:szCs w:val="24"/>
          <w:lang w:val="cs-CZ"/>
        </w:rPr>
        <w:t>Příklady dobré praxe identifikované v rámci analýzy strategických dokumentů</w:t>
      </w:r>
      <w:bookmarkEnd w:id="81"/>
    </w:p>
    <w:p w14:paraId="1116E56E" w14:textId="77777777" w:rsidR="00B37DF3" w:rsidRPr="00024FF5" w:rsidRDefault="00B37DF3" w:rsidP="00B37DF3">
      <w:pPr>
        <w:spacing w:after="120"/>
        <w:jc w:val="both"/>
        <w:rPr>
          <w:rFonts w:asciiTheme="minorHAnsi" w:hAnsiTheme="minorHAnsi" w:cstheme="minorHAnsi"/>
        </w:rPr>
      </w:pPr>
      <w:r w:rsidRPr="00024FF5">
        <w:rPr>
          <w:rFonts w:asciiTheme="minorHAnsi" w:hAnsiTheme="minorHAnsi" w:cstheme="minorHAnsi"/>
          <w:b/>
        </w:rPr>
        <w:t>Čeho se případová studie týká:</w:t>
      </w:r>
      <w:r w:rsidRPr="00024FF5">
        <w:rPr>
          <w:rFonts w:asciiTheme="minorHAnsi" w:hAnsiTheme="minorHAnsi" w:cstheme="minorHAnsi"/>
        </w:rPr>
        <w:t xml:space="preserve"> </w:t>
      </w:r>
    </w:p>
    <w:p w14:paraId="0224DB2B" w14:textId="3F7E634B" w:rsidR="00B37DF3" w:rsidRPr="008068E2" w:rsidRDefault="00B37DF3" w:rsidP="008068E2">
      <w:pPr>
        <w:spacing w:after="120"/>
        <w:jc w:val="both"/>
        <w:rPr>
          <w:rFonts w:asciiTheme="minorHAnsi" w:hAnsiTheme="minorHAnsi" w:cstheme="minorHAnsi"/>
        </w:rPr>
      </w:pPr>
      <w:r w:rsidRPr="00024FF5">
        <w:rPr>
          <w:rFonts w:asciiTheme="minorHAnsi" w:hAnsiTheme="minorHAnsi" w:cstheme="minorHAnsi"/>
        </w:rPr>
        <w:t>Případová studie se zabývá vazbou mezi strategi</w:t>
      </w:r>
      <w:r w:rsidR="00766292">
        <w:rPr>
          <w:rFonts w:asciiTheme="minorHAnsi" w:hAnsiTheme="minorHAnsi" w:cstheme="minorHAnsi"/>
        </w:rPr>
        <w:t>í</w:t>
      </w:r>
      <w:r w:rsidR="00264123">
        <w:rPr>
          <w:rFonts w:asciiTheme="minorHAnsi" w:hAnsiTheme="minorHAnsi" w:cstheme="minorHAnsi"/>
        </w:rPr>
        <w:t xml:space="preserve"> </w:t>
      </w:r>
      <w:r w:rsidRPr="00024FF5">
        <w:rPr>
          <w:rFonts w:asciiTheme="minorHAnsi" w:hAnsiTheme="minorHAnsi" w:cstheme="minorHAnsi"/>
        </w:rPr>
        <w:t>města a finančními zdroji na jeho realizaci ve městě Týnec nad Sázavou (</w:t>
      </w:r>
      <w:r w:rsidR="008329AC" w:rsidRPr="00024FF5">
        <w:rPr>
          <w:rFonts w:asciiTheme="minorHAnsi" w:hAnsiTheme="minorHAnsi" w:cstheme="minorHAnsi"/>
        </w:rPr>
        <w:t>Hruška</w:t>
      </w:r>
      <w:r w:rsidR="002D76F7">
        <w:rPr>
          <w:rFonts w:asciiTheme="minorHAnsi" w:hAnsiTheme="minorHAnsi" w:cstheme="minorHAnsi"/>
        </w:rPr>
        <w:t xml:space="preserve"> a kol.</w:t>
      </w:r>
      <w:r w:rsidR="008329AC" w:rsidRPr="00024FF5">
        <w:rPr>
          <w:rFonts w:asciiTheme="minorHAnsi" w:hAnsiTheme="minorHAnsi" w:cstheme="minorHAnsi"/>
        </w:rPr>
        <w:t xml:space="preserve"> </w:t>
      </w:r>
      <w:r w:rsidRPr="00024FF5">
        <w:rPr>
          <w:rFonts w:asciiTheme="minorHAnsi" w:hAnsiTheme="minorHAnsi" w:cstheme="minorHAnsi"/>
        </w:rPr>
        <w:t>2022b)</w:t>
      </w:r>
      <w:r w:rsidR="008068E2">
        <w:rPr>
          <w:rStyle w:val="Znakapoznpodarou"/>
          <w:rFonts w:asciiTheme="minorHAnsi" w:hAnsiTheme="minorHAnsi" w:cstheme="minorHAnsi"/>
        </w:rPr>
        <w:footnoteReference w:id="55"/>
      </w:r>
      <w:r w:rsidRPr="00024FF5">
        <w:rPr>
          <w:rFonts w:asciiTheme="minorHAnsi" w:hAnsiTheme="minorHAnsi" w:cstheme="minorHAnsi"/>
        </w:rPr>
        <w:t xml:space="preserve">. </w:t>
      </w:r>
    </w:p>
    <w:p w14:paraId="5AF8A602" w14:textId="77777777" w:rsidR="00B37DF3" w:rsidRPr="00024FF5" w:rsidRDefault="00B37DF3" w:rsidP="00B37DF3">
      <w:pPr>
        <w:spacing w:after="120"/>
        <w:jc w:val="both"/>
        <w:rPr>
          <w:rFonts w:asciiTheme="minorHAnsi" w:hAnsiTheme="minorHAnsi" w:cstheme="minorHAnsi"/>
          <w:b/>
        </w:rPr>
      </w:pPr>
      <w:r w:rsidRPr="00024FF5">
        <w:rPr>
          <w:rFonts w:asciiTheme="minorHAnsi" w:hAnsiTheme="minorHAnsi" w:cstheme="minorHAnsi"/>
          <w:b/>
        </w:rPr>
        <w:t>Popis případové studie:</w:t>
      </w:r>
    </w:p>
    <w:p w14:paraId="10058D13" w14:textId="18777D7E" w:rsidR="00B37DF3" w:rsidRPr="00024FF5" w:rsidRDefault="00D8433F" w:rsidP="00B37DF3">
      <w:pPr>
        <w:spacing w:after="120"/>
        <w:jc w:val="both"/>
        <w:rPr>
          <w:rFonts w:asciiTheme="minorHAnsi" w:hAnsiTheme="minorHAnsi" w:cstheme="minorHAnsi"/>
        </w:rPr>
      </w:pPr>
      <w:r>
        <w:rPr>
          <w:rFonts w:asciiTheme="minorHAnsi" w:hAnsiTheme="minorHAnsi" w:cstheme="minorHAnsi"/>
        </w:rPr>
        <w:t>Strategie</w:t>
      </w:r>
      <w:r w:rsidR="00B37DF3" w:rsidRPr="00024FF5">
        <w:rPr>
          <w:rFonts w:asciiTheme="minorHAnsi" w:hAnsiTheme="minorHAnsi" w:cstheme="minorHAnsi"/>
        </w:rPr>
        <w:t xml:space="preserve"> rozvoje města Týnec nad Sázavou do roku 2028 je rozvojovou strategií na lokální úrovni, konkrétně obce s rozšířenou působností. Jedná se o dokument deklarující střednědobé a dlouhodobé cíle rozvoje města, který vychází ze skutečných potřeb území a je formován na základě dohody všech zapojených aktérů, čímž je zabezpečena kontinuita i v dalším volebním období. </w:t>
      </w:r>
    </w:p>
    <w:p w14:paraId="4001BD10" w14:textId="6CA46872" w:rsidR="00B37DF3" w:rsidRPr="00024FF5" w:rsidRDefault="00B37DF3" w:rsidP="00B37DF3">
      <w:pPr>
        <w:spacing w:after="120"/>
        <w:jc w:val="both"/>
        <w:rPr>
          <w:rFonts w:asciiTheme="minorHAnsi" w:hAnsiTheme="minorHAnsi" w:cstheme="minorHAnsi"/>
        </w:rPr>
      </w:pPr>
      <w:r w:rsidRPr="00024FF5">
        <w:rPr>
          <w:rFonts w:asciiTheme="minorHAnsi" w:hAnsiTheme="minorHAnsi" w:cstheme="minorHAnsi"/>
        </w:rPr>
        <w:t>V rámci dokumentů na úrovni obcí nižšího stupně jsou často finanční náklady na realizaci opatření strategi</w:t>
      </w:r>
      <w:r w:rsidR="00766292">
        <w:rPr>
          <w:rFonts w:asciiTheme="minorHAnsi" w:hAnsiTheme="minorHAnsi" w:cstheme="minorHAnsi"/>
        </w:rPr>
        <w:t>í</w:t>
      </w:r>
      <w:r w:rsidRPr="00024FF5">
        <w:rPr>
          <w:rFonts w:asciiTheme="minorHAnsi" w:hAnsiTheme="minorHAnsi" w:cstheme="minorHAnsi"/>
        </w:rPr>
        <w:t xml:space="preserve"> uvedeny. Jelikož se jedná o </w:t>
      </w:r>
      <w:r w:rsidR="002B3F04">
        <w:rPr>
          <w:rFonts w:asciiTheme="minorHAnsi" w:hAnsiTheme="minorHAnsi" w:cstheme="minorHAnsi"/>
        </w:rPr>
        <w:t xml:space="preserve">relativně </w:t>
      </w:r>
      <w:r w:rsidRPr="00024FF5">
        <w:rPr>
          <w:rFonts w:asciiTheme="minorHAnsi" w:hAnsiTheme="minorHAnsi" w:cstheme="minorHAnsi"/>
        </w:rPr>
        <w:t>malé obce s malými rozpočty, odpovídají tomu i plánované aktivity, které lze poměrně snadno vyčíslit, na rozdíl o</w:t>
      </w:r>
      <w:r w:rsidR="002B3F04">
        <w:rPr>
          <w:rFonts w:asciiTheme="minorHAnsi" w:hAnsiTheme="minorHAnsi" w:cstheme="minorHAnsi"/>
        </w:rPr>
        <w:t>d</w:t>
      </w:r>
      <w:r w:rsidRPr="00024FF5">
        <w:rPr>
          <w:rFonts w:asciiTheme="minorHAnsi" w:hAnsiTheme="minorHAnsi" w:cstheme="minorHAnsi"/>
        </w:rPr>
        <w:t xml:space="preserve"> investic velkých měst. Dokumenty menších obcí v rámci analýzy zaostávají spíše v doprovodných oblastech, jako jsou analýzy rizik, implementační části dokumentů apod. To však není případ </w:t>
      </w:r>
      <w:r w:rsidR="00D8433F">
        <w:rPr>
          <w:rFonts w:asciiTheme="minorHAnsi" w:hAnsiTheme="minorHAnsi" w:cstheme="minorHAnsi"/>
        </w:rPr>
        <w:t>strategie</w:t>
      </w:r>
      <w:r w:rsidRPr="00024FF5">
        <w:rPr>
          <w:rFonts w:asciiTheme="minorHAnsi" w:hAnsiTheme="minorHAnsi" w:cstheme="minorHAnsi"/>
        </w:rPr>
        <w:t xml:space="preserve"> města Týnec nad Sázavou, který má kromě propojení všech opatření s finančními </w:t>
      </w:r>
      <w:r w:rsidRPr="00024FF5">
        <w:rPr>
          <w:rFonts w:asciiTheme="minorHAnsi" w:hAnsiTheme="minorHAnsi" w:cstheme="minorHAnsi"/>
        </w:rPr>
        <w:lastRenderedPageBreak/>
        <w:t>zdroji také kvalitně zpracovány ostatní části dokumentu, a je tak možným příkladem dobré praxe pro zpracování strategických dokumentů na této úrovni.</w:t>
      </w:r>
    </w:p>
    <w:p w14:paraId="1DBEDA45" w14:textId="6C76D559" w:rsidR="00B37DF3" w:rsidRPr="008068E2" w:rsidRDefault="00B37DF3" w:rsidP="008068E2">
      <w:pPr>
        <w:spacing w:after="120"/>
        <w:jc w:val="both"/>
        <w:rPr>
          <w:rFonts w:asciiTheme="minorHAnsi" w:hAnsiTheme="minorHAnsi" w:cstheme="minorHAnsi"/>
        </w:rPr>
      </w:pPr>
      <w:r w:rsidRPr="00024FF5">
        <w:rPr>
          <w:rFonts w:asciiTheme="minorHAnsi" w:hAnsiTheme="minorHAnsi" w:cstheme="minorHAnsi"/>
        </w:rPr>
        <w:t>Finanční propojení je v případě strategie reali</w:t>
      </w:r>
      <w:r w:rsidR="00024FF5" w:rsidRPr="008068E2">
        <w:rPr>
          <w:rFonts w:asciiTheme="minorHAnsi" w:hAnsiTheme="minorHAnsi" w:cstheme="minorHAnsi"/>
        </w:rPr>
        <w:t>zováno na úrovni akčního plánu</w:t>
      </w:r>
      <w:r w:rsidR="002D76F7">
        <w:rPr>
          <w:rFonts w:asciiTheme="minorHAnsi" w:hAnsiTheme="minorHAnsi" w:cstheme="minorHAnsi"/>
        </w:rPr>
        <w:t>,</w:t>
      </w:r>
      <w:r w:rsidR="00024FF5" w:rsidRPr="008068E2">
        <w:rPr>
          <w:rFonts w:asciiTheme="minorHAnsi" w:hAnsiTheme="minorHAnsi" w:cstheme="minorHAnsi"/>
        </w:rPr>
        <w:t xml:space="preserve"> představuje</w:t>
      </w:r>
      <w:r w:rsidRPr="00024FF5">
        <w:rPr>
          <w:rFonts w:asciiTheme="minorHAnsi" w:hAnsiTheme="minorHAnsi" w:cstheme="minorHAnsi"/>
        </w:rPr>
        <w:t xml:space="preserve"> soubor projektů a aktivit, které vedou k naplnění strategických cílů uvedených ve strategi</w:t>
      </w:r>
      <w:r w:rsidR="00766292">
        <w:rPr>
          <w:rFonts w:asciiTheme="minorHAnsi" w:hAnsiTheme="minorHAnsi" w:cstheme="minorHAnsi"/>
        </w:rPr>
        <w:t>i</w:t>
      </w:r>
      <w:r w:rsidRPr="00024FF5">
        <w:rPr>
          <w:rFonts w:asciiTheme="minorHAnsi" w:hAnsiTheme="minorHAnsi" w:cstheme="minorHAnsi"/>
        </w:rPr>
        <w:t xml:space="preserve"> v následujícím kalendářním roce. Zdrojem pro sestavování akčního plánu je zásobník projektových záměrů – strukturovaný přehled nápadů, projektových záměrů, zamýšlených aktivit či podnětů širokého okruhu aktérů vč. veřejnosti. Zásobník projektů sestavuje, vede a průběžně aktualizuje manažer strategie.</w:t>
      </w:r>
    </w:p>
    <w:p w14:paraId="3DC8392C" w14:textId="15E6B23B" w:rsidR="00B37DF3" w:rsidRPr="008068E2" w:rsidRDefault="00B37DF3" w:rsidP="008068E2">
      <w:pPr>
        <w:spacing w:after="120"/>
        <w:jc w:val="both"/>
        <w:rPr>
          <w:rFonts w:asciiTheme="minorHAnsi" w:hAnsiTheme="minorHAnsi" w:cstheme="minorHAnsi"/>
        </w:rPr>
      </w:pPr>
      <w:r w:rsidRPr="00024FF5">
        <w:rPr>
          <w:rFonts w:asciiTheme="minorHAnsi" w:hAnsiTheme="minorHAnsi" w:cstheme="minorHAnsi"/>
        </w:rPr>
        <w:t xml:space="preserve">K měření plnění </w:t>
      </w:r>
      <w:r w:rsidR="00D8433F">
        <w:rPr>
          <w:rFonts w:asciiTheme="minorHAnsi" w:hAnsiTheme="minorHAnsi" w:cstheme="minorHAnsi"/>
        </w:rPr>
        <w:t>strategie</w:t>
      </w:r>
      <w:r w:rsidRPr="00024FF5">
        <w:rPr>
          <w:rFonts w:asciiTheme="minorHAnsi" w:hAnsiTheme="minorHAnsi" w:cstheme="minorHAnsi"/>
        </w:rPr>
        <w:t xml:space="preserve"> jsou v tomto případě využívány indikátorové soustavy jak na úrovni strategických cílů, tak na úrovni projektů. Vyhodnocení plnění </w:t>
      </w:r>
      <w:r w:rsidR="00D8433F">
        <w:rPr>
          <w:rFonts w:asciiTheme="minorHAnsi" w:hAnsiTheme="minorHAnsi" w:cstheme="minorHAnsi"/>
        </w:rPr>
        <w:t>strategie</w:t>
      </w:r>
      <w:r w:rsidRPr="00024FF5">
        <w:rPr>
          <w:rFonts w:asciiTheme="minorHAnsi" w:hAnsiTheme="minorHAnsi" w:cstheme="minorHAnsi"/>
        </w:rPr>
        <w:t xml:space="preserve"> bude realizováno každoročně a bude koordinováno s aktualizací akčního plánu, tj. na jednáních Rady města Týnec nad Sázavou by mělo být řešeno jednak naplňování </w:t>
      </w:r>
      <w:r w:rsidR="00D8433F">
        <w:rPr>
          <w:rFonts w:asciiTheme="minorHAnsi" w:hAnsiTheme="minorHAnsi" w:cstheme="minorHAnsi"/>
        </w:rPr>
        <w:t>strategie</w:t>
      </w:r>
      <w:r w:rsidRPr="00024FF5">
        <w:rPr>
          <w:rFonts w:asciiTheme="minorHAnsi" w:hAnsiTheme="minorHAnsi" w:cstheme="minorHAnsi"/>
        </w:rPr>
        <w:t>, tak i aktualizace akčního plánu.</w:t>
      </w:r>
    </w:p>
    <w:p w14:paraId="5089E931" w14:textId="64BDB1CF" w:rsidR="00B37DF3" w:rsidRDefault="00B37DF3" w:rsidP="008068E2">
      <w:pPr>
        <w:spacing w:after="120"/>
        <w:jc w:val="both"/>
        <w:rPr>
          <w:rFonts w:asciiTheme="minorHAnsi" w:hAnsiTheme="minorHAnsi" w:cstheme="minorHAnsi"/>
        </w:rPr>
      </w:pPr>
      <w:r w:rsidRPr="00024FF5">
        <w:rPr>
          <w:rFonts w:asciiTheme="minorHAnsi" w:hAnsiTheme="minorHAnsi" w:cstheme="minorHAnsi"/>
        </w:rPr>
        <w:t xml:space="preserve">V souvislosti s realizací a monitoringem </w:t>
      </w:r>
      <w:r w:rsidR="00D8433F">
        <w:rPr>
          <w:rFonts w:asciiTheme="minorHAnsi" w:hAnsiTheme="minorHAnsi" w:cstheme="minorHAnsi"/>
        </w:rPr>
        <w:t>strategie</w:t>
      </w:r>
      <w:r w:rsidRPr="00024FF5">
        <w:rPr>
          <w:rFonts w:asciiTheme="minorHAnsi" w:hAnsiTheme="minorHAnsi" w:cstheme="minorHAnsi"/>
        </w:rPr>
        <w:t xml:space="preserve"> může vzniknout podnět k úpravě </w:t>
      </w:r>
      <w:r w:rsidR="00D8433F">
        <w:rPr>
          <w:rFonts w:asciiTheme="minorHAnsi" w:hAnsiTheme="minorHAnsi" w:cstheme="minorHAnsi"/>
        </w:rPr>
        <w:t>strategie</w:t>
      </w:r>
      <w:r w:rsidRPr="00024FF5">
        <w:rPr>
          <w:rFonts w:asciiTheme="minorHAnsi" w:hAnsiTheme="minorHAnsi" w:cstheme="minorHAnsi"/>
        </w:rPr>
        <w:t xml:space="preserve">, jelikož </w:t>
      </w:r>
      <w:r w:rsidR="00D8433F">
        <w:rPr>
          <w:rFonts w:asciiTheme="minorHAnsi" w:hAnsiTheme="minorHAnsi" w:cstheme="minorHAnsi"/>
        </w:rPr>
        <w:t xml:space="preserve">strategický dokument </w:t>
      </w:r>
      <w:r w:rsidRPr="00024FF5">
        <w:rPr>
          <w:rFonts w:asciiTheme="minorHAnsi" w:hAnsiTheme="minorHAnsi" w:cstheme="minorHAnsi"/>
        </w:rPr>
        <w:t xml:space="preserve">byl zpracován za určitých výchozích podmínek a objektivních okolností, které se mohou v čase změnit. Z tohoto důvodu je vhodné nastavit procesy pro řízení operativních změn a </w:t>
      </w:r>
      <w:r w:rsidR="002D76F7">
        <w:rPr>
          <w:rFonts w:asciiTheme="minorHAnsi" w:hAnsiTheme="minorHAnsi" w:cstheme="minorHAnsi"/>
        </w:rPr>
        <w:t xml:space="preserve">v </w:t>
      </w:r>
      <w:r w:rsidRPr="00024FF5">
        <w:rPr>
          <w:rFonts w:asciiTheme="minorHAnsi" w:hAnsiTheme="minorHAnsi" w:cstheme="minorHAnsi"/>
        </w:rPr>
        <w:t xml:space="preserve">průběhu platnosti </w:t>
      </w:r>
      <w:r w:rsidR="00D8433F">
        <w:rPr>
          <w:rFonts w:asciiTheme="minorHAnsi" w:hAnsiTheme="minorHAnsi" w:cstheme="minorHAnsi"/>
        </w:rPr>
        <w:t>strategie</w:t>
      </w:r>
      <w:r w:rsidRPr="00024FF5">
        <w:rPr>
          <w:rFonts w:asciiTheme="minorHAnsi" w:hAnsiTheme="minorHAnsi" w:cstheme="minorHAnsi"/>
        </w:rPr>
        <w:t xml:space="preserve"> provést mid-term evaluaci, která ověří platnost původních předpokladů a okolností a potvrdí původní nastavení, případně navrhne dílčí úpravy </w:t>
      </w:r>
      <w:r w:rsidR="00D8433F">
        <w:rPr>
          <w:rFonts w:asciiTheme="minorHAnsi" w:hAnsiTheme="minorHAnsi" w:cstheme="minorHAnsi"/>
        </w:rPr>
        <w:t>strategie</w:t>
      </w:r>
      <w:r w:rsidRPr="00024FF5">
        <w:rPr>
          <w:rFonts w:asciiTheme="minorHAnsi" w:hAnsiTheme="minorHAnsi" w:cstheme="minorHAnsi"/>
        </w:rPr>
        <w:t xml:space="preserve"> (</w:t>
      </w:r>
      <w:r w:rsidR="008329AC" w:rsidRPr="00024FF5">
        <w:rPr>
          <w:rFonts w:asciiTheme="minorHAnsi" w:hAnsiTheme="minorHAnsi" w:cstheme="minorHAnsi"/>
        </w:rPr>
        <w:t>Hruška a kol.</w:t>
      </w:r>
      <w:r w:rsidRPr="00024FF5">
        <w:rPr>
          <w:rFonts w:asciiTheme="minorHAnsi" w:hAnsiTheme="minorHAnsi" w:cstheme="minorHAnsi"/>
        </w:rPr>
        <w:t>, 2022b).</w:t>
      </w:r>
    </w:p>
    <w:p w14:paraId="55C3CD93" w14:textId="77777777" w:rsidR="00B37DF3" w:rsidRPr="00024FF5" w:rsidRDefault="00B37DF3" w:rsidP="00B37DF3">
      <w:pPr>
        <w:pStyle w:val="A1-text"/>
        <w:spacing w:after="120"/>
        <w:rPr>
          <w:rFonts w:asciiTheme="minorHAnsi" w:hAnsiTheme="minorHAnsi" w:cstheme="minorHAnsi"/>
          <w:b/>
          <w:lang w:val="cs-CZ"/>
        </w:rPr>
      </w:pPr>
      <w:r w:rsidRPr="00024FF5">
        <w:rPr>
          <w:rFonts w:asciiTheme="minorHAnsi" w:hAnsiTheme="minorHAnsi" w:cstheme="minorHAnsi"/>
          <w:b/>
          <w:lang w:val="cs-CZ"/>
        </w:rPr>
        <w:t>Závěr / omezení / zkušenost nebo dobrá praxe ze studie plynoucí:</w:t>
      </w:r>
    </w:p>
    <w:p w14:paraId="53B252E6" w14:textId="77777777" w:rsidR="00B37DF3" w:rsidRPr="00024FF5" w:rsidRDefault="00B37DF3" w:rsidP="00B37DF3">
      <w:pPr>
        <w:pStyle w:val="Odstavecseseznamem"/>
        <w:numPr>
          <w:ilvl w:val="0"/>
          <w:numId w:val="22"/>
        </w:numPr>
        <w:jc w:val="both"/>
        <w:rPr>
          <w:rFonts w:asciiTheme="minorHAnsi" w:hAnsiTheme="minorHAnsi" w:cstheme="minorHAnsi"/>
        </w:rPr>
      </w:pPr>
      <w:r w:rsidRPr="00024FF5">
        <w:rPr>
          <w:rFonts w:asciiTheme="minorHAnsi" w:hAnsiTheme="minorHAnsi" w:cstheme="minorHAnsi"/>
        </w:rPr>
        <w:t xml:space="preserve">V případě schválení aktivity/projektu akčního plánu s konkrétními náklady je výhodou připravenost jednotlivých projektů, které se uplatňují do schvalovaného rozpočtu města již v etapě přípravy návrhu rozpočtu, případně v rámci rozdělování zdrojů hospodaření z minulého roku nebo i po pololetním rozboru. </w:t>
      </w:r>
    </w:p>
    <w:p w14:paraId="7B231ADE" w14:textId="77777777" w:rsidR="00B37DF3" w:rsidRPr="00024FF5" w:rsidRDefault="00B37DF3" w:rsidP="00B37DF3">
      <w:pPr>
        <w:pStyle w:val="Odstavecseseznamem"/>
        <w:numPr>
          <w:ilvl w:val="0"/>
          <w:numId w:val="22"/>
        </w:numPr>
        <w:jc w:val="both"/>
        <w:rPr>
          <w:rFonts w:asciiTheme="minorHAnsi" w:hAnsiTheme="minorHAnsi" w:cstheme="minorHAnsi"/>
        </w:rPr>
      </w:pPr>
      <w:r w:rsidRPr="00024FF5">
        <w:rPr>
          <w:rFonts w:asciiTheme="minorHAnsi" w:hAnsiTheme="minorHAnsi" w:cstheme="minorHAnsi"/>
        </w:rPr>
        <w:t>Bez řádných podkladů nelze zakomponovat požadavky do návrhu rozpočtu. Vzniká tak však riziko, že na aktivity, které nemají v době připraveny stanovené požadované náklady, nezůstane v rozpočtu města dostatek finančních prostředků k realizaci.</w:t>
      </w:r>
    </w:p>
    <w:p w14:paraId="0CCAA446" w14:textId="77777777" w:rsidR="00B37DF3" w:rsidRPr="00024FF5" w:rsidRDefault="00B37DF3" w:rsidP="00B37DF3">
      <w:pPr>
        <w:pStyle w:val="Odstavecseseznamem"/>
        <w:numPr>
          <w:ilvl w:val="0"/>
          <w:numId w:val="22"/>
        </w:numPr>
        <w:jc w:val="both"/>
        <w:rPr>
          <w:rFonts w:asciiTheme="minorHAnsi" w:hAnsiTheme="minorHAnsi" w:cstheme="minorHAnsi"/>
        </w:rPr>
      </w:pPr>
      <w:r w:rsidRPr="00024FF5">
        <w:rPr>
          <w:rFonts w:asciiTheme="minorHAnsi" w:hAnsiTheme="minorHAnsi" w:cstheme="minorHAnsi"/>
        </w:rPr>
        <w:t>Vysoká míra propojení strategického dokumentu je v tomto konkrétním příkladu zajištěna prostřednictvím následujících přístupů a procesních kroků:</w:t>
      </w:r>
    </w:p>
    <w:p w14:paraId="550CBB04" w14:textId="77777777" w:rsidR="00B37DF3" w:rsidRPr="00024FF5" w:rsidRDefault="00B37DF3" w:rsidP="00B37DF3">
      <w:pPr>
        <w:pStyle w:val="Odstavecseseznamem"/>
        <w:numPr>
          <w:ilvl w:val="1"/>
          <w:numId w:val="22"/>
        </w:numPr>
        <w:jc w:val="both"/>
        <w:rPr>
          <w:rFonts w:asciiTheme="minorHAnsi" w:hAnsiTheme="minorHAnsi" w:cstheme="minorHAnsi"/>
        </w:rPr>
      </w:pPr>
      <w:r w:rsidRPr="00024FF5">
        <w:rPr>
          <w:rFonts w:asciiTheme="minorHAnsi" w:hAnsiTheme="minorHAnsi" w:cstheme="minorHAnsi"/>
        </w:rPr>
        <w:t>Široká škála komunikačních kanálů určených pro sběr podnětů k potřebě projektových aktivit na území města.</w:t>
      </w:r>
    </w:p>
    <w:p w14:paraId="646F5B06" w14:textId="0B935308" w:rsidR="00B37DF3" w:rsidRPr="00024FF5" w:rsidRDefault="00B37DF3" w:rsidP="00B37DF3">
      <w:pPr>
        <w:pStyle w:val="Odstavecseseznamem"/>
        <w:numPr>
          <w:ilvl w:val="1"/>
          <w:numId w:val="22"/>
        </w:numPr>
        <w:jc w:val="both"/>
        <w:rPr>
          <w:rFonts w:asciiTheme="minorHAnsi" w:hAnsiTheme="minorHAnsi" w:cstheme="minorHAnsi"/>
        </w:rPr>
      </w:pPr>
      <w:r w:rsidRPr="00024FF5">
        <w:rPr>
          <w:rFonts w:asciiTheme="minorHAnsi" w:hAnsiTheme="minorHAnsi" w:cstheme="minorHAnsi"/>
        </w:rPr>
        <w:lastRenderedPageBreak/>
        <w:t>Nastavený systém hodnocení projektů a jejich výběru k realizaci v rámci akčního plán</w:t>
      </w:r>
      <w:r w:rsidR="002D76F7">
        <w:rPr>
          <w:rFonts w:asciiTheme="minorHAnsi" w:hAnsiTheme="minorHAnsi" w:cstheme="minorHAnsi"/>
        </w:rPr>
        <w:t>u</w:t>
      </w:r>
      <w:r w:rsidRPr="00024FF5">
        <w:rPr>
          <w:rFonts w:asciiTheme="minorHAnsi" w:hAnsiTheme="minorHAnsi" w:cstheme="minorHAnsi"/>
        </w:rPr>
        <w:t>, kde jednou z podmínek je jeho finanční připravenost.</w:t>
      </w:r>
    </w:p>
    <w:p w14:paraId="1F03D577" w14:textId="66F16255" w:rsidR="00B37DF3" w:rsidRPr="00024FF5" w:rsidRDefault="00B37DF3" w:rsidP="00B37DF3">
      <w:pPr>
        <w:pStyle w:val="Odstavecseseznamem"/>
        <w:numPr>
          <w:ilvl w:val="1"/>
          <w:numId w:val="22"/>
        </w:numPr>
        <w:jc w:val="both"/>
        <w:rPr>
          <w:rFonts w:asciiTheme="minorHAnsi" w:hAnsiTheme="minorHAnsi" w:cstheme="minorHAnsi"/>
        </w:rPr>
      </w:pPr>
      <w:r w:rsidRPr="00024FF5">
        <w:rPr>
          <w:rFonts w:asciiTheme="minorHAnsi" w:hAnsiTheme="minorHAnsi" w:cstheme="minorHAnsi"/>
        </w:rPr>
        <w:t xml:space="preserve">Možnost změn </w:t>
      </w:r>
      <w:r w:rsidR="00D8433F">
        <w:rPr>
          <w:rFonts w:asciiTheme="minorHAnsi" w:hAnsiTheme="minorHAnsi" w:cstheme="minorHAnsi"/>
        </w:rPr>
        <w:t>strategie</w:t>
      </w:r>
      <w:r w:rsidRPr="00024FF5">
        <w:rPr>
          <w:rFonts w:asciiTheme="minorHAnsi" w:hAnsiTheme="minorHAnsi" w:cstheme="minorHAnsi"/>
        </w:rPr>
        <w:t xml:space="preserve"> a akčního plánu v závislosti aktuální</w:t>
      </w:r>
      <w:r w:rsidR="002D76F7">
        <w:rPr>
          <w:rFonts w:asciiTheme="minorHAnsi" w:hAnsiTheme="minorHAnsi" w:cstheme="minorHAnsi"/>
        </w:rPr>
        <w:t>ch</w:t>
      </w:r>
      <w:r w:rsidRPr="00024FF5">
        <w:rPr>
          <w:rFonts w:asciiTheme="minorHAnsi" w:hAnsiTheme="minorHAnsi" w:cstheme="minorHAnsi"/>
        </w:rPr>
        <w:t xml:space="preserve"> změn vnitřních i vnějších potřeb a podmínek k realizaci.</w:t>
      </w:r>
    </w:p>
    <w:p w14:paraId="6D041F63" w14:textId="77777777" w:rsidR="00DF2FF4" w:rsidRDefault="00DF2FF4" w:rsidP="00DF2FF4">
      <w:pPr>
        <w:pStyle w:val="Odstavecseseznamem"/>
        <w:ind w:left="360"/>
        <w:jc w:val="both"/>
        <w:rPr>
          <w:rFonts w:asciiTheme="minorHAnsi" w:hAnsiTheme="minorHAnsi" w:cstheme="minorHAnsi"/>
          <w:b/>
          <w:bCs/>
          <w:color w:val="7493B0"/>
        </w:rPr>
      </w:pPr>
    </w:p>
    <w:p w14:paraId="21DECD74" w14:textId="2D731D17" w:rsidR="00175EEE" w:rsidRDefault="000240EA" w:rsidP="00175EEE">
      <w:pPr>
        <w:pStyle w:val="Nadpis2"/>
        <w:spacing w:before="240" w:after="120"/>
        <w:ind w:left="578" w:hanging="578"/>
        <w:rPr>
          <w:rFonts w:asciiTheme="minorHAnsi" w:hAnsiTheme="minorHAnsi" w:cstheme="minorHAnsi"/>
          <w:color w:val="7493B0"/>
          <w:sz w:val="24"/>
          <w:szCs w:val="24"/>
          <w:lang w:val="cs-CZ"/>
        </w:rPr>
      </w:pPr>
      <w:bookmarkStart w:id="82" w:name="_Toc117270020"/>
      <w:r>
        <w:rPr>
          <w:rFonts w:asciiTheme="minorHAnsi" w:hAnsiTheme="minorHAnsi" w:cstheme="minorHAnsi"/>
          <w:color w:val="7493B0"/>
          <w:sz w:val="24"/>
          <w:szCs w:val="24"/>
          <w:lang w:val="cs-CZ"/>
        </w:rPr>
        <w:t>Příklad h</w:t>
      </w:r>
      <w:r w:rsidR="00175EEE" w:rsidRPr="00175EEE">
        <w:rPr>
          <w:rFonts w:asciiTheme="minorHAnsi" w:hAnsiTheme="minorHAnsi" w:cstheme="minorHAnsi"/>
          <w:color w:val="7493B0"/>
          <w:sz w:val="24"/>
          <w:szCs w:val="24"/>
          <w:lang w:val="cs-CZ"/>
        </w:rPr>
        <w:t>armonogram</w:t>
      </w:r>
      <w:r>
        <w:rPr>
          <w:rFonts w:asciiTheme="minorHAnsi" w:hAnsiTheme="minorHAnsi" w:cstheme="minorHAnsi"/>
          <w:color w:val="7493B0"/>
          <w:sz w:val="24"/>
          <w:szCs w:val="24"/>
          <w:lang w:val="cs-CZ"/>
        </w:rPr>
        <w:t>u</w:t>
      </w:r>
      <w:r w:rsidR="00175EEE" w:rsidRPr="00175EEE">
        <w:rPr>
          <w:rFonts w:asciiTheme="minorHAnsi" w:hAnsiTheme="minorHAnsi" w:cstheme="minorHAnsi"/>
          <w:color w:val="7493B0"/>
          <w:sz w:val="24"/>
          <w:szCs w:val="24"/>
          <w:lang w:val="cs-CZ"/>
        </w:rPr>
        <w:t xml:space="preserve"> přípravy </w:t>
      </w:r>
      <w:r>
        <w:rPr>
          <w:rFonts w:asciiTheme="minorHAnsi" w:hAnsiTheme="minorHAnsi" w:cstheme="minorHAnsi"/>
          <w:color w:val="7493B0"/>
          <w:sz w:val="24"/>
          <w:szCs w:val="24"/>
          <w:lang w:val="cs-CZ"/>
        </w:rPr>
        <w:t xml:space="preserve">a projednávání </w:t>
      </w:r>
      <w:r w:rsidR="00175EEE" w:rsidRPr="00175EEE">
        <w:rPr>
          <w:rFonts w:asciiTheme="minorHAnsi" w:hAnsiTheme="minorHAnsi" w:cstheme="minorHAnsi"/>
          <w:color w:val="7493B0"/>
          <w:sz w:val="24"/>
          <w:szCs w:val="24"/>
          <w:lang w:val="cs-CZ"/>
        </w:rPr>
        <w:t>rozpočtu</w:t>
      </w:r>
      <w:r>
        <w:rPr>
          <w:rFonts w:asciiTheme="minorHAnsi" w:hAnsiTheme="minorHAnsi" w:cstheme="minorHAnsi"/>
          <w:color w:val="7493B0"/>
          <w:sz w:val="24"/>
          <w:szCs w:val="24"/>
          <w:lang w:val="cs-CZ"/>
        </w:rPr>
        <w:t xml:space="preserve"> města</w:t>
      </w:r>
      <w:bookmarkEnd w:id="82"/>
    </w:p>
    <w:p w14:paraId="3D6C9A0B" w14:textId="77777777" w:rsidR="006B6EA5" w:rsidRDefault="006B6EA5" w:rsidP="005149E0">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724B0D66" w14:textId="0A612639" w:rsidR="006B6EA5" w:rsidRDefault="006B6EA5" w:rsidP="005149E0">
      <w:pPr>
        <w:spacing w:after="120"/>
        <w:jc w:val="both"/>
        <w:rPr>
          <w:rFonts w:asciiTheme="minorHAnsi" w:hAnsiTheme="minorHAnsi" w:cstheme="minorHAnsi"/>
        </w:rPr>
      </w:pPr>
      <w:r>
        <w:rPr>
          <w:rFonts w:asciiTheme="minorHAnsi" w:hAnsiTheme="minorHAnsi" w:cstheme="minorHAnsi"/>
        </w:rPr>
        <w:t>Případová studie se týká příkladu harmonogramu přípravy, projednávání a schvalování rozpočtu města. J</w:t>
      </w:r>
      <w:r w:rsidRPr="00E628CC">
        <w:rPr>
          <w:rFonts w:asciiTheme="minorHAnsi" w:hAnsiTheme="minorHAnsi" w:cstheme="minorHAnsi"/>
        </w:rPr>
        <w:t>e vzat</w:t>
      </w:r>
      <w:r>
        <w:rPr>
          <w:rFonts w:asciiTheme="minorHAnsi" w:hAnsiTheme="minorHAnsi" w:cstheme="minorHAnsi"/>
        </w:rPr>
        <w:t xml:space="preserve"> z praxe</w:t>
      </w:r>
      <w:r w:rsidRPr="00E628CC">
        <w:rPr>
          <w:rFonts w:asciiTheme="minorHAnsi" w:hAnsiTheme="minorHAnsi" w:cstheme="minorHAnsi"/>
        </w:rPr>
        <w:t xml:space="preserve">. </w:t>
      </w:r>
      <w:r>
        <w:rPr>
          <w:rFonts w:asciiTheme="minorHAnsi" w:hAnsiTheme="minorHAnsi" w:cstheme="minorHAnsi"/>
        </w:rPr>
        <w:t>Harmonogram se netýká jen rozpočtu, ale také tvorby akčního (prováděcího plánu) strategie města.</w:t>
      </w:r>
      <w:r w:rsidRPr="006B6EA5">
        <w:rPr>
          <w:rFonts w:asciiTheme="minorHAnsi" w:hAnsiTheme="minorHAnsi" w:cstheme="minorHAnsi"/>
        </w:rPr>
        <w:t xml:space="preserve"> </w:t>
      </w:r>
      <w:r w:rsidR="00523B4F">
        <w:rPr>
          <w:rFonts w:asciiTheme="minorHAnsi" w:hAnsiTheme="minorHAnsi" w:cstheme="minorHAnsi"/>
        </w:rPr>
        <w:t>Z harmonogramu je vidět vazba mezi rozpočtem a strategi</w:t>
      </w:r>
      <w:r w:rsidR="00766292">
        <w:rPr>
          <w:rFonts w:asciiTheme="minorHAnsi" w:hAnsiTheme="minorHAnsi" w:cstheme="minorHAnsi"/>
        </w:rPr>
        <w:t xml:space="preserve">í </w:t>
      </w:r>
      <w:r w:rsidR="00523B4F">
        <w:rPr>
          <w:rFonts w:asciiTheme="minorHAnsi" w:hAnsiTheme="minorHAnsi" w:cstheme="minorHAnsi"/>
        </w:rPr>
        <w:t>města (prostřednictvím akčního plánu).</w:t>
      </w:r>
    </w:p>
    <w:p w14:paraId="3C49095B" w14:textId="42E78212" w:rsidR="006B6EA5" w:rsidRPr="006B6EA5" w:rsidRDefault="006B6EA5" w:rsidP="005149E0">
      <w:pPr>
        <w:spacing w:after="120"/>
        <w:jc w:val="both"/>
        <w:rPr>
          <w:rFonts w:asciiTheme="minorHAnsi" w:hAnsiTheme="minorHAnsi" w:cstheme="minorHAnsi"/>
          <w:b/>
        </w:rPr>
      </w:pPr>
      <w:r w:rsidRPr="006B6EA5">
        <w:rPr>
          <w:rFonts w:asciiTheme="minorHAnsi" w:hAnsiTheme="minorHAnsi" w:cstheme="minorHAnsi"/>
          <w:b/>
        </w:rPr>
        <w:t>Popis případové studie:</w:t>
      </w:r>
    </w:p>
    <w:p w14:paraId="43E7FA55" w14:textId="2CC27D2E" w:rsidR="00A43683" w:rsidRDefault="006B6EA5" w:rsidP="006B6EA5">
      <w:pPr>
        <w:jc w:val="both"/>
        <w:rPr>
          <w:rFonts w:asciiTheme="minorHAnsi" w:hAnsiTheme="minorHAnsi" w:cstheme="minorHAnsi"/>
          <w:bCs/>
        </w:rPr>
      </w:pPr>
      <w:r w:rsidRPr="00A43683">
        <w:rPr>
          <w:rFonts w:asciiTheme="minorHAnsi" w:hAnsiTheme="minorHAnsi" w:cstheme="minorHAnsi"/>
        </w:rPr>
        <w:t xml:space="preserve">Projednání </w:t>
      </w:r>
      <w:r>
        <w:rPr>
          <w:rFonts w:asciiTheme="minorHAnsi" w:hAnsiTheme="minorHAnsi" w:cstheme="minorHAnsi"/>
        </w:rPr>
        <w:t xml:space="preserve">a schvalování </w:t>
      </w:r>
      <w:r w:rsidRPr="00A43683">
        <w:rPr>
          <w:rFonts w:asciiTheme="minorHAnsi" w:hAnsiTheme="minorHAnsi" w:cstheme="minorHAnsi"/>
        </w:rPr>
        <w:t>je součástí druhé fáze</w:t>
      </w:r>
      <w:r>
        <w:rPr>
          <w:rFonts w:asciiTheme="minorHAnsi" w:hAnsiTheme="minorHAnsi" w:cstheme="minorHAnsi"/>
        </w:rPr>
        <w:t xml:space="preserve"> rozpočtu</w:t>
      </w:r>
      <w:r w:rsidRPr="00A43683">
        <w:rPr>
          <w:rFonts w:asciiTheme="minorHAnsi" w:hAnsiTheme="minorHAnsi" w:cstheme="minorHAnsi"/>
        </w:rPr>
        <w:t>, ale kvů</w:t>
      </w:r>
      <w:r>
        <w:rPr>
          <w:rFonts w:asciiTheme="minorHAnsi" w:hAnsiTheme="minorHAnsi" w:cstheme="minorHAnsi"/>
        </w:rPr>
        <w:t xml:space="preserve">li přehlednosti byla příprava, </w:t>
      </w:r>
      <w:r w:rsidRPr="00A43683">
        <w:rPr>
          <w:rFonts w:asciiTheme="minorHAnsi" w:hAnsiTheme="minorHAnsi" w:cstheme="minorHAnsi"/>
        </w:rPr>
        <w:t xml:space="preserve">projednání </w:t>
      </w:r>
      <w:r>
        <w:rPr>
          <w:rFonts w:asciiTheme="minorHAnsi" w:hAnsiTheme="minorHAnsi" w:cstheme="minorHAnsi"/>
        </w:rPr>
        <w:t>a schvalování ponechány</w:t>
      </w:r>
      <w:r w:rsidRPr="00A43683">
        <w:rPr>
          <w:rFonts w:asciiTheme="minorHAnsi" w:hAnsiTheme="minorHAnsi" w:cstheme="minorHAnsi"/>
        </w:rPr>
        <w:t xml:space="preserve"> v jedné tabulce.</w:t>
      </w:r>
      <w:r>
        <w:rPr>
          <w:rFonts w:asciiTheme="minorHAnsi" w:hAnsiTheme="minorHAnsi" w:cstheme="minorHAnsi"/>
        </w:rPr>
        <w:t xml:space="preserve"> </w:t>
      </w:r>
      <w:r w:rsidR="004E793F" w:rsidRPr="00E628CC">
        <w:rPr>
          <w:rFonts w:asciiTheme="minorHAnsi" w:hAnsiTheme="minorHAnsi" w:cstheme="minorHAnsi"/>
          <w:bCs/>
        </w:rPr>
        <w:t xml:space="preserve">Harmonogram </w:t>
      </w:r>
      <w:r w:rsidR="00A43683">
        <w:rPr>
          <w:rFonts w:asciiTheme="minorHAnsi" w:hAnsiTheme="minorHAnsi" w:cstheme="minorHAnsi"/>
          <w:bCs/>
        </w:rPr>
        <w:t>zahrnuje:</w:t>
      </w:r>
    </w:p>
    <w:p w14:paraId="085091AD" w14:textId="77777777" w:rsidR="00A43683" w:rsidRDefault="004E793F" w:rsidP="0065698B">
      <w:pPr>
        <w:pStyle w:val="Odstavecseseznamem"/>
        <w:numPr>
          <w:ilvl w:val="0"/>
          <w:numId w:val="22"/>
        </w:numPr>
        <w:jc w:val="both"/>
        <w:rPr>
          <w:rFonts w:asciiTheme="minorHAnsi" w:hAnsiTheme="minorHAnsi" w:cstheme="minorHAnsi"/>
        </w:rPr>
      </w:pPr>
      <w:r w:rsidRPr="00A43683">
        <w:rPr>
          <w:rFonts w:asciiTheme="minorHAnsi" w:hAnsiTheme="minorHAnsi" w:cstheme="minorHAnsi"/>
        </w:rPr>
        <w:t xml:space="preserve">tvorby rozpočtu, </w:t>
      </w:r>
    </w:p>
    <w:p w14:paraId="0F2345AC" w14:textId="4C7AB77B" w:rsidR="00A43683" w:rsidRDefault="00A43683" w:rsidP="0065698B">
      <w:pPr>
        <w:pStyle w:val="Odstavecseseznamem"/>
        <w:numPr>
          <w:ilvl w:val="0"/>
          <w:numId w:val="22"/>
        </w:numPr>
        <w:jc w:val="both"/>
        <w:rPr>
          <w:rFonts w:asciiTheme="minorHAnsi" w:hAnsiTheme="minorHAnsi" w:cstheme="minorHAnsi"/>
        </w:rPr>
      </w:pPr>
      <w:r>
        <w:rPr>
          <w:rFonts w:asciiTheme="minorHAnsi" w:hAnsiTheme="minorHAnsi" w:cstheme="minorHAnsi"/>
        </w:rPr>
        <w:t>rozpočtového výhledu,</w:t>
      </w:r>
    </w:p>
    <w:p w14:paraId="08715CFB" w14:textId="463BFECA" w:rsidR="00A43683" w:rsidRDefault="004E793F" w:rsidP="0065698B">
      <w:pPr>
        <w:pStyle w:val="Odstavecseseznamem"/>
        <w:numPr>
          <w:ilvl w:val="0"/>
          <w:numId w:val="22"/>
        </w:numPr>
        <w:jc w:val="both"/>
        <w:rPr>
          <w:rFonts w:asciiTheme="minorHAnsi" w:hAnsiTheme="minorHAnsi" w:cstheme="minorHAnsi"/>
        </w:rPr>
      </w:pPr>
      <w:r w:rsidRPr="00A43683">
        <w:rPr>
          <w:rFonts w:asciiTheme="minorHAnsi" w:hAnsiTheme="minorHAnsi" w:cstheme="minorHAnsi"/>
        </w:rPr>
        <w:t>akčního plánu ke strategi</w:t>
      </w:r>
      <w:r w:rsidR="00766292">
        <w:rPr>
          <w:rFonts w:asciiTheme="minorHAnsi" w:hAnsiTheme="minorHAnsi" w:cstheme="minorHAnsi"/>
        </w:rPr>
        <w:t>i</w:t>
      </w:r>
      <w:r w:rsidRPr="00A43683">
        <w:rPr>
          <w:rFonts w:asciiTheme="minorHAnsi" w:hAnsiTheme="minorHAnsi" w:cstheme="minorHAnsi"/>
        </w:rPr>
        <w:t xml:space="preserve"> (propojení rozpočtového procesu a strategického řízení) včetně zapojení veřejnosti. </w:t>
      </w:r>
    </w:p>
    <w:p w14:paraId="1F26A45B" w14:textId="56082618" w:rsidR="006B6EA5" w:rsidRPr="00A43683" w:rsidRDefault="006B6EA5" w:rsidP="00A43683">
      <w:pPr>
        <w:jc w:val="both"/>
        <w:rPr>
          <w:rFonts w:asciiTheme="minorHAnsi" w:hAnsiTheme="minorHAnsi" w:cstheme="minorHAnsi"/>
        </w:rPr>
      </w:pPr>
      <w:r w:rsidRPr="00E628CC">
        <w:rPr>
          <w:rFonts w:asciiTheme="minorHAnsi" w:hAnsiTheme="minorHAnsi" w:cstheme="minorHAnsi"/>
        </w:rPr>
        <w:t>Následující tabulka uvádí příklad harmonogramu přípravy a projednání rozpočtu</w:t>
      </w:r>
      <w:r>
        <w:rPr>
          <w:rFonts w:asciiTheme="minorHAnsi" w:hAnsiTheme="minorHAnsi" w:cstheme="minorHAnsi"/>
        </w:rPr>
        <w:t>. První sloupec uvádí termín, přičemž „T-0“ je měsíc schválení rozpočtu, v našem případě je to naplánováno na prosinec. Obdobně pak „T-1“ se myslí listopad atd. Druhý sloupec uvádí, jaká aktivita v daném termínu probíhá a případně též, kdo je za ni odpovědný.</w:t>
      </w:r>
    </w:p>
    <w:p w14:paraId="67F816EF" w14:textId="0BAFA51B" w:rsidR="004E793F" w:rsidRPr="006B5327" w:rsidRDefault="004E793F" w:rsidP="004E793F">
      <w:pPr>
        <w:pStyle w:val="A1-text"/>
        <w:spacing w:after="0"/>
        <w:rPr>
          <w:rFonts w:asciiTheme="minorHAnsi" w:hAnsiTheme="minorHAnsi" w:cstheme="minorHAnsi"/>
          <w:i/>
          <w:iCs/>
          <w:lang w:val="cs-CZ"/>
        </w:rPr>
      </w:pPr>
      <w:r w:rsidRPr="006B5327">
        <w:rPr>
          <w:rFonts w:asciiTheme="minorHAnsi" w:hAnsiTheme="minorHAnsi" w:cstheme="minorHAnsi"/>
          <w:i/>
          <w:iCs/>
          <w:lang w:val="cs-CZ"/>
        </w:rPr>
        <w:t xml:space="preserve">Tab. </w:t>
      </w:r>
      <w:r w:rsidR="004F0E1D">
        <w:rPr>
          <w:rFonts w:asciiTheme="minorHAnsi" w:hAnsiTheme="minorHAnsi" w:cstheme="minorHAnsi"/>
          <w:i/>
          <w:iCs/>
          <w:lang w:val="cs-CZ"/>
        </w:rPr>
        <w:t>2</w:t>
      </w:r>
      <w:r w:rsidR="00C14739">
        <w:rPr>
          <w:rFonts w:asciiTheme="minorHAnsi" w:hAnsiTheme="minorHAnsi" w:cstheme="minorHAnsi"/>
          <w:i/>
          <w:iCs/>
          <w:lang w:val="cs-CZ"/>
        </w:rPr>
        <w:t>2</w:t>
      </w:r>
      <w:r w:rsidRPr="006B5327">
        <w:rPr>
          <w:rFonts w:asciiTheme="minorHAnsi" w:hAnsiTheme="minorHAnsi" w:cstheme="minorHAnsi"/>
          <w:i/>
          <w:iCs/>
          <w:lang w:val="cs-CZ"/>
        </w:rPr>
        <w:t xml:space="preserve"> Příklad harmonogramu přípravy a projednání rozpočtu</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931"/>
      </w:tblGrid>
      <w:tr w:rsidR="004E793F" w:rsidRPr="00E03253" w14:paraId="348C3C49" w14:textId="77777777" w:rsidTr="00F4125F">
        <w:tc>
          <w:tcPr>
            <w:tcW w:w="1129" w:type="dxa"/>
            <w:shd w:val="clear" w:color="auto" w:fill="F2F2F2" w:themeFill="background1" w:themeFillShade="F2"/>
          </w:tcPr>
          <w:p w14:paraId="3394BD45" w14:textId="16392DBE" w:rsidR="004E793F" w:rsidRPr="00E03253" w:rsidRDefault="006B6EA5" w:rsidP="00E03253">
            <w:pPr>
              <w:pStyle w:val="A1-text"/>
              <w:spacing w:before="120" w:after="120" w:line="216" w:lineRule="auto"/>
              <w:ind w:left="-57" w:right="-57"/>
              <w:rPr>
                <w:rFonts w:asciiTheme="minorHAnsi" w:hAnsiTheme="minorHAnsi" w:cstheme="minorHAnsi"/>
                <w:b/>
                <w:sz w:val="22"/>
                <w:szCs w:val="22"/>
                <w:lang w:val="cs-CZ"/>
              </w:rPr>
            </w:pPr>
            <w:r w:rsidRPr="00E03253">
              <w:rPr>
                <w:rFonts w:asciiTheme="minorHAnsi" w:hAnsiTheme="minorHAnsi" w:cstheme="minorHAnsi"/>
                <w:b/>
                <w:sz w:val="22"/>
                <w:szCs w:val="22"/>
                <w:lang w:val="cs-CZ"/>
              </w:rPr>
              <w:t>Termín</w:t>
            </w:r>
          </w:p>
        </w:tc>
        <w:tc>
          <w:tcPr>
            <w:tcW w:w="7931" w:type="dxa"/>
            <w:shd w:val="clear" w:color="auto" w:fill="F2F2F2" w:themeFill="background1" w:themeFillShade="F2"/>
          </w:tcPr>
          <w:p w14:paraId="6C2DCFDD" w14:textId="77777777" w:rsidR="004E793F" w:rsidRPr="00E03253" w:rsidRDefault="004E793F" w:rsidP="00E03253">
            <w:pPr>
              <w:pStyle w:val="A1-text"/>
              <w:spacing w:before="120" w:after="120" w:line="216" w:lineRule="auto"/>
              <w:rPr>
                <w:rFonts w:asciiTheme="minorHAnsi" w:hAnsiTheme="minorHAnsi" w:cstheme="minorHAnsi"/>
                <w:b/>
                <w:sz w:val="22"/>
                <w:szCs w:val="22"/>
                <w:lang w:val="cs-CZ"/>
              </w:rPr>
            </w:pPr>
            <w:r w:rsidRPr="00E03253">
              <w:rPr>
                <w:rFonts w:asciiTheme="minorHAnsi" w:hAnsiTheme="minorHAnsi" w:cstheme="minorHAnsi"/>
                <w:b/>
                <w:sz w:val="22"/>
                <w:szCs w:val="22"/>
                <w:lang w:val="cs-CZ"/>
              </w:rPr>
              <w:t>Aktivita v rámci přípravy rozpočtu (rozpočtového výhledu a akčního plánu)</w:t>
            </w:r>
          </w:p>
        </w:tc>
      </w:tr>
      <w:tr w:rsidR="004E793F" w:rsidRPr="000240EA" w14:paraId="2977577E" w14:textId="77777777" w:rsidTr="00F4125F">
        <w:tc>
          <w:tcPr>
            <w:tcW w:w="1129" w:type="dxa"/>
            <w:shd w:val="clear" w:color="auto" w:fill="F2F2F2" w:themeFill="background1" w:themeFillShade="F2"/>
          </w:tcPr>
          <w:p w14:paraId="02F17EAF"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T-8 měsíců</w:t>
            </w:r>
            <w:r w:rsidRPr="000240EA">
              <w:rPr>
                <w:rFonts w:asciiTheme="minorHAnsi" w:hAnsiTheme="minorHAnsi" w:cstheme="minorHAnsi"/>
                <w:bCs/>
                <w:sz w:val="22"/>
                <w:szCs w:val="22"/>
                <w:lang w:val="cs-CZ"/>
              </w:rPr>
              <w:t xml:space="preserve"> </w:t>
            </w:r>
          </w:p>
          <w:p w14:paraId="0595C1F7"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duben)</w:t>
            </w:r>
          </w:p>
        </w:tc>
        <w:tc>
          <w:tcPr>
            <w:tcW w:w="7931" w:type="dxa"/>
            <w:shd w:val="clear" w:color="auto" w:fill="auto"/>
          </w:tcPr>
          <w:p w14:paraId="5D3ED1A9"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Ekonomický odbor (dále jen EKO) předá vedoucím odborů a útvarů příslušné části dosud platného Rozpočtového výhledu s žádostí o jejich aktualizaci, současně stanoví limity pro tvorbu rozpočtů jednotlivých útvarů.</w:t>
            </w:r>
          </w:p>
          <w:p w14:paraId="4DFE2251" w14:textId="635FA6E9" w:rsidR="004E793F" w:rsidRPr="000240EA" w:rsidRDefault="004E793F" w:rsidP="00A43683">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 xml:space="preserve">Zahájen sběr podnětů od občanů města na projekty, které mohou být zařazeny do </w:t>
            </w:r>
            <w:r w:rsidR="00A43683">
              <w:rPr>
                <w:rFonts w:asciiTheme="minorHAnsi" w:hAnsiTheme="minorHAnsi" w:cstheme="minorHAnsi"/>
                <w:b/>
                <w:bCs/>
                <w:sz w:val="22"/>
                <w:szCs w:val="22"/>
              </w:rPr>
              <w:t>A</w:t>
            </w:r>
            <w:r w:rsidRPr="00A43683">
              <w:rPr>
                <w:rFonts w:asciiTheme="minorHAnsi" w:hAnsiTheme="minorHAnsi" w:cstheme="minorHAnsi"/>
                <w:b/>
                <w:bCs/>
                <w:sz w:val="22"/>
                <w:szCs w:val="22"/>
              </w:rPr>
              <w:t>kčního plánu</w:t>
            </w:r>
            <w:r w:rsidRPr="000240EA">
              <w:rPr>
                <w:rFonts w:asciiTheme="minorHAnsi" w:hAnsiTheme="minorHAnsi" w:cstheme="minorHAnsi"/>
                <w:bCs/>
                <w:sz w:val="22"/>
                <w:szCs w:val="22"/>
              </w:rPr>
              <w:t xml:space="preserve">.   </w:t>
            </w:r>
          </w:p>
        </w:tc>
      </w:tr>
      <w:tr w:rsidR="004E793F" w:rsidRPr="000240EA" w14:paraId="525877AD" w14:textId="77777777" w:rsidTr="00F4125F">
        <w:tc>
          <w:tcPr>
            <w:tcW w:w="1129" w:type="dxa"/>
            <w:shd w:val="clear" w:color="auto" w:fill="F2F2F2" w:themeFill="background1" w:themeFillShade="F2"/>
          </w:tcPr>
          <w:p w14:paraId="62643CFC"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T-7 měsíců</w:t>
            </w:r>
            <w:r w:rsidRPr="000240EA">
              <w:rPr>
                <w:rFonts w:asciiTheme="minorHAnsi" w:hAnsiTheme="minorHAnsi" w:cstheme="minorHAnsi"/>
                <w:bCs/>
                <w:sz w:val="22"/>
                <w:szCs w:val="22"/>
                <w:lang w:val="cs-CZ"/>
              </w:rPr>
              <w:t xml:space="preserve"> </w:t>
            </w:r>
          </w:p>
          <w:p w14:paraId="3A8482F0"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květen)</w:t>
            </w:r>
          </w:p>
        </w:tc>
        <w:tc>
          <w:tcPr>
            <w:tcW w:w="7931" w:type="dxa"/>
            <w:shd w:val="clear" w:color="auto" w:fill="auto"/>
          </w:tcPr>
          <w:p w14:paraId="08A0008A"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Vedoucí odborů a útvarů provedou</w:t>
            </w:r>
            <w:r w:rsidRPr="000240EA">
              <w:rPr>
                <w:rFonts w:asciiTheme="minorHAnsi" w:hAnsiTheme="minorHAnsi" w:cstheme="minorHAnsi"/>
                <w:color w:val="000000"/>
                <w:sz w:val="22"/>
                <w:szCs w:val="22"/>
              </w:rPr>
              <w:t xml:space="preserve"> tzv. předběžnou kontrolu</w:t>
            </w:r>
            <w:r w:rsidRPr="000240EA">
              <w:rPr>
                <w:rStyle w:val="Znakapoznpodarou"/>
                <w:rFonts w:asciiTheme="minorHAnsi" w:hAnsiTheme="minorHAnsi" w:cstheme="minorHAnsi"/>
                <w:color w:val="000000"/>
                <w:sz w:val="22"/>
                <w:szCs w:val="22"/>
              </w:rPr>
              <w:footnoteReference w:id="56"/>
            </w:r>
            <w:r w:rsidRPr="000240EA">
              <w:rPr>
                <w:rFonts w:asciiTheme="minorHAnsi" w:hAnsiTheme="minorHAnsi" w:cstheme="minorHAnsi"/>
                <w:bCs/>
                <w:sz w:val="22"/>
                <w:szCs w:val="22"/>
              </w:rPr>
              <w:t xml:space="preserve"> spočívající v aktualizaci příslušných částí dosud platného Rozpočtového výhledu dle rozhodnutí orgánů města, státu, či na základě jiných objektivních skutečností. Takto aktualizované doklady budou vedoucím podepsány a vráceny na EKO.</w:t>
            </w:r>
          </w:p>
          <w:p w14:paraId="7D416F51"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EKO předá vedoucím odborů a útvarů žádost o záměr pro přípravu Akčního plánu</w:t>
            </w:r>
            <w:r w:rsidRPr="000240EA">
              <w:rPr>
                <w:rFonts w:asciiTheme="minorHAnsi" w:hAnsiTheme="minorHAnsi" w:cstheme="minorHAnsi"/>
                <w:bCs/>
                <w:sz w:val="22"/>
                <w:szCs w:val="22"/>
              </w:rPr>
              <w:t>.</w:t>
            </w:r>
          </w:p>
        </w:tc>
      </w:tr>
      <w:tr w:rsidR="004E793F" w:rsidRPr="000240EA" w14:paraId="0F096410" w14:textId="77777777" w:rsidTr="00F4125F">
        <w:tc>
          <w:tcPr>
            <w:tcW w:w="1129" w:type="dxa"/>
            <w:shd w:val="clear" w:color="auto" w:fill="F2F2F2" w:themeFill="background1" w:themeFillShade="F2"/>
          </w:tcPr>
          <w:p w14:paraId="26F40E6D"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lastRenderedPageBreak/>
              <w:t>T-6 měsíců</w:t>
            </w:r>
          </w:p>
          <w:p w14:paraId="7BDA389F"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červen)</w:t>
            </w:r>
          </w:p>
        </w:tc>
        <w:tc>
          <w:tcPr>
            <w:tcW w:w="7931" w:type="dxa"/>
            <w:shd w:val="clear" w:color="auto" w:fill="auto"/>
          </w:tcPr>
          <w:p w14:paraId="7DBB2178"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Vedoucí odborů a útvarů provedou v souladu s rozhodnutím orgánů města, státu, či na základě jiných objektivních skutečností </w:t>
            </w:r>
            <w:r w:rsidRPr="00A43683">
              <w:rPr>
                <w:rFonts w:asciiTheme="minorHAnsi" w:hAnsiTheme="minorHAnsi" w:cstheme="minorHAnsi"/>
                <w:b/>
                <w:bCs/>
                <w:sz w:val="22"/>
                <w:szCs w:val="22"/>
              </w:rPr>
              <w:t>aktualizaci Akčního plánu v částech týkajících se jejich působnosti</w:t>
            </w: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Aktualizovaný zásobník</w:t>
            </w:r>
            <w:r w:rsidRPr="000240EA">
              <w:rPr>
                <w:rFonts w:asciiTheme="minorHAnsi" w:hAnsiTheme="minorHAnsi" w:cstheme="minorHAnsi"/>
                <w:bCs/>
                <w:sz w:val="22"/>
                <w:szCs w:val="22"/>
              </w:rPr>
              <w:t xml:space="preserve"> předají elektronicky zpět na EKO.</w:t>
            </w:r>
          </w:p>
          <w:p w14:paraId="0F000696"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EKO předá vedoucím odborů a útvarů základní návrh nového Rozpočtu a Rozpočtového výhledu, tj. na období, jehož začátek i konec je posunut o rok proti dosud platnému.</w:t>
            </w:r>
          </w:p>
        </w:tc>
      </w:tr>
      <w:tr w:rsidR="004E793F" w:rsidRPr="000240EA" w14:paraId="1C8ADD63" w14:textId="77777777" w:rsidTr="00F4125F">
        <w:tc>
          <w:tcPr>
            <w:tcW w:w="1129" w:type="dxa"/>
            <w:shd w:val="clear" w:color="auto" w:fill="F2F2F2" w:themeFill="background1" w:themeFillShade="F2"/>
          </w:tcPr>
          <w:p w14:paraId="76507CCC"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T-5 měsíců</w:t>
            </w:r>
          </w:p>
          <w:p w14:paraId="08D086CA"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červenec)</w:t>
            </w:r>
          </w:p>
        </w:tc>
        <w:tc>
          <w:tcPr>
            <w:tcW w:w="7931" w:type="dxa"/>
            <w:shd w:val="clear" w:color="auto" w:fill="auto"/>
          </w:tcPr>
          <w:p w14:paraId="42CF9D6B"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Vedoucí odborů a útvarů předají na EKO korekce nového Rozpočtového výhledu. Požadované korekce by neměly znamenat zhoršení výsledku hospodaření.</w:t>
            </w:r>
          </w:p>
          <w:p w14:paraId="31D6E7E4" w14:textId="220591B1" w:rsidR="004E793F" w:rsidRPr="000240EA" w:rsidRDefault="004E793F" w:rsidP="00766292">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Strategický tým (komise rady) odborně posoudí jednotlivé projekty navržené pro zařazení do Akčního plánu s o</w:t>
            </w:r>
            <w:r w:rsidR="00807AB1">
              <w:rPr>
                <w:rFonts w:asciiTheme="minorHAnsi" w:hAnsiTheme="minorHAnsi" w:cstheme="minorHAnsi"/>
                <w:b/>
                <w:bCs/>
                <w:sz w:val="22"/>
                <w:szCs w:val="22"/>
              </w:rPr>
              <w:t>hledem na jejich kvalitu, socio</w:t>
            </w:r>
            <w:r w:rsidRPr="00A43683">
              <w:rPr>
                <w:rFonts w:asciiTheme="minorHAnsi" w:hAnsiTheme="minorHAnsi" w:cstheme="minorHAnsi"/>
                <w:b/>
                <w:bCs/>
                <w:sz w:val="22"/>
                <w:szCs w:val="22"/>
              </w:rPr>
              <w:t>ekonomický dopad a soulad se Strategi</w:t>
            </w:r>
            <w:r w:rsidR="00766292">
              <w:rPr>
                <w:rFonts w:asciiTheme="minorHAnsi" w:hAnsiTheme="minorHAnsi" w:cstheme="minorHAnsi"/>
                <w:b/>
                <w:bCs/>
                <w:sz w:val="22"/>
                <w:szCs w:val="22"/>
              </w:rPr>
              <w:t>í</w:t>
            </w:r>
            <w:r w:rsidRPr="00A43683">
              <w:rPr>
                <w:rFonts w:asciiTheme="minorHAnsi" w:hAnsiTheme="minorHAnsi" w:cstheme="minorHAnsi"/>
                <w:b/>
                <w:bCs/>
                <w:sz w:val="22"/>
                <w:szCs w:val="22"/>
              </w:rPr>
              <w:t>.</w:t>
            </w:r>
          </w:p>
        </w:tc>
      </w:tr>
      <w:tr w:rsidR="004E793F" w:rsidRPr="000240EA" w14:paraId="502F3A42" w14:textId="77777777" w:rsidTr="00F4125F">
        <w:tc>
          <w:tcPr>
            <w:tcW w:w="1129" w:type="dxa"/>
            <w:shd w:val="clear" w:color="auto" w:fill="F2F2F2" w:themeFill="background1" w:themeFillShade="F2"/>
          </w:tcPr>
          <w:p w14:paraId="165BE45A"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T-4 měsíce</w:t>
            </w:r>
          </w:p>
          <w:p w14:paraId="5E540BD0"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srpen)</w:t>
            </w:r>
          </w:p>
        </w:tc>
        <w:tc>
          <w:tcPr>
            <w:tcW w:w="7931" w:type="dxa"/>
            <w:shd w:val="clear" w:color="auto" w:fill="auto"/>
          </w:tcPr>
          <w:p w14:paraId="25E4BA00" w14:textId="77777777" w:rsidR="00A43683"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Je-li to vhodné, zpracuje EKO návrh Pravidel rozpočtového provizoria (např. v roce, kdy se konají komunální volby). </w:t>
            </w:r>
          </w:p>
          <w:p w14:paraId="59561077" w14:textId="3C8969C0" w:rsidR="004E793F" w:rsidRPr="000240EA" w:rsidRDefault="00A43683" w:rsidP="000240EA">
            <w:pPr>
              <w:spacing w:line="216" w:lineRule="auto"/>
              <w:jc w:val="both"/>
              <w:rPr>
                <w:rFonts w:asciiTheme="minorHAnsi" w:hAnsiTheme="minorHAnsi" w:cstheme="minorHAnsi"/>
                <w:bCs/>
                <w:sz w:val="22"/>
                <w:szCs w:val="22"/>
              </w:rPr>
            </w:pPr>
            <w:r>
              <w:rPr>
                <w:rFonts w:asciiTheme="minorHAnsi" w:hAnsiTheme="minorHAnsi" w:cstheme="minorHAnsi"/>
                <w:bCs/>
                <w:sz w:val="22"/>
                <w:szCs w:val="22"/>
              </w:rPr>
              <w:t xml:space="preserve">- </w:t>
            </w:r>
            <w:r w:rsidR="004E793F" w:rsidRPr="00A43683">
              <w:rPr>
                <w:rFonts w:asciiTheme="minorHAnsi" w:hAnsiTheme="minorHAnsi" w:cstheme="minorHAnsi"/>
                <w:b/>
                <w:bCs/>
                <w:sz w:val="22"/>
                <w:szCs w:val="22"/>
              </w:rPr>
              <w:t>Expertní hodnocení podnětů, které mohou být zařazeny do Akčního plánu.</w:t>
            </w:r>
          </w:p>
          <w:p w14:paraId="55C28044" w14:textId="49D6A1BA"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Uskuteční se porada uvolněných členů zastupitelstva města a vedoucích odborů a útvarů za účelem odsouhlasení, případně korigování základních parametrů Rozpočtového výhledu.</w:t>
            </w:r>
          </w:p>
          <w:p w14:paraId="21BFA525"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Příprava první verze projektů, které byly Strategickým týmem doporučeny ke schválení.</w:t>
            </w:r>
          </w:p>
        </w:tc>
      </w:tr>
      <w:tr w:rsidR="004E793F" w:rsidRPr="000240EA" w14:paraId="0C8BD813" w14:textId="77777777" w:rsidTr="00F4125F">
        <w:tc>
          <w:tcPr>
            <w:tcW w:w="1129" w:type="dxa"/>
            <w:shd w:val="clear" w:color="auto" w:fill="F2F2F2" w:themeFill="background1" w:themeFillShade="F2"/>
          </w:tcPr>
          <w:p w14:paraId="3EDACA32"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T-3 měsíce</w:t>
            </w:r>
          </w:p>
          <w:p w14:paraId="6A8BC04B"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září)</w:t>
            </w:r>
          </w:p>
        </w:tc>
        <w:tc>
          <w:tcPr>
            <w:tcW w:w="7931" w:type="dxa"/>
            <w:shd w:val="clear" w:color="auto" w:fill="auto"/>
          </w:tcPr>
          <w:p w14:paraId="0E5CFF2D"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EKO zpracuje připomínky z porady do nového Rozpočtu nebo Rozpočtového výhledu a takto upravený ho předá tajemníkům všech stálých komisí rady města k jeho projednání. Komise projednávají zejména jim příslušné oblasti, místní komise projednávají zejména opravy a investice, týkající se dotčené části města. Projednávání Rozpočtu a Rozpočtového výhledu v každé z komisí je zpravidla přítomen zástupce ekonomického odboru. Tento proces se netýká Finanční komise.</w:t>
            </w:r>
          </w:p>
          <w:p w14:paraId="20B6137A"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Tajemníci komisí rady města předají závěry komisí rady města ekonomickému odboru.</w:t>
            </w:r>
          </w:p>
          <w:p w14:paraId="0415F6A8"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Finanční komise rady města projedná celkový návrh nového Rozpočtu a Rozpočtového výhledu a své připomínky sdělí Radě města.</w:t>
            </w:r>
          </w:p>
          <w:p w14:paraId="59A43B82"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EKO předloží návrh nového Rozpočtu a Rozpočtového výhledu Radě města (zpravidla výjezdní), která vysloví své připomínky či náměty a vrátí materiál zpět k dalšímu zpracování.</w:t>
            </w:r>
          </w:p>
        </w:tc>
      </w:tr>
      <w:tr w:rsidR="004E793F" w:rsidRPr="000240EA" w14:paraId="35F2C844" w14:textId="77777777" w:rsidTr="00F4125F">
        <w:tc>
          <w:tcPr>
            <w:tcW w:w="1129" w:type="dxa"/>
            <w:shd w:val="clear" w:color="auto" w:fill="F2F2F2" w:themeFill="background1" w:themeFillShade="F2"/>
          </w:tcPr>
          <w:p w14:paraId="6BED0F51"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T-2 měsíce</w:t>
            </w:r>
          </w:p>
          <w:p w14:paraId="00717C08"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říjen)</w:t>
            </w:r>
          </w:p>
        </w:tc>
        <w:tc>
          <w:tcPr>
            <w:tcW w:w="7931" w:type="dxa"/>
            <w:shd w:val="clear" w:color="auto" w:fill="auto"/>
          </w:tcPr>
          <w:p w14:paraId="1CAFFE13"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Uskuteční se porada uvolněných členů zastupitelstva města a vedoucích odborů a útvarů za účelem posledních korekcí návrhu Rozpočtu a Rozpočtového výhledu.</w:t>
            </w:r>
          </w:p>
          <w:p w14:paraId="26B2D71A"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Návrh Rozpočtu a Rozpočtového výhledu projedná Finanční komise, která předloží své návrhy Radě.</w:t>
            </w:r>
          </w:p>
        </w:tc>
      </w:tr>
      <w:tr w:rsidR="004E793F" w:rsidRPr="000240EA" w14:paraId="3183B88B" w14:textId="77777777" w:rsidTr="00F4125F">
        <w:tc>
          <w:tcPr>
            <w:tcW w:w="1129" w:type="dxa"/>
            <w:shd w:val="clear" w:color="auto" w:fill="F2F2F2" w:themeFill="background1" w:themeFillShade="F2"/>
          </w:tcPr>
          <w:p w14:paraId="3DF9A34B" w14:textId="77777777"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T-1 měsíc</w:t>
            </w:r>
          </w:p>
          <w:p w14:paraId="2CFA5A73"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listopad)</w:t>
            </w:r>
          </w:p>
        </w:tc>
        <w:tc>
          <w:tcPr>
            <w:tcW w:w="7931" w:type="dxa"/>
            <w:shd w:val="clear" w:color="auto" w:fill="auto"/>
          </w:tcPr>
          <w:p w14:paraId="1B6CBE54"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Rada města projedná návrh Rozpočtu a Rozpočtového výhledu a s případnými úpravami, které provede EKO, doporučí materiál ke schválení v Zastupitelstvu města.</w:t>
            </w:r>
          </w:p>
          <w:p w14:paraId="35CE5A1C"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Projednání aktualizace Akčního plánu v Radě města</w:t>
            </w:r>
            <w:r w:rsidRPr="000240EA">
              <w:rPr>
                <w:rFonts w:asciiTheme="minorHAnsi" w:hAnsiTheme="minorHAnsi" w:cstheme="minorHAnsi"/>
                <w:bCs/>
                <w:sz w:val="22"/>
                <w:szCs w:val="22"/>
              </w:rPr>
              <w:t xml:space="preserve">. </w:t>
            </w:r>
          </w:p>
          <w:p w14:paraId="4863A37C"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sz w:val="22"/>
                <w:szCs w:val="22"/>
              </w:rPr>
              <w:t>- EKO zajistí, aby návrh rozpočtu byl po dobu 15 dnů přede dnem jeho projednání v zastupitelstvu města zveřejněn vhodným způsobem a ve vhodném rozsahu na úřední desce a v elektronické podobě způsobem umožňujícím dálkový přístup v souladu s platnou legislativou</w:t>
            </w:r>
            <w:r w:rsidRPr="000240EA">
              <w:rPr>
                <w:rStyle w:val="Znakapoznpodarou"/>
                <w:rFonts w:asciiTheme="minorHAnsi" w:hAnsiTheme="minorHAnsi" w:cstheme="minorHAnsi"/>
                <w:sz w:val="22"/>
                <w:szCs w:val="22"/>
              </w:rPr>
              <w:footnoteReference w:id="57"/>
            </w:r>
            <w:r w:rsidRPr="000240EA">
              <w:rPr>
                <w:rFonts w:asciiTheme="minorHAnsi" w:hAnsiTheme="minorHAnsi" w:cstheme="minorHAnsi"/>
                <w:sz w:val="22"/>
                <w:szCs w:val="22"/>
              </w:rPr>
              <w:t>.</w:t>
            </w:r>
          </w:p>
        </w:tc>
      </w:tr>
      <w:tr w:rsidR="004E793F" w:rsidRPr="000240EA" w14:paraId="3AABD386" w14:textId="77777777" w:rsidTr="00F4125F">
        <w:tc>
          <w:tcPr>
            <w:tcW w:w="1129" w:type="dxa"/>
            <w:shd w:val="clear" w:color="auto" w:fill="F2F2F2" w:themeFill="background1" w:themeFillShade="F2"/>
          </w:tcPr>
          <w:p w14:paraId="254B86F0" w14:textId="77777777" w:rsidR="004E793F" w:rsidRPr="000240EA" w:rsidRDefault="004E793F" w:rsidP="00E03253">
            <w:pPr>
              <w:pStyle w:val="A1-text"/>
              <w:spacing w:after="0" w:line="216" w:lineRule="auto"/>
              <w:ind w:left="-57" w:right="-57"/>
              <w:jc w:val="left"/>
              <w:rPr>
                <w:rFonts w:asciiTheme="minorHAnsi" w:hAnsiTheme="minorHAnsi" w:cstheme="minorHAnsi"/>
                <w:sz w:val="22"/>
                <w:szCs w:val="22"/>
                <w:lang w:val="cs-CZ"/>
              </w:rPr>
            </w:pPr>
            <w:r w:rsidRPr="000240EA">
              <w:rPr>
                <w:rFonts w:asciiTheme="minorHAnsi" w:hAnsiTheme="minorHAnsi" w:cstheme="minorHAnsi"/>
                <w:bCs/>
                <w:sz w:val="22"/>
                <w:szCs w:val="22"/>
              </w:rPr>
              <w:t>T</w:t>
            </w:r>
            <w:r w:rsidRPr="000240EA">
              <w:rPr>
                <w:rFonts w:asciiTheme="minorHAnsi" w:hAnsiTheme="minorHAnsi" w:cstheme="minorHAnsi"/>
                <w:bCs/>
                <w:sz w:val="22"/>
                <w:szCs w:val="22"/>
                <w:lang w:val="cs-CZ"/>
              </w:rPr>
              <w:t xml:space="preserve"> (= prosinec)</w:t>
            </w:r>
          </w:p>
        </w:tc>
        <w:tc>
          <w:tcPr>
            <w:tcW w:w="7931" w:type="dxa"/>
            <w:shd w:val="clear" w:color="auto" w:fill="auto"/>
          </w:tcPr>
          <w:p w14:paraId="5D8461E1"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Zastupitelstvo města projedná a schválí</w:t>
            </w:r>
            <w:r w:rsidRPr="000240EA">
              <w:rPr>
                <w:rFonts w:asciiTheme="minorHAnsi" w:hAnsiTheme="minorHAnsi" w:cstheme="minorHAnsi"/>
                <w:bCs/>
                <w:sz w:val="22"/>
                <w:szCs w:val="22"/>
              </w:rPr>
              <w:t xml:space="preserve"> nový Rozpočet, Rozpočtový výhled a </w:t>
            </w:r>
            <w:r w:rsidRPr="00A43683">
              <w:rPr>
                <w:rFonts w:asciiTheme="minorHAnsi" w:hAnsiTheme="minorHAnsi" w:cstheme="minorHAnsi"/>
                <w:b/>
                <w:bCs/>
                <w:sz w:val="22"/>
                <w:szCs w:val="22"/>
              </w:rPr>
              <w:t>Akční plán</w:t>
            </w:r>
            <w:r w:rsidRPr="000240EA">
              <w:rPr>
                <w:rFonts w:asciiTheme="minorHAnsi" w:hAnsiTheme="minorHAnsi" w:cstheme="minorHAnsi"/>
                <w:bCs/>
                <w:sz w:val="22"/>
                <w:szCs w:val="22"/>
              </w:rPr>
              <w:t xml:space="preserve">. </w:t>
            </w:r>
            <w:r w:rsidRPr="00A43683">
              <w:rPr>
                <w:rFonts w:asciiTheme="minorHAnsi" w:hAnsiTheme="minorHAnsi" w:cstheme="minorHAnsi"/>
                <w:b/>
                <w:bCs/>
                <w:sz w:val="22"/>
                <w:szCs w:val="22"/>
              </w:rPr>
              <w:t>Budou vybrány projekty kryté rozpočtem zařazené do Akčního plánu. Ostatní zařazeny do zásobníku.</w:t>
            </w:r>
            <w:r w:rsidRPr="000240EA">
              <w:rPr>
                <w:rFonts w:asciiTheme="minorHAnsi" w:hAnsiTheme="minorHAnsi" w:cstheme="minorHAnsi"/>
                <w:bCs/>
                <w:sz w:val="22"/>
                <w:szCs w:val="22"/>
              </w:rPr>
              <w:t xml:space="preserve"> </w:t>
            </w:r>
          </w:p>
        </w:tc>
      </w:tr>
      <w:tr w:rsidR="004E793F" w:rsidRPr="000240EA" w14:paraId="58AFE7C0" w14:textId="77777777" w:rsidTr="00F4125F">
        <w:tc>
          <w:tcPr>
            <w:tcW w:w="1129" w:type="dxa"/>
            <w:shd w:val="clear" w:color="auto" w:fill="F2F2F2" w:themeFill="background1" w:themeFillShade="F2"/>
          </w:tcPr>
          <w:p w14:paraId="6CDE8CE6" w14:textId="3E9DB05D" w:rsidR="004E793F" w:rsidRPr="000240EA" w:rsidRDefault="004E793F" w:rsidP="00E03253">
            <w:pPr>
              <w:pStyle w:val="A1-text"/>
              <w:spacing w:after="0" w:line="216" w:lineRule="auto"/>
              <w:ind w:left="-57" w:right="-57"/>
              <w:rPr>
                <w:rFonts w:asciiTheme="minorHAnsi" w:hAnsiTheme="minorHAnsi" w:cstheme="minorHAnsi"/>
                <w:bCs/>
                <w:sz w:val="22"/>
                <w:szCs w:val="22"/>
                <w:lang w:val="cs-CZ"/>
              </w:rPr>
            </w:pPr>
            <w:r w:rsidRPr="000240EA">
              <w:rPr>
                <w:rFonts w:asciiTheme="minorHAnsi" w:hAnsiTheme="minorHAnsi" w:cstheme="minorHAnsi"/>
                <w:bCs/>
                <w:sz w:val="22"/>
                <w:szCs w:val="22"/>
              </w:rPr>
              <w:t>T+0</w:t>
            </w:r>
            <w:r w:rsidR="000240EA">
              <w:rPr>
                <w:rFonts w:asciiTheme="minorHAnsi" w:hAnsiTheme="minorHAnsi" w:cstheme="minorHAnsi"/>
                <w:bCs/>
                <w:sz w:val="22"/>
                <w:szCs w:val="22"/>
                <w:lang w:val="cs-CZ"/>
              </w:rPr>
              <w:t xml:space="preserve"> </w:t>
            </w:r>
            <w:r w:rsidRPr="000240EA">
              <w:rPr>
                <w:rFonts w:asciiTheme="minorHAnsi" w:hAnsiTheme="minorHAnsi" w:cstheme="minorHAnsi"/>
                <w:bCs/>
                <w:sz w:val="22"/>
                <w:szCs w:val="22"/>
              </w:rPr>
              <w:t>měsíc</w:t>
            </w:r>
          </w:p>
          <w:p w14:paraId="30D04FDD" w14:textId="77777777" w:rsidR="004E793F" w:rsidRPr="000240EA" w:rsidRDefault="004E793F" w:rsidP="00E03253">
            <w:pPr>
              <w:pStyle w:val="A1-text"/>
              <w:spacing w:after="0" w:line="216" w:lineRule="auto"/>
              <w:ind w:left="-57" w:right="-57"/>
              <w:rPr>
                <w:rFonts w:asciiTheme="minorHAnsi" w:hAnsiTheme="minorHAnsi" w:cstheme="minorHAnsi"/>
                <w:sz w:val="22"/>
                <w:szCs w:val="22"/>
                <w:lang w:val="cs-CZ"/>
              </w:rPr>
            </w:pPr>
            <w:r w:rsidRPr="000240EA">
              <w:rPr>
                <w:rFonts w:asciiTheme="minorHAnsi" w:hAnsiTheme="minorHAnsi" w:cstheme="minorHAnsi"/>
                <w:bCs/>
                <w:sz w:val="22"/>
                <w:szCs w:val="22"/>
                <w:lang w:val="cs-CZ"/>
              </w:rPr>
              <w:t>(= prosinec)</w:t>
            </w:r>
          </w:p>
        </w:tc>
        <w:tc>
          <w:tcPr>
            <w:tcW w:w="7931" w:type="dxa"/>
            <w:shd w:val="clear" w:color="auto" w:fill="auto"/>
          </w:tcPr>
          <w:p w14:paraId="429491F3" w14:textId="77777777" w:rsidR="004E793F" w:rsidRPr="000240EA" w:rsidRDefault="004E793F" w:rsidP="000240EA">
            <w:pPr>
              <w:spacing w:line="216" w:lineRule="auto"/>
              <w:jc w:val="both"/>
              <w:rPr>
                <w:rFonts w:asciiTheme="minorHAnsi" w:hAnsiTheme="minorHAnsi" w:cstheme="minorHAnsi"/>
                <w:bCs/>
                <w:sz w:val="22"/>
                <w:szCs w:val="22"/>
              </w:rPr>
            </w:pPr>
            <w:r w:rsidRPr="000240EA">
              <w:rPr>
                <w:rFonts w:asciiTheme="minorHAnsi" w:hAnsiTheme="minorHAnsi" w:cstheme="minorHAnsi"/>
                <w:sz w:val="22"/>
                <w:szCs w:val="22"/>
              </w:rPr>
              <w:t>- Neprodleně po schválení Ročního rozpočtu v zastupitelstvu města provede EKO Rozpis rozpočtu, jehož součástí bude členění podle rozpočtové skladby a závazné ukazatele pro subjekty, které se mají rozpočtem řídit.</w:t>
            </w:r>
          </w:p>
        </w:tc>
      </w:tr>
    </w:tbl>
    <w:p w14:paraId="6F5A8DBC" w14:textId="6862C6CF" w:rsidR="004E793F" w:rsidRPr="006B5327" w:rsidRDefault="004E793F" w:rsidP="004E793F">
      <w:pPr>
        <w:pStyle w:val="A1-text"/>
        <w:spacing w:after="120"/>
        <w:rPr>
          <w:rFonts w:asciiTheme="minorHAnsi" w:hAnsiTheme="minorHAnsi" w:cstheme="minorHAnsi"/>
          <w:i/>
          <w:iCs/>
          <w:lang w:val="cs-CZ"/>
        </w:rPr>
      </w:pPr>
      <w:r w:rsidRPr="006B5327">
        <w:rPr>
          <w:rFonts w:asciiTheme="minorHAnsi" w:hAnsiTheme="minorHAnsi" w:cstheme="minorHAnsi"/>
          <w:i/>
          <w:iCs/>
          <w:lang w:val="cs-CZ"/>
        </w:rPr>
        <w:t xml:space="preserve">Zdroj: </w:t>
      </w:r>
      <w:r w:rsidR="005A2BFA" w:rsidRPr="006B5327">
        <w:rPr>
          <w:rFonts w:asciiTheme="minorHAnsi" w:hAnsiTheme="minorHAnsi" w:cstheme="minorHAnsi"/>
          <w:i/>
          <w:iCs/>
          <w:lang w:val="cs-CZ"/>
        </w:rPr>
        <w:t>autoři</w:t>
      </w:r>
      <w:r w:rsidRPr="006B5327">
        <w:rPr>
          <w:rFonts w:asciiTheme="minorHAnsi" w:hAnsiTheme="minorHAnsi" w:cstheme="minorHAnsi"/>
          <w:i/>
          <w:iCs/>
          <w:lang w:val="cs-CZ"/>
        </w:rPr>
        <w:t xml:space="preserve"> dle směrnice k Rozpočtovému procesu města Uherské Hradiště</w:t>
      </w:r>
    </w:p>
    <w:p w14:paraId="182B9606" w14:textId="53D4B35B" w:rsidR="006B6EA5" w:rsidRPr="005149E0" w:rsidRDefault="006B6EA5" w:rsidP="004E793F">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sidR="00A453AA">
        <w:rPr>
          <w:rFonts w:asciiTheme="minorHAnsi" w:hAnsiTheme="minorHAnsi" w:cstheme="minorHAnsi"/>
          <w:b/>
          <w:lang w:val="cs-CZ"/>
        </w:rPr>
        <w:t xml:space="preserve">omezení / </w:t>
      </w:r>
      <w:r w:rsidR="005149E0">
        <w:rPr>
          <w:rFonts w:asciiTheme="minorHAnsi" w:hAnsiTheme="minorHAnsi" w:cstheme="minorHAnsi"/>
          <w:b/>
          <w:lang w:val="cs-CZ"/>
        </w:rPr>
        <w:t xml:space="preserve">zkušenost nebo </w:t>
      </w:r>
      <w:r w:rsidRPr="005149E0">
        <w:rPr>
          <w:rFonts w:asciiTheme="minorHAnsi" w:hAnsiTheme="minorHAnsi" w:cstheme="minorHAnsi"/>
          <w:b/>
          <w:lang w:val="cs-CZ"/>
        </w:rPr>
        <w:t>dobrá praxe ze studie plynoucí:</w:t>
      </w:r>
    </w:p>
    <w:p w14:paraId="1C3519EE" w14:textId="20047131" w:rsidR="00430C22" w:rsidRDefault="00430C22" w:rsidP="0065698B">
      <w:pPr>
        <w:pStyle w:val="Odstavecseseznamem"/>
        <w:numPr>
          <w:ilvl w:val="0"/>
          <w:numId w:val="22"/>
        </w:numPr>
        <w:jc w:val="both"/>
        <w:rPr>
          <w:rFonts w:asciiTheme="minorHAnsi" w:hAnsiTheme="minorHAnsi" w:cstheme="minorHAnsi"/>
        </w:rPr>
      </w:pPr>
      <w:r>
        <w:rPr>
          <w:rFonts w:asciiTheme="minorHAnsi" w:hAnsiTheme="minorHAnsi" w:cstheme="minorHAnsi"/>
        </w:rPr>
        <w:lastRenderedPageBreak/>
        <w:t>Harmonogram je převzat z praxe, odpovídá tedy místním podmínkám a zvyklostem konkrétního města.</w:t>
      </w:r>
    </w:p>
    <w:p w14:paraId="00810182" w14:textId="77777777" w:rsidR="00430C22" w:rsidRDefault="006B6EA5" w:rsidP="0065698B">
      <w:pPr>
        <w:pStyle w:val="Odstavecseseznamem"/>
        <w:numPr>
          <w:ilvl w:val="0"/>
          <w:numId w:val="22"/>
        </w:numPr>
        <w:jc w:val="both"/>
        <w:rPr>
          <w:rFonts w:asciiTheme="minorHAnsi" w:hAnsiTheme="minorHAnsi" w:cstheme="minorHAnsi"/>
        </w:rPr>
      </w:pPr>
      <w:r>
        <w:rPr>
          <w:rFonts w:asciiTheme="minorHAnsi" w:hAnsiTheme="minorHAnsi" w:cstheme="minorHAnsi"/>
        </w:rPr>
        <w:t xml:space="preserve">Z případové studie je zřejmé, že </w:t>
      </w:r>
      <w:r w:rsidR="00984F64">
        <w:rPr>
          <w:rFonts w:asciiTheme="minorHAnsi" w:hAnsiTheme="minorHAnsi" w:cstheme="minorHAnsi"/>
        </w:rPr>
        <w:t>je možné mít</w:t>
      </w:r>
      <w:r>
        <w:rPr>
          <w:rFonts w:asciiTheme="minorHAnsi" w:hAnsiTheme="minorHAnsi" w:cstheme="minorHAnsi"/>
        </w:rPr>
        <w:t xml:space="preserve"> propojený </w:t>
      </w:r>
      <w:r w:rsidR="005149E0">
        <w:rPr>
          <w:rFonts w:asciiTheme="minorHAnsi" w:hAnsiTheme="minorHAnsi" w:cstheme="minorHAnsi"/>
        </w:rPr>
        <w:t>harmonogram (</w:t>
      </w:r>
      <w:r>
        <w:rPr>
          <w:rFonts w:asciiTheme="minorHAnsi" w:hAnsiTheme="minorHAnsi" w:cstheme="minorHAnsi"/>
        </w:rPr>
        <w:t>proces</w:t>
      </w:r>
      <w:r w:rsidR="005149E0">
        <w:rPr>
          <w:rFonts w:asciiTheme="minorHAnsi" w:hAnsiTheme="minorHAnsi" w:cstheme="minorHAnsi"/>
        </w:rPr>
        <w:t>)</w:t>
      </w:r>
      <w:r>
        <w:rPr>
          <w:rFonts w:asciiTheme="minorHAnsi" w:hAnsiTheme="minorHAnsi" w:cstheme="minorHAnsi"/>
        </w:rPr>
        <w:t xml:space="preserve"> </w:t>
      </w:r>
    </w:p>
    <w:p w14:paraId="69C71555" w14:textId="77777777" w:rsidR="00430C22" w:rsidRDefault="006B6EA5" w:rsidP="0065698B">
      <w:pPr>
        <w:pStyle w:val="Odstavecseseznamem"/>
        <w:numPr>
          <w:ilvl w:val="1"/>
          <w:numId w:val="22"/>
        </w:numPr>
        <w:jc w:val="both"/>
        <w:rPr>
          <w:rFonts w:asciiTheme="minorHAnsi" w:hAnsiTheme="minorHAnsi" w:cstheme="minorHAnsi"/>
        </w:rPr>
      </w:pPr>
      <w:r>
        <w:rPr>
          <w:rFonts w:asciiTheme="minorHAnsi" w:hAnsiTheme="minorHAnsi" w:cstheme="minorHAnsi"/>
        </w:rPr>
        <w:t xml:space="preserve">rozpočtování se </w:t>
      </w:r>
    </w:p>
    <w:p w14:paraId="700DD089" w14:textId="77777777" w:rsidR="00430C22" w:rsidRDefault="006B6EA5" w:rsidP="0065698B">
      <w:pPr>
        <w:pStyle w:val="Odstavecseseznamem"/>
        <w:numPr>
          <w:ilvl w:val="1"/>
          <w:numId w:val="22"/>
        </w:numPr>
        <w:jc w:val="both"/>
        <w:rPr>
          <w:rFonts w:asciiTheme="minorHAnsi" w:hAnsiTheme="minorHAnsi" w:cstheme="minorHAnsi"/>
        </w:rPr>
      </w:pPr>
      <w:r>
        <w:rPr>
          <w:rFonts w:asciiTheme="minorHAnsi" w:hAnsiTheme="minorHAnsi" w:cstheme="minorHAnsi"/>
        </w:rPr>
        <w:t xml:space="preserve">strategickým řízením pomocí akčního (prováděcího) plánu, </w:t>
      </w:r>
    </w:p>
    <w:p w14:paraId="3FA86989" w14:textId="1D62BD88" w:rsidR="006B6EA5" w:rsidRPr="00430C22" w:rsidRDefault="006B6EA5" w:rsidP="00430C22">
      <w:pPr>
        <w:pStyle w:val="Odstavecseseznamem"/>
        <w:ind w:left="360"/>
        <w:jc w:val="both"/>
        <w:rPr>
          <w:rFonts w:asciiTheme="minorHAnsi" w:hAnsiTheme="minorHAnsi" w:cstheme="minorHAnsi"/>
        </w:rPr>
      </w:pPr>
      <w:r w:rsidRPr="00430C22">
        <w:rPr>
          <w:rFonts w:asciiTheme="minorHAnsi" w:hAnsiTheme="minorHAnsi" w:cstheme="minorHAnsi"/>
        </w:rPr>
        <w:t xml:space="preserve">což je velmi </w:t>
      </w:r>
      <w:r w:rsidR="00984F64" w:rsidRPr="00430C22">
        <w:rPr>
          <w:rFonts w:asciiTheme="minorHAnsi" w:hAnsiTheme="minorHAnsi" w:cstheme="minorHAnsi"/>
        </w:rPr>
        <w:t>účelné, šetří to čas i prostředky, posiluje transparentnost</w:t>
      </w:r>
      <w:r w:rsidRPr="00430C22">
        <w:rPr>
          <w:rFonts w:asciiTheme="minorHAnsi" w:hAnsiTheme="minorHAnsi" w:cstheme="minorHAnsi"/>
        </w:rPr>
        <w:t>. Lze to považovat za dobrou praxi.</w:t>
      </w:r>
    </w:p>
    <w:p w14:paraId="1C81F6ED" w14:textId="77777777" w:rsidR="006D1111" w:rsidRDefault="006D1111" w:rsidP="004E793F">
      <w:pPr>
        <w:pStyle w:val="A1-text"/>
        <w:spacing w:after="120"/>
        <w:rPr>
          <w:rFonts w:asciiTheme="minorHAnsi" w:hAnsiTheme="minorHAnsi" w:cstheme="minorHAnsi"/>
          <w:lang w:val="cs-CZ"/>
        </w:rPr>
      </w:pPr>
    </w:p>
    <w:p w14:paraId="7C33AE39" w14:textId="77777777" w:rsidR="00945A97" w:rsidRDefault="00945A97" w:rsidP="00945A97">
      <w:pPr>
        <w:pStyle w:val="Nadpis2"/>
        <w:spacing w:before="240" w:after="120"/>
        <w:ind w:left="578" w:hanging="578"/>
        <w:rPr>
          <w:rFonts w:asciiTheme="minorHAnsi" w:hAnsiTheme="minorHAnsi" w:cstheme="minorHAnsi"/>
          <w:color w:val="7493B0"/>
          <w:sz w:val="24"/>
          <w:szCs w:val="24"/>
          <w:lang w:val="cs-CZ"/>
        </w:rPr>
      </w:pPr>
      <w:bookmarkStart w:id="83" w:name="_Toc117270021"/>
      <w:r>
        <w:rPr>
          <w:rFonts w:asciiTheme="minorHAnsi" w:hAnsiTheme="minorHAnsi" w:cstheme="minorHAnsi"/>
          <w:color w:val="7493B0"/>
          <w:sz w:val="24"/>
          <w:szCs w:val="24"/>
          <w:lang w:val="cs-CZ"/>
        </w:rPr>
        <w:t>Příklady r</w:t>
      </w:r>
      <w:r w:rsidRPr="0054596D">
        <w:rPr>
          <w:rFonts w:asciiTheme="minorHAnsi" w:hAnsiTheme="minorHAnsi" w:cstheme="minorHAnsi"/>
          <w:color w:val="7493B0"/>
          <w:sz w:val="24"/>
          <w:szCs w:val="24"/>
          <w:lang w:val="cs-CZ"/>
        </w:rPr>
        <w:t>ozpočtu projektu</w:t>
      </w:r>
      <w:bookmarkEnd w:id="83"/>
    </w:p>
    <w:p w14:paraId="7056AA90" w14:textId="77777777" w:rsidR="00336596" w:rsidRDefault="00336596" w:rsidP="00336596">
      <w:pPr>
        <w:spacing w:after="120"/>
        <w:jc w:val="both"/>
        <w:rPr>
          <w:rFonts w:asciiTheme="minorHAnsi" w:hAnsiTheme="minorHAnsi" w:cstheme="minorHAnsi"/>
        </w:rPr>
      </w:pPr>
      <w:bookmarkStart w:id="84" w:name="_Toc23454821"/>
      <w:r w:rsidRPr="006B6EA5">
        <w:rPr>
          <w:rFonts w:asciiTheme="minorHAnsi" w:hAnsiTheme="minorHAnsi" w:cstheme="minorHAnsi"/>
          <w:b/>
        </w:rPr>
        <w:t>Čeho se případová studie týká:</w:t>
      </w:r>
      <w:r>
        <w:rPr>
          <w:rFonts w:asciiTheme="minorHAnsi" w:hAnsiTheme="minorHAnsi" w:cstheme="minorHAnsi"/>
        </w:rPr>
        <w:t xml:space="preserve"> </w:t>
      </w:r>
    </w:p>
    <w:p w14:paraId="47DA388B" w14:textId="79FC132B" w:rsidR="00336596" w:rsidRDefault="00AF6A5E" w:rsidP="00336596">
      <w:pPr>
        <w:spacing w:after="120"/>
        <w:jc w:val="both"/>
        <w:rPr>
          <w:rFonts w:asciiTheme="minorHAnsi" w:hAnsiTheme="minorHAnsi" w:cstheme="minorHAnsi"/>
        </w:rPr>
      </w:pPr>
      <w:r>
        <w:rPr>
          <w:rFonts w:asciiTheme="minorHAnsi" w:hAnsiTheme="minorHAnsi" w:cstheme="minorHAnsi"/>
        </w:rPr>
        <w:t xml:space="preserve">Součástí veřejných strategií nebo jejich prováděcích (implementačních, akčních) plánů často bývají projekty. </w:t>
      </w:r>
      <w:r w:rsidR="009350E4">
        <w:rPr>
          <w:rFonts w:asciiTheme="minorHAnsi" w:hAnsiTheme="minorHAnsi" w:cstheme="minorHAnsi"/>
        </w:rPr>
        <w:t>Jednoduchý rozpočet projektu může být zpracován jako součást trojimperativu projektu</w:t>
      </w:r>
      <w:r>
        <w:rPr>
          <w:rFonts w:asciiTheme="minorHAnsi" w:hAnsiTheme="minorHAnsi" w:cstheme="minorHAnsi"/>
        </w:rPr>
        <w:t xml:space="preserve"> (vysvětleno v kapitole </w:t>
      </w:r>
      <w:r w:rsidR="002D76F7">
        <w:rPr>
          <w:rFonts w:asciiTheme="minorHAnsi" w:hAnsiTheme="minorHAnsi" w:cstheme="minorHAnsi"/>
        </w:rPr>
        <w:t>5.7</w:t>
      </w:r>
      <w:r>
        <w:rPr>
          <w:rFonts w:asciiTheme="minorHAnsi" w:hAnsiTheme="minorHAnsi" w:cstheme="minorHAnsi"/>
        </w:rPr>
        <w:t>)</w:t>
      </w:r>
      <w:r w:rsidR="009350E4">
        <w:rPr>
          <w:rFonts w:asciiTheme="minorHAnsi" w:hAnsiTheme="minorHAnsi" w:cstheme="minorHAnsi"/>
        </w:rPr>
        <w:t xml:space="preserve">. </w:t>
      </w:r>
      <w:r w:rsidR="00037CCE">
        <w:rPr>
          <w:rFonts w:asciiTheme="minorHAnsi" w:hAnsiTheme="minorHAnsi" w:cstheme="minorHAnsi"/>
        </w:rPr>
        <w:t xml:space="preserve">Případová studie se týká </w:t>
      </w:r>
      <w:r w:rsidR="00523B4F">
        <w:rPr>
          <w:rFonts w:asciiTheme="minorHAnsi" w:hAnsiTheme="minorHAnsi" w:cstheme="minorHAnsi"/>
        </w:rPr>
        <w:t>dvou plán</w:t>
      </w:r>
      <w:r w:rsidR="002D76F7">
        <w:rPr>
          <w:rFonts w:asciiTheme="minorHAnsi" w:hAnsiTheme="minorHAnsi" w:cstheme="minorHAnsi"/>
        </w:rPr>
        <w:t>ů</w:t>
      </w:r>
      <w:r w:rsidR="00523B4F">
        <w:rPr>
          <w:rFonts w:asciiTheme="minorHAnsi" w:hAnsiTheme="minorHAnsi" w:cstheme="minorHAnsi"/>
        </w:rPr>
        <w:t xml:space="preserve"> projektu </w:t>
      </w:r>
      <w:r w:rsidR="009350E4">
        <w:rPr>
          <w:rFonts w:asciiTheme="minorHAnsi" w:hAnsiTheme="minorHAnsi" w:cstheme="minorHAnsi"/>
        </w:rPr>
        <w:t>pomocí troj</w:t>
      </w:r>
      <w:r w:rsidR="00037CCE">
        <w:rPr>
          <w:rFonts w:asciiTheme="minorHAnsi" w:hAnsiTheme="minorHAnsi" w:cstheme="minorHAnsi"/>
        </w:rPr>
        <w:t>imperativu projektu (cíle – termíny –</w:t>
      </w:r>
      <w:r w:rsidR="00523B4F">
        <w:rPr>
          <w:rFonts w:asciiTheme="minorHAnsi" w:hAnsiTheme="minorHAnsi" w:cstheme="minorHAnsi"/>
        </w:rPr>
        <w:t xml:space="preserve"> rozpočet). První projekt se se týká přestavby</w:t>
      </w:r>
      <w:r w:rsidR="00037CCE">
        <w:rPr>
          <w:rFonts w:asciiTheme="minorHAnsi" w:hAnsiTheme="minorHAnsi" w:cstheme="minorHAnsi"/>
        </w:rPr>
        <w:t xml:space="preserve"> budovy sboru dobrovolných hasičů v majetku obce. </w:t>
      </w:r>
      <w:r w:rsidR="00523B4F">
        <w:rPr>
          <w:rFonts w:asciiTheme="minorHAnsi" w:hAnsiTheme="minorHAnsi" w:cstheme="minorHAnsi"/>
        </w:rPr>
        <w:t>Druhý projekt se týká pořádání konference státní příspěvkovou organizací.</w:t>
      </w:r>
      <w:r w:rsidR="009C4264">
        <w:rPr>
          <w:rFonts w:asciiTheme="minorHAnsi" w:hAnsiTheme="minorHAnsi" w:cstheme="minorHAnsi"/>
        </w:rPr>
        <w:t xml:space="preserve"> Záměrně byl zvolen jeden projekt investiční a jeden neinvestiční.</w:t>
      </w:r>
    </w:p>
    <w:p w14:paraId="19B80B6F" w14:textId="3872C726" w:rsidR="00336596" w:rsidRDefault="00336596" w:rsidP="00336596">
      <w:pPr>
        <w:spacing w:after="120"/>
        <w:jc w:val="both"/>
        <w:rPr>
          <w:rFonts w:asciiTheme="minorHAnsi" w:hAnsiTheme="minorHAnsi" w:cstheme="minorHAnsi"/>
          <w:b/>
        </w:rPr>
      </w:pPr>
      <w:r w:rsidRPr="006B6EA5">
        <w:rPr>
          <w:rFonts w:asciiTheme="minorHAnsi" w:hAnsiTheme="minorHAnsi" w:cstheme="minorHAnsi"/>
          <w:b/>
        </w:rPr>
        <w:t>Popis případové studie:</w:t>
      </w:r>
    </w:p>
    <w:p w14:paraId="264ECE1B" w14:textId="26744939" w:rsidR="00523B4F" w:rsidRPr="006B6EA5" w:rsidRDefault="00523B4F" w:rsidP="00336596">
      <w:pPr>
        <w:spacing w:after="120"/>
        <w:jc w:val="both"/>
        <w:rPr>
          <w:rFonts w:asciiTheme="minorHAnsi" w:hAnsiTheme="minorHAnsi" w:cstheme="minorHAnsi"/>
          <w:b/>
        </w:rPr>
      </w:pPr>
      <w:r>
        <w:rPr>
          <w:rFonts w:asciiTheme="minorHAnsi" w:hAnsiTheme="minorHAnsi" w:cstheme="minorHAnsi"/>
          <w:b/>
        </w:rPr>
        <w:t xml:space="preserve">Příklad 1 </w:t>
      </w:r>
      <w:r w:rsidR="00D114D0">
        <w:rPr>
          <w:rFonts w:asciiTheme="minorHAnsi" w:hAnsiTheme="minorHAnsi" w:cstheme="minorHAnsi"/>
          <w:b/>
        </w:rPr>
        <w:t>–</w:t>
      </w:r>
      <w:r>
        <w:rPr>
          <w:rFonts w:asciiTheme="minorHAnsi" w:hAnsiTheme="minorHAnsi" w:cstheme="minorHAnsi"/>
          <w:b/>
        </w:rPr>
        <w:t xml:space="preserve"> </w:t>
      </w:r>
      <w:r w:rsidR="000738CE">
        <w:rPr>
          <w:rFonts w:asciiTheme="minorHAnsi" w:hAnsiTheme="minorHAnsi" w:cstheme="minorHAnsi"/>
          <w:b/>
        </w:rPr>
        <w:t>rozpočet projektu přestavby</w:t>
      </w:r>
      <w:r w:rsidR="00D114D0">
        <w:rPr>
          <w:rFonts w:asciiTheme="minorHAnsi" w:hAnsiTheme="minorHAnsi" w:cstheme="minorHAnsi"/>
          <w:b/>
        </w:rPr>
        <w:t xml:space="preserve"> budovy sboru dobrovolných hasičů</w:t>
      </w:r>
    </w:p>
    <w:p w14:paraId="7C8B22E8" w14:textId="3BA58863" w:rsidR="00D114D0" w:rsidRDefault="009C4264" w:rsidP="00D114D0">
      <w:pPr>
        <w:jc w:val="both"/>
        <w:rPr>
          <w:rFonts w:ascii="Calibri" w:hAnsi="Calibri" w:cs="Calibri"/>
        </w:rPr>
      </w:pPr>
      <w:r>
        <w:rPr>
          <w:rFonts w:ascii="Calibri" w:hAnsi="Calibri" w:cs="Calibri"/>
        </w:rPr>
        <w:t xml:space="preserve">Součástí strategie obce je provést přestavbu budovy sboru dobrovolných hasičů. </w:t>
      </w:r>
      <w:r w:rsidR="00D114D0">
        <w:rPr>
          <w:rFonts w:ascii="Calibri" w:hAnsi="Calibri" w:cs="Calibri"/>
        </w:rPr>
        <w:t xml:space="preserve">Trojimperativ projektu včetně jeho rozpočtu projektu je zpracován v následující tabulce. Rozpočet je zpracován velmi jednoduše, zahrnuje </w:t>
      </w:r>
      <w:r w:rsidR="00C750FB">
        <w:rPr>
          <w:rFonts w:ascii="Calibri" w:hAnsi="Calibri" w:cs="Calibri"/>
        </w:rPr>
        <w:t>výdaje</w:t>
      </w:r>
      <w:r w:rsidR="00D114D0">
        <w:rPr>
          <w:rFonts w:ascii="Calibri" w:hAnsi="Calibri" w:cs="Calibri"/>
        </w:rPr>
        <w:t xml:space="preserve"> na:</w:t>
      </w:r>
    </w:p>
    <w:p w14:paraId="59066CE1" w14:textId="56785A9F" w:rsidR="007364F1" w:rsidRDefault="00D114D0" w:rsidP="0065698B">
      <w:pPr>
        <w:pStyle w:val="Odstavecseseznamem"/>
        <w:numPr>
          <w:ilvl w:val="0"/>
          <w:numId w:val="22"/>
        </w:numPr>
        <w:jc w:val="both"/>
        <w:rPr>
          <w:rFonts w:ascii="Calibri" w:hAnsi="Calibri" w:cs="Calibri"/>
        </w:rPr>
      </w:pPr>
      <w:r>
        <w:rPr>
          <w:rFonts w:ascii="Calibri" w:hAnsi="Calibri" w:cs="Calibri"/>
        </w:rPr>
        <w:t>Z</w:t>
      </w:r>
      <w:r w:rsidRPr="00D114D0">
        <w:rPr>
          <w:rFonts w:ascii="Calibri" w:hAnsi="Calibri" w:cs="Calibri"/>
        </w:rPr>
        <w:t xml:space="preserve">pracování </w:t>
      </w:r>
      <w:r w:rsidR="0010409F">
        <w:rPr>
          <w:rFonts w:ascii="Calibri" w:hAnsi="Calibri" w:cs="Calibri"/>
        </w:rPr>
        <w:t>stavební projektové dokumentace</w:t>
      </w:r>
      <w:r w:rsidR="007364F1" w:rsidRPr="00D114D0">
        <w:rPr>
          <w:rFonts w:ascii="Calibri" w:hAnsi="Calibri" w:cs="Calibri"/>
        </w:rPr>
        <w:t xml:space="preserve"> </w:t>
      </w:r>
      <w:r w:rsidRPr="00D114D0">
        <w:rPr>
          <w:rFonts w:ascii="Calibri" w:hAnsi="Calibri" w:cs="Calibri"/>
        </w:rPr>
        <w:t xml:space="preserve">(často se </w:t>
      </w:r>
      <w:r w:rsidR="0010409F">
        <w:rPr>
          <w:rFonts w:ascii="Calibri" w:hAnsi="Calibri" w:cs="Calibri"/>
        </w:rPr>
        <w:t xml:space="preserve">náklady </w:t>
      </w:r>
      <w:r w:rsidR="007364F1" w:rsidRPr="00D114D0">
        <w:rPr>
          <w:rFonts w:ascii="Calibri" w:hAnsi="Calibri" w:cs="Calibri"/>
        </w:rPr>
        <w:t>pohybují kolem 5</w:t>
      </w:r>
      <w:r w:rsidR="002D76F7">
        <w:rPr>
          <w:rFonts w:ascii="Calibri" w:hAnsi="Calibri" w:cs="Calibri"/>
        </w:rPr>
        <w:t xml:space="preserve"> </w:t>
      </w:r>
      <w:r w:rsidR="007364F1" w:rsidRPr="00D114D0">
        <w:rPr>
          <w:rFonts w:ascii="Calibri" w:hAnsi="Calibri" w:cs="Calibri"/>
        </w:rPr>
        <w:t>% stavebních prací</w:t>
      </w:r>
      <w:r w:rsidR="0010409F">
        <w:rPr>
          <w:rFonts w:ascii="Calibri" w:hAnsi="Calibri" w:cs="Calibri"/>
        </w:rPr>
        <w:t>). Dokumentaci</w:t>
      </w:r>
      <w:r>
        <w:rPr>
          <w:rFonts w:ascii="Calibri" w:hAnsi="Calibri" w:cs="Calibri"/>
        </w:rPr>
        <w:t xml:space="preserve"> zpracoval projektant, který byl vybrán na základě veřejné zakázky.</w:t>
      </w:r>
    </w:p>
    <w:p w14:paraId="75C9F4B0" w14:textId="29E55721" w:rsidR="00C750FB" w:rsidRDefault="00C750FB" w:rsidP="0065698B">
      <w:pPr>
        <w:pStyle w:val="Odstavecseseznamem"/>
        <w:numPr>
          <w:ilvl w:val="0"/>
          <w:numId w:val="22"/>
        </w:numPr>
        <w:jc w:val="both"/>
        <w:rPr>
          <w:rFonts w:ascii="Calibri" w:hAnsi="Calibri" w:cs="Calibri"/>
        </w:rPr>
      </w:pPr>
      <w:r w:rsidRPr="00D114D0">
        <w:rPr>
          <w:rFonts w:ascii="Calibri" w:hAnsi="Calibri" w:cs="Calibri"/>
        </w:rPr>
        <w:t xml:space="preserve">Stavební dozor. </w:t>
      </w:r>
      <w:r>
        <w:rPr>
          <w:rFonts w:ascii="Calibri" w:hAnsi="Calibri" w:cs="Calibri"/>
        </w:rPr>
        <w:t>Pohybuje se kolem 1</w:t>
      </w:r>
      <w:r w:rsidR="008C5337">
        <w:rPr>
          <w:rFonts w:ascii="Calibri" w:hAnsi="Calibri" w:cs="Calibri"/>
        </w:rPr>
        <w:t xml:space="preserve"> </w:t>
      </w:r>
      <w:r w:rsidRPr="00D114D0">
        <w:rPr>
          <w:rFonts w:ascii="Calibri" w:hAnsi="Calibri" w:cs="Calibri"/>
        </w:rPr>
        <w:t xml:space="preserve">% stavebních prací. </w:t>
      </w:r>
      <w:r>
        <w:rPr>
          <w:rFonts w:ascii="Calibri" w:hAnsi="Calibri" w:cs="Calibri"/>
        </w:rPr>
        <w:t>Zatím ještě neproběhla soutěž, proto jde o předpokládanou cenu.</w:t>
      </w:r>
    </w:p>
    <w:p w14:paraId="4096B4D3" w14:textId="5E4C48A1" w:rsidR="00C750FB" w:rsidRDefault="00C750FB" w:rsidP="0065698B">
      <w:pPr>
        <w:pStyle w:val="Odstavecseseznamem"/>
        <w:numPr>
          <w:ilvl w:val="0"/>
          <w:numId w:val="22"/>
        </w:numPr>
        <w:jc w:val="both"/>
        <w:rPr>
          <w:rFonts w:ascii="Calibri" w:hAnsi="Calibri" w:cs="Calibri"/>
        </w:rPr>
      </w:pPr>
      <w:r w:rsidRPr="00D114D0">
        <w:rPr>
          <w:rFonts w:ascii="Calibri" w:hAnsi="Calibri" w:cs="Calibri"/>
        </w:rPr>
        <w:t>Koordinátora BOZP. D</w:t>
      </w:r>
      <w:r>
        <w:rPr>
          <w:rFonts w:ascii="Calibri" w:hAnsi="Calibri" w:cs="Calibri"/>
        </w:rPr>
        <w:t>o rozpočtu bylo stanoveno jako 0,5</w:t>
      </w:r>
      <w:r w:rsidR="008C5337">
        <w:rPr>
          <w:rFonts w:ascii="Calibri" w:hAnsi="Calibri" w:cs="Calibri"/>
        </w:rPr>
        <w:t xml:space="preserve"> </w:t>
      </w:r>
      <w:r w:rsidRPr="00D114D0">
        <w:rPr>
          <w:rFonts w:ascii="Calibri" w:hAnsi="Calibri" w:cs="Calibri"/>
        </w:rPr>
        <w:t xml:space="preserve">% stavebních prací. </w:t>
      </w:r>
      <w:r>
        <w:rPr>
          <w:rFonts w:ascii="Calibri" w:hAnsi="Calibri" w:cs="Calibri"/>
        </w:rPr>
        <w:t xml:space="preserve">Do rozpočtu nebylo zahrnuto, obec si bude zajišťovat sama. </w:t>
      </w:r>
    </w:p>
    <w:p w14:paraId="4532E7D5" w14:textId="073CDF8B" w:rsidR="00D114D0" w:rsidRDefault="00D114D0" w:rsidP="0065698B">
      <w:pPr>
        <w:pStyle w:val="Odstavecseseznamem"/>
        <w:numPr>
          <w:ilvl w:val="0"/>
          <w:numId w:val="22"/>
        </w:numPr>
        <w:jc w:val="both"/>
        <w:rPr>
          <w:rFonts w:ascii="Calibri" w:hAnsi="Calibri" w:cs="Calibri"/>
        </w:rPr>
      </w:pPr>
      <w:r>
        <w:rPr>
          <w:rFonts w:ascii="Calibri" w:hAnsi="Calibri" w:cs="Calibri"/>
        </w:rPr>
        <w:t>Stavební práce na provedení přestavby. Výši nákladů stanovil projektant s využitím sazebníku prací. Zatím ještě neproběhla soutěž, proto jde o předpokládanou cenu.</w:t>
      </w:r>
    </w:p>
    <w:p w14:paraId="30BB897E" w14:textId="66C66A34" w:rsidR="0010409F" w:rsidRPr="0010409F" w:rsidRDefault="0010409F" w:rsidP="0010409F">
      <w:pPr>
        <w:jc w:val="both"/>
        <w:rPr>
          <w:rFonts w:ascii="Calibri" w:hAnsi="Calibri" w:cs="Calibri"/>
        </w:rPr>
      </w:pPr>
      <w:r>
        <w:rPr>
          <w:rFonts w:ascii="Calibri" w:hAnsi="Calibri" w:cs="Calibri"/>
        </w:rPr>
        <w:lastRenderedPageBreak/>
        <w:t xml:space="preserve">Rozpočet též zahrnuje </w:t>
      </w:r>
      <w:r w:rsidR="00C750FB">
        <w:rPr>
          <w:rFonts w:ascii="Calibri" w:hAnsi="Calibri" w:cs="Calibri"/>
        </w:rPr>
        <w:t>tržby</w:t>
      </w:r>
      <w:r>
        <w:rPr>
          <w:rFonts w:ascii="Calibri" w:hAnsi="Calibri" w:cs="Calibri"/>
        </w:rPr>
        <w:t xml:space="preserve"> – v našem příkladu jde o dotaci ve výši 3 mil. Kč. Spolufinancování obce je ve výši </w:t>
      </w:r>
      <w:r w:rsidR="00C750FB">
        <w:rPr>
          <w:rFonts w:ascii="Calibri" w:hAnsi="Calibri" w:cs="Calibri"/>
        </w:rPr>
        <w:t>2 mil.</w:t>
      </w:r>
      <w:r>
        <w:rPr>
          <w:rFonts w:ascii="Calibri" w:hAnsi="Calibri" w:cs="Calibri"/>
        </w:rPr>
        <w:t xml:space="preserve"> Kč</w:t>
      </w:r>
    </w:p>
    <w:p w14:paraId="60BC1239" w14:textId="2086A583" w:rsidR="007364F1" w:rsidRDefault="007364F1" w:rsidP="007364F1">
      <w:pPr>
        <w:pStyle w:val="A1-text"/>
        <w:spacing w:after="0"/>
        <w:rPr>
          <w:rFonts w:ascii="Calibri" w:hAnsi="Calibri"/>
          <w:lang w:val="cs-CZ"/>
        </w:rPr>
      </w:pPr>
      <w:r>
        <w:rPr>
          <w:rFonts w:ascii="Calibri" w:hAnsi="Calibri"/>
          <w:lang w:val="cs-CZ"/>
        </w:rPr>
        <w:t>Následující tabulka uvádí p</w:t>
      </w:r>
      <w:r w:rsidRPr="00961442">
        <w:rPr>
          <w:rFonts w:ascii="Calibri" w:hAnsi="Calibri"/>
          <w:lang w:val="cs-CZ"/>
        </w:rPr>
        <w:t xml:space="preserve">říklad </w:t>
      </w:r>
      <w:r>
        <w:rPr>
          <w:rFonts w:ascii="Calibri" w:hAnsi="Calibri"/>
          <w:lang w:val="cs-CZ"/>
        </w:rPr>
        <w:t>plánu</w:t>
      </w:r>
      <w:r w:rsidRPr="00961442">
        <w:rPr>
          <w:rFonts w:ascii="Calibri" w:hAnsi="Calibri"/>
          <w:lang w:val="cs-CZ"/>
        </w:rPr>
        <w:t xml:space="preserve"> projektu pomocí trojimperativu projektu</w:t>
      </w:r>
      <w:r>
        <w:rPr>
          <w:rFonts w:ascii="Calibri" w:hAnsi="Calibri"/>
          <w:lang w:val="cs-CZ"/>
        </w:rPr>
        <w:t>.</w:t>
      </w:r>
    </w:p>
    <w:p w14:paraId="2A140926" w14:textId="6F18B198" w:rsidR="007364F1" w:rsidRPr="004B0D06" w:rsidRDefault="007364F1" w:rsidP="007364F1">
      <w:pPr>
        <w:pStyle w:val="A1-text"/>
        <w:spacing w:after="0"/>
        <w:rPr>
          <w:rFonts w:ascii="Calibri" w:hAnsi="Calibri"/>
          <w:i/>
          <w:iCs/>
          <w:lang w:val="cs-CZ"/>
        </w:rPr>
      </w:pPr>
      <w:r w:rsidRPr="004B0D06">
        <w:rPr>
          <w:rFonts w:ascii="Calibri" w:hAnsi="Calibri"/>
          <w:i/>
          <w:iCs/>
          <w:lang w:val="cs-CZ"/>
        </w:rPr>
        <w:t xml:space="preserve">Tab. </w:t>
      </w:r>
      <w:r w:rsidR="004F0E1D">
        <w:rPr>
          <w:rFonts w:ascii="Calibri" w:hAnsi="Calibri"/>
          <w:i/>
          <w:iCs/>
          <w:lang w:val="cs-CZ"/>
        </w:rPr>
        <w:t>2</w:t>
      </w:r>
      <w:r w:rsidR="00C14739">
        <w:rPr>
          <w:rFonts w:ascii="Calibri" w:hAnsi="Calibri"/>
          <w:i/>
          <w:iCs/>
          <w:lang w:val="cs-CZ"/>
        </w:rPr>
        <w:t>3</w:t>
      </w:r>
      <w:r w:rsidRPr="004B0D06">
        <w:rPr>
          <w:rFonts w:ascii="Calibri" w:hAnsi="Calibri"/>
          <w:i/>
          <w:iCs/>
          <w:lang w:val="cs-CZ"/>
        </w:rPr>
        <w:t xml:space="preserve"> </w:t>
      </w:r>
      <w:r w:rsidR="009C4264" w:rsidRPr="004B0D06">
        <w:rPr>
          <w:rFonts w:ascii="Calibri" w:hAnsi="Calibri"/>
          <w:i/>
          <w:iCs/>
          <w:lang w:val="cs-CZ"/>
        </w:rPr>
        <w:t>Trojimperativ projektu včetně rozpočtu</w:t>
      </w:r>
      <w:r w:rsidRPr="004B0D06">
        <w:rPr>
          <w:rFonts w:ascii="Calibri" w:hAnsi="Calibri"/>
          <w:i/>
          <w:iCs/>
          <w:lang w:val="cs-CZ"/>
        </w:rPr>
        <w:t xml:space="preserve"> - </w:t>
      </w:r>
      <w:r w:rsidRPr="004B0D06">
        <w:rPr>
          <w:rFonts w:ascii="Calibri" w:hAnsi="Calibri" w:cs="Calibri"/>
          <w:i/>
          <w:iCs/>
          <w:lang w:val="cs-CZ"/>
        </w:rPr>
        <w:t xml:space="preserve">přestavba </w:t>
      </w:r>
      <w:r w:rsidR="009C4264" w:rsidRPr="004B0D06">
        <w:rPr>
          <w:rFonts w:ascii="Calibri" w:hAnsi="Calibri" w:cs="Calibri"/>
          <w:i/>
          <w:iCs/>
          <w:lang w:val="cs-CZ"/>
        </w:rPr>
        <w:t>budovy obce</w:t>
      </w:r>
      <w:r w:rsidRPr="004B0D06">
        <w:rPr>
          <w:rFonts w:ascii="Calibri" w:hAnsi="Calibri" w:cs="Calibri"/>
          <w:i/>
          <w:iCs/>
          <w:lang w:val="cs-CZ"/>
        </w:rPr>
        <w:t xml:space="preserve"> </w:t>
      </w:r>
    </w:p>
    <w:tbl>
      <w:tblPr>
        <w:tblStyle w:val="Mkatabulky"/>
        <w:tblW w:w="0" w:type="auto"/>
        <w:tblLook w:val="04A0" w:firstRow="1" w:lastRow="0" w:firstColumn="1" w:lastColumn="0" w:noHBand="0" w:noVBand="1"/>
      </w:tblPr>
      <w:tblGrid>
        <w:gridCol w:w="2395"/>
        <w:gridCol w:w="3526"/>
        <w:gridCol w:w="3095"/>
      </w:tblGrid>
      <w:tr w:rsidR="007364F1" w:rsidRPr="00961442" w14:paraId="38B10BFB" w14:textId="77777777" w:rsidTr="009350E4">
        <w:tc>
          <w:tcPr>
            <w:tcW w:w="9060" w:type="dxa"/>
            <w:gridSpan w:val="3"/>
          </w:tcPr>
          <w:p w14:paraId="5DAFB49E" w14:textId="2CE0B1E8" w:rsidR="007364F1" w:rsidRPr="00D521E0" w:rsidRDefault="007364F1" w:rsidP="00D521E0">
            <w:pPr>
              <w:pStyle w:val="A-pramen"/>
              <w:spacing w:after="0" w:line="240" w:lineRule="auto"/>
              <w:ind w:left="-57" w:right="-57"/>
              <w:rPr>
                <w:rFonts w:ascii="Calibri" w:hAnsi="Calibri"/>
                <w:sz w:val="20"/>
                <w:lang w:val="cs-CZ"/>
              </w:rPr>
            </w:pPr>
            <w:r w:rsidRPr="00961442">
              <w:rPr>
                <w:rFonts w:ascii="Calibri" w:hAnsi="Calibri"/>
                <w:b/>
                <w:sz w:val="20"/>
              </w:rPr>
              <w:t xml:space="preserve">Název a popis projektu: </w:t>
            </w:r>
            <w:r w:rsidR="00D521E0">
              <w:rPr>
                <w:rFonts w:ascii="Calibri" w:hAnsi="Calibri"/>
                <w:sz w:val="20"/>
                <w:lang w:val="cs-CZ"/>
              </w:rPr>
              <w:t>Přestavba budovy sboru dobrovolných hasičů v majetku města.</w:t>
            </w:r>
          </w:p>
        </w:tc>
      </w:tr>
      <w:tr w:rsidR="007364F1" w:rsidRPr="00961442" w14:paraId="261F4A7E" w14:textId="77777777" w:rsidTr="009350E4">
        <w:tc>
          <w:tcPr>
            <w:tcW w:w="2405" w:type="dxa"/>
          </w:tcPr>
          <w:p w14:paraId="7B257C50" w14:textId="77777777" w:rsidR="007364F1" w:rsidRPr="00961442" w:rsidRDefault="007364F1" w:rsidP="0065698B">
            <w:pPr>
              <w:pStyle w:val="A-pramen"/>
              <w:numPr>
                <w:ilvl w:val="0"/>
                <w:numId w:val="38"/>
              </w:numPr>
              <w:spacing w:after="0" w:line="240" w:lineRule="auto"/>
              <w:ind w:left="-57" w:right="-57"/>
              <w:rPr>
                <w:rFonts w:ascii="Calibri" w:hAnsi="Calibri"/>
                <w:b/>
                <w:sz w:val="20"/>
              </w:rPr>
            </w:pPr>
            <w:r w:rsidRPr="00961442">
              <w:rPr>
                <w:rFonts w:ascii="Calibri" w:hAnsi="Calibri"/>
                <w:b/>
                <w:bCs/>
                <w:sz w:val="20"/>
                <w:lang w:val="cs-CZ"/>
              </w:rPr>
              <w:t xml:space="preserve">(1) </w:t>
            </w:r>
            <w:r w:rsidRPr="00961442">
              <w:rPr>
                <w:rFonts w:ascii="Calibri" w:hAnsi="Calibri"/>
                <w:b/>
                <w:bCs/>
                <w:sz w:val="20"/>
              </w:rPr>
              <w:t>Cíle projektu:</w:t>
            </w:r>
          </w:p>
        </w:tc>
        <w:tc>
          <w:tcPr>
            <w:tcW w:w="3544" w:type="dxa"/>
          </w:tcPr>
          <w:p w14:paraId="681F0AFC" w14:textId="77777777" w:rsidR="007364F1" w:rsidRPr="00961442" w:rsidRDefault="007364F1" w:rsidP="009350E4">
            <w:pPr>
              <w:pStyle w:val="A-pramen"/>
              <w:spacing w:after="0" w:line="240" w:lineRule="auto"/>
              <w:ind w:left="-57" w:right="-57"/>
              <w:rPr>
                <w:rFonts w:ascii="Calibri" w:hAnsi="Calibri"/>
                <w:b/>
                <w:sz w:val="20"/>
              </w:rPr>
            </w:pPr>
            <w:r w:rsidRPr="00961442">
              <w:rPr>
                <w:rFonts w:ascii="Calibri" w:hAnsi="Calibri"/>
                <w:b/>
                <w:sz w:val="20"/>
              </w:rPr>
              <w:t xml:space="preserve">(2) </w:t>
            </w:r>
            <w:r w:rsidRPr="00961442">
              <w:rPr>
                <w:rFonts w:ascii="Calibri" w:hAnsi="Calibri"/>
                <w:b/>
                <w:bCs/>
                <w:sz w:val="20"/>
              </w:rPr>
              <w:t>Termíny / harmonogram aktivit</w:t>
            </w:r>
            <w:r w:rsidRPr="00961442">
              <w:rPr>
                <w:rFonts w:ascii="Calibri" w:hAnsi="Calibri"/>
                <w:b/>
                <w:sz w:val="20"/>
              </w:rPr>
              <w:t>:</w:t>
            </w:r>
          </w:p>
        </w:tc>
        <w:tc>
          <w:tcPr>
            <w:tcW w:w="3111" w:type="dxa"/>
          </w:tcPr>
          <w:p w14:paraId="09F5648E" w14:textId="77777777" w:rsidR="007364F1" w:rsidRPr="00961442" w:rsidRDefault="007364F1" w:rsidP="009350E4">
            <w:pPr>
              <w:pStyle w:val="A-pramen"/>
              <w:spacing w:after="0" w:line="240" w:lineRule="auto"/>
              <w:ind w:left="-57" w:right="-57"/>
              <w:rPr>
                <w:rFonts w:ascii="Calibri" w:hAnsi="Calibri"/>
                <w:b/>
                <w:sz w:val="20"/>
              </w:rPr>
            </w:pPr>
            <w:r w:rsidRPr="00961442">
              <w:rPr>
                <w:rFonts w:ascii="Calibri" w:hAnsi="Calibri"/>
                <w:b/>
                <w:sz w:val="20"/>
              </w:rPr>
              <w:t xml:space="preserve">(3) </w:t>
            </w:r>
            <w:r w:rsidRPr="00961442">
              <w:rPr>
                <w:rFonts w:ascii="Calibri" w:hAnsi="Calibri"/>
                <w:b/>
                <w:bCs/>
                <w:sz w:val="20"/>
              </w:rPr>
              <w:t>rozpočet projektu</w:t>
            </w:r>
            <w:r w:rsidRPr="00961442">
              <w:rPr>
                <w:rFonts w:ascii="Calibri" w:hAnsi="Calibri"/>
                <w:b/>
                <w:sz w:val="20"/>
              </w:rPr>
              <w:t>:</w:t>
            </w:r>
          </w:p>
        </w:tc>
      </w:tr>
      <w:tr w:rsidR="007364F1" w14:paraId="7C78CFEB" w14:textId="77777777" w:rsidTr="00164430">
        <w:trPr>
          <w:trHeight w:val="3083"/>
        </w:trPr>
        <w:tc>
          <w:tcPr>
            <w:tcW w:w="2405" w:type="dxa"/>
          </w:tcPr>
          <w:p w14:paraId="31D11343" w14:textId="2B4C9F77" w:rsidR="007364F1" w:rsidRDefault="00955863" w:rsidP="009350E4">
            <w:pPr>
              <w:pStyle w:val="A-pramen"/>
              <w:spacing w:after="0" w:line="240" w:lineRule="auto"/>
              <w:ind w:left="-57" w:right="-57"/>
              <w:jc w:val="left"/>
              <w:rPr>
                <w:rFonts w:ascii="Calibri" w:hAnsi="Calibri"/>
                <w:sz w:val="20"/>
                <w:lang w:val="cs-CZ"/>
              </w:rPr>
            </w:pPr>
            <w:r>
              <w:rPr>
                <w:rFonts w:ascii="Calibri" w:hAnsi="Calibri"/>
                <w:sz w:val="20"/>
                <w:lang w:val="cs-CZ"/>
              </w:rPr>
              <w:t>1. Přestavět budovu dle projektové dokumentace</w:t>
            </w:r>
          </w:p>
          <w:p w14:paraId="4CD5213D" w14:textId="77777777" w:rsidR="00164430" w:rsidRDefault="00955863" w:rsidP="009350E4">
            <w:pPr>
              <w:pStyle w:val="A-pramen"/>
              <w:spacing w:after="0" w:line="240" w:lineRule="auto"/>
              <w:ind w:left="-57" w:right="-57"/>
              <w:jc w:val="left"/>
              <w:rPr>
                <w:rFonts w:ascii="Calibri" w:hAnsi="Calibri"/>
                <w:sz w:val="20"/>
                <w:lang w:val="cs-CZ"/>
              </w:rPr>
            </w:pPr>
            <w:r>
              <w:rPr>
                <w:rFonts w:ascii="Calibri" w:hAnsi="Calibri"/>
                <w:sz w:val="20"/>
                <w:lang w:val="cs-CZ"/>
              </w:rPr>
              <w:t xml:space="preserve">2. Získat dotaci ve výši </w:t>
            </w:r>
          </w:p>
          <w:p w14:paraId="358E548C" w14:textId="382A60EC" w:rsidR="00955863" w:rsidRDefault="00955863" w:rsidP="009350E4">
            <w:pPr>
              <w:pStyle w:val="A-pramen"/>
              <w:spacing w:after="0" w:line="240" w:lineRule="auto"/>
              <w:ind w:left="-57" w:right="-57"/>
              <w:jc w:val="left"/>
              <w:rPr>
                <w:rFonts w:ascii="Calibri" w:hAnsi="Calibri"/>
                <w:sz w:val="20"/>
                <w:lang w:val="cs-CZ"/>
              </w:rPr>
            </w:pPr>
            <w:r>
              <w:rPr>
                <w:rFonts w:ascii="Calibri" w:hAnsi="Calibri"/>
                <w:sz w:val="20"/>
                <w:lang w:val="cs-CZ"/>
              </w:rPr>
              <w:t>3 mil. Kč</w:t>
            </w:r>
          </w:p>
          <w:p w14:paraId="60694DCE" w14:textId="6342BE7A" w:rsidR="00164430" w:rsidRDefault="00164430" w:rsidP="009350E4">
            <w:pPr>
              <w:pStyle w:val="A-pramen"/>
              <w:spacing w:after="0" w:line="240" w:lineRule="auto"/>
              <w:ind w:left="-57" w:right="-57"/>
              <w:jc w:val="left"/>
              <w:rPr>
                <w:rFonts w:ascii="Calibri" w:hAnsi="Calibri"/>
                <w:sz w:val="20"/>
                <w:lang w:val="cs-CZ"/>
              </w:rPr>
            </w:pPr>
            <w:r>
              <w:rPr>
                <w:rFonts w:ascii="Calibri" w:hAnsi="Calibri"/>
                <w:sz w:val="20"/>
                <w:lang w:val="cs-CZ"/>
              </w:rPr>
              <w:t>3. Nepřekročit celkové výdaje</w:t>
            </w:r>
            <w:r w:rsidR="002D76F7">
              <w:rPr>
                <w:rFonts w:ascii="Calibri" w:hAnsi="Calibri"/>
                <w:sz w:val="20"/>
                <w:lang w:val="cs-CZ"/>
              </w:rPr>
              <w:t xml:space="preserve"> na</w:t>
            </w:r>
            <w:r>
              <w:rPr>
                <w:rFonts w:ascii="Calibri" w:hAnsi="Calibri"/>
                <w:sz w:val="20"/>
                <w:lang w:val="cs-CZ"/>
              </w:rPr>
              <w:t xml:space="preserve"> </w:t>
            </w:r>
            <w:r w:rsidR="00955863">
              <w:rPr>
                <w:rFonts w:ascii="Calibri" w:hAnsi="Calibri"/>
                <w:sz w:val="20"/>
                <w:lang w:val="cs-CZ"/>
              </w:rPr>
              <w:t>rozpočet ve výši</w:t>
            </w:r>
            <w:r>
              <w:rPr>
                <w:rFonts w:ascii="Calibri" w:hAnsi="Calibri"/>
                <w:sz w:val="20"/>
                <w:lang w:val="cs-CZ"/>
              </w:rPr>
              <w:t xml:space="preserve"> </w:t>
            </w:r>
          </w:p>
          <w:p w14:paraId="2B083FA4" w14:textId="58481563" w:rsidR="00955863" w:rsidRDefault="00164430" w:rsidP="009350E4">
            <w:pPr>
              <w:pStyle w:val="A-pramen"/>
              <w:spacing w:after="0" w:line="240" w:lineRule="auto"/>
              <w:ind w:left="-57" w:right="-57"/>
              <w:jc w:val="left"/>
              <w:rPr>
                <w:rFonts w:ascii="Calibri" w:hAnsi="Calibri"/>
                <w:sz w:val="20"/>
                <w:lang w:val="cs-CZ"/>
              </w:rPr>
            </w:pPr>
            <w:r>
              <w:rPr>
                <w:rFonts w:ascii="Calibri" w:hAnsi="Calibri"/>
                <w:sz w:val="20"/>
                <w:lang w:val="cs-CZ"/>
              </w:rPr>
              <w:t>5 mil. Kč</w:t>
            </w:r>
          </w:p>
          <w:p w14:paraId="592B6568" w14:textId="1CBE16F2" w:rsidR="007364F1" w:rsidRPr="007364F1" w:rsidRDefault="00955863" w:rsidP="00955863">
            <w:pPr>
              <w:pStyle w:val="A-pramen"/>
              <w:spacing w:after="0" w:line="240" w:lineRule="auto"/>
              <w:ind w:left="-57" w:right="-57"/>
              <w:jc w:val="left"/>
              <w:rPr>
                <w:rFonts w:ascii="Calibri" w:hAnsi="Calibri"/>
                <w:sz w:val="20"/>
                <w:lang w:val="cs-CZ"/>
              </w:rPr>
            </w:pPr>
            <w:r>
              <w:rPr>
                <w:rFonts w:ascii="Calibri" w:hAnsi="Calibri"/>
                <w:sz w:val="20"/>
                <w:lang w:val="cs-CZ"/>
              </w:rPr>
              <w:t xml:space="preserve">4. Uvést </w:t>
            </w:r>
            <w:r w:rsidR="00164430">
              <w:rPr>
                <w:rFonts w:ascii="Calibri" w:hAnsi="Calibri"/>
                <w:sz w:val="20"/>
                <w:lang w:val="cs-CZ"/>
              </w:rPr>
              <w:t>do provozu (otevřít) budovu do 30.9.2024</w:t>
            </w:r>
          </w:p>
        </w:tc>
        <w:tc>
          <w:tcPr>
            <w:tcW w:w="3544" w:type="dxa"/>
          </w:tcPr>
          <w:p w14:paraId="3FE0A142" w14:textId="61AD0A0E" w:rsidR="007364F1" w:rsidRDefault="006B5327" w:rsidP="00FB19AC">
            <w:pPr>
              <w:pStyle w:val="A-pramen"/>
              <w:spacing w:after="0" w:line="240" w:lineRule="auto"/>
              <w:ind w:left="-57" w:right="-57"/>
              <w:rPr>
                <w:rFonts w:ascii="Calibri" w:hAnsi="Calibri"/>
                <w:sz w:val="20"/>
                <w:lang w:val="cs-CZ"/>
              </w:rPr>
            </w:pPr>
            <w:r w:rsidRPr="006B5327">
              <w:rPr>
                <w:rFonts w:ascii="Calibri" w:hAnsi="Calibri"/>
                <w:sz w:val="20"/>
                <w:lang w:val="cs-CZ"/>
              </w:rPr>
              <w:t xml:space="preserve">Schválení zastupitelstvem  </w:t>
            </w:r>
            <w:r w:rsidR="00FB19AC">
              <w:rPr>
                <w:rFonts w:ascii="Calibri" w:hAnsi="Calibri"/>
                <w:sz w:val="20"/>
                <w:lang w:val="cs-CZ"/>
              </w:rPr>
              <w:t xml:space="preserve">      </w:t>
            </w:r>
            <w:r w:rsidR="00164430">
              <w:rPr>
                <w:rFonts w:ascii="Calibri" w:hAnsi="Calibri"/>
                <w:sz w:val="20"/>
                <w:lang w:val="cs-CZ"/>
              </w:rPr>
              <w:t>T:30.2</w:t>
            </w:r>
            <w:r w:rsidRPr="006B5327">
              <w:rPr>
                <w:rFonts w:ascii="Calibri" w:hAnsi="Calibri"/>
                <w:sz w:val="20"/>
                <w:lang w:val="cs-CZ"/>
              </w:rPr>
              <w:t>.2022</w:t>
            </w:r>
          </w:p>
          <w:p w14:paraId="15DE83DA" w14:textId="7D4F483D" w:rsidR="00164430" w:rsidRDefault="00164430" w:rsidP="00FB19AC">
            <w:pPr>
              <w:pStyle w:val="A-pramen"/>
              <w:spacing w:after="0" w:line="240" w:lineRule="auto"/>
              <w:ind w:left="-57" w:right="-57"/>
              <w:rPr>
                <w:rFonts w:ascii="Calibri" w:hAnsi="Calibri"/>
                <w:sz w:val="20"/>
                <w:lang w:val="cs-CZ"/>
              </w:rPr>
            </w:pPr>
            <w:r>
              <w:rPr>
                <w:rFonts w:ascii="Calibri" w:hAnsi="Calibri"/>
                <w:sz w:val="20"/>
                <w:lang w:val="cs-CZ"/>
              </w:rPr>
              <w:t>Výběr projektanta                      T:30.3.2022</w:t>
            </w:r>
          </w:p>
          <w:p w14:paraId="6CBF24D6" w14:textId="310E8A5B" w:rsidR="00FB19AC" w:rsidRDefault="00FB19AC" w:rsidP="00FB19AC">
            <w:pPr>
              <w:pStyle w:val="A-pramen"/>
              <w:spacing w:after="0" w:line="240" w:lineRule="auto"/>
              <w:ind w:left="-57" w:right="-57"/>
              <w:rPr>
                <w:rFonts w:ascii="Calibri" w:hAnsi="Calibri"/>
                <w:sz w:val="20"/>
                <w:lang w:val="cs-CZ"/>
              </w:rPr>
            </w:pPr>
            <w:r>
              <w:rPr>
                <w:rFonts w:ascii="Calibri" w:hAnsi="Calibri"/>
                <w:sz w:val="20"/>
                <w:lang w:val="cs-CZ"/>
              </w:rPr>
              <w:t>Vypracování projektové dokumentace</w:t>
            </w:r>
          </w:p>
          <w:p w14:paraId="6F3A173B" w14:textId="1236BB3B" w:rsidR="00FB19AC" w:rsidRDefault="00FB19AC" w:rsidP="00FB19AC">
            <w:pPr>
              <w:pStyle w:val="A-pramen"/>
              <w:spacing w:after="0" w:line="240" w:lineRule="auto"/>
              <w:ind w:left="-57" w:right="-57"/>
              <w:rPr>
                <w:rFonts w:ascii="Calibri" w:hAnsi="Calibri"/>
                <w:sz w:val="20"/>
                <w:lang w:val="cs-CZ"/>
              </w:rPr>
            </w:pPr>
            <w:r>
              <w:rPr>
                <w:rFonts w:ascii="Calibri" w:hAnsi="Calibri"/>
                <w:sz w:val="20"/>
                <w:lang w:val="cs-CZ"/>
              </w:rPr>
              <w:t xml:space="preserve">                            </w:t>
            </w:r>
            <w:r w:rsidR="00164430">
              <w:rPr>
                <w:rFonts w:ascii="Calibri" w:hAnsi="Calibri"/>
                <w:sz w:val="20"/>
                <w:lang w:val="cs-CZ"/>
              </w:rPr>
              <w:t xml:space="preserve">                          T:30.8</w:t>
            </w:r>
            <w:r>
              <w:rPr>
                <w:rFonts w:ascii="Calibri" w:hAnsi="Calibri"/>
                <w:sz w:val="20"/>
                <w:lang w:val="cs-CZ"/>
              </w:rPr>
              <w:t>.2022</w:t>
            </w:r>
          </w:p>
          <w:p w14:paraId="02CC79A1" w14:textId="0A127382" w:rsidR="00FB19AC" w:rsidRDefault="00FB19AC" w:rsidP="00FB19AC">
            <w:pPr>
              <w:pStyle w:val="A-pramen"/>
              <w:spacing w:after="0" w:line="240" w:lineRule="auto"/>
              <w:ind w:left="-57" w:right="-57"/>
              <w:rPr>
                <w:rFonts w:ascii="Calibri" w:hAnsi="Calibri"/>
                <w:sz w:val="20"/>
                <w:lang w:val="cs-CZ"/>
              </w:rPr>
            </w:pPr>
            <w:r>
              <w:rPr>
                <w:rFonts w:ascii="Calibri" w:hAnsi="Calibri"/>
                <w:sz w:val="20"/>
                <w:lang w:val="cs-CZ"/>
              </w:rPr>
              <w:t xml:space="preserve">Vyřízení dotací  </w:t>
            </w:r>
            <w:r w:rsidR="00164430">
              <w:rPr>
                <w:rFonts w:ascii="Calibri" w:hAnsi="Calibri"/>
                <w:sz w:val="20"/>
                <w:lang w:val="cs-CZ"/>
              </w:rPr>
              <w:t xml:space="preserve">                          T:30.11</w:t>
            </w:r>
            <w:r>
              <w:rPr>
                <w:rFonts w:ascii="Calibri" w:hAnsi="Calibri"/>
                <w:sz w:val="20"/>
                <w:lang w:val="cs-CZ"/>
              </w:rPr>
              <w:t>.2022</w:t>
            </w:r>
          </w:p>
          <w:p w14:paraId="2F157F10" w14:textId="5096EBDB" w:rsidR="00164430" w:rsidRDefault="00164430" w:rsidP="00164430">
            <w:pPr>
              <w:pStyle w:val="A-pramen"/>
              <w:spacing w:after="0" w:line="240" w:lineRule="auto"/>
              <w:ind w:left="-57" w:right="-57"/>
              <w:rPr>
                <w:rFonts w:ascii="Calibri" w:hAnsi="Calibri"/>
                <w:sz w:val="20"/>
                <w:lang w:val="cs-CZ"/>
              </w:rPr>
            </w:pPr>
            <w:r>
              <w:rPr>
                <w:rFonts w:ascii="Calibri" w:hAnsi="Calibri"/>
                <w:sz w:val="20"/>
                <w:lang w:val="cs-CZ"/>
              </w:rPr>
              <w:t>Stavební povolení                      T:31.1.2023</w:t>
            </w:r>
          </w:p>
          <w:p w14:paraId="6C4628FB" w14:textId="7C521D1B" w:rsidR="00164430" w:rsidRDefault="00164430" w:rsidP="00164430">
            <w:pPr>
              <w:pStyle w:val="A-pramen"/>
              <w:spacing w:after="0" w:line="240" w:lineRule="auto"/>
              <w:ind w:left="-57" w:right="-57"/>
              <w:rPr>
                <w:rFonts w:ascii="Calibri" w:hAnsi="Calibri"/>
                <w:sz w:val="20"/>
                <w:lang w:val="cs-CZ"/>
              </w:rPr>
            </w:pPr>
            <w:r>
              <w:rPr>
                <w:rFonts w:ascii="Calibri" w:hAnsi="Calibri"/>
                <w:sz w:val="20"/>
                <w:lang w:val="cs-CZ"/>
              </w:rPr>
              <w:t>Výběr stavebního dozoru         T:31.1.2023</w:t>
            </w:r>
          </w:p>
          <w:p w14:paraId="1658652D" w14:textId="31357136" w:rsidR="00FB19AC" w:rsidRDefault="00FB19AC" w:rsidP="00FB19AC">
            <w:pPr>
              <w:pStyle w:val="A-pramen"/>
              <w:spacing w:after="0" w:line="240" w:lineRule="auto"/>
              <w:ind w:left="-57" w:right="-57"/>
              <w:rPr>
                <w:rFonts w:ascii="Calibri" w:hAnsi="Calibri"/>
                <w:sz w:val="20"/>
                <w:lang w:val="cs-CZ"/>
              </w:rPr>
            </w:pPr>
            <w:r>
              <w:rPr>
                <w:rFonts w:ascii="Calibri" w:hAnsi="Calibri"/>
                <w:sz w:val="20"/>
                <w:lang w:val="cs-CZ"/>
              </w:rPr>
              <w:t xml:space="preserve">Výběr dodavatele </w:t>
            </w:r>
            <w:r w:rsidR="00164430">
              <w:rPr>
                <w:rFonts w:ascii="Calibri" w:hAnsi="Calibri"/>
                <w:sz w:val="20"/>
                <w:lang w:val="cs-CZ"/>
              </w:rPr>
              <w:t xml:space="preserve">stavby </w:t>
            </w:r>
            <w:r>
              <w:rPr>
                <w:rFonts w:ascii="Calibri" w:hAnsi="Calibri"/>
                <w:sz w:val="20"/>
                <w:lang w:val="cs-CZ"/>
              </w:rPr>
              <w:t xml:space="preserve">– veřejná soutěž        </w:t>
            </w:r>
          </w:p>
          <w:p w14:paraId="7A61F72F" w14:textId="0182443C" w:rsidR="00272718" w:rsidRDefault="00FB19AC" w:rsidP="00FB19AC">
            <w:pPr>
              <w:pStyle w:val="A-pramen"/>
              <w:spacing w:after="0" w:line="240" w:lineRule="auto"/>
              <w:ind w:left="-57" w:right="-57"/>
              <w:rPr>
                <w:rFonts w:ascii="Calibri" w:hAnsi="Calibri"/>
                <w:sz w:val="20"/>
                <w:lang w:val="cs-CZ"/>
              </w:rPr>
            </w:pPr>
            <w:r>
              <w:rPr>
                <w:rFonts w:ascii="Calibri" w:hAnsi="Calibri"/>
                <w:sz w:val="20"/>
                <w:lang w:val="cs-CZ"/>
              </w:rPr>
              <w:t xml:space="preserve">                                                      T:31.</w:t>
            </w:r>
            <w:r w:rsidR="00164430">
              <w:rPr>
                <w:rFonts w:ascii="Calibri" w:hAnsi="Calibri"/>
                <w:sz w:val="20"/>
                <w:lang w:val="cs-CZ"/>
              </w:rPr>
              <w:t>2</w:t>
            </w:r>
            <w:r>
              <w:rPr>
                <w:rFonts w:ascii="Calibri" w:hAnsi="Calibri"/>
                <w:sz w:val="20"/>
                <w:lang w:val="cs-CZ"/>
              </w:rPr>
              <w:t>.2023</w:t>
            </w:r>
          </w:p>
          <w:p w14:paraId="7A1B1D86" w14:textId="77777777" w:rsidR="00272718" w:rsidRDefault="00272718" w:rsidP="00FB19AC">
            <w:pPr>
              <w:pStyle w:val="A-pramen"/>
              <w:spacing w:after="0" w:line="240" w:lineRule="auto"/>
              <w:ind w:left="-57" w:right="-57"/>
              <w:rPr>
                <w:rFonts w:ascii="Calibri" w:hAnsi="Calibri"/>
                <w:sz w:val="20"/>
                <w:lang w:val="cs-CZ"/>
              </w:rPr>
            </w:pPr>
            <w:r>
              <w:rPr>
                <w:rFonts w:ascii="Calibri" w:hAnsi="Calibri"/>
                <w:sz w:val="20"/>
                <w:lang w:val="cs-CZ"/>
              </w:rPr>
              <w:t>Zahájení stavby                          T:31.3.2023</w:t>
            </w:r>
          </w:p>
          <w:p w14:paraId="69DCBD56" w14:textId="33A804F4" w:rsidR="00272718" w:rsidRDefault="00272718" w:rsidP="00FB19AC">
            <w:pPr>
              <w:pStyle w:val="A-pramen"/>
              <w:spacing w:after="0" w:line="240" w:lineRule="auto"/>
              <w:ind w:left="-57" w:right="-57"/>
              <w:rPr>
                <w:rFonts w:ascii="Calibri" w:hAnsi="Calibri"/>
                <w:sz w:val="20"/>
                <w:lang w:val="cs-CZ"/>
              </w:rPr>
            </w:pPr>
            <w:r>
              <w:rPr>
                <w:rFonts w:ascii="Calibri" w:hAnsi="Calibri"/>
                <w:sz w:val="20"/>
                <w:lang w:val="cs-CZ"/>
              </w:rPr>
              <w:t xml:space="preserve">Dokončení stavby                     </w:t>
            </w:r>
            <w:r w:rsidR="00C750FB">
              <w:rPr>
                <w:rFonts w:ascii="Calibri" w:hAnsi="Calibri"/>
                <w:sz w:val="20"/>
                <w:lang w:val="cs-CZ"/>
              </w:rPr>
              <w:t xml:space="preserve">  </w:t>
            </w:r>
            <w:r>
              <w:rPr>
                <w:rFonts w:ascii="Calibri" w:hAnsi="Calibri"/>
                <w:sz w:val="20"/>
                <w:lang w:val="cs-CZ"/>
              </w:rPr>
              <w:t>T:31.</w:t>
            </w:r>
            <w:r w:rsidR="00C750FB">
              <w:rPr>
                <w:rFonts w:ascii="Calibri" w:hAnsi="Calibri"/>
                <w:sz w:val="20"/>
                <w:lang w:val="cs-CZ"/>
              </w:rPr>
              <w:t>7</w:t>
            </w:r>
            <w:r>
              <w:rPr>
                <w:rFonts w:ascii="Calibri" w:hAnsi="Calibri"/>
                <w:sz w:val="20"/>
                <w:lang w:val="cs-CZ"/>
              </w:rPr>
              <w:t>.2024</w:t>
            </w:r>
          </w:p>
          <w:p w14:paraId="4FD2E021" w14:textId="652CC4F8" w:rsidR="00C750FB" w:rsidRDefault="00C750FB" w:rsidP="00FB19AC">
            <w:pPr>
              <w:pStyle w:val="A-pramen"/>
              <w:spacing w:after="0" w:line="240" w:lineRule="auto"/>
              <w:ind w:left="-57" w:right="-57"/>
              <w:rPr>
                <w:rFonts w:ascii="Calibri" w:hAnsi="Calibri"/>
                <w:sz w:val="20"/>
                <w:lang w:val="cs-CZ"/>
              </w:rPr>
            </w:pPr>
            <w:r>
              <w:rPr>
                <w:rFonts w:ascii="Calibri" w:hAnsi="Calibri"/>
                <w:sz w:val="20"/>
                <w:lang w:val="cs-CZ"/>
              </w:rPr>
              <w:t>Kolaudace                                    T: 31.8.2024</w:t>
            </w:r>
          </w:p>
          <w:p w14:paraId="16C247D0" w14:textId="2CDA4184" w:rsidR="00FB19AC" w:rsidRPr="006B5327" w:rsidRDefault="00272718" w:rsidP="00164430">
            <w:pPr>
              <w:pStyle w:val="A-pramen"/>
              <w:spacing w:after="0" w:line="240" w:lineRule="auto"/>
              <w:ind w:left="-57" w:right="-57"/>
              <w:rPr>
                <w:rFonts w:ascii="Calibri" w:hAnsi="Calibri"/>
                <w:sz w:val="20"/>
                <w:lang w:val="cs-CZ"/>
              </w:rPr>
            </w:pPr>
            <w:r>
              <w:rPr>
                <w:rFonts w:ascii="Calibri" w:hAnsi="Calibri"/>
                <w:sz w:val="20"/>
                <w:lang w:val="cs-CZ"/>
              </w:rPr>
              <w:t xml:space="preserve">Otevření budovy                      </w:t>
            </w:r>
            <w:r w:rsidR="00C750FB">
              <w:rPr>
                <w:rFonts w:ascii="Calibri" w:hAnsi="Calibri"/>
                <w:sz w:val="20"/>
                <w:lang w:val="cs-CZ"/>
              </w:rPr>
              <w:t xml:space="preserve">   T: 30.9.</w:t>
            </w:r>
            <w:r>
              <w:rPr>
                <w:rFonts w:ascii="Calibri" w:hAnsi="Calibri"/>
                <w:sz w:val="20"/>
                <w:lang w:val="cs-CZ"/>
              </w:rPr>
              <w:t>20</w:t>
            </w:r>
            <w:r w:rsidR="00164430">
              <w:rPr>
                <w:rFonts w:ascii="Calibri" w:hAnsi="Calibri"/>
                <w:sz w:val="20"/>
                <w:lang w:val="cs-CZ"/>
              </w:rPr>
              <w:t>2</w:t>
            </w:r>
            <w:r>
              <w:rPr>
                <w:rFonts w:ascii="Calibri" w:hAnsi="Calibri"/>
                <w:sz w:val="20"/>
                <w:lang w:val="cs-CZ"/>
              </w:rPr>
              <w:t>2</w:t>
            </w:r>
            <w:r w:rsidR="00FB19AC">
              <w:rPr>
                <w:rFonts w:ascii="Calibri" w:hAnsi="Calibri"/>
                <w:sz w:val="20"/>
                <w:lang w:val="cs-CZ"/>
              </w:rPr>
              <w:t xml:space="preserve">                   </w:t>
            </w:r>
          </w:p>
        </w:tc>
        <w:tc>
          <w:tcPr>
            <w:tcW w:w="3111" w:type="dxa"/>
          </w:tcPr>
          <w:p w14:paraId="40BF35A3" w14:textId="147BC109" w:rsidR="00C750FB" w:rsidRPr="00C750FB" w:rsidRDefault="00C750FB" w:rsidP="00C750FB">
            <w:pPr>
              <w:pStyle w:val="A-pramen"/>
              <w:spacing w:after="0" w:line="240" w:lineRule="auto"/>
              <w:ind w:left="-57" w:right="-57"/>
              <w:jc w:val="left"/>
              <w:rPr>
                <w:rFonts w:ascii="Calibri" w:hAnsi="Calibri"/>
                <w:b/>
                <w:sz w:val="20"/>
                <w:lang w:val="cs-CZ"/>
              </w:rPr>
            </w:pPr>
            <w:r w:rsidRPr="00C750FB">
              <w:rPr>
                <w:rFonts w:ascii="Calibri" w:hAnsi="Calibri"/>
                <w:b/>
                <w:sz w:val="20"/>
                <w:lang w:val="cs-CZ"/>
              </w:rPr>
              <w:t>Výdaje:</w:t>
            </w:r>
          </w:p>
          <w:p w14:paraId="283F7F2D" w14:textId="3D56A9DC" w:rsidR="0023169A" w:rsidRDefault="0023169A" w:rsidP="00C750FB">
            <w:pPr>
              <w:pStyle w:val="A-pramen"/>
              <w:spacing w:after="0" w:line="240" w:lineRule="auto"/>
              <w:ind w:left="-57" w:right="-57"/>
              <w:jc w:val="left"/>
              <w:rPr>
                <w:rFonts w:ascii="Calibri" w:hAnsi="Calibri"/>
                <w:sz w:val="20"/>
                <w:lang w:val="cs-CZ"/>
              </w:rPr>
            </w:pPr>
            <w:r>
              <w:rPr>
                <w:rFonts w:ascii="Calibri" w:hAnsi="Calibri"/>
                <w:sz w:val="20"/>
                <w:lang w:val="cs-CZ"/>
              </w:rPr>
              <w:t>Projektová dokumentace</w:t>
            </w:r>
          </w:p>
          <w:p w14:paraId="21D95FC0" w14:textId="735AE81A" w:rsidR="0023169A" w:rsidRDefault="0023169A" w:rsidP="00C750FB">
            <w:pPr>
              <w:pStyle w:val="A-pramen"/>
              <w:spacing w:after="0" w:line="240" w:lineRule="auto"/>
              <w:ind w:left="-57" w:right="-57"/>
              <w:jc w:val="left"/>
              <w:rPr>
                <w:rFonts w:ascii="Calibri" w:hAnsi="Calibri"/>
                <w:sz w:val="20"/>
                <w:lang w:val="cs-CZ"/>
              </w:rPr>
            </w:pPr>
            <w:r>
              <w:rPr>
                <w:rFonts w:ascii="Calibri" w:hAnsi="Calibri"/>
                <w:sz w:val="20"/>
                <w:lang w:val="cs-CZ"/>
              </w:rPr>
              <w:t xml:space="preserve">              </w:t>
            </w:r>
            <w:r w:rsidR="00164430">
              <w:rPr>
                <w:rFonts w:ascii="Calibri" w:hAnsi="Calibri"/>
                <w:sz w:val="20"/>
                <w:lang w:val="cs-CZ"/>
              </w:rPr>
              <w:t xml:space="preserve">                               -</w:t>
            </w:r>
            <w:r>
              <w:rPr>
                <w:rFonts w:ascii="Calibri" w:hAnsi="Calibri"/>
                <w:sz w:val="20"/>
                <w:lang w:val="cs-CZ"/>
              </w:rPr>
              <w:t>250 000 Kč</w:t>
            </w:r>
          </w:p>
          <w:p w14:paraId="3056ED6A" w14:textId="720FEB49" w:rsidR="00C750FB" w:rsidRDefault="00C750FB" w:rsidP="00C750FB">
            <w:pPr>
              <w:pStyle w:val="A-pramen"/>
              <w:spacing w:after="0" w:line="240" w:lineRule="auto"/>
              <w:ind w:left="-57" w:right="-57"/>
              <w:jc w:val="left"/>
              <w:rPr>
                <w:rFonts w:ascii="Calibri" w:hAnsi="Calibri"/>
                <w:sz w:val="20"/>
                <w:lang w:val="cs-CZ"/>
              </w:rPr>
            </w:pPr>
            <w:r>
              <w:rPr>
                <w:rFonts w:ascii="Calibri" w:hAnsi="Calibri"/>
                <w:sz w:val="20"/>
                <w:lang w:val="cs-CZ"/>
              </w:rPr>
              <w:t>Sta</w:t>
            </w:r>
            <w:r w:rsidR="00164430">
              <w:rPr>
                <w:rFonts w:ascii="Calibri" w:hAnsi="Calibri"/>
                <w:sz w:val="20"/>
                <w:lang w:val="cs-CZ"/>
              </w:rPr>
              <w:t>vební dozor                    -</w:t>
            </w:r>
            <w:r>
              <w:rPr>
                <w:rFonts w:ascii="Calibri" w:hAnsi="Calibri"/>
                <w:sz w:val="20"/>
                <w:lang w:val="cs-CZ"/>
              </w:rPr>
              <w:t>50 000 Kč</w:t>
            </w:r>
          </w:p>
          <w:p w14:paraId="4866AFB4" w14:textId="4DA43A21" w:rsidR="0023169A" w:rsidRDefault="0023169A" w:rsidP="00C750FB">
            <w:pPr>
              <w:pStyle w:val="A-pramen"/>
              <w:spacing w:after="0" w:line="240" w:lineRule="auto"/>
              <w:ind w:left="-57" w:right="-57"/>
              <w:jc w:val="left"/>
              <w:rPr>
                <w:rFonts w:ascii="Calibri" w:hAnsi="Calibri"/>
                <w:sz w:val="20"/>
                <w:lang w:val="cs-CZ"/>
              </w:rPr>
            </w:pPr>
            <w:r>
              <w:rPr>
                <w:rFonts w:ascii="Calibri" w:hAnsi="Calibri"/>
                <w:sz w:val="20"/>
                <w:lang w:val="cs-CZ"/>
              </w:rPr>
              <w:t>Stavební práce včetně dozoru</w:t>
            </w:r>
          </w:p>
          <w:p w14:paraId="21571524" w14:textId="1F87A8C2" w:rsidR="004B0D06" w:rsidRDefault="0023169A" w:rsidP="00C750FB">
            <w:pPr>
              <w:pStyle w:val="A-pramen"/>
              <w:spacing w:after="0" w:line="240" w:lineRule="auto"/>
              <w:ind w:left="-57" w:right="-57"/>
              <w:jc w:val="left"/>
              <w:rPr>
                <w:rFonts w:ascii="Calibri" w:hAnsi="Calibri"/>
                <w:sz w:val="20"/>
                <w:lang w:val="cs-CZ"/>
              </w:rPr>
            </w:pPr>
            <w:r>
              <w:rPr>
                <w:rFonts w:ascii="Calibri" w:hAnsi="Calibri"/>
                <w:sz w:val="20"/>
                <w:lang w:val="cs-CZ"/>
              </w:rPr>
              <w:t xml:space="preserve">                        </w:t>
            </w:r>
            <w:r w:rsidR="004B0D06">
              <w:rPr>
                <w:rFonts w:ascii="Calibri" w:hAnsi="Calibri"/>
                <w:sz w:val="20"/>
                <w:lang w:val="cs-CZ"/>
              </w:rPr>
              <w:t xml:space="preserve">             </w:t>
            </w:r>
            <w:r w:rsidR="00164430">
              <w:rPr>
                <w:rFonts w:ascii="Calibri" w:hAnsi="Calibri"/>
                <w:sz w:val="20"/>
                <w:lang w:val="cs-CZ"/>
              </w:rPr>
              <w:t xml:space="preserve">    -</w:t>
            </w:r>
            <w:r>
              <w:rPr>
                <w:rFonts w:ascii="Calibri" w:hAnsi="Calibri"/>
                <w:sz w:val="20"/>
                <w:lang w:val="cs-CZ"/>
              </w:rPr>
              <w:t>4</w:t>
            </w:r>
            <w:r w:rsidR="00C750FB">
              <w:rPr>
                <w:rFonts w:ascii="Calibri" w:hAnsi="Calibri"/>
                <w:sz w:val="20"/>
                <w:lang w:val="cs-CZ"/>
              </w:rPr>
              <w:t> 70</w:t>
            </w:r>
            <w:r w:rsidR="004B0D06">
              <w:rPr>
                <w:rFonts w:ascii="Calibri" w:hAnsi="Calibri"/>
                <w:sz w:val="20"/>
                <w:lang w:val="cs-CZ"/>
              </w:rPr>
              <w:t>0 000 Kč</w:t>
            </w:r>
          </w:p>
          <w:p w14:paraId="62D78048" w14:textId="59FBD6B5" w:rsidR="00164430" w:rsidRPr="00164430" w:rsidRDefault="00164430" w:rsidP="00C750FB">
            <w:pPr>
              <w:pStyle w:val="A-pramen"/>
              <w:spacing w:after="0" w:line="240" w:lineRule="auto"/>
              <w:ind w:left="-57" w:right="-57"/>
              <w:jc w:val="left"/>
              <w:rPr>
                <w:rFonts w:ascii="Calibri" w:hAnsi="Calibri"/>
                <w:sz w:val="20"/>
                <w:lang w:val="cs-CZ"/>
              </w:rPr>
            </w:pPr>
            <w:r>
              <w:rPr>
                <w:rFonts w:ascii="Calibri" w:hAnsi="Calibri"/>
                <w:b/>
                <w:sz w:val="20"/>
                <w:lang w:val="cs-CZ"/>
              </w:rPr>
              <w:t xml:space="preserve">Výdaje celkem              </w:t>
            </w:r>
            <w:r>
              <w:rPr>
                <w:rFonts w:ascii="Calibri" w:hAnsi="Calibri"/>
                <w:sz w:val="20"/>
                <w:lang w:val="cs-CZ"/>
              </w:rPr>
              <w:t xml:space="preserve"> -</w:t>
            </w:r>
            <w:r w:rsidRPr="00164430">
              <w:rPr>
                <w:rFonts w:ascii="Calibri" w:hAnsi="Calibri"/>
                <w:sz w:val="20"/>
                <w:lang w:val="cs-CZ"/>
              </w:rPr>
              <w:t>5 000 000 Kč</w:t>
            </w:r>
          </w:p>
          <w:p w14:paraId="40F49EB9" w14:textId="77777777" w:rsidR="00164430" w:rsidRDefault="00164430" w:rsidP="00C750FB">
            <w:pPr>
              <w:pStyle w:val="A-pramen"/>
              <w:spacing w:after="0" w:line="240" w:lineRule="auto"/>
              <w:ind w:left="-57" w:right="-57"/>
              <w:jc w:val="left"/>
              <w:rPr>
                <w:rFonts w:ascii="Calibri" w:hAnsi="Calibri"/>
                <w:b/>
                <w:sz w:val="20"/>
                <w:lang w:val="cs-CZ"/>
              </w:rPr>
            </w:pPr>
          </w:p>
          <w:p w14:paraId="6CB37EAE" w14:textId="6B80A2DB" w:rsidR="00C750FB" w:rsidRPr="00C750FB" w:rsidRDefault="00C750FB" w:rsidP="00C750FB">
            <w:pPr>
              <w:pStyle w:val="A-pramen"/>
              <w:spacing w:after="0" w:line="240" w:lineRule="auto"/>
              <w:ind w:left="-57" w:right="-57"/>
              <w:jc w:val="left"/>
              <w:rPr>
                <w:rFonts w:ascii="Calibri" w:hAnsi="Calibri"/>
                <w:b/>
                <w:sz w:val="20"/>
                <w:lang w:val="cs-CZ"/>
              </w:rPr>
            </w:pPr>
            <w:r w:rsidRPr="00C750FB">
              <w:rPr>
                <w:rFonts w:ascii="Calibri" w:hAnsi="Calibri"/>
                <w:b/>
                <w:sz w:val="20"/>
                <w:lang w:val="cs-CZ"/>
              </w:rPr>
              <w:t>Tržby:</w:t>
            </w:r>
          </w:p>
          <w:p w14:paraId="608341B3" w14:textId="331BEB7C" w:rsidR="004B0D06" w:rsidRDefault="004B0D06" w:rsidP="00C750FB">
            <w:pPr>
              <w:pStyle w:val="A-pramen"/>
              <w:spacing w:after="0" w:line="240" w:lineRule="auto"/>
              <w:ind w:left="-57" w:right="-57"/>
              <w:jc w:val="left"/>
              <w:rPr>
                <w:rFonts w:ascii="Calibri" w:hAnsi="Calibri"/>
                <w:sz w:val="20"/>
                <w:lang w:val="cs-CZ"/>
              </w:rPr>
            </w:pPr>
            <w:r>
              <w:rPr>
                <w:rFonts w:ascii="Calibri" w:hAnsi="Calibri"/>
                <w:sz w:val="20"/>
                <w:lang w:val="cs-CZ"/>
              </w:rPr>
              <w:t>Dot</w:t>
            </w:r>
            <w:r w:rsidR="00C750FB">
              <w:rPr>
                <w:rFonts w:ascii="Calibri" w:hAnsi="Calibri"/>
                <w:sz w:val="20"/>
                <w:lang w:val="cs-CZ"/>
              </w:rPr>
              <w:t xml:space="preserve">ace                            +3 000 000 </w:t>
            </w:r>
            <w:r>
              <w:rPr>
                <w:rFonts w:ascii="Calibri" w:hAnsi="Calibri"/>
                <w:sz w:val="20"/>
                <w:lang w:val="cs-CZ"/>
              </w:rPr>
              <w:t>Kč</w:t>
            </w:r>
          </w:p>
          <w:p w14:paraId="32AE11E3" w14:textId="77777777" w:rsidR="00C750FB" w:rsidRDefault="00C750FB" w:rsidP="00C750FB">
            <w:pPr>
              <w:pStyle w:val="A-pramen"/>
              <w:spacing w:after="0" w:line="240" w:lineRule="auto"/>
              <w:ind w:left="-57" w:right="-57"/>
              <w:jc w:val="left"/>
              <w:rPr>
                <w:rFonts w:ascii="Calibri" w:hAnsi="Calibri"/>
                <w:sz w:val="20"/>
                <w:lang w:val="cs-CZ"/>
              </w:rPr>
            </w:pPr>
          </w:p>
          <w:p w14:paraId="28207CE3" w14:textId="0D43122F" w:rsidR="00C750FB" w:rsidRDefault="00C750FB" w:rsidP="00C750FB">
            <w:pPr>
              <w:pStyle w:val="A-pramen"/>
              <w:spacing w:after="0" w:line="240" w:lineRule="auto"/>
              <w:ind w:left="-57" w:right="-57"/>
              <w:jc w:val="left"/>
              <w:rPr>
                <w:rFonts w:ascii="Calibri" w:hAnsi="Calibri"/>
                <w:sz w:val="20"/>
                <w:lang w:val="cs-CZ"/>
              </w:rPr>
            </w:pPr>
            <w:r>
              <w:rPr>
                <w:rFonts w:ascii="Calibri" w:hAnsi="Calibri"/>
                <w:sz w:val="20"/>
                <w:lang w:val="cs-CZ"/>
              </w:rPr>
              <w:t>Rozdíl (spoluúčast</w:t>
            </w:r>
            <w:r w:rsidR="004B0D06">
              <w:rPr>
                <w:rFonts w:ascii="Calibri" w:hAnsi="Calibri"/>
                <w:sz w:val="20"/>
                <w:lang w:val="cs-CZ"/>
              </w:rPr>
              <w:t xml:space="preserve"> obce</w:t>
            </w:r>
            <w:r>
              <w:rPr>
                <w:rFonts w:ascii="Calibri" w:hAnsi="Calibri"/>
                <w:sz w:val="20"/>
                <w:lang w:val="cs-CZ"/>
              </w:rPr>
              <w:t>)</w:t>
            </w:r>
            <w:r w:rsidR="004B0D06">
              <w:rPr>
                <w:rFonts w:ascii="Calibri" w:hAnsi="Calibri"/>
                <w:sz w:val="20"/>
                <w:lang w:val="cs-CZ"/>
              </w:rPr>
              <w:t xml:space="preserve">   </w:t>
            </w:r>
            <w:r>
              <w:rPr>
                <w:rFonts w:ascii="Calibri" w:hAnsi="Calibri"/>
                <w:sz w:val="20"/>
                <w:lang w:val="cs-CZ"/>
              </w:rPr>
              <w:t xml:space="preserve">                            </w:t>
            </w:r>
          </w:p>
          <w:p w14:paraId="09BEEC38" w14:textId="10A2F21E" w:rsidR="0023169A" w:rsidRPr="006B5327" w:rsidRDefault="00C750FB" w:rsidP="00164430">
            <w:pPr>
              <w:pStyle w:val="A-pramen"/>
              <w:spacing w:after="0" w:line="240" w:lineRule="auto"/>
              <w:ind w:left="-57" w:right="-57"/>
              <w:jc w:val="left"/>
              <w:rPr>
                <w:rFonts w:ascii="Calibri" w:hAnsi="Calibri"/>
                <w:sz w:val="20"/>
                <w:lang w:val="cs-CZ"/>
              </w:rPr>
            </w:pPr>
            <w:r>
              <w:rPr>
                <w:rFonts w:ascii="Calibri" w:hAnsi="Calibri"/>
                <w:sz w:val="20"/>
                <w:lang w:val="cs-CZ"/>
              </w:rPr>
              <w:t xml:space="preserve">                                         -</w:t>
            </w:r>
            <w:r w:rsidR="004B0D06">
              <w:rPr>
                <w:rFonts w:ascii="Calibri" w:hAnsi="Calibri"/>
                <w:sz w:val="20"/>
                <w:lang w:val="cs-CZ"/>
              </w:rPr>
              <w:t>2 000 000 Kč</w:t>
            </w:r>
          </w:p>
        </w:tc>
      </w:tr>
    </w:tbl>
    <w:p w14:paraId="41CD77B0" w14:textId="62521905" w:rsidR="007364F1" w:rsidRPr="004B0D06" w:rsidRDefault="007364F1" w:rsidP="009C4264">
      <w:pPr>
        <w:pStyle w:val="A-pramen"/>
        <w:spacing w:after="120"/>
        <w:rPr>
          <w:rFonts w:ascii="Calibri" w:hAnsi="Calibri"/>
          <w:i/>
          <w:iCs/>
          <w:lang w:val="cs-CZ"/>
        </w:rPr>
      </w:pPr>
      <w:r w:rsidRPr="004B0D06">
        <w:rPr>
          <w:rFonts w:ascii="Calibri" w:hAnsi="Calibri"/>
          <w:i/>
          <w:iCs/>
          <w:lang w:val="cs-CZ"/>
        </w:rPr>
        <w:t xml:space="preserve">Zdroj: </w:t>
      </w:r>
      <w:r w:rsidR="005A2BFA" w:rsidRPr="004B0D06">
        <w:rPr>
          <w:rFonts w:ascii="Calibri" w:hAnsi="Calibri"/>
          <w:i/>
          <w:iCs/>
          <w:lang w:val="cs-CZ"/>
        </w:rPr>
        <w:t>autoři</w:t>
      </w:r>
    </w:p>
    <w:p w14:paraId="24C4538B" w14:textId="56CDDD95" w:rsidR="009C4264" w:rsidRPr="006B6EA5" w:rsidRDefault="009C4264" w:rsidP="009C4264">
      <w:pPr>
        <w:spacing w:after="120"/>
        <w:jc w:val="both"/>
        <w:rPr>
          <w:rFonts w:asciiTheme="minorHAnsi" w:hAnsiTheme="minorHAnsi" w:cstheme="minorHAnsi"/>
          <w:b/>
        </w:rPr>
      </w:pPr>
      <w:r>
        <w:rPr>
          <w:rFonts w:asciiTheme="minorHAnsi" w:hAnsiTheme="minorHAnsi" w:cstheme="minorHAnsi"/>
          <w:b/>
        </w:rPr>
        <w:t xml:space="preserve">Příklad 2 – </w:t>
      </w:r>
      <w:r w:rsidR="000738CE">
        <w:rPr>
          <w:rFonts w:asciiTheme="minorHAnsi" w:hAnsiTheme="minorHAnsi" w:cstheme="minorHAnsi"/>
          <w:b/>
        </w:rPr>
        <w:t xml:space="preserve">rozpočet projektu </w:t>
      </w:r>
      <w:r>
        <w:rPr>
          <w:rFonts w:asciiTheme="minorHAnsi" w:hAnsiTheme="minorHAnsi" w:cstheme="minorHAnsi"/>
          <w:b/>
        </w:rPr>
        <w:t>uspořádání konference</w:t>
      </w:r>
    </w:p>
    <w:p w14:paraId="1B425B42" w14:textId="0B0F1B65" w:rsidR="009C4264" w:rsidRDefault="002838B0" w:rsidP="002838B0">
      <w:pPr>
        <w:jc w:val="both"/>
        <w:rPr>
          <w:rFonts w:ascii="Calibri" w:hAnsi="Calibri" w:cs="Calibri"/>
        </w:rPr>
      </w:pPr>
      <w:r>
        <w:rPr>
          <w:rFonts w:ascii="Calibri" w:hAnsi="Calibri" w:cs="Calibri"/>
        </w:rPr>
        <w:t xml:space="preserve">Druhý příklad se týká </w:t>
      </w:r>
      <w:r w:rsidR="005E15F8">
        <w:rPr>
          <w:rFonts w:ascii="Calibri" w:hAnsi="Calibri" w:cs="Calibri"/>
        </w:rPr>
        <w:t xml:space="preserve">uspořádání konference. Tato aktivita je </w:t>
      </w:r>
      <w:r>
        <w:rPr>
          <w:rFonts w:ascii="Calibri" w:hAnsi="Calibri" w:cs="Calibri"/>
        </w:rPr>
        <w:t>součástí strategie</w:t>
      </w:r>
      <w:r w:rsidR="005E15F8">
        <w:rPr>
          <w:rFonts w:ascii="Calibri" w:hAnsi="Calibri" w:cs="Calibri"/>
        </w:rPr>
        <w:t xml:space="preserve"> (respektive jejího akčního plánu)</w:t>
      </w:r>
      <w:r w:rsidR="009C4264">
        <w:rPr>
          <w:rFonts w:ascii="Calibri" w:hAnsi="Calibri" w:cs="Calibri"/>
        </w:rPr>
        <w:t>. Trojimperativ projektu</w:t>
      </w:r>
      <w:r w:rsidR="008C5337">
        <w:rPr>
          <w:rFonts w:ascii="Calibri" w:hAnsi="Calibri" w:cs="Calibri"/>
        </w:rPr>
        <w:t>,</w:t>
      </w:r>
      <w:r w:rsidR="009C4264">
        <w:rPr>
          <w:rFonts w:ascii="Calibri" w:hAnsi="Calibri" w:cs="Calibri"/>
        </w:rPr>
        <w:t xml:space="preserve"> včetně jeho rozpočtu projektu</w:t>
      </w:r>
      <w:r w:rsidR="008C5337">
        <w:rPr>
          <w:rFonts w:ascii="Calibri" w:hAnsi="Calibri" w:cs="Calibri"/>
        </w:rPr>
        <w:t>,</w:t>
      </w:r>
      <w:r w:rsidR="009C4264">
        <w:rPr>
          <w:rFonts w:ascii="Calibri" w:hAnsi="Calibri" w:cs="Calibri"/>
        </w:rPr>
        <w:t xml:space="preserve"> je zpracován v následující tabulce. Rozpočet je zpracován velmi jednoduše, zahrnuje náklady na</w:t>
      </w:r>
      <w:r>
        <w:rPr>
          <w:rFonts w:ascii="Calibri" w:hAnsi="Calibri" w:cs="Calibri"/>
        </w:rPr>
        <w:t xml:space="preserve"> pronájem sálu; obědy účastníků; cestovné, ubytování a jídlo pozvaných přednášejících; mzdy týmu; propagační materiály; ostatní náklady a rezervu. Účastnický poplatek představuje výnosy projektu. Rozpočet je koncipován jako vyrovnaný (výnosy pokryjí náklady).</w:t>
      </w:r>
    </w:p>
    <w:p w14:paraId="23577315" w14:textId="57C41CB6" w:rsidR="00945A97" w:rsidRPr="004B0D06" w:rsidRDefault="00945A97" w:rsidP="00945A97">
      <w:pPr>
        <w:pStyle w:val="A1-text"/>
        <w:spacing w:after="0"/>
        <w:rPr>
          <w:rFonts w:ascii="Calibri" w:hAnsi="Calibri"/>
          <w:i/>
          <w:iCs/>
          <w:lang w:val="cs-CZ"/>
        </w:rPr>
      </w:pPr>
      <w:r w:rsidRPr="004B0D06">
        <w:rPr>
          <w:rFonts w:ascii="Calibri" w:hAnsi="Calibri"/>
          <w:i/>
          <w:iCs/>
          <w:lang w:val="cs-CZ"/>
        </w:rPr>
        <w:t xml:space="preserve">Tab. </w:t>
      </w:r>
      <w:bookmarkEnd w:id="84"/>
      <w:r w:rsidR="004F0E1D">
        <w:rPr>
          <w:rFonts w:ascii="Calibri" w:hAnsi="Calibri"/>
          <w:i/>
          <w:iCs/>
          <w:lang w:val="cs-CZ"/>
        </w:rPr>
        <w:t>2</w:t>
      </w:r>
      <w:r w:rsidR="00C14739">
        <w:rPr>
          <w:rFonts w:ascii="Calibri" w:hAnsi="Calibri"/>
          <w:i/>
          <w:iCs/>
          <w:lang w:val="cs-CZ"/>
        </w:rPr>
        <w:t>4</w:t>
      </w:r>
      <w:r w:rsidR="004F0E1D">
        <w:rPr>
          <w:rFonts w:ascii="Calibri" w:hAnsi="Calibri"/>
          <w:i/>
          <w:iCs/>
          <w:lang w:val="cs-CZ"/>
        </w:rPr>
        <w:t xml:space="preserve"> </w:t>
      </w:r>
      <w:r w:rsidR="009C4264" w:rsidRPr="004B0D06">
        <w:rPr>
          <w:rFonts w:ascii="Calibri" w:hAnsi="Calibri"/>
          <w:i/>
          <w:iCs/>
          <w:lang w:val="cs-CZ"/>
        </w:rPr>
        <w:t xml:space="preserve">Trojimperativ projektu včetně rozpočtu – </w:t>
      </w:r>
      <w:r w:rsidR="009C4264" w:rsidRPr="004B0D06">
        <w:rPr>
          <w:rFonts w:ascii="Calibri" w:hAnsi="Calibri" w:cs="Calibri"/>
          <w:i/>
          <w:iCs/>
          <w:lang w:val="cs-CZ"/>
        </w:rPr>
        <w:t>uspořádání konference</w:t>
      </w:r>
    </w:p>
    <w:tbl>
      <w:tblPr>
        <w:tblStyle w:val="Mkatabulky"/>
        <w:tblW w:w="0" w:type="auto"/>
        <w:tblLook w:val="04A0" w:firstRow="1" w:lastRow="0" w:firstColumn="1" w:lastColumn="0" w:noHBand="0" w:noVBand="1"/>
      </w:tblPr>
      <w:tblGrid>
        <w:gridCol w:w="2395"/>
        <w:gridCol w:w="3526"/>
        <w:gridCol w:w="3095"/>
      </w:tblGrid>
      <w:tr w:rsidR="00945A97" w:rsidRPr="00961442" w14:paraId="691A00A3" w14:textId="77777777" w:rsidTr="00A85C8A">
        <w:tc>
          <w:tcPr>
            <w:tcW w:w="9060" w:type="dxa"/>
            <w:gridSpan w:val="3"/>
          </w:tcPr>
          <w:p w14:paraId="6CE6B0D0" w14:textId="68E32562" w:rsidR="00945A97" w:rsidRPr="00961442" w:rsidRDefault="00945A97" w:rsidP="00807AB1">
            <w:pPr>
              <w:pStyle w:val="A-pramen"/>
              <w:spacing w:after="0" w:line="240" w:lineRule="auto"/>
              <w:ind w:left="-57" w:right="-57"/>
              <w:rPr>
                <w:rFonts w:ascii="Calibri" w:hAnsi="Calibri"/>
                <w:sz w:val="20"/>
              </w:rPr>
            </w:pPr>
            <w:r w:rsidRPr="00961442">
              <w:rPr>
                <w:rFonts w:ascii="Calibri" w:hAnsi="Calibri"/>
                <w:b/>
                <w:sz w:val="20"/>
              </w:rPr>
              <w:t xml:space="preserve">Název a popis projektu: </w:t>
            </w:r>
            <w:r w:rsidR="00807AB1">
              <w:rPr>
                <w:rFonts w:ascii="Calibri" w:hAnsi="Calibri"/>
                <w:sz w:val="20"/>
                <w:lang w:val="cs-CZ"/>
              </w:rPr>
              <w:t xml:space="preserve">Pořádání </w:t>
            </w:r>
            <w:r w:rsidR="00807AB1">
              <w:rPr>
                <w:rFonts w:ascii="Calibri" w:hAnsi="Calibri"/>
                <w:sz w:val="20"/>
              </w:rPr>
              <w:t xml:space="preserve">mezinárodní </w:t>
            </w:r>
            <w:r w:rsidRPr="00961442">
              <w:rPr>
                <w:rFonts w:ascii="Calibri" w:hAnsi="Calibri"/>
                <w:sz w:val="20"/>
              </w:rPr>
              <w:t xml:space="preserve">konference pro 100 účastníků (pořadatelem je </w:t>
            </w:r>
            <w:r w:rsidR="005E15F8">
              <w:rPr>
                <w:rFonts w:ascii="Calibri" w:hAnsi="Calibri"/>
                <w:sz w:val="20"/>
                <w:lang w:val="cs-CZ"/>
              </w:rPr>
              <w:t>státní příspěvková organizace</w:t>
            </w:r>
            <w:r w:rsidRPr="00961442">
              <w:rPr>
                <w:rFonts w:ascii="Calibri" w:hAnsi="Calibri"/>
                <w:sz w:val="20"/>
              </w:rPr>
              <w:t>)</w:t>
            </w:r>
          </w:p>
        </w:tc>
      </w:tr>
      <w:tr w:rsidR="00945A97" w:rsidRPr="00961442" w14:paraId="4E2C9A57" w14:textId="77777777" w:rsidTr="00A85C8A">
        <w:tc>
          <w:tcPr>
            <w:tcW w:w="2405" w:type="dxa"/>
          </w:tcPr>
          <w:p w14:paraId="25976EC5" w14:textId="77777777" w:rsidR="00945A97" w:rsidRPr="00961442" w:rsidRDefault="00945A97" w:rsidP="0065698B">
            <w:pPr>
              <w:pStyle w:val="A-pramen"/>
              <w:numPr>
                <w:ilvl w:val="0"/>
                <w:numId w:val="38"/>
              </w:numPr>
              <w:spacing w:after="0" w:line="240" w:lineRule="auto"/>
              <w:ind w:left="-57" w:right="-57"/>
              <w:rPr>
                <w:rFonts w:ascii="Calibri" w:hAnsi="Calibri"/>
                <w:b/>
                <w:sz w:val="20"/>
              </w:rPr>
            </w:pPr>
            <w:r w:rsidRPr="00961442">
              <w:rPr>
                <w:rFonts w:ascii="Calibri" w:hAnsi="Calibri"/>
                <w:b/>
                <w:bCs/>
                <w:sz w:val="20"/>
                <w:lang w:val="cs-CZ"/>
              </w:rPr>
              <w:t xml:space="preserve">(1) </w:t>
            </w:r>
            <w:r w:rsidRPr="00961442">
              <w:rPr>
                <w:rFonts w:ascii="Calibri" w:hAnsi="Calibri"/>
                <w:b/>
                <w:bCs/>
                <w:sz w:val="20"/>
              </w:rPr>
              <w:t>Cíle projektu:</w:t>
            </w:r>
          </w:p>
        </w:tc>
        <w:tc>
          <w:tcPr>
            <w:tcW w:w="3544" w:type="dxa"/>
          </w:tcPr>
          <w:p w14:paraId="3D813137" w14:textId="77777777" w:rsidR="00945A97" w:rsidRPr="00961442" w:rsidRDefault="00945A97" w:rsidP="00A85C8A">
            <w:pPr>
              <w:pStyle w:val="A-pramen"/>
              <w:spacing w:after="0" w:line="240" w:lineRule="auto"/>
              <w:ind w:left="-57" w:right="-57"/>
              <w:rPr>
                <w:rFonts w:ascii="Calibri" w:hAnsi="Calibri"/>
                <w:b/>
                <w:sz w:val="20"/>
              </w:rPr>
            </w:pPr>
            <w:r w:rsidRPr="00961442">
              <w:rPr>
                <w:rFonts w:ascii="Calibri" w:hAnsi="Calibri"/>
                <w:b/>
                <w:sz w:val="20"/>
              </w:rPr>
              <w:t xml:space="preserve">(2) </w:t>
            </w:r>
            <w:r w:rsidRPr="00961442">
              <w:rPr>
                <w:rFonts w:ascii="Calibri" w:hAnsi="Calibri"/>
                <w:b/>
                <w:bCs/>
                <w:sz w:val="20"/>
              </w:rPr>
              <w:t>Termíny / harmonogram aktivit</w:t>
            </w:r>
            <w:r w:rsidRPr="00961442">
              <w:rPr>
                <w:rFonts w:ascii="Calibri" w:hAnsi="Calibri"/>
                <w:b/>
                <w:sz w:val="20"/>
              </w:rPr>
              <w:t>:</w:t>
            </w:r>
          </w:p>
        </w:tc>
        <w:tc>
          <w:tcPr>
            <w:tcW w:w="3111" w:type="dxa"/>
          </w:tcPr>
          <w:p w14:paraId="2049E6EB" w14:textId="77777777" w:rsidR="00945A97" w:rsidRPr="00961442" w:rsidRDefault="00945A97" w:rsidP="00A85C8A">
            <w:pPr>
              <w:pStyle w:val="A-pramen"/>
              <w:spacing w:after="0" w:line="240" w:lineRule="auto"/>
              <w:ind w:left="-57" w:right="-57"/>
              <w:rPr>
                <w:rFonts w:ascii="Calibri" w:hAnsi="Calibri"/>
                <w:b/>
                <w:sz w:val="20"/>
              </w:rPr>
            </w:pPr>
            <w:r w:rsidRPr="00961442">
              <w:rPr>
                <w:rFonts w:ascii="Calibri" w:hAnsi="Calibri"/>
                <w:b/>
                <w:sz w:val="20"/>
              </w:rPr>
              <w:t xml:space="preserve">(3) </w:t>
            </w:r>
            <w:r w:rsidRPr="00961442">
              <w:rPr>
                <w:rFonts w:ascii="Calibri" w:hAnsi="Calibri"/>
                <w:b/>
                <w:bCs/>
                <w:sz w:val="20"/>
              </w:rPr>
              <w:t>rozpočet projektu</w:t>
            </w:r>
            <w:r w:rsidRPr="00961442">
              <w:rPr>
                <w:rFonts w:ascii="Calibri" w:hAnsi="Calibri"/>
                <w:b/>
                <w:sz w:val="20"/>
              </w:rPr>
              <w:t>:</w:t>
            </w:r>
          </w:p>
        </w:tc>
      </w:tr>
      <w:tr w:rsidR="00945A97" w14:paraId="06089E43" w14:textId="77777777" w:rsidTr="00A85C8A">
        <w:tc>
          <w:tcPr>
            <w:tcW w:w="2405" w:type="dxa"/>
          </w:tcPr>
          <w:p w14:paraId="7FD18960" w14:textId="4D812AF0"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 xml:space="preserve">1. </w:t>
            </w:r>
            <w:r w:rsidR="005C76A6">
              <w:rPr>
                <w:rFonts w:ascii="Calibri" w:hAnsi="Calibri"/>
                <w:sz w:val="20"/>
              </w:rPr>
              <w:t xml:space="preserve">Uspořádat jednu </w:t>
            </w:r>
            <w:r>
              <w:rPr>
                <w:rFonts w:ascii="Calibri" w:hAnsi="Calibri"/>
                <w:sz w:val="20"/>
              </w:rPr>
              <w:t>konferenci</w:t>
            </w:r>
            <w:r w:rsidR="005C76A6">
              <w:rPr>
                <w:rFonts w:ascii="Calibri" w:hAnsi="Calibri"/>
                <w:sz w:val="20"/>
              </w:rPr>
              <w:t xml:space="preserve"> - c</w:t>
            </w:r>
            <w:r w:rsidRPr="00A0758C">
              <w:rPr>
                <w:rFonts w:ascii="Calibri" w:hAnsi="Calibri"/>
                <w:sz w:val="20"/>
              </w:rPr>
              <w:t>ílová hodnota: 1 konference</w:t>
            </w:r>
          </w:p>
          <w:p w14:paraId="24902A7A" w14:textId="3AD4F913"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 xml:space="preserve">2. </w:t>
            </w:r>
            <w:r w:rsidR="005C76A6">
              <w:rPr>
                <w:rFonts w:ascii="Calibri" w:hAnsi="Calibri"/>
                <w:sz w:val="20"/>
              </w:rPr>
              <w:t xml:space="preserve">Počet platících účastníků - </w:t>
            </w:r>
            <w:r w:rsidR="005C76A6">
              <w:rPr>
                <w:rFonts w:ascii="Calibri" w:hAnsi="Calibri"/>
                <w:sz w:val="20"/>
                <w:lang w:val="cs-CZ"/>
              </w:rPr>
              <w:t xml:space="preserve">cílová hodnota </w:t>
            </w:r>
            <w:r w:rsidRPr="00A0758C">
              <w:rPr>
                <w:rFonts w:ascii="Calibri" w:hAnsi="Calibri"/>
                <w:sz w:val="20"/>
              </w:rPr>
              <w:t>nejméně 100</w:t>
            </w:r>
          </w:p>
          <w:p w14:paraId="0C56E4F4" w14:textId="4C61CA11"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 xml:space="preserve">3. </w:t>
            </w:r>
            <w:r w:rsidRPr="00A0758C">
              <w:rPr>
                <w:rFonts w:ascii="Calibri" w:hAnsi="Calibri"/>
                <w:sz w:val="20"/>
              </w:rPr>
              <w:t>Po</w:t>
            </w:r>
            <w:r w:rsidR="005C76A6">
              <w:rPr>
                <w:rFonts w:ascii="Calibri" w:hAnsi="Calibri"/>
                <w:sz w:val="20"/>
              </w:rPr>
              <w:t xml:space="preserve">čet zahraničních vystupujících - </w:t>
            </w:r>
            <w:r w:rsidR="005C76A6">
              <w:rPr>
                <w:rFonts w:ascii="Calibri" w:hAnsi="Calibri"/>
                <w:sz w:val="20"/>
                <w:lang w:val="cs-CZ"/>
              </w:rPr>
              <w:t xml:space="preserve">cílová hodnota: </w:t>
            </w:r>
            <w:r w:rsidRPr="00A0758C">
              <w:rPr>
                <w:rFonts w:ascii="Calibri" w:hAnsi="Calibri"/>
                <w:sz w:val="20"/>
              </w:rPr>
              <w:t>nejméně 5 (z toho 2 pozvaní)</w:t>
            </w:r>
          </w:p>
          <w:p w14:paraId="3E0C4F09" w14:textId="2346B635" w:rsidR="00945A97" w:rsidRPr="005C76A6" w:rsidRDefault="00945A97" w:rsidP="005C76A6">
            <w:pPr>
              <w:pStyle w:val="A-pramen"/>
              <w:spacing w:after="0" w:line="240" w:lineRule="auto"/>
              <w:ind w:left="-57" w:right="-57"/>
              <w:jc w:val="left"/>
              <w:rPr>
                <w:rFonts w:ascii="Calibri" w:hAnsi="Calibri"/>
                <w:sz w:val="20"/>
                <w:lang w:val="cs-CZ"/>
              </w:rPr>
            </w:pPr>
            <w:r>
              <w:rPr>
                <w:rFonts w:ascii="Calibri" w:hAnsi="Calibri"/>
                <w:sz w:val="20"/>
                <w:lang w:val="cs-CZ"/>
              </w:rPr>
              <w:t xml:space="preserve">4. </w:t>
            </w:r>
            <w:r w:rsidR="005C76A6">
              <w:rPr>
                <w:rFonts w:ascii="Calibri" w:hAnsi="Calibri"/>
                <w:sz w:val="20"/>
              </w:rPr>
              <w:t xml:space="preserve">Finanční ukazatele - </w:t>
            </w:r>
            <w:r w:rsidR="005C76A6">
              <w:rPr>
                <w:rFonts w:ascii="Calibri" w:hAnsi="Calibri"/>
                <w:sz w:val="20"/>
                <w:lang w:val="cs-CZ"/>
              </w:rPr>
              <w:t xml:space="preserve">cílová hodnota: </w:t>
            </w:r>
            <w:r w:rsidRPr="00A0758C">
              <w:rPr>
                <w:rFonts w:ascii="Calibri" w:hAnsi="Calibri"/>
                <w:sz w:val="20"/>
              </w:rPr>
              <w:t>konference nebude ztrátová</w:t>
            </w:r>
            <w:r w:rsidR="005C76A6">
              <w:rPr>
                <w:rFonts w:ascii="Calibri" w:hAnsi="Calibri"/>
                <w:sz w:val="20"/>
                <w:lang w:val="cs-CZ"/>
              </w:rPr>
              <w:t>.</w:t>
            </w:r>
          </w:p>
        </w:tc>
        <w:tc>
          <w:tcPr>
            <w:tcW w:w="3544" w:type="dxa"/>
          </w:tcPr>
          <w:p w14:paraId="7940F3E4" w14:textId="11E574B6"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sidRPr="00A0758C">
              <w:rPr>
                <w:rFonts w:ascii="Calibri" w:hAnsi="Calibri"/>
                <w:sz w:val="20"/>
              </w:rPr>
              <w:t>zajištění prostor, první verze témat konference</w:t>
            </w:r>
            <w:r>
              <w:rPr>
                <w:rFonts w:ascii="Calibri" w:hAnsi="Calibri"/>
                <w:sz w:val="20"/>
                <w:lang w:val="cs-CZ"/>
              </w:rPr>
              <w:t xml:space="preserve">                                      T: </w:t>
            </w:r>
            <w:r w:rsidRPr="00A0758C">
              <w:rPr>
                <w:rFonts w:ascii="Calibri" w:hAnsi="Calibri"/>
                <w:sz w:val="20"/>
                <w:lang w:val="cs-CZ"/>
              </w:rPr>
              <w:t>15.12.</w:t>
            </w:r>
          </w:p>
          <w:p w14:paraId="4BD97A0C" w14:textId="77777777" w:rsidR="00945A97"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sidRPr="00A0758C">
              <w:rPr>
                <w:rFonts w:ascii="Calibri" w:hAnsi="Calibri"/>
                <w:sz w:val="20"/>
              </w:rPr>
              <w:t xml:space="preserve">domluvení klíčových </w:t>
            </w:r>
            <w:r>
              <w:rPr>
                <w:rFonts w:ascii="Calibri" w:hAnsi="Calibri"/>
                <w:sz w:val="20"/>
                <w:lang w:val="cs-CZ"/>
              </w:rPr>
              <w:t>přednášejících</w:t>
            </w:r>
          </w:p>
          <w:p w14:paraId="712C00E3" w14:textId="77777777" w:rsidR="00945A97" w:rsidRPr="00A0758C" w:rsidRDefault="00945A97" w:rsidP="00A85C8A">
            <w:pPr>
              <w:pStyle w:val="A-pramen"/>
              <w:spacing w:after="0" w:line="240" w:lineRule="auto"/>
              <w:ind w:left="-57" w:right="-57"/>
              <w:jc w:val="left"/>
              <w:rPr>
                <w:rFonts w:ascii="Calibri" w:hAnsi="Calibri"/>
                <w:sz w:val="20"/>
                <w:lang w:val="cs-CZ"/>
              </w:rPr>
            </w:pPr>
            <w:r>
              <w:rPr>
                <w:rFonts w:ascii="Calibri" w:hAnsi="Calibri"/>
                <w:sz w:val="20"/>
                <w:lang w:val="cs-CZ"/>
              </w:rPr>
              <w:t xml:space="preserve">                                                           T:</w:t>
            </w:r>
            <w:r w:rsidRPr="00A0758C">
              <w:rPr>
                <w:rFonts w:ascii="Calibri" w:hAnsi="Calibri"/>
                <w:sz w:val="20"/>
                <w:lang w:val="cs-CZ"/>
              </w:rPr>
              <w:t xml:space="preserve"> 20.12.</w:t>
            </w:r>
          </w:p>
          <w:p w14:paraId="402AFF33" w14:textId="07D31413"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sidRPr="00A0758C">
              <w:rPr>
                <w:rFonts w:ascii="Calibri" w:hAnsi="Calibri"/>
                <w:sz w:val="20"/>
              </w:rPr>
              <w:t>zveřejnění údajů o konferenci, první výzva pro přednášející</w:t>
            </w:r>
            <w:r w:rsidRPr="00A0758C">
              <w:rPr>
                <w:rFonts w:ascii="Calibri" w:hAnsi="Calibri"/>
                <w:sz w:val="20"/>
              </w:rPr>
              <w:tab/>
            </w:r>
            <w:r>
              <w:rPr>
                <w:rFonts w:ascii="Calibri" w:hAnsi="Calibri"/>
                <w:sz w:val="20"/>
                <w:lang w:val="cs-CZ"/>
              </w:rPr>
              <w:t xml:space="preserve">           </w:t>
            </w:r>
            <w:r w:rsidR="002838B0">
              <w:rPr>
                <w:rFonts w:ascii="Calibri" w:hAnsi="Calibri"/>
                <w:sz w:val="20"/>
                <w:lang w:val="cs-CZ"/>
              </w:rPr>
              <w:t xml:space="preserve"> </w:t>
            </w:r>
            <w:r>
              <w:rPr>
                <w:rFonts w:ascii="Calibri" w:hAnsi="Calibri"/>
                <w:sz w:val="20"/>
                <w:lang w:val="cs-CZ"/>
              </w:rPr>
              <w:t>T:</w:t>
            </w:r>
            <w:r w:rsidRPr="00A0758C">
              <w:rPr>
                <w:rFonts w:ascii="Calibri" w:hAnsi="Calibri"/>
                <w:sz w:val="20"/>
              </w:rPr>
              <w:t xml:space="preserve"> 15.1.</w:t>
            </w:r>
          </w:p>
          <w:p w14:paraId="4C8D0F62" w14:textId="44ED00CE" w:rsidR="00945A97"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Pr>
                <w:rFonts w:ascii="Calibri" w:hAnsi="Calibri"/>
                <w:sz w:val="20"/>
              </w:rPr>
              <w:t>druhá výzva pro přednášející</w:t>
            </w:r>
            <w:r>
              <w:rPr>
                <w:rFonts w:ascii="Calibri" w:hAnsi="Calibri"/>
                <w:sz w:val="20"/>
                <w:lang w:val="cs-CZ"/>
              </w:rPr>
              <w:t xml:space="preserve">       T:</w:t>
            </w:r>
            <w:r w:rsidRPr="00A0758C">
              <w:rPr>
                <w:rFonts w:ascii="Calibri" w:hAnsi="Calibri"/>
                <w:sz w:val="20"/>
              </w:rPr>
              <w:t xml:space="preserve"> 30.3.</w:t>
            </w:r>
          </w:p>
          <w:p w14:paraId="5344B41B" w14:textId="1346D0A6" w:rsidR="002838B0" w:rsidRDefault="002838B0" w:rsidP="00A85C8A">
            <w:pPr>
              <w:pStyle w:val="A-pramen"/>
              <w:spacing w:after="0" w:line="240" w:lineRule="auto"/>
              <w:ind w:left="-57" w:right="-57"/>
              <w:jc w:val="left"/>
              <w:rPr>
                <w:rFonts w:ascii="Calibri" w:hAnsi="Calibri"/>
                <w:sz w:val="20"/>
                <w:lang w:val="cs-CZ"/>
              </w:rPr>
            </w:pPr>
            <w:r>
              <w:rPr>
                <w:rFonts w:ascii="Calibri" w:hAnsi="Calibri"/>
                <w:sz w:val="20"/>
                <w:lang w:val="cs-CZ"/>
              </w:rPr>
              <w:t>- zajištění obědů, ubytování           T: 30.4.</w:t>
            </w:r>
          </w:p>
          <w:p w14:paraId="1EBF2C1A" w14:textId="4F47FDA8" w:rsidR="002838B0" w:rsidRPr="002838B0" w:rsidRDefault="002838B0" w:rsidP="00A85C8A">
            <w:pPr>
              <w:pStyle w:val="A-pramen"/>
              <w:spacing w:after="0" w:line="240" w:lineRule="auto"/>
              <w:ind w:left="-57" w:right="-57"/>
              <w:jc w:val="left"/>
              <w:rPr>
                <w:rFonts w:ascii="Calibri" w:hAnsi="Calibri"/>
                <w:sz w:val="20"/>
                <w:lang w:val="cs-CZ"/>
              </w:rPr>
            </w:pPr>
            <w:r>
              <w:rPr>
                <w:rFonts w:ascii="Calibri" w:hAnsi="Calibri"/>
                <w:sz w:val="20"/>
                <w:lang w:val="cs-CZ"/>
              </w:rPr>
              <w:t>- zajištění propagačních materiálů T: 30.5.</w:t>
            </w:r>
          </w:p>
          <w:p w14:paraId="67EF21C5" w14:textId="7CCC01B1" w:rsidR="00945A97" w:rsidRDefault="00945A97" w:rsidP="00A85C8A">
            <w:pPr>
              <w:pStyle w:val="A-pramen"/>
              <w:spacing w:after="0" w:line="240" w:lineRule="auto"/>
              <w:ind w:left="-57" w:right="-57"/>
              <w:jc w:val="left"/>
              <w:rPr>
                <w:rFonts w:ascii="Calibri" w:hAnsi="Calibri"/>
                <w:sz w:val="20"/>
              </w:rPr>
            </w:pPr>
            <w:r>
              <w:rPr>
                <w:rFonts w:ascii="Calibri" w:hAnsi="Calibri"/>
                <w:sz w:val="20"/>
                <w:lang w:val="cs-CZ"/>
              </w:rPr>
              <w:t xml:space="preserve">- </w:t>
            </w:r>
            <w:r>
              <w:rPr>
                <w:rFonts w:ascii="Calibri" w:hAnsi="Calibri"/>
                <w:sz w:val="20"/>
              </w:rPr>
              <w:t>termín konference</w:t>
            </w:r>
            <w:r>
              <w:rPr>
                <w:rFonts w:ascii="Calibri" w:hAnsi="Calibri"/>
                <w:sz w:val="20"/>
              </w:rPr>
              <w:tab/>
            </w:r>
            <w:r>
              <w:rPr>
                <w:rFonts w:ascii="Calibri" w:hAnsi="Calibri"/>
                <w:sz w:val="20"/>
                <w:lang w:val="cs-CZ"/>
              </w:rPr>
              <w:t xml:space="preserve">          </w:t>
            </w:r>
            <w:r w:rsidR="002838B0">
              <w:rPr>
                <w:rFonts w:ascii="Calibri" w:hAnsi="Calibri"/>
                <w:sz w:val="20"/>
                <w:lang w:val="cs-CZ"/>
              </w:rPr>
              <w:t xml:space="preserve">  </w:t>
            </w:r>
            <w:r>
              <w:rPr>
                <w:rFonts w:ascii="Calibri" w:hAnsi="Calibri"/>
                <w:sz w:val="20"/>
                <w:lang w:val="cs-CZ"/>
              </w:rPr>
              <w:t xml:space="preserve"> T: </w:t>
            </w:r>
            <w:r>
              <w:rPr>
                <w:rFonts w:ascii="Calibri" w:hAnsi="Calibri"/>
                <w:sz w:val="20"/>
              </w:rPr>
              <w:t>15.6.</w:t>
            </w:r>
          </w:p>
          <w:p w14:paraId="0C8A277C" w14:textId="77777777" w:rsidR="00945A97" w:rsidRDefault="00945A97" w:rsidP="002838B0">
            <w:pPr>
              <w:pStyle w:val="A-pramen"/>
              <w:spacing w:after="0" w:line="240" w:lineRule="auto"/>
              <w:ind w:left="-57" w:right="-57"/>
              <w:jc w:val="left"/>
              <w:rPr>
                <w:rFonts w:ascii="Calibri" w:hAnsi="Calibri"/>
              </w:rPr>
            </w:pPr>
          </w:p>
        </w:tc>
        <w:tc>
          <w:tcPr>
            <w:tcW w:w="3111" w:type="dxa"/>
          </w:tcPr>
          <w:p w14:paraId="2B19855B" w14:textId="77777777" w:rsidR="00945A97" w:rsidRPr="00A0758C" w:rsidRDefault="00945A97" w:rsidP="00A85C8A">
            <w:pPr>
              <w:pStyle w:val="A-pramen"/>
              <w:spacing w:after="0" w:line="240" w:lineRule="auto"/>
              <w:ind w:left="-57" w:right="-57"/>
              <w:jc w:val="left"/>
              <w:rPr>
                <w:rFonts w:ascii="Calibri" w:hAnsi="Calibri"/>
                <w:sz w:val="20"/>
              </w:rPr>
            </w:pPr>
            <w:r>
              <w:rPr>
                <w:rFonts w:ascii="Calibri" w:hAnsi="Calibri"/>
                <w:b/>
                <w:bCs/>
                <w:sz w:val="20"/>
              </w:rPr>
              <w:t>N</w:t>
            </w:r>
            <w:r w:rsidRPr="00A0758C">
              <w:rPr>
                <w:rFonts w:ascii="Calibri" w:hAnsi="Calibri"/>
                <w:b/>
                <w:bCs/>
                <w:sz w:val="20"/>
              </w:rPr>
              <w:t>ákla</w:t>
            </w:r>
            <w:r>
              <w:rPr>
                <w:rFonts w:ascii="Calibri" w:hAnsi="Calibri"/>
                <w:b/>
                <w:bCs/>
                <w:sz w:val="20"/>
              </w:rPr>
              <w:t xml:space="preserve">dy na konferenci:  </w:t>
            </w:r>
            <w:r w:rsidRPr="00A0758C">
              <w:rPr>
                <w:rFonts w:ascii="Calibri" w:hAnsi="Calibri"/>
                <w:b/>
                <w:bCs/>
                <w:sz w:val="20"/>
              </w:rPr>
              <w:t>200 000 Kč</w:t>
            </w:r>
          </w:p>
          <w:p w14:paraId="0D1DCE93" w14:textId="77777777"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Pr>
                <w:rFonts w:ascii="Calibri" w:hAnsi="Calibri"/>
                <w:sz w:val="20"/>
              </w:rPr>
              <w:t>pronájem sálu</w:t>
            </w:r>
            <w:r>
              <w:rPr>
                <w:rFonts w:ascii="Calibri" w:hAnsi="Calibri"/>
                <w:sz w:val="20"/>
              </w:rPr>
              <w:tab/>
            </w:r>
            <w:r>
              <w:rPr>
                <w:rFonts w:ascii="Calibri" w:hAnsi="Calibri"/>
                <w:sz w:val="20"/>
                <w:lang w:val="cs-CZ"/>
              </w:rPr>
              <w:t xml:space="preserve">         </w:t>
            </w:r>
            <w:r w:rsidRPr="00A0758C">
              <w:rPr>
                <w:rFonts w:ascii="Calibri" w:hAnsi="Calibri"/>
                <w:sz w:val="20"/>
              </w:rPr>
              <w:t>30 000 Kč</w:t>
            </w:r>
          </w:p>
          <w:p w14:paraId="4B8AA110" w14:textId="77777777"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sidRPr="00A0758C">
              <w:rPr>
                <w:rFonts w:ascii="Calibri" w:hAnsi="Calibri"/>
                <w:sz w:val="20"/>
              </w:rPr>
              <w:t>obědy účastníkům</w:t>
            </w:r>
            <w:r>
              <w:rPr>
                <w:rFonts w:ascii="Calibri" w:hAnsi="Calibri"/>
                <w:sz w:val="20"/>
                <w:lang w:val="cs-CZ"/>
              </w:rPr>
              <w:t xml:space="preserve">       </w:t>
            </w:r>
            <w:r w:rsidRPr="00A0758C">
              <w:rPr>
                <w:rFonts w:ascii="Calibri" w:hAnsi="Calibri"/>
                <w:sz w:val="20"/>
              </w:rPr>
              <w:t>20 000 Kč</w:t>
            </w:r>
          </w:p>
          <w:p w14:paraId="2051BD7A" w14:textId="77777777"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sidRPr="00A0758C">
              <w:rPr>
                <w:rFonts w:ascii="Calibri" w:hAnsi="Calibri"/>
                <w:sz w:val="20"/>
              </w:rPr>
              <w:t>cestovné, ubytování</w:t>
            </w:r>
            <w:r>
              <w:rPr>
                <w:rFonts w:ascii="Calibri" w:hAnsi="Calibri"/>
                <w:sz w:val="20"/>
              </w:rPr>
              <w:t xml:space="preserve">, jídlo pozvaných ze zahraničí </w:t>
            </w:r>
            <w:r w:rsidRPr="00A0758C">
              <w:rPr>
                <w:rFonts w:ascii="Calibri" w:hAnsi="Calibri"/>
                <w:sz w:val="20"/>
              </w:rPr>
              <w:t>40 000 Kč</w:t>
            </w:r>
          </w:p>
          <w:p w14:paraId="7ADEC2EA" w14:textId="77777777"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lang w:val="cs-CZ"/>
              </w:rPr>
              <w:t>-</w:t>
            </w:r>
            <w:r w:rsidRPr="00A0758C">
              <w:rPr>
                <w:rFonts w:ascii="Calibri" w:hAnsi="Calibri"/>
                <w:sz w:val="20"/>
              </w:rPr>
              <w:t>mzdy týmu</w:t>
            </w:r>
            <w:r w:rsidRPr="00A0758C">
              <w:rPr>
                <w:rFonts w:ascii="Calibri" w:hAnsi="Calibri"/>
                <w:sz w:val="20"/>
              </w:rPr>
              <w:tab/>
            </w:r>
            <w:r>
              <w:rPr>
                <w:rFonts w:ascii="Calibri" w:hAnsi="Calibri"/>
                <w:sz w:val="20"/>
                <w:lang w:val="cs-CZ"/>
              </w:rPr>
              <w:t xml:space="preserve">         </w:t>
            </w:r>
            <w:r w:rsidRPr="00A0758C">
              <w:rPr>
                <w:rFonts w:ascii="Calibri" w:hAnsi="Calibri"/>
                <w:sz w:val="20"/>
              </w:rPr>
              <w:t>60 000 Kč</w:t>
            </w:r>
          </w:p>
          <w:p w14:paraId="4914D518" w14:textId="33FD7893" w:rsidR="00945A97" w:rsidRPr="00A0758C" w:rsidRDefault="00945A97" w:rsidP="002838B0">
            <w:pPr>
              <w:pStyle w:val="A-pramen"/>
              <w:spacing w:after="0" w:line="240" w:lineRule="auto"/>
              <w:ind w:left="-57" w:right="-57"/>
              <w:jc w:val="left"/>
              <w:rPr>
                <w:rFonts w:ascii="Calibri" w:hAnsi="Calibri"/>
                <w:sz w:val="20"/>
              </w:rPr>
            </w:pPr>
            <w:r>
              <w:rPr>
                <w:rFonts w:ascii="Calibri" w:hAnsi="Calibri"/>
                <w:sz w:val="20"/>
                <w:lang w:val="cs-CZ"/>
              </w:rPr>
              <w:t>-</w:t>
            </w:r>
            <w:r w:rsidR="002838B0">
              <w:rPr>
                <w:rFonts w:ascii="Calibri" w:hAnsi="Calibri"/>
                <w:sz w:val="20"/>
              </w:rPr>
              <w:t>propagační materiály</w:t>
            </w:r>
            <w:r>
              <w:rPr>
                <w:rFonts w:ascii="Calibri" w:hAnsi="Calibri"/>
                <w:sz w:val="20"/>
                <w:lang w:val="cs-CZ"/>
              </w:rPr>
              <w:t xml:space="preserve">  </w:t>
            </w:r>
            <w:r w:rsidR="002838B0" w:rsidRPr="00A0758C">
              <w:rPr>
                <w:rFonts w:ascii="Calibri" w:hAnsi="Calibri"/>
                <w:sz w:val="20"/>
              </w:rPr>
              <w:t>20 000 Kč</w:t>
            </w:r>
            <w:r>
              <w:rPr>
                <w:rFonts w:ascii="Calibri" w:hAnsi="Calibri"/>
                <w:sz w:val="20"/>
                <w:lang w:val="cs-CZ"/>
              </w:rPr>
              <w:t xml:space="preserve">        -</w:t>
            </w:r>
            <w:r w:rsidRPr="00A0758C">
              <w:rPr>
                <w:rFonts w:ascii="Calibri" w:hAnsi="Calibri"/>
                <w:sz w:val="20"/>
              </w:rPr>
              <w:t>ostatní náklady a rezerva</w:t>
            </w:r>
            <w:r w:rsidRPr="00A0758C">
              <w:rPr>
                <w:rFonts w:ascii="Calibri" w:hAnsi="Calibri"/>
                <w:sz w:val="20"/>
              </w:rPr>
              <w:tab/>
            </w:r>
            <w:r w:rsidRPr="00A0758C">
              <w:rPr>
                <w:rFonts w:ascii="Calibri" w:hAnsi="Calibri"/>
                <w:sz w:val="20"/>
              </w:rPr>
              <w:tab/>
            </w:r>
            <w:r w:rsidRPr="00A0758C">
              <w:rPr>
                <w:rFonts w:ascii="Calibri" w:hAnsi="Calibri"/>
                <w:sz w:val="20"/>
              </w:rPr>
              <w:tab/>
            </w:r>
            <w:r w:rsidRPr="00A0758C">
              <w:rPr>
                <w:rFonts w:ascii="Calibri" w:hAnsi="Calibri"/>
                <w:sz w:val="20"/>
              </w:rPr>
              <w:tab/>
            </w:r>
            <w:r w:rsidRPr="00A0758C">
              <w:rPr>
                <w:rFonts w:ascii="Calibri" w:hAnsi="Calibri"/>
                <w:sz w:val="20"/>
              </w:rPr>
              <w:tab/>
            </w:r>
            <w:r>
              <w:rPr>
                <w:rFonts w:ascii="Calibri" w:hAnsi="Calibri"/>
                <w:sz w:val="20"/>
                <w:lang w:val="cs-CZ"/>
              </w:rPr>
              <w:t xml:space="preserve">          </w:t>
            </w:r>
            <w:r w:rsidRPr="00A0758C">
              <w:rPr>
                <w:rFonts w:ascii="Calibri" w:hAnsi="Calibri"/>
                <w:sz w:val="20"/>
              </w:rPr>
              <w:t>30 000 Kč</w:t>
            </w:r>
          </w:p>
          <w:p w14:paraId="3F3FC519" w14:textId="77777777" w:rsidR="00945A97" w:rsidRPr="00A0758C" w:rsidRDefault="00945A97" w:rsidP="00A85C8A">
            <w:pPr>
              <w:pStyle w:val="A-pramen"/>
              <w:spacing w:after="0" w:line="240" w:lineRule="auto"/>
              <w:ind w:left="-57" w:right="-57"/>
              <w:jc w:val="left"/>
              <w:rPr>
                <w:rFonts w:ascii="Calibri" w:hAnsi="Calibri"/>
                <w:sz w:val="20"/>
                <w:lang w:val="cs-CZ"/>
              </w:rPr>
            </w:pPr>
            <w:r>
              <w:rPr>
                <w:rFonts w:ascii="Calibri" w:hAnsi="Calibri"/>
                <w:b/>
                <w:bCs/>
                <w:sz w:val="20"/>
              </w:rPr>
              <w:t>V</w:t>
            </w:r>
            <w:r w:rsidRPr="00A0758C">
              <w:rPr>
                <w:rFonts w:ascii="Calibri" w:hAnsi="Calibri"/>
                <w:b/>
                <w:bCs/>
                <w:sz w:val="20"/>
              </w:rPr>
              <w:t>ýnosy konference</w:t>
            </w:r>
            <w:r w:rsidRPr="00A0758C">
              <w:rPr>
                <w:rFonts w:ascii="Calibri" w:hAnsi="Calibri"/>
                <w:b/>
                <w:bCs/>
                <w:sz w:val="20"/>
                <w:lang w:val="cs-CZ"/>
              </w:rPr>
              <w:t xml:space="preserve"> </w:t>
            </w:r>
          </w:p>
          <w:p w14:paraId="0C791F96" w14:textId="77777777" w:rsidR="00945A97" w:rsidRPr="00A0758C" w:rsidRDefault="00945A97" w:rsidP="00A85C8A">
            <w:pPr>
              <w:pStyle w:val="A-pramen"/>
              <w:spacing w:after="0" w:line="240" w:lineRule="auto"/>
              <w:ind w:left="-57" w:right="-57"/>
              <w:jc w:val="left"/>
              <w:rPr>
                <w:rFonts w:ascii="Calibri" w:hAnsi="Calibri"/>
                <w:sz w:val="20"/>
              </w:rPr>
            </w:pPr>
            <w:r>
              <w:rPr>
                <w:rFonts w:ascii="Calibri" w:hAnsi="Calibri"/>
                <w:sz w:val="20"/>
              </w:rPr>
              <w:t>účastnický poplatek (2</w:t>
            </w:r>
            <w:r w:rsidRPr="00A0758C">
              <w:rPr>
                <w:rFonts w:ascii="Calibri" w:hAnsi="Calibri"/>
                <w:sz w:val="20"/>
              </w:rPr>
              <w:t xml:space="preserve">000 Kč * 100) </w:t>
            </w:r>
            <w:r w:rsidRPr="00A0758C">
              <w:rPr>
                <w:rFonts w:ascii="Calibri" w:hAnsi="Calibri"/>
                <w:sz w:val="20"/>
              </w:rPr>
              <w:tab/>
            </w:r>
            <w:r w:rsidRPr="00A0758C">
              <w:rPr>
                <w:rFonts w:ascii="Calibri" w:hAnsi="Calibri"/>
                <w:sz w:val="20"/>
              </w:rPr>
              <w:tab/>
              <w:t xml:space="preserve"> </w:t>
            </w:r>
            <w:r>
              <w:rPr>
                <w:rFonts w:ascii="Calibri" w:hAnsi="Calibri"/>
                <w:sz w:val="20"/>
                <w:lang w:val="cs-CZ"/>
              </w:rPr>
              <w:t xml:space="preserve">                          </w:t>
            </w:r>
            <w:r w:rsidRPr="00A0758C">
              <w:rPr>
                <w:rFonts w:ascii="Calibri" w:hAnsi="Calibri"/>
                <w:b/>
                <w:bCs/>
                <w:sz w:val="20"/>
              </w:rPr>
              <w:t>200 000 Kč</w:t>
            </w:r>
          </w:p>
          <w:p w14:paraId="1DBD6641" w14:textId="77777777" w:rsidR="00945A97" w:rsidRPr="00961442" w:rsidRDefault="00945A97" w:rsidP="00A85C8A">
            <w:pPr>
              <w:pStyle w:val="A-pramen"/>
              <w:spacing w:after="0" w:line="240" w:lineRule="auto"/>
              <w:ind w:left="-57" w:right="-57"/>
              <w:jc w:val="left"/>
              <w:rPr>
                <w:rFonts w:ascii="Calibri" w:hAnsi="Calibri"/>
                <w:b/>
                <w:bCs/>
                <w:sz w:val="20"/>
              </w:rPr>
            </w:pPr>
            <w:r w:rsidRPr="00A0758C">
              <w:rPr>
                <w:rFonts w:ascii="Calibri" w:hAnsi="Calibri"/>
                <w:b/>
                <w:bCs/>
                <w:sz w:val="20"/>
              </w:rPr>
              <w:t>Hospodářský výsledek konference:</w:t>
            </w:r>
            <w:r w:rsidRPr="00A0758C">
              <w:rPr>
                <w:rFonts w:ascii="Calibri" w:hAnsi="Calibri"/>
                <w:b/>
                <w:bCs/>
                <w:sz w:val="20"/>
              </w:rPr>
              <w:tab/>
            </w:r>
            <w:r w:rsidRPr="00A0758C">
              <w:rPr>
                <w:rFonts w:ascii="Calibri" w:hAnsi="Calibri"/>
                <w:b/>
                <w:bCs/>
                <w:sz w:val="20"/>
              </w:rPr>
              <w:tab/>
            </w:r>
            <w:r w:rsidRPr="00A0758C">
              <w:rPr>
                <w:rFonts w:ascii="Calibri" w:hAnsi="Calibri"/>
                <w:b/>
                <w:bCs/>
                <w:sz w:val="20"/>
              </w:rPr>
              <w:tab/>
            </w:r>
            <w:r w:rsidRPr="00A0758C">
              <w:rPr>
                <w:rFonts w:ascii="Calibri" w:hAnsi="Calibri"/>
                <w:b/>
                <w:bCs/>
                <w:sz w:val="20"/>
                <w:lang w:val="cs-CZ"/>
              </w:rPr>
              <w:t xml:space="preserve">   </w:t>
            </w:r>
            <w:r w:rsidRPr="00A0758C">
              <w:rPr>
                <w:rFonts w:ascii="Calibri" w:hAnsi="Calibri"/>
                <w:b/>
                <w:bCs/>
                <w:sz w:val="20"/>
                <w:lang w:val="cs-CZ"/>
              </w:rPr>
              <w:tab/>
            </w:r>
            <w:r w:rsidRPr="00A0758C">
              <w:rPr>
                <w:rFonts w:ascii="Calibri" w:hAnsi="Calibri"/>
                <w:b/>
                <w:bCs/>
                <w:sz w:val="20"/>
              </w:rPr>
              <w:tab/>
              <w:t xml:space="preserve"> </w:t>
            </w:r>
            <w:r>
              <w:rPr>
                <w:rFonts w:ascii="Calibri" w:hAnsi="Calibri"/>
                <w:b/>
                <w:bCs/>
                <w:sz w:val="20"/>
                <w:lang w:val="cs-CZ"/>
              </w:rPr>
              <w:t xml:space="preserve">       </w:t>
            </w:r>
            <w:r>
              <w:rPr>
                <w:rFonts w:ascii="Calibri" w:hAnsi="Calibri"/>
                <w:b/>
                <w:bCs/>
                <w:sz w:val="20"/>
              </w:rPr>
              <w:t>0 Kč</w:t>
            </w:r>
          </w:p>
        </w:tc>
      </w:tr>
    </w:tbl>
    <w:p w14:paraId="13AC313B" w14:textId="34839F38" w:rsidR="00945A97" w:rsidRPr="004B0D06" w:rsidRDefault="00945A97" w:rsidP="00BD7EE1">
      <w:pPr>
        <w:pStyle w:val="A-pramen"/>
        <w:spacing w:after="120"/>
        <w:rPr>
          <w:rFonts w:ascii="Calibri" w:hAnsi="Calibri"/>
          <w:i/>
          <w:iCs/>
          <w:lang w:val="cs-CZ"/>
        </w:rPr>
      </w:pPr>
      <w:r w:rsidRPr="004B0D06">
        <w:rPr>
          <w:rFonts w:ascii="Calibri" w:hAnsi="Calibri"/>
          <w:i/>
          <w:iCs/>
          <w:lang w:val="cs-CZ"/>
        </w:rPr>
        <w:t xml:space="preserve">Zdroj: </w:t>
      </w:r>
      <w:r w:rsidR="005A2BFA" w:rsidRPr="004B0D06">
        <w:rPr>
          <w:rFonts w:ascii="Calibri" w:hAnsi="Calibri"/>
          <w:i/>
          <w:iCs/>
          <w:lang w:val="cs-CZ"/>
        </w:rPr>
        <w:t>autoři</w:t>
      </w:r>
    </w:p>
    <w:p w14:paraId="137EB86E" w14:textId="2735C93C" w:rsidR="007A0A52" w:rsidRPr="005149E0" w:rsidRDefault="007A0A52" w:rsidP="007A0A52">
      <w:pPr>
        <w:pStyle w:val="A1-text"/>
        <w:spacing w:after="120"/>
        <w:rPr>
          <w:rFonts w:asciiTheme="minorHAnsi" w:hAnsiTheme="minorHAnsi" w:cstheme="minorHAnsi"/>
          <w:b/>
          <w:lang w:val="cs-CZ"/>
        </w:rPr>
      </w:pPr>
      <w:r w:rsidRPr="005149E0">
        <w:rPr>
          <w:rFonts w:asciiTheme="minorHAnsi" w:hAnsiTheme="minorHAnsi" w:cstheme="minorHAnsi"/>
          <w:b/>
          <w:lang w:val="cs-CZ"/>
        </w:rPr>
        <w:lastRenderedPageBreak/>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 xml:space="preserve">dobrá praxe </w:t>
      </w:r>
      <w:r w:rsidR="000644FA">
        <w:rPr>
          <w:rFonts w:asciiTheme="minorHAnsi" w:hAnsiTheme="minorHAnsi" w:cstheme="minorHAnsi"/>
          <w:b/>
          <w:lang w:val="cs-CZ"/>
        </w:rPr>
        <w:t>z obou příkladů</w:t>
      </w:r>
      <w:r w:rsidRPr="005149E0">
        <w:rPr>
          <w:rFonts w:asciiTheme="minorHAnsi" w:hAnsiTheme="minorHAnsi" w:cstheme="minorHAnsi"/>
          <w:b/>
          <w:lang w:val="cs-CZ"/>
        </w:rPr>
        <w:t xml:space="preserve"> plynoucí:</w:t>
      </w:r>
    </w:p>
    <w:p w14:paraId="5776F296" w14:textId="6D317952" w:rsidR="005A2BFA" w:rsidRDefault="005A2BFA" w:rsidP="0065698B">
      <w:pPr>
        <w:pStyle w:val="Odstavecseseznamem"/>
        <w:numPr>
          <w:ilvl w:val="0"/>
          <w:numId w:val="22"/>
        </w:numPr>
        <w:jc w:val="both"/>
        <w:rPr>
          <w:rFonts w:asciiTheme="minorHAnsi" w:hAnsiTheme="minorHAnsi" w:cstheme="minorHAnsi"/>
        </w:rPr>
      </w:pPr>
      <w:r w:rsidRPr="005A2BFA">
        <w:rPr>
          <w:rFonts w:asciiTheme="minorHAnsi" w:hAnsiTheme="minorHAnsi" w:cstheme="minorHAnsi"/>
        </w:rPr>
        <w:t xml:space="preserve">Forma rozpočtu projektu závisí na místních podmínkách. </w:t>
      </w:r>
      <w:r w:rsidR="00572206">
        <w:rPr>
          <w:rFonts w:asciiTheme="minorHAnsi" w:hAnsiTheme="minorHAnsi" w:cstheme="minorHAnsi"/>
        </w:rPr>
        <w:t>Řada projektů nemá žádné výnosy, má jen náklady.</w:t>
      </w:r>
    </w:p>
    <w:p w14:paraId="06A3A456" w14:textId="0EA24179" w:rsidR="005A2BFA" w:rsidRDefault="005A2BFA" w:rsidP="0065698B">
      <w:pPr>
        <w:pStyle w:val="Odstavecseseznamem"/>
        <w:numPr>
          <w:ilvl w:val="0"/>
          <w:numId w:val="22"/>
        </w:numPr>
        <w:jc w:val="both"/>
        <w:rPr>
          <w:rFonts w:asciiTheme="minorHAnsi" w:hAnsiTheme="minorHAnsi" w:cstheme="minorHAnsi"/>
        </w:rPr>
      </w:pPr>
      <w:r w:rsidRPr="005A2BFA">
        <w:rPr>
          <w:rFonts w:asciiTheme="minorHAnsi" w:hAnsiTheme="minorHAnsi" w:cstheme="minorHAnsi"/>
        </w:rPr>
        <w:t xml:space="preserve">U investičních projektů na stavební práce </w:t>
      </w:r>
      <w:r>
        <w:rPr>
          <w:rFonts w:asciiTheme="minorHAnsi" w:hAnsiTheme="minorHAnsi" w:cstheme="minorHAnsi"/>
        </w:rPr>
        <w:t>r</w:t>
      </w:r>
      <w:r w:rsidRPr="005A2BFA">
        <w:rPr>
          <w:rFonts w:asciiTheme="minorHAnsi" w:hAnsiTheme="minorHAnsi" w:cstheme="minorHAnsi"/>
        </w:rPr>
        <w:t>ozpočet stavebních pr</w:t>
      </w:r>
      <w:r>
        <w:rPr>
          <w:rFonts w:asciiTheme="minorHAnsi" w:hAnsiTheme="minorHAnsi" w:cstheme="minorHAnsi"/>
        </w:rPr>
        <w:t>ací zpracuje obvykle projektant. Orientačně lze říci, že náklady na projektovou dokumentaci tvoří cca 5</w:t>
      </w:r>
      <w:r w:rsidR="002D76F7">
        <w:rPr>
          <w:rFonts w:asciiTheme="minorHAnsi" w:hAnsiTheme="minorHAnsi" w:cstheme="minorHAnsi"/>
        </w:rPr>
        <w:t xml:space="preserve"> </w:t>
      </w:r>
      <w:r>
        <w:rPr>
          <w:rFonts w:asciiTheme="minorHAnsi" w:hAnsiTheme="minorHAnsi" w:cstheme="minorHAnsi"/>
        </w:rPr>
        <w:t>% ceny stavebních prací, náklady na stavební dozor cca 1 až 1,5</w:t>
      </w:r>
      <w:r w:rsidR="002D76F7">
        <w:rPr>
          <w:rFonts w:asciiTheme="minorHAnsi" w:hAnsiTheme="minorHAnsi" w:cstheme="minorHAnsi"/>
        </w:rPr>
        <w:t xml:space="preserve"> </w:t>
      </w:r>
      <w:r>
        <w:rPr>
          <w:rFonts w:asciiTheme="minorHAnsi" w:hAnsiTheme="minorHAnsi" w:cstheme="minorHAnsi"/>
        </w:rPr>
        <w:t>% ceny stavebních prací.</w:t>
      </w:r>
    </w:p>
    <w:p w14:paraId="72077751" w14:textId="69F6BA54" w:rsidR="007A0A52" w:rsidRPr="005A2BFA" w:rsidRDefault="005A2BFA" w:rsidP="0065698B">
      <w:pPr>
        <w:pStyle w:val="Odstavecseseznamem"/>
        <w:numPr>
          <w:ilvl w:val="0"/>
          <w:numId w:val="22"/>
        </w:numPr>
        <w:jc w:val="both"/>
        <w:rPr>
          <w:rFonts w:asciiTheme="minorHAnsi" w:hAnsiTheme="minorHAnsi" w:cstheme="minorHAnsi"/>
        </w:rPr>
      </w:pPr>
      <w:r>
        <w:rPr>
          <w:rFonts w:asciiTheme="minorHAnsi" w:hAnsiTheme="minorHAnsi" w:cstheme="minorHAnsi"/>
        </w:rPr>
        <w:t>U ostatních projektů se rozpočet stanovuje například na základě zkušeností dle obdobných projektů nebo na základě poptávkového řízení.</w:t>
      </w:r>
      <w:r w:rsidR="00BD7EE1">
        <w:rPr>
          <w:rFonts w:asciiTheme="minorHAnsi" w:hAnsiTheme="minorHAnsi" w:cstheme="minorHAnsi"/>
        </w:rPr>
        <w:t xml:space="preserve"> Druhý projekt se týká konference, ale součástí strategie mohou být i jiné akce (například město pořádá festival, slavnosti či jiné akce). Rozpočet by pak vypadal obdobně.</w:t>
      </w:r>
    </w:p>
    <w:p w14:paraId="696CD76E" w14:textId="1EF7DF85" w:rsidR="007A0A52" w:rsidRDefault="007A0A52" w:rsidP="00945A97">
      <w:pPr>
        <w:spacing w:after="120"/>
        <w:jc w:val="both"/>
        <w:rPr>
          <w:rFonts w:ascii="Calibri" w:hAnsi="Calibri" w:cs="Calibri"/>
        </w:rPr>
      </w:pPr>
    </w:p>
    <w:p w14:paraId="2646B9B3" w14:textId="77777777" w:rsidR="00686930" w:rsidRDefault="00686930" w:rsidP="00945A97">
      <w:pPr>
        <w:spacing w:after="120"/>
        <w:jc w:val="both"/>
        <w:rPr>
          <w:rFonts w:ascii="Calibri" w:hAnsi="Calibri" w:cs="Calibri"/>
        </w:rPr>
      </w:pPr>
    </w:p>
    <w:p w14:paraId="71F67499" w14:textId="16D37DF5" w:rsidR="00E16BC7" w:rsidRDefault="00E16BC7" w:rsidP="00E16BC7">
      <w:pPr>
        <w:pStyle w:val="Nadpis2"/>
        <w:spacing w:before="240" w:after="120"/>
        <w:ind w:left="578" w:hanging="578"/>
        <w:rPr>
          <w:rFonts w:asciiTheme="minorHAnsi" w:hAnsiTheme="minorHAnsi" w:cstheme="minorHAnsi"/>
          <w:color w:val="7493B0"/>
          <w:sz w:val="24"/>
          <w:szCs w:val="24"/>
          <w:lang w:val="cs-CZ"/>
        </w:rPr>
      </w:pPr>
      <w:bookmarkStart w:id="85" w:name="_Toc117270022"/>
      <w:r w:rsidRPr="00E16BC7">
        <w:rPr>
          <w:rFonts w:asciiTheme="minorHAnsi" w:hAnsiTheme="minorHAnsi" w:cstheme="minorHAnsi"/>
          <w:color w:val="7493B0"/>
          <w:sz w:val="24"/>
          <w:szCs w:val="24"/>
          <w:lang w:val="cs-CZ"/>
        </w:rPr>
        <w:t>Pravidla pro zadlužování města Chrudim</w:t>
      </w:r>
      <w:bookmarkEnd w:id="85"/>
    </w:p>
    <w:p w14:paraId="53D7E5FC" w14:textId="77777777" w:rsidR="00336596" w:rsidRDefault="00336596" w:rsidP="00336596">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7200120A" w14:textId="0B4798E5" w:rsidR="00BD7EE1" w:rsidRDefault="00BD7EE1" w:rsidP="00336596">
      <w:pPr>
        <w:spacing w:after="120"/>
        <w:jc w:val="both"/>
        <w:rPr>
          <w:rFonts w:asciiTheme="minorHAnsi" w:hAnsiTheme="minorHAnsi" w:cstheme="minorHAnsi"/>
        </w:rPr>
      </w:pPr>
      <w:r>
        <w:rPr>
          <w:rFonts w:asciiTheme="minorHAnsi" w:hAnsiTheme="minorHAnsi" w:cstheme="minorHAnsi"/>
        </w:rPr>
        <w:t>Důležitou zásadou zdravého finančního řízení je problematika (ne)zadlužování</w:t>
      </w:r>
      <w:r w:rsidR="00C6043D">
        <w:rPr>
          <w:rFonts w:asciiTheme="minorHAnsi" w:hAnsiTheme="minorHAnsi" w:cstheme="minorHAnsi"/>
        </w:rPr>
        <w:t>.</w:t>
      </w:r>
      <w:r w:rsidR="001F29FA">
        <w:rPr>
          <w:rFonts w:asciiTheme="minorHAnsi" w:hAnsiTheme="minorHAnsi" w:cstheme="minorHAnsi"/>
        </w:rPr>
        <w:t xml:space="preserve"> </w:t>
      </w:r>
      <w:r w:rsidR="00C6043D">
        <w:rPr>
          <w:rFonts w:asciiTheme="minorHAnsi" w:hAnsiTheme="minorHAnsi" w:cstheme="minorHAnsi"/>
        </w:rPr>
        <w:t>Z</w:t>
      </w:r>
      <w:r w:rsidR="001F29FA">
        <w:rPr>
          <w:rFonts w:asciiTheme="minorHAnsi" w:hAnsiTheme="minorHAnsi" w:cstheme="minorHAnsi"/>
        </w:rPr>
        <w:t>ásady jsou popsány v </w:t>
      </w:r>
      <w:r w:rsidR="00C6043D">
        <w:rPr>
          <w:rFonts w:asciiTheme="minorHAnsi" w:hAnsiTheme="minorHAnsi" w:cstheme="minorHAnsi"/>
        </w:rPr>
        <w:t>kapitole 9</w:t>
      </w:r>
      <w:r w:rsidR="0020762C">
        <w:rPr>
          <w:rFonts w:asciiTheme="minorHAnsi" w:hAnsiTheme="minorHAnsi" w:cstheme="minorHAnsi"/>
        </w:rPr>
        <w:t>.</w:t>
      </w:r>
      <w:r>
        <w:rPr>
          <w:rFonts w:asciiTheme="minorHAnsi" w:hAnsiTheme="minorHAnsi" w:cstheme="minorHAnsi"/>
        </w:rPr>
        <w:t xml:space="preserve"> Případová studie se týká pravidel pro zadlužování města Chrudim, které si město stanovilo v roce </w:t>
      </w:r>
      <w:r w:rsidR="00C6043D">
        <w:rPr>
          <w:rFonts w:asciiTheme="minorHAnsi" w:hAnsiTheme="minorHAnsi" w:cstheme="minorHAnsi"/>
        </w:rPr>
        <w:t>2012.</w:t>
      </w:r>
      <w:r w:rsidR="0020762C">
        <w:rPr>
          <w:rFonts w:asciiTheme="minorHAnsi" w:hAnsiTheme="minorHAnsi" w:cstheme="minorHAnsi"/>
        </w:rPr>
        <w:t xml:space="preserve"> Pravidla jsou</w:t>
      </w:r>
      <w:r>
        <w:rPr>
          <w:rFonts w:asciiTheme="minorHAnsi" w:hAnsiTheme="minorHAnsi" w:cstheme="minorHAnsi"/>
        </w:rPr>
        <w:t xml:space="preserve"> stále platná.</w:t>
      </w:r>
    </w:p>
    <w:p w14:paraId="1218CC62" w14:textId="77777777" w:rsidR="00336596" w:rsidRPr="006B6EA5" w:rsidRDefault="00336596" w:rsidP="00336596">
      <w:pPr>
        <w:spacing w:after="120"/>
        <w:jc w:val="both"/>
        <w:rPr>
          <w:rFonts w:asciiTheme="minorHAnsi" w:hAnsiTheme="minorHAnsi" w:cstheme="minorHAnsi"/>
          <w:b/>
        </w:rPr>
      </w:pPr>
      <w:r w:rsidRPr="006B6EA5">
        <w:rPr>
          <w:rFonts w:asciiTheme="minorHAnsi" w:hAnsiTheme="minorHAnsi" w:cstheme="minorHAnsi"/>
          <w:b/>
        </w:rPr>
        <w:t>Popis případové studie:</w:t>
      </w:r>
    </w:p>
    <w:p w14:paraId="0F455EF1" w14:textId="5D243077" w:rsidR="0033750C" w:rsidRPr="0033750C" w:rsidRDefault="00BD7EE1" w:rsidP="0033750C">
      <w:pPr>
        <w:pStyle w:val="A1-text"/>
        <w:spacing w:after="120"/>
        <w:rPr>
          <w:rFonts w:asciiTheme="minorHAnsi" w:hAnsiTheme="minorHAnsi" w:cstheme="minorHAnsi"/>
        </w:rPr>
      </w:pPr>
      <w:r>
        <w:rPr>
          <w:rFonts w:asciiTheme="minorHAnsi" w:hAnsiTheme="minorHAnsi" w:cstheme="minorHAnsi"/>
        </w:rPr>
        <w:t xml:space="preserve">Dluhová brzda pro stát i samosprávy je stanovena zákonem </w:t>
      </w:r>
      <w:r w:rsidRPr="006A669F">
        <w:rPr>
          <w:rFonts w:asciiTheme="minorHAnsi" w:hAnsiTheme="minorHAnsi" w:cstheme="minorHAnsi"/>
        </w:rPr>
        <w:t>č. 23/2017 Sb., o prav</w:t>
      </w:r>
      <w:r>
        <w:rPr>
          <w:rFonts w:asciiTheme="minorHAnsi" w:hAnsiTheme="minorHAnsi" w:cstheme="minorHAnsi"/>
        </w:rPr>
        <w:t xml:space="preserve">idlech rozpočtové odpovědnosti, nicméně samosprávy si mohou nastavit dle místních podmínek přísnější pravidla. </w:t>
      </w:r>
      <w:r w:rsidR="0020762C" w:rsidRPr="0020762C">
        <w:rPr>
          <w:rFonts w:asciiTheme="minorHAnsi" w:hAnsiTheme="minorHAnsi" w:cstheme="minorHAnsi"/>
        </w:rPr>
        <w:t xml:space="preserve">To je i případ popsaný v této případové studii. Město Chrudim si tato pravidla stanovila v rámci auditu udržitelného rozvoje. Požadavek na existenci </w:t>
      </w:r>
      <w:r w:rsidR="0020762C">
        <w:rPr>
          <w:rFonts w:asciiTheme="minorHAnsi" w:hAnsiTheme="minorHAnsi" w:cstheme="minorHAnsi"/>
          <w:lang w:val="cs-CZ"/>
        </w:rPr>
        <w:t>přiměřených</w:t>
      </w:r>
      <w:r w:rsidR="0020762C" w:rsidRPr="0020762C">
        <w:rPr>
          <w:rFonts w:asciiTheme="minorHAnsi" w:hAnsiTheme="minorHAnsi" w:cstheme="minorHAnsi"/>
        </w:rPr>
        <w:t xml:space="preserve"> vnitřních pravidel pro </w:t>
      </w:r>
      <w:r w:rsidR="0020762C">
        <w:rPr>
          <w:rFonts w:asciiTheme="minorHAnsi" w:hAnsiTheme="minorHAnsi" w:cstheme="minorHAnsi"/>
          <w:lang w:val="cs-CZ"/>
        </w:rPr>
        <w:t>(ne)</w:t>
      </w:r>
      <w:r w:rsidR="0020762C">
        <w:rPr>
          <w:rFonts w:asciiTheme="minorHAnsi" w:hAnsiTheme="minorHAnsi" w:cstheme="minorHAnsi"/>
        </w:rPr>
        <w:t xml:space="preserve">zadlužování města, která jsou dodržována, </w:t>
      </w:r>
      <w:r w:rsidR="0020762C">
        <w:rPr>
          <w:rFonts w:asciiTheme="minorHAnsi" w:hAnsiTheme="minorHAnsi" w:cstheme="minorHAnsi"/>
          <w:lang w:val="cs-CZ"/>
        </w:rPr>
        <w:t>je součástí jedné z deseti hodnocení oblastí, konkrétně oblasti „</w:t>
      </w:r>
      <w:r w:rsidR="0020762C" w:rsidRPr="0064685A">
        <w:rPr>
          <w:rFonts w:asciiTheme="minorHAnsi" w:hAnsiTheme="minorHAnsi"/>
        </w:rPr>
        <w:t>1. Správa věcí veřejných a územní rozvoj</w:t>
      </w:r>
      <w:r w:rsidR="0020762C">
        <w:rPr>
          <w:rFonts w:asciiTheme="minorHAnsi" w:hAnsiTheme="minorHAnsi"/>
          <w:lang w:val="cs-CZ"/>
        </w:rPr>
        <w:t>“</w:t>
      </w:r>
      <w:r w:rsidR="0020762C">
        <w:rPr>
          <w:rStyle w:val="Znakapoznpodarou"/>
          <w:rFonts w:asciiTheme="minorHAnsi" w:hAnsiTheme="minorHAnsi"/>
          <w:lang w:val="cs-CZ"/>
        </w:rPr>
        <w:footnoteReference w:id="58"/>
      </w:r>
      <w:r w:rsidR="0020762C">
        <w:rPr>
          <w:rFonts w:asciiTheme="minorHAnsi" w:hAnsiTheme="minorHAnsi"/>
          <w:lang w:val="cs-CZ"/>
        </w:rPr>
        <w:t xml:space="preserve">. </w:t>
      </w:r>
      <w:r w:rsidR="00457858">
        <w:rPr>
          <w:rFonts w:asciiTheme="minorHAnsi" w:hAnsiTheme="minorHAnsi"/>
          <w:lang w:val="cs-CZ"/>
        </w:rPr>
        <w:t xml:space="preserve">Pravidla schválilo zastupitelstvo města dne 17. 12. 20212 (usnesení </w:t>
      </w:r>
      <w:r w:rsidR="00457858" w:rsidRPr="0020762C">
        <w:rPr>
          <w:rFonts w:asciiTheme="minorHAnsi" w:hAnsiTheme="minorHAnsi" w:cstheme="minorHAnsi"/>
        </w:rPr>
        <w:t>Z/91/2012</w:t>
      </w:r>
      <w:r w:rsidR="00457858">
        <w:rPr>
          <w:rFonts w:asciiTheme="minorHAnsi" w:hAnsiTheme="minorHAnsi" w:cstheme="minorHAnsi"/>
          <w:lang w:val="cs-CZ"/>
        </w:rPr>
        <w:t>) a pravidla jsou každoročně vyhodnocována při závěrečném účtu.</w:t>
      </w:r>
      <w:r w:rsidR="0033750C">
        <w:rPr>
          <w:rFonts w:asciiTheme="minorHAnsi" w:hAnsiTheme="minorHAnsi" w:cstheme="minorHAnsi"/>
          <w:lang w:val="cs-CZ"/>
        </w:rPr>
        <w:t xml:space="preserve"> </w:t>
      </w:r>
      <w:r w:rsidR="0020762C" w:rsidRPr="0020762C">
        <w:rPr>
          <w:rFonts w:asciiTheme="minorHAnsi" w:hAnsiTheme="minorHAnsi" w:cstheme="minorHAnsi"/>
        </w:rPr>
        <w:t>Tato pravidla byla aktualizována v roce 23.5.2017.</w:t>
      </w:r>
      <w:r w:rsidR="0033750C">
        <w:rPr>
          <w:rFonts w:asciiTheme="minorHAnsi" w:hAnsiTheme="minorHAnsi" w:cstheme="minorHAnsi"/>
          <w:lang w:val="cs-CZ"/>
        </w:rPr>
        <w:t xml:space="preserve"> Pravidla stanovují, že nesmí být překročen </w:t>
      </w:r>
      <w:r w:rsidR="0033750C" w:rsidRPr="0033750C">
        <w:rPr>
          <w:rFonts w:asciiTheme="minorHAnsi" w:hAnsiTheme="minorHAnsi" w:cstheme="minorHAnsi"/>
        </w:rPr>
        <w:t xml:space="preserve">limit dluhu na </w:t>
      </w:r>
      <w:r w:rsidR="0033750C">
        <w:rPr>
          <w:rFonts w:asciiTheme="minorHAnsi" w:hAnsiTheme="minorHAnsi" w:cstheme="minorHAnsi"/>
          <w:lang w:val="cs-CZ"/>
        </w:rPr>
        <w:t xml:space="preserve">jednoho </w:t>
      </w:r>
      <w:r w:rsidR="0033750C" w:rsidRPr="0033750C">
        <w:rPr>
          <w:rFonts w:asciiTheme="minorHAnsi" w:hAnsiTheme="minorHAnsi" w:cstheme="minorHAnsi"/>
        </w:rPr>
        <w:t xml:space="preserve">obyvatele </w:t>
      </w:r>
      <w:r w:rsidR="0033750C">
        <w:rPr>
          <w:rFonts w:asciiTheme="minorHAnsi" w:hAnsiTheme="minorHAnsi" w:cstheme="minorHAnsi"/>
          <w:lang w:val="cs-CZ"/>
        </w:rPr>
        <w:t>(</w:t>
      </w:r>
      <w:r w:rsidR="0033750C" w:rsidRPr="0033750C">
        <w:rPr>
          <w:rFonts w:asciiTheme="minorHAnsi" w:hAnsiTheme="minorHAnsi" w:cstheme="minorHAnsi"/>
        </w:rPr>
        <w:t xml:space="preserve">do </w:t>
      </w:r>
      <w:r w:rsidR="0033750C" w:rsidRPr="0033750C">
        <w:rPr>
          <w:rFonts w:asciiTheme="minorHAnsi" w:hAnsiTheme="minorHAnsi" w:cstheme="minorHAnsi"/>
        </w:rPr>
        <w:lastRenderedPageBreak/>
        <w:t>10 tis. Kč</w:t>
      </w:r>
      <w:r w:rsidR="0033750C">
        <w:rPr>
          <w:rFonts w:asciiTheme="minorHAnsi" w:hAnsiTheme="minorHAnsi" w:cstheme="minorHAnsi"/>
          <w:lang w:val="cs-CZ"/>
        </w:rPr>
        <w:t>)</w:t>
      </w:r>
      <w:r w:rsidR="0033750C" w:rsidRPr="0033750C">
        <w:rPr>
          <w:rFonts w:asciiTheme="minorHAnsi" w:hAnsiTheme="minorHAnsi" w:cstheme="minorHAnsi"/>
        </w:rPr>
        <w:t xml:space="preserve"> a poměr z</w:t>
      </w:r>
      <w:r w:rsidR="0033750C">
        <w:rPr>
          <w:rFonts w:asciiTheme="minorHAnsi" w:hAnsiTheme="minorHAnsi" w:cstheme="minorHAnsi"/>
        </w:rPr>
        <w:t>adlužení</w:t>
      </w:r>
      <w:r w:rsidR="0033750C">
        <w:rPr>
          <w:rFonts w:asciiTheme="minorHAnsi" w:hAnsiTheme="minorHAnsi" w:cstheme="minorHAnsi"/>
          <w:lang w:val="cs-CZ"/>
        </w:rPr>
        <w:t xml:space="preserve"> musí být </w:t>
      </w:r>
      <w:r w:rsidR="0033750C">
        <w:rPr>
          <w:rFonts w:asciiTheme="minorHAnsi" w:hAnsiTheme="minorHAnsi" w:cstheme="minorHAnsi"/>
        </w:rPr>
        <w:t xml:space="preserve">do 50 %. </w:t>
      </w:r>
      <w:r w:rsidR="0033750C">
        <w:rPr>
          <w:rFonts w:asciiTheme="minorHAnsi" w:hAnsiTheme="minorHAnsi" w:cstheme="minorHAnsi"/>
          <w:lang w:val="cs-CZ"/>
        </w:rPr>
        <w:t xml:space="preserve">Současně (od roku 2017) je nutné dodržet také limit </w:t>
      </w:r>
      <w:r w:rsidR="0033750C" w:rsidRPr="0033750C">
        <w:rPr>
          <w:rFonts w:asciiTheme="minorHAnsi" w:hAnsiTheme="minorHAnsi" w:cstheme="minorHAnsi"/>
        </w:rPr>
        <w:t>podle z</w:t>
      </w:r>
      <w:r w:rsidR="0033750C">
        <w:rPr>
          <w:rFonts w:asciiTheme="minorHAnsi" w:hAnsiTheme="minorHAnsi" w:cstheme="minorHAnsi"/>
        </w:rPr>
        <w:t>ákona o rozpočtové odpovědnosti</w:t>
      </w:r>
      <w:r w:rsidR="0033750C" w:rsidRPr="0033750C">
        <w:rPr>
          <w:rFonts w:asciiTheme="minorHAnsi" w:hAnsiTheme="minorHAnsi" w:cstheme="minorHAnsi"/>
        </w:rPr>
        <w:t>.</w:t>
      </w:r>
    </w:p>
    <w:p w14:paraId="3E21E46B" w14:textId="7A0B28EC" w:rsidR="00336596" w:rsidRPr="005149E0" w:rsidRDefault="00336596" w:rsidP="00336596">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3544BA75" w14:textId="7F6B7E7E" w:rsidR="00336596" w:rsidRDefault="002E7BC4" w:rsidP="0065698B">
      <w:pPr>
        <w:pStyle w:val="Odstavecseseznamem"/>
        <w:numPr>
          <w:ilvl w:val="0"/>
          <w:numId w:val="22"/>
        </w:numPr>
        <w:jc w:val="both"/>
        <w:rPr>
          <w:rFonts w:asciiTheme="minorHAnsi" w:hAnsiTheme="minorHAnsi" w:cstheme="minorHAnsi"/>
        </w:rPr>
      </w:pPr>
      <w:r>
        <w:rPr>
          <w:rFonts w:asciiTheme="minorHAnsi" w:hAnsiTheme="minorHAnsi" w:cstheme="minorHAnsi"/>
        </w:rPr>
        <w:t xml:space="preserve">Zastupitelstvo města Chrudim si schválilo svá pravidla 5 let před schválením zákona </w:t>
      </w:r>
      <w:r w:rsidRPr="006A669F">
        <w:rPr>
          <w:rFonts w:asciiTheme="minorHAnsi" w:hAnsiTheme="minorHAnsi" w:cstheme="minorHAnsi"/>
        </w:rPr>
        <w:t>č. 23/2017 Sb., o prav</w:t>
      </w:r>
      <w:r>
        <w:rPr>
          <w:rFonts w:asciiTheme="minorHAnsi" w:hAnsiTheme="minorHAnsi" w:cstheme="minorHAnsi"/>
        </w:rPr>
        <w:t>idlech rozpočtové odpovědnosti. Vnitřní pravidla jsou přísnější, než uvádí tento zákon. Pravidla jsou velmi jednoduchá a jsou každoročně vyhodnocována.</w:t>
      </w:r>
    </w:p>
    <w:p w14:paraId="28B1EF53" w14:textId="43B75EE5" w:rsidR="00336596" w:rsidRDefault="002E7BC4" w:rsidP="0065698B">
      <w:pPr>
        <w:pStyle w:val="Odstavecseseznamem"/>
        <w:numPr>
          <w:ilvl w:val="0"/>
          <w:numId w:val="22"/>
        </w:numPr>
        <w:jc w:val="both"/>
        <w:rPr>
          <w:rFonts w:asciiTheme="minorHAnsi" w:hAnsiTheme="minorHAnsi" w:cstheme="minorHAnsi"/>
        </w:rPr>
      </w:pPr>
      <w:r>
        <w:rPr>
          <w:rFonts w:asciiTheme="minorHAnsi" w:hAnsiTheme="minorHAnsi" w:cstheme="minorHAnsi"/>
        </w:rPr>
        <w:t>Existence pravidel lze považovat za dobrou praxi.</w:t>
      </w:r>
    </w:p>
    <w:p w14:paraId="4A93CB16" w14:textId="580A815E" w:rsidR="00336596" w:rsidRDefault="00336596" w:rsidP="00336596"/>
    <w:p w14:paraId="2611D335" w14:textId="77777777" w:rsidR="00CF03B1" w:rsidRPr="00336596" w:rsidRDefault="00CF03B1" w:rsidP="00336596"/>
    <w:p w14:paraId="621DD359" w14:textId="1F22E1D7" w:rsidR="00437738" w:rsidRDefault="00437738" w:rsidP="00997766">
      <w:pPr>
        <w:pStyle w:val="Nadpis2"/>
        <w:spacing w:before="240" w:after="120"/>
        <w:ind w:left="578" w:hanging="578"/>
        <w:rPr>
          <w:rFonts w:asciiTheme="minorHAnsi" w:hAnsiTheme="minorHAnsi" w:cstheme="minorHAnsi"/>
          <w:color w:val="7493B0"/>
          <w:sz w:val="24"/>
          <w:szCs w:val="24"/>
          <w:lang w:val="cs-CZ"/>
        </w:rPr>
      </w:pPr>
      <w:bookmarkStart w:id="86" w:name="_Toc117270023"/>
      <w:bookmarkStart w:id="87" w:name="_Toc105103333"/>
      <w:r>
        <w:rPr>
          <w:rFonts w:asciiTheme="minorHAnsi" w:hAnsiTheme="minorHAnsi" w:cstheme="minorHAnsi"/>
          <w:color w:val="7493B0"/>
          <w:sz w:val="24"/>
          <w:szCs w:val="24"/>
          <w:lang w:val="cs-CZ"/>
        </w:rPr>
        <w:t>Příklady</w:t>
      </w:r>
      <w:r w:rsidR="00997766" w:rsidRPr="00997766">
        <w:rPr>
          <w:rFonts w:asciiTheme="minorHAnsi" w:hAnsiTheme="minorHAnsi" w:cstheme="minorHAnsi"/>
          <w:color w:val="7493B0"/>
          <w:sz w:val="24"/>
          <w:szCs w:val="24"/>
          <w:lang w:val="cs-CZ"/>
        </w:rPr>
        <w:t xml:space="preserve"> </w:t>
      </w:r>
      <w:r w:rsidR="00997766">
        <w:rPr>
          <w:rFonts w:asciiTheme="minorHAnsi" w:hAnsiTheme="minorHAnsi" w:cstheme="minorHAnsi"/>
          <w:color w:val="7493B0"/>
          <w:sz w:val="24"/>
          <w:szCs w:val="24"/>
          <w:lang w:val="cs-CZ"/>
        </w:rPr>
        <w:t>prověření 3E</w:t>
      </w:r>
      <w:bookmarkEnd w:id="86"/>
      <w:r w:rsidR="00997766">
        <w:rPr>
          <w:rFonts w:asciiTheme="minorHAnsi" w:hAnsiTheme="minorHAnsi" w:cstheme="minorHAnsi"/>
          <w:color w:val="7493B0"/>
          <w:sz w:val="24"/>
          <w:szCs w:val="24"/>
          <w:lang w:val="cs-CZ"/>
        </w:rPr>
        <w:t xml:space="preserve"> </w:t>
      </w:r>
    </w:p>
    <w:p w14:paraId="74754A30" w14:textId="77777777" w:rsidR="00EA6F99" w:rsidRDefault="00EA6F99" w:rsidP="00EA6F99">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433BCC3B" w14:textId="4E25979A" w:rsidR="00FF5653" w:rsidRDefault="00FF5653" w:rsidP="00EA6F99">
      <w:pPr>
        <w:spacing w:after="120"/>
        <w:jc w:val="both"/>
        <w:rPr>
          <w:rFonts w:asciiTheme="minorHAnsi" w:hAnsiTheme="minorHAnsi" w:cstheme="minorHAnsi"/>
        </w:rPr>
      </w:pPr>
      <w:r w:rsidRPr="00FF5653">
        <w:rPr>
          <w:rFonts w:asciiTheme="minorHAnsi" w:hAnsiTheme="minorHAnsi" w:cstheme="minorHAnsi"/>
        </w:rPr>
        <w:t>Třetí zásada zdravého finančního řízení se týká kritérií 3E - Účelnost, efektivnost a hospodárnost</w:t>
      </w:r>
      <w:r>
        <w:rPr>
          <w:rFonts w:asciiTheme="minorHAnsi" w:hAnsiTheme="minorHAnsi" w:cstheme="minorHAnsi"/>
        </w:rPr>
        <w:t xml:space="preserve"> mají být</w:t>
      </w:r>
      <w:r w:rsidRPr="00FF5653">
        <w:rPr>
          <w:rFonts w:asciiTheme="minorHAnsi" w:hAnsiTheme="minorHAnsi" w:cstheme="minorHAnsi"/>
        </w:rPr>
        <w:t xml:space="preserve"> součást</w:t>
      </w:r>
      <w:r w:rsidR="00DB39C1">
        <w:rPr>
          <w:rFonts w:asciiTheme="minorHAnsi" w:hAnsiTheme="minorHAnsi" w:cstheme="minorHAnsi"/>
        </w:rPr>
        <w:t>í</w:t>
      </w:r>
      <w:r w:rsidRPr="00FF5653">
        <w:rPr>
          <w:rFonts w:asciiTheme="minorHAnsi" w:hAnsiTheme="minorHAnsi" w:cstheme="minorHAnsi"/>
        </w:rPr>
        <w:t xml:space="preserve"> systému řízení</w:t>
      </w:r>
      <w:r>
        <w:rPr>
          <w:rFonts w:asciiTheme="minorHAnsi" w:hAnsiTheme="minorHAnsi" w:cstheme="minorHAnsi"/>
        </w:rPr>
        <w:t xml:space="preserve">. Problematika prověřování kritérii 3E u každého nakládání s veřejnými prostředky je zákonná povinnost (více viz kapitola 3). To se týká také prostředků v rámci strategické práce. </w:t>
      </w:r>
    </w:p>
    <w:p w14:paraId="2B1ED2EC" w14:textId="77777777" w:rsidR="00EA6F99" w:rsidRPr="006B6EA5" w:rsidRDefault="00EA6F99" w:rsidP="00EA6F99">
      <w:pPr>
        <w:spacing w:after="120"/>
        <w:jc w:val="both"/>
        <w:rPr>
          <w:rFonts w:asciiTheme="minorHAnsi" w:hAnsiTheme="minorHAnsi" w:cstheme="minorHAnsi"/>
          <w:b/>
        </w:rPr>
      </w:pPr>
      <w:r w:rsidRPr="006B6EA5">
        <w:rPr>
          <w:rFonts w:asciiTheme="minorHAnsi" w:hAnsiTheme="minorHAnsi" w:cstheme="minorHAnsi"/>
          <w:b/>
        </w:rPr>
        <w:t>Popis případové studie:</w:t>
      </w:r>
    </w:p>
    <w:p w14:paraId="52F5A198" w14:textId="315DD0D4" w:rsidR="00225455" w:rsidRPr="00225455" w:rsidRDefault="00225455" w:rsidP="00225455">
      <w:pPr>
        <w:spacing w:after="120"/>
        <w:jc w:val="both"/>
        <w:rPr>
          <w:rFonts w:asciiTheme="minorHAnsi" w:hAnsiTheme="minorHAnsi" w:cstheme="minorHAnsi"/>
        </w:rPr>
      </w:pPr>
      <w:r>
        <w:rPr>
          <w:rFonts w:asciiTheme="minorHAnsi" w:hAnsiTheme="minorHAnsi" w:cstheme="minorHAnsi"/>
        </w:rPr>
        <w:t>Ze zákona vyplývá, že je nezbytné prověřovat jak výdaje, tak příjmy. Byly zvoleny 3 příklady na výdaje a 1 příklad na příjmy. Příklady mají takový charakter, že je možné se s nimi v rámci strategické práce setkat. Jde o (1) prověření výdajů</w:t>
      </w:r>
      <w:r w:rsidRPr="00225455">
        <w:rPr>
          <w:rFonts w:asciiTheme="minorHAnsi" w:hAnsiTheme="minorHAnsi" w:cstheme="minorHAnsi"/>
        </w:rPr>
        <w:t xml:space="preserve"> </w:t>
      </w:r>
      <w:r>
        <w:rPr>
          <w:rFonts w:asciiTheme="minorHAnsi" w:hAnsiTheme="minorHAnsi" w:cstheme="minorHAnsi"/>
        </w:rPr>
        <w:t>na veřejnou</w:t>
      </w:r>
      <w:r w:rsidRPr="00225455">
        <w:rPr>
          <w:rFonts w:asciiTheme="minorHAnsi" w:hAnsiTheme="minorHAnsi" w:cstheme="minorHAnsi"/>
        </w:rPr>
        <w:t xml:space="preserve"> zakázk</w:t>
      </w:r>
      <w:r>
        <w:rPr>
          <w:rFonts w:asciiTheme="minorHAnsi" w:hAnsiTheme="minorHAnsi" w:cstheme="minorHAnsi"/>
        </w:rPr>
        <w:t>u</w:t>
      </w:r>
      <w:r w:rsidRPr="00225455">
        <w:rPr>
          <w:rFonts w:asciiTheme="minorHAnsi" w:hAnsiTheme="minorHAnsi" w:cstheme="minorHAnsi"/>
        </w:rPr>
        <w:t xml:space="preserve"> na parkoviště</w:t>
      </w:r>
      <w:r>
        <w:rPr>
          <w:rFonts w:asciiTheme="minorHAnsi" w:hAnsiTheme="minorHAnsi" w:cstheme="minorHAnsi"/>
        </w:rPr>
        <w:t>, (2) prověření výdajů</w:t>
      </w:r>
      <w:r w:rsidRPr="00225455">
        <w:rPr>
          <w:rFonts w:asciiTheme="minorHAnsi" w:hAnsiTheme="minorHAnsi" w:cstheme="minorHAnsi"/>
        </w:rPr>
        <w:t xml:space="preserve"> </w:t>
      </w:r>
      <w:r>
        <w:rPr>
          <w:rFonts w:asciiTheme="minorHAnsi" w:hAnsiTheme="minorHAnsi" w:cstheme="minorHAnsi"/>
        </w:rPr>
        <w:t xml:space="preserve">na </w:t>
      </w:r>
      <w:r w:rsidRPr="00225455">
        <w:rPr>
          <w:rFonts w:asciiTheme="minorHAnsi" w:hAnsiTheme="minorHAnsi" w:cstheme="minorHAnsi"/>
        </w:rPr>
        <w:t>zateplení budovy</w:t>
      </w:r>
      <w:r>
        <w:rPr>
          <w:rFonts w:asciiTheme="minorHAnsi" w:hAnsiTheme="minorHAnsi" w:cstheme="minorHAnsi"/>
        </w:rPr>
        <w:t>, (3) prověření výdajů</w:t>
      </w:r>
      <w:r w:rsidRPr="00225455">
        <w:rPr>
          <w:rFonts w:asciiTheme="minorHAnsi" w:hAnsiTheme="minorHAnsi" w:cstheme="minorHAnsi"/>
        </w:rPr>
        <w:t xml:space="preserve"> </w:t>
      </w:r>
      <w:r>
        <w:rPr>
          <w:rFonts w:asciiTheme="minorHAnsi" w:hAnsiTheme="minorHAnsi" w:cstheme="minorHAnsi"/>
        </w:rPr>
        <w:t xml:space="preserve">na </w:t>
      </w:r>
      <w:r w:rsidRPr="00225455">
        <w:rPr>
          <w:rFonts w:asciiTheme="minorHAnsi" w:hAnsiTheme="minorHAnsi" w:cstheme="minorHAnsi"/>
        </w:rPr>
        <w:t>nákup počítačů</w:t>
      </w:r>
      <w:r>
        <w:rPr>
          <w:rFonts w:asciiTheme="minorHAnsi" w:hAnsiTheme="minorHAnsi" w:cstheme="minorHAnsi"/>
        </w:rPr>
        <w:t xml:space="preserve">, (4) prověření příjmů </w:t>
      </w:r>
      <w:r w:rsidRPr="00225455">
        <w:rPr>
          <w:rFonts w:asciiTheme="minorHAnsi" w:hAnsiTheme="minorHAnsi" w:cstheme="minorHAnsi"/>
        </w:rPr>
        <w:t>za pronájem nebytových prostor</w:t>
      </w:r>
    </w:p>
    <w:p w14:paraId="41065E77" w14:textId="77777777" w:rsidR="00CF03B1" w:rsidRDefault="00CF03B1" w:rsidP="00437738">
      <w:pPr>
        <w:spacing w:after="120"/>
        <w:jc w:val="both"/>
        <w:rPr>
          <w:rFonts w:ascii="Calibri" w:hAnsi="Calibri" w:cs="Calibri"/>
          <w:b/>
        </w:rPr>
      </w:pPr>
      <w:bookmarkStart w:id="88" w:name="_Toc105103335"/>
      <w:bookmarkEnd w:id="87"/>
    </w:p>
    <w:p w14:paraId="5EDE7BA5" w14:textId="2A4F5897" w:rsidR="0064685A" w:rsidRPr="00437738" w:rsidRDefault="0064685A" w:rsidP="00437738">
      <w:pPr>
        <w:spacing w:after="120"/>
        <w:jc w:val="both"/>
        <w:rPr>
          <w:rFonts w:ascii="Calibri" w:hAnsi="Calibri" w:cs="Calibri"/>
          <w:b/>
        </w:rPr>
      </w:pPr>
      <w:r w:rsidRPr="00437738">
        <w:rPr>
          <w:rFonts w:ascii="Calibri" w:hAnsi="Calibri" w:cs="Calibri"/>
          <w:b/>
        </w:rPr>
        <w:t xml:space="preserve">Případová studie </w:t>
      </w:r>
      <w:r w:rsidR="00225455">
        <w:rPr>
          <w:rFonts w:ascii="Calibri" w:hAnsi="Calibri" w:cs="Calibri"/>
          <w:b/>
        </w:rPr>
        <w:t xml:space="preserve">prověřování 3E č. 1 </w:t>
      </w:r>
      <w:r w:rsidRPr="00437738">
        <w:rPr>
          <w:rFonts w:ascii="Calibri" w:hAnsi="Calibri" w:cs="Calibri"/>
          <w:b/>
        </w:rPr>
        <w:t>– veřejná zakázka na parkoviště</w:t>
      </w:r>
      <w:bookmarkEnd w:id="88"/>
    </w:p>
    <w:p w14:paraId="183A6301" w14:textId="77777777" w:rsidR="0064685A" w:rsidRPr="008005B3" w:rsidRDefault="0064685A" w:rsidP="0064685A">
      <w:pPr>
        <w:jc w:val="both"/>
        <w:rPr>
          <w:rFonts w:ascii="Calibri" w:hAnsi="Calibri" w:cs="Calibri"/>
        </w:rPr>
      </w:pPr>
      <w:r>
        <w:rPr>
          <w:rFonts w:ascii="Calibri" w:hAnsi="Calibri" w:cs="Calibri"/>
        </w:rPr>
        <w:t>Případová studie je v následující tabulce. Pod ní jsou uvedeny komentáře či omezení.</w:t>
      </w:r>
    </w:p>
    <w:p w14:paraId="12F4CCB9" w14:textId="2FEA18A4" w:rsidR="0064685A" w:rsidRPr="00E143E1" w:rsidRDefault="0064685A" w:rsidP="0064685A">
      <w:pPr>
        <w:pStyle w:val="Zkladntext3"/>
        <w:spacing w:after="0" w:line="360" w:lineRule="auto"/>
        <w:jc w:val="both"/>
        <w:rPr>
          <w:rFonts w:asciiTheme="minorHAnsi" w:eastAsia="Calibri" w:hAnsiTheme="minorHAnsi" w:cstheme="minorHAnsi"/>
          <w:i/>
          <w:iCs/>
          <w:sz w:val="24"/>
          <w:szCs w:val="24"/>
        </w:rPr>
      </w:pPr>
      <w:r w:rsidRPr="00E143E1">
        <w:rPr>
          <w:rFonts w:asciiTheme="minorHAnsi" w:eastAsia="Calibri" w:hAnsiTheme="minorHAnsi" w:cstheme="minorHAnsi"/>
          <w:i/>
          <w:iCs/>
          <w:sz w:val="24"/>
          <w:szCs w:val="24"/>
        </w:rPr>
        <w:t>Tab.</w:t>
      </w:r>
      <w:r w:rsidR="004F0E1D">
        <w:rPr>
          <w:rFonts w:asciiTheme="minorHAnsi" w:eastAsia="Calibri" w:hAnsiTheme="minorHAnsi" w:cstheme="minorHAnsi"/>
          <w:i/>
          <w:iCs/>
          <w:sz w:val="24"/>
          <w:szCs w:val="24"/>
        </w:rPr>
        <w:t xml:space="preserve"> 2</w:t>
      </w:r>
      <w:r w:rsidR="00C14739">
        <w:rPr>
          <w:rFonts w:asciiTheme="minorHAnsi" w:eastAsia="Calibri" w:hAnsiTheme="minorHAnsi" w:cstheme="minorHAnsi"/>
          <w:i/>
          <w:iCs/>
          <w:sz w:val="24"/>
          <w:szCs w:val="24"/>
        </w:rPr>
        <w:t>5</w:t>
      </w:r>
      <w:r w:rsidRPr="00E143E1">
        <w:rPr>
          <w:rFonts w:asciiTheme="minorHAnsi" w:eastAsia="Calibri" w:hAnsiTheme="minorHAnsi" w:cstheme="minorHAnsi"/>
          <w:i/>
          <w:iCs/>
          <w:sz w:val="24"/>
          <w:szCs w:val="24"/>
        </w:rPr>
        <w:t xml:space="preserve"> </w:t>
      </w:r>
      <w:r>
        <w:rPr>
          <w:rFonts w:asciiTheme="minorHAnsi" w:eastAsia="Calibri" w:hAnsiTheme="minorHAnsi" w:cstheme="minorHAnsi"/>
          <w:i/>
          <w:iCs/>
          <w:sz w:val="24"/>
          <w:szCs w:val="24"/>
        </w:rPr>
        <w:t xml:space="preserve"> </w:t>
      </w:r>
      <w:r w:rsidRPr="00E143E1">
        <w:rPr>
          <w:rFonts w:asciiTheme="minorHAnsi" w:eastAsia="Calibri" w:hAnsiTheme="minorHAnsi" w:cstheme="minorHAnsi"/>
          <w:i/>
          <w:iCs/>
          <w:sz w:val="24"/>
          <w:szCs w:val="24"/>
        </w:rPr>
        <w:t>Prověření kritérií 3E - Veřejná zakázka na parkoviště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5"/>
        <w:gridCol w:w="3005"/>
      </w:tblGrid>
      <w:tr w:rsidR="0064685A" w:rsidRPr="005B76D4" w14:paraId="488380B2" w14:textId="77777777" w:rsidTr="00F77DE2">
        <w:tc>
          <w:tcPr>
            <w:tcW w:w="9016" w:type="dxa"/>
            <w:gridSpan w:val="3"/>
            <w:shd w:val="clear" w:color="auto" w:fill="E7E6E6" w:themeFill="background2"/>
          </w:tcPr>
          <w:p w14:paraId="545E80E4" w14:textId="77777777" w:rsidR="0064685A" w:rsidRPr="005B76D4" w:rsidRDefault="0064685A" w:rsidP="00F77DE2">
            <w:pPr>
              <w:spacing w:line="216" w:lineRule="auto"/>
              <w:ind w:left="-57" w:right="-57"/>
              <w:rPr>
                <w:rFonts w:asciiTheme="minorHAnsi" w:hAnsiTheme="minorHAnsi"/>
                <w:b/>
                <w:sz w:val="22"/>
                <w:szCs w:val="22"/>
              </w:rPr>
            </w:pPr>
            <w:r w:rsidRPr="005B76D4">
              <w:rPr>
                <w:rFonts w:asciiTheme="minorHAnsi" w:hAnsiTheme="minorHAnsi"/>
                <w:b/>
                <w:sz w:val="22"/>
                <w:szCs w:val="22"/>
              </w:rPr>
              <w:t>Popis výdajové operace:</w:t>
            </w:r>
          </w:p>
        </w:tc>
      </w:tr>
      <w:tr w:rsidR="0064685A" w:rsidRPr="005B76D4" w14:paraId="5C0B09EE" w14:textId="77777777" w:rsidTr="00F77DE2">
        <w:tc>
          <w:tcPr>
            <w:tcW w:w="9016" w:type="dxa"/>
            <w:gridSpan w:val="3"/>
            <w:shd w:val="clear" w:color="auto" w:fill="FFFFFF" w:themeFill="background1"/>
          </w:tcPr>
          <w:p w14:paraId="77ED0CA5" w14:textId="77777777" w:rsidR="0064685A" w:rsidRPr="005B76D4" w:rsidRDefault="0064685A" w:rsidP="00F77DE2">
            <w:pPr>
              <w:spacing w:line="216" w:lineRule="auto"/>
              <w:ind w:left="-57" w:right="-57"/>
              <w:rPr>
                <w:rFonts w:asciiTheme="minorHAnsi" w:hAnsiTheme="minorHAnsi"/>
                <w:b/>
                <w:sz w:val="22"/>
                <w:szCs w:val="22"/>
              </w:rPr>
            </w:pPr>
            <w:r w:rsidRPr="005B76D4">
              <w:rPr>
                <w:rFonts w:asciiTheme="minorHAnsi" w:hAnsiTheme="minorHAnsi"/>
                <w:sz w:val="22"/>
                <w:szCs w:val="22"/>
              </w:rPr>
              <w:t>Obec buduje parkoviště na sídlišti – jde celkem o 10 parkovacích míst, předpokládaná cena činí 1 mil. Kč.</w:t>
            </w:r>
          </w:p>
        </w:tc>
      </w:tr>
      <w:tr w:rsidR="0064685A" w:rsidRPr="005B76D4" w14:paraId="520124C2" w14:textId="77777777" w:rsidTr="00F77DE2">
        <w:tc>
          <w:tcPr>
            <w:tcW w:w="3006" w:type="dxa"/>
            <w:shd w:val="clear" w:color="auto" w:fill="E7E6E6" w:themeFill="background2"/>
          </w:tcPr>
          <w:p w14:paraId="2E88D032" w14:textId="77777777" w:rsidR="0064685A" w:rsidRPr="005B76D4" w:rsidRDefault="0064685A" w:rsidP="00F77DE2">
            <w:pPr>
              <w:tabs>
                <w:tab w:val="left" w:pos="1625"/>
              </w:tabs>
              <w:spacing w:line="216" w:lineRule="auto"/>
              <w:ind w:left="-57" w:right="-57"/>
              <w:rPr>
                <w:rFonts w:asciiTheme="minorHAnsi" w:hAnsiTheme="minorHAnsi"/>
                <w:b/>
                <w:sz w:val="22"/>
                <w:szCs w:val="22"/>
              </w:rPr>
            </w:pPr>
            <w:r w:rsidRPr="005B76D4">
              <w:rPr>
                <w:rFonts w:asciiTheme="minorHAnsi" w:hAnsiTheme="minorHAnsi"/>
                <w:b/>
                <w:sz w:val="22"/>
                <w:szCs w:val="22"/>
              </w:rPr>
              <w:t>Kritérium:   Hospodárnost</w:t>
            </w:r>
          </w:p>
        </w:tc>
        <w:tc>
          <w:tcPr>
            <w:tcW w:w="3005" w:type="dxa"/>
            <w:shd w:val="clear" w:color="auto" w:fill="E7E6E6" w:themeFill="background2"/>
          </w:tcPr>
          <w:p w14:paraId="51A7D4BF" w14:textId="77777777" w:rsidR="0064685A" w:rsidRPr="005B76D4" w:rsidRDefault="0064685A" w:rsidP="00F77DE2">
            <w:pPr>
              <w:spacing w:line="216" w:lineRule="auto"/>
              <w:ind w:left="-57" w:right="-57"/>
              <w:rPr>
                <w:rFonts w:asciiTheme="minorHAnsi" w:hAnsiTheme="minorHAnsi"/>
                <w:b/>
                <w:sz w:val="22"/>
                <w:szCs w:val="22"/>
              </w:rPr>
            </w:pPr>
            <w:r w:rsidRPr="005B76D4">
              <w:rPr>
                <w:rFonts w:asciiTheme="minorHAnsi" w:hAnsiTheme="minorHAnsi"/>
                <w:b/>
                <w:sz w:val="22"/>
                <w:szCs w:val="22"/>
              </w:rPr>
              <w:t>Kritérium:   Efektivnost</w:t>
            </w:r>
          </w:p>
        </w:tc>
        <w:tc>
          <w:tcPr>
            <w:tcW w:w="3005" w:type="dxa"/>
            <w:shd w:val="clear" w:color="auto" w:fill="E7E6E6" w:themeFill="background2"/>
          </w:tcPr>
          <w:p w14:paraId="2E998146" w14:textId="77777777" w:rsidR="0064685A" w:rsidRPr="005B76D4" w:rsidRDefault="0064685A" w:rsidP="00F77DE2">
            <w:pPr>
              <w:spacing w:line="216" w:lineRule="auto"/>
              <w:ind w:left="-57" w:right="-57"/>
              <w:rPr>
                <w:rFonts w:asciiTheme="minorHAnsi" w:hAnsiTheme="minorHAnsi"/>
                <w:b/>
                <w:sz w:val="22"/>
                <w:szCs w:val="22"/>
              </w:rPr>
            </w:pPr>
            <w:r w:rsidRPr="005B76D4">
              <w:rPr>
                <w:rFonts w:asciiTheme="minorHAnsi" w:hAnsiTheme="minorHAnsi"/>
                <w:b/>
                <w:sz w:val="22"/>
                <w:szCs w:val="22"/>
              </w:rPr>
              <w:t>Kritérium:   Účelnost</w:t>
            </w:r>
          </w:p>
        </w:tc>
      </w:tr>
      <w:tr w:rsidR="0064685A" w:rsidRPr="005B76D4" w14:paraId="50030882" w14:textId="77777777" w:rsidTr="00F77DE2">
        <w:tc>
          <w:tcPr>
            <w:tcW w:w="3006" w:type="dxa"/>
            <w:shd w:val="clear" w:color="auto" w:fill="auto"/>
          </w:tcPr>
          <w:p w14:paraId="10EC0783"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Obec oslovuje v souladu se svojí</w:t>
            </w:r>
            <w:r>
              <w:rPr>
                <w:rFonts w:asciiTheme="minorHAnsi" w:hAnsiTheme="minorHAnsi"/>
                <w:sz w:val="22"/>
                <w:szCs w:val="22"/>
              </w:rPr>
              <w:t xml:space="preserve"> směrnicí 5 dodavatelů. Kritériem</w:t>
            </w:r>
            <w:r w:rsidRPr="005B76D4">
              <w:rPr>
                <w:rFonts w:asciiTheme="minorHAnsi" w:hAnsiTheme="minorHAnsi"/>
                <w:sz w:val="22"/>
                <w:szCs w:val="22"/>
              </w:rPr>
              <w:t xml:space="preserve"> pro výběr je nejnižší nabídková cena.</w:t>
            </w:r>
          </w:p>
          <w:p w14:paraId="49E8E8AF" w14:textId="77777777" w:rsidR="0064685A" w:rsidRPr="005B76D4" w:rsidRDefault="0064685A" w:rsidP="00F77DE2">
            <w:pPr>
              <w:spacing w:line="216" w:lineRule="auto"/>
              <w:ind w:left="-57" w:right="-57"/>
              <w:rPr>
                <w:rFonts w:asciiTheme="minorHAnsi" w:hAnsiTheme="minorHAnsi"/>
                <w:sz w:val="22"/>
                <w:szCs w:val="22"/>
              </w:rPr>
            </w:pPr>
          </w:p>
          <w:p w14:paraId="07334EFB"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P</w:t>
            </w:r>
            <w:r w:rsidRPr="005B76D4">
              <w:rPr>
                <w:rFonts w:asciiTheme="minorHAnsi" w:hAnsiTheme="minorHAnsi" w:cs="Cambria"/>
                <w:sz w:val="22"/>
                <w:szCs w:val="22"/>
              </w:rPr>
              <w:t>ř</w:t>
            </w:r>
            <w:r w:rsidRPr="005B76D4">
              <w:rPr>
                <w:rFonts w:asciiTheme="minorHAnsi" w:hAnsiTheme="minorHAnsi"/>
                <w:sz w:val="22"/>
                <w:szCs w:val="22"/>
              </w:rPr>
              <w:t>edpokl</w:t>
            </w:r>
            <w:r w:rsidRPr="005B76D4">
              <w:rPr>
                <w:rFonts w:asciiTheme="minorHAnsi" w:hAnsiTheme="minorHAnsi" w:cs="Bradley Hand ITC"/>
                <w:sz w:val="22"/>
                <w:szCs w:val="22"/>
              </w:rPr>
              <w:t>á</w:t>
            </w:r>
            <w:r w:rsidRPr="005B76D4">
              <w:rPr>
                <w:rFonts w:asciiTheme="minorHAnsi" w:hAnsiTheme="minorHAnsi"/>
                <w:sz w:val="22"/>
                <w:szCs w:val="22"/>
              </w:rPr>
              <w:t>dan</w:t>
            </w:r>
            <w:r w:rsidRPr="005B76D4">
              <w:rPr>
                <w:rFonts w:asciiTheme="minorHAnsi" w:hAnsiTheme="minorHAnsi" w:cs="Bradley Hand ITC"/>
                <w:sz w:val="22"/>
                <w:szCs w:val="22"/>
              </w:rPr>
              <w:t>á</w:t>
            </w:r>
            <w:r w:rsidRPr="005B76D4">
              <w:rPr>
                <w:rFonts w:asciiTheme="minorHAnsi" w:hAnsiTheme="minorHAnsi"/>
                <w:sz w:val="22"/>
                <w:szCs w:val="22"/>
              </w:rPr>
              <w:t xml:space="preserve"> cena: 1 mil. </w:t>
            </w:r>
          </w:p>
          <w:p w14:paraId="566998A6"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Nejnižší nabídka: 0,95 mil.</w:t>
            </w:r>
          </w:p>
          <w:p w14:paraId="2C11EB40"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Nejnižší nabídka je nižší, než předpokládaná cena.</w:t>
            </w:r>
          </w:p>
        </w:tc>
        <w:tc>
          <w:tcPr>
            <w:tcW w:w="3005" w:type="dxa"/>
            <w:shd w:val="clear" w:color="auto" w:fill="auto"/>
          </w:tcPr>
          <w:p w14:paraId="467AD303"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lastRenderedPageBreak/>
              <w:t xml:space="preserve">Kritérium efektivnosti je </w:t>
            </w:r>
            <w:r>
              <w:rPr>
                <w:rFonts w:asciiTheme="minorHAnsi" w:hAnsiTheme="minorHAnsi"/>
                <w:sz w:val="22"/>
                <w:szCs w:val="22"/>
              </w:rPr>
              <w:t>prověřeno</w:t>
            </w:r>
            <w:r w:rsidRPr="005B76D4">
              <w:rPr>
                <w:rFonts w:asciiTheme="minorHAnsi" w:hAnsiTheme="minorHAnsi"/>
                <w:sz w:val="22"/>
                <w:szCs w:val="22"/>
              </w:rPr>
              <w:t xml:space="preserve"> pomocí nákladové efektivnosti</w:t>
            </w:r>
            <w:r>
              <w:rPr>
                <w:rFonts w:asciiTheme="minorHAnsi" w:hAnsiTheme="minorHAnsi"/>
                <w:sz w:val="22"/>
                <w:szCs w:val="22"/>
              </w:rPr>
              <w:t xml:space="preserve"> (tedy z hlediska rozsahu)</w:t>
            </w:r>
            <w:r w:rsidRPr="005B76D4">
              <w:rPr>
                <w:rFonts w:asciiTheme="minorHAnsi" w:hAnsiTheme="minorHAnsi"/>
                <w:sz w:val="22"/>
                <w:szCs w:val="22"/>
              </w:rPr>
              <w:t>:</w:t>
            </w:r>
          </w:p>
          <w:p w14:paraId="70FDEEFB"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lastRenderedPageBreak/>
              <w:t>cena celkem / počet míst</w:t>
            </w:r>
          </w:p>
          <w:p w14:paraId="58C60BAB"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Předpokládaná cena</w:t>
            </w:r>
          </w:p>
          <w:p w14:paraId="40BA7BF5"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1 mil. / 10 = 0,1 mil. Kč</w:t>
            </w:r>
          </w:p>
          <w:p w14:paraId="4D3241DE"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Nejnižší nabídka</w:t>
            </w:r>
          </w:p>
          <w:p w14:paraId="1C15AFA7"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 xml:space="preserve">0,95 mil. / 10 = 0,095 mil. </w:t>
            </w:r>
          </w:p>
          <w:p w14:paraId="07005085"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Cena za 1 parkovací místo je nižší.</w:t>
            </w:r>
          </w:p>
        </w:tc>
        <w:tc>
          <w:tcPr>
            <w:tcW w:w="3005" w:type="dxa"/>
            <w:shd w:val="clear" w:color="auto" w:fill="auto"/>
          </w:tcPr>
          <w:p w14:paraId="321DB04B"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lastRenderedPageBreak/>
              <w:t>Obec nemá aktualizovaný program rozvoje obce, není možné tak vyhodnotit soulad s cíli obce.</w:t>
            </w:r>
          </w:p>
          <w:p w14:paraId="38010D01" w14:textId="77777777" w:rsidR="0064685A" w:rsidRDefault="0064685A" w:rsidP="00F77DE2">
            <w:pPr>
              <w:spacing w:line="216" w:lineRule="auto"/>
              <w:ind w:left="-57" w:right="-57"/>
              <w:rPr>
                <w:rFonts w:asciiTheme="minorHAnsi" w:hAnsiTheme="minorHAnsi"/>
                <w:sz w:val="22"/>
                <w:szCs w:val="22"/>
              </w:rPr>
            </w:pPr>
          </w:p>
          <w:p w14:paraId="1B5CBE73" w14:textId="77777777" w:rsidR="0064685A" w:rsidRPr="005B76D4" w:rsidRDefault="0064685A" w:rsidP="00F77DE2">
            <w:pPr>
              <w:spacing w:line="216" w:lineRule="auto"/>
              <w:ind w:left="-57" w:right="-57"/>
              <w:rPr>
                <w:rFonts w:asciiTheme="minorHAnsi" w:hAnsiTheme="minorHAnsi"/>
                <w:sz w:val="22"/>
                <w:szCs w:val="22"/>
              </w:rPr>
            </w:pPr>
            <w:r w:rsidRPr="005B76D4">
              <w:rPr>
                <w:rFonts w:asciiTheme="minorHAnsi" w:hAnsiTheme="minorHAnsi"/>
                <w:sz w:val="22"/>
                <w:szCs w:val="22"/>
              </w:rPr>
              <w:t>Nicméně potřebnost vybudovat parkovací místa v této lokalitě byla ověřena analýzou a vybudování parkovacích míst schválilo zastupitelstvo obce.</w:t>
            </w:r>
          </w:p>
        </w:tc>
      </w:tr>
    </w:tbl>
    <w:p w14:paraId="1F6A4F0D" w14:textId="28641966" w:rsidR="0064685A" w:rsidRPr="00E143E1" w:rsidRDefault="0064685A" w:rsidP="0064685A">
      <w:pPr>
        <w:pStyle w:val="Zkladntext3"/>
        <w:spacing w:after="0" w:line="360" w:lineRule="auto"/>
        <w:ind w:left="66"/>
        <w:jc w:val="both"/>
        <w:rPr>
          <w:rFonts w:asciiTheme="minorHAnsi" w:eastAsia="Calibri" w:hAnsiTheme="minorHAnsi" w:cstheme="minorHAnsi"/>
          <w:i/>
          <w:iCs/>
          <w:sz w:val="24"/>
          <w:szCs w:val="24"/>
        </w:rPr>
      </w:pPr>
      <w:r w:rsidRPr="00E143E1">
        <w:rPr>
          <w:rFonts w:asciiTheme="minorHAnsi" w:eastAsia="Calibri" w:hAnsiTheme="minorHAnsi" w:cstheme="minorHAnsi"/>
          <w:i/>
          <w:iCs/>
          <w:sz w:val="24"/>
          <w:szCs w:val="24"/>
        </w:rPr>
        <w:lastRenderedPageBreak/>
        <w:t xml:space="preserve">Zdroj: </w:t>
      </w:r>
      <w:r w:rsidR="008F5042">
        <w:rPr>
          <w:rFonts w:asciiTheme="minorHAnsi" w:eastAsia="Calibri" w:hAnsiTheme="minorHAnsi" w:cstheme="minorHAnsi"/>
          <w:i/>
          <w:iCs/>
          <w:sz w:val="24"/>
          <w:szCs w:val="24"/>
        </w:rPr>
        <w:t>autoři</w:t>
      </w:r>
    </w:p>
    <w:p w14:paraId="4C6767CF" w14:textId="77777777" w:rsidR="0064685A" w:rsidRDefault="0064685A" w:rsidP="0064685A">
      <w:pPr>
        <w:jc w:val="both"/>
        <w:rPr>
          <w:rFonts w:ascii="Calibri" w:hAnsi="Calibri" w:cs="Calibri"/>
        </w:rPr>
      </w:pPr>
      <w:r w:rsidRPr="00F17132">
        <w:rPr>
          <w:rFonts w:ascii="Calibri" w:hAnsi="Calibri" w:cs="Calibri"/>
        </w:rPr>
        <w:t xml:space="preserve">Komentáře / </w:t>
      </w:r>
      <w:r>
        <w:rPr>
          <w:rFonts w:ascii="Calibri" w:hAnsi="Calibri" w:cs="Calibri"/>
        </w:rPr>
        <w:t>omezení</w:t>
      </w:r>
      <w:r w:rsidRPr="00F17132">
        <w:rPr>
          <w:rFonts w:ascii="Calibri" w:hAnsi="Calibri" w:cs="Calibri"/>
        </w:rPr>
        <w:t>:</w:t>
      </w:r>
      <w:r>
        <w:rPr>
          <w:rFonts w:ascii="Calibri" w:hAnsi="Calibri" w:cs="Calibri"/>
        </w:rPr>
        <w:t xml:space="preserve"> </w:t>
      </w:r>
    </w:p>
    <w:p w14:paraId="360651FB" w14:textId="77777777" w:rsidR="0064685A" w:rsidRDefault="0064685A" w:rsidP="0065698B">
      <w:pPr>
        <w:pStyle w:val="Odstavecseseznamem"/>
        <w:numPr>
          <w:ilvl w:val="0"/>
          <w:numId w:val="39"/>
        </w:numPr>
        <w:jc w:val="both"/>
        <w:rPr>
          <w:rFonts w:ascii="Calibri" w:hAnsi="Calibri" w:cs="Calibri"/>
        </w:rPr>
      </w:pPr>
      <w:r w:rsidRPr="005B76D4">
        <w:rPr>
          <w:rFonts w:ascii="Calibri" w:hAnsi="Calibri" w:cs="Calibri"/>
        </w:rPr>
        <w:t xml:space="preserve">Jak se stanovila předpokládaná cena? Například – stanovil projektant dle cen stavebních prací, </w:t>
      </w:r>
      <w:r>
        <w:rPr>
          <w:rFonts w:ascii="Calibri" w:hAnsi="Calibri" w:cs="Calibri"/>
        </w:rPr>
        <w:t>prověřeno</w:t>
      </w:r>
      <w:r w:rsidRPr="005B76D4">
        <w:rPr>
          <w:rFonts w:ascii="Calibri" w:hAnsi="Calibri" w:cs="Calibri"/>
        </w:rPr>
        <w:t xml:space="preserve"> průzkumem. </w:t>
      </w:r>
    </w:p>
    <w:p w14:paraId="2B83E599" w14:textId="5D9A9C06" w:rsidR="0064685A" w:rsidRPr="005B76D4" w:rsidRDefault="0064685A" w:rsidP="0065698B">
      <w:pPr>
        <w:pStyle w:val="Odstavecseseznamem"/>
        <w:numPr>
          <w:ilvl w:val="0"/>
          <w:numId w:val="39"/>
        </w:numPr>
        <w:jc w:val="both"/>
        <w:rPr>
          <w:rFonts w:ascii="Calibri" w:hAnsi="Calibri" w:cs="Calibri"/>
        </w:rPr>
      </w:pPr>
      <w:r>
        <w:rPr>
          <w:rFonts w:ascii="Calibri" w:hAnsi="Calibri" w:cs="Calibri"/>
        </w:rPr>
        <w:t>Jak by se postupovalo, pokud by všechny nabídky byly vyšší než předpokládaná cena? S ohledem na to, že jde dle zákona o veřejných zakázkách o zakázku malého rozsahu, postupuje se v souladu se směrnicí. Pokud směrnice požaduje v takovém případě zakázku zrušit a opakovat, pak se zakázka zruší. Provede se ověření předpokládané ceny a s novou předpokládanou cenou se veřejná zakázka znovu soutěží. Pokud zrušení směrnice nevyžaduje, provede se prověření předpokládané ceny – pokud se prokáže, že předpokládaná cena se stanovila příliš nízká (například ji projektant stanovil před rokem a mezitím ceny stavebních prací stouply), předpokládaná cena se zaktualizuje. Je-li nejnižší nabídka nižší než aktualizovaná předpokládaná cena, zakázka se zadá.</w:t>
      </w:r>
    </w:p>
    <w:p w14:paraId="7E0BE922" w14:textId="77777777" w:rsidR="0064685A" w:rsidRDefault="0064685A" w:rsidP="0065698B">
      <w:pPr>
        <w:pStyle w:val="Odstavecseseznamem"/>
        <w:numPr>
          <w:ilvl w:val="0"/>
          <w:numId w:val="39"/>
        </w:numPr>
        <w:jc w:val="both"/>
        <w:rPr>
          <w:rFonts w:ascii="Calibri" w:hAnsi="Calibri" w:cs="Calibri"/>
        </w:rPr>
      </w:pPr>
      <w:r w:rsidRPr="005B76D4">
        <w:rPr>
          <w:rFonts w:ascii="Calibri" w:hAnsi="Calibri" w:cs="Calibri"/>
        </w:rPr>
        <w:t>Cena za 1 parkovací místo – je ověření efektivnosti z hlediska rozsahu. Též by bylo možné cenu porovnat s náklady na 1 parkovací místo v jiných lokalitách nebo v jiných městech (provést benchmarking). Je třeba však brát zřetel na místní podmínky (např. stavba parkoviště ve svahu je dražší, než na rovině).</w:t>
      </w:r>
    </w:p>
    <w:p w14:paraId="29FBB34A" w14:textId="77777777" w:rsidR="0064685A" w:rsidRPr="005B76D4" w:rsidRDefault="0064685A" w:rsidP="0065698B">
      <w:pPr>
        <w:pStyle w:val="Odstavecseseznamem"/>
        <w:numPr>
          <w:ilvl w:val="0"/>
          <w:numId w:val="39"/>
        </w:numPr>
        <w:jc w:val="both"/>
        <w:rPr>
          <w:rFonts w:ascii="Calibri" w:hAnsi="Calibri" w:cs="Calibri"/>
        </w:rPr>
      </w:pPr>
      <w:r>
        <w:rPr>
          <w:rFonts w:ascii="Calibri" w:hAnsi="Calibri" w:cs="Calibri"/>
        </w:rPr>
        <w:t>Pokud by to směrnice daného města umožňovala, mohla by se místo nejnižší nabídkové ceny soutěžit ekonomická výhodnost. V našem případě by to mohla být cena za jedno parkovací místo. Představme si situaci, že jedna z firem by upravila dispozici parkoviště tak, aby se místo 10 míst vešlo na parkoviště 11. Ekonomická výhodnost (cena za jedno parkovací místo) by vyšla výhodněji.</w:t>
      </w:r>
    </w:p>
    <w:p w14:paraId="3819F420" w14:textId="77777777" w:rsidR="0064685A" w:rsidRPr="005B76D4" w:rsidRDefault="0064685A" w:rsidP="0065698B">
      <w:pPr>
        <w:pStyle w:val="Odstavecseseznamem"/>
        <w:numPr>
          <w:ilvl w:val="0"/>
          <w:numId w:val="39"/>
        </w:numPr>
        <w:contextualSpacing/>
        <w:jc w:val="both"/>
        <w:rPr>
          <w:rFonts w:ascii="Calibri" w:hAnsi="Calibri" w:cs="Calibri"/>
        </w:rPr>
      </w:pPr>
      <w:r w:rsidRPr="005B76D4">
        <w:rPr>
          <w:rFonts w:ascii="Calibri" w:hAnsi="Calibri" w:cs="Calibri"/>
        </w:rPr>
        <w:t xml:space="preserve">Není jasné, zda parkování bude zdarma (patrně ano), pokud by bylo zpoplatněno, mohla by se hodnotit efektivnost pomocí přínosu – návratnost investice. </w:t>
      </w:r>
    </w:p>
    <w:p w14:paraId="56B74C16" w14:textId="77777777" w:rsidR="0064685A" w:rsidRDefault="0064685A" w:rsidP="0065698B">
      <w:pPr>
        <w:pStyle w:val="Odstavecseseznamem"/>
        <w:numPr>
          <w:ilvl w:val="0"/>
          <w:numId w:val="39"/>
        </w:numPr>
        <w:contextualSpacing/>
        <w:jc w:val="both"/>
        <w:rPr>
          <w:rFonts w:ascii="Calibri" w:hAnsi="Calibri" w:cs="Calibri"/>
        </w:rPr>
      </w:pPr>
      <w:r w:rsidRPr="005B76D4">
        <w:rPr>
          <w:rFonts w:ascii="Calibri" w:hAnsi="Calibri" w:cs="Calibri"/>
        </w:rPr>
        <w:t>Ideální stav je, pokud vynaložené prostředky odpovídají (jsou v souladu) strategickému dokumentu. Ne vždy tak tomu je. Důležité je analyzovat potřebnost. Potřebnost by měl potvrdit orgán, který k tomu má pravomoc (např. zastupitelstvo či rada obce).</w:t>
      </w:r>
    </w:p>
    <w:p w14:paraId="573C5088" w14:textId="77777777" w:rsidR="00CF03B1" w:rsidRDefault="00CF03B1" w:rsidP="00437738">
      <w:pPr>
        <w:spacing w:after="120"/>
        <w:jc w:val="both"/>
        <w:rPr>
          <w:rFonts w:ascii="Calibri" w:hAnsi="Calibri" w:cs="Calibri"/>
          <w:b/>
        </w:rPr>
      </w:pPr>
      <w:bookmarkStart w:id="89" w:name="_Toc105103337"/>
    </w:p>
    <w:p w14:paraId="4CC02A1A" w14:textId="03907099" w:rsidR="0064685A" w:rsidRPr="00437738" w:rsidRDefault="0064685A" w:rsidP="00437738">
      <w:pPr>
        <w:spacing w:after="120"/>
        <w:jc w:val="both"/>
        <w:rPr>
          <w:rFonts w:ascii="Calibri" w:hAnsi="Calibri" w:cs="Calibri"/>
          <w:b/>
        </w:rPr>
      </w:pPr>
      <w:r w:rsidRPr="00437738">
        <w:rPr>
          <w:rFonts w:ascii="Calibri" w:hAnsi="Calibri" w:cs="Calibri"/>
          <w:b/>
        </w:rPr>
        <w:lastRenderedPageBreak/>
        <w:t xml:space="preserve">Případová studie </w:t>
      </w:r>
      <w:r w:rsidR="00225455">
        <w:rPr>
          <w:rFonts w:ascii="Calibri" w:hAnsi="Calibri" w:cs="Calibri"/>
          <w:b/>
        </w:rPr>
        <w:t xml:space="preserve">prověřování 3E č. 2 </w:t>
      </w:r>
      <w:r w:rsidRPr="00437738">
        <w:rPr>
          <w:rFonts w:ascii="Calibri" w:hAnsi="Calibri" w:cs="Calibri"/>
          <w:b/>
        </w:rPr>
        <w:t>– zateplení budovy</w:t>
      </w:r>
      <w:bookmarkEnd w:id="89"/>
    </w:p>
    <w:p w14:paraId="031C033D" w14:textId="77777777" w:rsidR="0064685A" w:rsidRPr="008005B3" w:rsidRDefault="0064685A" w:rsidP="0064685A">
      <w:pPr>
        <w:spacing w:after="120"/>
        <w:jc w:val="both"/>
        <w:rPr>
          <w:rFonts w:ascii="Calibri" w:hAnsi="Calibri" w:cs="Calibri"/>
        </w:rPr>
      </w:pPr>
      <w:r>
        <w:rPr>
          <w:rFonts w:ascii="Calibri" w:hAnsi="Calibri" w:cs="Calibri"/>
        </w:rPr>
        <w:t>Případová studie je v následující tabulce. Pod ní jsou uvedeny komentáře či omezení.</w:t>
      </w:r>
    </w:p>
    <w:p w14:paraId="64B4DBD4" w14:textId="103B1479" w:rsidR="0064685A" w:rsidRPr="00683CCF" w:rsidRDefault="003E214F" w:rsidP="0064685A">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Tab.</w:t>
      </w:r>
      <w:r w:rsidR="0064685A" w:rsidRPr="00683CCF">
        <w:rPr>
          <w:rFonts w:asciiTheme="minorHAnsi" w:eastAsia="Calibri" w:hAnsiTheme="minorHAnsi" w:cstheme="minorHAnsi"/>
          <w:i/>
          <w:iCs/>
          <w:sz w:val="24"/>
          <w:szCs w:val="24"/>
        </w:rPr>
        <w:t xml:space="preserve"> </w:t>
      </w:r>
      <w:r w:rsidR="004F0E1D">
        <w:rPr>
          <w:rFonts w:asciiTheme="minorHAnsi" w:eastAsia="Calibri" w:hAnsiTheme="minorHAnsi" w:cstheme="minorHAnsi"/>
          <w:i/>
          <w:iCs/>
          <w:sz w:val="24"/>
          <w:szCs w:val="24"/>
        </w:rPr>
        <w:t>2</w:t>
      </w:r>
      <w:r w:rsidR="00C14739">
        <w:rPr>
          <w:rFonts w:asciiTheme="minorHAnsi" w:eastAsia="Calibri" w:hAnsiTheme="minorHAnsi" w:cstheme="minorHAnsi"/>
          <w:i/>
          <w:iCs/>
          <w:sz w:val="24"/>
          <w:szCs w:val="24"/>
        </w:rPr>
        <w:t>6</w:t>
      </w:r>
      <w:r w:rsidR="0064685A">
        <w:rPr>
          <w:rFonts w:asciiTheme="minorHAnsi" w:eastAsia="Calibri" w:hAnsiTheme="minorHAnsi" w:cstheme="minorHAnsi"/>
          <w:i/>
          <w:iCs/>
          <w:sz w:val="24"/>
          <w:szCs w:val="24"/>
        </w:rPr>
        <w:t xml:space="preserve"> </w:t>
      </w:r>
      <w:r w:rsidR="0064685A" w:rsidRPr="00683CCF">
        <w:rPr>
          <w:rFonts w:asciiTheme="minorHAnsi" w:eastAsia="Calibri" w:hAnsiTheme="minorHAnsi" w:cstheme="minorHAnsi"/>
          <w:i/>
          <w:iCs/>
          <w:sz w:val="24"/>
          <w:szCs w:val="24"/>
        </w:rPr>
        <w:t>Prověření kritérií 3E - Zateplení budovy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261"/>
        <w:gridCol w:w="2925"/>
      </w:tblGrid>
      <w:tr w:rsidR="0064685A" w:rsidRPr="00824A42" w14:paraId="17A5864E" w14:textId="77777777" w:rsidTr="00F77DE2">
        <w:tc>
          <w:tcPr>
            <w:tcW w:w="9016" w:type="dxa"/>
            <w:gridSpan w:val="3"/>
            <w:shd w:val="clear" w:color="auto" w:fill="E7E6E6" w:themeFill="background2"/>
          </w:tcPr>
          <w:p w14:paraId="0962355A" w14:textId="77777777" w:rsidR="0064685A" w:rsidRPr="00824A42" w:rsidRDefault="0064685A" w:rsidP="00F77DE2">
            <w:pPr>
              <w:spacing w:line="216" w:lineRule="auto"/>
              <w:rPr>
                <w:rFonts w:asciiTheme="minorHAnsi" w:hAnsiTheme="minorHAnsi"/>
                <w:b/>
                <w:sz w:val="22"/>
                <w:szCs w:val="22"/>
              </w:rPr>
            </w:pPr>
            <w:r w:rsidRPr="00824A42">
              <w:rPr>
                <w:rFonts w:asciiTheme="minorHAnsi" w:hAnsiTheme="minorHAnsi"/>
                <w:b/>
                <w:sz w:val="22"/>
                <w:szCs w:val="22"/>
              </w:rPr>
              <w:t>Popis výdajové operace:</w:t>
            </w:r>
          </w:p>
        </w:tc>
      </w:tr>
      <w:tr w:rsidR="0064685A" w:rsidRPr="00824A42" w14:paraId="50AC8996" w14:textId="77777777" w:rsidTr="00F77DE2">
        <w:tc>
          <w:tcPr>
            <w:tcW w:w="9016" w:type="dxa"/>
            <w:gridSpan w:val="3"/>
            <w:shd w:val="clear" w:color="auto" w:fill="FFFFFF" w:themeFill="background1"/>
          </w:tcPr>
          <w:p w14:paraId="441E1230" w14:textId="77777777" w:rsidR="0064685A" w:rsidRPr="00824A42" w:rsidRDefault="0064685A" w:rsidP="00F77DE2">
            <w:pPr>
              <w:spacing w:line="240" w:lineRule="auto"/>
              <w:jc w:val="both"/>
              <w:rPr>
                <w:rFonts w:asciiTheme="minorHAnsi" w:hAnsiTheme="minorHAnsi"/>
                <w:sz w:val="22"/>
                <w:szCs w:val="22"/>
              </w:rPr>
            </w:pPr>
            <w:r w:rsidRPr="00E143E1">
              <w:rPr>
                <w:rFonts w:asciiTheme="minorHAnsi" w:hAnsiTheme="minorHAnsi"/>
                <w:sz w:val="22"/>
                <w:szCs w:val="22"/>
              </w:rPr>
              <w:t xml:space="preserve">Policie ČR zatepluje areál budov včetně výměny oken za plastová. Předpokládanou cenu stanovil projektant s využitím sazebníku </w:t>
            </w:r>
            <w:r>
              <w:rPr>
                <w:rFonts w:asciiTheme="minorHAnsi" w:hAnsiTheme="minorHAnsi"/>
                <w:sz w:val="22"/>
                <w:szCs w:val="22"/>
              </w:rPr>
              <w:t>cen stavebních prací dle UNIKA.</w:t>
            </w:r>
          </w:p>
        </w:tc>
      </w:tr>
      <w:tr w:rsidR="0064685A" w:rsidRPr="00824A42" w14:paraId="57A68119" w14:textId="77777777" w:rsidTr="00F77DE2">
        <w:tc>
          <w:tcPr>
            <w:tcW w:w="2830" w:type="dxa"/>
            <w:shd w:val="clear" w:color="auto" w:fill="E7E6E6" w:themeFill="background2"/>
          </w:tcPr>
          <w:p w14:paraId="06272AA5" w14:textId="77777777" w:rsidR="0064685A" w:rsidRPr="00824A42" w:rsidRDefault="0064685A" w:rsidP="00F77DE2">
            <w:pPr>
              <w:tabs>
                <w:tab w:val="left" w:pos="1625"/>
              </w:tabs>
              <w:spacing w:line="216" w:lineRule="auto"/>
              <w:rPr>
                <w:rFonts w:asciiTheme="minorHAnsi" w:hAnsiTheme="minorHAnsi"/>
                <w:b/>
                <w:sz w:val="22"/>
                <w:szCs w:val="22"/>
              </w:rPr>
            </w:pPr>
            <w:r w:rsidRPr="00824A42">
              <w:rPr>
                <w:rFonts w:asciiTheme="minorHAnsi" w:hAnsiTheme="minorHAnsi"/>
                <w:b/>
                <w:sz w:val="22"/>
                <w:szCs w:val="22"/>
              </w:rPr>
              <w:t>Kritérium:   Hospodárnost</w:t>
            </w:r>
          </w:p>
        </w:tc>
        <w:tc>
          <w:tcPr>
            <w:tcW w:w="3261" w:type="dxa"/>
            <w:shd w:val="clear" w:color="auto" w:fill="E7E6E6" w:themeFill="background2"/>
          </w:tcPr>
          <w:p w14:paraId="279BA5AE" w14:textId="77777777" w:rsidR="0064685A" w:rsidRPr="00824A42" w:rsidRDefault="0064685A" w:rsidP="00F77DE2">
            <w:pPr>
              <w:spacing w:line="216" w:lineRule="auto"/>
              <w:rPr>
                <w:rFonts w:asciiTheme="minorHAnsi" w:hAnsiTheme="minorHAnsi"/>
                <w:b/>
                <w:sz w:val="22"/>
                <w:szCs w:val="22"/>
              </w:rPr>
            </w:pPr>
            <w:r w:rsidRPr="00824A42">
              <w:rPr>
                <w:rFonts w:asciiTheme="minorHAnsi" w:hAnsiTheme="minorHAnsi"/>
                <w:b/>
                <w:sz w:val="22"/>
                <w:szCs w:val="22"/>
              </w:rPr>
              <w:t>Kritérium:   Efektivnost</w:t>
            </w:r>
          </w:p>
        </w:tc>
        <w:tc>
          <w:tcPr>
            <w:tcW w:w="2925" w:type="dxa"/>
            <w:shd w:val="clear" w:color="auto" w:fill="E7E6E6" w:themeFill="background2"/>
          </w:tcPr>
          <w:p w14:paraId="192FBE5C" w14:textId="77777777" w:rsidR="0064685A" w:rsidRPr="00824A42" w:rsidRDefault="0064685A" w:rsidP="00F77DE2">
            <w:pPr>
              <w:spacing w:line="216" w:lineRule="auto"/>
              <w:rPr>
                <w:rFonts w:asciiTheme="minorHAnsi" w:hAnsiTheme="minorHAnsi"/>
                <w:b/>
                <w:sz w:val="22"/>
                <w:szCs w:val="22"/>
              </w:rPr>
            </w:pPr>
            <w:r w:rsidRPr="00824A42">
              <w:rPr>
                <w:rFonts w:asciiTheme="minorHAnsi" w:hAnsiTheme="minorHAnsi"/>
                <w:b/>
                <w:sz w:val="22"/>
                <w:szCs w:val="22"/>
              </w:rPr>
              <w:t>Kritérium:   Účelnost</w:t>
            </w:r>
          </w:p>
        </w:tc>
      </w:tr>
      <w:tr w:rsidR="0064685A" w:rsidRPr="00824A42" w14:paraId="659E9B0E" w14:textId="77777777" w:rsidTr="00F77DE2">
        <w:tc>
          <w:tcPr>
            <w:tcW w:w="2830" w:type="dxa"/>
            <w:shd w:val="clear" w:color="auto" w:fill="auto"/>
          </w:tcPr>
          <w:p w14:paraId="29B38655" w14:textId="77777777" w:rsidR="0064685A" w:rsidRPr="00E143E1" w:rsidRDefault="0064685A" w:rsidP="00F77DE2">
            <w:pPr>
              <w:spacing w:line="216" w:lineRule="auto"/>
              <w:rPr>
                <w:rFonts w:asciiTheme="minorHAnsi" w:hAnsiTheme="minorHAnsi"/>
                <w:sz w:val="22"/>
                <w:szCs w:val="22"/>
              </w:rPr>
            </w:pPr>
            <w:r>
              <w:rPr>
                <w:rFonts w:asciiTheme="minorHAnsi" w:hAnsiTheme="minorHAnsi"/>
                <w:sz w:val="22"/>
                <w:szCs w:val="22"/>
              </w:rPr>
              <w:t>Prověření</w:t>
            </w:r>
            <w:r w:rsidRPr="00E143E1">
              <w:rPr>
                <w:rFonts w:asciiTheme="minorHAnsi" w:hAnsiTheme="minorHAnsi"/>
                <w:sz w:val="22"/>
                <w:szCs w:val="22"/>
              </w:rPr>
              <w:t>: ve</w:t>
            </w:r>
            <w:r w:rsidRPr="00E143E1">
              <w:rPr>
                <w:rFonts w:asciiTheme="minorHAnsi" w:hAnsiTheme="minorHAnsi" w:cs="Cambria"/>
                <w:sz w:val="22"/>
                <w:szCs w:val="22"/>
              </w:rPr>
              <w:t>ř</w:t>
            </w:r>
            <w:r w:rsidRPr="00E143E1">
              <w:rPr>
                <w:rFonts w:asciiTheme="minorHAnsi" w:hAnsiTheme="minorHAnsi"/>
                <w:sz w:val="22"/>
                <w:szCs w:val="22"/>
              </w:rPr>
              <w:t>ejnou zakázkou – nejnižší nabídkovou cenou.</w:t>
            </w:r>
          </w:p>
          <w:p w14:paraId="67353415" w14:textId="77777777" w:rsidR="0064685A" w:rsidRPr="00E143E1" w:rsidRDefault="0064685A" w:rsidP="00F77DE2">
            <w:pPr>
              <w:spacing w:line="216" w:lineRule="auto"/>
              <w:rPr>
                <w:rFonts w:asciiTheme="minorHAnsi" w:hAnsiTheme="minorHAnsi"/>
                <w:sz w:val="22"/>
                <w:szCs w:val="22"/>
              </w:rPr>
            </w:pPr>
          </w:p>
          <w:p w14:paraId="7F1BF539"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P</w:t>
            </w:r>
            <w:r w:rsidRPr="00E143E1">
              <w:rPr>
                <w:rFonts w:asciiTheme="minorHAnsi" w:hAnsiTheme="minorHAnsi" w:cs="Cambria"/>
                <w:sz w:val="22"/>
                <w:szCs w:val="22"/>
              </w:rPr>
              <w:t>ř</w:t>
            </w:r>
            <w:r w:rsidRPr="00E143E1">
              <w:rPr>
                <w:rFonts w:asciiTheme="minorHAnsi" w:hAnsiTheme="minorHAnsi"/>
                <w:sz w:val="22"/>
                <w:szCs w:val="22"/>
              </w:rPr>
              <w:t>edpokl</w:t>
            </w:r>
            <w:r w:rsidRPr="00E143E1">
              <w:rPr>
                <w:rFonts w:asciiTheme="minorHAnsi" w:hAnsiTheme="minorHAnsi" w:cs="Bradley Hand ITC"/>
                <w:sz w:val="22"/>
                <w:szCs w:val="22"/>
              </w:rPr>
              <w:t>á</w:t>
            </w:r>
            <w:r w:rsidRPr="00E143E1">
              <w:rPr>
                <w:rFonts w:asciiTheme="minorHAnsi" w:hAnsiTheme="minorHAnsi"/>
                <w:sz w:val="22"/>
                <w:szCs w:val="22"/>
              </w:rPr>
              <w:t>dan</w:t>
            </w:r>
            <w:r w:rsidRPr="00E143E1">
              <w:rPr>
                <w:rFonts w:asciiTheme="minorHAnsi" w:hAnsiTheme="minorHAnsi" w:cs="Bradley Hand ITC"/>
                <w:sz w:val="22"/>
                <w:szCs w:val="22"/>
              </w:rPr>
              <w:t>á</w:t>
            </w:r>
            <w:r w:rsidRPr="00E143E1">
              <w:rPr>
                <w:rFonts w:asciiTheme="minorHAnsi" w:hAnsiTheme="minorHAnsi"/>
                <w:sz w:val="22"/>
                <w:szCs w:val="22"/>
              </w:rPr>
              <w:t xml:space="preserve"> cena stanovena v rozpo</w:t>
            </w:r>
            <w:r w:rsidRPr="00E143E1">
              <w:rPr>
                <w:rFonts w:asciiTheme="minorHAnsi" w:hAnsiTheme="minorHAnsi" w:cs="Cambria"/>
                <w:sz w:val="22"/>
                <w:szCs w:val="22"/>
              </w:rPr>
              <w:t>č</w:t>
            </w:r>
            <w:r w:rsidRPr="00E143E1">
              <w:rPr>
                <w:rFonts w:asciiTheme="minorHAnsi" w:hAnsiTheme="minorHAnsi"/>
                <w:sz w:val="22"/>
                <w:szCs w:val="22"/>
              </w:rPr>
              <w:t>tu stavebního projektu: 8,5 mil. K</w:t>
            </w:r>
            <w:r w:rsidRPr="00E143E1">
              <w:rPr>
                <w:rFonts w:asciiTheme="minorHAnsi" w:hAnsiTheme="minorHAnsi" w:cs="Cambria"/>
                <w:sz w:val="22"/>
                <w:szCs w:val="22"/>
              </w:rPr>
              <w:t>č</w:t>
            </w:r>
            <w:r w:rsidRPr="00E143E1">
              <w:rPr>
                <w:rFonts w:asciiTheme="minorHAnsi" w:hAnsiTheme="minorHAnsi"/>
                <w:sz w:val="22"/>
                <w:szCs w:val="22"/>
              </w:rPr>
              <w:t>.</w:t>
            </w:r>
          </w:p>
          <w:p w14:paraId="6E9B859D" w14:textId="77777777" w:rsidR="0064685A" w:rsidRPr="00E143E1" w:rsidRDefault="0064685A" w:rsidP="00F77DE2">
            <w:pPr>
              <w:spacing w:line="216" w:lineRule="auto"/>
              <w:rPr>
                <w:rFonts w:asciiTheme="minorHAnsi" w:hAnsiTheme="minorHAnsi"/>
                <w:sz w:val="22"/>
                <w:szCs w:val="22"/>
              </w:rPr>
            </w:pPr>
          </w:p>
          <w:p w14:paraId="5F61C641" w14:textId="77777777" w:rsidR="0064685A" w:rsidRPr="00824A42" w:rsidRDefault="0064685A" w:rsidP="00F77DE2">
            <w:pPr>
              <w:spacing w:line="216" w:lineRule="auto"/>
              <w:rPr>
                <w:rFonts w:asciiTheme="minorHAnsi" w:hAnsiTheme="minorHAnsi"/>
                <w:sz w:val="22"/>
                <w:szCs w:val="22"/>
              </w:rPr>
            </w:pPr>
            <w:r w:rsidRPr="00E143E1">
              <w:rPr>
                <w:rFonts w:asciiTheme="minorHAnsi" w:hAnsiTheme="minorHAnsi"/>
                <w:sz w:val="22"/>
                <w:szCs w:val="22"/>
              </w:rPr>
              <w:t>Prob</w:t>
            </w:r>
            <w:r w:rsidRPr="00E143E1">
              <w:rPr>
                <w:rFonts w:asciiTheme="minorHAnsi" w:hAnsiTheme="minorHAnsi" w:cs="Cambria"/>
                <w:sz w:val="22"/>
                <w:szCs w:val="22"/>
              </w:rPr>
              <w:t>ě</w:t>
            </w:r>
            <w:r w:rsidRPr="00E143E1">
              <w:rPr>
                <w:rFonts w:asciiTheme="minorHAnsi" w:hAnsiTheme="minorHAnsi"/>
                <w:sz w:val="22"/>
                <w:szCs w:val="22"/>
              </w:rPr>
              <w:t>hlo otev</w:t>
            </w:r>
            <w:r w:rsidRPr="00E143E1">
              <w:rPr>
                <w:rFonts w:asciiTheme="minorHAnsi" w:hAnsiTheme="minorHAnsi" w:cs="Cambria"/>
                <w:sz w:val="22"/>
                <w:szCs w:val="22"/>
              </w:rPr>
              <w:t>ř</w:t>
            </w:r>
            <w:r w:rsidRPr="00E143E1">
              <w:rPr>
                <w:rFonts w:asciiTheme="minorHAnsi" w:hAnsiTheme="minorHAnsi"/>
                <w:sz w:val="22"/>
                <w:szCs w:val="22"/>
              </w:rPr>
              <w:t>en</w:t>
            </w:r>
            <w:r w:rsidRPr="00E143E1">
              <w:rPr>
                <w:rFonts w:asciiTheme="minorHAnsi" w:hAnsiTheme="minorHAnsi" w:cs="Bradley Hand ITC"/>
                <w:sz w:val="22"/>
                <w:szCs w:val="22"/>
              </w:rPr>
              <w:t>é</w:t>
            </w:r>
            <w:r w:rsidRPr="00E143E1">
              <w:rPr>
                <w:rFonts w:asciiTheme="minorHAnsi" w:hAnsiTheme="minorHAnsi"/>
                <w:sz w:val="22"/>
                <w:szCs w:val="22"/>
              </w:rPr>
              <w:t xml:space="preserve"> ve</w:t>
            </w:r>
            <w:r w:rsidRPr="00E143E1">
              <w:rPr>
                <w:rFonts w:asciiTheme="minorHAnsi" w:hAnsiTheme="minorHAnsi" w:cs="Cambria"/>
                <w:sz w:val="22"/>
                <w:szCs w:val="22"/>
              </w:rPr>
              <w:t>ř</w:t>
            </w:r>
            <w:r w:rsidRPr="00E143E1">
              <w:rPr>
                <w:rFonts w:asciiTheme="minorHAnsi" w:hAnsiTheme="minorHAnsi"/>
                <w:sz w:val="22"/>
                <w:szCs w:val="22"/>
              </w:rPr>
              <w:t>ejn</w:t>
            </w:r>
            <w:r w:rsidRPr="00E143E1">
              <w:rPr>
                <w:rFonts w:asciiTheme="minorHAnsi" w:hAnsiTheme="minorHAnsi" w:cs="Bradley Hand ITC"/>
                <w:sz w:val="22"/>
                <w:szCs w:val="22"/>
              </w:rPr>
              <w:t>é</w:t>
            </w:r>
            <w:r w:rsidRPr="00E143E1">
              <w:rPr>
                <w:rFonts w:asciiTheme="minorHAnsi" w:hAnsiTheme="minorHAnsi"/>
                <w:sz w:val="22"/>
                <w:szCs w:val="22"/>
              </w:rPr>
              <w:t xml:space="preserve"> </w:t>
            </w:r>
            <w:r w:rsidRPr="00E143E1">
              <w:rPr>
                <w:rFonts w:asciiTheme="minorHAnsi" w:hAnsiTheme="minorHAnsi" w:cs="Cambria"/>
                <w:sz w:val="22"/>
                <w:szCs w:val="22"/>
              </w:rPr>
              <w:t>ř</w:t>
            </w:r>
            <w:r w:rsidRPr="00E143E1">
              <w:rPr>
                <w:rFonts w:asciiTheme="minorHAnsi" w:hAnsiTheme="minorHAnsi" w:cs="Bradley Hand ITC"/>
                <w:sz w:val="22"/>
                <w:szCs w:val="22"/>
              </w:rPr>
              <w:t>í</w:t>
            </w:r>
            <w:r w:rsidRPr="00E143E1">
              <w:rPr>
                <w:rFonts w:asciiTheme="minorHAnsi" w:hAnsiTheme="minorHAnsi"/>
                <w:sz w:val="22"/>
                <w:szCs w:val="22"/>
              </w:rPr>
              <w:t>zen</w:t>
            </w:r>
            <w:r w:rsidRPr="00E143E1">
              <w:rPr>
                <w:rFonts w:asciiTheme="minorHAnsi" w:hAnsiTheme="minorHAnsi" w:cs="Bradley Hand ITC"/>
                <w:sz w:val="22"/>
                <w:szCs w:val="22"/>
              </w:rPr>
              <w:t>í</w:t>
            </w:r>
            <w:r w:rsidRPr="00E143E1">
              <w:rPr>
                <w:rFonts w:asciiTheme="minorHAnsi" w:hAnsiTheme="minorHAnsi"/>
                <w:sz w:val="22"/>
                <w:szCs w:val="22"/>
              </w:rPr>
              <w:t>, kritériem byla cena, nejnižší nabídk</w:t>
            </w:r>
            <w:r>
              <w:rPr>
                <w:rFonts w:asciiTheme="minorHAnsi" w:hAnsiTheme="minorHAnsi"/>
                <w:sz w:val="22"/>
                <w:szCs w:val="22"/>
              </w:rPr>
              <w:t>a</w:t>
            </w:r>
            <w:r w:rsidRPr="00E143E1">
              <w:rPr>
                <w:rFonts w:asciiTheme="minorHAnsi" w:hAnsiTheme="minorHAnsi"/>
                <w:sz w:val="22"/>
                <w:szCs w:val="22"/>
              </w:rPr>
              <w:t xml:space="preserve"> byla 7,8 mil. K</w:t>
            </w:r>
            <w:r w:rsidRPr="00E143E1">
              <w:rPr>
                <w:rFonts w:asciiTheme="minorHAnsi" w:hAnsiTheme="minorHAnsi" w:cs="Cambria"/>
                <w:sz w:val="22"/>
                <w:szCs w:val="22"/>
              </w:rPr>
              <w:t>č</w:t>
            </w:r>
            <w:r w:rsidRPr="00E143E1">
              <w:rPr>
                <w:rFonts w:asciiTheme="minorHAnsi" w:hAnsiTheme="minorHAnsi"/>
                <w:sz w:val="22"/>
                <w:szCs w:val="22"/>
              </w:rPr>
              <w:t xml:space="preserve"> a je nižší než p</w:t>
            </w:r>
            <w:r w:rsidRPr="00E143E1">
              <w:rPr>
                <w:rFonts w:asciiTheme="minorHAnsi" w:hAnsiTheme="minorHAnsi" w:cs="Cambria"/>
                <w:sz w:val="22"/>
                <w:szCs w:val="22"/>
              </w:rPr>
              <w:t>ř</w:t>
            </w:r>
            <w:r w:rsidRPr="00E143E1">
              <w:rPr>
                <w:rFonts w:asciiTheme="minorHAnsi" w:hAnsiTheme="minorHAnsi"/>
                <w:sz w:val="22"/>
                <w:szCs w:val="22"/>
              </w:rPr>
              <w:t>edpokl</w:t>
            </w:r>
            <w:r w:rsidRPr="00E143E1">
              <w:rPr>
                <w:rFonts w:asciiTheme="minorHAnsi" w:hAnsiTheme="minorHAnsi" w:cs="Bradley Hand ITC"/>
                <w:sz w:val="22"/>
                <w:szCs w:val="22"/>
              </w:rPr>
              <w:t>á</w:t>
            </w:r>
            <w:r w:rsidRPr="00E143E1">
              <w:rPr>
                <w:rFonts w:asciiTheme="minorHAnsi" w:hAnsiTheme="minorHAnsi"/>
                <w:sz w:val="22"/>
                <w:szCs w:val="22"/>
              </w:rPr>
              <w:t>dan</w:t>
            </w:r>
            <w:r w:rsidRPr="00E143E1">
              <w:rPr>
                <w:rFonts w:asciiTheme="minorHAnsi" w:hAnsiTheme="minorHAnsi" w:cs="Bradley Hand ITC"/>
                <w:sz w:val="22"/>
                <w:szCs w:val="22"/>
              </w:rPr>
              <w:t>á</w:t>
            </w:r>
            <w:r w:rsidRPr="00E143E1">
              <w:rPr>
                <w:rFonts w:asciiTheme="minorHAnsi" w:hAnsiTheme="minorHAnsi"/>
                <w:sz w:val="22"/>
                <w:szCs w:val="22"/>
              </w:rPr>
              <w:t xml:space="preserve"> cena.</w:t>
            </w:r>
          </w:p>
        </w:tc>
        <w:tc>
          <w:tcPr>
            <w:tcW w:w="3261" w:type="dxa"/>
            <w:shd w:val="clear" w:color="auto" w:fill="auto"/>
          </w:tcPr>
          <w:p w14:paraId="44FF8CF2" w14:textId="77777777" w:rsidR="0064685A" w:rsidRDefault="0064685A" w:rsidP="00F77DE2">
            <w:pPr>
              <w:spacing w:line="216" w:lineRule="auto"/>
              <w:rPr>
                <w:rFonts w:asciiTheme="minorHAnsi" w:hAnsiTheme="minorHAnsi"/>
                <w:sz w:val="22"/>
                <w:szCs w:val="22"/>
              </w:rPr>
            </w:pPr>
            <w:r>
              <w:rPr>
                <w:rFonts w:asciiTheme="minorHAnsi" w:hAnsiTheme="minorHAnsi"/>
                <w:sz w:val="22"/>
                <w:szCs w:val="22"/>
              </w:rPr>
              <w:t>Prověření</w:t>
            </w:r>
            <w:r w:rsidRPr="00E143E1">
              <w:rPr>
                <w:rFonts w:asciiTheme="minorHAnsi" w:hAnsiTheme="minorHAnsi"/>
                <w:sz w:val="22"/>
                <w:szCs w:val="22"/>
              </w:rPr>
              <w:t xml:space="preserve"> </w:t>
            </w:r>
          </w:p>
          <w:p w14:paraId="1ACEF7E2"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(1) nákladová efektivnost: porovnání 1 m2 zateplení a náklad</w:t>
            </w:r>
            <w:r w:rsidRPr="00E143E1">
              <w:rPr>
                <w:rFonts w:asciiTheme="minorHAnsi" w:hAnsiTheme="minorHAnsi" w:cs="Cambria"/>
                <w:sz w:val="22"/>
                <w:szCs w:val="22"/>
              </w:rPr>
              <w:t>ů</w:t>
            </w:r>
            <w:r w:rsidRPr="00E143E1">
              <w:rPr>
                <w:rFonts w:asciiTheme="minorHAnsi" w:hAnsiTheme="minorHAnsi"/>
                <w:sz w:val="22"/>
                <w:szCs w:val="22"/>
              </w:rPr>
              <w:t xml:space="preserve"> na 1 okno </w:t>
            </w:r>
          </w:p>
          <w:p w14:paraId="11085605"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(2) pomocí hodnocení p</w:t>
            </w:r>
            <w:r w:rsidRPr="00E143E1">
              <w:rPr>
                <w:rFonts w:asciiTheme="minorHAnsi" w:hAnsiTheme="minorHAnsi" w:cs="Cambria"/>
                <w:sz w:val="22"/>
                <w:szCs w:val="22"/>
              </w:rPr>
              <w:t>ř</w:t>
            </w:r>
            <w:r w:rsidRPr="00E143E1">
              <w:rPr>
                <w:rFonts w:asciiTheme="minorHAnsi" w:hAnsiTheme="minorHAnsi" w:cs="Bradley Hand ITC"/>
                <w:sz w:val="22"/>
                <w:szCs w:val="22"/>
              </w:rPr>
              <w:t>í</w:t>
            </w:r>
            <w:r w:rsidRPr="00E143E1">
              <w:rPr>
                <w:rFonts w:asciiTheme="minorHAnsi" w:hAnsiTheme="minorHAnsi"/>
                <w:sz w:val="22"/>
                <w:szCs w:val="22"/>
              </w:rPr>
              <w:t xml:space="preserve">nosu: </w:t>
            </w:r>
          </w:p>
          <w:p w14:paraId="07D8CB25" w14:textId="1335D59A"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Plánovaná úspora za vytáp</w:t>
            </w:r>
            <w:r w:rsidRPr="00E143E1">
              <w:rPr>
                <w:rFonts w:asciiTheme="minorHAnsi" w:hAnsiTheme="minorHAnsi" w:cs="Cambria"/>
                <w:sz w:val="22"/>
                <w:szCs w:val="22"/>
              </w:rPr>
              <w:t>ě</w:t>
            </w:r>
            <w:r w:rsidRPr="00E143E1">
              <w:rPr>
                <w:rFonts w:asciiTheme="minorHAnsi" w:hAnsiTheme="minorHAnsi"/>
                <w:sz w:val="22"/>
                <w:szCs w:val="22"/>
              </w:rPr>
              <w:t>n</w:t>
            </w:r>
            <w:r w:rsidRPr="00E143E1">
              <w:rPr>
                <w:rFonts w:asciiTheme="minorHAnsi" w:hAnsiTheme="minorHAnsi" w:cs="Bradley Hand ITC"/>
                <w:sz w:val="22"/>
                <w:szCs w:val="22"/>
              </w:rPr>
              <w:t>í</w:t>
            </w:r>
            <w:r w:rsidRPr="00E143E1">
              <w:rPr>
                <w:rFonts w:asciiTheme="minorHAnsi" w:hAnsiTheme="minorHAnsi"/>
                <w:sz w:val="22"/>
                <w:szCs w:val="22"/>
              </w:rPr>
              <w:t>: 0,7 mil</w:t>
            </w:r>
            <w:r w:rsidR="00DB39C1">
              <w:rPr>
                <w:rFonts w:asciiTheme="minorHAnsi" w:hAnsiTheme="minorHAnsi"/>
                <w:sz w:val="22"/>
                <w:szCs w:val="22"/>
              </w:rPr>
              <w:t>.</w:t>
            </w:r>
            <w:r w:rsidRPr="00E143E1">
              <w:rPr>
                <w:rFonts w:asciiTheme="minorHAnsi" w:hAnsiTheme="minorHAnsi"/>
                <w:sz w:val="22"/>
                <w:szCs w:val="22"/>
              </w:rPr>
              <w:t xml:space="preserve"> K</w:t>
            </w:r>
            <w:r w:rsidRPr="00E143E1">
              <w:rPr>
                <w:rFonts w:asciiTheme="minorHAnsi" w:hAnsiTheme="minorHAnsi" w:cs="Cambria"/>
                <w:sz w:val="22"/>
                <w:szCs w:val="22"/>
              </w:rPr>
              <w:t>č</w:t>
            </w:r>
            <w:r w:rsidRPr="00E143E1">
              <w:rPr>
                <w:rFonts w:asciiTheme="minorHAnsi" w:hAnsiTheme="minorHAnsi"/>
                <w:sz w:val="22"/>
                <w:szCs w:val="22"/>
              </w:rPr>
              <w:t xml:space="preserve"> ro</w:t>
            </w:r>
            <w:r w:rsidRPr="00E143E1">
              <w:rPr>
                <w:rFonts w:asciiTheme="minorHAnsi" w:hAnsiTheme="minorHAnsi" w:cs="Cambria"/>
                <w:sz w:val="22"/>
                <w:szCs w:val="22"/>
              </w:rPr>
              <w:t>č</w:t>
            </w:r>
            <w:r w:rsidRPr="00E143E1">
              <w:rPr>
                <w:rFonts w:asciiTheme="minorHAnsi" w:hAnsiTheme="minorHAnsi"/>
                <w:sz w:val="22"/>
                <w:szCs w:val="22"/>
              </w:rPr>
              <w:t>n</w:t>
            </w:r>
            <w:r w:rsidRPr="00E143E1">
              <w:rPr>
                <w:rFonts w:asciiTheme="minorHAnsi" w:hAnsiTheme="minorHAnsi" w:cs="Cambria"/>
                <w:sz w:val="22"/>
                <w:szCs w:val="22"/>
              </w:rPr>
              <w:t>ě</w:t>
            </w:r>
            <w:r w:rsidRPr="00E143E1">
              <w:rPr>
                <w:rFonts w:asciiTheme="minorHAnsi" w:hAnsiTheme="minorHAnsi"/>
                <w:sz w:val="22"/>
                <w:szCs w:val="22"/>
              </w:rPr>
              <w:t>.</w:t>
            </w:r>
          </w:p>
          <w:p w14:paraId="22F60F4D"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Návratnost investic v letech:</w:t>
            </w:r>
          </w:p>
          <w:p w14:paraId="54B5D40A"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cena / úspora za vytáp</w:t>
            </w:r>
            <w:r w:rsidRPr="00E143E1">
              <w:rPr>
                <w:rFonts w:asciiTheme="minorHAnsi" w:hAnsiTheme="minorHAnsi" w:cs="Cambria"/>
                <w:sz w:val="22"/>
                <w:szCs w:val="22"/>
              </w:rPr>
              <w:t>ě</w:t>
            </w:r>
            <w:r w:rsidRPr="00E143E1">
              <w:rPr>
                <w:rFonts w:asciiTheme="minorHAnsi" w:hAnsiTheme="minorHAnsi"/>
                <w:sz w:val="22"/>
                <w:szCs w:val="22"/>
              </w:rPr>
              <w:t>n</w:t>
            </w:r>
            <w:r w:rsidRPr="00E143E1">
              <w:rPr>
                <w:rFonts w:asciiTheme="minorHAnsi" w:hAnsiTheme="minorHAnsi" w:cs="Bradley Hand ITC"/>
                <w:sz w:val="22"/>
                <w:szCs w:val="22"/>
              </w:rPr>
              <w:t>í</w:t>
            </w:r>
            <w:r w:rsidRPr="00E143E1">
              <w:rPr>
                <w:rFonts w:asciiTheme="minorHAnsi" w:hAnsiTheme="minorHAnsi"/>
                <w:sz w:val="22"/>
                <w:szCs w:val="22"/>
              </w:rPr>
              <w:t>:</w:t>
            </w:r>
          </w:p>
          <w:p w14:paraId="5E946005"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P</w:t>
            </w:r>
            <w:r w:rsidRPr="00E143E1">
              <w:rPr>
                <w:rFonts w:asciiTheme="minorHAnsi" w:hAnsiTheme="minorHAnsi" w:cs="Cambria"/>
                <w:sz w:val="22"/>
                <w:szCs w:val="22"/>
              </w:rPr>
              <w:t>ř</w:t>
            </w:r>
            <w:r w:rsidRPr="00E143E1">
              <w:rPr>
                <w:rFonts w:asciiTheme="minorHAnsi" w:hAnsiTheme="minorHAnsi"/>
                <w:sz w:val="22"/>
                <w:szCs w:val="22"/>
              </w:rPr>
              <w:t>edpokl</w:t>
            </w:r>
            <w:r w:rsidRPr="00E143E1">
              <w:rPr>
                <w:rFonts w:asciiTheme="minorHAnsi" w:hAnsiTheme="minorHAnsi" w:cs="Bradley Hand ITC"/>
                <w:sz w:val="22"/>
                <w:szCs w:val="22"/>
              </w:rPr>
              <w:t>á</w:t>
            </w:r>
            <w:r w:rsidRPr="00E143E1">
              <w:rPr>
                <w:rFonts w:asciiTheme="minorHAnsi" w:hAnsiTheme="minorHAnsi"/>
                <w:sz w:val="22"/>
                <w:szCs w:val="22"/>
              </w:rPr>
              <w:t>dan</w:t>
            </w:r>
            <w:r w:rsidRPr="00E143E1">
              <w:rPr>
                <w:rFonts w:asciiTheme="minorHAnsi" w:hAnsiTheme="minorHAnsi" w:cs="Bradley Hand ITC"/>
                <w:sz w:val="22"/>
                <w:szCs w:val="22"/>
              </w:rPr>
              <w:t>á</w:t>
            </w:r>
            <w:r w:rsidRPr="00E143E1">
              <w:rPr>
                <w:rFonts w:asciiTheme="minorHAnsi" w:hAnsiTheme="minorHAnsi"/>
                <w:sz w:val="22"/>
                <w:szCs w:val="22"/>
              </w:rPr>
              <w:t xml:space="preserve">: </w:t>
            </w:r>
          </w:p>
          <w:p w14:paraId="7D34783A"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8,5 / 0,7 = 12,1 let</w:t>
            </w:r>
          </w:p>
          <w:p w14:paraId="60F55629"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Nejnižší nabídka:</w:t>
            </w:r>
          </w:p>
          <w:p w14:paraId="3EF73DEF"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7,8 / 0,7 = 11,1 let</w:t>
            </w:r>
          </w:p>
          <w:p w14:paraId="2E0FC7E7" w14:textId="77777777" w:rsidR="0064685A" w:rsidRPr="00824A42" w:rsidRDefault="0064685A" w:rsidP="00F77DE2">
            <w:pPr>
              <w:spacing w:line="216" w:lineRule="auto"/>
              <w:rPr>
                <w:rFonts w:asciiTheme="minorHAnsi" w:hAnsiTheme="minorHAnsi"/>
                <w:sz w:val="22"/>
                <w:szCs w:val="22"/>
              </w:rPr>
            </w:pPr>
            <w:r w:rsidRPr="00E143E1">
              <w:rPr>
                <w:rFonts w:asciiTheme="minorHAnsi" w:hAnsiTheme="minorHAnsi"/>
                <w:sz w:val="22"/>
                <w:szCs w:val="22"/>
              </w:rPr>
              <w:t>Nákladová efektivnost vyšla výhodn</w:t>
            </w:r>
            <w:r w:rsidRPr="00E143E1">
              <w:rPr>
                <w:rFonts w:asciiTheme="minorHAnsi" w:hAnsiTheme="minorHAnsi" w:cs="Cambria"/>
                <w:sz w:val="22"/>
                <w:szCs w:val="22"/>
              </w:rPr>
              <w:t>ě</w:t>
            </w:r>
            <w:r w:rsidRPr="00E143E1">
              <w:rPr>
                <w:rFonts w:asciiTheme="minorHAnsi" w:hAnsiTheme="minorHAnsi"/>
                <w:sz w:val="22"/>
                <w:szCs w:val="22"/>
              </w:rPr>
              <w:t>ji stejn</w:t>
            </w:r>
            <w:r w:rsidRPr="00E143E1">
              <w:rPr>
                <w:rFonts w:asciiTheme="minorHAnsi" w:hAnsiTheme="minorHAnsi" w:cs="Cambria"/>
                <w:sz w:val="22"/>
                <w:szCs w:val="22"/>
              </w:rPr>
              <w:t>ě</w:t>
            </w:r>
            <w:r w:rsidRPr="00E143E1">
              <w:rPr>
                <w:rFonts w:asciiTheme="minorHAnsi" w:hAnsiTheme="minorHAnsi"/>
                <w:sz w:val="22"/>
                <w:szCs w:val="22"/>
              </w:rPr>
              <w:t xml:space="preserve"> jako p</w:t>
            </w:r>
            <w:r w:rsidRPr="00E143E1">
              <w:rPr>
                <w:rFonts w:asciiTheme="minorHAnsi" w:hAnsiTheme="minorHAnsi" w:cs="Cambria"/>
                <w:sz w:val="22"/>
                <w:szCs w:val="22"/>
              </w:rPr>
              <w:t>ř</w:t>
            </w:r>
            <w:r w:rsidRPr="00E143E1">
              <w:rPr>
                <w:rFonts w:asciiTheme="minorHAnsi" w:hAnsiTheme="minorHAnsi" w:cs="Bradley Hand ITC"/>
                <w:sz w:val="22"/>
                <w:szCs w:val="22"/>
              </w:rPr>
              <w:t>í</w:t>
            </w:r>
            <w:r w:rsidRPr="00E143E1">
              <w:rPr>
                <w:rFonts w:asciiTheme="minorHAnsi" w:hAnsiTheme="minorHAnsi"/>
                <w:sz w:val="22"/>
                <w:szCs w:val="22"/>
              </w:rPr>
              <w:t>nos pomocí návratnosti (o 1 rok).</w:t>
            </w:r>
          </w:p>
        </w:tc>
        <w:tc>
          <w:tcPr>
            <w:tcW w:w="2925" w:type="dxa"/>
            <w:shd w:val="clear" w:color="auto" w:fill="auto"/>
          </w:tcPr>
          <w:p w14:paraId="2E74A6BC" w14:textId="77777777" w:rsidR="0064685A" w:rsidRPr="00E143E1" w:rsidRDefault="0064685A" w:rsidP="00F77DE2">
            <w:pPr>
              <w:spacing w:line="216" w:lineRule="auto"/>
              <w:rPr>
                <w:rFonts w:asciiTheme="minorHAnsi" w:hAnsiTheme="minorHAnsi"/>
                <w:sz w:val="22"/>
                <w:szCs w:val="22"/>
              </w:rPr>
            </w:pPr>
            <w:r>
              <w:rPr>
                <w:rFonts w:asciiTheme="minorHAnsi" w:hAnsiTheme="minorHAnsi"/>
                <w:sz w:val="22"/>
                <w:szCs w:val="22"/>
              </w:rPr>
              <w:t>Prověření</w:t>
            </w:r>
            <w:r w:rsidRPr="00E143E1">
              <w:rPr>
                <w:rFonts w:asciiTheme="minorHAnsi" w:hAnsiTheme="minorHAnsi"/>
                <w:sz w:val="22"/>
                <w:szCs w:val="22"/>
              </w:rPr>
              <w:t>:</w:t>
            </w:r>
          </w:p>
          <w:p w14:paraId="4C2D4E84"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 Existuje soulad se st</w:t>
            </w:r>
            <w:r w:rsidRPr="00E143E1">
              <w:rPr>
                <w:rFonts w:asciiTheme="minorHAnsi" w:hAnsiTheme="minorHAnsi" w:cs="Cambria"/>
                <w:sz w:val="22"/>
                <w:szCs w:val="22"/>
              </w:rPr>
              <w:t>ř</w:t>
            </w:r>
            <w:r w:rsidRPr="00E143E1">
              <w:rPr>
                <w:rFonts w:asciiTheme="minorHAnsi" w:hAnsiTheme="minorHAnsi"/>
                <w:sz w:val="22"/>
                <w:szCs w:val="22"/>
              </w:rPr>
              <w:t>edn</w:t>
            </w:r>
            <w:r w:rsidRPr="00E143E1">
              <w:rPr>
                <w:rFonts w:asciiTheme="minorHAnsi" w:hAnsiTheme="minorHAnsi" w:cs="Cambria"/>
                <w:sz w:val="22"/>
                <w:szCs w:val="22"/>
              </w:rPr>
              <w:t>ě</w:t>
            </w:r>
            <w:r w:rsidRPr="00E143E1">
              <w:rPr>
                <w:rFonts w:asciiTheme="minorHAnsi" w:hAnsiTheme="minorHAnsi"/>
                <w:sz w:val="22"/>
                <w:szCs w:val="22"/>
              </w:rPr>
              <w:t>dob</w:t>
            </w:r>
            <w:r w:rsidRPr="00E143E1">
              <w:rPr>
                <w:rFonts w:asciiTheme="minorHAnsi" w:hAnsiTheme="minorHAnsi" w:cs="Bradley Hand ITC"/>
                <w:sz w:val="22"/>
                <w:szCs w:val="22"/>
              </w:rPr>
              <w:t>ý</w:t>
            </w:r>
            <w:r w:rsidRPr="00E143E1">
              <w:rPr>
                <w:rFonts w:asciiTheme="minorHAnsi" w:hAnsiTheme="minorHAnsi"/>
                <w:sz w:val="22"/>
                <w:szCs w:val="22"/>
              </w:rPr>
              <w:t>m pl</w:t>
            </w:r>
            <w:r w:rsidRPr="00E143E1">
              <w:rPr>
                <w:rFonts w:asciiTheme="minorHAnsi" w:hAnsiTheme="minorHAnsi" w:cs="Bradley Hand ITC"/>
                <w:sz w:val="22"/>
                <w:szCs w:val="22"/>
              </w:rPr>
              <w:t>á</w:t>
            </w:r>
            <w:r w:rsidRPr="00E143E1">
              <w:rPr>
                <w:rFonts w:asciiTheme="minorHAnsi" w:hAnsiTheme="minorHAnsi"/>
                <w:sz w:val="22"/>
                <w:szCs w:val="22"/>
              </w:rPr>
              <w:t xml:space="preserve">nem investic. </w:t>
            </w:r>
          </w:p>
          <w:p w14:paraId="0129FE17" w14:textId="77777777" w:rsidR="0064685A" w:rsidRPr="00E143E1" w:rsidRDefault="0064685A" w:rsidP="00F77DE2">
            <w:pPr>
              <w:spacing w:line="216" w:lineRule="auto"/>
              <w:rPr>
                <w:rFonts w:asciiTheme="minorHAnsi" w:hAnsiTheme="minorHAnsi"/>
                <w:sz w:val="22"/>
                <w:szCs w:val="22"/>
              </w:rPr>
            </w:pPr>
            <w:r w:rsidRPr="00E143E1">
              <w:rPr>
                <w:rFonts w:asciiTheme="minorHAnsi" w:hAnsiTheme="minorHAnsi"/>
                <w:sz w:val="22"/>
                <w:szCs w:val="22"/>
              </w:rPr>
              <w:t>- Pot</w:t>
            </w:r>
            <w:r w:rsidRPr="00E143E1">
              <w:rPr>
                <w:rFonts w:asciiTheme="minorHAnsi" w:hAnsiTheme="minorHAnsi" w:cs="Cambria"/>
                <w:sz w:val="22"/>
                <w:szCs w:val="22"/>
              </w:rPr>
              <w:t>ř</w:t>
            </w:r>
            <w:r w:rsidRPr="00E143E1">
              <w:rPr>
                <w:rFonts w:asciiTheme="minorHAnsi" w:hAnsiTheme="minorHAnsi"/>
                <w:sz w:val="22"/>
                <w:szCs w:val="22"/>
              </w:rPr>
              <w:t>ebnost ov</w:t>
            </w:r>
            <w:r w:rsidRPr="00E143E1">
              <w:rPr>
                <w:rFonts w:asciiTheme="minorHAnsi" w:hAnsiTheme="minorHAnsi" w:cs="Cambria"/>
                <w:sz w:val="22"/>
                <w:szCs w:val="22"/>
              </w:rPr>
              <w:t>ěř</w:t>
            </w:r>
            <w:r w:rsidRPr="00E143E1">
              <w:rPr>
                <w:rFonts w:asciiTheme="minorHAnsi" w:hAnsiTheme="minorHAnsi"/>
                <w:sz w:val="22"/>
                <w:szCs w:val="22"/>
              </w:rPr>
              <w:t>ena pomoc</w:t>
            </w:r>
            <w:r w:rsidRPr="00E143E1">
              <w:rPr>
                <w:rFonts w:asciiTheme="minorHAnsi" w:hAnsiTheme="minorHAnsi" w:cs="Bradley Hand ITC"/>
                <w:sz w:val="22"/>
                <w:szCs w:val="22"/>
              </w:rPr>
              <w:t>í</w:t>
            </w:r>
            <w:r w:rsidRPr="00E143E1">
              <w:rPr>
                <w:rFonts w:asciiTheme="minorHAnsi" w:hAnsiTheme="minorHAnsi"/>
                <w:sz w:val="22"/>
                <w:szCs w:val="22"/>
              </w:rPr>
              <w:t xml:space="preserve"> proveden</w:t>
            </w:r>
            <w:r w:rsidRPr="00E143E1">
              <w:rPr>
                <w:rFonts w:asciiTheme="minorHAnsi" w:hAnsiTheme="minorHAnsi" w:cs="Bradley Hand ITC"/>
                <w:sz w:val="22"/>
                <w:szCs w:val="22"/>
              </w:rPr>
              <w:t>é</w:t>
            </w:r>
            <w:r w:rsidRPr="00E143E1">
              <w:rPr>
                <w:rFonts w:asciiTheme="minorHAnsi" w:hAnsiTheme="minorHAnsi"/>
                <w:sz w:val="22"/>
                <w:szCs w:val="22"/>
              </w:rPr>
              <w:t xml:space="preserve"> anal</w:t>
            </w:r>
            <w:r w:rsidRPr="00E143E1">
              <w:rPr>
                <w:rFonts w:asciiTheme="minorHAnsi" w:hAnsiTheme="minorHAnsi" w:cs="Bradley Hand ITC"/>
                <w:sz w:val="22"/>
                <w:szCs w:val="22"/>
              </w:rPr>
              <w:t>ý</w:t>
            </w:r>
            <w:r w:rsidRPr="00E143E1">
              <w:rPr>
                <w:rFonts w:asciiTheme="minorHAnsi" w:hAnsiTheme="minorHAnsi"/>
                <w:sz w:val="22"/>
                <w:szCs w:val="22"/>
              </w:rPr>
              <w:t>zy.</w:t>
            </w:r>
          </w:p>
          <w:p w14:paraId="43056D8E" w14:textId="77777777" w:rsidR="0064685A" w:rsidRPr="00E143E1" w:rsidRDefault="0064685A" w:rsidP="00F77DE2">
            <w:pPr>
              <w:spacing w:line="216" w:lineRule="auto"/>
              <w:rPr>
                <w:rFonts w:asciiTheme="minorHAnsi" w:hAnsiTheme="minorHAnsi"/>
                <w:sz w:val="22"/>
                <w:szCs w:val="22"/>
              </w:rPr>
            </w:pPr>
          </w:p>
          <w:p w14:paraId="4248B914" w14:textId="77777777" w:rsidR="0064685A" w:rsidRPr="00E143E1" w:rsidRDefault="0064685A" w:rsidP="00F77DE2">
            <w:pPr>
              <w:spacing w:line="216" w:lineRule="auto"/>
              <w:rPr>
                <w:rFonts w:asciiTheme="minorHAnsi" w:hAnsiTheme="minorHAnsi"/>
                <w:sz w:val="22"/>
                <w:szCs w:val="22"/>
              </w:rPr>
            </w:pPr>
          </w:p>
          <w:p w14:paraId="7AF1070F" w14:textId="77777777" w:rsidR="0064685A" w:rsidRPr="00E143E1" w:rsidRDefault="0064685A" w:rsidP="00F77DE2">
            <w:pPr>
              <w:spacing w:line="216" w:lineRule="auto"/>
              <w:rPr>
                <w:rFonts w:asciiTheme="minorHAnsi" w:hAnsiTheme="minorHAnsi"/>
                <w:sz w:val="22"/>
                <w:szCs w:val="22"/>
              </w:rPr>
            </w:pPr>
          </w:p>
          <w:p w14:paraId="0BA8BFA4" w14:textId="77777777" w:rsidR="0064685A" w:rsidRPr="00E143E1" w:rsidRDefault="0064685A" w:rsidP="00F77DE2">
            <w:pPr>
              <w:spacing w:line="216" w:lineRule="auto"/>
              <w:rPr>
                <w:rFonts w:asciiTheme="minorHAnsi" w:hAnsiTheme="minorHAnsi"/>
                <w:sz w:val="22"/>
                <w:szCs w:val="22"/>
              </w:rPr>
            </w:pPr>
          </w:p>
          <w:p w14:paraId="63CCAD59" w14:textId="77777777" w:rsidR="0064685A" w:rsidRPr="00E143E1" w:rsidRDefault="0064685A" w:rsidP="00F77DE2">
            <w:pPr>
              <w:spacing w:line="216" w:lineRule="auto"/>
              <w:rPr>
                <w:rFonts w:asciiTheme="minorHAnsi" w:hAnsiTheme="minorHAnsi"/>
                <w:sz w:val="22"/>
                <w:szCs w:val="22"/>
              </w:rPr>
            </w:pPr>
          </w:p>
          <w:p w14:paraId="3E232711" w14:textId="77777777" w:rsidR="0064685A" w:rsidRPr="00824A42" w:rsidRDefault="0064685A" w:rsidP="00F77DE2">
            <w:pPr>
              <w:spacing w:line="216" w:lineRule="auto"/>
              <w:rPr>
                <w:rFonts w:asciiTheme="minorHAnsi" w:hAnsiTheme="minorHAnsi"/>
                <w:sz w:val="22"/>
                <w:szCs w:val="22"/>
              </w:rPr>
            </w:pPr>
          </w:p>
        </w:tc>
      </w:tr>
    </w:tbl>
    <w:p w14:paraId="10AF46CC" w14:textId="64BC6E8B" w:rsidR="0064685A" w:rsidRPr="00E143E1" w:rsidRDefault="0064685A" w:rsidP="0064685A">
      <w:pPr>
        <w:pStyle w:val="Zkladntext3"/>
        <w:spacing w:after="0" w:line="360" w:lineRule="auto"/>
        <w:ind w:left="66"/>
        <w:jc w:val="both"/>
        <w:rPr>
          <w:rFonts w:asciiTheme="minorHAnsi" w:eastAsia="Calibri" w:hAnsiTheme="minorHAnsi" w:cstheme="minorHAnsi"/>
          <w:i/>
          <w:iCs/>
          <w:sz w:val="24"/>
          <w:szCs w:val="24"/>
        </w:rPr>
      </w:pPr>
      <w:r w:rsidRPr="00E143E1">
        <w:rPr>
          <w:rFonts w:asciiTheme="minorHAnsi" w:eastAsia="Calibri" w:hAnsiTheme="minorHAnsi" w:cstheme="minorHAnsi"/>
          <w:i/>
          <w:iCs/>
          <w:sz w:val="24"/>
          <w:szCs w:val="24"/>
        </w:rPr>
        <w:t xml:space="preserve">Zdroj: </w:t>
      </w:r>
      <w:r>
        <w:rPr>
          <w:rFonts w:asciiTheme="minorHAnsi" w:eastAsia="Calibri" w:hAnsiTheme="minorHAnsi" w:cstheme="minorHAnsi"/>
          <w:i/>
          <w:iCs/>
          <w:sz w:val="24"/>
          <w:szCs w:val="24"/>
        </w:rPr>
        <w:t>autoři</w:t>
      </w:r>
    </w:p>
    <w:p w14:paraId="2F3BCA5D" w14:textId="77777777" w:rsidR="0064685A" w:rsidRDefault="0064685A" w:rsidP="0064685A">
      <w:pPr>
        <w:jc w:val="both"/>
        <w:rPr>
          <w:rFonts w:ascii="Calibri" w:hAnsi="Calibri" w:cs="Calibri"/>
        </w:rPr>
      </w:pPr>
      <w:r w:rsidRPr="00F17132">
        <w:rPr>
          <w:rFonts w:ascii="Calibri" w:hAnsi="Calibri" w:cs="Calibri"/>
        </w:rPr>
        <w:t xml:space="preserve">Komentáře / </w:t>
      </w:r>
      <w:r>
        <w:rPr>
          <w:rFonts w:ascii="Calibri" w:hAnsi="Calibri" w:cs="Calibri"/>
        </w:rPr>
        <w:t>omezení</w:t>
      </w:r>
      <w:r w:rsidRPr="00F17132">
        <w:rPr>
          <w:rFonts w:ascii="Calibri" w:hAnsi="Calibri" w:cs="Calibri"/>
        </w:rPr>
        <w:t>:</w:t>
      </w:r>
      <w:r>
        <w:rPr>
          <w:rFonts w:ascii="Calibri" w:hAnsi="Calibri" w:cs="Calibri"/>
        </w:rPr>
        <w:t xml:space="preserve"> </w:t>
      </w:r>
    </w:p>
    <w:p w14:paraId="23CF2BDA" w14:textId="77777777" w:rsidR="0064685A" w:rsidRPr="00275D33" w:rsidRDefault="0064685A" w:rsidP="0065698B">
      <w:pPr>
        <w:pStyle w:val="Odstavecseseznamem"/>
        <w:numPr>
          <w:ilvl w:val="0"/>
          <w:numId w:val="40"/>
        </w:numPr>
        <w:jc w:val="both"/>
        <w:rPr>
          <w:rFonts w:ascii="Calibri" w:hAnsi="Calibri" w:cs="Calibri"/>
        </w:rPr>
      </w:pPr>
      <w:r w:rsidRPr="00275D33">
        <w:rPr>
          <w:rFonts w:ascii="Calibri" w:hAnsi="Calibri" w:cs="Calibri"/>
        </w:rPr>
        <w:t xml:space="preserve">Předpokládaná cena stavebních prací se stanovuje na základě výpočtu dle projektové dokumentace. Existuje více sazebníků stavebních prací (např. uvedená UNIKA, další je například cenová soustava dle ÚRS). Způsob stanovení předpokládané ceny je vhodné vždy uvést. Předchází se tím plýtvání a </w:t>
      </w:r>
      <w:r>
        <w:rPr>
          <w:rFonts w:ascii="Calibri" w:hAnsi="Calibri" w:cs="Calibri"/>
        </w:rPr>
        <w:t>trestné činnosti</w:t>
      </w:r>
      <w:r w:rsidRPr="00275D33">
        <w:rPr>
          <w:rFonts w:ascii="Calibri" w:hAnsi="Calibri" w:cs="Calibri"/>
        </w:rPr>
        <w:t xml:space="preserve">. </w:t>
      </w:r>
    </w:p>
    <w:p w14:paraId="5DD20A68" w14:textId="77777777" w:rsidR="0064685A" w:rsidRPr="00275D33" w:rsidRDefault="0064685A" w:rsidP="0065698B">
      <w:pPr>
        <w:pStyle w:val="Odstavecseseznamem"/>
        <w:numPr>
          <w:ilvl w:val="0"/>
          <w:numId w:val="40"/>
        </w:numPr>
        <w:jc w:val="both"/>
        <w:rPr>
          <w:rFonts w:ascii="Calibri" w:hAnsi="Calibri" w:cs="Calibri"/>
        </w:rPr>
      </w:pPr>
      <w:r w:rsidRPr="00275D33">
        <w:rPr>
          <w:rFonts w:ascii="Calibri" w:hAnsi="Calibri" w:cs="Calibri"/>
        </w:rPr>
        <w:t xml:space="preserve">Popis rozsahu zateplení (a počet oken) mohl být uveden podrobněji. </w:t>
      </w:r>
    </w:p>
    <w:p w14:paraId="5DE62B2B" w14:textId="77777777" w:rsidR="0064685A" w:rsidRDefault="0064685A" w:rsidP="0065698B">
      <w:pPr>
        <w:pStyle w:val="Odstavecseseznamem"/>
        <w:numPr>
          <w:ilvl w:val="0"/>
          <w:numId w:val="40"/>
        </w:numPr>
        <w:jc w:val="both"/>
        <w:rPr>
          <w:rFonts w:ascii="Calibri" w:hAnsi="Calibri" w:cs="Calibri"/>
        </w:rPr>
      </w:pPr>
      <w:r w:rsidRPr="00275D33">
        <w:rPr>
          <w:rFonts w:ascii="Calibri" w:hAnsi="Calibri" w:cs="Calibri"/>
        </w:rPr>
        <w:t xml:space="preserve">Pokud má investice návratnost, obvykle se stanovuje předem, jaká je maximální přípustná návratnost, aby bylo možné investici považovat za efektivní. </w:t>
      </w:r>
    </w:p>
    <w:p w14:paraId="4968BD8B" w14:textId="0C60D284" w:rsidR="0064685A" w:rsidRDefault="0064685A" w:rsidP="007B1B0A">
      <w:pPr>
        <w:pStyle w:val="A1-text"/>
        <w:spacing w:after="120"/>
      </w:pPr>
    </w:p>
    <w:p w14:paraId="51495FA1" w14:textId="53E39BBB" w:rsidR="0064685A" w:rsidRPr="00437738" w:rsidRDefault="0064685A" w:rsidP="00437738">
      <w:pPr>
        <w:spacing w:after="120"/>
        <w:jc w:val="both"/>
        <w:rPr>
          <w:rFonts w:ascii="Calibri" w:hAnsi="Calibri" w:cs="Calibri"/>
          <w:b/>
        </w:rPr>
      </w:pPr>
      <w:bookmarkStart w:id="90" w:name="_Toc105103336"/>
      <w:r w:rsidRPr="00437738">
        <w:rPr>
          <w:rFonts w:ascii="Calibri" w:hAnsi="Calibri" w:cs="Calibri"/>
          <w:b/>
        </w:rPr>
        <w:t xml:space="preserve">Případová studie </w:t>
      </w:r>
      <w:r w:rsidR="00225455">
        <w:rPr>
          <w:rFonts w:ascii="Calibri" w:hAnsi="Calibri" w:cs="Calibri"/>
          <w:b/>
        </w:rPr>
        <w:t xml:space="preserve">prověřování 3E č. 3 </w:t>
      </w:r>
      <w:r w:rsidRPr="00437738">
        <w:rPr>
          <w:rFonts w:ascii="Calibri" w:hAnsi="Calibri" w:cs="Calibri"/>
          <w:b/>
        </w:rPr>
        <w:t>– nákup počítačů</w:t>
      </w:r>
      <w:bookmarkEnd w:id="90"/>
    </w:p>
    <w:p w14:paraId="06E6923C" w14:textId="77777777" w:rsidR="0064685A" w:rsidRPr="008005B3" w:rsidRDefault="0064685A" w:rsidP="0064685A">
      <w:pPr>
        <w:spacing w:after="120"/>
        <w:jc w:val="both"/>
        <w:rPr>
          <w:rFonts w:ascii="Calibri" w:hAnsi="Calibri" w:cs="Calibri"/>
        </w:rPr>
      </w:pPr>
      <w:r>
        <w:rPr>
          <w:rFonts w:ascii="Calibri" w:hAnsi="Calibri" w:cs="Calibri"/>
        </w:rPr>
        <w:t>Případová studie je v následující tabulce. Pod ní jsou uvedeny komentáře či omezení.</w:t>
      </w:r>
    </w:p>
    <w:p w14:paraId="5684CD1B" w14:textId="2962D610" w:rsidR="0064685A" w:rsidRPr="00683CCF" w:rsidRDefault="003E214F" w:rsidP="0064685A">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Tab.</w:t>
      </w:r>
      <w:r w:rsidR="0064685A" w:rsidRPr="00683CCF">
        <w:rPr>
          <w:rFonts w:asciiTheme="minorHAnsi" w:eastAsia="Calibri" w:hAnsiTheme="minorHAnsi" w:cstheme="minorHAnsi"/>
          <w:i/>
          <w:iCs/>
          <w:sz w:val="24"/>
          <w:szCs w:val="24"/>
        </w:rPr>
        <w:t xml:space="preserve"> </w:t>
      </w:r>
      <w:r w:rsidR="004F0E1D">
        <w:rPr>
          <w:rFonts w:asciiTheme="minorHAnsi" w:eastAsia="Calibri" w:hAnsiTheme="minorHAnsi" w:cstheme="minorHAnsi"/>
          <w:i/>
          <w:iCs/>
          <w:sz w:val="24"/>
          <w:szCs w:val="24"/>
        </w:rPr>
        <w:t>2</w:t>
      </w:r>
      <w:r w:rsidR="00C14739">
        <w:rPr>
          <w:rFonts w:asciiTheme="minorHAnsi" w:eastAsia="Calibri" w:hAnsiTheme="minorHAnsi" w:cstheme="minorHAnsi"/>
          <w:i/>
          <w:iCs/>
          <w:sz w:val="24"/>
          <w:szCs w:val="24"/>
        </w:rPr>
        <w:t>7</w:t>
      </w:r>
      <w:r w:rsidR="0064685A">
        <w:rPr>
          <w:rFonts w:asciiTheme="minorHAnsi" w:eastAsia="Calibri" w:hAnsiTheme="minorHAnsi" w:cstheme="minorHAnsi"/>
          <w:i/>
          <w:iCs/>
          <w:sz w:val="24"/>
          <w:szCs w:val="24"/>
        </w:rPr>
        <w:t xml:space="preserve"> </w:t>
      </w:r>
      <w:r w:rsidR="0064685A" w:rsidRPr="00683CCF">
        <w:rPr>
          <w:rFonts w:asciiTheme="minorHAnsi" w:eastAsia="Calibri" w:hAnsiTheme="minorHAnsi" w:cstheme="minorHAnsi"/>
          <w:i/>
          <w:iCs/>
          <w:sz w:val="24"/>
          <w:szCs w:val="24"/>
        </w:rPr>
        <w:t>Prověření kritérií 3E - Nákup počítačů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5"/>
        <w:gridCol w:w="3005"/>
      </w:tblGrid>
      <w:tr w:rsidR="0064685A" w:rsidRPr="00824A42" w14:paraId="5EFEB6D0" w14:textId="77777777" w:rsidTr="00F77DE2">
        <w:tc>
          <w:tcPr>
            <w:tcW w:w="9016" w:type="dxa"/>
            <w:gridSpan w:val="3"/>
            <w:shd w:val="clear" w:color="auto" w:fill="E7E6E6" w:themeFill="background2"/>
          </w:tcPr>
          <w:p w14:paraId="3FBD5F53" w14:textId="77777777" w:rsidR="0064685A" w:rsidRPr="00824A42" w:rsidRDefault="0064685A" w:rsidP="00F77DE2">
            <w:pPr>
              <w:spacing w:line="216" w:lineRule="auto"/>
              <w:rPr>
                <w:rFonts w:asciiTheme="minorHAnsi" w:hAnsiTheme="minorHAnsi"/>
                <w:b/>
                <w:sz w:val="22"/>
                <w:szCs w:val="22"/>
              </w:rPr>
            </w:pPr>
            <w:r w:rsidRPr="00824A42">
              <w:rPr>
                <w:rFonts w:asciiTheme="minorHAnsi" w:hAnsiTheme="minorHAnsi"/>
                <w:b/>
                <w:sz w:val="22"/>
                <w:szCs w:val="22"/>
              </w:rPr>
              <w:t>Popis výdajové operace:</w:t>
            </w:r>
          </w:p>
        </w:tc>
      </w:tr>
      <w:tr w:rsidR="0064685A" w:rsidRPr="00824A42" w14:paraId="6F5296AA" w14:textId="77777777" w:rsidTr="00F77DE2">
        <w:tc>
          <w:tcPr>
            <w:tcW w:w="9016" w:type="dxa"/>
            <w:gridSpan w:val="3"/>
            <w:shd w:val="clear" w:color="auto" w:fill="FFFFFF" w:themeFill="background1"/>
          </w:tcPr>
          <w:p w14:paraId="6CB82439" w14:textId="77777777" w:rsidR="0064685A" w:rsidRPr="00824A42" w:rsidRDefault="0064685A" w:rsidP="00F77DE2">
            <w:pPr>
              <w:spacing w:line="240" w:lineRule="auto"/>
              <w:jc w:val="both"/>
              <w:rPr>
                <w:rFonts w:asciiTheme="minorHAnsi" w:hAnsiTheme="minorHAnsi"/>
                <w:sz w:val="22"/>
                <w:szCs w:val="22"/>
              </w:rPr>
            </w:pPr>
            <w:r w:rsidRPr="00824A42">
              <w:rPr>
                <w:rFonts w:asciiTheme="minorHAnsi" w:hAnsiTheme="minorHAnsi"/>
                <w:sz w:val="22"/>
                <w:szCs w:val="22"/>
              </w:rPr>
              <w:t>Město nakupuje počítače pro úředníky v rámci pravidelné obnovy počítačů – nákup 10 kusů sestav počítačů (včetně monitoru, klávesnice, myši, software). Standard počítače byl stanoven.</w:t>
            </w:r>
          </w:p>
        </w:tc>
      </w:tr>
      <w:tr w:rsidR="0064685A" w:rsidRPr="00824A42" w14:paraId="02CDF96E" w14:textId="77777777" w:rsidTr="00F77DE2">
        <w:tc>
          <w:tcPr>
            <w:tcW w:w="3006" w:type="dxa"/>
            <w:shd w:val="clear" w:color="auto" w:fill="E7E6E6" w:themeFill="background2"/>
          </w:tcPr>
          <w:p w14:paraId="4E6AF09E" w14:textId="77777777" w:rsidR="0064685A" w:rsidRPr="00824A42" w:rsidRDefault="0064685A" w:rsidP="00F77DE2">
            <w:pPr>
              <w:tabs>
                <w:tab w:val="left" w:pos="1625"/>
              </w:tabs>
              <w:spacing w:line="216" w:lineRule="auto"/>
              <w:rPr>
                <w:rFonts w:asciiTheme="minorHAnsi" w:hAnsiTheme="minorHAnsi"/>
                <w:b/>
                <w:sz w:val="22"/>
                <w:szCs w:val="22"/>
              </w:rPr>
            </w:pPr>
            <w:r w:rsidRPr="00824A42">
              <w:rPr>
                <w:rFonts w:asciiTheme="minorHAnsi" w:hAnsiTheme="minorHAnsi"/>
                <w:b/>
                <w:sz w:val="22"/>
                <w:szCs w:val="22"/>
              </w:rPr>
              <w:t>Kritérium:   Hospodárnost</w:t>
            </w:r>
          </w:p>
        </w:tc>
        <w:tc>
          <w:tcPr>
            <w:tcW w:w="3005" w:type="dxa"/>
            <w:shd w:val="clear" w:color="auto" w:fill="E7E6E6" w:themeFill="background2"/>
          </w:tcPr>
          <w:p w14:paraId="779DB6C9" w14:textId="77777777" w:rsidR="0064685A" w:rsidRPr="00824A42" w:rsidRDefault="0064685A" w:rsidP="00F77DE2">
            <w:pPr>
              <w:spacing w:line="216" w:lineRule="auto"/>
              <w:rPr>
                <w:rFonts w:asciiTheme="minorHAnsi" w:hAnsiTheme="minorHAnsi"/>
                <w:b/>
                <w:sz w:val="22"/>
                <w:szCs w:val="22"/>
              </w:rPr>
            </w:pPr>
            <w:r w:rsidRPr="00824A42">
              <w:rPr>
                <w:rFonts w:asciiTheme="minorHAnsi" w:hAnsiTheme="minorHAnsi"/>
                <w:b/>
                <w:sz w:val="22"/>
                <w:szCs w:val="22"/>
              </w:rPr>
              <w:t>Kritérium:   Efektivnost</w:t>
            </w:r>
          </w:p>
        </w:tc>
        <w:tc>
          <w:tcPr>
            <w:tcW w:w="3005" w:type="dxa"/>
            <w:shd w:val="clear" w:color="auto" w:fill="E7E6E6" w:themeFill="background2"/>
          </w:tcPr>
          <w:p w14:paraId="787A319B" w14:textId="77777777" w:rsidR="0064685A" w:rsidRPr="00824A42" w:rsidRDefault="0064685A" w:rsidP="00F77DE2">
            <w:pPr>
              <w:spacing w:line="216" w:lineRule="auto"/>
              <w:rPr>
                <w:rFonts w:asciiTheme="minorHAnsi" w:hAnsiTheme="minorHAnsi"/>
                <w:b/>
                <w:sz w:val="22"/>
                <w:szCs w:val="22"/>
              </w:rPr>
            </w:pPr>
            <w:r w:rsidRPr="00824A42">
              <w:rPr>
                <w:rFonts w:asciiTheme="minorHAnsi" w:hAnsiTheme="minorHAnsi"/>
                <w:b/>
                <w:sz w:val="22"/>
                <w:szCs w:val="22"/>
              </w:rPr>
              <w:t>Kritérium:   Účelnost</w:t>
            </w:r>
          </w:p>
        </w:tc>
      </w:tr>
      <w:tr w:rsidR="0064685A" w:rsidRPr="00824A42" w14:paraId="131600A5" w14:textId="77777777" w:rsidTr="00F77DE2">
        <w:tc>
          <w:tcPr>
            <w:tcW w:w="3006" w:type="dxa"/>
            <w:shd w:val="clear" w:color="auto" w:fill="auto"/>
          </w:tcPr>
          <w:p w14:paraId="32E696A7" w14:textId="77777777" w:rsidR="0064685A" w:rsidRPr="00824A42" w:rsidRDefault="0064685A" w:rsidP="00F77DE2">
            <w:pPr>
              <w:spacing w:line="216" w:lineRule="auto"/>
              <w:rPr>
                <w:rFonts w:asciiTheme="minorHAnsi" w:hAnsiTheme="minorHAnsi"/>
                <w:sz w:val="22"/>
                <w:szCs w:val="22"/>
              </w:rPr>
            </w:pPr>
            <w:r>
              <w:rPr>
                <w:rFonts w:asciiTheme="minorHAnsi" w:hAnsiTheme="minorHAnsi"/>
                <w:sz w:val="22"/>
                <w:szCs w:val="22"/>
              </w:rPr>
              <w:lastRenderedPageBreak/>
              <w:t>Prověření</w:t>
            </w:r>
            <w:r w:rsidRPr="00824A42">
              <w:rPr>
                <w:rFonts w:asciiTheme="minorHAnsi" w:hAnsiTheme="minorHAnsi"/>
                <w:sz w:val="22"/>
                <w:szCs w:val="22"/>
              </w:rPr>
              <w:t xml:space="preserve"> bylo provedeno poptávkovým řízením – nejnižší nabídkovou cenou.</w:t>
            </w:r>
          </w:p>
          <w:p w14:paraId="532E4628" w14:textId="044B52FF"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Město má směrnici o veřejném nakupování, která stanovuje při nákupu od 50 tis. Kč do 200 tis. Kč oslovit nejméně 5 potenciálních dodavatelů. Předpokládaná cena 10 sestav počítačů byla na základě průzkumu cen na trhu stanovena na 100</w:t>
            </w:r>
            <w:r w:rsidR="00DB39C1">
              <w:rPr>
                <w:rFonts w:asciiTheme="minorHAnsi" w:hAnsiTheme="minorHAnsi"/>
                <w:sz w:val="22"/>
                <w:szCs w:val="22"/>
              </w:rPr>
              <w:t xml:space="preserve"> </w:t>
            </w:r>
            <w:r w:rsidRPr="00824A42">
              <w:rPr>
                <w:rFonts w:asciiTheme="minorHAnsi" w:hAnsiTheme="minorHAnsi"/>
                <w:sz w:val="22"/>
                <w:szCs w:val="22"/>
              </w:rPr>
              <w:t>000.</w:t>
            </w:r>
          </w:p>
          <w:p w14:paraId="314653EF"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Z poptávkového řízení vyplynulo, že nejnižší nabídková cena byla ve výši 96 500,- Kč a je nižší než předpokládaná cena.</w:t>
            </w:r>
          </w:p>
        </w:tc>
        <w:tc>
          <w:tcPr>
            <w:tcW w:w="3005" w:type="dxa"/>
            <w:shd w:val="clear" w:color="auto" w:fill="auto"/>
          </w:tcPr>
          <w:p w14:paraId="720EC4C6" w14:textId="77777777" w:rsidR="0064685A" w:rsidRPr="00824A42" w:rsidRDefault="0064685A" w:rsidP="00F77DE2">
            <w:pPr>
              <w:spacing w:line="216" w:lineRule="auto"/>
              <w:rPr>
                <w:rFonts w:asciiTheme="minorHAnsi" w:hAnsiTheme="minorHAnsi"/>
                <w:sz w:val="22"/>
                <w:szCs w:val="22"/>
              </w:rPr>
            </w:pPr>
            <w:r>
              <w:rPr>
                <w:rFonts w:asciiTheme="minorHAnsi" w:hAnsiTheme="minorHAnsi"/>
                <w:sz w:val="22"/>
                <w:szCs w:val="22"/>
              </w:rPr>
              <w:t>Prověření</w:t>
            </w:r>
            <w:r w:rsidRPr="00824A42">
              <w:rPr>
                <w:rFonts w:asciiTheme="minorHAnsi" w:hAnsiTheme="minorHAnsi"/>
                <w:sz w:val="22"/>
                <w:szCs w:val="22"/>
              </w:rPr>
              <w:t xml:space="preserve"> kritéria efektivnosti bylo provedeno pomocí nákladové efektivnosti jako</w:t>
            </w:r>
          </w:p>
          <w:p w14:paraId="3B9FCEAD"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 xml:space="preserve">celková cena / počet. </w:t>
            </w:r>
          </w:p>
          <w:p w14:paraId="7CC8884E"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 xml:space="preserve">Jde o cenu na 1 počítač. </w:t>
            </w:r>
          </w:p>
          <w:p w14:paraId="342200C9" w14:textId="77777777" w:rsidR="0064685A" w:rsidRPr="00824A42" w:rsidRDefault="0064685A" w:rsidP="00F77DE2">
            <w:pPr>
              <w:spacing w:line="216" w:lineRule="auto"/>
              <w:rPr>
                <w:rFonts w:asciiTheme="minorHAnsi" w:hAnsiTheme="minorHAnsi"/>
                <w:sz w:val="22"/>
                <w:szCs w:val="22"/>
              </w:rPr>
            </w:pPr>
          </w:p>
          <w:p w14:paraId="178500F4"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 xml:space="preserve">Předpokládaná cena na 1 počítač byla: </w:t>
            </w:r>
          </w:p>
          <w:p w14:paraId="648253A0"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100 000 Kč / 10=10 000 Kč</w:t>
            </w:r>
          </w:p>
          <w:p w14:paraId="76CF09CC"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Cena z poptávkového řízení:</w:t>
            </w:r>
          </w:p>
          <w:p w14:paraId="7FB7CDCB"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96 500 Kč / 10 = 9 650 Kč</w:t>
            </w:r>
          </w:p>
          <w:p w14:paraId="495EDA29" w14:textId="77777777" w:rsidR="0064685A" w:rsidRPr="00824A42" w:rsidRDefault="0064685A" w:rsidP="00F77DE2">
            <w:pPr>
              <w:spacing w:line="216" w:lineRule="auto"/>
              <w:rPr>
                <w:rFonts w:asciiTheme="minorHAnsi" w:hAnsiTheme="minorHAnsi"/>
                <w:sz w:val="22"/>
                <w:szCs w:val="22"/>
              </w:rPr>
            </w:pPr>
          </w:p>
          <w:p w14:paraId="56E422A5"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Cena na 1 počítač je nižší než předpokládaná.</w:t>
            </w:r>
          </w:p>
          <w:p w14:paraId="09120649" w14:textId="77777777" w:rsidR="0064685A" w:rsidRPr="00824A42" w:rsidRDefault="0064685A" w:rsidP="00F77DE2">
            <w:pPr>
              <w:spacing w:line="216" w:lineRule="auto"/>
              <w:rPr>
                <w:rFonts w:asciiTheme="minorHAnsi" w:hAnsiTheme="minorHAnsi"/>
                <w:sz w:val="22"/>
                <w:szCs w:val="22"/>
              </w:rPr>
            </w:pPr>
          </w:p>
        </w:tc>
        <w:tc>
          <w:tcPr>
            <w:tcW w:w="3005" w:type="dxa"/>
            <w:shd w:val="clear" w:color="auto" w:fill="auto"/>
          </w:tcPr>
          <w:p w14:paraId="1387D90B" w14:textId="24636425"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 xml:space="preserve">Město má zpracovaný </w:t>
            </w:r>
            <w:r w:rsidR="00D8433F">
              <w:rPr>
                <w:rFonts w:asciiTheme="minorHAnsi" w:hAnsiTheme="minorHAnsi"/>
                <w:sz w:val="22"/>
                <w:szCs w:val="22"/>
              </w:rPr>
              <w:t>strategický dokument</w:t>
            </w:r>
            <w:r w:rsidRPr="00824A42">
              <w:rPr>
                <w:rFonts w:asciiTheme="minorHAnsi" w:hAnsiTheme="minorHAnsi"/>
                <w:sz w:val="22"/>
                <w:szCs w:val="22"/>
              </w:rPr>
              <w:t>, kde existuje cíl s názvem: „Zajistit efektivní fungování městského úřadu“. Nákup se tak váže ke konkrétnímu cíli města.</w:t>
            </w:r>
          </w:p>
          <w:p w14:paraId="5D9E2927" w14:textId="77777777" w:rsidR="0064685A" w:rsidRPr="00824A42" w:rsidRDefault="0064685A" w:rsidP="00F77DE2">
            <w:pPr>
              <w:spacing w:line="216" w:lineRule="auto"/>
              <w:rPr>
                <w:rFonts w:asciiTheme="minorHAnsi" w:hAnsiTheme="minorHAnsi"/>
                <w:sz w:val="22"/>
                <w:szCs w:val="22"/>
              </w:rPr>
            </w:pPr>
          </w:p>
          <w:p w14:paraId="179D92D0" w14:textId="77777777" w:rsidR="0064685A" w:rsidRPr="00824A42" w:rsidRDefault="0064685A" w:rsidP="00F77DE2">
            <w:pPr>
              <w:spacing w:line="216" w:lineRule="auto"/>
              <w:rPr>
                <w:rFonts w:asciiTheme="minorHAnsi" w:hAnsiTheme="minorHAnsi"/>
                <w:sz w:val="22"/>
                <w:szCs w:val="22"/>
              </w:rPr>
            </w:pPr>
            <w:r w:rsidRPr="00824A42">
              <w:rPr>
                <w:rFonts w:asciiTheme="minorHAnsi" w:hAnsiTheme="minorHAnsi"/>
                <w:sz w:val="22"/>
                <w:szCs w:val="22"/>
              </w:rPr>
              <w:t>Potřebnost nákupu počítačů byla prověřena analýzou, potřebnost též vymezuje směrnice úřadu o nakládání s IT, která stanovuje, že průměrné stáří počítačů úředníků nepřesáhne 5 let. Obnova 10 počítačů naplňuje tuto potřebu.</w:t>
            </w:r>
          </w:p>
        </w:tc>
      </w:tr>
    </w:tbl>
    <w:p w14:paraId="4E236D91" w14:textId="4FD46ED2" w:rsidR="0064685A" w:rsidRPr="00E143E1" w:rsidRDefault="0064685A" w:rsidP="0064685A">
      <w:pPr>
        <w:pStyle w:val="Zkladntext3"/>
        <w:spacing w:after="0" w:line="360" w:lineRule="auto"/>
        <w:ind w:left="66"/>
        <w:jc w:val="both"/>
        <w:rPr>
          <w:rFonts w:asciiTheme="minorHAnsi" w:eastAsia="Calibri" w:hAnsiTheme="minorHAnsi" w:cstheme="minorHAnsi"/>
          <w:i/>
          <w:iCs/>
          <w:sz w:val="24"/>
          <w:szCs w:val="24"/>
        </w:rPr>
      </w:pPr>
      <w:r w:rsidRPr="00E143E1">
        <w:rPr>
          <w:rFonts w:asciiTheme="minorHAnsi" w:eastAsia="Calibri" w:hAnsiTheme="minorHAnsi" w:cstheme="minorHAnsi"/>
          <w:i/>
          <w:iCs/>
          <w:sz w:val="24"/>
          <w:szCs w:val="24"/>
        </w:rPr>
        <w:t xml:space="preserve">Zdroj: </w:t>
      </w:r>
      <w:r w:rsidR="00596583">
        <w:rPr>
          <w:rFonts w:asciiTheme="minorHAnsi" w:eastAsia="Calibri" w:hAnsiTheme="minorHAnsi" w:cstheme="minorHAnsi"/>
          <w:i/>
          <w:iCs/>
          <w:sz w:val="24"/>
          <w:szCs w:val="24"/>
        </w:rPr>
        <w:t>autoři</w:t>
      </w:r>
    </w:p>
    <w:p w14:paraId="402F3349" w14:textId="77777777" w:rsidR="0064685A" w:rsidRDefault="0064685A" w:rsidP="0064685A">
      <w:pPr>
        <w:jc w:val="both"/>
        <w:rPr>
          <w:rFonts w:ascii="Calibri" w:hAnsi="Calibri" w:cs="Calibri"/>
        </w:rPr>
      </w:pPr>
      <w:r w:rsidRPr="00F17132">
        <w:rPr>
          <w:rFonts w:ascii="Calibri" w:hAnsi="Calibri" w:cs="Calibri"/>
        </w:rPr>
        <w:t xml:space="preserve">Komentáře / </w:t>
      </w:r>
      <w:r>
        <w:rPr>
          <w:rFonts w:ascii="Calibri" w:hAnsi="Calibri" w:cs="Calibri"/>
        </w:rPr>
        <w:t>omezení</w:t>
      </w:r>
      <w:r w:rsidRPr="00F17132">
        <w:rPr>
          <w:rFonts w:ascii="Calibri" w:hAnsi="Calibri" w:cs="Calibri"/>
        </w:rPr>
        <w:t>:</w:t>
      </w:r>
      <w:r>
        <w:rPr>
          <w:rFonts w:ascii="Calibri" w:hAnsi="Calibri" w:cs="Calibri"/>
        </w:rPr>
        <w:t xml:space="preserve"> </w:t>
      </w:r>
    </w:p>
    <w:p w14:paraId="6DCF48AA" w14:textId="38A5A247" w:rsidR="0064685A" w:rsidRPr="006454DE" w:rsidRDefault="0064685A" w:rsidP="0065698B">
      <w:pPr>
        <w:pStyle w:val="Odstavecseseznamem"/>
        <w:numPr>
          <w:ilvl w:val="0"/>
          <w:numId w:val="41"/>
        </w:numPr>
        <w:jc w:val="both"/>
        <w:rPr>
          <w:rFonts w:ascii="Calibri" w:hAnsi="Calibri" w:cs="Calibri"/>
        </w:rPr>
      </w:pPr>
      <w:r w:rsidRPr="006454DE">
        <w:rPr>
          <w:rFonts w:ascii="Calibri" w:hAnsi="Calibri" w:cs="Calibri"/>
        </w:rPr>
        <w:t xml:space="preserve">Účelnost byla v tomto případu ověřena dvěma způsoby (což je výborné), tedy vazbou na konkrétní cíl v rámci </w:t>
      </w:r>
      <w:r w:rsidR="00D8433F">
        <w:rPr>
          <w:rFonts w:ascii="Calibri" w:hAnsi="Calibri" w:cs="Calibri"/>
        </w:rPr>
        <w:t>strategie rozvoje města</w:t>
      </w:r>
      <w:r w:rsidRPr="006454DE">
        <w:rPr>
          <w:rFonts w:ascii="Calibri" w:hAnsi="Calibri" w:cs="Calibri"/>
        </w:rPr>
        <w:t xml:space="preserve"> a analýzou potřebnosti. </w:t>
      </w:r>
    </w:p>
    <w:p w14:paraId="44239718" w14:textId="14313D83" w:rsidR="0064685A" w:rsidRDefault="0064685A" w:rsidP="0065698B">
      <w:pPr>
        <w:pStyle w:val="Odstavecseseznamem"/>
        <w:numPr>
          <w:ilvl w:val="0"/>
          <w:numId w:val="41"/>
        </w:numPr>
        <w:jc w:val="both"/>
        <w:rPr>
          <w:rFonts w:ascii="Calibri" w:hAnsi="Calibri" w:cs="Calibri"/>
        </w:rPr>
      </w:pPr>
      <w:r w:rsidRPr="006454DE">
        <w:rPr>
          <w:rFonts w:ascii="Calibri" w:hAnsi="Calibri" w:cs="Calibri"/>
        </w:rPr>
        <w:t xml:space="preserve">Někdy je nejnižší nabídková cena vyšší, než byla předpokládaná (není to tento příklad). Pokud byla stanovena též cena maximální a nabídková cena je nižší, lze posuzovat hospodárnost a efektivnost ve vztahu k maximální ceně. </w:t>
      </w:r>
    </w:p>
    <w:p w14:paraId="4011833C" w14:textId="5D86834F" w:rsidR="00225455" w:rsidRDefault="00225455" w:rsidP="00225455">
      <w:pPr>
        <w:jc w:val="both"/>
        <w:rPr>
          <w:rFonts w:ascii="Calibri" w:hAnsi="Calibri" w:cs="Calibri"/>
        </w:rPr>
      </w:pPr>
    </w:p>
    <w:p w14:paraId="1A09A234" w14:textId="15553668" w:rsidR="00225455" w:rsidRPr="00437738" w:rsidRDefault="00225455" w:rsidP="00225455">
      <w:pPr>
        <w:spacing w:after="120"/>
        <w:jc w:val="both"/>
        <w:rPr>
          <w:rFonts w:ascii="Calibri" w:hAnsi="Calibri" w:cs="Calibri"/>
          <w:b/>
        </w:rPr>
      </w:pPr>
      <w:r w:rsidRPr="00437738">
        <w:rPr>
          <w:rFonts w:ascii="Calibri" w:hAnsi="Calibri" w:cs="Calibri"/>
          <w:b/>
        </w:rPr>
        <w:t xml:space="preserve">Případová studie </w:t>
      </w:r>
      <w:r>
        <w:rPr>
          <w:rFonts w:ascii="Calibri" w:hAnsi="Calibri" w:cs="Calibri"/>
          <w:b/>
        </w:rPr>
        <w:t xml:space="preserve">prověřování 3E č. 4 </w:t>
      </w:r>
      <w:r w:rsidRPr="00437738">
        <w:rPr>
          <w:rFonts w:ascii="Calibri" w:hAnsi="Calibri" w:cs="Calibri"/>
          <w:b/>
        </w:rPr>
        <w:t>– Příjem za pronájem nebytových prostor</w:t>
      </w:r>
    </w:p>
    <w:p w14:paraId="7EA055BE" w14:textId="77777777" w:rsidR="00225455" w:rsidRPr="008005B3" w:rsidRDefault="00225455" w:rsidP="00225455">
      <w:pPr>
        <w:spacing w:after="120"/>
        <w:jc w:val="both"/>
        <w:rPr>
          <w:rFonts w:ascii="Calibri" w:hAnsi="Calibri" w:cs="Calibri"/>
        </w:rPr>
      </w:pPr>
      <w:r>
        <w:rPr>
          <w:rFonts w:ascii="Calibri" w:hAnsi="Calibri" w:cs="Calibri"/>
        </w:rPr>
        <w:t>Případová studie je v následující tabulce. Pod ní jsou uvedeny komentáře či omezení.</w:t>
      </w:r>
    </w:p>
    <w:p w14:paraId="68064458" w14:textId="712E6BEE" w:rsidR="00225455" w:rsidRPr="00683CCF" w:rsidRDefault="003E214F" w:rsidP="00225455">
      <w:pPr>
        <w:pStyle w:val="Zkladntext3"/>
        <w:spacing w:after="0" w:line="360" w:lineRule="auto"/>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Tab.</w:t>
      </w:r>
      <w:r w:rsidR="00225455" w:rsidRPr="00683CCF">
        <w:rPr>
          <w:rFonts w:asciiTheme="minorHAnsi" w:eastAsia="Calibri" w:hAnsiTheme="minorHAnsi" w:cstheme="minorHAnsi"/>
          <w:i/>
          <w:iCs/>
          <w:sz w:val="24"/>
          <w:szCs w:val="24"/>
        </w:rPr>
        <w:t xml:space="preserve"> </w:t>
      </w:r>
      <w:r w:rsidR="004F0E1D">
        <w:rPr>
          <w:rFonts w:asciiTheme="minorHAnsi" w:eastAsia="Calibri" w:hAnsiTheme="minorHAnsi" w:cstheme="minorHAnsi"/>
          <w:i/>
          <w:iCs/>
          <w:sz w:val="24"/>
          <w:szCs w:val="24"/>
        </w:rPr>
        <w:t>2</w:t>
      </w:r>
      <w:r w:rsidR="00C14739">
        <w:rPr>
          <w:rFonts w:asciiTheme="minorHAnsi" w:eastAsia="Calibri" w:hAnsiTheme="minorHAnsi" w:cstheme="minorHAnsi"/>
          <w:i/>
          <w:iCs/>
          <w:sz w:val="24"/>
          <w:szCs w:val="24"/>
        </w:rPr>
        <w:t>8</w:t>
      </w:r>
      <w:r w:rsidR="00225455">
        <w:rPr>
          <w:rFonts w:asciiTheme="minorHAnsi" w:eastAsia="Calibri" w:hAnsiTheme="minorHAnsi" w:cstheme="minorHAnsi"/>
          <w:i/>
          <w:iCs/>
          <w:sz w:val="24"/>
          <w:szCs w:val="24"/>
        </w:rPr>
        <w:t xml:space="preserve"> </w:t>
      </w:r>
      <w:r w:rsidR="00225455" w:rsidRPr="00683CCF">
        <w:rPr>
          <w:rFonts w:asciiTheme="minorHAnsi" w:eastAsia="Calibri" w:hAnsiTheme="minorHAnsi" w:cstheme="minorHAnsi"/>
          <w:i/>
          <w:iCs/>
          <w:sz w:val="24"/>
          <w:szCs w:val="24"/>
        </w:rPr>
        <w:t xml:space="preserve">Prověření kritérií 3E </w:t>
      </w:r>
      <w:r w:rsidR="00225455">
        <w:rPr>
          <w:rFonts w:asciiTheme="minorHAnsi" w:eastAsia="Calibri" w:hAnsiTheme="minorHAnsi" w:cstheme="minorHAnsi"/>
          <w:i/>
          <w:iCs/>
          <w:sz w:val="24"/>
          <w:szCs w:val="24"/>
        </w:rPr>
        <w:t>–</w:t>
      </w:r>
      <w:r w:rsidR="00225455" w:rsidRPr="00683CCF">
        <w:rPr>
          <w:rFonts w:asciiTheme="minorHAnsi" w:eastAsia="Calibri" w:hAnsiTheme="minorHAnsi" w:cstheme="minorHAnsi"/>
          <w:i/>
          <w:iCs/>
          <w:sz w:val="24"/>
          <w:szCs w:val="24"/>
        </w:rPr>
        <w:t xml:space="preserve"> </w:t>
      </w:r>
      <w:r w:rsidR="00225455">
        <w:rPr>
          <w:rFonts w:asciiTheme="minorHAnsi" w:eastAsia="Calibri" w:hAnsiTheme="minorHAnsi" w:cstheme="minorHAnsi"/>
          <w:i/>
          <w:iCs/>
          <w:sz w:val="24"/>
          <w:szCs w:val="24"/>
        </w:rPr>
        <w:t>příjem za pronájem nebytových prostor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05"/>
        <w:gridCol w:w="3005"/>
      </w:tblGrid>
      <w:tr w:rsidR="00225455" w:rsidRPr="00824A42" w14:paraId="5E664E35" w14:textId="77777777" w:rsidTr="00B677AE">
        <w:tc>
          <w:tcPr>
            <w:tcW w:w="9016" w:type="dxa"/>
            <w:gridSpan w:val="3"/>
            <w:shd w:val="clear" w:color="auto" w:fill="E7E6E6" w:themeFill="background2"/>
          </w:tcPr>
          <w:p w14:paraId="5378DA94" w14:textId="77777777" w:rsidR="00225455" w:rsidRPr="00824A42" w:rsidRDefault="00225455" w:rsidP="00B677AE">
            <w:pPr>
              <w:spacing w:line="216" w:lineRule="auto"/>
              <w:ind w:left="-57" w:right="-57"/>
              <w:rPr>
                <w:rFonts w:asciiTheme="minorHAnsi" w:hAnsiTheme="minorHAnsi"/>
                <w:b/>
                <w:sz w:val="22"/>
                <w:szCs w:val="22"/>
              </w:rPr>
            </w:pPr>
            <w:r w:rsidRPr="00824A42">
              <w:rPr>
                <w:rFonts w:asciiTheme="minorHAnsi" w:hAnsiTheme="minorHAnsi"/>
                <w:b/>
                <w:sz w:val="22"/>
                <w:szCs w:val="22"/>
              </w:rPr>
              <w:t xml:space="preserve">Popis </w:t>
            </w:r>
            <w:r>
              <w:rPr>
                <w:rFonts w:asciiTheme="minorHAnsi" w:hAnsiTheme="minorHAnsi"/>
                <w:b/>
                <w:sz w:val="22"/>
                <w:szCs w:val="22"/>
              </w:rPr>
              <w:t>příjmové</w:t>
            </w:r>
            <w:r w:rsidRPr="00824A42">
              <w:rPr>
                <w:rFonts w:asciiTheme="minorHAnsi" w:hAnsiTheme="minorHAnsi"/>
                <w:b/>
                <w:sz w:val="22"/>
                <w:szCs w:val="22"/>
              </w:rPr>
              <w:t xml:space="preserve"> operace:</w:t>
            </w:r>
          </w:p>
        </w:tc>
      </w:tr>
      <w:tr w:rsidR="00225455" w:rsidRPr="00824A42" w14:paraId="63E7F681" w14:textId="77777777" w:rsidTr="00B677AE">
        <w:tc>
          <w:tcPr>
            <w:tcW w:w="9016" w:type="dxa"/>
            <w:gridSpan w:val="3"/>
            <w:shd w:val="clear" w:color="auto" w:fill="FFFFFF" w:themeFill="background1"/>
          </w:tcPr>
          <w:p w14:paraId="15D33D6B" w14:textId="77777777" w:rsidR="00225455" w:rsidRPr="00824A42" w:rsidRDefault="00225455" w:rsidP="00B677AE">
            <w:pPr>
              <w:spacing w:line="204" w:lineRule="auto"/>
              <w:jc w:val="both"/>
              <w:rPr>
                <w:rFonts w:asciiTheme="minorHAnsi" w:hAnsiTheme="minorHAnsi"/>
                <w:sz w:val="22"/>
                <w:szCs w:val="22"/>
              </w:rPr>
            </w:pPr>
            <w:r>
              <w:rPr>
                <w:rFonts w:asciiTheme="minorHAnsi" w:hAnsiTheme="minorHAnsi"/>
                <w:sz w:val="22"/>
                <w:szCs w:val="22"/>
              </w:rPr>
              <w:t>Město pronajímá nebytový prostor. Měsíční nájemné činí 15 000,- Kč + služby (elektrická energie, voda, …) dle skutečné spotřeby.</w:t>
            </w:r>
          </w:p>
        </w:tc>
      </w:tr>
      <w:tr w:rsidR="00225455" w:rsidRPr="00824A42" w14:paraId="1B6E02EF" w14:textId="77777777" w:rsidTr="00B677AE">
        <w:tc>
          <w:tcPr>
            <w:tcW w:w="3006" w:type="dxa"/>
            <w:shd w:val="clear" w:color="auto" w:fill="E7E6E6" w:themeFill="background2"/>
          </w:tcPr>
          <w:p w14:paraId="54E89B63" w14:textId="77777777" w:rsidR="00225455" w:rsidRPr="00824A42" w:rsidRDefault="00225455" w:rsidP="00B677AE">
            <w:pPr>
              <w:tabs>
                <w:tab w:val="left" w:pos="1625"/>
              </w:tabs>
              <w:spacing w:line="216" w:lineRule="auto"/>
              <w:ind w:left="-57" w:right="-57"/>
              <w:rPr>
                <w:rFonts w:asciiTheme="minorHAnsi" w:hAnsiTheme="minorHAnsi"/>
                <w:b/>
                <w:sz w:val="22"/>
                <w:szCs w:val="22"/>
              </w:rPr>
            </w:pPr>
            <w:r w:rsidRPr="00824A42">
              <w:rPr>
                <w:rFonts w:asciiTheme="minorHAnsi" w:hAnsiTheme="minorHAnsi"/>
                <w:b/>
                <w:sz w:val="22"/>
                <w:szCs w:val="22"/>
              </w:rPr>
              <w:t>Kritérium:   Hospodárnost</w:t>
            </w:r>
          </w:p>
        </w:tc>
        <w:tc>
          <w:tcPr>
            <w:tcW w:w="3005" w:type="dxa"/>
            <w:shd w:val="clear" w:color="auto" w:fill="E7E6E6" w:themeFill="background2"/>
          </w:tcPr>
          <w:p w14:paraId="7A9E0DB6" w14:textId="77777777" w:rsidR="00225455" w:rsidRPr="00824A42" w:rsidRDefault="00225455" w:rsidP="00B677AE">
            <w:pPr>
              <w:spacing w:line="216" w:lineRule="auto"/>
              <w:ind w:left="-57" w:right="-57"/>
              <w:rPr>
                <w:rFonts w:asciiTheme="minorHAnsi" w:hAnsiTheme="minorHAnsi"/>
                <w:b/>
                <w:sz w:val="22"/>
                <w:szCs w:val="22"/>
              </w:rPr>
            </w:pPr>
            <w:r w:rsidRPr="00824A42">
              <w:rPr>
                <w:rFonts w:asciiTheme="minorHAnsi" w:hAnsiTheme="minorHAnsi"/>
                <w:b/>
                <w:sz w:val="22"/>
                <w:szCs w:val="22"/>
              </w:rPr>
              <w:t>Kritérium:   Efektivnost</w:t>
            </w:r>
          </w:p>
        </w:tc>
        <w:tc>
          <w:tcPr>
            <w:tcW w:w="3005" w:type="dxa"/>
            <w:shd w:val="clear" w:color="auto" w:fill="E7E6E6" w:themeFill="background2"/>
          </w:tcPr>
          <w:p w14:paraId="1C80FCC6" w14:textId="77777777" w:rsidR="00225455" w:rsidRPr="00824A42" w:rsidRDefault="00225455" w:rsidP="00B677AE">
            <w:pPr>
              <w:spacing w:line="216" w:lineRule="auto"/>
              <w:ind w:left="-57" w:right="-57"/>
              <w:rPr>
                <w:rFonts w:asciiTheme="minorHAnsi" w:hAnsiTheme="minorHAnsi"/>
                <w:b/>
                <w:sz w:val="22"/>
                <w:szCs w:val="22"/>
              </w:rPr>
            </w:pPr>
            <w:r w:rsidRPr="00824A42">
              <w:rPr>
                <w:rFonts w:asciiTheme="minorHAnsi" w:hAnsiTheme="minorHAnsi"/>
                <w:b/>
                <w:sz w:val="22"/>
                <w:szCs w:val="22"/>
              </w:rPr>
              <w:t>Kritérium:   Účelnost</w:t>
            </w:r>
          </w:p>
        </w:tc>
      </w:tr>
      <w:tr w:rsidR="00225455" w:rsidRPr="00824A42" w14:paraId="4A9A12BE" w14:textId="77777777" w:rsidTr="00B677AE">
        <w:tc>
          <w:tcPr>
            <w:tcW w:w="3006" w:type="dxa"/>
            <w:shd w:val="clear" w:color="auto" w:fill="auto"/>
          </w:tcPr>
          <w:p w14:paraId="66735DD8" w14:textId="77777777" w:rsidR="00225455" w:rsidRDefault="00225455" w:rsidP="00B677AE">
            <w:pPr>
              <w:spacing w:line="204" w:lineRule="auto"/>
              <w:ind w:left="-57" w:right="-57"/>
              <w:rPr>
                <w:rFonts w:asciiTheme="minorHAnsi" w:hAnsiTheme="minorHAnsi"/>
                <w:sz w:val="22"/>
                <w:szCs w:val="22"/>
              </w:rPr>
            </w:pPr>
            <w:r>
              <w:rPr>
                <w:rFonts w:asciiTheme="minorHAnsi" w:hAnsiTheme="minorHAnsi"/>
                <w:sz w:val="22"/>
                <w:szCs w:val="22"/>
              </w:rPr>
              <w:t>Prověření</w:t>
            </w:r>
            <w:r w:rsidRPr="00E143E1">
              <w:rPr>
                <w:rFonts w:asciiTheme="minorHAnsi" w:hAnsiTheme="minorHAnsi"/>
                <w:sz w:val="22"/>
                <w:szCs w:val="22"/>
              </w:rPr>
              <w:t xml:space="preserve"> hospodárnosti:</w:t>
            </w:r>
          </w:p>
          <w:p w14:paraId="72E40B32" w14:textId="77777777" w:rsidR="00225455" w:rsidRDefault="00225455" w:rsidP="00B677AE">
            <w:pPr>
              <w:spacing w:line="204" w:lineRule="auto"/>
              <w:ind w:left="-57" w:right="-57"/>
              <w:rPr>
                <w:rFonts w:asciiTheme="minorHAnsi" w:hAnsiTheme="minorHAnsi"/>
                <w:sz w:val="22"/>
                <w:szCs w:val="22"/>
              </w:rPr>
            </w:pPr>
            <w:r>
              <w:rPr>
                <w:rFonts w:asciiTheme="minorHAnsi" w:hAnsiTheme="minorHAnsi"/>
                <w:sz w:val="22"/>
                <w:szCs w:val="22"/>
              </w:rPr>
              <w:t xml:space="preserve">Město před pronájmem prostor vyhlásilo soutěž, kde rozhodujícím kritériem byla výše měsíčního nájmu. Současně je v soutěži stanovena cena obvyklá (na základě provedeného šetření) – byla stanovena jako minimální cena nájmu. </w:t>
            </w:r>
          </w:p>
          <w:p w14:paraId="318E744D" w14:textId="77777777" w:rsidR="00225455" w:rsidRPr="00824A42" w:rsidRDefault="00225455" w:rsidP="00B677AE">
            <w:pPr>
              <w:spacing w:line="204" w:lineRule="auto"/>
              <w:ind w:left="-57" w:right="-57"/>
              <w:rPr>
                <w:rFonts w:asciiTheme="minorHAnsi" w:hAnsiTheme="minorHAnsi"/>
                <w:sz w:val="22"/>
                <w:szCs w:val="22"/>
              </w:rPr>
            </w:pPr>
            <w:r>
              <w:rPr>
                <w:rFonts w:asciiTheme="minorHAnsi" w:hAnsiTheme="minorHAnsi"/>
                <w:sz w:val="22"/>
                <w:szCs w:val="22"/>
              </w:rPr>
              <w:t>Otevírání nabídek bylo provedeno za účasti zájemců o pronájem. Prostor byl pronajat firmě s nejvyšší nabídkou měsíčního nájmu.</w:t>
            </w:r>
          </w:p>
        </w:tc>
        <w:tc>
          <w:tcPr>
            <w:tcW w:w="3005" w:type="dxa"/>
            <w:shd w:val="clear" w:color="auto" w:fill="auto"/>
          </w:tcPr>
          <w:p w14:paraId="4110809E" w14:textId="77777777" w:rsidR="00225455" w:rsidRPr="00824A42" w:rsidRDefault="00225455" w:rsidP="00B677AE">
            <w:pPr>
              <w:spacing w:line="216" w:lineRule="auto"/>
              <w:rPr>
                <w:rFonts w:asciiTheme="minorHAnsi" w:hAnsiTheme="minorHAnsi"/>
                <w:sz w:val="22"/>
                <w:szCs w:val="22"/>
              </w:rPr>
            </w:pPr>
            <w:r>
              <w:rPr>
                <w:rFonts w:asciiTheme="minorHAnsi" w:hAnsiTheme="minorHAnsi"/>
                <w:sz w:val="22"/>
                <w:szCs w:val="22"/>
              </w:rPr>
              <w:t>Prověření</w:t>
            </w:r>
            <w:r w:rsidRPr="00824A42">
              <w:rPr>
                <w:rFonts w:asciiTheme="minorHAnsi" w:hAnsiTheme="minorHAnsi"/>
                <w:sz w:val="22"/>
                <w:szCs w:val="22"/>
              </w:rPr>
              <w:t xml:space="preserve"> kritéria efektivnosti bylo provedeno pomocí nákladové efektivnosti jako</w:t>
            </w:r>
          </w:p>
          <w:p w14:paraId="312314A7" w14:textId="77777777" w:rsidR="00225455" w:rsidRDefault="00225455" w:rsidP="00B677AE">
            <w:pPr>
              <w:spacing w:line="216" w:lineRule="auto"/>
              <w:rPr>
                <w:rFonts w:asciiTheme="minorHAnsi" w:hAnsiTheme="minorHAnsi"/>
                <w:sz w:val="22"/>
                <w:szCs w:val="22"/>
              </w:rPr>
            </w:pPr>
            <w:r>
              <w:rPr>
                <w:rFonts w:asciiTheme="minorHAnsi" w:hAnsiTheme="minorHAnsi"/>
                <w:sz w:val="22"/>
                <w:szCs w:val="22"/>
              </w:rPr>
              <w:t xml:space="preserve">Měsíční nájem </w:t>
            </w:r>
            <w:r w:rsidRPr="00824A42">
              <w:rPr>
                <w:rFonts w:asciiTheme="minorHAnsi" w:hAnsiTheme="minorHAnsi"/>
                <w:sz w:val="22"/>
                <w:szCs w:val="22"/>
              </w:rPr>
              <w:t xml:space="preserve">/ </w:t>
            </w:r>
            <w:r>
              <w:rPr>
                <w:rFonts w:asciiTheme="minorHAnsi" w:hAnsiTheme="minorHAnsi"/>
                <w:sz w:val="22"/>
                <w:szCs w:val="22"/>
              </w:rPr>
              <w:t>m2 pronajaté plochy</w:t>
            </w:r>
            <w:r w:rsidRPr="00824A42">
              <w:rPr>
                <w:rFonts w:asciiTheme="minorHAnsi" w:hAnsiTheme="minorHAnsi"/>
                <w:sz w:val="22"/>
                <w:szCs w:val="22"/>
              </w:rPr>
              <w:t xml:space="preserve">. </w:t>
            </w:r>
          </w:p>
          <w:p w14:paraId="29DC09AF" w14:textId="77777777" w:rsidR="00225455" w:rsidRDefault="00225455" w:rsidP="00B677AE">
            <w:pPr>
              <w:spacing w:line="216" w:lineRule="auto"/>
              <w:rPr>
                <w:rFonts w:asciiTheme="minorHAnsi" w:hAnsiTheme="minorHAnsi"/>
                <w:sz w:val="22"/>
                <w:szCs w:val="22"/>
              </w:rPr>
            </w:pPr>
            <w:r>
              <w:rPr>
                <w:rFonts w:asciiTheme="minorHAnsi" w:hAnsiTheme="minorHAnsi"/>
                <w:sz w:val="22"/>
                <w:szCs w:val="22"/>
              </w:rPr>
              <w:t>V soutěži město stanovilo cenu obvyklou (v soutěži ji určilo jako minimální cenu nájmu), která byla stanovena na základě provedeného šetření ceny m2 obdobných prostor.</w:t>
            </w:r>
          </w:p>
          <w:p w14:paraId="796C4F32" w14:textId="0F608413" w:rsidR="00225455" w:rsidRPr="00824A42" w:rsidRDefault="00225455" w:rsidP="00B677AE">
            <w:pPr>
              <w:spacing w:line="216" w:lineRule="auto"/>
              <w:rPr>
                <w:rFonts w:asciiTheme="minorHAnsi" w:hAnsiTheme="minorHAnsi"/>
                <w:sz w:val="22"/>
                <w:szCs w:val="22"/>
              </w:rPr>
            </w:pPr>
            <w:r>
              <w:rPr>
                <w:rFonts w:asciiTheme="minorHAnsi" w:hAnsiTheme="minorHAnsi"/>
                <w:sz w:val="22"/>
                <w:szCs w:val="22"/>
              </w:rPr>
              <w:t>Vysoutěžená cena na m2 byla vyšší než cena obvyklá.</w:t>
            </w:r>
          </w:p>
        </w:tc>
        <w:tc>
          <w:tcPr>
            <w:tcW w:w="3005" w:type="dxa"/>
            <w:shd w:val="clear" w:color="auto" w:fill="auto"/>
          </w:tcPr>
          <w:p w14:paraId="4B271C16" w14:textId="77777777" w:rsidR="00225455" w:rsidRDefault="00225455" w:rsidP="00B677AE">
            <w:pPr>
              <w:spacing w:line="216" w:lineRule="auto"/>
              <w:ind w:left="-57" w:right="-57"/>
              <w:rPr>
                <w:rFonts w:asciiTheme="minorHAnsi" w:hAnsiTheme="minorHAnsi"/>
                <w:sz w:val="22"/>
                <w:szCs w:val="22"/>
              </w:rPr>
            </w:pPr>
            <w:r>
              <w:rPr>
                <w:rFonts w:asciiTheme="minorHAnsi" w:hAnsiTheme="minorHAnsi"/>
                <w:sz w:val="22"/>
                <w:szCs w:val="22"/>
              </w:rPr>
              <w:t xml:space="preserve">Město má zpracovaný strategický dokument, ve kterém je jeden z cílů podpora podnikatelského prostředí. Existuje tak soulad s tímto cílem. </w:t>
            </w:r>
          </w:p>
          <w:p w14:paraId="366D59A0" w14:textId="77777777" w:rsidR="00225455" w:rsidRDefault="00225455" w:rsidP="00B677AE">
            <w:pPr>
              <w:spacing w:line="216" w:lineRule="auto"/>
              <w:ind w:left="-57" w:right="-57"/>
              <w:rPr>
                <w:rFonts w:asciiTheme="minorHAnsi" w:hAnsiTheme="minorHAnsi"/>
                <w:sz w:val="22"/>
                <w:szCs w:val="22"/>
              </w:rPr>
            </w:pPr>
          </w:p>
          <w:p w14:paraId="1C141C9A" w14:textId="77777777" w:rsidR="00225455" w:rsidRPr="00824A42" w:rsidRDefault="00225455" w:rsidP="00B677AE">
            <w:pPr>
              <w:spacing w:line="216" w:lineRule="auto"/>
              <w:ind w:left="-57" w:right="-57"/>
              <w:rPr>
                <w:rFonts w:asciiTheme="minorHAnsi" w:hAnsiTheme="minorHAnsi"/>
                <w:sz w:val="22"/>
                <w:szCs w:val="22"/>
              </w:rPr>
            </w:pPr>
            <w:r>
              <w:rPr>
                <w:rFonts w:asciiTheme="minorHAnsi" w:hAnsiTheme="minorHAnsi"/>
                <w:sz w:val="22"/>
                <w:szCs w:val="22"/>
              </w:rPr>
              <w:t>Současně byla potvrzena společenská potřebnost – město pro své potřeby tento prostor po dobu nájmu nepotřebuje.</w:t>
            </w:r>
          </w:p>
        </w:tc>
      </w:tr>
    </w:tbl>
    <w:p w14:paraId="13CDD1DA" w14:textId="77777777" w:rsidR="00225455" w:rsidRPr="00683CCF" w:rsidRDefault="00225455" w:rsidP="00225455">
      <w:pPr>
        <w:pStyle w:val="Zkladntext3"/>
        <w:spacing w:after="0" w:line="360" w:lineRule="auto"/>
        <w:ind w:left="66"/>
        <w:jc w:val="both"/>
        <w:rPr>
          <w:rFonts w:asciiTheme="minorHAnsi" w:eastAsia="Calibri" w:hAnsiTheme="minorHAnsi" w:cstheme="minorHAnsi"/>
          <w:i/>
          <w:iCs/>
          <w:sz w:val="24"/>
          <w:szCs w:val="24"/>
        </w:rPr>
      </w:pPr>
      <w:r w:rsidRPr="00683CCF">
        <w:rPr>
          <w:rFonts w:asciiTheme="minorHAnsi" w:eastAsia="Calibri" w:hAnsiTheme="minorHAnsi" w:cstheme="minorHAnsi"/>
          <w:i/>
          <w:iCs/>
          <w:sz w:val="24"/>
          <w:szCs w:val="24"/>
        </w:rPr>
        <w:t xml:space="preserve">Zdroj: </w:t>
      </w:r>
      <w:r w:rsidRPr="00A772B5">
        <w:rPr>
          <w:rFonts w:asciiTheme="minorHAnsi" w:eastAsia="Calibri" w:hAnsiTheme="minorHAnsi" w:cstheme="minorHAnsi"/>
          <w:i/>
          <w:iCs/>
          <w:sz w:val="24"/>
          <w:szCs w:val="24"/>
        </w:rPr>
        <w:t>Půček, Páleníková, 2022</w:t>
      </w:r>
    </w:p>
    <w:p w14:paraId="59F84EF7" w14:textId="77777777" w:rsidR="00225455" w:rsidRDefault="00225455" w:rsidP="00225455">
      <w:pPr>
        <w:jc w:val="both"/>
        <w:rPr>
          <w:rFonts w:ascii="Calibri" w:hAnsi="Calibri" w:cs="Calibri"/>
        </w:rPr>
      </w:pPr>
      <w:r w:rsidRPr="00F17132">
        <w:rPr>
          <w:rFonts w:ascii="Calibri" w:hAnsi="Calibri" w:cs="Calibri"/>
        </w:rPr>
        <w:lastRenderedPageBreak/>
        <w:t xml:space="preserve">Komentáře / </w:t>
      </w:r>
      <w:r>
        <w:rPr>
          <w:rFonts w:ascii="Calibri" w:hAnsi="Calibri" w:cs="Calibri"/>
        </w:rPr>
        <w:t>omezení</w:t>
      </w:r>
      <w:r w:rsidRPr="00F17132">
        <w:rPr>
          <w:rFonts w:ascii="Calibri" w:hAnsi="Calibri" w:cs="Calibri"/>
        </w:rPr>
        <w:t>:</w:t>
      </w:r>
      <w:r>
        <w:rPr>
          <w:rFonts w:ascii="Calibri" w:hAnsi="Calibri" w:cs="Calibri"/>
        </w:rPr>
        <w:t xml:space="preserve"> </w:t>
      </w:r>
    </w:p>
    <w:p w14:paraId="25FA5178" w14:textId="77777777" w:rsidR="00225455" w:rsidRPr="00D702C3" w:rsidRDefault="00225455" w:rsidP="0065698B">
      <w:pPr>
        <w:pStyle w:val="Odstavecseseznamem"/>
        <w:numPr>
          <w:ilvl w:val="0"/>
          <w:numId w:val="35"/>
        </w:numPr>
        <w:jc w:val="both"/>
        <w:rPr>
          <w:rFonts w:ascii="Calibri" w:hAnsi="Calibri" w:cs="Calibri"/>
        </w:rPr>
      </w:pPr>
      <w:r w:rsidRPr="00D702C3">
        <w:rPr>
          <w:rFonts w:ascii="Calibri" w:hAnsi="Calibri" w:cs="Calibri"/>
        </w:rPr>
        <w:t xml:space="preserve">Zákon vyžaduje prověřovat kritéria 3E </w:t>
      </w:r>
      <w:r>
        <w:rPr>
          <w:rFonts w:ascii="Calibri" w:hAnsi="Calibri" w:cs="Calibri"/>
        </w:rPr>
        <w:t xml:space="preserve">nejen u výdajů, ale </w:t>
      </w:r>
      <w:r w:rsidRPr="00D702C3">
        <w:rPr>
          <w:rFonts w:ascii="Calibri" w:hAnsi="Calibri" w:cs="Calibri"/>
        </w:rPr>
        <w:t xml:space="preserve">také u příjmů. U </w:t>
      </w:r>
      <w:r>
        <w:rPr>
          <w:rFonts w:ascii="Calibri" w:hAnsi="Calibri" w:cs="Calibri"/>
        </w:rPr>
        <w:t>pro</w:t>
      </w:r>
      <w:r w:rsidRPr="00D702C3">
        <w:rPr>
          <w:rFonts w:ascii="Calibri" w:hAnsi="Calibri" w:cs="Calibri"/>
        </w:rPr>
        <w:t>nájmů je nezbytné vždy ověřovat cenu obvyklou</w:t>
      </w:r>
      <w:r>
        <w:rPr>
          <w:rFonts w:ascii="Calibri" w:hAnsi="Calibri" w:cs="Calibri"/>
        </w:rPr>
        <w:t xml:space="preserve"> (ideální je znalecký posudek, ale ověření lze doložit stanoviskem realitní kanceláře nebo lze provést také pomocí provedeného šetření)</w:t>
      </w:r>
      <w:r w:rsidRPr="00D702C3">
        <w:rPr>
          <w:rFonts w:ascii="Calibri" w:hAnsi="Calibri" w:cs="Calibri"/>
        </w:rPr>
        <w:t>.</w:t>
      </w:r>
    </w:p>
    <w:p w14:paraId="0F14261D" w14:textId="77777777" w:rsidR="00225455" w:rsidRDefault="00225455" w:rsidP="0065698B">
      <w:pPr>
        <w:pStyle w:val="Odstavecseseznamem"/>
        <w:numPr>
          <w:ilvl w:val="0"/>
          <w:numId w:val="35"/>
        </w:numPr>
        <w:jc w:val="both"/>
        <w:rPr>
          <w:rFonts w:ascii="Calibri" w:hAnsi="Calibri" w:cs="Calibri"/>
        </w:rPr>
      </w:pPr>
      <w:r w:rsidRPr="00D702C3">
        <w:rPr>
          <w:rFonts w:ascii="Calibri" w:hAnsi="Calibri" w:cs="Calibri"/>
        </w:rPr>
        <w:t xml:space="preserve">Příklad se týkal samosprávy, </w:t>
      </w:r>
      <w:r>
        <w:rPr>
          <w:rFonts w:ascii="Calibri" w:hAnsi="Calibri" w:cs="Calibri"/>
        </w:rPr>
        <w:t>v</w:t>
      </w:r>
      <w:r w:rsidRPr="00D702C3">
        <w:rPr>
          <w:rFonts w:ascii="Calibri" w:hAnsi="Calibri" w:cs="Calibri"/>
        </w:rPr>
        <w:t xml:space="preserve"> případě uzavírání smlouvy o nájmu majetku, který je ve vlastnictví státu, </w:t>
      </w:r>
      <w:r>
        <w:rPr>
          <w:rFonts w:ascii="Calibri" w:hAnsi="Calibri" w:cs="Calibri"/>
        </w:rPr>
        <w:t xml:space="preserve">se </w:t>
      </w:r>
      <w:r w:rsidRPr="00D702C3">
        <w:rPr>
          <w:rFonts w:ascii="Calibri" w:hAnsi="Calibri" w:cs="Calibri"/>
        </w:rPr>
        <w:t>postupuje podle zák</w:t>
      </w:r>
      <w:r>
        <w:rPr>
          <w:rFonts w:ascii="Calibri" w:hAnsi="Calibri" w:cs="Calibri"/>
        </w:rPr>
        <w:t>ona</w:t>
      </w:r>
      <w:r w:rsidRPr="00D702C3">
        <w:rPr>
          <w:rFonts w:ascii="Calibri" w:hAnsi="Calibri" w:cs="Calibri"/>
        </w:rPr>
        <w:t xml:space="preserve"> č. 219/2000 Sb., o majetku </w:t>
      </w:r>
      <w:r>
        <w:rPr>
          <w:rFonts w:ascii="Calibri" w:hAnsi="Calibri" w:cs="Calibri"/>
        </w:rPr>
        <w:t>ČR.</w:t>
      </w:r>
    </w:p>
    <w:p w14:paraId="0C68449F" w14:textId="77777777" w:rsidR="00225455" w:rsidRPr="00225455" w:rsidRDefault="00225455" w:rsidP="00225455">
      <w:pPr>
        <w:jc w:val="both"/>
        <w:rPr>
          <w:rFonts w:ascii="Calibri" w:hAnsi="Calibri" w:cs="Calibri"/>
        </w:rPr>
      </w:pPr>
    </w:p>
    <w:p w14:paraId="6350EAA0" w14:textId="1FE7A053" w:rsidR="00225455" w:rsidRPr="005149E0" w:rsidRDefault="00225455" w:rsidP="00225455">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00596583">
        <w:rPr>
          <w:rFonts w:asciiTheme="minorHAnsi" w:hAnsiTheme="minorHAnsi" w:cstheme="minorHAnsi"/>
          <w:b/>
          <w:lang w:val="cs-CZ"/>
        </w:rPr>
        <w:t>dobrá praxe ze studií</w:t>
      </w:r>
      <w:r w:rsidRPr="005149E0">
        <w:rPr>
          <w:rFonts w:asciiTheme="minorHAnsi" w:hAnsiTheme="minorHAnsi" w:cstheme="minorHAnsi"/>
          <w:b/>
          <w:lang w:val="cs-CZ"/>
        </w:rPr>
        <w:t xml:space="preserve"> plynoucí:</w:t>
      </w:r>
    </w:p>
    <w:p w14:paraId="33312EDC" w14:textId="77777777" w:rsidR="009E5A5D" w:rsidRDefault="009E5A5D" w:rsidP="0065698B">
      <w:pPr>
        <w:pStyle w:val="Odstavecseseznamem"/>
        <w:numPr>
          <w:ilvl w:val="0"/>
          <w:numId w:val="22"/>
        </w:numPr>
        <w:jc w:val="both"/>
        <w:rPr>
          <w:rFonts w:asciiTheme="minorHAnsi" w:hAnsiTheme="minorHAnsi" w:cstheme="minorHAnsi"/>
        </w:rPr>
      </w:pPr>
      <w:r>
        <w:rPr>
          <w:rFonts w:asciiTheme="minorHAnsi" w:hAnsiTheme="minorHAnsi" w:cstheme="minorHAnsi"/>
        </w:rPr>
        <w:t>Z příkladů plyne, že ověřování není nijak náročné.</w:t>
      </w:r>
    </w:p>
    <w:p w14:paraId="3245F3DD" w14:textId="1530DDC3" w:rsidR="00225455" w:rsidRDefault="00225455" w:rsidP="0065698B">
      <w:pPr>
        <w:pStyle w:val="Odstavecseseznamem"/>
        <w:numPr>
          <w:ilvl w:val="0"/>
          <w:numId w:val="22"/>
        </w:numPr>
        <w:jc w:val="both"/>
        <w:rPr>
          <w:rFonts w:asciiTheme="minorHAnsi" w:hAnsiTheme="minorHAnsi" w:cstheme="minorHAnsi"/>
        </w:rPr>
      </w:pPr>
      <w:r>
        <w:rPr>
          <w:rFonts w:asciiTheme="minorHAnsi" w:hAnsiTheme="minorHAnsi" w:cstheme="minorHAnsi"/>
        </w:rPr>
        <w:t>Ověřovat příjmy i výdaje je zákonná povinnost plynoucí ze zákona o finanční kontrole. To se týká taký výdajů a příjmů v rámci strategické práce.</w:t>
      </w:r>
    </w:p>
    <w:p w14:paraId="0EB82E33" w14:textId="68F33763" w:rsidR="009E5A5D" w:rsidRDefault="009E5A5D" w:rsidP="0065698B">
      <w:pPr>
        <w:pStyle w:val="Odstavecseseznamem"/>
        <w:numPr>
          <w:ilvl w:val="0"/>
          <w:numId w:val="22"/>
        </w:numPr>
        <w:jc w:val="both"/>
        <w:rPr>
          <w:rFonts w:asciiTheme="minorHAnsi" w:hAnsiTheme="minorHAnsi" w:cstheme="minorHAnsi"/>
        </w:rPr>
      </w:pPr>
      <w:r>
        <w:rPr>
          <w:rFonts w:asciiTheme="minorHAnsi" w:hAnsiTheme="minorHAnsi" w:cstheme="minorHAnsi"/>
        </w:rPr>
        <w:t>V řadě institucí probíhá prověřování jen formálně – příkazce operace potvrdí, že prověření provedl, ale fakticky tomu tak není. To vytváří prostor pro plýtvání a případně korupci či podvody.</w:t>
      </w:r>
    </w:p>
    <w:p w14:paraId="6C8415E5" w14:textId="6539E789" w:rsidR="00225455" w:rsidRDefault="00225455" w:rsidP="00C10416">
      <w:pPr>
        <w:jc w:val="both"/>
        <w:rPr>
          <w:rFonts w:ascii="Calibri" w:hAnsi="Calibri" w:cs="Calibri"/>
        </w:rPr>
      </w:pPr>
    </w:p>
    <w:p w14:paraId="797460D6" w14:textId="77777777" w:rsidR="00686930" w:rsidRDefault="00686930" w:rsidP="00C10416">
      <w:pPr>
        <w:jc w:val="both"/>
        <w:rPr>
          <w:rFonts w:ascii="Calibri" w:hAnsi="Calibri" w:cs="Calibri"/>
        </w:rPr>
      </w:pPr>
    </w:p>
    <w:p w14:paraId="20A856D0" w14:textId="77777777" w:rsidR="00CF03B1" w:rsidRDefault="00CF03B1" w:rsidP="00C10416">
      <w:pPr>
        <w:jc w:val="both"/>
        <w:rPr>
          <w:rFonts w:ascii="Calibri" w:hAnsi="Calibri" w:cs="Calibri"/>
        </w:rPr>
      </w:pPr>
    </w:p>
    <w:p w14:paraId="2F6523B6" w14:textId="62F6B58D" w:rsidR="00C10416" w:rsidRPr="00F03A7B" w:rsidRDefault="00C10416" w:rsidP="00C10416">
      <w:pPr>
        <w:pStyle w:val="Nadpis2"/>
        <w:spacing w:before="240" w:after="120"/>
        <w:ind w:left="578" w:hanging="578"/>
        <w:rPr>
          <w:rFonts w:ascii="Calibri" w:hAnsi="Calibri"/>
          <w:color w:val="7493B0"/>
          <w:sz w:val="24"/>
          <w:szCs w:val="24"/>
          <w:lang w:val="cs-CZ"/>
        </w:rPr>
      </w:pPr>
      <w:bookmarkStart w:id="91" w:name="_Toc117270024"/>
      <w:bookmarkStart w:id="92" w:name="_Toc105103324"/>
      <w:r w:rsidRPr="00F03A7B">
        <w:rPr>
          <w:rFonts w:ascii="Calibri" w:hAnsi="Calibri"/>
          <w:color w:val="7493B0"/>
          <w:sz w:val="24"/>
          <w:szCs w:val="24"/>
          <w:lang w:val="cs-CZ"/>
        </w:rPr>
        <w:t>Příklad postupu (workflow)</w:t>
      </w:r>
      <w:r>
        <w:rPr>
          <w:rFonts w:ascii="Calibri" w:hAnsi="Calibri"/>
          <w:color w:val="7493B0"/>
          <w:sz w:val="24"/>
          <w:szCs w:val="24"/>
          <w:lang w:val="cs-CZ"/>
        </w:rPr>
        <w:t xml:space="preserve"> </w:t>
      </w:r>
      <w:r w:rsidRPr="00F03A7B">
        <w:rPr>
          <w:rFonts w:ascii="Calibri" w:hAnsi="Calibri"/>
          <w:color w:val="7493B0"/>
          <w:sz w:val="24"/>
          <w:szCs w:val="24"/>
          <w:lang w:val="cs-CZ"/>
        </w:rPr>
        <w:t xml:space="preserve">v rámci předběžné </w:t>
      </w:r>
      <w:r>
        <w:rPr>
          <w:rFonts w:ascii="Calibri" w:hAnsi="Calibri"/>
          <w:color w:val="7493B0"/>
          <w:sz w:val="24"/>
          <w:szCs w:val="24"/>
          <w:lang w:val="cs-CZ"/>
        </w:rPr>
        <w:t xml:space="preserve">finanční </w:t>
      </w:r>
      <w:r w:rsidRPr="00F03A7B">
        <w:rPr>
          <w:rFonts w:ascii="Calibri" w:hAnsi="Calibri"/>
          <w:color w:val="7493B0"/>
          <w:sz w:val="24"/>
          <w:szCs w:val="24"/>
          <w:lang w:val="cs-CZ"/>
        </w:rPr>
        <w:t>kontroly</w:t>
      </w:r>
      <w:bookmarkEnd w:id="91"/>
      <w:r w:rsidRPr="00F03A7B">
        <w:rPr>
          <w:rFonts w:ascii="Calibri" w:hAnsi="Calibri"/>
          <w:color w:val="7493B0"/>
          <w:sz w:val="24"/>
          <w:szCs w:val="24"/>
          <w:lang w:val="cs-CZ"/>
        </w:rPr>
        <w:t xml:space="preserve"> </w:t>
      </w:r>
      <w:bookmarkEnd w:id="92"/>
    </w:p>
    <w:p w14:paraId="210EACAA" w14:textId="77777777" w:rsidR="00AF3E7C" w:rsidRDefault="00AF3E7C" w:rsidP="00AF3E7C">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4B02BBBE" w14:textId="720636F5" w:rsidR="00AF3E7C" w:rsidRDefault="003E214F" w:rsidP="00AF3E7C">
      <w:pPr>
        <w:spacing w:after="120"/>
        <w:jc w:val="both"/>
        <w:rPr>
          <w:rFonts w:asciiTheme="minorHAnsi" w:hAnsiTheme="minorHAnsi" w:cstheme="minorHAnsi"/>
        </w:rPr>
      </w:pPr>
      <w:r>
        <w:rPr>
          <w:rFonts w:asciiTheme="minorHAnsi" w:hAnsiTheme="minorHAnsi" w:cstheme="minorHAnsi"/>
        </w:rPr>
        <w:t xml:space="preserve">Případová studie se týká prověření kritérií 3E (popsáno v kapitole 3.2) a prověření rizik (popsáno v kapitole 3.4) v rámci předběžné kontroly dle zákona o finanční kontrole (popsáno v kapitole 3.3). Při strategické práci je důležité orientovat se v tom, jaké úkony v rámci finanční kontroly musí proběhnout před schválením každého závazku (například zakázky, smlouvy) – týká se to závazků vznikajících v rámci strategické práce. </w:t>
      </w:r>
    </w:p>
    <w:p w14:paraId="42E93486" w14:textId="77777777" w:rsidR="00AF3E7C" w:rsidRPr="006B6EA5" w:rsidRDefault="00AF3E7C" w:rsidP="00AF3E7C">
      <w:pPr>
        <w:spacing w:after="120"/>
        <w:jc w:val="both"/>
        <w:rPr>
          <w:rFonts w:asciiTheme="minorHAnsi" w:hAnsiTheme="minorHAnsi" w:cstheme="minorHAnsi"/>
          <w:b/>
        </w:rPr>
      </w:pPr>
      <w:r w:rsidRPr="006B6EA5">
        <w:rPr>
          <w:rFonts w:asciiTheme="minorHAnsi" w:hAnsiTheme="minorHAnsi" w:cstheme="minorHAnsi"/>
          <w:b/>
        </w:rPr>
        <w:t>Popis případové studie:</w:t>
      </w:r>
    </w:p>
    <w:p w14:paraId="156EFE1B" w14:textId="4010DD28" w:rsidR="00C10416" w:rsidRDefault="003E214F" w:rsidP="003E214F">
      <w:pPr>
        <w:spacing w:after="120"/>
        <w:jc w:val="both"/>
        <w:rPr>
          <w:rFonts w:asciiTheme="minorHAnsi" w:eastAsia="Calibri" w:hAnsiTheme="minorHAnsi" w:cstheme="minorHAnsi"/>
        </w:rPr>
      </w:pPr>
      <w:r>
        <w:rPr>
          <w:rFonts w:asciiTheme="minorHAnsi" w:eastAsia="Calibri" w:hAnsiTheme="minorHAnsi" w:cstheme="minorHAnsi"/>
        </w:rPr>
        <w:t>Předběžná kontrola probíhá u každé operace (výdaj, příjem či jiné nakládání s veřejnými prostředky) před vznikem závazku (první fáze) a před provedením úhrady (druhá fáze). V běžné praxi v některých institucích probíhá jen formálně, což může znamenat, že se v konkrétním případě nikdo nezabývá</w:t>
      </w:r>
      <w:r w:rsidRPr="003E0AFD">
        <w:rPr>
          <w:rFonts w:asciiTheme="minorHAnsi" w:eastAsia="Calibri" w:hAnsiTheme="minorHAnsi" w:cstheme="minorHAnsi"/>
        </w:rPr>
        <w:t xml:space="preserve"> </w:t>
      </w:r>
      <w:r>
        <w:rPr>
          <w:rFonts w:asciiTheme="minorHAnsi" w:eastAsia="Calibri" w:hAnsiTheme="minorHAnsi" w:cstheme="minorHAnsi"/>
        </w:rPr>
        <w:t xml:space="preserve">(věcným) </w:t>
      </w:r>
      <w:r w:rsidRPr="003E0AFD">
        <w:rPr>
          <w:rFonts w:asciiTheme="minorHAnsi" w:eastAsia="Calibri" w:hAnsiTheme="minorHAnsi" w:cstheme="minorHAnsi"/>
        </w:rPr>
        <w:t>prověření</w:t>
      </w:r>
      <w:r>
        <w:rPr>
          <w:rFonts w:asciiTheme="minorHAnsi" w:eastAsia="Calibri" w:hAnsiTheme="minorHAnsi" w:cstheme="minorHAnsi"/>
        </w:rPr>
        <w:t>m</w:t>
      </w:r>
      <w:r w:rsidRPr="003E0AFD">
        <w:rPr>
          <w:rFonts w:asciiTheme="minorHAnsi" w:eastAsia="Calibri" w:hAnsiTheme="minorHAnsi" w:cstheme="minorHAnsi"/>
        </w:rPr>
        <w:t xml:space="preserve"> kritérií 3E</w:t>
      </w:r>
      <w:r>
        <w:rPr>
          <w:rFonts w:asciiTheme="minorHAnsi" w:eastAsia="Calibri" w:hAnsiTheme="minorHAnsi" w:cstheme="minorHAnsi"/>
        </w:rPr>
        <w:t xml:space="preserve"> nebo snížením rizik. </w:t>
      </w:r>
      <w:r w:rsidR="00C10416">
        <w:rPr>
          <w:rFonts w:asciiTheme="minorHAnsi" w:eastAsia="Calibri" w:hAnsiTheme="minorHAnsi" w:cstheme="minorHAnsi"/>
        </w:rPr>
        <w:t xml:space="preserve">Pro snadnější porozumění, jak probíhá celá předběžná kontrola, byl zařazen </w:t>
      </w:r>
      <w:r w:rsidR="00C10416" w:rsidRPr="00912171">
        <w:rPr>
          <w:rFonts w:asciiTheme="minorHAnsi" w:eastAsia="Calibri" w:hAnsiTheme="minorHAnsi" w:cstheme="minorHAnsi"/>
          <w:b/>
        </w:rPr>
        <w:t>příklad workflow (postupu) první fáze předběžné kontroly</w:t>
      </w:r>
      <w:r w:rsidR="00C10416">
        <w:rPr>
          <w:rFonts w:asciiTheme="minorHAnsi" w:eastAsia="Calibri" w:hAnsiTheme="minorHAnsi" w:cstheme="minorHAnsi"/>
        </w:rPr>
        <w:t xml:space="preserve">. V příkladu je vyznačeno, kdy je nezbytné provést </w:t>
      </w:r>
      <w:r w:rsidR="00C10416">
        <w:rPr>
          <w:rFonts w:asciiTheme="minorHAnsi" w:eastAsia="Calibri" w:hAnsiTheme="minorHAnsi" w:cstheme="minorHAnsi"/>
        </w:rPr>
        <w:lastRenderedPageBreak/>
        <w:t>prověření kritérií 3E. Jde o příklad, respektive o dobrou praxi. Příklad se týká operace, u které závazek vzniká podpisem smlouvy (například na služby, stavební práce nebo dodávky).</w:t>
      </w:r>
      <w:r>
        <w:rPr>
          <w:rFonts w:asciiTheme="minorHAnsi" w:eastAsia="Calibri" w:hAnsiTheme="minorHAnsi" w:cstheme="minorHAnsi"/>
        </w:rPr>
        <w:t xml:space="preserve"> </w:t>
      </w:r>
      <w:r w:rsidR="00C10416">
        <w:rPr>
          <w:rFonts w:asciiTheme="minorHAnsi" w:eastAsia="Calibri" w:hAnsiTheme="minorHAnsi" w:cstheme="minorHAnsi"/>
        </w:rPr>
        <w:t xml:space="preserve">Do první fáze předběžné kontroly jsou v tomto příkladu zapojeni: </w:t>
      </w:r>
      <w:r>
        <w:rPr>
          <w:rFonts w:asciiTheme="minorHAnsi" w:eastAsia="Calibri" w:hAnsiTheme="minorHAnsi" w:cstheme="minorHAnsi"/>
        </w:rPr>
        <w:t xml:space="preserve">(1) </w:t>
      </w:r>
      <w:r w:rsidR="00C10416">
        <w:rPr>
          <w:rFonts w:asciiTheme="minorHAnsi" w:eastAsia="Calibri" w:hAnsiTheme="minorHAnsi" w:cstheme="minorHAnsi"/>
        </w:rPr>
        <w:t>o</w:t>
      </w:r>
      <w:r w:rsidR="00C10416" w:rsidRPr="007B2A30">
        <w:rPr>
          <w:rFonts w:asciiTheme="minorHAnsi" w:eastAsia="Calibri" w:hAnsiTheme="minorHAnsi" w:cstheme="minorHAnsi"/>
        </w:rPr>
        <w:t>soba odpovědná z věcného hlediska za</w:t>
      </w:r>
      <w:r w:rsidR="00C10416">
        <w:rPr>
          <w:rFonts w:asciiTheme="minorHAnsi" w:eastAsia="Calibri" w:hAnsiTheme="minorHAnsi" w:cstheme="minorHAnsi"/>
        </w:rPr>
        <w:t xml:space="preserve"> (a) </w:t>
      </w:r>
      <w:r w:rsidR="00C10416" w:rsidRPr="00210ACB">
        <w:rPr>
          <w:rFonts w:asciiTheme="minorHAnsi" w:eastAsia="Calibri" w:hAnsiTheme="minorHAnsi" w:cstheme="minorHAnsi"/>
        </w:rPr>
        <w:t xml:space="preserve">přípravu dokumentace operace (smlouvy, objednávky, veřejné zakázky, …), </w:t>
      </w:r>
      <w:r w:rsidR="00C10416">
        <w:rPr>
          <w:rFonts w:asciiTheme="minorHAnsi" w:eastAsia="Calibri" w:hAnsiTheme="minorHAnsi" w:cstheme="minorHAnsi"/>
        </w:rPr>
        <w:t>(b) realizaci operace.</w:t>
      </w:r>
      <w:r w:rsidR="00C10416" w:rsidRPr="00210ACB">
        <w:rPr>
          <w:rFonts w:asciiTheme="minorHAnsi" w:eastAsia="Calibri" w:hAnsiTheme="minorHAnsi" w:cstheme="minorHAnsi"/>
        </w:rPr>
        <w:t xml:space="preserve"> </w:t>
      </w:r>
      <w:r w:rsidR="00C10416">
        <w:rPr>
          <w:rFonts w:asciiTheme="minorHAnsi" w:eastAsia="Calibri" w:hAnsiTheme="minorHAnsi" w:cstheme="minorHAnsi"/>
        </w:rPr>
        <w:t>Obvykle to bývá podřízený pracovník příkazci operace. V menších institucích je to tatáž osoba jako příkazce operace.</w:t>
      </w:r>
      <w:r>
        <w:rPr>
          <w:rFonts w:asciiTheme="minorHAnsi" w:eastAsia="Calibri" w:hAnsiTheme="minorHAnsi" w:cstheme="minorHAnsi"/>
        </w:rPr>
        <w:t xml:space="preserve"> (2) </w:t>
      </w:r>
      <w:r w:rsidR="00C10416" w:rsidRPr="007B2A30">
        <w:rPr>
          <w:rFonts w:asciiTheme="minorHAnsi" w:eastAsia="Calibri" w:hAnsiTheme="minorHAnsi" w:cstheme="minorHAnsi"/>
        </w:rPr>
        <w:t>Osoba odpovědná z právního hlediska</w:t>
      </w:r>
      <w:r w:rsidR="00C10416">
        <w:rPr>
          <w:rFonts w:asciiTheme="minorHAnsi" w:eastAsia="Calibri" w:hAnsiTheme="minorHAnsi" w:cstheme="minorHAnsi"/>
        </w:rPr>
        <w:t>. Může jít o interního právníka (zaměstnance), ale u menších institucí jde často o externího (smluvního) právníka na smlouvu.</w:t>
      </w:r>
      <w:r>
        <w:rPr>
          <w:rFonts w:asciiTheme="minorHAnsi" w:eastAsia="Calibri" w:hAnsiTheme="minorHAnsi" w:cstheme="minorHAnsi"/>
        </w:rPr>
        <w:t xml:space="preserve"> (3) </w:t>
      </w:r>
      <w:r w:rsidR="00C10416" w:rsidRPr="003B23E3">
        <w:rPr>
          <w:rFonts w:asciiTheme="minorHAnsi" w:eastAsia="Calibri" w:hAnsiTheme="minorHAnsi" w:cstheme="minorHAnsi"/>
        </w:rPr>
        <w:t xml:space="preserve">Příkazce operace. Nese ze zákona o finanční kontrole odpovědnost za </w:t>
      </w:r>
      <w:r w:rsidR="00C10416">
        <w:rPr>
          <w:rFonts w:asciiTheme="minorHAnsi" w:eastAsia="Calibri" w:hAnsiTheme="minorHAnsi" w:cstheme="minorHAnsi"/>
        </w:rPr>
        <w:t>věcné posouzení, tedy za schvalovací postup operace</w:t>
      </w:r>
      <w:r w:rsidR="00C10416">
        <w:rPr>
          <w:rStyle w:val="Znakapoznpodarou"/>
          <w:rFonts w:asciiTheme="minorHAnsi" w:eastAsia="Calibri" w:hAnsiTheme="minorHAnsi" w:cstheme="minorHAnsi"/>
        </w:rPr>
        <w:footnoteReference w:id="59"/>
      </w:r>
      <w:r w:rsidR="00C10416">
        <w:rPr>
          <w:rFonts w:asciiTheme="minorHAnsi" w:eastAsia="Calibri" w:hAnsiTheme="minorHAnsi" w:cstheme="minorHAnsi"/>
        </w:rPr>
        <w:t xml:space="preserve">. </w:t>
      </w:r>
      <w:r>
        <w:rPr>
          <w:rFonts w:asciiTheme="minorHAnsi" w:eastAsia="Calibri" w:hAnsiTheme="minorHAnsi" w:cstheme="minorHAnsi"/>
        </w:rPr>
        <w:t xml:space="preserve">(4) </w:t>
      </w:r>
      <w:r w:rsidR="00C10416">
        <w:rPr>
          <w:rFonts w:asciiTheme="minorHAnsi" w:eastAsia="Calibri" w:hAnsiTheme="minorHAnsi" w:cstheme="minorHAnsi"/>
        </w:rPr>
        <w:t>Správce rozpočtu (ověřuje soulad s rozpočtem, hodnotí rozpočtová rizika atd.).</w:t>
      </w:r>
      <w:r>
        <w:rPr>
          <w:rFonts w:asciiTheme="minorHAnsi" w:eastAsia="Calibri" w:hAnsiTheme="minorHAnsi" w:cstheme="minorHAnsi"/>
        </w:rPr>
        <w:t xml:space="preserve"> (5) </w:t>
      </w:r>
      <w:r w:rsidR="00C10416">
        <w:rPr>
          <w:rFonts w:asciiTheme="minorHAnsi" w:eastAsia="Calibri" w:hAnsiTheme="minorHAnsi" w:cstheme="minorHAnsi"/>
        </w:rPr>
        <w:t xml:space="preserve">Osoba oprávněná podepsat (může jít současně o příkazce operace). </w:t>
      </w:r>
    </w:p>
    <w:p w14:paraId="5233090D" w14:textId="2A5EBBCA" w:rsidR="00C10416" w:rsidRPr="003838C2"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sz w:val="24"/>
          <w:szCs w:val="24"/>
        </w:rPr>
        <w:t>Obvykle se postupuje tak, že již při přípravě a právním posouzení je dokumentace (</w:t>
      </w:r>
      <w:r w:rsidRPr="00501B0B">
        <w:rPr>
          <w:rFonts w:asciiTheme="minorHAnsi" w:eastAsia="Calibri" w:hAnsiTheme="minorHAnsi" w:cstheme="minorHAnsi"/>
          <w:sz w:val="24"/>
          <w:szCs w:val="24"/>
        </w:rPr>
        <w:t>smlouva, veřejná zakázka atd.</w:t>
      </w:r>
      <w:r>
        <w:rPr>
          <w:rFonts w:asciiTheme="minorHAnsi" w:eastAsia="Calibri" w:hAnsiTheme="minorHAnsi" w:cstheme="minorHAnsi"/>
          <w:sz w:val="24"/>
          <w:szCs w:val="24"/>
        </w:rPr>
        <w:t>)</w:t>
      </w:r>
      <w:r w:rsidRPr="00501B0B">
        <w:rPr>
          <w:rFonts w:asciiTheme="minorHAnsi" w:eastAsia="Calibri" w:hAnsiTheme="minorHAnsi" w:cstheme="minorHAnsi"/>
          <w:sz w:val="24"/>
          <w:szCs w:val="24"/>
        </w:rPr>
        <w:t xml:space="preserve"> </w:t>
      </w:r>
      <w:r>
        <w:rPr>
          <w:rFonts w:asciiTheme="minorHAnsi" w:eastAsia="Calibri" w:hAnsiTheme="minorHAnsi" w:cstheme="minorHAnsi"/>
          <w:sz w:val="24"/>
          <w:szCs w:val="24"/>
        </w:rPr>
        <w:t>navržena</w:t>
      </w:r>
      <w:r w:rsidRPr="00501B0B">
        <w:rPr>
          <w:rFonts w:asciiTheme="minorHAnsi" w:eastAsia="Calibri" w:hAnsiTheme="minorHAnsi" w:cstheme="minorHAnsi"/>
          <w:sz w:val="24"/>
          <w:szCs w:val="24"/>
        </w:rPr>
        <w:t xml:space="preserve"> tak, aby</w:t>
      </w:r>
      <w:r>
        <w:rPr>
          <w:rFonts w:asciiTheme="minorHAnsi" w:eastAsia="Calibri" w:hAnsiTheme="minorHAnsi" w:cstheme="minorHAnsi"/>
          <w:sz w:val="24"/>
          <w:szCs w:val="24"/>
        </w:rPr>
        <w:t xml:space="preserve"> odpovídala kritériím 3E a snižovala</w:t>
      </w:r>
      <w:r w:rsidRPr="00501B0B">
        <w:rPr>
          <w:rFonts w:asciiTheme="minorHAnsi" w:eastAsia="Calibri" w:hAnsiTheme="minorHAnsi" w:cstheme="minorHAnsi"/>
          <w:sz w:val="24"/>
          <w:szCs w:val="24"/>
        </w:rPr>
        <w:t xml:space="preserve"> rizika</w:t>
      </w:r>
      <w:r>
        <w:rPr>
          <w:rFonts w:asciiTheme="minorHAnsi" w:eastAsia="Calibri" w:hAnsiTheme="minorHAnsi" w:cstheme="minorHAnsi"/>
          <w:sz w:val="24"/>
          <w:szCs w:val="24"/>
        </w:rPr>
        <w:t xml:space="preserve">. Finální posouzení </w:t>
      </w:r>
      <w:r w:rsidR="009E5A5D">
        <w:rPr>
          <w:rFonts w:asciiTheme="minorHAnsi" w:eastAsia="Calibri" w:hAnsiTheme="minorHAnsi" w:cstheme="minorHAnsi"/>
          <w:sz w:val="24"/>
          <w:szCs w:val="24"/>
        </w:rPr>
        <w:t xml:space="preserve">dle zákona o finanční kontrole </w:t>
      </w:r>
      <w:r>
        <w:rPr>
          <w:rFonts w:asciiTheme="minorHAnsi" w:eastAsia="Calibri" w:hAnsiTheme="minorHAnsi" w:cstheme="minorHAnsi"/>
          <w:sz w:val="24"/>
          <w:szCs w:val="24"/>
        </w:rPr>
        <w:t>zajišťuje příkazce operace.</w:t>
      </w:r>
      <w:r w:rsidR="003E214F">
        <w:rPr>
          <w:rFonts w:asciiTheme="minorHAnsi" w:eastAsia="Calibri" w:hAnsiTheme="minorHAnsi" w:cstheme="minorHAnsi"/>
          <w:sz w:val="24"/>
          <w:szCs w:val="24"/>
        </w:rPr>
        <w:t xml:space="preserve"> </w:t>
      </w:r>
      <w:r>
        <w:rPr>
          <w:rFonts w:asciiTheme="minorHAnsi" w:eastAsia="Calibri" w:hAnsiTheme="minorHAnsi" w:cstheme="minorHAnsi"/>
          <w:sz w:val="24"/>
          <w:szCs w:val="24"/>
        </w:rPr>
        <w:t xml:space="preserve">Příklad workflow (postupu) první fáze předběžné kontroly, tedy před vznikem závazku, je na následujícím obrázku (na dvou stranách), a to ve formě vývojového diagramu. Jsou v něm komentáře z hlediska prověřování kritérií 3E. U rozhodovacích bloků (kosočtverce) je formulována otázka. Není-li v obrázku vyznačeno jinak, je odpověď „ANO“ ve vertikálním směru, odpověď „Ne“ v horizontálním směru. </w:t>
      </w:r>
    </w:p>
    <w:p w14:paraId="0AEF178F" w14:textId="77777777" w:rsidR="00C10416" w:rsidRDefault="00C10416" w:rsidP="00C10416">
      <w:pPr>
        <w:spacing w:after="160" w:line="259" w:lineRule="auto"/>
        <w:rPr>
          <w:rFonts w:ascii="Calibri" w:hAnsi="Calibri"/>
          <w:i/>
          <w:iCs/>
          <w:lang w:eastAsia="x-none"/>
        </w:rPr>
      </w:pPr>
      <w:r>
        <w:rPr>
          <w:rFonts w:ascii="Calibri" w:hAnsi="Calibri"/>
          <w:i/>
          <w:iCs/>
        </w:rPr>
        <w:br w:type="page"/>
      </w:r>
    </w:p>
    <w:p w14:paraId="116788A4" w14:textId="15391AD6" w:rsidR="00C10416" w:rsidRDefault="00C10416" w:rsidP="00C10416">
      <w:pPr>
        <w:pStyle w:val="A1-text"/>
        <w:spacing w:after="0"/>
        <w:rPr>
          <w:rFonts w:ascii="Calibri" w:hAnsi="Calibri"/>
          <w:i/>
          <w:iCs/>
          <w:lang w:val="cs-CZ"/>
        </w:rPr>
      </w:pPr>
      <w:r w:rsidRPr="007F3039">
        <w:rPr>
          <w:noProof/>
          <w:lang w:val="cs-CZ" w:eastAsia="cs-CZ"/>
        </w:rPr>
        <w:lastRenderedPageBreak/>
        <w:drawing>
          <wp:anchor distT="0" distB="0" distL="114300" distR="114300" simplePos="0" relativeHeight="251546112" behindDoc="0" locked="0" layoutInCell="1" allowOverlap="1" wp14:anchorId="5BF246F1" wp14:editId="7744B9B6">
            <wp:simplePos x="0" y="0"/>
            <wp:positionH relativeFrom="column">
              <wp:posOffset>-12700</wp:posOffset>
            </wp:positionH>
            <wp:positionV relativeFrom="paragraph">
              <wp:posOffset>259657</wp:posOffset>
            </wp:positionV>
            <wp:extent cx="5730875" cy="7134860"/>
            <wp:effectExtent l="0" t="0" r="3175" b="8890"/>
            <wp:wrapNone/>
            <wp:docPr id="3943" name="Obrázek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30033" t="5332" r="29617" b="6052"/>
                    <a:stretch/>
                  </pic:blipFill>
                  <pic:spPr bwMode="auto">
                    <a:xfrm>
                      <a:off x="0" y="0"/>
                      <a:ext cx="5730875" cy="713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00B2">
        <w:rPr>
          <w:rFonts w:ascii="Calibri" w:hAnsi="Calibri"/>
          <w:i/>
          <w:iCs/>
          <w:lang w:val="cs-CZ"/>
        </w:rPr>
        <w:t xml:space="preserve">Obr. </w:t>
      </w:r>
      <w:r w:rsidR="004F0E1D">
        <w:rPr>
          <w:rFonts w:ascii="Calibri" w:hAnsi="Calibri"/>
          <w:i/>
          <w:iCs/>
          <w:lang w:val="cs-CZ"/>
        </w:rPr>
        <w:t>2</w:t>
      </w:r>
      <w:r w:rsidR="00257449">
        <w:rPr>
          <w:rFonts w:ascii="Calibri" w:hAnsi="Calibri"/>
          <w:i/>
          <w:iCs/>
          <w:lang w:val="cs-CZ"/>
        </w:rPr>
        <w:t>5</w:t>
      </w:r>
      <w:r w:rsidR="004F0E1D">
        <w:rPr>
          <w:rFonts w:ascii="Calibri" w:hAnsi="Calibri"/>
          <w:i/>
          <w:iCs/>
          <w:lang w:val="cs-CZ"/>
        </w:rPr>
        <w:t xml:space="preserve"> </w:t>
      </w:r>
      <w:r w:rsidRPr="009200B2">
        <w:rPr>
          <w:rFonts w:ascii="Calibri" w:hAnsi="Calibri"/>
          <w:i/>
          <w:iCs/>
          <w:lang w:val="cs-CZ"/>
        </w:rPr>
        <w:t xml:space="preserve">První fáze předběžné kontroly (před vznikem závazku) – </w:t>
      </w:r>
      <w:r>
        <w:rPr>
          <w:rFonts w:ascii="Calibri" w:hAnsi="Calibri"/>
          <w:i/>
          <w:iCs/>
          <w:lang w:val="cs-CZ"/>
        </w:rPr>
        <w:t>komentáře k prověření 3E</w:t>
      </w:r>
    </w:p>
    <w:p w14:paraId="4BF1BE30"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141A23A3"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49D5E2C8"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D69DFD5"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noProof/>
        </w:rPr>
        <mc:AlternateContent>
          <mc:Choice Requires="wps">
            <w:drawing>
              <wp:anchor distT="0" distB="0" distL="114300" distR="114300" simplePos="0" relativeHeight="251548160" behindDoc="0" locked="0" layoutInCell="1" allowOverlap="1" wp14:anchorId="09F21971" wp14:editId="229572A1">
                <wp:simplePos x="0" y="0"/>
                <wp:positionH relativeFrom="column">
                  <wp:posOffset>2659380</wp:posOffset>
                </wp:positionH>
                <wp:positionV relativeFrom="paragraph">
                  <wp:posOffset>56515</wp:posOffset>
                </wp:positionV>
                <wp:extent cx="1973580" cy="1495425"/>
                <wp:effectExtent l="0" t="0" r="26670" b="15240"/>
                <wp:wrapNone/>
                <wp:docPr id="3807" name="Textové pole 3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1495425"/>
                        </a:xfrm>
                        <a:prstGeom prst="rect">
                          <a:avLst/>
                        </a:prstGeom>
                        <a:solidFill>
                          <a:schemeClr val="accent2">
                            <a:lumMod val="20000"/>
                            <a:lumOff val="80000"/>
                          </a:schemeClr>
                        </a:solidFill>
                        <a:ln w="9525">
                          <a:solidFill>
                            <a:srgbClr val="000000"/>
                          </a:solidFill>
                          <a:miter lim="800000"/>
                          <a:headEnd/>
                          <a:tailEnd/>
                        </a:ln>
                      </wps:spPr>
                      <wps:txbx>
                        <w:txbxContent>
                          <w:p w14:paraId="121FD2D8" w14:textId="77777777" w:rsidR="00511D9B" w:rsidRPr="00501B0B" w:rsidRDefault="00511D9B" w:rsidP="00C10416">
                            <w:pPr>
                              <w:spacing w:line="216" w:lineRule="auto"/>
                              <w:ind w:left="-57" w:right="-57"/>
                              <w:rPr>
                                <w:rFonts w:asciiTheme="minorHAnsi" w:hAnsiTheme="minorHAnsi" w:cstheme="minorHAnsi"/>
                                <w:sz w:val="20"/>
                              </w:rPr>
                            </w:pPr>
                            <w:r>
                              <w:rPr>
                                <w:rFonts w:asciiTheme="minorHAnsi" w:hAnsiTheme="minorHAnsi" w:cstheme="minorHAnsi"/>
                                <w:b/>
                                <w:sz w:val="20"/>
                              </w:rPr>
                              <w:t xml:space="preserve">Obvykle se dokumentace připravované operace </w:t>
                            </w:r>
                            <w:r w:rsidRPr="00501B0B">
                              <w:rPr>
                                <w:rFonts w:asciiTheme="minorHAnsi" w:hAnsiTheme="minorHAnsi" w:cstheme="minorHAnsi"/>
                                <w:sz w:val="20"/>
                              </w:rPr>
                              <w:t>(smlouv</w:t>
                            </w:r>
                            <w:r>
                              <w:rPr>
                                <w:rFonts w:asciiTheme="minorHAnsi" w:hAnsiTheme="minorHAnsi" w:cstheme="minorHAnsi"/>
                                <w:sz w:val="20"/>
                              </w:rPr>
                              <w:t>y, objednávky, veřejné zakázky</w:t>
                            </w:r>
                            <w:r w:rsidRPr="00501B0B">
                              <w:rPr>
                                <w:rFonts w:asciiTheme="minorHAnsi" w:hAnsiTheme="minorHAnsi" w:cstheme="minorHAnsi"/>
                                <w:sz w:val="20"/>
                              </w:rPr>
                              <w:t xml:space="preserve"> atd.</w:t>
                            </w:r>
                            <w:r>
                              <w:rPr>
                                <w:rFonts w:asciiTheme="minorHAnsi" w:hAnsiTheme="minorHAnsi" w:cstheme="minorHAnsi"/>
                                <w:sz w:val="20"/>
                              </w:rPr>
                              <w:t xml:space="preserve">) </w:t>
                            </w:r>
                            <w:r>
                              <w:rPr>
                                <w:rFonts w:asciiTheme="minorHAnsi" w:hAnsiTheme="minorHAnsi" w:cstheme="minorHAnsi"/>
                                <w:b/>
                                <w:sz w:val="20"/>
                              </w:rPr>
                              <w:t xml:space="preserve">a právní posouzení </w:t>
                            </w:r>
                            <w:r w:rsidRPr="00396D3D">
                              <w:rPr>
                                <w:rFonts w:asciiTheme="minorHAnsi" w:hAnsiTheme="minorHAnsi" w:cstheme="minorHAnsi"/>
                                <w:sz w:val="20"/>
                              </w:rPr>
                              <w:t>plánují a</w:t>
                            </w:r>
                            <w:r>
                              <w:rPr>
                                <w:rFonts w:asciiTheme="minorHAnsi" w:hAnsiTheme="minorHAnsi" w:cstheme="minorHAnsi"/>
                                <w:b/>
                                <w:sz w:val="20"/>
                              </w:rPr>
                              <w:t xml:space="preserve"> </w:t>
                            </w:r>
                            <w:r>
                              <w:rPr>
                                <w:rFonts w:asciiTheme="minorHAnsi" w:hAnsiTheme="minorHAnsi" w:cstheme="minorHAnsi"/>
                                <w:sz w:val="20"/>
                              </w:rPr>
                              <w:t>připlavují</w:t>
                            </w:r>
                            <w:r w:rsidRPr="00501B0B">
                              <w:rPr>
                                <w:rFonts w:asciiTheme="minorHAnsi" w:hAnsiTheme="minorHAnsi" w:cstheme="minorHAnsi"/>
                                <w:sz w:val="20"/>
                              </w:rPr>
                              <w:t xml:space="preserve"> tak, aby </w:t>
                            </w:r>
                            <w:r>
                              <w:rPr>
                                <w:rFonts w:asciiTheme="minorHAnsi" w:hAnsiTheme="minorHAnsi" w:cstheme="minorHAnsi"/>
                                <w:sz w:val="20"/>
                              </w:rPr>
                              <w:t xml:space="preserve">operace naplňovala kritéria 3E. </w:t>
                            </w:r>
                            <w:r>
                              <w:rPr>
                                <w:rFonts w:asciiTheme="minorHAnsi" w:hAnsiTheme="minorHAnsi" w:cstheme="minorHAnsi"/>
                                <w:b/>
                                <w:sz w:val="20"/>
                              </w:rPr>
                              <w:t xml:space="preserve"> </w:t>
                            </w:r>
                            <w:r w:rsidRPr="00396D3D">
                              <w:rPr>
                                <w:rFonts w:asciiTheme="minorHAnsi" w:hAnsiTheme="minorHAnsi" w:cstheme="minorHAnsi"/>
                                <w:sz w:val="20"/>
                              </w:rPr>
                              <w:t>Do dokumentace se</w:t>
                            </w:r>
                            <w:r>
                              <w:rPr>
                                <w:rFonts w:asciiTheme="minorHAnsi" w:hAnsiTheme="minorHAnsi" w:cstheme="minorHAnsi"/>
                                <w:b/>
                                <w:sz w:val="20"/>
                              </w:rPr>
                              <w:t xml:space="preserve"> </w:t>
                            </w:r>
                            <w:r w:rsidRPr="00396D3D">
                              <w:rPr>
                                <w:rFonts w:asciiTheme="minorHAnsi" w:hAnsiTheme="minorHAnsi" w:cstheme="minorHAnsi"/>
                                <w:sz w:val="20"/>
                              </w:rPr>
                              <w:t>promítají</w:t>
                            </w:r>
                            <w:r>
                              <w:rPr>
                                <w:rFonts w:asciiTheme="minorHAnsi" w:hAnsiTheme="minorHAnsi" w:cstheme="minorHAnsi"/>
                                <w:sz w:val="20"/>
                              </w:rPr>
                              <w:t xml:space="preserve"> zkušenosti z obdobných operací.</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9F21971" id="Textové pole 3807" o:spid="_x0000_s1361" type="#_x0000_t202" style="position:absolute;left:0;text-align:left;margin-left:209.4pt;margin-top:4.45pt;width:155.4pt;height:117.75pt;z-index:25154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0VAIAAJcEAAAOAAAAZHJzL2Uyb0RvYy54bWysVNuO2yAQfa/Uf0C8N3ZuTWLFWW2zTVVp&#10;e5F2+wEE4xgVGAokdvpH+x39sQ44yabdt6ovCGbMmcM5M17edFqRg3BeginpcJBTIgyHSppdSb89&#10;bt7MKfGBmYopMKKkR+Hpzer1q2VrCzGCBlQlHEEQ44vWlrQJwRZZ5nkjNPMDsMJgsganWcCj22WV&#10;Yy2ia5WN8vxt1oKrrAMuvMfoXZ+kq4Rf14KHL3XtRSCqpMgtpNWldRvXbLVkxc4x20h+osH+gYVm&#10;0mDRC9QdC4zsnXwBpSV34KEOAw46g7qWXKQ34GuG+V+veWiYFektKI63F5n8/4Plnw9fHZFVScfz&#10;fEaJYRpdehRdgMOvJ2JBCZIyKFRrfYHfP1i8Ebp30KHh6dHe3gP/7omBdcPMTtw6B20jWIVEh1Hi&#10;7Opqj+MjyLb9BBWWY/sACairnY4qoi4E0dGw48UkpER4LLmYjadzTHHMDSeL6WQ0TTVYcb5unQ8f&#10;BGgSNyV12AUJnh3ufYh0WHH+JFbzoGS1kUqlQ+w8sVaOHBj2DONcmDBK19VeI98+jr2Xn7oHw9hj&#10;fXh+DmOJ1MMRKRX8o4gypC3pYorMXxJwu+2lfITr60TAa55aBhwcJXVJU9ETmaj6e1Oltg5Mqn6P&#10;l5U52RCV7z0I3bZL1g+n46hgNGkL1RGdcdBPCk42bhpwPylpcUpK6n/smROUqI8G3V0MJ5M4Vukw&#10;mc5GeHDXme11hhmOUCUNlPTbdUijmDSwt9gFG5n8eWZyIo3dn1Q8TWocr+tz+ur5f7L6DQAA//8D&#10;AFBLAwQUAAYACAAAACEAhTg9CeAAAAAJAQAADwAAAGRycy9kb3ducmV2LnhtbEyPwU7DMBBE70j8&#10;g7VIXBB1GqKShmyqgsStEiIFcXXjbRwRr0PstuHv657gOJrRzJtyNdleHGn0nWOE+SwBQdw43XGL&#10;8LF9vc9B+KBYq94xIfySh1V1fVWqQrsTv9OxDq2IJewLhWBCGAopfWPIKj9zA3H09m60KkQ5tlKP&#10;6hTLbS/TJFlIqzqOC0YN9GKo+a4PFmFbbzZ38k1+fuXrvUn9T/f8UNeItzfT+glEoCn8heGCH9Gh&#10;ikw7d2DtRY+QzfOIHhDyJYjoP6bLBYgdQpplGciqlP8fVGcAAAD//wMAUEsBAi0AFAAGAAgAAAAh&#10;ALaDOJL+AAAA4QEAABMAAAAAAAAAAAAAAAAAAAAAAFtDb250ZW50X1R5cGVzXS54bWxQSwECLQAU&#10;AAYACAAAACEAOP0h/9YAAACUAQAACwAAAAAAAAAAAAAAAAAvAQAAX3JlbHMvLnJlbHNQSwECLQAU&#10;AAYACAAAACEAVfhWtFQCAACXBAAADgAAAAAAAAAAAAAAAAAuAgAAZHJzL2Uyb0RvYy54bWxQSwEC&#10;LQAUAAYACAAAACEAhTg9CeAAAAAJAQAADwAAAAAAAAAAAAAAAACuBAAAZHJzL2Rvd25yZXYueG1s&#10;UEsFBgAAAAAEAAQA8wAAALsFAAAAAA==&#10;" fillcolor="#fbe4d5 [661]">
                <v:textbox style="mso-fit-shape-to-text:t">
                  <w:txbxContent>
                    <w:p w14:paraId="121FD2D8" w14:textId="77777777" w:rsidR="00511D9B" w:rsidRPr="00501B0B" w:rsidRDefault="00511D9B" w:rsidP="00C10416">
                      <w:pPr>
                        <w:spacing w:line="216" w:lineRule="auto"/>
                        <w:ind w:left="-57" w:right="-57"/>
                        <w:rPr>
                          <w:rFonts w:asciiTheme="minorHAnsi" w:hAnsiTheme="minorHAnsi" w:cstheme="minorHAnsi"/>
                          <w:sz w:val="20"/>
                        </w:rPr>
                      </w:pPr>
                      <w:r>
                        <w:rPr>
                          <w:rFonts w:asciiTheme="minorHAnsi" w:hAnsiTheme="minorHAnsi" w:cstheme="minorHAnsi"/>
                          <w:b/>
                          <w:sz w:val="20"/>
                        </w:rPr>
                        <w:t xml:space="preserve">Obvykle se dokumentace připravované operace </w:t>
                      </w:r>
                      <w:r w:rsidRPr="00501B0B">
                        <w:rPr>
                          <w:rFonts w:asciiTheme="minorHAnsi" w:hAnsiTheme="minorHAnsi" w:cstheme="minorHAnsi"/>
                          <w:sz w:val="20"/>
                        </w:rPr>
                        <w:t>(smlouv</w:t>
                      </w:r>
                      <w:r>
                        <w:rPr>
                          <w:rFonts w:asciiTheme="minorHAnsi" w:hAnsiTheme="minorHAnsi" w:cstheme="minorHAnsi"/>
                          <w:sz w:val="20"/>
                        </w:rPr>
                        <w:t>y, objednávky, veřejné zakázky</w:t>
                      </w:r>
                      <w:r w:rsidRPr="00501B0B">
                        <w:rPr>
                          <w:rFonts w:asciiTheme="minorHAnsi" w:hAnsiTheme="minorHAnsi" w:cstheme="minorHAnsi"/>
                          <w:sz w:val="20"/>
                        </w:rPr>
                        <w:t xml:space="preserve"> atd.</w:t>
                      </w:r>
                      <w:r>
                        <w:rPr>
                          <w:rFonts w:asciiTheme="minorHAnsi" w:hAnsiTheme="minorHAnsi" w:cstheme="minorHAnsi"/>
                          <w:sz w:val="20"/>
                        </w:rPr>
                        <w:t xml:space="preserve">) </w:t>
                      </w:r>
                      <w:r>
                        <w:rPr>
                          <w:rFonts w:asciiTheme="minorHAnsi" w:hAnsiTheme="minorHAnsi" w:cstheme="minorHAnsi"/>
                          <w:b/>
                          <w:sz w:val="20"/>
                        </w:rPr>
                        <w:t xml:space="preserve">a právní posouzení </w:t>
                      </w:r>
                      <w:r w:rsidRPr="00396D3D">
                        <w:rPr>
                          <w:rFonts w:asciiTheme="minorHAnsi" w:hAnsiTheme="minorHAnsi" w:cstheme="minorHAnsi"/>
                          <w:sz w:val="20"/>
                        </w:rPr>
                        <w:t>plánují a</w:t>
                      </w:r>
                      <w:r>
                        <w:rPr>
                          <w:rFonts w:asciiTheme="minorHAnsi" w:hAnsiTheme="minorHAnsi" w:cstheme="minorHAnsi"/>
                          <w:b/>
                          <w:sz w:val="20"/>
                        </w:rPr>
                        <w:t xml:space="preserve"> </w:t>
                      </w:r>
                      <w:r>
                        <w:rPr>
                          <w:rFonts w:asciiTheme="minorHAnsi" w:hAnsiTheme="minorHAnsi" w:cstheme="minorHAnsi"/>
                          <w:sz w:val="20"/>
                        </w:rPr>
                        <w:t>připlavují</w:t>
                      </w:r>
                      <w:r w:rsidRPr="00501B0B">
                        <w:rPr>
                          <w:rFonts w:asciiTheme="minorHAnsi" w:hAnsiTheme="minorHAnsi" w:cstheme="minorHAnsi"/>
                          <w:sz w:val="20"/>
                        </w:rPr>
                        <w:t xml:space="preserve"> tak, aby </w:t>
                      </w:r>
                      <w:r>
                        <w:rPr>
                          <w:rFonts w:asciiTheme="minorHAnsi" w:hAnsiTheme="minorHAnsi" w:cstheme="minorHAnsi"/>
                          <w:sz w:val="20"/>
                        </w:rPr>
                        <w:t xml:space="preserve">operace naplňovala kritéria 3E. </w:t>
                      </w:r>
                      <w:r>
                        <w:rPr>
                          <w:rFonts w:asciiTheme="minorHAnsi" w:hAnsiTheme="minorHAnsi" w:cstheme="minorHAnsi"/>
                          <w:b/>
                          <w:sz w:val="20"/>
                        </w:rPr>
                        <w:t xml:space="preserve"> </w:t>
                      </w:r>
                      <w:r w:rsidRPr="00396D3D">
                        <w:rPr>
                          <w:rFonts w:asciiTheme="minorHAnsi" w:hAnsiTheme="minorHAnsi" w:cstheme="minorHAnsi"/>
                          <w:sz w:val="20"/>
                        </w:rPr>
                        <w:t>Do dokumentace se</w:t>
                      </w:r>
                      <w:r>
                        <w:rPr>
                          <w:rFonts w:asciiTheme="minorHAnsi" w:hAnsiTheme="minorHAnsi" w:cstheme="minorHAnsi"/>
                          <w:b/>
                          <w:sz w:val="20"/>
                        </w:rPr>
                        <w:t xml:space="preserve"> </w:t>
                      </w:r>
                      <w:r w:rsidRPr="00396D3D">
                        <w:rPr>
                          <w:rFonts w:asciiTheme="minorHAnsi" w:hAnsiTheme="minorHAnsi" w:cstheme="minorHAnsi"/>
                          <w:sz w:val="20"/>
                        </w:rPr>
                        <w:t>promítají</w:t>
                      </w:r>
                      <w:r>
                        <w:rPr>
                          <w:rFonts w:asciiTheme="minorHAnsi" w:hAnsiTheme="minorHAnsi" w:cstheme="minorHAnsi"/>
                          <w:sz w:val="20"/>
                        </w:rPr>
                        <w:t xml:space="preserve"> zkušenosti z obdobných operací.</w:t>
                      </w:r>
                    </w:p>
                  </w:txbxContent>
                </v:textbox>
              </v:shape>
            </w:pict>
          </mc:Fallback>
        </mc:AlternateContent>
      </w:r>
      <w:r>
        <w:rPr>
          <w:noProof/>
        </w:rPr>
        <mc:AlternateContent>
          <mc:Choice Requires="wps">
            <w:drawing>
              <wp:anchor distT="0" distB="0" distL="114300" distR="114300" simplePos="0" relativeHeight="251549184" behindDoc="0" locked="0" layoutInCell="1" allowOverlap="1" wp14:anchorId="0F9DAF25" wp14:editId="5A5B5989">
                <wp:simplePos x="0" y="0"/>
                <wp:positionH relativeFrom="column">
                  <wp:posOffset>1236784</wp:posOffset>
                </wp:positionH>
                <wp:positionV relativeFrom="paragraph">
                  <wp:posOffset>184882</wp:posOffset>
                </wp:positionV>
                <wp:extent cx="1429727" cy="392723"/>
                <wp:effectExtent l="38100" t="57150" r="56515" b="64770"/>
                <wp:wrapNone/>
                <wp:docPr id="3936" name="Přímá spojnice se šipkou 3936"/>
                <wp:cNvGraphicFramePr/>
                <a:graphic xmlns:a="http://schemas.openxmlformats.org/drawingml/2006/main">
                  <a:graphicData uri="http://schemas.microsoft.com/office/word/2010/wordprocessingShape">
                    <wps:wsp>
                      <wps:cNvCnPr/>
                      <wps:spPr>
                        <a:xfrm flipH="1" flipV="1">
                          <a:off x="0" y="0"/>
                          <a:ext cx="1429727" cy="392723"/>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DCAFD" id="Přímá spojnice se šipkou 3936" o:spid="_x0000_s1026" type="#_x0000_t32" style="position:absolute;margin-left:97.4pt;margin-top:14.55pt;width:112.6pt;height:30.9pt;flip:x y;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zbVwIAAOYEAAAOAAAAZHJzL2Uyb0RvYy54bWysVEtu2zAQ3RfoHQjua9lyE9eG5Szsul0U&#10;rdHfnqFIiS3JIUjaso/SZQ7QUwS5V4eU4vS3SVEtiKFm3nzezHB5dTSaHIQPCmxFJ6MxJcJyqJVt&#10;Kvrp4/bZC0pCZLZmGqyo6EkEerV6+mTZuYUooQVdC0/QiQ2LzlW0jdEtiiLwVhgWRuCERaUEb1jE&#10;q2+K2rMOvRtdlOPxZdGBr50HLkLAv5teSVfZv5SCx3dSBhGJrijmFvPp83mdzmK1ZIvGM9cqPqTB&#10;/iELw5TFoGdXGxYZ2Xv1hyujuIcAMo44mAKkVFzkGrCayfi3aj60zIlcC5IT3Jmm8P/c8reHnSeq&#10;ruh0Pr2kxDKDXdrdfbv9bm5vSHDwxWKKJAhyd6PcV9iTbIi8dS4sEL62Oz/cgtv5RMJRekOkVu41&#10;jgTN0uckJR2WTI6Z/9OZf3GMhOPPyfNyPitnlHDUTeflrJymBhW9x4R2PsRXAgxJQkVD9Ew1bVyD&#10;tdhq8H0MdngTYg+8BySwtqSr6PyivMAIDIdNahZRNA7LD7ahhOkGp5hHn1MNoFW9VVoncPDN9Vp7&#10;cmA4SdvtGL8ht1/MUrwNC21vl1X9jHnY2xpzYotWsPqlrUk8OaQa0CFNeRlRU6IFxk9StoxM6QdL&#10;5j10fzdFhrRFolJL+iZkKZ606At/LyQ2OfOei+FDNf0m4KribtzvQ3aGgGQosfpHYgdIQou8gI/E&#10;n0E5Pth4xhtlYehMeh7EuR3xOBl6IXv7eyp6AhIX11Cf8pxmjnCZ8lgNi5+29ed7hj88T6sfAAAA&#10;//8DAFBLAwQUAAYACAAAACEA4/ph/9wAAAAJAQAADwAAAGRycy9kb3ducmV2LnhtbEyPQUvDQBSE&#10;74L/YXmCN7tpKGJiNqUEpCcP1uL5JfuahGbfhuymTf31Pk96HGaY+abYLm5QF5pC79nAepWAIm68&#10;7bk1cPx8e3oBFSKyxcEzGbhRgG15f1dgbv2VP+hyiK2SEg45GuhiHHOtQ9ORw7DyI7F4Jz85jCKn&#10;VtsJr1LuBp0mybN22LMsdDhS1VFzPszOwFlX3+9ov47t4nCf3NJ+3teVMY8Py+4VVKQl/oXhF1/Q&#10;oRSm2s9sgxpEZxtBjwbSbA1KAhvZA1UbyJIMdFno/w/KHwAAAP//AwBQSwECLQAUAAYACAAAACEA&#10;toM4kv4AAADhAQAAEwAAAAAAAAAAAAAAAAAAAAAAW0NvbnRlbnRfVHlwZXNdLnhtbFBLAQItABQA&#10;BgAIAAAAIQA4/SH/1gAAAJQBAAALAAAAAAAAAAAAAAAAAC8BAABfcmVscy8ucmVsc1BLAQItABQA&#10;BgAIAAAAIQCIHMzbVwIAAOYEAAAOAAAAAAAAAAAAAAAAAC4CAABkcnMvZTJvRG9jLnhtbFBLAQIt&#10;ABQABgAIAAAAIQDj+mH/3AAAAAkBAAAPAAAAAAAAAAAAAAAAALEEAABkcnMvZG93bnJldi54bWxQ&#10;SwUGAAAAAAQABADzAAAAugUAAAAA&#10;" strokecolor="red">
                <v:stroke startarrow="oval" endarrow="open"/>
              </v:shape>
            </w:pict>
          </mc:Fallback>
        </mc:AlternateContent>
      </w:r>
    </w:p>
    <w:p w14:paraId="51BCCBAA"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58400" behindDoc="0" locked="0" layoutInCell="1" allowOverlap="1" wp14:anchorId="6758CFC3" wp14:editId="7D86CECF">
                <wp:simplePos x="0" y="0"/>
                <wp:positionH relativeFrom="column">
                  <wp:posOffset>106680</wp:posOffset>
                </wp:positionH>
                <wp:positionV relativeFrom="paragraph">
                  <wp:posOffset>257175</wp:posOffset>
                </wp:positionV>
                <wp:extent cx="317500" cy="1630680"/>
                <wp:effectExtent l="76200" t="38100" r="63500" b="64770"/>
                <wp:wrapNone/>
                <wp:docPr id="240" name="Přímá spojnice se šipkou 240"/>
                <wp:cNvGraphicFramePr/>
                <a:graphic xmlns:a="http://schemas.openxmlformats.org/drawingml/2006/main">
                  <a:graphicData uri="http://schemas.microsoft.com/office/word/2010/wordprocessingShape">
                    <wps:wsp>
                      <wps:cNvCnPr/>
                      <wps:spPr>
                        <a:xfrm flipH="1" flipV="1">
                          <a:off x="0" y="0"/>
                          <a:ext cx="317500" cy="163068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0E714E" id="Přímá spojnice se šipkou 240" o:spid="_x0000_s1026" type="#_x0000_t32" style="position:absolute;margin-left:8.4pt;margin-top:20.25pt;width:25pt;height:128.4pt;flip:x 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zVgIAAOQEAAAOAAAAZHJzL2Uyb0RvYy54bWysVEtu2zAQ3RfoHQjua8lOnaaG5Szsul0U&#10;rdHfnqZIiS3JIUjaso/SZQ6QUwS5V4eU7PS3SVEtiKFm3nzezHB+fTCa7IUPCmxFx6OSEmE51Mo2&#10;Ff38af3sipIQma2ZBisqehSBXi+ePpl3biYm0IKuhSfoxIZZ5yraxuhmRRF4KwwLI3DColKCNyzi&#10;1TdF7VmH3o0uJmV5WXTga+eBixDw76pX0kX2L6Xg8b2UQUSiK4q5xXz6fG7TWSzmbNZ45lrFhzTY&#10;P2RhmLIY9OxqxSIjO6/+cGUU9xBAxhEHU4CUiotcA1YzLn+r5mPLnMi1IDnBnWkK/88tf7ffeKLq&#10;ik6eIz+WGWzS5v773a25uyHBwVeLGZIgyP2Nct9gR5Idsta5MEPw0m78cAtu4xMFB+kNkVq5NzgQ&#10;NEtfkpR0WDA5ZPaPZ/bFIRKOPy/GL6Yl5sBRNb68KC+vcqCi95jQzof4WoAhSahoiJ6ppo1LsBYb&#10;Db6PwfZvQ8ScEHgCJLC2pKvoy+lkiiEYjprULKJoHBYfbEMJ0w3OMI8+pxpAq3qttE7g4JvtUnuy&#10;ZzhH63WJXyIBQ/xiluKtWGh7u6zqJ8zDztYIYLNWsPqVrUk8OmQa0CFNeRlRU6IFxk9StoxM6QdL&#10;5j10fzfFLLTFZFJL+iZkKR616Av/ICS2OPOei+FDNf0e4KIi66dtyM4QkAwlVv9I7ABJaJHX75H4&#10;MyjHBxvPeKMsDJ1Jj4M4tyMexkMvZG9/oqInIHGxhfqY5zRzhKuUWzesfdrVn+8Z/vA4LX4AAAD/&#10;/wMAUEsDBBQABgAIAAAAIQCeEaoD2wAAAAgBAAAPAAAAZHJzL2Rvd25yZXYueG1sTI9BT4NAEIXv&#10;Jv6HzZh4s4uoqMjSGBLTkwdr43lgRyBlZwm7tNRf7/Skxy9v8t43xXpxgzrQFHrPBm5XCSjixtue&#10;WwO7z7ebJ1AhIlscPJOBEwVYl5cXBebWH/mDDtvYKinhkKOBLsYx1zo0HTkMKz8SS/btJ4dRcGq1&#10;nfAo5W7QaZJk2mHPstDhSFVHzX47OwN7Xf28o/3atYvDTXJK+3lTV8ZcXy2vL6AiLfHvGM76og6l&#10;ONV+ZhvUIJyJeTRwnzyAkjw7c20gfX68A10W+v8D5S8AAAD//wMAUEsBAi0AFAAGAAgAAAAhALaD&#10;OJL+AAAA4QEAABMAAAAAAAAAAAAAAAAAAAAAAFtDb250ZW50X1R5cGVzXS54bWxQSwECLQAUAAYA&#10;CAAAACEAOP0h/9YAAACUAQAACwAAAAAAAAAAAAAAAAAvAQAAX3JlbHMvLnJlbHNQSwECLQAUAAYA&#10;CAAAACEA5P7Ss1YCAADkBAAADgAAAAAAAAAAAAAAAAAuAgAAZHJzL2Uyb0RvYy54bWxQSwECLQAU&#10;AAYACAAAACEAnhGqA9sAAAAIAQAADwAAAAAAAAAAAAAAAACwBAAAZHJzL2Rvd25yZXYueG1sUEsF&#10;BgAAAAAEAAQA8wAAALgFAAAAAA==&#10;" strokecolor="red">
                <v:stroke startarrow="oval" endarrow="open"/>
              </v:shape>
            </w:pict>
          </mc:Fallback>
        </mc:AlternateContent>
      </w:r>
    </w:p>
    <w:p w14:paraId="52DE1811"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noProof/>
        </w:rPr>
        <mc:AlternateContent>
          <mc:Choice Requires="wps">
            <w:drawing>
              <wp:anchor distT="0" distB="0" distL="114300" distR="114300" simplePos="0" relativeHeight="251550208" behindDoc="0" locked="0" layoutInCell="1" allowOverlap="1" wp14:anchorId="5FC2A935" wp14:editId="37B8C693">
                <wp:simplePos x="0" y="0"/>
                <wp:positionH relativeFrom="column">
                  <wp:posOffset>2225040</wp:posOffset>
                </wp:positionH>
                <wp:positionV relativeFrom="paragraph">
                  <wp:posOffset>16510</wp:posOffset>
                </wp:positionV>
                <wp:extent cx="435610" cy="259080"/>
                <wp:effectExtent l="38100" t="38100" r="59690" b="64770"/>
                <wp:wrapNone/>
                <wp:docPr id="3937" name="Přímá spojnice se šipkou 3937"/>
                <wp:cNvGraphicFramePr/>
                <a:graphic xmlns:a="http://schemas.openxmlformats.org/drawingml/2006/main">
                  <a:graphicData uri="http://schemas.microsoft.com/office/word/2010/wordprocessingShape">
                    <wps:wsp>
                      <wps:cNvCnPr/>
                      <wps:spPr>
                        <a:xfrm flipH="1">
                          <a:off x="0" y="0"/>
                          <a:ext cx="435610" cy="25908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BBC86B" id="Přímá spojnice se šipkou 3937" o:spid="_x0000_s1026" type="#_x0000_t32" style="position:absolute;margin-left:175.2pt;margin-top:1.3pt;width:34.3pt;height:20.4pt;flip:x;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ocVAIAANsEAAAOAAAAZHJzL2Uyb0RvYy54bWysVEuOGyEQ3UfKHRD7uP2JJ2PL7VnYcbKI&#10;EiufA2AaukmAQoDd9lGynAPkFKO51xR025PfZqL0AkFT71XVqyoWN0ejyUH4oMCWdDQYUiIsh0rZ&#10;uqRfPm9eXFMSIrMV02BFSU8i0Jvl82eL1s3FGBrQlfAESWyYt66kTYxuXhSBN8KwMAAnLF5K8IZF&#10;PPq6qDxrkd3oYjwcXhUt+Mp54CIE/LvuLuky80spePwgZRCR6JJibDGvPq+7tBbLBZvXnrlG8T4M&#10;9g9RGKYsOr1QrVlkZO/VH1RGcQ8BZBxwMAVIqbjIOWA2o+Fv2XxqmBM5FxQnuItM4f/R8veHrSeq&#10;KulkNnlFiWUGq7S9/373w9zdkuDgq8UQSRDk/la5b7An2RB1a12YI3xlt74/Bbf1SYSj9IZIrdxb&#10;bIksCyZKjln100V1cYyE48+Xk+nVCGvD8Wo8nQ2vc1WKjibROR/iGwGGpE1JQ/RM1U1cgbVYX/Cd&#10;C3Z4FyIGgsAzIIG1JW1JZ9PxFD0w7DCpWcStcZhzsDUlTNfYujz6HGkAraqN0jqBg693K+3JgWH7&#10;bDZD/FLHoItfzJK/NQtNZ5evusbysLcVAti8Eax6bSsSTw71BSSkKS4jKkq0QP9ply0jU/rRknkP&#10;7d9NMQptMZhUh075vIsnLbrEPwqJlc2y52R4n03X/jifKPp5CDIZApKhxOyfiO0hCS3y1D0RfwFl&#10;/2DjBW+Uhb4y6U0Ql3LE46ivhezsz1J0AiQtdlCdcnNmjXCCcun6aU8j+vM5wx/fpOUDAAAA//8D&#10;AFBLAwQUAAYACAAAACEAk6JeUeEAAAAIAQAADwAAAGRycy9kb3ducmV2LnhtbEyPwU7DMBBE70j8&#10;g7VIXCpqtwkVhDhVBYrEAVWQwoGbGy9JIF5HsduGv2c5wW1HM5p9k68n14sjjqHzpGExVyCQam87&#10;ajS87sqrGxAhGrKm94QavjHAujg/y01m/Yle8FjFRnAJhcxoaGMcMilD3aIzYe4HJPY+/OhMZDk2&#10;0o7mxOWul0ulVtKZjvhDawa8b7H+qg5Ow/umqsunajuUqD79LHl8mD2/7bS+vJg2dyAiTvEvDL/4&#10;jA4FM+39gWwQvYbkWqUc1bBcgWA/Xdzytj0fSQqyyOX/AcUPAAAA//8DAFBLAQItABQABgAIAAAA&#10;IQC2gziS/gAAAOEBAAATAAAAAAAAAAAAAAAAAAAAAABbQ29udGVudF9UeXBlc10ueG1sUEsBAi0A&#10;FAAGAAgAAAAhADj9If/WAAAAlAEAAAsAAAAAAAAAAAAAAAAALwEAAF9yZWxzLy5yZWxzUEsBAi0A&#10;FAAGAAgAAAAhANxxOhxUAgAA2wQAAA4AAAAAAAAAAAAAAAAALgIAAGRycy9lMm9Eb2MueG1sUEsB&#10;Ai0AFAAGAAgAAAAhAJOiXlHhAAAACAEAAA8AAAAAAAAAAAAAAAAArgQAAGRycy9kb3ducmV2Lnht&#10;bFBLBQYAAAAABAAEAPMAAAC8BQAAAAA=&#10;" strokecolor="red">
                <v:stroke startarrow="oval" endarrow="open"/>
              </v:shape>
            </w:pict>
          </mc:Fallback>
        </mc:AlternateContent>
      </w:r>
    </w:p>
    <w:p w14:paraId="2D4E1FD1"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9274E06"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63E8FF63"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7C9A768B"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57376" behindDoc="0" locked="0" layoutInCell="1" allowOverlap="1" wp14:anchorId="08023BE0" wp14:editId="46A6B41E">
                <wp:simplePos x="0" y="0"/>
                <wp:positionH relativeFrom="column">
                  <wp:posOffset>426720</wp:posOffset>
                </wp:positionH>
                <wp:positionV relativeFrom="paragraph">
                  <wp:posOffset>88900</wp:posOffset>
                </wp:positionV>
                <wp:extent cx="1592580" cy="798829"/>
                <wp:effectExtent l="0" t="0" r="26670" b="20955"/>
                <wp:wrapNone/>
                <wp:docPr id="23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798829"/>
                        </a:xfrm>
                        <a:prstGeom prst="rect">
                          <a:avLst/>
                        </a:prstGeom>
                        <a:solidFill>
                          <a:schemeClr val="accent2">
                            <a:lumMod val="20000"/>
                            <a:lumOff val="80000"/>
                          </a:schemeClr>
                        </a:solidFill>
                        <a:ln w="9525">
                          <a:solidFill>
                            <a:srgbClr val="000000"/>
                          </a:solidFill>
                          <a:miter lim="800000"/>
                          <a:headEnd/>
                          <a:tailEnd/>
                        </a:ln>
                      </wps:spPr>
                      <wps:txbx>
                        <w:txbxContent>
                          <w:p w14:paraId="14668A35" w14:textId="77777777" w:rsidR="00511D9B" w:rsidRDefault="00511D9B" w:rsidP="00C10416">
                            <w:pPr>
                              <w:spacing w:line="216" w:lineRule="auto"/>
                              <w:ind w:left="-57" w:right="-57"/>
                              <w:rPr>
                                <w:rFonts w:asciiTheme="minorHAnsi" w:hAnsiTheme="minorHAnsi" w:cstheme="minorHAnsi"/>
                                <w:sz w:val="20"/>
                              </w:rPr>
                            </w:pPr>
                            <w:r w:rsidRPr="009D4086">
                              <w:rPr>
                                <w:rFonts w:asciiTheme="minorHAnsi" w:hAnsiTheme="minorHAnsi" w:cstheme="minorHAnsi"/>
                                <w:b/>
                                <w:sz w:val="20"/>
                              </w:rPr>
                              <w:t>Schvalovací postup příkazce</w:t>
                            </w:r>
                            <w:r>
                              <w:rPr>
                                <w:rFonts w:asciiTheme="minorHAnsi" w:hAnsiTheme="minorHAnsi" w:cstheme="minorHAnsi"/>
                                <w:sz w:val="20"/>
                              </w:rPr>
                              <w:t xml:space="preserve"> může z důvodu 3E skončit:</w:t>
                            </w:r>
                            <w:r w:rsidRPr="00C61865">
                              <w:rPr>
                                <w:rFonts w:asciiTheme="minorHAnsi" w:hAnsiTheme="minorHAnsi" w:cstheme="minorHAnsi"/>
                                <w:sz w:val="20"/>
                              </w:rPr>
                              <w:t xml:space="preserve"> </w:t>
                            </w:r>
                          </w:p>
                          <w:p w14:paraId="3CD0C994" w14:textId="77777777" w:rsidR="00511D9B"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w:t>
                            </w:r>
                            <w:r>
                              <w:rPr>
                                <w:rFonts w:asciiTheme="minorHAnsi" w:hAnsiTheme="minorHAnsi" w:cstheme="minorHAnsi"/>
                                <w:sz w:val="20"/>
                              </w:rPr>
                              <w:t>1</w:t>
                            </w:r>
                            <w:r w:rsidRPr="00C61865">
                              <w:rPr>
                                <w:rFonts w:asciiTheme="minorHAnsi" w:hAnsiTheme="minorHAnsi" w:cstheme="minorHAnsi"/>
                                <w:sz w:val="20"/>
                              </w:rPr>
                              <w:t xml:space="preserve">) </w:t>
                            </w:r>
                            <w:r w:rsidRPr="00FE1386">
                              <w:rPr>
                                <w:rFonts w:asciiTheme="minorHAnsi" w:hAnsiTheme="minorHAnsi" w:cstheme="minorHAnsi"/>
                                <w:b/>
                                <w:sz w:val="20"/>
                              </w:rPr>
                              <w:t>vrácení</w:t>
                            </w:r>
                            <w:r>
                              <w:rPr>
                                <w:rFonts w:asciiTheme="minorHAnsi" w:hAnsiTheme="minorHAnsi" w:cstheme="minorHAnsi"/>
                                <w:b/>
                                <w:sz w:val="20"/>
                              </w:rPr>
                              <w:t>m</w:t>
                            </w:r>
                            <w:r w:rsidRPr="00FE1386">
                              <w:rPr>
                                <w:rFonts w:asciiTheme="minorHAnsi" w:hAnsiTheme="minorHAnsi" w:cstheme="minorHAnsi"/>
                                <w:b/>
                                <w:sz w:val="20"/>
                              </w:rPr>
                              <w:t xml:space="preserve"> k</w:t>
                            </w:r>
                            <w:r>
                              <w:rPr>
                                <w:rFonts w:asciiTheme="minorHAnsi" w:hAnsiTheme="minorHAnsi" w:cstheme="minorHAnsi"/>
                                <w:b/>
                                <w:sz w:val="20"/>
                              </w:rPr>
                              <w:t> </w:t>
                            </w:r>
                            <w:r w:rsidRPr="00FE1386">
                              <w:rPr>
                                <w:rFonts w:asciiTheme="minorHAnsi" w:hAnsiTheme="minorHAnsi" w:cstheme="minorHAnsi"/>
                                <w:b/>
                                <w:sz w:val="20"/>
                              </w:rPr>
                              <w:t>dopracování</w:t>
                            </w:r>
                            <w:r w:rsidRPr="00FE1386">
                              <w:rPr>
                                <w:rFonts w:asciiTheme="minorHAnsi" w:hAnsiTheme="minorHAnsi" w:cstheme="minorHAnsi"/>
                                <w:sz w:val="20"/>
                              </w:rPr>
                              <w:t>,</w:t>
                            </w:r>
                          </w:p>
                          <w:p w14:paraId="30D200B1"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 xml:space="preserve">(2) </w:t>
                            </w:r>
                            <w:r w:rsidRPr="00FE1386">
                              <w:rPr>
                                <w:rFonts w:asciiTheme="minorHAnsi" w:hAnsiTheme="minorHAnsi" w:cstheme="minorHAnsi"/>
                                <w:b/>
                                <w:sz w:val="20"/>
                              </w:rPr>
                              <w:t>zastavení</w:t>
                            </w:r>
                            <w:r>
                              <w:rPr>
                                <w:rFonts w:asciiTheme="minorHAnsi" w:hAnsiTheme="minorHAnsi" w:cstheme="minorHAnsi"/>
                                <w:b/>
                                <w:sz w:val="20"/>
                              </w:rPr>
                              <w:t>m</w:t>
                            </w:r>
                            <w:r w:rsidRPr="00FE1386">
                              <w:rPr>
                                <w:rFonts w:asciiTheme="minorHAnsi" w:hAnsiTheme="minorHAnsi" w:cstheme="minorHAnsi"/>
                                <w:b/>
                                <w:sz w:val="20"/>
                              </w:rPr>
                              <w:t xml:space="preserve"> operace</w:t>
                            </w:r>
                            <w:r w:rsidRPr="00C61865">
                              <w:rPr>
                                <w:rFonts w:asciiTheme="minorHAnsi" w:hAnsiTheme="minorHAnsi" w:cstheme="minorHAnsi"/>
                                <w:sz w:val="20"/>
                              </w:rPr>
                              <w:t xml:space="preserve">, </w:t>
                            </w:r>
                          </w:p>
                          <w:p w14:paraId="03715C8C" w14:textId="77777777" w:rsidR="00511D9B" w:rsidRPr="00D54354"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(3)</w:t>
                            </w:r>
                            <w:r>
                              <w:rPr>
                                <w:rFonts w:asciiTheme="minorHAnsi" w:hAnsiTheme="minorHAnsi" w:cstheme="minorHAnsi"/>
                                <w:sz w:val="20"/>
                              </w:rPr>
                              <w:t xml:space="preserve"> </w:t>
                            </w:r>
                            <w:r w:rsidRPr="00C61865">
                              <w:rPr>
                                <w:rFonts w:asciiTheme="minorHAnsi" w:hAnsiTheme="minorHAnsi" w:cstheme="minorHAnsi"/>
                                <w:sz w:val="20"/>
                              </w:rPr>
                              <w:t>schválení</w:t>
                            </w:r>
                            <w:r>
                              <w:rPr>
                                <w:rFonts w:asciiTheme="minorHAnsi" w:hAnsiTheme="minorHAnsi" w:cstheme="minorHAnsi"/>
                                <w:sz w:val="20"/>
                              </w:rPr>
                              <w:t>m (viz dále).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8023BE0" id="_x0000_s1362" type="#_x0000_t202" style="position:absolute;left:0;text-align:left;margin-left:33.6pt;margin-top:7pt;width:125.4pt;height:62.9pt;z-index:25155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0BVAIAAJIEAAAOAAAAZHJzL2Uyb0RvYy54bWysVNuO0zAQfUfiHyy/07ShYduo6WrpUoS0&#10;XKRdPsB1nMbC9hjbbbL80X4HP8bYSUsX3hAvkT1jnzmecyar614rchTOSzAVnU2mlAjDoZZmX9Gv&#10;D9tXC0p8YKZmCoyo6KPw9Hr98sWqs6XIoQVVC0cQxPiysxVtQ7BllnneCs38BKwwmGzAaRZw6/ZZ&#10;7ViH6Fpl+XT6JuvA1dYBF95j9HZI0nXCbxrBw+em8SIQVVHkFtLXpe8ufrP1ipV7x2wr+UiD/QML&#10;zaTBomeoWxYYOTj5F5SW3IGHJkw46AyaRnKR3oCvmU3/eM19y6xIb8HmeHtuk/9/sPzT8Ysjsq5o&#10;/npJiWEaRXoQfYDjzydiQQmSxyZ11pd49t7i6dC/hR7FTg/29g74N08MbFpm9uLGOehawWokOYs3&#10;s4urA46PILvuI9RYix0CJKC+cTp2EHtCEB3FejwLhHwIjyWLZV4sMMUxd7VcLPJlKsHK023rfHgv&#10;QJO4qKhDAyR0drzzIbJh5elILOZByXorlUqbaDqxUY4cGdqFcS5MyNN1ddBId4ij7aajcTCM9hrC&#10;i1MYSyT7RqRU8FkRZUhX0WWRFwn4Wc67/e5cPsINdSLgJU8tA86MkrqiqehIJjb9namTowOTaljj&#10;ZWVGFWLjBwlCv+uT6rNifpJ3B/UjCuNgGBIcaly04H5Q0uGAVNR/PzAnKFEfDIq7nM3ncaLSZl5c&#10;5bhxl5ndZYYZjlAVDZQMy01IU5j6bm/QBFuZ9IluGZiMpNH4qYvjkMbJutynU79/JetfAAAA//8D&#10;AFBLAwQUAAYACAAAACEAWI4m590AAAAJAQAADwAAAGRycy9kb3ducmV2LnhtbExPy07DMBC8I/EP&#10;1iJxQdRpgkoIcaqCxK0SqkvVqxtvk4h4HWK3DX/PcoLbzkOzM+Vycr044xg6TwrmswQEUu1tR42C&#10;j+3bfQ4iREPW9J5QwTcGWFbXV6UprL/QBs86NoJDKBRGQRvjUEgZ6hadCTM/ILF29KMzkeHYSDua&#10;C4e7XqZJspDOdMQfWjPga4v1pz45BVu9Xt/Jd7nb56tjm4av7iXTWqnbm2n1DCLiFP/M8Fufq0PF&#10;nQ7+RDaIXsHiMWUn8w88ifVsnvNxYCJ7ykFWpfy/oPoBAAD//wMAUEsBAi0AFAAGAAgAAAAhALaD&#10;OJL+AAAA4QEAABMAAAAAAAAAAAAAAAAAAAAAAFtDb250ZW50X1R5cGVzXS54bWxQSwECLQAUAAYA&#10;CAAAACEAOP0h/9YAAACUAQAACwAAAAAAAAAAAAAAAAAvAQAAX3JlbHMvLnJlbHNQSwECLQAUAAYA&#10;CAAAACEAg3j9AVQCAACSBAAADgAAAAAAAAAAAAAAAAAuAgAAZHJzL2Uyb0RvYy54bWxQSwECLQAU&#10;AAYACAAAACEAWI4m590AAAAJAQAADwAAAAAAAAAAAAAAAACuBAAAZHJzL2Rvd25yZXYueG1sUEsF&#10;BgAAAAAEAAQA8wAAALgFAAAAAA==&#10;" fillcolor="#fbe4d5 [661]">
                <v:textbox style="mso-fit-shape-to-text:t">
                  <w:txbxContent>
                    <w:p w14:paraId="14668A35" w14:textId="77777777" w:rsidR="00511D9B" w:rsidRDefault="00511D9B" w:rsidP="00C10416">
                      <w:pPr>
                        <w:spacing w:line="216" w:lineRule="auto"/>
                        <w:ind w:left="-57" w:right="-57"/>
                        <w:rPr>
                          <w:rFonts w:asciiTheme="minorHAnsi" w:hAnsiTheme="minorHAnsi" w:cstheme="minorHAnsi"/>
                          <w:sz w:val="20"/>
                        </w:rPr>
                      </w:pPr>
                      <w:r w:rsidRPr="009D4086">
                        <w:rPr>
                          <w:rFonts w:asciiTheme="minorHAnsi" w:hAnsiTheme="minorHAnsi" w:cstheme="minorHAnsi"/>
                          <w:b/>
                          <w:sz w:val="20"/>
                        </w:rPr>
                        <w:t>Schvalovací postup příkazce</w:t>
                      </w:r>
                      <w:r>
                        <w:rPr>
                          <w:rFonts w:asciiTheme="minorHAnsi" w:hAnsiTheme="minorHAnsi" w:cstheme="minorHAnsi"/>
                          <w:sz w:val="20"/>
                        </w:rPr>
                        <w:t xml:space="preserve"> může z důvodu 3E skončit:</w:t>
                      </w:r>
                      <w:r w:rsidRPr="00C61865">
                        <w:rPr>
                          <w:rFonts w:asciiTheme="minorHAnsi" w:hAnsiTheme="minorHAnsi" w:cstheme="minorHAnsi"/>
                          <w:sz w:val="20"/>
                        </w:rPr>
                        <w:t xml:space="preserve"> </w:t>
                      </w:r>
                    </w:p>
                    <w:p w14:paraId="3CD0C994" w14:textId="77777777" w:rsidR="00511D9B"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w:t>
                      </w:r>
                      <w:r>
                        <w:rPr>
                          <w:rFonts w:asciiTheme="minorHAnsi" w:hAnsiTheme="minorHAnsi" w:cstheme="minorHAnsi"/>
                          <w:sz w:val="20"/>
                        </w:rPr>
                        <w:t>1</w:t>
                      </w:r>
                      <w:r w:rsidRPr="00C61865">
                        <w:rPr>
                          <w:rFonts w:asciiTheme="minorHAnsi" w:hAnsiTheme="minorHAnsi" w:cstheme="minorHAnsi"/>
                          <w:sz w:val="20"/>
                        </w:rPr>
                        <w:t xml:space="preserve">) </w:t>
                      </w:r>
                      <w:r w:rsidRPr="00FE1386">
                        <w:rPr>
                          <w:rFonts w:asciiTheme="minorHAnsi" w:hAnsiTheme="minorHAnsi" w:cstheme="minorHAnsi"/>
                          <w:b/>
                          <w:sz w:val="20"/>
                        </w:rPr>
                        <w:t>vrácení</w:t>
                      </w:r>
                      <w:r>
                        <w:rPr>
                          <w:rFonts w:asciiTheme="minorHAnsi" w:hAnsiTheme="minorHAnsi" w:cstheme="minorHAnsi"/>
                          <w:b/>
                          <w:sz w:val="20"/>
                        </w:rPr>
                        <w:t>m</w:t>
                      </w:r>
                      <w:r w:rsidRPr="00FE1386">
                        <w:rPr>
                          <w:rFonts w:asciiTheme="minorHAnsi" w:hAnsiTheme="minorHAnsi" w:cstheme="minorHAnsi"/>
                          <w:b/>
                          <w:sz w:val="20"/>
                        </w:rPr>
                        <w:t xml:space="preserve"> k</w:t>
                      </w:r>
                      <w:r>
                        <w:rPr>
                          <w:rFonts w:asciiTheme="minorHAnsi" w:hAnsiTheme="minorHAnsi" w:cstheme="minorHAnsi"/>
                          <w:b/>
                          <w:sz w:val="20"/>
                        </w:rPr>
                        <w:t> </w:t>
                      </w:r>
                      <w:r w:rsidRPr="00FE1386">
                        <w:rPr>
                          <w:rFonts w:asciiTheme="minorHAnsi" w:hAnsiTheme="minorHAnsi" w:cstheme="minorHAnsi"/>
                          <w:b/>
                          <w:sz w:val="20"/>
                        </w:rPr>
                        <w:t>dopracování</w:t>
                      </w:r>
                      <w:r w:rsidRPr="00FE1386">
                        <w:rPr>
                          <w:rFonts w:asciiTheme="minorHAnsi" w:hAnsiTheme="minorHAnsi" w:cstheme="minorHAnsi"/>
                          <w:sz w:val="20"/>
                        </w:rPr>
                        <w:t>,</w:t>
                      </w:r>
                    </w:p>
                    <w:p w14:paraId="30D200B1"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 xml:space="preserve">(2) </w:t>
                      </w:r>
                      <w:r w:rsidRPr="00FE1386">
                        <w:rPr>
                          <w:rFonts w:asciiTheme="minorHAnsi" w:hAnsiTheme="minorHAnsi" w:cstheme="minorHAnsi"/>
                          <w:b/>
                          <w:sz w:val="20"/>
                        </w:rPr>
                        <w:t>zastavení</w:t>
                      </w:r>
                      <w:r>
                        <w:rPr>
                          <w:rFonts w:asciiTheme="minorHAnsi" w:hAnsiTheme="minorHAnsi" w:cstheme="minorHAnsi"/>
                          <w:b/>
                          <w:sz w:val="20"/>
                        </w:rPr>
                        <w:t>m</w:t>
                      </w:r>
                      <w:r w:rsidRPr="00FE1386">
                        <w:rPr>
                          <w:rFonts w:asciiTheme="minorHAnsi" w:hAnsiTheme="minorHAnsi" w:cstheme="minorHAnsi"/>
                          <w:b/>
                          <w:sz w:val="20"/>
                        </w:rPr>
                        <w:t xml:space="preserve"> operace</w:t>
                      </w:r>
                      <w:r w:rsidRPr="00C61865">
                        <w:rPr>
                          <w:rFonts w:asciiTheme="minorHAnsi" w:hAnsiTheme="minorHAnsi" w:cstheme="minorHAnsi"/>
                          <w:sz w:val="20"/>
                        </w:rPr>
                        <w:t xml:space="preserve">, </w:t>
                      </w:r>
                    </w:p>
                    <w:p w14:paraId="03715C8C" w14:textId="77777777" w:rsidR="00511D9B" w:rsidRPr="00D54354"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(3)</w:t>
                      </w:r>
                      <w:r>
                        <w:rPr>
                          <w:rFonts w:asciiTheme="minorHAnsi" w:hAnsiTheme="minorHAnsi" w:cstheme="minorHAnsi"/>
                          <w:sz w:val="20"/>
                        </w:rPr>
                        <w:t xml:space="preserve"> </w:t>
                      </w:r>
                      <w:r w:rsidRPr="00C61865">
                        <w:rPr>
                          <w:rFonts w:asciiTheme="minorHAnsi" w:hAnsiTheme="minorHAnsi" w:cstheme="minorHAnsi"/>
                          <w:sz w:val="20"/>
                        </w:rPr>
                        <w:t>schválení</w:t>
                      </w:r>
                      <w:r>
                        <w:rPr>
                          <w:rFonts w:asciiTheme="minorHAnsi" w:hAnsiTheme="minorHAnsi" w:cstheme="minorHAnsi"/>
                          <w:sz w:val="20"/>
                        </w:rPr>
                        <w:t>m (viz dále).</w:t>
                      </w:r>
                    </w:p>
                  </w:txbxContent>
                </v:textbox>
              </v:shape>
            </w:pict>
          </mc:Fallback>
        </mc:AlternateContent>
      </w:r>
    </w:p>
    <w:p w14:paraId="4CC29CD2"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6106F489"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59424" behindDoc="0" locked="0" layoutInCell="1" allowOverlap="1" wp14:anchorId="4B4CDBEC" wp14:editId="0458BE04">
                <wp:simplePos x="0" y="0"/>
                <wp:positionH relativeFrom="column">
                  <wp:posOffset>264160</wp:posOffset>
                </wp:positionH>
                <wp:positionV relativeFrom="paragraph">
                  <wp:posOffset>71755</wp:posOffset>
                </wp:positionV>
                <wp:extent cx="162560" cy="1391920"/>
                <wp:effectExtent l="76200" t="38100" r="66040" b="55880"/>
                <wp:wrapNone/>
                <wp:docPr id="241" name="Přímá spojnice se šipkou 241"/>
                <wp:cNvGraphicFramePr/>
                <a:graphic xmlns:a="http://schemas.openxmlformats.org/drawingml/2006/main">
                  <a:graphicData uri="http://schemas.microsoft.com/office/word/2010/wordprocessingShape">
                    <wps:wsp>
                      <wps:cNvCnPr/>
                      <wps:spPr>
                        <a:xfrm flipH="1">
                          <a:off x="0" y="0"/>
                          <a:ext cx="162560" cy="139192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0A2EA4" id="Přímá spojnice se šipkou 241" o:spid="_x0000_s1026" type="#_x0000_t32" style="position:absolute;margin-left:20.8pt;margin-top:5.65pt;width:12.8pt;height:109.6pt;flip:x;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TwUwIAANoEAAAOAAAAZHJzL2Uyb0RvYy54bWysVEuOGyEQ3UfKHRD7uN1ObMWW27Ow42QR&#10;JVY+B8A0dJMAhQC77aNkOQfIKUZzrxS03ZPfZqL0AkFTr6reqyqWNyejyVH4oMBWtByNKRGWQ61s&#10;U9HPn7bPXlISIrM102BFRc8i0JvV0yfLzi3EBFrQtfAEndiw6FxF2xjdoigCb4VhYQROWLyU4A2L&#10;ePRNUXvWoXeji8l4PCs68LXzwEUI+HfTX9JV9i+l4PG9lEFEoiuKucW8+rzu01qslmzReOZaxS9p&#10;sH/IwjBlMejgasMiIwev/nBlFPcQQMYRB1OAlIqLzAHZlOPf2HxsmROZC4oT3CBT+H9u+bvjzhNV&#10;V3TyoqTEMoNF2t1/u/tu7m5JcPDFYoYkCHJ/q9xXOJBkh6p1LiwQvLY7fzkFt/NJgpP0hkit3Bts&#10;iCwK0iSnrPl50FycIuH4s5xNpjOsDMer8vm8nE9yUYreT/LnfIivBRiSNhUN0TPVtHEN1mJ5wfcx&#10;2PFtiJgJAq+ABNaWdBWdTydTDMGwwaRmEbfGIeVgG0qYbrBzefQ51QBa1VuldQIH3+zX2pMjw+7Z&#10;bsf4JeoY4hezFG/DQtvb5au+rzwcbI0AtmgFq1/ZmsSzQ30BHdKUlxE1JVpg/LTLlpEp/WDJvIfu&#10;76aYhbaYTCpEL33exbMWPfEPQmJhs+6ZDL+w6bsfxxNVv85AdoaAZCiR/SOxF0hCizx0j8QPoBwf&#10;bBzwRlm4VCY9CWIoRzzlNsTEZW9/laIXIGmxh/qcuzNrhAOUS3cZ9jShP58z/OFJWv0AAAD//wMA&#10;UEsDBBQABgAIAAAAIQAmVVTl4AAAAAgBAAAPAAAAZHJzL2Rvd25yZXYueG1sTI9BT4NAEIXvJv6H&#10;zZh4aewuoNQgS9NoSDwYo7QevG1hBJSdJey2xX/veNLjm/fy3jf5eraDOOLke0caoqUCgVS7pqdW&#10;w25bXt2C8MFQYwZHqOEbPayL87PcZI070Sseq9AKLiGfGQ1dCGMmpa87tMYv3YjE3oebrAksp1Y2&#10;kzlxuR1krFQqremJFzoz4n2H9Vd1sBreN1VdPlXPY4nq0y2Sx4fFy9tW68uLeXMHIuAc/sLwi8/o&#10;UDDT3h2o8WLQcB2lnOR7lIBgP13FIPYa4kTdgCxy+f+B4gcAAP//AwBQSwECLQAUAAYACAAAACEA&#10;toM4kv4AAADhAQAAEwAAAAAAAAAAAAAAAAAAAAAAW0NvbnRlbnRfVHlwZXNdLnhtbFBLAQItABQA&#10;BgAIAAAAIQA4/SH/1gAAAJQBAAALAAAAAAAAAAAAAAAAAC8BAABfcmVscy8ucmVsc1BLAQItABQA&#10;BgAIAAAAIQABBnTwUwIAANoEAAAOAAAAAAAAAAAAAAAAAC4CAABkcnMvZTJvRG9jLnhtbFBLAQIt&#10;ABQABgAIAAAAIQAmVVTl4AAAAAgBAAAPAAAAAAAAAAAAAAAAAK0EAABkcnMvZG93bnJldi54bWxQ&#10;SwUGAAAAAAQABADzAAAAugUAAAAA&#10;" strokecolor="red">
                <v:stroke startarrow="oval" endarrow="open"/>
              </v:shape>
            </w:pict>
          </mc:Fallback>
        </mc:AlternateContent>
      </w:r>
    </w:p>
    <w:p w14:paraId="62E01A36"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4A5A7FC7"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0CE4E04B"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437D5F68"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3BC20188"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noProof/>
        </w:rPr>
        <mc:AlternateContent>
          <mc:Choice Requires="wpg">
            <w:drawing>
              <wp:anchor distT="0" distB="0" distL="114300" distR="114300" simplePos="0" relativeHeight="251547136" behindDoc="0" locked="0" layoutInCell="1" allowOverlap="1" wp14:anchorId="65A9C924" wp14:editId="5B7E4E22">
                <wp:simplePos x="0" y="0"/>
                <wp:positionH relativeFrom="column">
                  <wp:posOffset>3446585</wp:posOffset>
                </wp:positionH>
                <wp:positionV relativeFrom="paragraph">
                  <wp:posOffset>120943</wp:posOffset>
                </wp:positionV>
                <wp:extent cx="2134888" cy="937894"/>
                <wp:effectExtent l="38100" t="0" r="17780" b="15240"/>
                <wp:wrapNone/>
                <wp:docPr id="3938" name="Skupina 3938"/>
                <wp:cNvGraphicFramePr/>
                <a:graphic xmlns:a="http://schemas.openxmlformats.org/drawingml/2006/main">
                  <a:graphicData uri="http://schemas.microsoft.com/office/word/2010/wordprocessingGroup">
                    <wpg:wgp>
                      <wpg:cNvGrpSpPr/>
                      <wpg:grpSpPr>
                        <a:xfrm>
                          <a:off x="0" y="0"/>
                          <a:ext cx="2134888" cy="937894"/>
                          <a:chOff x="291314" y="-162198"/>
                          <a:chExt cx="2134889" cy="937894"/>
                        </a:xfrm>
                      </wpg:grpSpPr>
                      <wps:wsp>
                        <wps:cNvPr id="3940" name="Textové pole 2"/>
                        <wps:cNvSpPr txBox="1">
                          <a:spLocks noChangeArrowheads="1"/>
                        </wps:cNvSpPr>
                        <wps:spPr bwMode="auto">
                          <a:xfrm>
                            <a:off x="1610229" y="-162198"/>
                            <a:ext cx="815974" cy="937894"/>
                          </a:xfrm>
                          <a:prstGeom prst="rect">
                            <a:avLst/>
                          </a:prstGeom>
                          <a:solidFill>
                            <a:schemeClr val="accent2">
                              <a:lumMod val="20000"/>
                              <a:lumOff val="80000"/>
                            </a:schemeClr>
                          </a:solidFill>
                          <a:ln w="9525">
                            <a:solidFill>
                              <a:srgbClr val="000000"/>
                            </a:solidFill>
                            <a:miter lim="800000"/>
                            <a:headEnd/>
                            <a:tailEnd/>
                          </a:ln>
                        </wps:spPr>
                        <wps:txbx>
                          <w:txbxContent>
                            <w:p w14:paraId="7F7BC262" w14:textId="5E0FB599" w:rsidR="00511D9B" w:rsidRPr="00D54354"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 xml:space="preserve">První fáze zahrnuje schvalovací postup pro </w:t>
                              </w:r>
                              <w:r w:rsidRPr="00210ACB">
                                <w:rPr>
                                  <w:rFonts w:asciiTheme="minorHAnsi" w:hAnsiTheme="minorHAnsi" w:cstheme="minorHAnsi"/>
                                  <w:b/>
                                  <w:sz w:val="20"/>
                                </w:rPr>
                                <w:t>prověření kritérií 3E</w:t>
                              </w:r>
                              <w:r>
                                <w:rPr>
                                  <w:rFonts w:asciiTheme="minorHAnsi" w:hAnsiTheme="minorHAnsi" w:cstheme="minorHAnsi"/>
                                  <w:sz w:val="20"/>
                                </w:rPr>
                                <w:t>.</w:t>
                              </w:r>
                            </w:p>
                          </w:txbxContent>
                        </wps:txbx>
                        <wps:bodyPr rot="0" vert="horz" wrap="square" lIns="91440" tIns="45720" rIns="91440" bIns="45720" anchor="t" anchorCtr="0">
                          <a:spAutoFit/>
                        </wps:bodyPr>
                      </wps:wsp>
                      <wps:wsp>
                        <wps:cNvPr id="3942" name="Přímá spojnice se šipkou 3942"/>
                        <wps:cNvCnPr/>
                        <wps:spPr>
                          <a:xfrm flipH="1">
                            <a:off x="291314" y="306432"/>
                            <a:ext cx="1318945" cy="50065"/>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A9C924" id="Skupina 3938" o:spid="_x0000_s1363" style="position:absolute;left:0;text-align:left;margin-left:271.4pt;margin-top:9.5pt;width:168.1pt;height:73.85pt;z-index:251547136;mso-position-horizontal-relative:text;mso-position-vertical-relative:text;mso-width-relative:margin;mso-height-relative:margin" coordorigin="2913,-1621" coordsize="21348,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xw3wMAADQJAAAOAAAAZHJzL2Uyb0RvYy54bWy8Vt1u2zYUvh+wdyB438iS7cQWohSdU2cD&#10;ujVYugegKUriQpEcSVt232SXvdxFnyLoe+2QlBTbazG0A3Yj8+/88Hzf+ejrl/tWoB0zlitZ4PRi&#10;ghGTVJVc1gX+7d36xQIj64gsiVCSFfjALH558/13153OWaYaJUpmEDiRNu90gRvndJ4kljasJfZC&#10;aSZhs1KmJQ6mpk5KQzrw3ookm0wuk06ZUhtFmbWwehs38U3wX1WMurdVZZlDosCQmwtfE74b/01u&#10;rkleG6IbTvs0yDdk0RIuIejo6pY4graG/8NVy6lRVlXugqo2UVXFKQt3gNukk7Pb3Bm11eEudd7V&#10;eiwTlPasTt/slv6yuzeIlwWeLqeAlSQtoPTwuNVcEhTWoESdrnM4eWf0g743/UIdZ/7W+8q0/hfu&#10;g/ahuIexuGzvEIXFLJ3OFgsIQWFvOb1aLGex+rQBiLxZtkyn6Qwj2H+RXmbpcjEceH3iY3nuIxky&#10;SHyiY16dBk7Z57LZ/1a2h4ZoFtCwvhhj2WbAq1i2d3BXtXv6C2klGMp89j4HOOzLhtz+BwXXTANR&#10;rH6j6KNFUq0aImv2yhjVNYyUkGXqLeEuo2n0Y72TTfezKgEisnUqODqrfXqZTrIMSnRexQGHRTpf&#10;XkGVT2EYS0hybay7Y6pFflBgAz0UApHdG+t8Ys9HPOZWCV6uuRBh4vuWrYRBOwIdRyhl0mXBXGxb&#10;yDyuQ+dO+t6DZQ9/OL4YliFEUADvKQQ8CSIk6oBC82weHJ/sWVNvxvDeXYzjHR7n2XIHsiN4W+AQ&#10;tE/G1/+1LOGSJHeEizgGYyF7QDwGEQ233+xD46Tz+YD0RpUHwMioqDOgizBolHmPUQcaU2D7x5YY&#10;hpH4SQLOy3TmyePCZDa/ymBijnc2xztEUnBVYIdRHK5cELJQd/0K+LDmAR9PnJhJnzQ0Qcz5/+iG&#10;bOiG+09/Pn1snz4gq9XvEnQOWYY+feD6UW1BWWbH/bGSvazYPFY4djSqBNc/Di3Tq8uRTEwnl7Np&#10;8EPygd+gISAt80jwOTwRAR3AcGiUM35bZwivG7dSUgLVlYn9+QW2H3EPUY9oJQgAQlsNEmplDdiI&#10;Gl5C6sy/kHO9/hI5fYK3xDaxKQJvoxDCc9CTsycqcgcNWqCge4BhBW5ZCdxiEN+PjmncnyReZT5/&#10;9PMst+4gmGeYkL+yCvgOAjaJN6N9q8XXFN4kYO/wpgZnYOAtK9CGr7TtTbw1C4/4V9qPRiG+km60&#10;b7lUPTKnUuX2UXUh33h+aPhYgOeeGqQ5NFV4cOBpDiLV/43wb//xPDh6/rNz8zcAAAD//wMAUEsD&#10;BBQABgAIAAAAIQA9OUpg4AAAAAoBAAAPAAAAZHJzL2Rvd25yZXYueG1sTI9BT8JAEIXvJv6HzZh4&#10;k21RCtZuCSHqiZgIJoTb0B3ahu5u013a8u8dTnqbmffy5nvZcjSN6KnztbMK4kkEgmzhdG1LBT+7&#10;j6cFCB/QamycJQVX8rDM7+8yTLUb7Df121AKDrE+RQVVCG0qpS8qMugnriXL2sl1BgOvXSl1hwOH&#10;m0ZOoyiRBmvLHypsaV1Rcd5ejILPAYfVc/zeb86n9fWwm33tNzEp9fgwrt5ABBrDnxlu+IwOOTMd&#10;3cVqLxoFs5cpowcWXrkTGxbz23DkQ5LMQeaZ/F8h/wUAAP//AwBQSwECLQAUAAYACAAAACEAtoM4&#10;kv4AAADhAQAAEwAAAAAAAAAAAAAAAAAAAAAAW0NvbnRlbnRfVHlwZXNdLnhtbFBLAQItABQABgAI&#10;AAAAIQA4/SH/1gAAAJQBAAALAAAAAAAAAAAAAAAAAC8BAABfcmVscy8ucmVsc1BLAQItABQABgAI&#10;AAAAIQDdVvxw3wMAADQJAAAOAAAAAAAAAAAAAAAAAC4CAABkcnMvZTJvRG9jLnhtbFBLAQItABQA&#10;BgAIAAAAIQA9OUpg4AAAAAoBAAAPAAAAAAAAAAAAAAAAADkGAABkcnMvZG93bnJldi54bWxQSwUG&#10;AAAAAAQABADzAAAARgcAAAAA&#10;">
                <v:shape id="_x0000_s1364" type="#_x0000_t202" style="position:absolute;left:16102;top:-1621;width:8160;height:9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slxAAAAN0AAAAPAAAAZHJzL2Rvd25yZXYueG1sRE/Pa8Iw&#10;FL4L+x/CG+wiM52KaNdU3GCwgyBGh9dH82zKmpeuybT775eD4PHj+12sB9eKC/Wh8azgZZKBIK68&#10;abhWcDx8PC9BhIhssPVMCv4owLp8GBWYG3/lPV10rEUK4ZCjAhtjl0sZKksOw8R3xIk7+95hTLCv&#10;penxmsJdK6dZtpAOG04NFjt6t1R961+n4KC327Hcya/TcnO20/DTvM20Vurpcdi8gog0xLv45v40&#10;Cmaredqf3qQnIMt/AAAA//8DAFBLAQItABQABgAIAAAAIQDb4fbL7gAAAIUBAAATAAAAAAAAAAAA&#10;AAAAAAAAAABbQ29udGVudF9UeXBlc10ueG1sUEsBAi0AFAAGAAgAAAAhAFr0LFu/AAAAFQEAAAsA&#10;AAAAAAAAAAAAAAAAHwEAAF9yZWxzLy5yZWxzUEsBAi0AFAAGAAgAAAAhAKsRWyXEAAAA3QAAAA8A&#10;AAAAAAAAAAAAAAAABwIAAGRycy9kb3ducmV2LnhtbFBLBQYAAAAAAwADALcAAAD4AgAAAAA=&#10;" fillcolor="#fbe4d5 [661]">
                  <v:textbox style="mso-fit-shape-to-text:t">
                    <w:txbxContent>
                      <w:p w14:paraId="7F7BC262" w14:textId="5E0FB599" w:rsidR="00511D9B" w:rsidRPr="00D54354"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 xml:space="preserve">První fáze zahrnuje schvalovací postup pro </w:t>
                        </w:r>
                        <w:r w:rsidRPr="00210ACB">
                          <w:rPr>
                            <w:rFonts w:asciiTheme="minorHAnsi" w:hAnsiTheme="minorHAnsi" w:cstheme="minorHAnsi"/>
                            <w:b/>
                            <w:sz w:val="20"/>
                          </w:rPr>
                          <w:t>prověření kritérií 3E</w:t>
                        </w:r>
                        <w:r>
                          <w:rPr>
                            <w:rFonts w:asciiTheme="minorHAnsi" w:hAnsiTheme="minorHAnsi" w:cstheme="minorHAnsi"/>
                            <w:sz w:val="20"/>
                          </w:rPr>
                          <w:t>.</w:t>
                        </w:r>
                      </w:p>
                    </w:txbxContent>
                  </v:textbox>
                </v:shape>
                <v:shape id="Přímá spojnice se šipkou 3942" o:spid="_x0000_s1365" type="#_x0000_t32" style="position:absolute;left:2913;top:3064;width:13189;height:5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e4sxgAAAN0AAAAPAAAAZHJzL2Rvd25yZXYueG1sRI/RasJA&#10;FETfC/7DcoW+SN1oi63RVUQQJC+22g+4Zq/JavZuyG5N7Ne7BaGPw8ycYebLzlbiSo03jhWMhgkI&#10;4txpw4WC78Pm5QOED8gaK8ek4EYelove0xxT7Vr+ous+FCJC2KeooAyhTqX0eUkW/dDVxNE7ucZi&#10;iLIppG6wjXBbyXGSTKRFw3GhxJrWJeWX/Y9V8GvWo0Hent7P7qg/bz7LeGcypZ773WoGIlAX/sOP&#10;9lYreJ2+jeHvTXwCcnEHAAD//wMAUEsBAi0AFAAGAAgAAAAhANvh9svuAAAAhQEAABMAAAAAAAAA&#10;AAAAAAAAAAAAAFtDb250ZW50X1R5cGVzXS54bWxQSwECLQAUAAYACAAAACEAWvQsW78AAAAVAQAA&#10;CwAAAAAAAAAAAAAAAAAfAQAAX3JlbHMvLnJlbHNQSwECLQAUAAYACAAAACEArk3uLMYAAADdAAAA&#10;DwAAAAAAAAAAAAAAAAAHAgAAZHJzL2Rvd25yZXYueG1sUEsFBgAAAAADAAMAtwAAAPoCAAAAAA==&#10;" strokecolor="red">
                  <v:stroke startarrow="oval" endarrow="open"/>
                </v:shape>
              </v:group>
            </w:pict>
          </mc:Fallback>
        </mc:AlternateContent>
      </w:r>
    </w:p>
    <w:p w14:paraId="1CC195B3"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4998BEF5"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03E2890F"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4B0C5F0"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CA65896"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04A14884"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3A679126"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32382431"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ED126EC"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8CEEB46"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524B778"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0C9F44AC"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551A384D"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69EEB631"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05D055F0"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w:lastRenderedPageBreak/>
        <mc:AlternateContent>
          <mc:Choice Requires="wps">
            <w:drawing>
              <wp:anchor distT="0" distB="0" distL="114300" distR="114300" simplePos="0" relativeHeight="251553280" behindDoc="0" locked="0" layoutInCell="1" allowOverlap="1" wp14:anchorId="4CC8F13A" wp14:editId="17884E6A">
                <wp:simplePos x="0" y="0"/>
                <wp:positionH relativeFrom="column">
                  <wp:posOffset>4259580</wp:posOffset>
                </wp:positionH>
                <wp:positionV relativeFrom="paragraph">
                  <wp:posOffset>224155</wp:posOffset>
                </wp:positionV>
                <wp:extent cx="1638300" cy="947420"/>
                <wp:effectExtent l="0" t="0" r="19050" b="24130"/>
                <wp:wrapNone/>
                <wp:docPr id="23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947420"/>
                        </a:xfrm>
                        <a:prstGeom prst="rect">
                          <a:avLst/>
                        </a:prstGeom>
                        <a:solidFill>
                          <a:schemeClr val="accent2">
                            <a:lumMod val="20000"/>
                            <a:lumOff val="80000"/>
                          </a:schemeClr>
                        </a:solidFill>
                        <a:ln w="9525">
                          <a:solidFill>
                            <a:srgbClr val="000000"/>
                          </a:solidFill>
                          <a:miter lim="800000"/>
                          <a:headEnd/>
                          <a:tailEnd/>
                        </a:ln>
                      </wps:spPr>
                      <wps:txbx>
                        <w:txbxContent>
                          <w:p w14:paraId="45E9E660"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Prověření hospodárnosti,</w:t>
                            </w:r>
                          </w:p>
                          <w:p w14:paraId="3937DAD3"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 xml:space="preserve">efektivnosti a účelnosti (respektive </w:t>
                            </w:r>
                            <w:r w:rsidRPr="00210ACB">
                              <w:rPr>
                                <w:rFonts w:asciiTheme="minorHAnsi" w:hAnsiTheme="minorHAnsi" w:cstheme="minorHAnsi"/>
                                <w:sz w:val="20"/>
                              </w:rPr>
                              <w:t>dosažení optimálního vztahu mezi hospodár</w:t>
                            </w:r>
                            <w:r>
                              <w:rPr>
                                <w:rFonts w:asciiTheme="minorHAnsi" w:hAnsiTheme="minorHAnsi" w:cstheme="minorHAnsi"/>
                                <w:sz w:val="20"/>
                              </w:rPr>
                              <w:t>ností, účelností a efektivností).</w:t>
                            </w:r>
                          </w:p>
                          <w:p w14:paraId="2ED2A459" w14:textId="77777777" w:rsidR="00511D9B" w:rsidRPr="00D54354" w:rsidRDefault="00511D9B" w:rsidP="00C10416">
                            <w:pPr>
                              <w:spacing w:line="216" w:lineRule="auto"/>
                              <w:ind w:left="-57" w:right="-57"/>
                              <w:rPr>
                                <w:rFonts w:asciiTheme="minorHAnsi" w:hAnsiTheme="minorHAnsi" w:cstheme="minorHAns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8F13A" id="_x0000_s1366" type="#_x0000_t202" style="position:absolute;left:0;text-align:left;margin-left:335.4pt;margin-top:17.65pt;width:129pt;height:74.6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vpVAIAAJIEAAAOAAAAZHJzL2Uyb0RvYy54bWysVNtu2zAMfR+wfxD0vjhxLk2NOEWXrsOA&#10;7gK0+wBZlmNhkqhJSuzsj/od+7FRcpKl29uwF0MixcNDHtKrm14rshfOSzAlnYzGlAjDoZZmW9Kv&#10;T/dvlpT4wEzNFBhR0oPw9Gb9+tWqs4XIoQVVC0cQxPiisyVtQ7BFlnneCs38CKww6GzAaRbw6rZZ&#10;7ViH6Fpl+Xi8yDpwtXXAhfdovRucdJ3wm0bw8LlpvAhElRS5hfR16VvFb7ZesWLrmG0lP9Jg/8BC&#10;M2kw6RnqjgVGdk7+BaUld+ChCSMOOoOmkVykGrCayfiPah5bZkWqBZvj7blN/v/B8k/7L47IuqT5&#10;NKfEMI0iPYk+wP7nM7GgBMljkzrrC3z7aPF16N9Cj2Kngr19AP7NEwOblpmtuHUOulawGklOYmR2&#10;ETrg+AhSdR+hxlxsFyAB9Y3TsYPYE4LoKNbhLBDyITymXEyX0zG6OPquZ1ezPCmYseIUbZ0P7wVo&#10;Eg8ldTgACZ3tH3yIbFhxehKTeVCyvpdKpUscOrFRjuwZjgvjXJiQp3C100h3sOPYIYU0OGjG8RrM&#10;y5MZU6TxjUgp4YskypAOuc/zeQJ+4fNuW53TR7ghTwS85KllwJ1RUpc0JT2SiU1/Z+pELDCphjMG&#10;K3NUITZ+kCD0VZ9Un8wXJ3krqA8ojINhSXCp8dCC+0FJhwtSUv99x5ygRH0wKO71ZDaLG5Uus/kV&#10;SkHcpae69DDDEaqkgZLhuAlpC2PfDdziEDQy6ROnZWByJI2Dn7p4XNK4WZf39Or3r2T9CwAA//8D&#10;AFBLAwQUAAYACAAAACEADWzNY98AAAAKAQAADwAAAGRycy9kb3ducmV2LnhtbEyPy07DMBBF95X6&#10;D9YgsWsdmrRJQ5yqQrBAiEULH+DEQxzhRxS7afh7hhVdzszRnXOrw2wNm3AMvXcCHtYJMHStV73r&#10;BHx+vKwKYCFKp6TxDgX8YIBDvVxUslT+6k44nWPHKMSFUgrQMQ4l56HVaGVY+wEd3b78aGWkcey4&#10;GuWVwq3hmyTZcSt7Rx+0HPBJY/t9vlgBmTk1uX6bzLPufZ5mr/v3KVdC3N/Nx0dgEef4D8OfPqlD&#10;TU6NvzgVmBGwyxNSjwLSbQqMgP2moEVDZJFtgdcVv61Q/wIAAP//AwBQSwECLQAUAAYACAAAACEA&#10;toM4kv4AAADhAQAAEwAAAAAAAAAAAAAAAAAAAAAAW0NvbnRlbnRfVHlwZXNdLnhtbFBLAQItABQA&#10;BgAIAAAAIQA4/SH/1gAAAJQBAAALAAAAAAAAAAAAAAAAAC8BAABfcmVscy8ucmVsc1BLAQItABQA&#10;BgAIAAAAIQCpl6vpVAIAAJIEAAAOAAAAAAAAAAAAAAAAAC4CAABkcnMvZTJvRG9jLnhtbFBLAQIt&#10;ABQABgAIAAAAIQANbM1j3wAAAAoBAAAPAAAAAAAAAAAAAAAAAK4EAABkcnMvZG93bnJldi54bWxQ&#10;SwUGAAAAAAQABADzAAAAugUAAAAA&#10;" fillcolor="#fbe4d5 [661]">
                <v:textbox>
                  <w:txbxContent>
                    <w:p w14:paraId="45E9E660"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Prověření hospodárnosti,</w:t>
                      </w:r>
                    </w:p>
                    <w:p w14:paraId="3937DAD3"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 xml:space="preserve">efektivnosti a účelnosti (respektive </w:t>
                      </w:r>
                      <w:r w:rsidRPr="00210ACB">
                        <w:rPr>
                          <w:rFonts w:asciiTheme="minorHAnsi" w:hAnsiTheme="minorHAnsi" w:cstheme="minorHAnsi"/>
                          <w:sz w:val="20"/>
                        </w:rPr>
                        <w:t>dosažení optimálního vztahu mezi hospodár</w:t>
                      </w:r>
                      <w:r>
                        <w:rPr>
                          <w:rFonts w:asciiTheme="minorHAnsi" w:hAnsiTheme="minorHAnsi" w:cstheme="minorHAnsi"/>
                          <w:sz w:val="20"/>
                        </w:rPr>
                        <w:t>ností, účelností a efektivností).</w:t>
                      </w:r>
                    </w:p>
                    <w:p w14:paraId="2ED2A459" w14:textId="77777777" w:rsidR="00511D9B" w:rsidRPr="00D54354" w:rsidRDefault="00511D9B" w:rsidP="00C10416">
                      <w:pPr>
                        <w:spacing w:line="216" w:lineRule="auto"/>
                        <w:ind w:left="-57" w:right="-57"/>
                        <w:rPr>
                          <w:rFonts w:asciiTheme="minorHAnsi" w:hAnsiTheme="minorHAnsi" w:cstheme="minorHAnsi"/>
                          <w:sz w:val="20"/>
                        </w:rPr>
                      </w:pPr>
                    </w:p>
                  </w:txbxContent>
                </v:textbox>
              </v:shape>
            </w:pict>
          </mc:Fallback>
        </mc:AlternateContent>
      </w:r>
    </w:p>
    <w:p w14:paraId="247D8D63"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54304" behindDoc="0" locked="0" layoutInCell="1" allowOverlap="1" wp14:anchorId="17C69098" wp14:editId="6334E6BD">
                <wp:simplePos x="0" y="0"/>
                <wp:positionH relativeFrom="column">
                  <wp:posOffset>3459479</wp:posOffset>
                </wp:positionH>
                <wp:positionV relativeFrom="paragraph">
                  <wp:posOffset>178435</wp:posOffset>
                </wp:positionV>
                <wp:extent cx="797560" cy="355600"/>
                <wp:effectExtent l="38100" t="38100" r="59690" b="63500"/>
                <wp:wrapNone/>
                <wp:docPr id="233" name="Přímá spojnice se šipkou 233"/>
                <wp:cNvGraphicFramePr/>
                <a:graphic xmlns:a="http://schemas.openxmlformats.org/drawingml/2006/main">
                  <a:graphicData uri="http://schemas.microsoft.com/office/word/2010/wordprocessingShape">
                    <wps:wsp>
                      <wps:cNvCnPr/>
                      <wps:spPr>
                        <a:xfrm flipH="1" flipV="1">
                          <a:off x="0" y="0"/>
                          <a:ext cx="797560" cy="35560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V relativeFrom="margin">
                  <wp14:pctHeight>0</wp14:pctHeight>
                </wp14:sizeRelV>
              </wp:anchor>
            </w:drawing>
          </mc:Choice>
          <mc:Fallback>
            <w:pict>
              <v:shape w14:anchorId="4105A55B" id="Přímá spojnice se šipkou 233" o:spid="_x0000_s1026" type="#_x0000_t32" style="position:absolute;margin-left:272.4pt;margin-top:14.05pt;width:62.8pt;height:28pt;flip:x y;z-index:25155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HMVAIAAOMEAAAOAAAAZHJzL2Uyb0RvYy54bWysVEtu2zAQ3RfoHQjua/kDJ41gOQu7bhdF&#10;a6SfPU2REluSQ5CMZR+lyxygpwhyrw4p2elvk6JaCENx3nzem9Hi+mA02QsfFNiKTkZjSoTlUCvb&#10;VPTTx82Ll5SEyGzNNFhR0aMI9Hr5/Nmic6WYQgu6Fp5gEBvKzlW0jdGVRRF4KwwLI3DC4qUEb1jE&#10;o2+K2rMOoxtdTMfji6IDXzsPXISAX9f9JV3m+FIKHt9LGUQkuqJYW8xvn9+79C6WC1Y2nrlW8aEM&#10;9g9VGKYsJj2HWrPIyK1Xf4QyinsIIOOIgylASsVF7gG7mYx/6+ZDy5zIvSA5wZ1pCv8vLH+333qi&#10;6opOZzNKLDMo0vbh2/13c39HgoMvFiskQZCHO+W+wi1Jfsha50KJ4JXd+uEU3NYnCg7SGyK1cm9w&#10;IGi2Picr3WHD5JDZP57ZF4dIOH68vLqcX6BGHK9mczSzOkUfMIGdD/G1AEOSUdEQPVNNG1dgLeoM&#10;vk/B9m9DxJIQeAIksLakq+jVfDrHDAwnTWoW0TQOew+2oYTpBkeYR58rDaBVvVFaJ3DwzW6lPdkz&#10;HKPNZoxP4gBT/OKW8q1ZaHu/fNUPmIdbWyOAla1g9Stbk3h0SDRgQJrqMqKmRAvMn6zsGZnSj57M&#10;e+j+7opVaIvFJEV6DbIVj1r0jd8IiQpn2nMzfOimXwPcUyT9tAw5GAKSo8Tun4gdIAkt8vY9EX8G&#10;5fxg4xlvlIVBmfRvEGc54mEyaCF7/xMVPQGJix3UxzymmSPcpCzdsPVpVX8+Z/jjv2n5AwAA//8D&#10;AFBLAwQUAAYACAAAACEAT4ZL590AAAAJAQAADwAAAGRycy9kb3ducmV2LnhtbEyPQU+EMBSE7yb+&#10;h+aZeHNbCK4EeWwMidmTB9eN5wd9AlnaElp2WX+99aTHyUxmvil3qxnFmWc/OIuQbBQItq3Tg+0Q&#10;jh+vDzkIH8hqGp1lhCt72FW3NyUV2l3sO58PoROxxPqCEPoQpkJK3/ZsyG/cxDZ6X242FKKcO6ln&#10;usRyM8pUqa00NNi40NPEdc/t6bAYhJOsv99Ifx671dBeXdNh2Tc14v3d+vIMIvAa/sLwix/RoYpM&#10;jVus9mJEeMyyiB4Q0jwBEQPbJ5WBaBDyLAFZlfL/g+oHAAD//wMAUEsBAi0AFAAGAAgAAAAhALaD&#10;OJL+AAAA4QEAABMAAAAAAAAAAAAAAAAAAAAAAFtDb250ZW50X1R5cGVzXS54bWxQSwECLQAUAAYA&#10;CAAAACEAOP0h/9YAAACUAQAACwAAAAAAAAAAAAAAAAAvAQAAX3JlbHMvLnJlbHNQSwECLQAUAAYA&#10;CAAAACEAxHJRzFQCAADjBAAADgAAAAAAAAAAAAAAAAAuAgAAZHJzL2Uyb0RvYy54bWxQSwECLQAU&#10;AAYACAAAACEAT4ZL590AAAAJAQAADwAAAAAAAAAAAAAAAACuBAAAZHJzL2Rvd25yZXYueG1sUEsF&#10;BgAAAAAEAAQA8wAAALgFAAAAAA==&#10;" strokecolor="red">
                <v:stroke startarrow="oval" endarrow="open"/>
              </v:shape>
            </w:pict>
          </mc:Fallback>
        </mc:AlternateContent>
      </w:r>
    </w:p>
    <w:p w14:paraId="7FA5E774"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56352" behindDoc="0" locked="0" layoutInCell="1" allowOverlap="1" wp14:anchorId="70AE05B1" wp14:editId="7F84BD45">
                <wp:simplePos x="0" y="0"/>
                <wp:positionH relativeFrom="column">
                  <wp:posOffset>3495039</wp:posOffset>
                </wp:positionH>
                <wp:positionV relativeFrom="paragraph">
                  <wp:posOffset>255270</wp:posOffset>
                </wp:positionV>
                <wp:extent cx="762000" cy="70485"/>
                <wp:effectExtent l="38100" t="38100" r="57150" b="100965"/>
                <wp:wrapNone/>
                <wp:docPr id="237" name="Přímá spojnice se šipkou 237"/>
                <wp:cNvGraphicFramePr/>
                <a:graphic xmlns:a="http://schemas.openxmlformats.org/drawingml/2006/main">
                  <a:graphicData uri="http://schemas.microsoft.com/office/word/2010/wordprocessingShape">
                    <wps:wsp>
                      <wps:cNvCnPr/>
                      <wps:spPr>
                        <a:xfrm flipH="1">
                          <a:off x="0" y="0"/>
                          <a:ext cx="762000" cy="70485"/>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133E2" id="Přímá spojnice se šipkou 237" o:spid="_x0000_s1026" type="#_x0000_t32" style="position:absolute;margin-left:275.2pt;margin-top:20.1pt;width:60pt;height:5.55pt;flip:x;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TwIAANgEAAAOAAAAZHJzL2Uyb0RvYy54bWysVEuOEzEQ3SNxB8t70kkgkyFKZxYJgQWC&#10;iM8BHLfdbbBdlu2kk6OwnANwitHci7K708NvM4iN5U+9V1Wvqry8ORlNjsIHBbakk9GYEmE5VMrW&#10;Jf38afvsmpIQma2YBitKehaB3qyePlm2biGm0ICuhCdIYsOidSVtYnSLogi8EYaFEThh8VGCNyzi&#10;0ddF5VmL7EYX0/H4qmjBV84DFyHg7aZ7pKvML6Xg8b2UQUSiS4qxxbz6vO7TWqyWbFF75hrF+zDY&#10;P0RhmLLodKDasMjIwas/qIziHgLIOOJgCpBScZFzwGwm49+y+dgwJ3IuKE5wg0zh/9Hyd8edJ6oq&#10;6fT5nBLLDBZpd//t7ru5uyXBwReLEZIgyP2tcl/hQJIdqta6sEDw2u58fwpu55MEJ+kNkVq5N9gQ&#10;WRRMk5yy5udBc3GKhOPl/ArLiJXh+DQfv7ieJfKiY0lszof4WoAhaVPSED1TdRPXYC0WF3zngR3f&#10;htgBL4AE1pa0JX05m87QAcP2kppF3BqHCQdbU8J0jX3Lo8+BBtCq2iqtEzj4er/WnhwZ9s52i1Hm&#10;dsHYfjFL/jYsNJ1dfuq6ysPBVhgTWzSCVa9sReLZobqAhDTFZURFiRboP+2yZWRKP1gy76H9uylG&#10;oS0KlcrQCZ938axFl/gHIbGsWfWcDO+z6XofhxM1v0xAJkNAMpSY/SOxPSShRR65R+IHUPYPNg54&#10;oyz0lUkfghjKEU+Tvk9kZ3+RohMgabGH6px7M2uE45Pbqh/1NJ8/nzP84UNa/QAAAP//AwBQSwME&#10;FAAGAAgAAAAhAPtRnyDgAAAACQEAAA8AAABkcnMvZG93bnJldi54bWxMj01PwzAMhu9I/IfISFym&#10;LdknqDSdJlAlDmiCbhy4ZY1pC41TNdlW/j3eCY72++j143Q9uFacsA+NJw3TiQKBVHrbUKVhv8vH&#10;9yBCNGRN6wk1/GCAdXZ9lZrE+jO94amIleASConRUMfYJVKGskZnwsR3SJx9+t6ZyGNfSdubM5e7&#10;Vs6UWklnGuILtenwscbyuzg6DR+bosxfim2Xo/ryo/nz0+j1faf17c2weQARcYh/MFz0WR0ydjr4&#10;I9kgWg3LpVowqmGhZiAYWN1dFgdOpnOQWSr/f5D9AgAA//8DAFBLAQItABQABgAIAAAAIQC2gziS&#10;/gAAAOEBAAATAAAAAAAAAAAAAAAAAAAAAABbQ29udGVudF9UeXBlc10ueG1sUEsBAi0AFAAGAAgA&#10;AAAhADj9If/WAAAAlAEAAAsAAAAAAAAAAAAAAAAALwEAAF9yZWxzLy5yZWxzUEsBAi0AFAAGAAgA&#10;AAAhAH/7FDdPAgAA2AQAAA4AAAAAAAAAAAAAAAAALgIAAGRycy9lMm9Eb2MueG1sUEsBAi0AFAAG&#10;AAgAAAAhAPtRnyDgAAAACQEAAA8AAAAAAAAAAAAAAAAAqQQAAGRycy9kb3ducmV2LnhtbFBLBQYA&#10;AAAABAAEAPMAAAC2BQAAAAA=&#10;" strokecolor="red">
                <v:stroke startarrow="oval" endarrow="open"/>
              </v:shape>
            </w:pict>
          </mc:Fallback>
        </mc:AlternateContent>
      </w:r>
      <w:r>
        <w:rPr>
          <w:rFonts w:asciiTheme="minorHAnsi" w:eastAsia="Calibri" w:hAnsiTheme="minorHAnsi" w:cstheme="minorHAnsi"/>
          <w:noProof/>
          <w:sz w:val="24"/>
          <w:szCs w:val="24"/>
        </w:rPr>
        <mc:AlternateContent>
          <mc:Choice Requires="wps">
            <w:drawing>
              <wp:anchor distT="0" distB="0" distL="114300" distR="114300" simplePos="0" relativeHeight="251555328" behindDoc="0" locked="0" layoutInCell="1" allowOverlap="1" wp14:anchorId="02E3CAED" wp14:editId="225DED64">
                <wp:simplePos x="0" y="0"/>
                <wp:positionH relativeFrom="column">
                  <wp:posOffset>3376245</wp:posOffset>
                </wp:positionH>
                <wp:positionV relativeFrom="paragraph">
                  <wp:posOffset>250385</wp:posOffset>
                </wp:positionV>
                <wp:extent cx="878987" cy="495300"/>
                <wp:effectExtent l="38100" t="38100" r="54610" b="57150"/>
                <wp:wrapNone/>
                <wp:docPr id="236" name="Přímá spojnice se šipkou 236"/>
                <wp:cNvGraphicFramePr/>
                <a:graphic xmlns:a="http://schemas.openxmlformats.org/drawingml/2006/main">
                  <a:graphicData uri="http://schemas.microsoft.com/office/word/2010/wordprocessingShape">
                    <wps:wsp>
                      <wps:cNvCnPr/>
                      <wps:spPr>
                        <a:xfrm flipH="1">
                          <a:off x="0" y="0"/>
                          <a:ext cx="878987" cy="49530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807F12" id="Přímá spojnice se šipkou 236" o:spid="_x0000_s1026" type="#_x0000_t32" style="position:absolute;margin-left:265.85pt;margin-top:19.7pt;width:69.2pt;height:39pt;flip:x;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A1UwIAANkEAAAOAAAAZHJzL2Uyb0RvYy54bWysVEuOGyEQ3UfKHRD7uG1PPGNbbs/CjpNF&#10;lFj5HADT0E0CFALsto+S5RwgpxjNvVLQbU9+m4nSCwRNvap6r6pY3B6NJgfhgwJb0tFgSImwHCpl&#10;65J+/rR5MaUkRGYrpsGKkp5EoLfL588WrZuLMTSgK+EJOrFh3rqSNjG6eVEE3gjDwgCcsHgpwRsW&#10;8ejrovKsRe9GF+Ph8LpowVfOAxch4N91d0mX2b+Ugsf3UgYRiS4p5hbz6vO6S2uxXLB57ZlrFO/T&#10;YP+QhWHKYtCLqzWLjOy9+sOVUdxDABkHHEwBUiouMgdkMxr+xuZjw5zIXFCc4C4yhf/nlr87bD1R&#10;VUnHV9eUWGawSNuHb/ffzf0dCQ6+WMyQBEEe7pT7CnuS7FC11oU5gld26/tTcFufJDhKb4jUyr3B&#10;hsiiIE1yzJqfLpqLYyQcf05vprPpDSUcr17OJlfDXJOic5PcOR/iawGGpE1JQ/RM1U1cgbVYXfBd&#10;CHZ4GyImgsAzIIG1JW1JZ5PxBCMw7C+pWcStccg42JoSpmtsXB59zjSAVtVGaZ3Awde7lfbkwLB5&#10;Npshfok5hvjFLMVbs9B0dvmqaysPe1shgM0bwapXtiLx5FBeQIc05WVERYkWGD/tsmVkSj9aMu+h&#10;/bspZqEtJpPq0Cmfd/GkRUf8g5BY1yx7JsN7Nl3z43TiOJxHIDtDQDKUyP6J2B6S0CLP3BPxF1CO&#10;DzZe8EZZ6CuTXgRxKUc8jvpayM7+LEUnQNJiB9UpN2fWCOcnl66f9TSgP58z/PFFWv4AAAD//wMA&#10;UEsDBBQABgAIAAAAIQAmr9ae4gAAAAoBAAAPAAAAZHJzL2Rvd25yZXYueG1sTI9BT4NAEIXvJv6H&#10;zZh4aewuUosiS9NoSDwYo7Q9eNvCCCg7S9hti//e8aTHyfvy3jfZarK9OOLoO0caorkCgVS5uqNG&#10;w3ZTXN2C8MFQbXpHqOEbPazy87PMpLU70Rsey9AILiGfGg1tCEMqpa9atMbP3YDE2YcbrQl8jo2s&#10;R3PictvLa6WW0pqOeKE1Az60WH2VB6vhfV1WxXP5MhSoPt0sfnqcve42Wl9eTOt7EAGn8AfDrz6r&#10;Q85Oe3eg2otew00cJYxqiO8WIBhYJioCsWcyShYg80z+fyH/AQAA//8DAFBLAQItABQABgAIAAAA&#10;IQC2gziS/gAAAOEBAAATAAAAAAAAAAAAAAAAAAAAAABbQ29udGVudF9UeXBlc10ueG1sUEsBAi0A&#10;FAAGAAgAAAAhADj9If/WAAAAlAEAAAsAAAAAAAAAAAAAAAAALwEAAF9yZWxzLy5yZWxzUEsBAi0A&#10;FAAGAAgAAAAhAJw0ADVTAgAA2QQAAA4AAAAAAAAAAAAAAAAALgIAAGRycy9lMm9Eb2MueG1sUEsB&#10;Ai0AFAAGAAgAAAAhACav1p7iAAAACgEAAA8AAAAAAAAAAAAAAAAArQQAAGRycy9kb3ducmV2Lnht&#10;bFBLBQYAAAAABAAEAPMAAAC8BQAAAAA=&#10;" strokecolor="red">
                <v:stroke startarrow="oval" endarrow="open"/>
              </v:shape>
            </w:pict>
          </mc:Fallback>
        </mc:AlternateContent>
      </w:r>
    </w:p>
    <w:p w14:paraId="1AAD3AD7"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02B6FA97"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60448" behindDoc="0" locked="0" layoutInCell="1" allowOverlap="1" wp14:anchorId="4A3F946A" wp14:editId="0868C968">
                <wp:simplePos x="0" y="0"/>
                <wp:positionH relativeFrom="column">
                  <wp:posOffset>4259580</wp:posOffset>
                </wp:positionH>
                <wp:positionV relativeFrom="paragraph">
                  <wp:posOffset>106045</wp:posOffset>
                </wp:positionV>
                <wp:extent cx="1638300" cy="798195"/>
                <wp:effectExtent l="0" t="0" r="19050" b="20955"/>
                <wp:wrapNone/>
                <wp:docPr id="2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798195"/>
                        </a:xfrm>
                        <a:prstGeom prst="rect">
                          <a:avLst/>
                        </a:prstGeom>
                        <a:solidFill>
                          <a:schemeClr val="accent2">
                            <a:lumMod val="20000"/>
                            <a:lumOff val="80000"/>
                          </a:schemeClr>
                        </a:solidFill>
                        <a:ln w="9525">
                          <a:solidFill>
                            <a:srgbClr val="000000"/>
                          </a:solidFill>
                          <a:miter lim="800000"/>
                          <a:headEnd/>
                          <a:tailEnd/>
                        </a:ln>
                      </wps:spPr>
                      <wps:txbx>
                        <w:txbxContent>
                          <w:p w14:paraId="788F84C4" w14:textId="77777777" w:rsidR="00511D9B" w:rsidRDefault="00511D9B" w:rsidP="00C10416">
                            <w:pPr>
                              <w:spacing w:line="216" w:lineRule="auto"/>
                              <w:ind w:left="-57" w:right="-57"/>
                              <w:rPr>
                                <w:rFonts w:asciiTheme="minorHAnsi" w:hAnsiTheme="minorHAnsi" w:cstheme="minorHAnsi"/>
                                <w:sz w:val="20"/>
                              </w:rPr>
                            </w:pPr>
                            <w:r w:rsidRPr="009D4086">
                              <w:rPr>
                                <w:rFonts w:asciiTheme="minorHAnsi" w:hAnsiTheme="minorHAnsi" w:cstheme="minorHAnsi"/>
                                <w:b/>
                                <w:sz w:val="20"/>
                              </w:rPr>
                              <w:t>Schvalovací postup příkazce</w:t>
                            </w:r>
                            <w:r>
                              <w:rPr>
                                <w:rFonts w:asciiTheme="minorHAnsi" w:hAnsiTheme="minorHAnsi" w:cstheme="minorHAnsi"/>
                                <w:sz w:val="20"/>
                              </w:rPr>
                              <w:t xml:space="preserve"> může z důvodu 3E skončit:</w:t>
                            </w:r>
                          </w:p>
                          <w:p w14:paraId="34E54F6F" w14:textId="77777777" w:rsidR="00511D9B"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w:t>
                            </w:r>
                            <w:r>
                              <w:rPr>
                                <w:rFonts w:asciiTheme="minorHAnsi" w:hAnsiTheme="minorHAnsi" w:cstheme="minorHAnsi"/>
                                <w:sz w:val="20"/>
                              </w:rPr>
                              <w:t>1</w:t>
                            </w:r>
                            <w:r w:rsidRPr="00C61865">
                              <w:rPr>
                                <w:rFonts w:asciiTheme="minorHAnsi" w:hAnsiTheme="minorHAnsi" w:cstheme="minorHAnsi"/>
                                <w:sz w:val="20"/>
                              </w:rPr>
                              <w:t>) vrácení</w:t>
                            </w:r>
                            <w:r>
                              <w:rPr>
                                <w:rFonts w:asciiTheme="minorHAnsi" w:hAnsiTheme="minorHAnsi" w:cstheme="minorHAnsi"/>
                                <w:sz w:val="20"/>
                              </w:rPr>
                              <w:t>m</w:t>
                            </w:r>
                            <w:r w:rsidRPr="00C61865">
                              <w:rPr>
                                <w:rFonts w:asciiTheme="minorHAnsi" w:hAnsiTheme="minorHAnsi" w:cstheme="minorHAnsi"/>
                                <w:sz w:val="20"/>
                              </w:rPr>
                              <w:t xml:space="preserve"> k dopracování</w:t>
                            </w:r>
                          </w:p>
                          <w:p w14:paraId="5C253575"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(2) z</w:t>
                            </w:r>
                            <w:r w:rsidRPr="00C61865">
                              <w:rPr>
                                <w:rFonts w:asciiTheme="minorHAnsi" w:hAnsiTheme="minorHAnsi" w:cstheme="minorHAnsi"/>
                                <w:sz w:val="20"/>
                              </w:rPr>
                              <w:t>astavení</w:t>
                            </w:r>
                            <w:r>
                              <w:rPr>
                                <w:rFonts w:asciiTheme="minorHAnsi" w:hAnsiTheme="minorHAnsi" w:cstheme="minorHAnsi"/>
                                <w:sz w:val="20"/>
                              </w:rPr>
                              <w:t>m</w:t>
                            </w:r>
                            <w:r w:rsidRPr="00C61865">
                              <w:rPr>
                                <w:rFonts w:asciiTheme="minorHAnsi" w:hAnsiTheme="minorHAnsi" w:cstheme="minorHAnsi"/>
                                <w:sz w:val="20"/>
                              </w:rPr>
                              <w:t xml:space="preserve"> operace, </w:t>
                            </w:r>
                          </w:p>
                          <w:p w14:paraId="1A80A512" w14:textId="77777777" w:rsidR="00511D9B" w:rsidRPr="00D54354"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(3)</w:t>
                            </w:r>
                            <w:r>
                              <w:rPr>
                                <w:rFonts w:asciiTheme="minorHAnsi" w:hAnsiTheme="minorHAnsi" w:cstheme="minorHAnsi"/>
                                <w:sz w:val="20"/>
                              </w:rPr>
                              <w:t xml:space="preserve"> </w:t>
                            </w:r>
                            <w:r w:rsidRPr="00FE1386">
                              <w:rPr>
                                <w:rFonts w:asciiTheme="minorHAnsi" w:hAnsiTheme="minorHAnsi" w:cstheme="minorHAnsi"/>
                                <w:b/>
                                <w:sz w:val="20"/>
                              </w:rPr>
                              <w:t>schválením</w:t>
                            </w:r>
                            <w:r>
                              <w:rPr>
                                <w:rFonts w:asciiTheme="minorHAnsi" w:hAnsiTheme="minorHAnsi" w:cstheme="minorHAnsi"/>
                                <w:sz w:val="20"/>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A3F946A" id="_x0000_s1367" type="#_x0000_t202" style="position:absolute;left:0;text-align:left;margin-left:335.4pt;margin-top:8.35pt;width:129pt;height:62.85pt;z-index:25156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rkVQIAAJIEAAAOAAAAZHJzL2Uyb0RvYy54bWysVFtu2zAQ/C/QOxD8r2UrdmILloPUqYsC&#10;6QNIegCKoiyiJJclaUvujXKOXqxLynad9q/oj0DukjPDnV0tb3utyF44L8GUdDIaUyIMh1qabUm/&#10;Pm3ezCnxgZmaKTCipAfh6e3q9atlZwuRQwuqFo4giPFFZ0vahmCLLPO8FZr5EVhhMNmA0yzg1m2z&#10;2rEO0bXK8vH4OuvA1dYBF95j9H5I0lXCbxrBw+em8SIQVVLUFtLXpW8Vv9lqyYqtY7aV/CiD/YMK&#10;zaRB0jPUPQuM7Jz8C0pL7sBDE0YcdAZNI7lIb8DXTMZ/vOaxZVakt2BxvD2Xyf8/WP5p/8URWZc0&#10;n+aUGKbRpCfRB9j/fCYWlCB5LFJnfYFnHy2eDv1b6NHs9GBvH4B/88TAumVmK+6cg64VrEaRk3gz&#10;u7g64PgIUnUfoUYutguQgPrG6VhBrAlBdDTrcDYI9RAeKa+v5ldjTHHM3Szmk8UsUbDidNs6H94L&#10;0CQuSuqwARI62z/4ENWw4nQkknlQst5IpdImNp1YK0f2DNuFcS5MyNN1tdMod4hj26GE1DgYxvYa&#10;wvNTGClS+0akRPiCRBnSlXQxy2cJ+EXOu211po9wA08EvNSpZcCZUVKXNJEexcSivzN1EhaYVMMa&#10;LytzdCEWfrAg9FWfXJ/Mbk72VlAf0BgHw5DgUOOiBfeDkg4HpKT++445QYn6YNDcxWQ6jROVNtPZ&#10;TY4bd5mpLjPMcIQqaaBkWK5DmsJUd3uHTbCRyZ/YLYOSo2hs/FTF45DGybrcp1O/fyWrXwAAAP//&#10;AwBQSwMEFAAGAAgAAAAhAEeOasTfAAAACgEAAA8AAABkcnMvZG93bnJldi54bWxMj8FOwzAQRO9I&#10;/IO1SFwQdQhVmoY4VUHiVgk1BfXqxts4Il6H2G3D37Oc4Lgzo9k35WpyvTjjGDpPCh5mCQikxpuO&#10;WgXvu9f7HESImozuPaGCbwywqq6vSl0Yf6EtnuvYCi6hUGgFNsahkDI0Fp0OMz8gsXf0o9ORz7GV&#10;ZtQXLne9TJMkk053xB+sHvDFYvNZn5yCXb3Z3Mk3+bHP10ebhq/u+bGulbq9mdZPICJO8S8Mv/iM&#10;DhUzHfyJTBC9gmyRMHpkI1uA4MAyzVk4sDBP5yCrUv6fUP0AAAD//wMAUEsBAi0AFAAGAAgAAAAh&#10;ALaDOJL+AAAA4QEAABMAAAAAAAAAAAAAAAAAAAAAAFtDb250ZW50X1R5cGVzXS54bWxQSwECLQAU&#10;AAYACAAAACEAOP0h/9YAAACUAQAACwAAAAAAAAAAAAAAAAAvAQAAX3JlbHMvLnJlbHNQSwECLQAU&#10;AAYACAAAACEARSY65FUCAACSBAAADgAAAAAAAAAAAAAAAAAuAgAAZHJzL2Uyb0RvYy54bWxQSwEC&#10;LQAUAAYACAAAACEAR45qxN8AAAAKAQAADwAAAAAAAAAAAAAAAACvBAAAZHJzL2Rvd25yZXYueG1s&#10;UEsFBgAAAAAEAAQA8wAAALsFAAAAAA==&#10;" fillcolor="#fbe4d5 [661]">
                <v:textbox style="mso-fit-shape-to-text:t">
                  <w:txbxContent>
                    <w:p w14:paraId="788F84C4" w14:textId="77777777" w:rsidR="00511D9B" w:rsidRDefault="00511D9B" w:rsidP="00C10416">
                      <w:pPr>
                        <w:spacing w:line="216" w:lineRule="auto"/>
                        <w:ind w:left="-57" w:right="-57"/>
                        <w:rPr>
                          <w:rFonts w:asciiTheme="minorHAnsi" w:hAnsiTheme="minorHAnsi" w:cstheme="minorHAnsi"/>
                          <w:sz w:val="20"/>
                        </w:rPr>
                      </w:pPr>
                      <w:r w:rsidRPr="009D4086">
                        <w:rPr>
                          <w:rFonts w:asciiTheme="minorHAnsi" w:hAnsiTheme="minorHAnsi" w:cstheme="minorHAnsi"/>
                          <w:b/>
                          <w:sz w:val="20"/>
                        </w:rPr>
                        <w:t>Schvalovací postup příkazce</w:t>
                      </w:r>
                      <w:r>
                        <w:rPr>
                          <w:rFonts w:asciiTheme="minorHAnsi" w:hAnsiTheme="minorHAnsi" w:cstheme="minorHAnsi"/>
                          <w:sz w:val="20"/>
                        </w:rPr>
                        <w:t xml:space="preserve"> může z důvodu 3E skončit:</w:t>
                      </w:r>
                    </w:p>
                    <w:p w14:paraId="34E54F6F" w14:textId="77777777" w:rsidR="00511D9B"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w:t>
                      </w:r>
                      <w:r>
                        <w:rPr>
                          <w:rFonts w:asciiTheme="minorHAnsi" w:hAnsiTheme="minorHAnsi" w:cstheme="minorHAnsi"/>
                          <w:sz w:val="20"/>
                        </w:rPr>
                        <w:t>1</w:t>
                      </w:r>
                      <w:r w:rsidRPr="00C61865">
                        <w:rPr>
                          <w:rFonts w:asciiTheme="minorHAnsi" w:hAnsiTheme="minorHAnsi" w:cstheme="minorHAnsi"/>
                          <w:sz w:val="20"/>
                        </w:rPr>
                        <w:t>) vrácení</w:t>
                      </w:r>
                      <w:r>
                        <w:rPr>
                          <w:rFonts w:asciiTheme="minorHAnsi" w:hAnsiTheme="minorHAnsi" w:cstheme="minorHAnsi"/>
                          <w:sz w:val="20"/>
                        </w:rPr>
                        <w:t>m</w:t>
                      </w:r>
                      <w:r w:rsidRPr="00C61865">
                        <w:rPr>
                          <w:rFonts w:asciiTheme="minorHAnsi" w:hAnsiTheme="minorHAnsi" w:cstheme="minorHAnsi"/>
                          <w:sz w:val="20"/>
                        </w:rPr>
                        <w:t xml:space="preserve"> k dopracování</w:t>
                      </w:r>
                    </w:p>
                    <w:p w14:paraId="5C253575"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(2) z</w:t>
                      </w:r>
                      <w:r w:rsidRPr="00C61865">
                        <w:rPr>
                          <w:rFonts w:asciiTheme="minorHAnsi" w:hAnsiTheme="minorHAnsi" w:cstheme="minorHAnsi"/>
                          <w:sz w:val="20"/>
                        </w:rPr>
                        <w:t>astavení</w:t>
                      </w:r>
                      <w:r>
                        <w:rPr>
                          <w:rFonts w:asciiTheme="minorHAnsi" w:hAnsiTheme="minorHAnsi" w:cstheme="minorHAnsi"/>
                          <w:sz w:val="20"/>
                        </w:rPr>
                        <w:t>m</w:t>
                      </w:r>
                      <w:r w:rsidRPr="00C61865">
                        <w:rPr>
                          <w:rFonts w:asciiTheme="minorHAnsi" w:hAnsiTheme="minorHAnsi" w:cstheme="minorHAnsi"/>
                          <w:sz w:val="20"/>
                        </w:rPr>
                        <w:t xml:space="preserve"> operace, </w:t>
                      </w:r>
                    </w:p>
                    <w:p w14:paraId="1A80A512" w14:textId="77777777" w:rsidR="00511D9B" w:rsidRPr="00D54354"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(3)</w:t>
                      </w:r>
                      <w:r>
                        <w:rPr>
                          <w:rFonts w:asciiTheme="minorHAnsi" w:hAnsiTheme="minorHAnsi" w:cstheme="minorHAnsi"/>
                          <w:sz w:val="20"/>
                        </w:rPr>
                        <w:t xml:space="preserve"> </w:t>
                      </w:r>
                      <w:r w:rsidRPr="00FE1386">
                        <w:rPr>
                          <w:rFonts w:asciiTheme="minorHAnsi" w:hAnsiTheme="minorHAnsi" w:cstheme="minorHAnsi"/>
                          <w:b/>
                          <w:sz w:val="20"/>
                        </w:rPr>
                        <w:t>schválením</w:t>
                      </w:r>
                      <w:r>
                        <w:rPr>
                          <w:rFonts w:asciiTheme="minorHAnsi" w:hAnsiTheme="minorHAnsi" w:cstheme="minorHAnsi"/>
                          <w:sz w:val="20"/>
                        </w:rPr>
                        <w:t>.</w:t>
                      </w:r>
                    </w:p>
                  </w:txbxContent>
                </v:textbox>
              </v:shape>
            </w:pict>
          </mc:Fallback>
        </mc:AlternateContent>
      </w:r>
    </w:p>
    <w:p w14:paraId="40B813F9"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70E31C3C"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61472" behindDoc="0" locked="0" layoutInCell="1" allowOverlap="1" wp14:anchorId="5FC731D5" wp14:editId="37035779">
                <wp:simplePos x="0" y="0"/>
                <wp:positionH relativeFrom="column">
                  <wp:posOffset>3408680</wp:posOffset>
                </wp:positionH>
                <wp:positionV relativeFrom="paragraph">
                  <wp:posOffset>132080</wp:posOffset>
                </wp:positionV>
                <wp:extent cx="853440" cy="93980"/>
                <wp:effectExtent l="38100" t="76200" r="60960" b="58420"/>
                <wp:wrapNone/>
                <wp:docPr id="243" name="Přímá spojnice se šipkou 243"/>
                <wp:cNvGraphicFramePr/>
                <a:graphic xmlns:a="http://schemas.openxmlformats.org/drawingml/2006/main">
                  <a:graphicData uri="http://schemas.microsoft.com/office/word/2010/wordprocessingShape">
                    <wps:wsp>
                      <wps:cNvCnPr/>
                      <wps:spPr>
                        <a:xfrm flipH="1" flipV="1">
                          <a:off x="0" y="0"/>
                          <a:ext cx="853440" cy="9398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2A8CB2" id="Přímá spojnice se šipkou 243" o:spid="_x0000_s1026" type="#_x0000_t32" style="position:absolute;margin-left:268.4pt;margin-top:10.4pt;width:67.2pt;height:7.4pt;flip:x y;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l+VAIAAOIEAAAOAAAAZHJzL2Uyb0RvYy54bWysVEtu2zAQ3RfoHQjua/lbJIblLOy6XRSt&#10;kX72NEVKbEkOQdKWfZQuc4CeIsi9OqRkp79NimohDMV583lvRoubo9HkIHxQYEs6GgwpEZZDpWxd&#10;0k8fNy+uKAmR2YppsKKkJxHozfL5s0Xr5mIMDehKeIJBbJi3rqRNjG5eFIE3wrAwACcsXkrwhkU8&#10;+rqoPGsxutHFeDh8WbTgK+eBixDw67q7pMscX0rB43spg4hElxRri/nt83uX3sVywea1Z65RvC+D&#10;/UMVhimLSS+h1iwysvfqj1BGcQ8BZBxwMAVIqbjIPWA3o+Fv3XxomBO5FyQnuAtN4f+F5e8OW09U&#10;VdLxdEKJZQZF2j58u/9u7u9IcPDFYoUkCPJwp9xX2JPkh6y1LswRvLJb35+C2/pEwVF6Q6RW7g0O&#10;BM3W52SlO2yYHDP7pwv74hgJx49Xs8l0ihpxvLqeXF9lcYouXsI6H+JrAYYko6QheqbqJq7AWpQZ&#10;fJeBHd6GiBUh8AxIYG1Ji2Fn4xkmYDhoUrOIpnHYerA1JUzXOME8+lxoAK2qjdI6gYOvdyvtyYHh&#10;FG02Q3wSBZjiF7eUb81C0/nlq26+POxthQA2bwSrXtmKxJNDngED0lSXERUlWmD+ZGXPyJR+9GTe&#10;Q/t3V6xCWywmCdJJkK140qJr/FZIFDiznpvhfTfdFuCaIufnXcjBEJAcJXb/RGwPSWiRl++J+Aso&#10;5wcbL3ijLPTKpF+DuMgRj6NeC9n5n6noCEhc7KA65SnNHOEiZen6pU+b+vM5wx9/TcsfAAAA//8D&#10;AFBLAwQUAAYACAAAACEAqUc0Kt4AAAAJAQAADwAAAGRycy9kb3ducmV2LnhtbEyPQUvDQBCF74L/&#10;YRnBm900pVFiJkUC0pMHa/E8yY5JaHY3ZDdt6q93POlpeMzjve8Vu8UO6sxT6L1DWK8SUOwab3rX&#10;Ihw/Xh+eQIVIztDgHSNcOcCuvL0pKDf+4t75fIitkhAXckLoYhxzrUPTsaWw8iM7+X35yVIUObXa&#10;THSRcDvoNEkybal30tDRyFXHzekwW4STrr7fyHwe28XSPrmm/byvK8T7u+XlGVTkJf6Z4Rdf0KEU&#10;ptrPzgQ1IGw3maBHhDSRK4bscZ2CqhE22wx0Wej/C8ofAAAA//8DAFBLAQItABQABgAIAAAAIQC2&#10;gziS/gAAAOEBAAATAAAAAAAAAAAAAAAAAAAAAABbQ29udGVudF9UeXBlc10ueG1sUEsBAi0AFAAG&#10;AAgAAAAhADj9If/WAAAAlAEAAAsAAAAAAAAAAAAAAAAALwEAAF9yZWxzLy5yZWxzUEsBAi0AFAAG&#10;AAgAAAAhAA1TOX5UAgAA4gQAAA4AAAAAAAAAAAAAAAAALgIAAGRycy9lMm9Eb2MueG1sUEsBAi0A&#10;FAAGAAgAAAAhAKlHNCreAAAACQEAAA8AAAAAAAAAAAAAAAAArgQAAGRycy9kb3ducmV2LnhtbFBL&#10;BQYAAAAABAAEAPMAAAC5BQAAAAA=&#10;" strokecolor="red">
                <v:stroke startarrow="oval" endarrow="open"/>
              </v:shape>
            </w:pict>
          </mc:Fallback>
        </mc:AlternateContent>
      </w:r>
    </w:p>
    <w:p w14:paraId="53BF2667"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673119F4"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61BD8BFE"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3FB06DC2"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6E6F8730"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47A222DD"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32205DD0"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64544" behindDoc="0" locked="0" layoutInCell="1" allowOverlap="1" wp14:anchorId="720975ED" wp14:editId="163F9BBF">
                <wp:simplePos x="0" y="0"/>
                <wp:positionH relativeFrom="column">
                  <wp:posOffset>4287520</wp:posOffset>
                </wp:positionH>
                <wp:positionV relativeFrom="paragraph">
                  <wp:posOffset>218440</wp:posOffset>
                </wp:positionV>
                <wp:extent cx="279400" cy="1016000"/>
                <wp:effectExtent l="38100" t="38100" r="63500" b="50800"/>
                <wp:wrapNone/>
                <wp:docPr id="246" name="Přímá spojnice se šipkou 246"/>
                <wp:cNvGraphicFramePr/>
                <a:graphic xmlns:a="http://schemas.openxmlformats.org/drawingml/2006/main">
                  <a:graphicData uri="http://schemas.microsoft.com/office/word/2010/wordprocessingShape">
                    <wps:wsp>
                      <wps:cNvCnPr/>
                      <wps:spPr>
                        <a:xfrm flipV="1">
                          <a:off x="0" y="0"/>
                          <a:ext cx="279400" cy="101600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9DB987" id="Přímá spojnice se šipkou 246" o:spid="_x0000_s1026" type="#_x0000_t32" style="position:absolute;margin-left:337.6pt;margin-top:17.2pt;width:22pt;height:80pt;flip:y;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h0TgIAANoEAAAOAAAAZHJzL2Uyb0RvYy54bWysVEtu2zAQ3RfoHQjua8lGkjaC5Szsupui&#10;Nfrb0xQpsSU5BElb9lG6zAF6iiD3ypCSnf42Kboh+Jn3ZubNDOc3B6PJXvigwNZ0OikpEZZDo2xb&#10;08+f1i9eURIisw3TYEVNjyLQm8XzZ/PeVWIGHehGeIIkNlS9q2kXo6uKIvBOGBYm4ITFRwnesIhH&#10;3xaNZz2yG13MyvKq6ME3zgMXIeDtaniki8wvpeDxvZRBRKJrirHFvPq8btNaLOasaj1zneJjGOwf&#10;ojBMWXR6plqxyMjOqz+ojOIeAsg44WAKkFJxkXPAbKblb9l87JgTORcUJ7izTOH/0fJ3+40nqqnp&#10;7OKKEssMFmlz//3uh7m7JcHBV4sRkiDI/a1y32BHkh2q1rtQIXhpN348BbfxSYKD9IZIrdwXbIgs&#10;CqZJDlnz41lzcYiE4+Xs5fVFiZXh+DQtp1clHpCwGHgSn/MhvhFgSNrUNETPVNvFJViL5QU/+GD7&#10;tyEOwBMggbUlfU2vL2eX6IJhg0nNIm6Nw5SDbSlhusXO5dHnUANo1ayV1gkcfLtdak/2DLtnvcbQ&#10;TrH9Ypb8rVjoBrv8NPSVh51tMCZWdYI1r21D4tGhvoCENMVlREOJFug/7bJlZEo/WjLvof+7KSqk&#10;LQqVCjFIn3fxqMWQ+AchsbBZ95wMH7MZuh/HE1U/zUAmQ0AylJj9E7EjJKFFHron4s+g7B9sPOON&#10;sjBWJn0J4lyOeJiOfSIH+5MUgwBJiy00x9ydWSMcoNxW47CnCf35nOGPX9LiAQAA//8DAFBLAwQU&#10;AAYACAAAACEA5l05YeIAAAAKAQAADwAAAGRycy9kb3ducmV2LnhtbEyPTU/CQBCG7yb8h82QeCGy&#10;5UOQ2i0hmiYcjNECB29Ld2yr3dmmu0D9944nPM47T955Jln3thFn7HztSMFkHIFAKpypqVSw32V3&#10;DyB80GR04wgV/KCHdTq4SXRs3IXe8ZyHUnAJ+VgrqEJoYyl9UaHVfuxaJN59us7qwGNXStPpC5fb&#10;Rk6jaCGtrokvVLrFpwqL7/xkFXxs8iJ7yV/bDKMvN5ptn0dvh51St8N+8wgiYB+uMPzpszqk7HR0&#10;JzJeNAoWy/spowpm8zkIBpaTFQdHJlecyDSR/19IfwEAAP//AwBQSwECLQAUAAYACAAAACEAtoM4&#10;kv4AAADhAQAAEwAAAAAAAAAAAAAAAAAAAAAAW0NvbnRlbnRfVHlwZXNdLnhtbFBLAQItABQABgAI&#10;AAAAIQA4/SH/1gAAAJQBAAALAAAAAAAAAAAAAAAAAC8BAABfcmVscy8ucmVsc1BLAQItABQABgAI&#10;AAAAIQBmmRh0TgIAANoEAAAOAAAAAAAAAAAAAAAAAC4CAABkcnMvZTJvRG9jLnhtbFBLAQItABQA&#10;BgAIAAAAIQDmXTlh4gAAAAoBAAAPAAAAAAAAAAAAAAAAAKgEAABkcnMvZG93bnJldi54bWxQSwUG&#10;AAAAAAQABADzAAAAtwUAAAAA&#10;" strokecolor="red">
                <v:stroke startarrow="oval" endarrow="open"/>
              </v:shape>
            </w:pict>
          </mc:Fallback>
        </mc:AlternateContent>
      </w:r>
    </w:p>
    <w:p w14:paraId="1EBBD320"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269F2EF2"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65568" behindDoc="0" locked="0" layoutInCell="1" allowOverlap="1" wp14:anchorId="7CDF4695" wp14:editId="2146993F">
                <wp:simplePos x="0" y="0"/>
                <wp:positionH relativeFrom="column">
                  <wp:posOffset>4287520</wp:posOffset>
                </wp:positionH>
                <wp:positionV relativeFrom="paragraph">
                  <wp:posOffset>188595</wp:posOffset>
                </wp:positionV>
                <wp:extent cx="320040" cy="650240"/>
                <wp:effectExtent l="38100" t="38100" r="60960" b="54610"/>
                <wp:wrapNone/>
                <wp:docPr id="247" name="Přímá spojnice se šipkou 247"/>
                <wp:cNvGraphicFramePr/>
                <a:graphic xmlns:a="http://schemas.openxmlformats.org/drawingml/2006/main">
                  <a:graphicData uri="http://schemas.microsoft.com/office/word/2010/wordprocessingShape">
                    <wps:wsp>
                      <wps:cNvCnPr/>
                      <wps:spPr>
                        <a:xfrm flipV="1">
                          <a:off x="0" y="0"/>
                          <a:ext cx="320040" cy="65024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58A92C" id="Přímá spojnice se šipkou 247" o:spid="_x0000_s1026" type="#_x0000_t32" style="position:absolute;margin-left:337.6pt;margin-top:14.85pt;width:25.2pt;height:51.2pt;flip:y;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urTgIAANkEAAAOAAAAZHJzL2Uyb0RvYy54bWysVEuS0zAQ3VPFHVTaEzthMoArziwSwoaC&#10;1PDZK7JkCyS1StLEyVFYzgE4xdTci5bsZPhthsILV8vq97r7dbcXVwejyV74oMDWdDopKRGWQ6Ns&#10;W9NPHzfPXlISIrMN02BFTY8i0Kvl0yeL3lViBh3oRniCJDZUvatpF6OriiLwThgWJuCExUsJ3rCI&#10;R98WjWc9shtdzMrysujBN84DFyHg1/VwSZeZX0rB43spg4hE1xRzi/nt83uX3sVywarWM9cpPqbB&#10;/iELw5TFoGeqNYuM3Hj1B5VR3EMAGSccTAFSKi5yDVjNtPytmg8dcyLXguIEd5Yp/D9a/m6/9UQ1&#10;NZ1dvKDEMoNN2t5/u/tu7m5JcPDFYoYkCHJ/q9xXuCHJD1XrXagQvLJbP56C2/okwUF6Q6RW7jMO&#10;RBYFyySHrPnxrLk4RMLx43Ps4gV2huPV5bycoY18xUCT6JwP8Y0AQ5JR0xA9U20XV2Atdhf8EILt&#10;34Y4AE+ABNaW9DV9NZ/NMQLD+ZKaRTSNw4qDbSlhusXB5dHnTANo1WyU1gkcfLtbaU/2DIdnsynx&#10;GXP7xS3FW7PQDX75KrmxysONbbLVCda8tg2JR4fyAhLSlJcRDSVaYPxkZc/IlH7wZN5D/3dXVEhb&#10;FCr1YVA+W/GoxVD4tZDY1yx7LoaP1QzDj9uJop9WIJMhIDlKrP6R2BGS0CLv3CPxZ1CODzae8UZZ&#10;GDuT/gji3I54mI69kIP/SYpBgKTFDppjHs6sEe5PHqtx19OC/nzO8Ic/0vIHAAAA//8DAFBLAwQU&#10;AAYACAAAACEAa/3T1OIAAAAKAQAADwAAAGRycy9kb3ducmV2LnhtbEyPQUvDQBCF74L/YRnBS7Gb&#10;pjSpMZtSlIAHEU3rwds2OybR7GzIbtv47x1Pehzex3vf5JvJ9uKEo+8cKVjMIxBItTMdNQr2u/Jm&#10;DcIHTUb3jlDBN3rYFJcXuc6MO9MrnqrQCC4hn2kFbQhDJqWvW7Taz92AxNmHG60OfI6NNKM+c7nt&#10;ZRxFibS6I15o9YD3LdZf1dEqeN9WdflUPQ8lRp9utnx8mL287ZS6vpq2dyACTuEPhl99VoeCnQ7u&#10;SMaLXkGSrmJGFcS3KQgG0niVgDgwuYwXIItc/n+h+AEAAP//AwBQSwECLQAUAAYACAAAACEAtoM4&#10;kv4AAADhAQAAEwAAAAAAAAAAAAAAAAAAAAAAW0NvbnRlbnRfVHlwZXNdLnhtbFBLAQItABQABgAI&#10;AAAAIQA4/SH/1gAAAJQBAAALAAAAAAAAAAAAAAAAAC8BAABfcmVscy8ucmVsc1BLAQItABQABgAI&#10;AAAAIQDQOpurTgIAANkEAAAOAAAAAAAAAAAAAAAAAC4CAABkcnMvZTJvRG9jLnhtbFBLAQItABQA&#10;BgAIAAAAIQBr/dPU4gAAAAoBAAAPAAAAAAAAAAAAAAAAAKgEAABkcnMvZG93bnJldi54bWxQSwUG&#10;AAAAAAQABADzAAAAtwUAAAAA&#10;" strokecolor="red">
                <v:stroke startarrow="oval" endarrow="open"/>
              </v:shape>
            </w:pict>
          </mc:Fallback>
        </mc:AlternateContent>
      </w:r>
      <w:r w:rsidRPr="002C226B">
        <w:rPr>
          <w:noProof/>
        </w:rPr>
        <w:drawing>
          <wp:anchor distT="0" distB="0" distL="114300" distR="114300" simplePos="0" relativeHeight="251552256" behindDoc="0" locked="0" layoutInCell="1" allowOverlap="1" wp14:anchorId="4F691F63" wp14:editId="2C71DBD5">
            <wp:simplePos x="0" y="0"/>
            <wp:positionH relativeFrom="column">
              <wp:posOffset>69272</wp:posOffset>
            </wp:positionH>
            <wp:positionV relativeFrom="paragraph">
              <wp:posOffset>-4303915</wp:posOffset>
            </wp:positionV>
            <wp:extent cx="5731510" cy="5495290"/>
            <wp:effectExtent l="0" t="0" r="2540" b="0"/>
            <wp:wrapNone/>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731510" cy="5495290"/>
                    </a:xfrm>
                    <a:prstGeom prst="rect">
                      <a:avLst/>
                    </a:prstGeom>
                  </pic:spPr>
                </pic:pic>
              </a:graphicData>
            </a:graphic>
          </wp:anchor>
        </w:drawing>
      </w:r>
    </w:p>
    <w:p w14:paraId="43D8B5DB"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62496" behindDoc="0" locked="0" layoutInCell="1" allowOverlap="1" wp14:anchorId="2710B577" wp14:editId="270B3AF8">
                <wp:simplePos x="0" y="0"/>
                <wp:positionH relativeFrom="column">
                  <wp:posOffset>2641600</wp:posOffset>
                </wp:positionH>
                <wp:positionV relativeFrom="paragraph">
                  <wp:posOffset>10795</wp:posOffset>
                </wp:positionV>
                <wp:extent cx="1645920" cy="798195"/>
                <wp:effectExtent l="0" t="0" r="11430" b="20955"/>
                <wp:wrapNone/>
                <wp:docPr id="2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98195"/>
                        </a:xfrm>
                        <a:prstGeom prst="rect">
                          <a:avLst/>
                        </a:prstGeom>
                        <a:solidFill>
                          <a:schemeClr val="accent2">
                            <a:lumMod val="20000"/>
                            <a:lumOff val="80000"/>
                          </a:schemeClr>
                        </a:solidFill>
                        <a:ln w="9525">
                          <a:solidFill>
                            <a:srgbClr val="000000"/>
                          </a:solidFill>
                          <a:miter lim="800000"/>
                          <a:headEnd/>
                          <a:tailEnd/>
                        </a:ln>
                      </wps:spPr>
                      <wps:txbx>
                        <w:txbxContent>
                          <w:p w14:paraId="1C684875"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Osoba oprávněná podepsat může mimo jiné z důvodu 3E:</w:t>
                            </w:r>
                          </w:p>
                          <w:p w14:paraId="67B060FB" w14:textId="77777777" w:rsidR="00511D9B"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w:t>
                            </w:r>
                            <w:r>
                              <w:rPr>
                                <w:rFonts w:asciiTheme="minorHAnsi" w:hAnsiTheme="minorHAnsi" w:cstheme="minorHAnsi"/>
                                <w:sz w:val="20"/>
                              </w:rPr>
                              <w:t>1</w:t>
                            </w:r>
                            <w:r w:rsidRPr="00C61865">
                              <w:rPr>
                                <w:rFonts w:asciiTheme="minorHAnsi" w:hAnsiTheme="minorHAnsi" w:cstheme="minorHAnsi"/>
                                <w:sz w:val="20"/>
                              </w:rPr>
                              <w:t xml:space="preserve">) </w:t>
                            </w:r>
                            <w:r>
                              <w:rPr>
                                <w:rFonts w:asciiTheme="minorHAnsi" w:hAnsiTheme="minorHAnsi" w:cstheme="minorHAnsi"/>
                                <w:sz w:val="20"/>
                              </w:rPr>
                              <w:t>zastavit</w:t>
                            </w:r>
                            <w:r w:rsidRPr="00C61865">
                              <w:rPr>
                                <w:rFonts w:asciiTheme="minorHAnsi" w:hAnsiTheme="minorHAnsi" w:cstheme="minorHAnsi"/>
                                <w:sz w:val="20"/>
                              </w:rPr>
                              <w:t xml:space="preserve"> operac</w:t>
                            </w:r>
                            <w:r>
                              <w:rPr>
                                <w:rFonts w:asciiTheme="minorHAnsi" w:hAnsiTheme="minorHAnsi" w:cstheme="minorHAnsi"/>
                                <w:sz w:val="20"/>
                              </w:rPr>
                              <w:t>i</w:t>
                            </w:r>
                            <w:r w:rsidRPr="00C61865">
                              <w:rPr>
                                <w:rFonts w:asciiTheme="minorHAnsi" w:hAnsiTheme="minorHAnsi" w:cstheme="minorHAnsi"/>
                                <w:sz w:val="20"/>
                              </w:rPr>
                              <w:t xml:space="preserve">, </w:t>
                            </w:r>
                          </w:p>
                          <w:p w14:paraId="74856B07"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(2)</w:t>
                            </w:r>
                            <w:r w:rsidRPr="00C61865">
                              <w:rPr>
                                <w:rFonts w:asciiTheme="minorHAnsi" w:hAnsiTheme="minorHAnsi" w:cstheme="minorHAnsi"/>
                                <w:sz w:val="20"/>
                              </w:rPr>
                              <w:t xml:space="preserve"> v</w:t>
                            </w:r>
                            <w:r>
                              <w:rPr>
                                <w:rFonts w:asciiTheme="minorHAnsi" w:hAnsiTheme="minorHAnsi" w:cstheme="minorHAnsi"/>
                                <w:sz w:val="20"/>
                              </w:rPr>
                              <w:t>rátit</w:t>
                            </w:r>
                            <w:r w:rsidRPr="00C61865">
                              <w:rPr>
                                <w:rFonts w:asciiTheme="minorHAnsi" w:hAnsiTheme="minorHAnsi" w:cstheme="minorHAnsi"/>
                                <w:sz w:val="20"/>
                              </w:rPr>
                              <w:t xml:space="preserve"> k</w:t>
                            </w:r>
                            <w:r>
                              <w:rPr>
                                <w:rFonts w:asciiTheme="minorHAnsi" w:hAnsiTheme="minorHAnsi" w:cstheme="minorHAnsi"/>
                                <w:sz w:val="20"/>
                              </w:rPr>
                              <w:t> </w:t>
                            </w:r>
                            <w:r w:rsidRPr="00C61865">
                              <w:rPr>
                                <w:rFonts w:asciiTheme="minorHAnsi" w:hAnsiTheme="minorHAnsi" w:cstheme="minorHAnsi"/>
                                <w:sz w:val="20"/>
                              </w:rPr>
                              <w:t>dopracování</w:t>
                            </w:r>
                            <w:r>
                              <w:rPr>
                                <w:rFonts w:asciiTheme="minorHAnsi" w:hAnsiTheme="minorHAnsi" w:cstheme="minorHAnsi"/>
                                <w:sz w:val="20"/>
                              </w:rPr>
                              <w:t>,</w:t>
                            </w:r>
                          </w:p>
                          <w:p w14:paraId="3D67D052" w14:textId="77777777" w:rsidR="00511D9B" w:rsidRPr="00D54354"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(3)</w:t>
                            </w:r>
                            <w:r>
                              <w:rPr>
                                <w:rFonts w:asciiTheme="minorHAnsi" w:hAnsiTheme="minorHAnsi" w:cstheme="minorHAnsi"/>
                                <w:sz w:val="20"/>
                              </w:rPr>
                              <w:t xml:space="preserve"> </w:t>
                            </w:r>
                            <w:r w:rsidRPr="003B2988">
                              <w:rPr>
                                <w:rFonts w:asciiTheme="minorHAnsi" w:hAnsiTheme="minorHAnsi" w:cstheme="minorHAnsi"/>
                                <w:sz w:val="20"/>
                              </w:rPr>
                              <w:t>podepsat</w:t>
                            </w:r>
                            <w:r>
                              <w:rPr>
                                <w:rFonts w:asciiTheme="minorHAnsi" w:hAnsiTheme="minorHAnsi" w:cstheme="minorHAnsi"/>
                                <w:sz w:val="20"/>
                              </w:rP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710B577" id="_x0000_s1368" type="#_x0000_t202" style="position:absolute;left:0;text-align:left;margin-left:208pt;margin-top:.85pt;width:129.6pt;height:62.85pt;z-index:25156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P9VAIAAJIEAAAOAAAAZHJzL2Uyb0RvYy54bWysVFtu2zAQ/C/QOxD8r2ULUmILloPUqYsC&#10;6QNIegCaoiyiJJclaUvpjXqOXKxLynad9q/oj0DukjPDnV0tbwatyEE4L8HUdDaZUiIMh0aaXU2/&#10;Pm7ezCnxgZmGKTCipk/C05vV61fL3lYihw5UIxxBEOOr3ta0C8FWWeZ5JzTzE7DCYLIFp1nArdtl&#10;jWM9omuV5dPpVdaDa6wDLrzH6N2YpKuE37aCh89t60UgqqaoLaSvS99t/GarJat2jtlO8qMM9g8q&#10;NJMGSc9QdywwsnfyLygtuQMPbZhw0Bm0reQivQFfM5v+8ZqHjlmR3oLF8fZcJv//YPmnwxdHZFPT&#10;vCgoMUyjSY9iCHB4/kksKEHyWKTe+grPPlg8HYa3MKDZ6cHe3gP/5omBdcfMTtw6B30nWIMiZ/Fm&#10;dnF1xPERZNt/hAa52D5AAhpap2MFsSYE0dGsp7NBqIfwSHlVlIscUxxz14v5bFEmCladblvnw3sB&#10;msRFTR02QEJnh3sfohpWnY5EMg9KNhupVNrEphNr5ciBYbswzoUJebqu9hrljnFsu+mxcTCM7TWG&#10;56cwUqT2jUiJ8AWJMqSv6aLMywT8Iufdbnumj3AjTwS81KllwJlRUtc0kR7FxKK/M03q6MCkGtd4&#10;WZmjC7HwowVh2A7J9Vk5P9m7heYJjXEwDgkONS46cD8o6XFAauq/75kTlKgPBs1dzIoiTlTaFOV1&#10;tMVdZraXGWY4QtU0UDIu1yFNYaq7vcUm2MjkT+yWUclRNDZ+quJxSONkXe7Tqd+/ktUvAAAA//8D&#10;AFBLAwQUAAYACAAAACEAIbR97t8AAAAJAQAADwAAAGRycy9kb3ducmV2LnhtbEyPwU7DMBBE70j8&#10;g7VIXBB1GkpShThVQeJWCZGCuLrxNo6I1yF22/D33Z7gOHqr2TflanK9OOIYOk8K5rMEBFLjTUet&#10;go/t6/0SRIiajO49oYJfDLCqrq9KXRh/onc81rEVXEKh0ApsjEMhZWgsOh1mfkBitvej05Hj2Eoz&#10;6hOXu16mSZJJpzviD1YP+GKx+a4PTsG23mzu5Jv8/Fqu9zYNP93zQ10rdXszrZ9ARJzi3zFc9Fkd&#10;Knba+QOZIHoFi3nGWyKDHATzLH9MQew4p/kCZFXK/wuqMwAAAP//AwBQSwECLQAUAAYACAAAACEA&#10;toM4kv4AAADhAQAAEwAAAAAAAAAAAAAAAAAAAAAAW0NvbnRlbnRfVHlwZXNdLnhtbFBLAQItABQA&#10;BgAIAAAAIQA4/SH/1gAAAJQBAAALAAAAAAAAAAAAAAAAAC8BAABfcmVscy8ucmVsc1BLAQItABQA&#10;BgAIAAAAIQCp7DP9VAIAAJIEAAAOAAAAAAAAAAAAAAAAAC4CAABkcnMvZTJvRG9jLnhtbFBLAQIt&#10;ABQABgAIAAAAIQAhtH3u3wAAAAkBAAAPAAAAAAAAAAAAAAAAAK4EAABkcnMvZG93bnJldi54bWxQ&#10;SwUGAAAAAAQABADzAAAAugUAAAAA&#10;" fillcolor="#fbe4d5 [661]">
                <v:textbox style="mso-fit-shape-to-text:t">
                  <w:txbxContent>
                    <w:p w14:paraId="1C684875"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Osoba oprávněná podepsat může mimo jiné z důvodu 3E:</w:t>
                      </w:r>
                    </w:p>
                    <w:p w14:paraId="67B060FB" w14:textId="77777777" w:rsidR="00511D9B"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w:t>
                      </w:r>
                      <w:r>
                        <w:rPr>
                          <w:rFonts w:asciiTheme="minorHAnsi" w:hAnsiTheme="minorHAnsi" w:cstheme="minorHAnsi"/>
                          <w:sz w:val="20"/>
                        </w:rPr>
                        <w:t>1</w:t>
                      </w:r>
                      <w:r w:rsidRPr="00C61865">
                        <w:rPr>
                          <w:rFonts w:asciiTheme="minorHAnsi" w:hAnsiTheme="minorHAnsi" w:cstheme="minorHAnsi"/>
                          <w:sz w:val="20"/>
                        </w:rPr>
                        <w:t xml:space="preserve">) </w:t>
                      </w:r>
                      <w:r>
                        <w:rPr>
                          <w:rFonts w:asciiTheme="minorHAnsi" w:hAnsiTheme="minorHAnsi" w:cstheme="minorHAnsi"/>
                          <w:sz w:val="20"/>
                        </w:rPr>
                        <w:t>zastavit</w:t>
                      </w:r>
                      <w:r w:rsidRPr="00C61865">
                        <w:rPr>
                          <w:rFonts w:asciiTheme="minorHAnsi" w:hAnsiTheme="minorHAnsi" w:cstheme="minorHAnsi"/>
                          <w:sz w:val="20"/>
                        </w:rPr>
                        <w:t xml:space="preserve"> operac</w:t>
                      </w:r>
                      <w:r>
                        <w:rPr>
                          <w:rFonts w:asciiTheme="minorHAnsi" w:hAnsiTheme="minorHAnsi" w:cstheme="minorHAnsi"/>
                          <w:sz w:val="20"/>
                        </w:rPr>
                        <w:t>i</w:t>
                      </w:r>
                      <w:r w:rsidRPr="00C61865">
                        <w:rPr>
                          <w:rFonts w:asciiTheme="minorHAnsi" w:hAnsiTheme="minorHAnsi" w:cstheme="minorHAnsi"/>
                          <w:sz w:val="20"/>
                        </w:rPr>
                        <w:t xml:space="preserve">, </w:t>
                      </w:r>
                    </w:p>
                    <w:p w14:paraId="74856B07" w14:textId="77777777" w:rsidR="00511D9B" w:rsidRDefault="00511D9B" w:rsidP="00C10416">
                      <w:pPr>
                        <w:spacing w:line="216" w:lineRule="auto"/>
                        <w:ind w:left="-57" w:right="-57"/>
                        <w:rPr>
                          <w:rFonts w:asciiTheme="minorHAnsi" w:hAnsiTheme="minorHAnsi" w:cstheme="minorHAnsi"/>
                          <w:sz w:val="20"/>
                        </w:rPr>
                      </w:pPr>
                      <w:r>
                        <w:rPr>
                          <w:rFonts w:asciiTheme="minorHAnsi" w:hAnsiTheme="minorHAnsi" w:cstheme="minorHAnsi"/>
                          <w:sz w:val="20"/>
                        </w:rPr>
                        <w:t>(2)</w:t>
                      </w:r>
                      <w:r w:rsidRPr="00C61865">
                        <w:rPr>
                          <w:rFonts w:asciiTheme="minorHAnsi" w:hAnsiTheme="minorHAnsi" w:cstheme="minorHAnsi"/>
                          <w:sz w:val="20"/>
                        </w:rPr>
                        <w:t xml:space="preserve"> v</w:t>
                      </w:r>
                      <w:r>
                        <w:rPr>
                          <w:rFonts w:asciiTheme="minorHAnsi" w:hAnsiTheme="minorHAnsi" w:cstheme="minorHAnsi"/>
                          <w:sz w:val="20"/>
                        </w:rPr>
                        <w:t>rátit</w:t>
                      </w:r>
                      <w:r w:rsidRPr="00C61865">
                        <w:rPr>
                          <w:rFonts w:asciiTheme="minorHAnsi" w:hAnsiTheme="minorHAnsi" w:cstheme="minorHAnsi"/>
                          <w:sz w:val="20"/>
                        </w:rPr>
                        <w:t xml:space="preserve"> k</w:t>
                      </w:r>
                      <w:r>
                        <w:rPr>
                          <w:rFonts w:asciiTheme="minorHAnsi" w:hAnsiTheme="minorHAnsi" w:cstheme="minorHAnsi"/>
                          <w:sz w:val="20"/>
                        </w:rPr>
                        <w:t> </w:t>
                      </w:r>
                      <w:r w:rsidRPr="00C61865">
                        <w:rPr>
                          <w:rFonts w:asciiTheme="minorHAnsi" w:hAnsiTheme="minorHAnsi" w:cstheme="minorHAnsi"/>
                          <w:sz w:val="20"/>
                        </w:rPr>
                        <w:t>dopracování</w:t>
                      </w:r>
                      <w:r>
                        <w:rPr>
                          <w:rFonts w:asciiTheme="minorHAnsi" w:hAnsiTheme="minorHAnsi" w:cstheme="minorHAnsi"/>
                          <w:sz w:val="20"/>
                        </w:rPr>
                        <w:t>,</w:t>
                      </w:r>
                    </w:p>
                    <w:p w14:paraId="3D67D052" w14:textId="77777777" w:rsidR="00511D9B" w:rsidRPr="00D54354" w:rsidRDefault="00511D9B" w:rsidP="00C10416">
                      <w:pPr>
                        <w:spacing w:line="216" w:lineRule="auto"/>
                        <w:ind w:left="-57" w:right="-57"/>
                        <w:rPr>
                          <w:rFonts w:asciiTheme="minorHAnsi" w:hAnsiTheme="minorHAnsi" w:cstheme="minorHAnsi"/>
                          <w:sz w:val="20"/>
                        </w:rPr>
                      </w:pPr>
                      <w:r w:rsidRPr="00C61865">
                        <w:rPr>
                          <w:rFonts w:asciiTheme="minorHAnsi" w:hAnsiTheme="minorHAnsi" w:cstheme="minorHAnsi"/>
                          <w:sz w:val="20"/>
                        </w:rPr>
                        <w:t>(3)</w:t>
                      </w:r>
                      <w:r>
                        <w:rPr>
                          <w:rFonts w:asciiTheme="minorHAnsi" w:hAnsiTheme="minorHAnsi" w:cstheme="minorHAnsi"/>
                          <w:sz w:val="20"/>
                        </w:rPr>
                        <w:t xml:space="preserve"> </w:t>
                      </w:r>
                      <w:r w:rsidRPr="003B2988">
                        <w:rPr>
                          <w:rFonts w:asciiTheme="minorHAnsi" w:hAnsiTheme="minorHAnsi" w:cstheme="minorHAnsi"/>
                          <w:sz w:val="20"/>
                        </w:rPr>
                        <w:t>podepsat</w:t>
                      </w:r>
                      <w:r>
                        <w:rPr>
                          <w:rFonts w:asciiTheme="minorHAnsi" w:hAnsiTheme="minorHAnsi" w:cstheme="minorHAnsi"/>
                          <w:sz w:val="20"/>
                        </w:rPr>
                        <w:t>.</w:t>
                      </w:r>
                    </w:p>
                  </w:txbxContent>
                </v:textbox>
              </v:shape>
            </w:pict>
          </mc:Fallback>
        </mc:AlternateContent>
      </w:r>
    </w:p>
    <w:p w14:paraId="6BC57862"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r>
        <w:rPr>
          <w:rFonts w:asciiTheme="minorHAnsi" w:eastAsia="Calibri" w:hAnsiTheme="minorHAnsi" w:cstheme="minorHAnsi"/>
          <w:noProof/>
          <w:sz w:val="24"/>
          <w:szCs w:val="24"/>
        </w:rPr>
        <mc:AlternateContent>
          <mc:Choice Requires="wps">
            <w:drawing>
              <wp:anchor distT="0" distB="0" distL="114300" distR="114300" simplePos="0" relativeHeight="251563520" behindDoc="0" locked="0" layoutInCell="1" allowOverlap="1" wp14:anchorId="0EC62189" wp14:editId="74E20598">
                <wp:simplePos x="0" y="0"/>
                <wp:positionH relativeFrom="column">
                  <wp:posOffset>4287520</wp:posOffset>
                </wp:positionH>
                <wp:positionV relativeFrom="paragraph">
                  <wp:posOffset>163830</wp:posOffset>
                </wp:positionV>
                <wp:extent cx="304800" cy="243840"/>
                <wp:effectExtent l="38100" t="38100" r="57150" b="60960"/>
                <wp:wrapNone/>
                <wp:docPr id="245" name="Přímá spojnice se šipkou 245"/>
                <wp:cNvGraphicFramePr/>
                <a:graphic xmlns:a="http://schemas.openxmlformats.org/drawingml/2006/main">
                  <a:graphicData uri="http://schemas.microsoft.com/office/word/2010/wordprocessingShape">
                    <wps:wsp>
                      <wps:cNvCnPr/>
                      <wps:spPr>
                        <a:xfrm flipV="1">
                          <a:off x="0" y="0"/>
                          <a:ext cx="304800" cy="243840"/>
                        </a:xfrm>
                        <a:prstGeom prst="straightConnector1">
                          <a:avLst/>
                        </a:prstGeom>
                        <a:ln w="9525" cap="flat" cmpd="sng" algn="ctr">
                          <a:solidFill>
                            <a:srgbClr val="FF0000"/>
                          </a:solidFill>
                          <a:prstDash val="solid"/>
                          <a:round/>
                          <a:headEnd type="oval"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002D50" id="Přímá spojnice se šipkou 245" o:spid="_x0000_s1026" type="#_x0000_t32" style="position:absolute;margin-left:337.6pt;margin-top:12.9pt;width:24pt;height:19.2pt;flip:y;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DUUQIAANkEAAAOAAAAZHJzL2Uyb0RvYy54bWysVM2O2yAQvlfqOyDujZ1stkqjOHtIml6q&#10;NurfnWCwaYFBQOLkUXrcB+hTrPa9dsBOtn+XreoDAjPfzHzfzLC4ORpNDsIHBbai41FJibAcamWb&#10;in7+tHkxoyREZmumwYqKnkSgN8vnzxadm4sJtKBr4Qk6sWHeuYq2Mbp5UQTeCsPCCJyweCnBGxbx&#10;6Jui9qxD70YXk7J8WXTga+eBixDw77q/pMvsX0rB43spg4hEVxRzi3n1ed2ltVgu2LzxzLWKD2mw&#10;f8jCMGUx6MXVmkVG9l794coo7iGAjCMOpgApFReZA7IZl7+x+dgyJzIXFCe4i0zh/7nl7w5bT1Rd&#10;0cn0mhLLDBZpe//97oe5uyXBwVeLGZIgyP2tct9gT5Idqta5MEfwym79cApu65MER+kNkVq5L9gQ&#10;WRSkSY5Z89NFc3GMhOPPq3I6K7EyHK8m06vZNNek6N0kd86H+EaAIWlT0RA9U00bV2AtVhd8H4Id&#10;3oaIiSDwDEhgbUlX0VfXE+TGGfaX1Czi1jhkHGxDCdMNNi6PPmcaQKt6o7RO4OCb3Up7cmDYPJtN&#10;iV9ijiF+MUvx1iy0vV2+6tvKw97WCGDzVrD6ta1JPDmUF9AhTXkZUVOiBcZPu2wZmdKPlsx76P5u&#10;illoi8mkOvTK5108adET/yAk1jXLnsnwgU3f/DidKPp5BLIzBCRDieyfiB0gCS3yzD0RfwHl+GDj&#10;BW+UhaEy6UUQl3LE43ioheztz1L0AiQtdlCfcnNmjXB+cumGWU8D+vM5wx9fpOUDAAAA//8DAFBL&#10;AwQUAAYACAAAACEAE+aRHeEAAAAJAQAADwAAAGRycy9kb3ducmV2LnhtbEyPwU7DMBBE70j8g7VI&#10;XKrWwaUtCnGqChSJA6ogLQdubrwkgXgdxW4b/p7lBMedeZqdydaj68QJh9B60nAzS0AgVd62VGvY&#10;74rpHYgQDVnTeUIN3xhgnV9eZCa1/kyveCpjLTiEQmo0NDH2qZShatCZMPM9EnsffnAm8jnU0g7m&#10;zOGukypJltKZlvhDY3p8aLD6Ko9Ow/umrIrnctsXmHz6yfzpcfLyttP6+mrc3IOIOMY/GH7rc3XI&#10;udPBH8kG0WlYrhaKUQ1qwRMYWKk5Cwd2bhXIPJP/F+Q/AAAA//8DAFBLAQItABQABgAIAAAAIQC2&#10;gziS/gAAAOEBAAATAAAAAAAAAAAAAAAAAAAAAABbQ29udGVudF9UeXBlc10ueG1sUEsBAi0AFAAG&#10;AAgAAAAhADj9If/WAAAAlAEAAAsAAAAAAAAAAAAAAAAALwEAAF9yZWxzLy5yZWxzUEsBAi0AFAAG&#10;AAgAAAAhAMZckNRRAgAA2QQAAA4AAAAAAAAAAAAAAAAALgIAAGRycy9lMm9Eb2MueG1sUEsBAi0A&#10;FAAGAAgAAAAhABPmkR3hAAAACQEAAA8AAAAAAAAAAAAAAAAAqwQAAGRycy9kb3ducmV2LnhtbFBL&#10;BQYAAAAABAAEAPMAAAC5BQAAAAA=&#10;" strokecolor="red">
                <v:stroke startarrow="oval" endarrow="open"/>
              </v:shape>
            </w:pict>
          </mc:Fallback>
        </mc:AlternateContent>
      </w:r>
    </w:p>
    <w:p w14:paraId="11A8420A" w14:textId="77777777" w:rsidR="00C10416" w:rsidRDefault="00C10416" w:rsidP="00C10416">
      <w:pPr>
        <w:pStyle w:val="Zkladntext3"/>
        <w:spacing w:after="0" w:line="360" w:lineRule="auto"/>
        <w:jc w:val="both"/>
        <w:rPr>
          <w:rFonts w:asciiTheme="minorHAnsi" w:eastAsia="Calibri" w:hAnsiTheme="minorHAnsi" w:cstheme="minorHAnsi"/>
          <w:sz w:val="24"/>
          <w:szCs w:val="24"/>
        </w:rPr>
      </w:pPr>
    </w:p>
    <w:p w14:paraId="7EFA259D" w14:textId="77777777" w:rsidR="00C10416" w:rsidRDefault="00C10416" w:rsidP="00C10416">
      <w:pPr>
        <w:pStyle w:val="Zkladntext3"/>
        <w:spacing w:after="0" w:line="360" w:lineRule="auto"/>
        <w:jc w:val="both"/>
        <w:rPr>
          <w:rFonts w:asciiTheme="minorHAnsi" w:hAnsiTheme="minorHAnsi"/>
          <w:i/>
        </w:rPr>
      </w:pPr>
      <w:r>
        <w:rPr>
          <w:noProof/>
        </w:rPr>
        <mc:AlternateContent>
          <mc:Choice Requires="wps">
            <w:drawing>
              <wp:anchor distT="0" distB="0" distL="114300" distR="114300" simplePos="0" relativeHeight="251551232" behindDoc="0" locked="0" layoutInCell="1" allowOverlap="1" wp14:anchorId="64253711" wp14:editId="1DFD9FB1">
                <wp:simplePos x="0" y="0"/>
                <wp:positionH relativeFrom="column">
                  <wp:posOffset>1699260</wp:posOffset>
                </wp:positionH>
                <wp:positionV relativeFrom="paragraph">
                  <wp:posOffset>4590415</wp:posOffset>
                </wp:positionV>
                <wp:extent cx="2339340" cy="1495425"/>
                <wp:effectExtent l="0" t="0" r="22860" b="2159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1495425"/>
                        </a:xfrm>
                        <a:prstGeom prst="rect">
                          <a:avLst/>
                        </a:prstGeom>
                        <a:solidFill>
                          <a:schemeClr val="accent2">
                            <a:lumMod val="20000"/>
                            <a:lumOff val="80000"/>
                          </a:schemeClr>
                        </a:solidFill>
                        <a:ln w="9525">
                          <a:solidFill>
                            <a:srgbClr val="000000"/>
                          </a:solidFill>
                          <a:miter lim="800000"/>
                          <a:headEnd/>
                          <a:tailEnd/>
                        </a:ln>
                      </wps:spPr>
                      <wps:txbx>
                        <w:txbxContent>
                          <w:p w14:paraId="3B5124BA" w14:textId="77777777" w:rsidR="00511D9B" w:rsidRDefault="00511D9B" w:rsidP="00C10416">
                            <w:pPr>
                              <w:spacing w:line="216" w:lineRule="auto"/>
                              <w:ind w:left="-57" w:right="-57"/>
                              <w:rPr>
                                <w:rFonts w:asciiTheme="minorHAnsi" w:hAnsiTheme="minorHAnsi" w:cstheme="minorHAnsi"/>
                                <w:b/>
                                <w:sz w:val="20"/>
                              </w:rPr>
                            </w:pPr>
                            <w:r>
                              <w:rPr>
                                <w:rFonts w:asciiTheme="minorHAnsi" w:hAnsiTheme="minorHAnsi" w:cstheme="minorHAnsi"/>
                                <w:b/>
                                <w:sz w:val="20"/>
                              </w:rPr>
                              <w:t xml:space="preserve">Statutární zástupce se může mimo jiné také z důvodu rizik rozhodnout: </w:t>
                            </w:r>
                          </w:p>
                          <w:p w14:paraId="32FACE03" w14:textId="77777777" w:rsidR="00511D9B" w:rsidRDefault="00511D9B" w:rsidP="0065698B">
                            <w:pPr>
                              <w:pStyle w:val="Odstavecseseznamem"/>
                              <w:numPr>
                                <w:ilvl w:val="0"/>
                                <w:numId w:val="42"/>
                              </w:numPr>
                              <w:spacing w:line="216" w:lineRule="auto"/>
                              <w:ind w:right="-57"/>
                              <w:rPr>
                                <w:rFonts w:asciiTheme="minorHAnsi" w:hAnsiTheme="minorHAnsi" w:cstheme="minorHAnsi"/>
                                <w:sz w:val="20"/>
                              </w:rPr>
                            </w:pPr>
                            <w:r>
                              <w:rPr>
                                <w:rFonts w:asciiTheme="minorHAnsi" w:hAnsiTheme="minorHAnsi" w:cstheme="minorHAnsi"/>
                                <w:sz w:val="20"/>
                              </w:rPr>
                              <w:t>Že závazek nevznikne (nepodepíše)</w:t>
                            </w:r>
                          </w:p>
                          <w:p w14:paraId="5ABE05C8" w14:textId="77777777" w:rsidR="00511D9B" w:rsidRPr="009A3084" w:rsidRDefault="00511D9B" w:rsidP="0065698B">
                            <w:pPr>
                              <w:pStyle w:val="Odstavecseseznamem"/>
                              <w:numPr>
                                <w:ilvl w:val="0"/>
                                <w:numId w:val="42"/>
                              </w:numPr>
                              <w:spacing w:line="216" w:lineRule="auto"/>
                              <w:ind w:right="-57"/>
                              <w:rPr>
                                <w:rFonts w:asciiTheme="minorHAnsi" w:hAnsiTheme="minorHAnsi" w:cstheme="minorHAnsi"/>
                                <w:sz w:val="20"/>
                              </w:rPr>
                            </w:pPr>
                            <w:r>
                              <w:rPr>
                                <w:rFonts w:asciiTheme="minorHAnsi" w:hAnsiTheme="minorHAnsi" w:cstheme="minorHAnsi"/>
                                <w:sz w:val="20"/>
                              </w:rPr>
                              <w:t>Že chce dokumentaci upravit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4253711" id="_x0000_s1369" type="#_x0000_t202" style="position:absolute;left:0;text-align:left;margin-left:133.8pt;margin-top:361.45pt;width:184.2pt;height:117.75pt;z-index:25155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nOUgIAAJMEAAAOAAAAZHJzL2Uyb0RvYy54bWysVNuO0zAQfUfiHyy/0zRpC9uo6WrpUoS0&#10;XKRdPsBxnMbC9hjbbbL80X4HP8bYaUth3xAvkT1jnzmecyar60ErchDOSzAVzSdTSoTh0Eizq+jX&#10;h+2rK0p8YKZhCoyo6KPw9Hr98sWqt6UooAPVCEcQxPiytxXtQrBllnneCc38BKwwmGzBaRZw63ZZ&#10;41iP6FplxXT6OuvBNdYBF95j9HZM0nXCb1vBw+e29SIQVVHkFtLXpW8dv9l6xcqdY7aT/EiD/QML&#10;zaTBomeoWxYY2Tv5DEpL7sBDGyYcdAZtK7lIb8DX5NO/XnPfMSvSW7A53p7b5P8fLP90+OKIbCpa&#10;FCiVYRpFehBDgMPPJ2JBCVLEJvXWl3j23uLpMLyFAcVOD/b2Dvg3TwxsOmZ24sY56DvBGiSZx5vZ&#10;xdURx0eQuv8IDdZi+wAJaGidjh3EnhBER7EezwIhH8IxWMxmy9kcUxxz+Xy5mBeLVIOVp+vW+fBe&#10;gCZxUVGHDkjw7HDnQ6TDytORWM2Dks1WKpU20XVioxw5MPQL41yYUKTraq+R7xhH302PzsEw+msM&#10;X53CWCL5NyKlgn8UUYb0FV0ukPlzAm5Xn8tHuLFOBLzkqWXAoVFSVzQVPZKJXX9nmmTpwKQa13hZ&#10;maMMsfOjBmGohyR7vlie9K2heURlHIxTglONiw7cD0p6nJCK+u975gQl6oNBdZf5PEoR0ma+eFPg&#10;xl1m6ssMMxyhKhooGZebkMYw9cDeoAu2MukT7TIyOZJG56cuHqc0jtblPp36/S9Z/wIAAP//AwBQ&#10;SwMEFAAGAAgAAAAhANVCYuDhAAAACwEAAA8AAABkcnMvZG93bnJldi54bWxMj8FOwzAQRO9I/IO1&#10;SFwQdUjBTUOcqiBxq1Thgri6sRtHxOsQu234e5YTHFf7NPOmWk2+Zyc7xi6ghLtZBsxiE0yHrYS3&#10;3cttASwmjUb3Aa2EbxthVV9eVLo04Yyv9qRSyygEY6kluJSGkvPYOOt1nIXBIv0OYfQ60Tm23Iz6&#10;TOG+53mWCe51h9Tg9GCfnW0+1dFL2KnN5oZv+ftHsT64PH51T3OlpLy+mtaPwJKd0h8Mv/qkDjU5&#10;7cMRTWS9hFwsBKESFnm+BEaEmAtat5ewfCjugdcV/7+h/gEAAP//AwBQSwECLQAUAAYACAAAACEA&#10;toM4kv4AAADhAQAAEwAAAAAAAAAAAAAAAAAAAAAAW0NvbnRlbnRfVHlwZXNdLnhtbFBLAQItABQA&#10;BgAIAAAAIQA4/SH/1gAAAJQBAAALAAAAAAAAAAAAAAAAAC8BAABfcmVscy8ucmVsc1BLAQItABQA&#10;BgAIAAAAIQC6fOnOUgIAAJMEAAAOAAAAAAAAAAAAAAAAAC4CAABkcnMvZTJvRG9jLnhtbFBLAQIt&#10;ABQABgAIAAAAIQDVQmLg4QAAAAsBAAAPAAAAAAAAAAAAAAAAAKwEAABkcnMvZG93bnJldi54bWxQ&#10;SwUGAAAAAAQABADzAAAAugUAAAAA&#10;" fillcolor="#fbe4d5 [661]">
                <v:textbox style="mso-fit-shape-to-text:t">
                  <w:txbxContent>
                    <w:p w14:paraId="3B5124BA" w14:textId="77777777" w:rsidR="00511D9B" w:rsidRDefault="00511D9B" w:rsidP="00C10416">
                      <w:pPr>
                        <w:spacing w:line="216" w:lineRule="auto"/>
                        <w:ind w:left="-57" w:right="-57"/>
                        <w:rPr>
                          <w:rFonts w:asciiTheme="minorHAnsi" w:hAnsiTheme="minorHAnsi" w:cstheme="minorHAnsi"/>
                          <w:b/>
                          <w:sz w:val="20"/>
                        </w:rPr>
                      </w:pPr>
                      <w:r>
                        <w:rPr>
                          <w:rFonts w:asciiTheme="minorHAnsi" w:hAnsiTheme="minorHAnsi" w:cstheme="minorHAnsi"/>
                          <w:b/>
                          <w:sz w:val="20"/>
                        </w:rPr>
                        <w:t xml:space="preserve">Statutární zástupce se může mimo jiné také z důvodu rizik rozhodnout: </w:t>
                      </w:r>
                    </w:p>
                    <w:p w14:paraId="32FACE03" w14:textId="77777777" w:rsidR="00511D9B" w:rsidRDefault="00511D9B" w:rsidP="0065698B">
                      <w:pPr>
                        <w:pStyle w:val="Odstavecseseznamem"/>
                        <w:numPr>
                          <w:ilvl w:val="0"/>
                          <w:numId w:val="42"/>
                        </w:numPr>
                        <w:spacing w:line="216" w:lineRule="auto"/>
                        <w:ind w:right="-57"/>
                        <w:rPr>
                          <w:rFonts w:asciiTheme="minorHAnsi" w:hAnsiTheme="minorHAnsi" w:cstheme="minorHAnsi"/>
                          <w:sz w:val="20"/>
                        </w:rPr>
                      </w:pPr>
                      <w:r>
                        <w:rPr>
                          <w:rFonts w:asciiTheme="minorHAnsi" w:hAnsiTheme="minorHAnsi" w:cstheme="minorHAnsi"/>
                          <w:sz w:val="20"/>
                        </w:rPr>
                        <w:t>Že závazek nevznikne (nepodepíše)</w:t>
                      </w:r>
                    </w:p>
                    <w:p w14:paraId="5ABE05C8" w14:textId="77777777" w:rsidR="00511D9B" w:rsidRPr="009A3084" w:rsidRDefault="00511D9B" w:rsidP="0065698B">
                      <w:pPr>
                        <w:pStyle w:val="Odstavecseseznamem"/>
                        <w:numPr>
                          <w:ilvl w:val="0"/>
                          <w:numId w:val="42"/>
                        </w:numPr>
                        <w:spacing w:line="216" w:lineRule="auto"/>
                        <w:ind w:right="-57"/>
                        <w:rPr>
                          <w:rFonts w:asciiTheme="minorHAnsi" w:hAnsiTheme="minorHAnsi" w:cstheme="minorHAnsi"/>
                          <w:sz w:val="20"/>
                        </w:rPr>
                      </w:pPr>
                      <w:r>
                        <w:rPr>
                          <w:rFonts w:asciiTheme="minorHAnsi" w:hAnsiTheme="minorHAnsi" w:cstheme="minorHAnsi"/>
                          <w:sz w:val="20"/>
                        </w:rPr>
                        <w:t>Že chce dokumentaci upravit</w:t>
                      </w:r>
                    </w:p>
                  </w:txbxContent>
                </v:textbox>
              </v:shape>
            </w:pict>
          </mc:Fallback>
        </mc:AlternateContent>
      </w:r>
    </w:p>
    <w:p w14:paraId="5D81E9C6" w14:textId="5795210F" w:rsidR="00C10416" w:rsidRPr="003A15F4" w:rsidRDefault="00C10416" w:rsidP="00C10416">
      <w:pPr>
        <w:jc w:val="both"/>
        <w:rPr>
          <w:rFonts w:asciiTheme="minorHAnsi" w:hAnsiTheme="minorHAnsi" w:cstheme="minorHAnsi"/>
        </w:rPr>
      </w:pPr>
      <w:r w:rsidRPr="00DC7F02">
        <w:rPr>
          <w:rFonts w:asciiTheme="minorHAnsi" w:hAnsiTheme="minorHAnsi"/>
          <w:i/>
        </w:rPr>
        <w:t xml:space="preserve">Zdroj: </w:t>
      </w:r>
      <w:r w:rsidR="004F4320">
        <w:rPr>
          <w:rFonts w:asciiTheme="minorHAnsi" w:eastAsia="Calibri" w:hAnsiTheme="minorHAnsi" w:cstheme="minorHAnsi"/>
          <w:i/>
          <w:iCs/>
        </w:rPr>
        <w:t>Půček, Páleníková (2022</w:t>
      </w:r>
      <w:r w:rsidR="00DB39C1">
        <w:rPr>
          <w:rFonts w:asciiTheme="minorHAnsi" w:eastAsia="Calibri" w:hAnsiTheme="minorHAnsi" w:cstheme="minorHAnsi"/>
          <w:i/>
          <w:iCs/>
        </w:rPr>
        <w:t>a</w:t>
      </w:r>
      <w:r w:rsidR="004F4320">
        <w:rPr>
          <w:rFonts w:asciiTheme="minorHAnsi" w:eastAsia="Calibri" w:hAnsiTheme="minorHAnsi" w:cstheme="minorHAnsi"/>
          <w:i/>
          <w:iCs/>
        </w:rPr>
        <w:t>)</w:t>
      </w:r>
    </w:p>
    <w:p w14:paraId="68BB155C" w14:textId="77777777" w:rsidR="00C10416" w:rsidRPr="00C10416" w:rsidRDefault="00C10416" w:rsidP="00C10416">
      <w:pPr>
        <w:jc w:val="both"/>
        <w:rPr>
          <w:rFonts w:ascii="Calibri" w:hAnsi="Calibri" w:cs="Calibri"/>
        </w:rPr>
      </w:pPr>
    </w:p>
    <w:p w14:paraId="01C99DDD" w14:textId="77777777" w:rsidR="003E214F" w:rsidRPr="005149E0" w:rsidRDefault="003E214F" w:rsidP="003E214F">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7AD64B53" w14:textId="473A10AC" w:rsidR="009E5A5D" w:rsidRDefault="00E20F12" w:rsidP="0065698B">
      <w:pPr>
        <w:pStyle w:val="Odstavecseseznamem"/>
        <w:numPr>
          <w:ilvl w:val="0"/>
          <w:numId w:val="22"/>
        </w:numPr>
        <w:jc w:val="both"/>
        <w:rPr>
          <w:rFonts w:asciiTheme="minorHAnsi" w:hAnsiTheme="minorHAnsi" w:cstheme="minorHAnsi"/>
        </w:rPr>
      </w:pPr>
      <w:r>
        <w:rPr>
          <w:rFonts w:asciiTheme="minorHAnsi" w:hAnsiTheme="minorHAnsi" w:cstheme="minorHAnsi"/>
        </w:rPr>
        <w:t xml:space="preserve">Z vývojového diagramu je patrný postup </w:t>
      </w:r>
      <w:r w:rsidR="009E5A5D">
        <w:rPr>
          <w:rFonts w:asciiTheme="minorHAnsi" w:hAnsiTheme="minorHAnsi" w:cstheme="minorHAnsi"/>
        </w:rPr>
        <w:t>předběžné finanční</w:t>
      </w:r>
      <w:r>
        <w:rPr>
          <w:rFonts w:asciiTheme="minorHAnsi" w:hAnsiTheme="minorHAnsi" w:cstheme="minorHAnsi"/>
        </w:rPr>
        <w:t xml:space="preserve"> kontroly před vznikem závazku.</w:t>
      </w:r>
      <w:r w:rsidR="009E5A5D">
        <w:rPr>
          <w:rFonts w:asciiTheme="minorHAnsi" w:hAnsiTheme="minorHAnsi" w:cstheme="minorHAnsi"/>
        </w:rPr>
        <w:t xml:space="preserve"> Ta musí proběhnout u každého výdaje, příjmu nebo jiného nakládání s veřejnými prostředky. </w:t>
      </w:r>
      <w:r w:rsidR="00B677AE">
        <w:rPr>
          <w:rFonts w:asciiTheme="minorHAnsi" w:hAnsiTheme="minorHAnsi" w:cstheme="minorHAnsi"/>
        </w:rPr>
        <w:t>Zákon o finanční kontrole uvádí, že se předběžná kontrola provádí u plánovaných a připravovaných operací.</w:t>
      </w:r>
    </w:p>
    <w:p w14:paraId="2EB9E94C" w14:textId="010FEBD3" w:rsidR="003E214F" w:rsidRDefault="009E5A5D" w:rsidP="0065698B">
      <w:pPr>
        <w:pStyle w:val="Odstavecseseznamem"/>
        <w:numPr>
          <w:ilvl w:val="0"/>
          <w:numId w:val="22"/>
        </w:numPr>
        <w:jc w:val="both"/>
        <w:rPr>
          <w:rFonts w:asciiTheme="minorHAnsi" w:hAnsiTheme="minorHAnsi" w:cstheme="minorHAnsi"/>
        </w:rPr>
      </w:pPr>
      <w:r>
        <w:rPr>
          <w:rFonts w:asciiTheme="minorHAnsi" w:hAnsiTheme="minorHAnsi" w:cstheme="minorHAnsi"/>
        </w:rPr>
        <w:t>Uvedeny postup lze považovat za dobrou praxi u schvalovacího postupu smluv, veřejných zakázek a podobně. Jde o výdaje se středním nebo vyšším rizikem. Postup lze považovat za dobrou praxi. V konkrétní instituci může dle místních podmínek probíhat částečně odlišně.</w:t>
      </w:r>
    </w:p>
    <w:p w14:paraId="5AD6AC2E" w14:textId="73253045" w:rsidR="000729B5" w:rsidRDefault="000729B5" w:rsidP="000729B5">
      <w:pPr>
        <w:jc w:val="both"/>
        <w:rPr>
          <w:rFonts w:asciiTheme="minorHAnsi" w:hAnsiTheme="minorHAnsi" w:cstheme="minorHAnsi"/>
        </w:rPr>
      </w:pPr>
    </w:p>
    <w:p w14:paraId="0AA33A86" w14:textId="3B1B2857" w:rsidR="000729B5" w:rsidRPr="00800588" w:rsidRDefault="000729B5" w:rsidP="000729B5">
      <w:pPr>
        <w:pStyle w:val="Nadpis2"/>
        <w:spacing w:before="240" w:after="120"/>
        <w:ind w:left="578" w:hanging="578"/>
        <w:rPr>
          <w:rFonts w:ascii="Calibri" w:hAnsi="Calibri"/>
          <w:color w:val="7493B0"/>
          <w:sz w:val="24"/>
          <w:szCs w:val="24"/>
          <w:lang w:val="cs-CZ"/>
        </w:rPr>
      </w:pPr>
      <w:bookmarkStart w:id="93" w:name="_Toc103977835"/>
      <w:bookmarkStart w:id="94" w:name="_Toc117270025"/>
      <w:r>
        <w:rPr>
          <w:rFonts w:ascii="Calibri" w:hAnsi="Calibri"/>
          <w:color w:val="7493B0"/>
          <w:sz w:val="24"/>
          <w:szCs w:val="24"/>
          <w:lang w:val="cs-CZ"/>
        </w:rPr>
        <w:lastRenderedPageBreak/>
        <w:t>Příklad vyhodnocení</w:t>
      </w:r>
      <w:r w:rsidRPr="00800588">
        <w:rPr>
          <w:rFonts w:ascii="Calibri" w:hAnsi="Calibri"/>
          <w:color w:val="7493B0"/>
          <w:sz w:val="24"/>
          <w:szCs w:val="24"/>
          <w:lang w:val="cs-CZ"/>
        </w:rPr>
        <w:t xml:space="preserve"> rizik v rámci </w:t>
      </w:r>
      <w:r w:rsidR="00D8433F">
        <w:rPr>
          <w:rFonts w:ascii="Calibri" w:hAnsi="Calibri"/>
          <w:color w:val="7493B0"/>
          <w:sz w:val="24"/>
          <w:szCs w:val="24"/>
          <w:lang w:val="cs-CZ"/>
        </w:rPr>
        <w:t>strategie rozvoje města</w:t>
      </w:r>
      <w:bookmarkEnd w:id="93"/>
      <w:bookmarkEnd w:id="94"/>
    </w:p>
    <w:p w14:paraId="3308E146" w14:textId="77777777" w:rsidR="000729B5" w:rsidRDefault="000729B5" w:rsidP="000729B5">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76B715EA" w14:textId="6151137C" w:rsidR="000729B5" w:rsidRDefault="000729B5" w:rsidP="000729B5">
      <w:pPr>
        <w:spacing w:after="120"/>
        <w:jc w:val="both"/>
        <w:rPr>
          <w:rFonts w:asciiTheme="minorHAnsi" w:hAnsiTheme="minorHAnsi" w:cstheme="minorHAnsi"/>
        </w:rPr>
      </w:pPr>
      <w:r>
        <w:rPr>
          <w:rFonts w:asciiTheme="minorHAnsi" w:hAnsiTheme="minorHAnsi" w:cstheme="minorHAnsi"/>
        </w:rPr>
        <w:t xml:space="preserve">Jedna ze zásad zdravého finančního řízení (viz kapitola 9) vyžaduje, mít vytvořený systém řízení rizik. Případová studie se týká analýzy rizik města, která byla zpracována v rámci </w:t>
      </w:r>
      <w:r w:rsidR="00D8433F">
        <w:rPr>
          <w:rFonts w:asciiTheme="minorHAnsi" w:hAnsiTheme="minorHAnsi" w:cstheme="minorHAnsi"/>
        </w:rPr>
        <w:t>strategie rozvoje města</w:t>
      </w:r>
      <w:r>
        <w:rPr>
          <w:rFonts w:asciiTheme="minorHAnsi" w:hAnsiTheme="minorHAnsi" w:cstheme="minorHAnsi"/>
        </w:rPr>
        <w:t>. Další podobné příklady a metodiku pro hodnocení rizik je možné najít k nástroji k řízení rizik</w:t>
      </w:r>
      <w:r>
        <w:rPr>
          <w:rStyle w:val="Znakapoznpodarou"/>
          <w:rFonts w:asciiTheme="minorHAnsi" w:hAnsiTheme="minorHAnsi" w:cstheme="minorHAnsi"/>
        </w:rPr>
        <w:footnoteReference w:id="60"/>
      </w:r>
      <w:r>
        <w:rPr>
          <w:rFonts w:asciiTheme="minorHAnsi" w:hAnsiTheme="minorHAnsi" w:cstheme="minorHAnsi"/>
        </w:rPr>
        <w:t>.</w:t>
      </w:r>
    </w:p>
    <w:p w14:paraId="68D0A9E4" w14:textId="77777777" w:rsidR="000729B5" w:rsidRPr="006B6EA5" w:rsidRDefault="000729B5" w:rsidP="000729B5">
      <w:pPr>
        <w:spacing w:after="120"/>
        <w:jc w:val="both"/>
        <w:rPr>
          <w:rFonts w:asciiTheme="minorHAnsi" w:hAnsiTheme="minorHAnsi" w:cstheme="minorHAnsi"/>
          <w:b/>
        </w:rPr>
      </w:pPr>
      <w:r w:rsidRPr="006B6EA5">
        <w:rPr>
          <w:rFonts w:asciiTheme="minorHAnsi" w:hAnsiTheme="minorHAnsi" w:cstheme="minorHAnsi"/>
          <w:b/>
        </w:rPr>
        <w:t>Popis případové studie:</w:t>
      </w:r>
    </w:p>
    <w:p w14:paraId="281281A5" w14:textId="6A29248C" w:rsidR="000729B5" w:rsidRPr="00C15A3B" w:rsidRDefault="000729B5" w:rsidP="000729B5">
      <w:pPr>
        <w:pStyle w:val="Zkladntext3"/>
        <w:spacing w:line="360" w:lineRule="auto"/>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V následující tabulce je část registru rizik města Ústí nad Labem, který byl zpracován v rámci analýz </w:t>
      </w:r>
      <w:r w:rsidR="00D8433F">
        <w:rPr>
          <w:rFonts w:asciiTheme="minorHAnsi" w:eastAsia="Calibri" w:hAnsiTheme="minorHAnsi" w:cstheme="minorHAnsi"/>
          <w:sz w:val="24"/>
          <w:szCs w:val="24"/>
        </w:rPr>
        <w:t>strategie rozvoje města</w:t>
      </w:r>
      <w:r>
        <w:rPr>
          <w:rFonts w:asciiTheme="minorHAnsi" w:eastAsia="Calibri" w:hAnsiTheme="minorHAnsi" w:cstheme="minorHAnsi"/>
          <w:sz w:val="24"/>
          <w:szCs w:val="24"/>
        </w:rPr>
        <w:t xml:space="preserve">. </w:t>
      </w:r>
      <w:r w:rsidRPr="00C15A3B">
        <w:rPr>
          <w:rFonts w:asciiTheme="minorHAnsi" w:eastAsia="Calibri" w:hAnsiTheme="minorHAnsi" w:cstheme="minorHAnsi"/>
          <w:sz w:val="24"/>
          <w:szCs w:val="24"/>
        </w:rPr>
        <w:t>Město Ústí nad Labem v rámci svého rozvoje identifikovalo celkem 52 rizik, v tabulce jsou uvedeny jen vybrané.</w:t>
      </w:r>
      <w:r>
        <w:rPr>
          <w:rFonts w:asciiTheme="minorHAnsi" w:eastAsia="Calibri" w:hAnsiTheme="minorHAnsi" w:cstheme="minorHAnsi"/>
          <w:sz w:val="24"/>
          <w:szCs w:val="24"/>
        </w:rPr>
        <w:t xml:space="preserve"> Četnost výskytu je označena jako „P“, dopad do rozpočtu jako „D“. Sloupec V uvádí významnost rizika</w:t>
      </w:r>
    </w:p>
    <w:p w14:paraId="69046D68" w14:textId="0C445FCF" w:rsidR="000729B5" w:rsidRPr="00783EDD" w:rsidRDefault="000729B5" w:rsidP="000729B5">
      <w:pPr>
        <w:jc w:val="both"/>
        <w:rPr>
          <w:rFonts w:asciiTheme="minorHAnsi" w:hAnsiTheme="minorHAnsi" w:cstheme="minorHAnsi"/>
          <w:i/>
          <w:iCs/>
        </w:rPr>
      </w:pPr>
      <w:r w:rsidRPr="00783EDD">
        <w:rPr>
          <w:rFonts w:asciiTheme="minorHAnsi" w:hAnsiTheme="minorHAnsi" w:cstheme="minorHAnsi"/>
          <w:i/>
          <w:iCs/>
        </w:rPr>
        <w:t xml:space="preserve">Tab. </w:t>
      </w:r>
      <w:r w:rsidR="004F0E1D">
        <w:rPr>
          <w:rFonts w:asciiTheme="minorHAnsi" w:hAnsiTheme="minorHAnsi" w:cstheme="minorHAnsi"/>
          <w:i/>
          <w:iCs/>
        </w:rPr>
        <w:t>2</w:t>
      </w:r>
      <w:r w:rsidR="00C14739">
        <w:rPr>
          <w:rFonts w:asciiTheme="minorHAnsi" w:hAnsiTheme="minorHAnsi" w:cstheme="minorHAnsi"/>
          <w:i/>
          <w:iCs/>
        </w:rPr>
        <w:t>9</w:t>
      </w:r>
      <w:r w:rsidRPr="00783EDD">
        <w:rPr>
          <w:rFonts w:asciiTheme="minorHAnsi" w:hAnsiTheme="minorHAnsi" w:cstheme="minorHAnsi"/>
          <w:i/>
          <w:iCs/>
        </w:rPr>
        <w:t xml:space="preserve"> </w:t>
      </w:r>
      <w:r>
        <w:rPr>
          <w:rFonts w:asciiTheme="minorHAnsi" w:hAnsiTheme="minorHAnsi" w:cstheme="minorHAnsi"/>
          <w:i/>
          <w:iCs/>
        </w:rPr>
        <w:t>Analýza</w:t>
      </w:r>
      <w:r w:rsidRPr="00783EDD">
        <w:rPr>
          <w:rFonts w:asciiTheme="minorHAnsi" w:hAnsiTheme="minorHAnsi" w:cstheme="minorHAnsi"/>
          <w:i/>
          <w:iCs/>
        </w:rPr>
        <w:t xml:space="preserve"> </w:t>
      </w:r>
      <w:r>
        <w:rPr>
          <w:rFonts w:asciiTheme="minorHAnsi" w:hAnsiTheme="minorHAnsi" w:cstheme="minorHAnsi"/>
          <w:i/>
          <w:iCs/>
        </w:rPr>
        <w:t xml:space="preserve">(vyhodnocení) </w:t>
      </w:r>
      <w:r w:rsidRPr="00783EDD">
        <w:rPr>
          <w:rFonts w:asciiTheme="minorHAnsi" w:hAnsiTheme="minorHAnsi" w:cstheme="minorHAnsi"/>
          <w:i/>
          <w:iCs/>
        </w:rPr>
        <w:t>rizik města Ústí nad Labem</w:t>
      </w:r>
      <w:r>
        <w:rPr>
          <w:rFonts w:asciiTheme="minorHAnsi" w:hAnsiTheme="minorHAnsi" w:cstheme="minorHAnsi"/>
          <w:i/>
          <w:iCs/>
        </w:rPr>
        <w:t xml:space="preserve"> v rámci </w:t>
      </w:r>
      <w:r w:rsidR="00D8433F">
        <w:rPr>
          <w:rFonts w:asciiTheme="minorHAnsi" w:hAnsiTheme="minorHAnsi" w:cstheme="minorHAnsi"/>
          <w:i/>
          <w:iCs/>
        </w:rPr>
        <w:t>strategie rozvoje města</w:t>
      </w:r>
    </w:p>
    <w:tbl>
      <w:tblPr>
        <w:tblW w:w="88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52"/>
        <w:gridCol w:w="907"/>
        <w:gridCol w:w="3912"/>
        <w:gridCol w:w="426"/>
        <w:gridCol w:w="283"/>
        <w:gridCol w:w="709"/>
        <w:gridCol w:w="2268"/>
      </w:tblGrid>
      <w:tr w:rsidR="000729B5" w:rsidRPr="00A94B6E" w14:paraId="5E26C4D3" w14:textId="77777777" w:rsidTr="006E4001">
        <w:trPr>
          <w:trHeight w:val="233"/>
        </w:trPr>
        <w:tc>
          <w:tcPr>
            <w:tcW w:w="352" w:type="dxa"/>
            <w:vMerge w:val="restart"/>
            <w:tcBorders>
              <w:top w:val="single" w:sz="12" w:space="0" w:color="auto"/>
              <w:left w:val="single" w:sz="12" w:space="0" w:color="auto"/>
              <w:bottom w:val="single" w:sz="6" w:space="0" w:color="auto"/>
              <w:right w:val="single" w:sz="6" w:space="0" w:color="auto"/>
            </w:tcBorders>
            <w:shd w:val="clear" w:color="auto" w:fill="F2F2F2"/>
            <w:noWrap/>
            <w:vAlign w:val="center"/>
          </w:tcPr>
          <w:p w14:paraId="69E62025"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Č.</w:t>
            </w:r>
          </w:p>
        </w:tc>
        <w:tc>
          <w:tcPr>
            <w:tcW w:w="907" w:type="dxa"/>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6C24D3"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Skupina rizik</w:t>
            </w:r>
          </w:p>
        </w:tc>
        <w:tc>
          <w:tcPr>
            <w:tcW w:w="3912" w:type="dxa"/>
            <w:vMerge w:val="restart"/>
            <w:tcBorders>
              <w:top w:val="single" w:sz="12" w:space="0" w:color="auto"/>
              <w:left w:val="single" w:sz="6" w:space="0" w:color="auto"/>
              <w:bottom w:val="single" w:sz="6" w:space="0" w:color="auto"/>
              <w:right w:val="single" w:sz="6" w:space="0" w:color="auto"/>
            </w:tcBorders>
            <w:shd w:val="clear" w:color="auto" w:fill="F2F2F2"/>
            <w:noWrap/>
            <w:vAlign w:val="center"/>
          </w:tcPr>
          <w:p w14:paraId="1BCD9662"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Název rizika</w:t>
            </w:r>
          </w:p>
        </w:tc>
        <w:tc>
          <w:tcPr>
            <w:tcW w:w="1418" w:type="dxa"/>
            <w:gridSpan w:val="3"/>
            <w:tcBorders>
              <w:top w:val="single" w:sz="12" w:space="0" w:color="auto"/>
              <w:left w:val="single" w:sz="6" w:space="0" w:color="auto"/>
              <w:bottom w:val="single" w:sz="6" w:space="0" w:color="auto"/>
              <w:right w:val="single" w:sz="6" w:space="0" w:color="auto"/>
            </w:tcBorders>
            <w:shd w:val="clear" w:color="auto" w:fill="F2F2F2"/>
            <w:vAlign w:val="center"/>
          </w:tcPr>
          <w:p w14:paraId="390EFE60"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Hodnocení rizika</w:t>
            </w:r>
          </w:p>
        </w:tc>
        <w:tc>
          <w:tcPr>
            <w:tcW w:w="2268" w:type="dxa"/>
            <w:vMerge w:val="restart"/>
            <w:tcBorders>
              <w:top w:val="single" w:sz="12" w:space="0" w:color="auto"/>
              <w:left w:val="single" w:sz="6" w:space="0" w:color="auto"/>
              <w:bottom w:val="single" w:sz="6" w:space="0" w:color="auto"/>
              <w:right w:val="single" w:sz="12" w:space="0" w:color="auto"/>
            </w:tcBorders>
            <w:shd w:val="clear" w:color="auto" w:fill="F2F2F2"/>
            <w:noWrap/>
            <w:vAlign w:val="center"/>
          </w:tcPr>
          <w:p w14:paraId="0F417B60"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Vlastník rizika</w:t>
            </w:r>
          </w:p>
        </w:tc>
      </w:tr>
      <w:tr w:rsidR="000729B5" w:rsidRPr="00A94B6E" w14:paraId="32B0A072" w14:textId="77777777" w:rsidTr="006E4001">
        <w:trPr>
          <w:trHeight w:val="93"/>
        </w:trPr>
        <w:tc>
          <w:tcPr>
            <w:tcW w:w="352" w:type="dxa"/>
            <w:vMerge/>
            <w:tcBorders>
              <w:top w:val="single" w:sz="6" w:space="0" w:color="auto"/>
              <w:left w:val="single" w:sz="12" w:space="0" w:color="auto"/>
              <w:bottom w:val="single" w:sz="6" w:space="0" w:color="auto"/>
              <w:right w:val="single" w:sz="6" w:space="0" w:color="auto"/>
            </w:tcBorders>
            <w:shd w:val="clear" w:color="auto" w:fill="F2F2F2"/>
            <w:noWrap/>
            <w:vAlign w:val="center"/>
          </w:tcPr>
          <w:p w14:paraId="1059C047" w14:textId="77777777" w:rsidR="000729B5" w:rsidRPr="00A94B6E" w:rsidRDefault="000729B5" w:rsidP="006E4001">
            <w:pPr>
              <w:spacing w:line="216" w:lineRule="auto"/>
              <w:ind w:left="-57" w:right="-57"/>
              <w:jc w:val="center"/>
              <w:rPr>
                <w:rFonts w:asciiTheme="minorHAnsi" w:hAnsiTheme="minorHAnsi" w:cstheme="minorHAnsi"/>
                <w:b/>
                <w:bCs/>
                <w:sz w:val="20"/>
                <w:szCs w:val="20"/>
              </w:rPr>
            </w:pPr>
          </w:p>
        </w:tc>
        <w:tc>
          <w:tcPr>
            <w:tcW w:w="907"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320D4D" w14:textId="77777777" w:rsidR="000729B5" w:rsidRPr="00A94B6E" w:rsidRDefault="000729B5" w:rsidP="006E4001">
            <w:pPr>
              <w:spacing w:line="216" w:lineRule="auto"/>
              <w:ind w:left="-57" w:right="-57"/>
              <w:jc w:val="center"/>
              <w:rPr>
                <w:rFonts w:asciiTheme="minorHAnsi" w:hAnsiTheme="minorHAnsi" w:cstheme="minorHAnsi"/>
                <w:b/>
                <w:bCs/>
                <w:sz w:val="20"/>
                <w:szCs w:val="20"/>
              </w:rPr>
            </w:pPr>
          </w:p>
        </w:tc>
        <w:tc>
          <w:tcPr>
            <w:tcW w:w="3912" w:type="dxa"/>
            <w:vMerge/>
            <w:tcBorders>
              <w:top w:val="single" w:sz="6" w:space="0" w:color="auto"/>
              <w:left w:val="single" w:sz="6" w:space="0" w:color="auto"/>
              <w:bottom w:val="single" w:sz="6" w:space="0" w:color="auto"/>
              <w:right w:val="single" w:sz="6" w:space="0" w:color="auto"/>
            </w:tcBorders>
            <w:shd w:val="clear" w:color="auto" w:fill="F2F2F2"/>
            <w:noWrap/>
            <w:vAlign w:val="center"/>
          </w:tcPr>
          <w:p w14:paraId="413534F0" w14:textId="77777777" w:rsidR="000729B5" w:rsidRPr="00A94B6E" w:rsidRDefault="000729B5" w:rsidP="006E4001">
            <w:pPr>
              <w:spacing w:line="216" w:lineRule="auto"/>
              <w:ind w:left="-57" w:right="-57"/>
              <w:jc w:val="center"/>
              <w:rPr>
                <w:rFonts w:asciiTheme="minorHAnsi" w:hAnsiTheme="minorHAnsi" w:cstheme="minorHAnsi"/>
                <w:b/>
                <w:bCs/>
                <w:sz w:val="20"/>
                <w:szCs w:val="2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14:paraId="313CBF9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P</w:t>
            </w:r>
          </w:p>
        </w:tc>
        <w:tc>
          <w:tcPr>
            <w:tcW w:w="283" w:type="dxa"/>
            <w:tcBorders>
              <w:top w:val="single" w:sz="6" w:space="0" w:color="auto"/>
              <w:left w:val="single" w:sz="6" w:space="0" w:color="auto"/>
              <w:bottom w:val="single" w:sz="6" w:space="0" w:color="auto"/>
              <w:right w:val="single" w:sz="6" w:space="0" w:color="auto"/>
            </w:tcBorders>
            <w:shd w:val="clear" w:color="auto" w:fill="F2F2F2"/>
            <w:vAlign w:val="center"/>
          </w:tcPr>
          <w:p w14:paraId="028EECFC"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D</w:t>
            </w:r>
          </w:p>
        </w:tc>
        <w:tc>
          <w:tcPr>
            <w:tcW w:w="709" w:type="dxa"/>
            <w:tcBorders>
              <w:top w:val="single" w:sz="6" w:space="0" w:color="auto"/>
              <w:left w:val="single" w:sz="6" w:space="0" w:color="auto"/>
              <w:bottom w:val="single" w:sz="6" w:space="0" w:color="auto"/>
              <w:right w:val="single" w:sz="6" w:space="0" w:color="auto"/>
            </w:tcBorders>
            <w:shd w:val="clear" w:color="auto" w:fill="F2F2F2"/>
            <w:vAlign w:val="center"/>
          </w:tcPr>
          <w:p w14:paraId="40262CF4"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V = P*D</w:t>
            </w:r>
          </w:p>
        </w:tc>
        <w:tc>
          <w:tcPr>
            <w:tcW w:w="2268" w:type="dxa"/>
            <w:vMerge/>
            <w:tcBorders>
              <w:top w:val="single" w:sz="6" w:space="0" w:color="auto"/>
              <w:left w:val="single" w:sz="6" w:space="0" w:color="auto"/>
              <w:bottom w:val="single" w:sz="6" w:space="0" w:color="auto"/>
              <w:right w:val="single" w:sz="12" w:space="0" w:color="auto"/>
            </w:tcBorders>
            <w:shd w:val="clear" w:color="auto" w:fill="F2F2F2"/>
            <w:noWrap/>
            <w:vAlign w:val="center"/>
          </w:tcPr>
          <w:p w14:paraId="13976955" w14:textId="77777777" w:rsidR="000729B5" w:rsidRPr="00A94B6E" w:rsidRDefault="000729B5" w:rsidP="006E4001">
            <w:pPr>
              <w:spacing w:line="216" w:lineRule="auto"/>
              <w:ind w:left="-57" w:right="-57"/>
              <w:jc w:val="center"/>
              <w:rPr>
                <w:rFonts w:asciiTheme="minorHAnsi" w:hAnsiTheme="minorHAnsi" w:cstheme="minorHAnsi"/>
                <w:b/>
                <w:bCs/>
                <w:sz w:val="20"/>
                <w:szCs w:val="20"/>
              </w:rPr>
            </w:pPr>
          </w:p>
        </w:tc>
      </w:tr>
      <w:tr w:rsidR="000729B5" w:rsidRPr="00A94B6E" w14:paraId="5478349A" w14:textId="77777777" w:rsidTr="006E4001">
        <w:trPr>
          <w:trHeight w:val="233"/>
        </w:trPr>
        <w:tc>
          <w:tcPr>
            <w:tcW w:w="352" w:type="dxa"/>
            <w:tcBorders>
              <w:top w:val="single" w:sz="12" w:space="0" w:color="auto"/>
              <w:left w:val="single" w:sz="12" w:space="0" w:color="auto"/>
              <w:bottom w:val="single" w:sz="6" w:space="0" w:color="auto"/>
              <w:right w:val="single" w:sz="6" w:space="0" w:color="auto"/>
            </w:tcBorders>
            <w:shd w:val="clear" w:color="auto" w:fill="F2F2F2"/>
            <w:noWrap/>
            <w:vAlign w:val="center"/>
          </w:tcPr>
          <w:p w14:paraId="3D080297"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1</w:t>
            </w:r>
          </w:p>
        </w:tc>
        <w:tc>
          <w:tcPr>
            <w:tcW w:w="907" w:type="dxa"/>
            <w:vMerge w:val="restart"/>
            <w:tcBorders>
              <w:top w:val="single" w:sz="12" w:space="0" w:color="auto"/>
              <w:left w:val="single" w:sz="6" w:space="0" w:color="auto"/>
              <w:right w:val="single" w:sz="6" w:space="0" w:color="auto"/>
            </w:tcBorders>
            <w:shd w:val="clear" w:color="auto" w:fill="F2F2F2" w:themeFill="background1" w:themeFillShade="F2"/>
            <w:vAlign w:val="center"/>
          </w:tcPr>
          <w:p w14:paraId="77583823"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Finanční riziko</w:t>
            </w:r>
          </w:p>
        </w:tc>
        <w:tc>
          <w:tcPr>
            <w:tcW w:w="3912" w:type="dxa"/>
            <w:tcBorders>
              <w:top w:val="single" w:sz="12" w:space="0" w:color="auto"/>
              <w:left w:val="single" w:sz="6" w:space="0" w:color="auto"/>
              <w:bottom w:val="single" w:sz="6" w:space="0" w:color="auto"/>
              <w:right w:val="single" w:sz="6" w:space="0" w:color="auto"/>
            </w:tcBorders>
            <w:shd w:val="clear" w:color="auto" w:fill="FFFFFF"/>
            <w:vAlign w:val="center"/>
          </w:tcPr>
          <w:p w14:paraId="0E6E9C64"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Nedostatek prostředků na investice (a velké opravy), vč. na kofinancování evropských dotací</w:t>
            </w:r>
          </w:p>
        </w:tc>
        <w:tc>
          <w:tcPr>
            <w:tcW w:w="426"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44725D9A"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283"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727DBC67"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5CB1A4FE"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12" w:space="0" w:color="auto"/>
              <w:left w:val="single" w:sz="6" w:space="0" w:color="auto"/>
              <w:bottom w:val="single" w:sz="6" w:space="0" w:color="auto"/>
              <w:right w:val="single" w:sz="12" w:space="0" w:color="auto"/>
            </w:tcBorders>
            <w:shd w:val="clear" w:color="auto" w:fill="FFFFFF"/>
            <w:vAlign w:val="center"/>
          </w:tcPr>
          <w:p w14:paraId="26137B91"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tc>
      </w:tr>
      <w:tr w:rsidR="000729B5" w:rsidRPr="00A94B6E" w14:paraId="0B520FAE" w14:textId="77777777" w:rsidTr="006E4001">
        <w:trPr>
          <w:trHeight w:val="250"/>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2286EA5D"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w:t>
            </w:r>
          </w:p>
        </w:tc>
        <w:tc>
          <w:tcPr>
            <w:tcW w:w="907" w:type="dxa"/>
            <w:vMerge/>
            <w:tcBorders>
              <w:left w:val="single" w:sz="6" w:space="0" w:color="auto"/>
              <w:right w:val="single" w:sz="6" w:space="0" w:color="auto"/>
            </w:tcBorders>
            <w:shd w:val="clear" w:color="auto" w:fill="F2F2F2" w:themeFill="background1" w:themeFillShade="F2"/>
            <w:vAlign w:val="center"/>
          </w:tcPr>
          <w:p w14:paraId="2CD9B346"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36BF54D4"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Nedostatek prostředků na běžný provoz</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5261F0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8163D5"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5</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8DF8166"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10</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71740789"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tc>
      </w:tr>
      <w:tr w:rsidR="000729B5" w:rsidRPr="00A94B6E" w14:paraId="5ECA8157" w14:textId="77777777" w:rsidTr="006E4001">
        <w:trPr>
          <w:trHeight w:val="296"/>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663031E4"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907" w:type="dxa"/>
            <w:vMerge/>
            <w:tcBorders>
              <w:left w:val="single" w:sz="6" w:space="0" w:color="auto"/>
              <w:right w:val="single" w:sz="6" w:space="0" w:color="auto"/>
            </w:tcBorders>
            <w:shd w:val="clear" w:color="auto" w:fill="F2F2F2" w:themeFill="background1" w:themeFillShade="F2"/>
            <w:vAlign w:val="center"/>
          </w:tcPr>
          <w:p w14:paraId="61F6F40F"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59FDC36E"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Neochota státu finančně přispět k řešení problémů města a kraje</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73F46F2"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91B902"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E736EBF"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0D6C7A3E"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159A62BC"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Kraj</w:t>
            </w:r>
          </w:p>
        </w:tc>
      </w:tr>
      <w:tr w:rsidR="000729B5" w:rsidRPr="00A94B6E" w14:paraId="31B2930A" w14:textId="77777777" w:rsidTr="006E4001">
        <w:trPr>
          <w:trHeight w:val="499"/>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19D0C58B"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907" w:type="dxa"/>
            <w:vMerge/>
            <w:tcBorders>
              <w:left w:val="single" w:sz="6" w:space="0" w:color="auto"/>
              <w:right w:val="single" w:sz="6" w:space="0" w:color="auto"/>
            </w:tcBorders>
            <w:shd w:val="clear" w:color="auto" w:fill="F2F2F2" w:themeFill="background1" w:themeFillShade="F2"/>
            <w:vAlign w:val="center"/>
          </w:tcPr>
          <w:p w14:paraId="79371E4A"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5291F0F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Restriktivní hospodářská politika státu – omezení investic na území města a kraje při snižování schodku státního rozpočtu</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3D55BB1"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2B5EBA"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9DE0612"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559BCE28"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5540CAD8"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Kraj</w:t>
            </w:r>
          </w:p>
        </w:tc>
      </w:tr>
      <w:tr w:rsidR="000729B5" w:rsidRPr="00A94B6E" w14:paraId="6890C9DF" w14:textId="77777777" w:rsidTr="006E4001">
        <w:trPr>
          <w:trHeight w:val="208"/>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2ABFC6EB"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5</w:t>
            </w:r>
          </w:p>
        </w:tc>
        <w:tc>
          <w:tcPr>
            <w:tcW w:w="907" w:type="dxa"/>
            <w:vMerge/>
            <w:tcBorders>
              <w:left w:val="single" w:sz="6" w:space="0" w:color="auto"/>
              <w:right w:val="single" w:sz="6" w:space="0" w:color="auto"/>
            </w:tcBorders>
            <w:shd w:val="clear" w:color="auto" w:fill="F2F2F2" w:themeFill="background1" w:themeFillShade="F2"/>
            <w:vAlign w:val="center"/>
          </w:tcPr>
          <w:p w14:paraId="1A3EE882"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7A6A9379"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Nedostatek prostředků kraje na investice, opravy a provoz krajských zařízení na území města</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5A87766"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AF97A5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FD83AB9"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9</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45518520"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Kraj;</w:t>
            </w:r>
          </w:p>
          <w:p w14:paraId="636D061F" w14:textId="77777777" w:rsidR="000729B5" w:rsidRPr="00A94B6E" w:rsidRDefault="000729B5" w:rsidP="006E4001">
            <w:pPr>
              <w:spacing w:line="216" w:lineRule="auto"/>
              <w:ind w:left="-57" w:right="-57"/>
              <w:rPr>
                <w:rFonts w:asciiTheme="minorHAnsi" w:hAnsiTheme="minorHAnsi" w:cstheme="minorHAnsi"/>
                <w:sz w:val="20"/>
                <w:szCs w:val="20"/>
              </w:rPr>
            </w:pPr>
            <w:r>
              <w:rPr>
                <w:rFonts w:asciiTheme="minorHAnsi" w:hAnsiTheme="minorHAnsi" w:cstheme="minorHAnsi"/>
                <w:sz w:val="20"/>
                <w:szCs w:val="20"/>
              </w:rPr>
              <w:t>Město Ústí nad Labem</w:t>
            </w:r>
          </w:p>
        </w:tc>
      </w:tr>
      <w:tr w:rsidR="000729B5" w:rsidRPr="00A94B6E" w14:paraId="7ADB00ED" w14:textId="77777777" w:rsidTr="006E4001">
        <w:trPr>
          <w:trHeight w:val="316"/>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159D5E75"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6</w:t>
            </w:r>
          </w:p>
        </w:tc>
        <w:tc>
          <w:tcPr>
            <w:tcW w:w="907" w:type="dxa"/>
            <w:vMerge/>
            <w:tcBorders>
              <w:left w:val="single" w:sz="6" w:space="0" w:color="auto"/>
              <w:right w:val="single" w:sz="6" w:space="0" w:color="auto"/>
            </w:tcBorders>
            <w:shd w:val="clear" w:color="auto" w:fill="F2F2F2" w:themeFill="background1" w:themeFillShade="F2"/>
            <w:vAlign w:val="center"/>
          </w:tcPr>
          <w:p w14:paraId="513D7E4D"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3F233AF8"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Výrazný propad daňových příjmů</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9A249E"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7BAA26"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3B4B19"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8</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61BCC90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Stát; Kraj;</w:t>
            </w:r>
          </w:p>
          <w:p w14:paraId="22784425"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tc>
      </w:tr>
      <w:tr w:rsidR="000729B5" w:rsidRPr="00A94B6E" w14:paraId="3F1994F8" w14:textId="77777777" w:rsidTr="006E4001">
        <w:trPr>
          <w:trHeight w:val="494"/>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3EBF7ADC"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7</w:t>
            </w:r>
          </w:p>
        </w:tc>
        <w:tc>
          <w:tcPr>
            <w:tcW w:w="907" w:type="dxa"/>
            <w:vMerge/>
            <w:tcBorders>
              <w:left w:val="single" w:sz="6" w:space="0" w:color="auto"/>
              <w:right w:val="single" w:sz="6" w:space="0" w:color="auto"/>
            </w:tcBorders>
            <w:shd w:val="clear" w:color="auto" w:fill="F2F2F2" w:themeFill="background1" w:themeFillShade="F2"/>
            <w:vAlign w:val="center"/>
          </w:tcPr>
          <w:p w14:paraId="52D92003"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6EAE07FA"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Finanční dopady na město z důvodu chyb Úřadu regionální rady</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574E973"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12C9C59"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776C551"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9</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227C9D1A"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Úřad regionální rady;</w:t>
            </w:r>
          </w:p>
          <w:p w14:paraId="21A3BED8"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Kraj;</w:t>
            </w:r>
          </w:p>
          <w:p w14:paraId="21DD3A7D"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tc>
      </w:tr>
      <w:tr w:rsidR="000729B5" w:rsidRPr="00A94B6E" w14:paraId="6EFFED00" w14:textId="77777777" w:rsidTr="006E4001">
        <w:trPr>
          <w:trHeight w:val="190"/>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5374B37A"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w:t>
            </w:r>
          </w:p>
        </w:tc>
        <w:tc>
          <w:tcPr>
            <w:tcW w:w="907" w:type="dxa"/>
            <w:vMerge/>
            <w:tcBorders>
              <w:left w:val="single" w:sz="6" w:space="0" w:color="auto"/>
              <w:bottom w:val="single" w:sz="6" w:space="0" w:color="auto"/>
              <w:right w:val="single" w:sz="6" w:space="0" w:color="auto"/>
            </w:tcBorders>
            <w:shd w:val="clear" w:color="auto" w:fill="F2F2F2" w:themeFill="background1" w:themeFillShade="F2"/>
            <w:vAlign w:val="center"/>
          </w:tcPr>
          <w:p w14:paraId="3F1630CD"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515B0E60"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D4353EA"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AF70616"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1B137CF"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46B6D46B" w14:textId="77777777" w:rsidR="000729B5" w:rsidRPr="00A94B6E" w:rsidRDefault="000729B5" w:rsidP="006E4001">
            <w:pPr>
              <w:spacing w:line="216" w:lineRule="auto"/>
              <w:ind w:left="-57" w:right="-57"/>
              <w:rPr>
                <w:rFonts w:asciiTheme="minorHAnsi" w:hAnsiTheme="minorHAnsi" w:cstheme="minorHAnsi"/>
                <w:sz w:val="20"/>
                <w:szCs w:val="20"/>
              </w:rPr>
            </w:pPr>
          </w:p>
        </w:tc>
      </w:tr>
      <w:tr w:rsidR="000729B5" w:rsidRPr="00A94B6E" w14:paraId="261D7E4A" w14:textId="77777777" w:rsidTr="006E4001">
        <w:trPr>
          <w:trHeight w:val="252"/>
        </w:trPr>
        <w:tc>
          <w:tcPr>
            <w:tcW w:w="352" w:type="dxa"/>
            <w:tcBorders>
              <w:top w:val="single" w:sz="12" w:space="0" w:color="auto"/>
              <w:left w:val="single" w:sz="12" w:space="0" w:color="auto"/>
              <w:bottom w:val="single" w:sz="6" w:space="0" w:color="auto"/>
              <w:right w:val="single" w:sz="6" w:space="0" w:color="auto"/>
            </w:tcBorders>
            <w:shd w:val="clear" w:color="auto" w:fill="F2F2F2"/>
            <w:noWrap/>
            <w:vAlign w:val="center"/>
          </w:tcPr>
          <w:p w14:paraId="6B341AEC"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18</w:t>
            </w:r>
          </w:p>
        </w:tc>
        <w:tc>
          <w:tcPr>
            <w:tcW w:w="907" w:type="dxa"/>
            <w:vMerge w:val="restart"/>
            <w:tcBorders>
              <w:top w:val="single" w:sz="12" w:space="0" w:color="auto"/>
              <w:left w:val="single" w:sz="6" w:space="0" w:color="auto"/>
              <w:right w:val="single" w:sz="6" w:space="0" w:color="auto"/>
            </w:tcBorders>
            <w:shd w:val="clear" w:color="auto" w:fill="F2F2F2" w:themeFill="background1" w:themeFillShade="F2"/>
            <w:vAlign w:val="center"/>
          </w:tcPr>
          <w:p w14:paraId="48F9CEBD" w14:textId="77777777" w:rsidR="000729B5" w:rsidRPr="00A94B6E" w:rsidRDefault="000729B5" w:rsidP="006E4001">
            <w:pPr>
              <w:spacing w:line="216" w:lineRule="auto"/>
              <w:ind w:left="-57" w:right="-57"/>
              <w:rPr>
                <w:rFonts w:asciiTheme="minorHAnsi" w:hAnsiTheme="minorHAnsi" w:cstheme="minorHAnsi"/>
                <w:sz w:val="20"/>
                <w:szCs w:val="20"/>
              </w:rPr>
            </w:pPr>
            <w:r>
              <w:rPr>
                <w:rFonts w:asciiTheme="minorHAnsi" w:hAnsiTheme="minorHAnsi" w:cstheme="minorHAnsi"/>
                <w:sz w:val="20"/>
                <w:szCs w:val="20"/>
              </w:rPr>
              <w:t>Organi-</w:t>
            </w:r>
            <w:r w:rsidRPr="00A94B6E">
              <w:rPr>
                <w:rFonts w:asciiTheme="minorHAnsi" w:hAnsiTheme="minorHAnsi" w:cstheme="minorHAnsi"/>
                <w:sz w:val="20"/>
                <w:szCs w:val="20"/>
              </w:rPr>
              <w:t>zační riziko</w:t>
            </w:r>
          </w:p>
        </w:tc>
        <w:tc>
          <w:tcPr>
            <w:tcW w:w="3912" w:type="dxa"/>
            <w:tcBorders>
              <w:top w:val="single" w:sz="12" w:space="0" w:color="auto"/>
              <w:left w:val="single" w:sz="6" w:space="0" w:color="auto"/>
              <w:bottom w:val="single" w:sz="6" w:space="0" w:color="auto"/>
              <w:right w:val="single" w:sz="6" w:space="0" w:color="auto"/>
            </w:tcBorders>
            <w:shd w:val="clear" w:color="auto" w:fill="FFFFFF"/>
            <w:vAlign w:val="center"/>
          </w:tcPr>
          <w:p w14:paraId="327CFE01"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Špatné řízení města (chybná rozhodnutí)</w:t>
            </w:r>
          </w:p>
        </w:tc>
        <w:tc>
          <w:tcPr>
            <w:tcW w:w="426"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002941F0"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49D331E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462F7BF0"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9</w:t>
            </w:r>
          </w:p>
        </w:tc>
        <w:tc>
          <w:tcPr>
            <w:tcW w:w="2268" w:type="dxa"/>
            <w:tcBorders>
              <w:top w:val="single" w:sz="12" w:space="0" w:color="auto"/>
              <w:left w:val="single" w:sz="6" w:space="0" w:color="auto"/>
              <w:bottom w:val="single" w:sz="6" w:space="0" w:color="auto"/>
              <w:right w:val="single" w:sz="12" w:space="0" w:color="auto"/>
            </w:tcBorders>
            <w:shd w:val="clear" w:color="auto" w:fill="FFFFFF"/>
            <w:vAlign w:val="center"/>
          </w:tcPr>
          <w:p w14:paraId="26B26D7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tc>
      </w:tr>
      <w:tr w:rsidR="000729B5" w:rsidRPr="00A94B6E" w14:paraId="3A168963" w14:textId="77777777" w:rsidTr="006E4001">
        <w:trPr>
          <w:trHeight w:val="127"/>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5482A87C"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19</w:t>
            </w:r>
          </w:p>
        </w:tc>
        <w:tc>
          <w:tcPr>
            <w:tcW w:w="907" w:type="dxa"/>
            <w:vMerge/>
            <w:tcBorders>
              <w:left w:val="single" w:sz="6" w:space="0" w:color="auto"/>
              <w:right w:val="single" w:sz="6" w:space="0" w:color="auto"/>
            </w:tcBorders>
            <w:shd w:val="clear" w:color="auto" w:fill="F2F2F2" w:themeFill="background1" w:themeFillShade="F2"/>
            <w:vAlign w:val="center"/>
          </w:tcPr>
          <w:p w14:paraId="33868174"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4A2101E7"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Špatné řízení městských obvodů (chybná rozhodnutí)</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F52CEA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6D0129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7675221"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6</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21C672D7"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55305415"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Městský obvod</w:t>
            </w:r>
          </w:p>
        </w:tc>
      </w:tr>
      <w:tr w:rsidR="000729B5" w:rsidRPr="00A94B6E" w14:paraId="36839CEC" w14:textId="77777777" w:rsidTr="006E4001">
        <w:trPr>
          <w:trHeight w:val="80"/>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0DA17A0D"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20</w:t>
            </w:r>
          </w:p>
        </w:tc>
        <w:tc>
          <w:tcPr>
            <w:tcW w:w="907" w:type="dxa"/>
            <w:vMerge/>
            <w:tcBorders>
              <w:left w:val="single" w:sz="6" w:space="0" w:color="auto"/>
              <w:right w:val="single" w:sz="6" w:space="0" w:color="auto"/>
            </w:tcBorders>
            <w:shd w:val="clear" w:color="auto" w:fill="F2F2F2" w:themeFill="background1" w:themeFillShade="F2"/>
            <w:vAlign w:val="center"/>
          </w:tcPr>
          <w:p w14:paraId="06D40B75"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0FC84CF7"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Nedostatečná připravenost města na využití nás</w:t>
            </w:r>
            <w:r>
              <w:rPr>
                <w:rFonts w:asciiTheme="minorHAnsi" w:hAnsiTheme="minorHAnsi" w:cstheme="minorHAnsi"/>
                <w:sz w:val="20"/>
                <w:szCs w:val="20"/>
              </w:rPr>
              <w:t>trojů kohezní politiky</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23D61D2"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7DE70B5" w14:textId="77777777" w:rsidR="000729B5" w:rsidRPr="00A94B6E" w:rsidDel="005673BD"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96AB2C"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2E315B2D"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 xml:space="preserve">Město Ústí nad Labem </w:t>
            </w:r>
          </w:p>
        </w:tc>
      </w:tr>
      <w:tr w:rsidR="000729B5" w:rsidRPr="00A94B6E" w14:paraId="388146AE" w14:textId="77777777" w:rsidTr="006E4001">
        <w:trPr>
          <w:trHeight w:val="80"/>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7227DFD3"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w:t>
            </w:r>
          </w:p>
        </w:tc>
        <w:tc>
          <w:tcPr>
            <w:tcW w:w="907" w:type="dxa"/>
            <w:vMerge/>
            <w:tcBorders>
              <w:left w:val="single" w:sz="6" w:space="0" w:color="auto"/>
              <w:bottom w:val="single" w:sz="6" w:space="0" w:color="auto"/>
              <w:right w:val="single" w:sz="6" w:space="0" w:color="auto"/>
            </w:tcBorders>
            <w:shd w:val="clear" w:color="auto" w:fill="F2F2F2" w:themeFill="background1" w:themeFillShade="F2"/>
            <w:vAlign w:val="center"/>
          </w:tcPr>
          <w:p w14:paraId="7EC29689"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0A1613C3"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C00DB69"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7EE0E22"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2A0F0AA"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133D7A16" w14:textId="77777777" w:rsidR="000729B5" w:rsidRPr="00A94B6E" w:rsidRDefault="000729B5" w:rsidP="006E4001">
            <w:pPr>
              <w:spacing w:line="216" w:lineRule="auto"/>
              <w:ind w:left="-57" w:right="-57"/>
              <w:rPr>
                <w:rFonts w:asciiTheme="minorHAnsi" w:hAnsiTheme="minorHAnsi" w:cstheme="minorHAnsi"/>
                <w:sz w:val="20"/>
                <w:szCs w:val="20"/>
              </w:rPr>
            </w:pPr>
          </w:p>
        </w:tc>
      </w:tr>
      <w:tr w:rsidR="000729B5" w:rsidRPr="00A94B6E" w14:paraId="3A92FE02" w14:textId="77777777" w:rsidTr="006E4001">
        <w:trPr>
          <w:trHeight w:val="222"/>
        </w:trPr>
        <w:tc>
          <w:tcPr>
            <w:tcW w:w="352" w:type="dxa"/>
            <w:tcBorders>
              <w:top w:val="single" w:sz="12" w:space="0" w:color="auto"/>
              <w:left w:val="single" w:sz="12" w:space="0" w:color="auto"/>
              <w:bottom w:val="single" w:sz="6" w:space="0" w:color="auto"/>
              <w:right w:val="single" w:sz="6" w:space="0" w:color="auto"/>
            </w:tcBorders>
            <w:shd w:val="clear" w:color="auto" w:fill="F2F2F2"/>
            <w:noWrap/>
            <w:vAlign w:val="center"/>
          </w:tcPr>
          <w:p w14:paraId="52814CE3"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28</w:t>
            </w:r>
          </w:p>
        </w:tc>
        <w:tc>
          <w:tcPr>
            <w:tcW w:w="907" w:type="dxa"/>
            <w:vMerge w:val="restart"/>
            <w:tcBorders>
              <w:top w:val="single" w:sz="12" w:space="0" w:color="auto"/>
              <w:left w:val="single" w:sz="6" w:space="0" w:color="auto"/>
              <w:right w:val="single" w:sz="6" w:space="0" w:color="auto"/>
            </w:tcBorders>
            <w:shd w:val="clear" w:color="auto" w:fill="F2F2F2" w:themeFill="background1" w:themeFillShade="F2"/>
            <w:vAlign w:val="center"/>
          </w:tcPr>
          <w:p w14:paraId="456F8BD6"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Právní riziko</w:t>
            </w:r>
          </w:p>
        </w:tc>
        <w:tc>
          <w:tcPr>
            <w:tcW w:w="3912" w:type="dxa"/>
            <w:tcBorders>
              <w:top w:val="single" w:sz="12" w:space="0" w:color="auto"/>
              <w:left w:val="single" w:sz="6" w:space="0" w:color="auto"/>
              <w:bottom w:val="single" w:sz="6" w:space="0" w:color="auto"/>
              <w:right w:val="single" w:sz="6" w:space="0" w:color="auto"/>
            </w:tcBorders>
            <w:shd w:val="clear" w:color="auto" w:fill="FFFFFF"/>
            <w:vAlign w:val="center"/>
          </w:tcPr>
          <w:p w14:paraId="635475BE"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Změna legislativy, která výrazně sníží příjmy nebo zvýší výdaje</w:t>
            </w:r>
          </w:p>
        </w:tc>
        <w:tc>
          <w:tcPr>
            <w:tcW w:w="426"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3A35F48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42F2DE92"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7A5166B8"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12" w:space="0" w:color="auto"/>
              <w:left w:val="single" w:sz="6" w:space="0" w:color="auto"/>
              <w:bottom w:val="single" w:sz="6" w:space="0" w:color="auto"/>
              <w:right w:val="single" w:sz="12" w:space="0" w:color="auto"/>
            </w:tcBorders>
            <w:shd w:val="clear" w:color="auto" w:fill="FFFFFF"/>
            <w:vAlign w:val="center"/>
          </w:tcPr>
          <w:p w14:paraId="1FDE9F53" w14:textId="77777777" w:rsidR="000729B5" w:rsidRPr="00A94B6E" w:rsidRDefault="000729B5" w:rsidP="006E4001">
            <w:pPr>
              <w:spacing w:line="216" w:lineRule="auto"/>
              <w:ind w:left="-57" w:right="-57"/>
              <w:rPr>
                <w:rFonts w:asciiTheme="minorHAnsi" w:hAnsiTheme="minorHAnsi" w:cstheme="minorHAnsi"/>
                <w:sz w:val="20"/>
                <w:szCs w:val="20"/>
              </w:rPr>
            </w:pPr>
            <w:r>
              <w:rPr>
                <w:rFonts w:asciiTheme="minorHAnsi" w:hAnsiTheme="minorHAnsi" w:cstheme="minorHAnsi"/>
                <w:sz w:val="20"/>
                <w:szCs w:val="20"/>
              </w:rPr>
              <w:t>Město Ústí nad Labem</w:t>
            </w:r>
          </w:p>
        </w:tc>
      </w:tr>
      <w:tr w:rsidR="000729B5" w:rsidRPr="00A94B6E" w14:paraId="6F54BD9D" w14:textId="77777777" w:rsidTr="006E4001">
        <w:trPr>
          <w:trHeight w:val="173"/>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342757D0"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29</w:t>
            </w:r>
          </w:p>
        </w:tc>
        <w:tc>
          <w:tcPr>
            <w:tcW w:w="907" w:type="dxa"/>
            <w:vMerge/>
            <w:tcBorders>
              <w:left w:val="single" w:sz="6" w:space="0" w:color="auto"/>
              <w:right w:val="single" w:sz="6" w:space="0" w:color="auto"/>
            </w:tcBorders>
            <w:shd w:val="clear" w:color="auto" w:fill="F2F2F2" w:themeFill="background1" w:themeFillShade="F2"/>
            <w:vAlign w:val="center"/>
          </w:tcPr>
          <w:p w14:paraId="64608C2B"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66EE4401"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Změna legislativy, která zhorší kvalitu života ve městě nebo poskytované veřejné služby</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DB3DA44"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7C93EDD"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E7D8E28"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11C387A0"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1536B89B"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Poskytovatel služby</w:t>
            </w:r>
          </w:p>
        </w:tc>
      </w:tr>
      <w:tr w:rsidR="000729B5" w:rsidRPr="00A94B6E" w14:paraId="7DCEDCEC" w14:textId="77777777" w:rsidTr="006E4001">
        <w:trPr>
          <w:trHeight w:val="265"/>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20FB2FCA"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30</w:t>
            </w:r>
          </w:p>
        </w:tc>
        <w:tc>
          <w:tcPr>
            <w:tcW w:w="907" w:type="dxa"/>
            <w:vMerge/>
            <w:tcBorders>
              <w:left w:val="single" w:sz="6" w:space="0" w:color="auto"/>
              <w:right w:val="single" w:sz="6" w:space="0" w:color="auto"/>
            </w:tcBorders>
            <w:shd w:val="clear" w:color="auto" w:fill="F2F2F2" w:themeFill="background1" w:themeFillShade="F2"/>
            <w:vAlign w:val="center"/>
          </w:tcPr>
          <w:p w14:paraId="5F6526AE"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4689DA4C"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Chyba v právních aktech města nebo ve smlouvách, prohrané právní spory</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885D7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7767F7C"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805AF6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6</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0D271030"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2EA4A807"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Zaměstnanec města</w:t>
            </w:r>
          </w:p>
        </w:tc>
      </w:tr>
      <w:tr w:rsidR="000729B5" w:rsidRPr="00A94B6E" w14:paraId="7B6B7CAD" w14:textId="77777777" w:rsidTr="006E4001">
        <w:trPr>
          <w:trHeight w:val="214"/>
        </w:trPr>
        <w:tc>
          <w:tcPr>
            <w:tcW w:w="352" w:type="dxa"/>
            <w:tcBorders>
              <w:top w:val="single" w:sz="6" w:space="0" w:color="auto"/>
              <w:left w:val="single" w:sz="12" w:space="0" w:color="auto"/>
              <w:bottom w:val="single" w:sz="12" w:space="0" w:color="auto"/>
              <w:right w:val="single" w:sz="6" w:space="0" w:color="auto"/>
            </w:tcBorders>
            <w:shd w:val="clear" w:color="auto" w:fill="F2F2F2"/>
            <w:noWrap/>
            <w:vAlign w:val="center"/>
          </w:tcPr>
          <w:p w14:paraId="03FE3569"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lastRenderedPageBreak/>
              <w:t>31</w:t>
            </w:r>
          </w:p>
        </w:tc>
        <w:tc>
          <w:tcPr>
            <w:tcW w:w="907" w:type="dxa"/>
            <w:vMerge/>
            <w:tcBorders>
              <w:left w:val="single" w:sz="6" w:space="0" w:color="auto"/>
              <w:bottom w:val="single" w:sz="12" w:space="0" w:color="auto"/>
              <w:right w:val="single" w:sz="6" w:space="0" w:color="auto"/>
            </w:tcBorders>
            <w:shd w:val="clear" w:color="auto" w:fill="F2F2F2" w:themeFill="background1" w:themeFillShade="F2"/>
            <w:vAlign w:val="center"/>
          </w:tcPr>
          <w:p w14:paraId="4A53B15F"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12" w:space="0" w:color="auto"/>
              <w:right w:val="single" w:sz="6" w:space="0" w:color="auto"/>
            </w:tcBorders>
            <w:shd w:val="clear" w:color="auto" w:fill="FFFFFF"/>
            <w:vAlign w:val="center"/>
          </w:tcPr>
          <w:p w14:paraId="07C85425"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Nevhodná změna zásad územního rozvoje kraje nebo politiky územního rozvoje ČR</w:t>
            </w:r>
          </w:p>
        </w:tc>
        <w:tc>
          <w:tcPr>
            <w:tcW w:w="426" w:type="dxa"/>
            <w:tcBorders>
              <w:top w:val="single" w:sz="6" w:space="0" w:color="auto"/>
              <w:left w:val="single" w:sz="6" w:space="0" w:color="auto"/>
              <w:bottom w:val="single" w:sz="12" w:space="0" w:color="auto"/>
              <w:right w:val="single" w:sz="6" w:space="0" w:color="auto"/>
            </w:tcBorders>
            <w:shd w:val="clear" w:color="auto" w:fill="FFFFFF"/>
            <w:noWrap/>
            <w:vAlign w:val="center"/>
          </w:tcPr>
          <w:p w14:paraId="2B50BF9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2</w:t>
            </w:r>
          </w:p>
        </w:tc>
        <w:tc>
          <w:tcPr>
            <w:tcW w:w="283" w:type="dxa"/>
            <w:tcBorders>
              <w:top w:val="single" w:sz="6" w:space="0" w:color="auto"/>
              <w:left w:val="single" w:sz="6" w:space="0" w:color="auto"/>
              <w:bottom w:val="single" w:sz="12" w:space="0" w:color="auto"/>
              <w:right w:val="single" w:sz="6" w:space="0" w:color="auto"/>
            </w:tcBorders>
            <w:shd w:val="clear" w:color="auto" w:fill="FFFFFF"/>
            <w:noWrap/>
            <w:vAlign w:val="center"/>
          </w:tcPr>
          <w:p w14:paraId="53D408BB"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12" w:space="0" w:color="auto"/>
              <w:right w:val="single" w:sz="6" w:space="0" w:color="auto"/>
            </w:tcBorders>
            <w:shd w:val="clear" w:color="auto" w:fill="FFFFFF"/>
            <w:noWrap/>
            <w:vAlign w:val="center"/>
          </w:tcPr>
          <w:p w14:paraId="085FE333"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8</w:t>
            </w:r>
          </w:p>
        </w:tc>
        <w:tc>
          <w:tcPr>
            <w:tcW w:w="2268" w:type="dxa"/>
            <w:tcBorders>
              <w:top w:val="single" w:sz="6" w:space="0" w:color="auto"/>
              <w:left w:val="single" w:sz="6" w:space="0" w:color="auto"/>
              <w:bottom w:val="single" w:sz="12" w:space="0" w:color="auto"/>
              <w:right w:val="single" w:sz="12" w:space="0" w:color="auto"/>
            </w:tcBorders>
            <w:shd w:val="clear" w:color="auto" w:fill="FFFFFF"/>
            <w:vAlign w:val="center"/>
          </w:tcPr>
          <w:p w14:paraId="619BD944"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Kraj;</w:t>
            </w:r>
          </w:p>
          <w:p w14:paraId="32EAF95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w:t>
            </w:r>
            <w:r>
              <w:rPr>
                <w:rFonts w:asciiTheme="minorHAnsi" w:hAnsiTheme="minorHAnsi" w:cstheme="minorHAnsi"/>
                <w:sz w:val="20"/>
                <w:szCs w:val="20"/>
              </w:rPr>
              <w:t>bem</w:t>
            </w:r>
          </w:p>
        </w:tc>
      </w:tr>
      <w:tr w:rsidR="000729B5" w:rsidRPr="00A94B6E" w14:paraId="475F9308" w14:textId="77777777" w:rsidTr="006E4001">
        <w:trPr>
          <w:trHeight w:val="499"/>
        </w:trPr>
        <w:tc>
          <w:tcPr>
            <w:tcW w:w="352" w:type="dxa"/>
            <w:tcBorders>
              <w:top w:val="single" w:sz="12" w:space="0" w:color="auto"/>
              <w:left w:val="single" w:sz="12" w:space="0" w:color="auto"/>
              <w:bottom w:val="single" w:sz="6" w:space="0" w:color="auto"/>
              <w:right w:val="single" w:sz="6" w:space="0" w:color="auto"/>
            </w:tcBorders>
            <w:shd w:val="clear" w:color="auto" w:fill="F2F2F2"/>
            <w:noWrap/>
            <w:vAlign w:val="center"/>
          </w:tcPr>
          <w:p w14:paraId="659AFA66"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32</w:t>
            </w:r>
          </w:p>
        </w:tc>
        <w:tc>
          <w:tcPr>
            <w:tcW w:w="907" w:type="dxa"/>
            <w:vMerge w:val="restart"/>
            <w:tcBorders>
              <w:top w:val="single" w:sz="12" w:space="0" w:color="auto"/>
              <w:left w:val="single" w:sz="6" w:space="0" w:color="auto"/>
              <w:right w:val="single" w:sz="6" w:space="0" w:color="auto"/>
            </w:tcBorders>
            <w:shd w:val="clear" w:color="auto" w:fill="F2F2F2" w:themeFill="background1" w:themeFillShade="F2"/>
            <w:vAlign w:val="center"/>
          </w:tcPr>
          <w:p w14:paraId="0584F725" w14:textId="77777777" w:rsidR="000729B5" w:rsidRPr="00A94B6E" w:rsidRDefault="000729B5" w:rsidP="006E4001">
            <w:pPr>
              <w:spacing w:line="216" w:lineRule="auto"/>
              <w:ind w:left="-57" w:right="-57"/>
              <w:rPr>
                <w:rFonts w:asciiTheme="minorHAnsi" w:hAnsiTheme="minorHAnsi" w:cstheme="minorHAnsi"/>
                <w:sz w:val="20"/>
                <w:szCs w:val="20"/>
              </w:rPr>
            </w:pPr>
            <w:r>
              <w:rPr>
                <w:rFonts w:asciiTheme="minorHAnsi" w:hAnsiTheme="minorHAnsi" w:cstheme="minorHAnsi"/>
                <w:sz w:val="20"/>
                <w:szCs w:val="20"/>
              </w:rPr>
              <w:t>Technic</w:t>
            </w:r>
            <w:r w:rsidRPr="00A94B6E">
              <w:rPr>
                <w:rFonts w:asciiTheme="minorHAnsi" w:hAnsiTheme="minorHAnsi" w:cstheme="minorHAnsi"/>
                <w:sz w:val="20"/>
                <w:szCs w:val="20"/>
              </w:rPr>
              <w:t>ké riziko</w:t>
            </w:r>
          </w:p>
        </w:tc>
        <w:tc>
          <w:tcPr>
            <w:tcW w:w="3912" w:type="dxa"/>
            <w:tcBorders>
              <w:top w:val="single" w:sz="12" w:space="0" w:color="auto"/>
              <w:left w:val="single" w:sz="6" w:space="0" w:color="auto"/>
              <w:bottom w:val="single" w:sz="6" w:space="0" w:color="auto"/>
              <w:right w:val="single" w:sz="6" w:space="0" w:color="auto"/>
            </w:tcBorders>
            <w:shd w:val="clear" w:color="auto" w:fill="FFFFFF"/>
            <w:vAlign w:val="center"/>
          </w:tcPr>
          <w:p w14:paraId="590A02FB"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Špatný stav dopravní infrastruktury (např. zhoršování stavu silnic pod správou kraje) a ostatní infrastruktury na území města a s tím spojené výpadky, havárie, black-outy apod.</w:t>
            </w:r>
          </w:p>
        </w:tc>
        <w:tc>
          <w:tcPr>
            <w:tcW w:w="426"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70214E64"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48C9522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6E619DD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9</w:t>
            </w:r>
          </w:p>
        </w:tc>
        <w:tc>
          <w:tcPr>
            <w:tcW w:w="2268" w:type="dxa"/>
            <w:tcBorders>
              <w:top w:val="single" w:sz="12" w:space="0" w:color="auto"/>
              <w:left w:val="single" w:sz="6" w:space="0" w:color="auto"/>
              <w:bottom w:val="single" w:sz="6" w:space="0" w:color="auto"/>
              <w:right w:val="single" w:sz="12" w:space="0" w:color="auto"/>
            </w:tcBorders>
            <w:shd w:val="clear" w:color="auto" w:fill="FFFFFF"/>
            <w:vAlign w:val="center"/>
          </w:tcPr>
          <w:p w14:paraId="31F26FF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3CBD5B2D"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Správce infrastruktury</w:t>
            </w:r>
          </w:p>
        </w:tc>
      </w:tr>
      <w:tr w:rsidR="000729B5" w:rsidRPr="00A94B6E" w14:paraId="68319B3A" w14:textId="77777777" w:rsidTr="006E4001">
        <w:trPr>
          <w:trHeight w:val="290"/>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389870E6"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33</w:t>
            </w:r>
          </w:p>
        </w:tc>
        <w:tc>
          <w:tcPr>
            <w:tcW w:w="907" w:type="dxa"/>
            <w:vMerge/>
            <w:tcBorders>
              <w:left w:val="single" w:sz="6" w:space="0" w:color="auto"/>
              <w:right w:val="single" w:sz="6" w:space="0" w:color="auto"/>
            </w:tcBorders>
            <w:shd w:val="clear" w:color="auto" w:fill="F2F2F2" w:themeFill="background1" w:themeFillShade="F2"/>
            <w:vAlign w:val="center"/>
          </w:tcPr>
          <w:p w14:paraId="4B2FFCF9"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0B08B8FF"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Rizika plynoucí ze starých ekologických zátěží</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8ADCEA0"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DCAE9B"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3237263"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21E80008"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Majitel;</w:t>
            </w:r>
          </w:p>
          <w:p w14:paraId="5C55F1FF" w14:textId="77777777" w:rsidR="000729B5" w:rsidRPr="00A94B6E" w:rsidRDefault="000729B5" w:rsidP="006E4001">
            <w:pPr>
              <w:spacing w:line="216" w:lineRule="auto"/>
              <w:ind w:left="-57" w:right="-57"/>
              <w:rPr>
                <w:rFonts w:asciiTheme="minorHAnsi" w:hAnsiTheme="minorHAnsi" w:cstheme="minorHAnsi"/>
                <w:sz w:val="20"/>
                <w:szCs w:val="20"/>
              </w:rPr>
            </w:pPr>
            <w:r>
              <w:rPr>
                <w:rFonts w:asciiTheme="minorHAnsi" w:hAnsiTheme="minorHAnsi" w:cstheme="minorHAnsi"/>
                <w:sz w:val="20"/>
                <w:szCs w:val="20"/>
              </w:rPr>
              <w:t>Město Ústí nad Labem</w:t>
            </w:r>
          </w:p>
        </w:tc>
      </w:tr>
      <w:tr w:rsidR="000729B5" w:rsidRPr="00A94B6E" w14:paraId="7CA4D036" w14:textId="77777777" w:rsidTr="006E4001">
        <w:trPr>
          <w:trHeight w:val="111"/>
        </w:trPr>
        <w:tc>
          <w:tcPr>
            <w:tcW w:w="352" w:type="dxa"/>
            <w:tcBorders>
              <w:top w:val="single" w:sz="6" w:space="0" w:color="auto"/>
              <w:left w:val="single" w:sz="12" w:space="0" w:color="auto"/>
              <w:bottom w:val="single" w:sz="12" w:space="0" w:color="auto"/>
              <w:right w:val="single" w:sz="6" w:space="0" w:color="auto"/>
            </w:tcBorders>
            <w:shd w:val="clear" w:color="auto" w:fill="F2F2F2"/>
            <w:noWrap/>
            <w:vAlign w:val="center"/>
          </w:tcPr>
          <w:p w14:paraId="521CE6DF"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w:t>
            </w:r>
          </w:p>
        </w:tc>
        <w:tc>
          <w:tcPr>
            <w:tcW w:w="907" w:type="dxa"/>
            <w:vMerge/>
            <w:tcBorders>
              <w:left w:val="single" w:sz="6" w:space="0" w:color="auto"/>
              <w:bottom w:val="single" w:sz="12" w:space="0" w:color="auto"/>
              <w:right w:val="single" w:sz="6" w:space="0" w:color="auto"/>
            </w:tcBorders>
            <w:shd w:val="clear" w:color="auto" w:fill="F2F2F2" w:themeFill="background1" w:themeFillShade="F2"/>
            <w:vAlign w:val="center"/>
          </w:tcPr>
          <w:p w14:paraId="39D1DAF2"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12" w:space="0" w:color="auto"/>
              <w:right w:val="single" w:sz="6" w:space="0" w:color="auto"/>
            </w:tcBorders>
            <w:shd w:val="clear" w:color="auto" w:fill="FFFFFF"/>
            <w:vAlign w:val="center"/>
          </w:tcPr>
          <w:p w14:paraId="42C938E6"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w:t>
            </w:r>
          </w:p>
        </w:tc>
        <w:tc>
          <w:tcPr>
            <w:tcW w:w="426" w:type="dxa"/>
            <w:tcBorders>
              <w:top w:val="single" w:sz="6" w:space="0" w:color="auto"/>
              <w:left w:val="single" w:sz="6" w:space="0" w:color="auto"/>
              <w:bottom w:val="single" w:sz="12" w:space="0" w:color="auto"/>
              <w:right w:val="single" w:sz="6" w:space="0" w:color="auto"/>
            </w:tcBorders>
            <w:shd w:val="clear" w:color="auto" w:fill="FFFFFF"/>
            <w:noWrap/>
            <w:vAlign w:val="center"/>
          </w:tcPr>
          <w:p w14:paraId="3C98B83B"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83" w:type="dxa"/>
            <w:tcBorders>
              <w:top w:val="single" w:sz="6" w:space="0" w:color="auto"/>
              <w:left w:val="single" w:sz="6" w:space="0" w:color="auto"/>
              <w:bottom w:val="single" w:sz="12" w:space="0" w:color="auto"/>
              <w:right w:val="single" w:sz="6" w:space="0" w:color="auto"/>
            </w:tcBorders>
            <w:shd w:val="clear" w:color="auto" w:fill="FFFFFF"/>
            <w:noWrap/>
            <w:vAlign w:val="center"/>
          </w:tcPr>
          <w:p w14:paraId="49E07FC2"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709" w:type="dxa"/>
            <w:tcBorders>
              <w:top w:val="single" w:sz="6" w:space="0" w:color="auto"/>
              <w:left w:val="single" w:sz="6" w:space="0" w:color="auto"/>
              <w:bottom w:val="single" w:sz="12" w:space="0" w:color="auto"/>
              <w:right w:val="single" w:sz="6" w:space="0" w:color="auto"/>
            </w:tcBorders>
            <w:shd w:val="clear" w:color="auto" w:fill="FFFFFF"/>
            <w:noWrap/>
            <w:vAlign w:val="center"/>
          </w:tcPr>
          <w:p w14:paraId="44920487" w14:textId="77777777" w:rsidR="000729B5" w:rsidRPr="00A94B6E" w:rsidRDefault="000729B5" w:rsidP="006E4001">
            <w:pPr>
              <w:spacing w:line="216" w:lineRule="auto"/>
              <w:ind w:left="-57" w:right="-57"/>
              <w:jc w:val="center"/>
              <w:rPr>
                <w:rFonts w:asciiTheme="minorHAnsi" w:hAnsiTheme="minorHAnsi" w:cstheme="minorHAnsi"/>
                <w:b/>
                <w:sz w:val="20"/>
                <w:szCs w:val="20"/>
              </w:rPr>
            </w:pPr>
          </w:p>
        </w:tc>
        <w:tc>
          <w:tcPr>
            <w:tcW w:w="2268" w:type="dxa"/>
            <w:tcBorders>
              <w:top w:val="single" w:sz="6" w:space="0" w:color="auto"/>
              <w:left w:val="single" w:sz="6" w:space="0" w:color="auto"/>
              <w:bottom w:val="single" w:sz="12" w:space="0" w:color="auto"/>
              <w:right w:val="single" w:sz="12" w:space="0" w:color="auto"/>
            </w:tcBorders>
            <w:shd w:val="clear" w:color="auto" w:fill="FFFFFF"/>
            <w:vAlign w:val="center"/>
          </w:tcPr>
          <w:p w14:paraId="30C47AB9" w14:textId="77777777" w:rsidR="000729B5" w:rsidRPr="00A94B6E" w:rsidRDefault="000729B5" w:rsidP="006E4001">
            <w:pPr>
              <w:spacing w:line="216" w:lineRule="auto"/>
              <w:ind w:left="-57" w:right="-57"/>
              <w:rPr>
                <w:rFonts w:asciiTheme="minorHAnsi" w:hAnsiTheme="minorHAnsi" w:cstheme="minorHAnsi"/>
                <w:sz w:val="20"/>
                <w:szCs w:val="20"/>
              </w:rPr>
            </w:pPr>
          </w:p>
        </w:tc>
      </w:tr>
      <w:tr w:rsidR="000729B5" w:rsidRPr="00A94B6E" w14:paraId="3CBBA943" w14:textId="77777777" w:rsidTr="006E4001">
        <w:trPr>
          <w:trHeight w:val="383"/>
        </w:trPr>
        <w:tc>
          <w:tcPr>
            <w:tcW w:w="352" w:type="dxa"/>
            <w:tcBorders>
              <w:top w:val="single" w:sz="12" w:space="0" w:color="auto"/>
              <w:left w:val="single" w:sz="12" w:space="0" w:color="auto"/>
              <w:bottom w:val="single" w:sz="6" w:space="0" w:color="auto"/>
              <w:right w:val="single" w:sz="6" w:space="0" w:color="auto"/>
            </w:tcBorders>
            <w:shd w:val="clear" w:color="auto" w:fill="F2F2F2"/>
            <w:noWrap/>
            <w:vAlign w:val="center"/>
          </w:tcPr>
          <w:p w14:paraId="59D4B2FC"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36</w:t>
            </w:r>
          </w:p>
        </w:tc>
        <w:tc>
          <w:tcPr>
            <w:tcW w:w="907" w:type="dxa"/>
            <w:vMerge w:val="restart"/>
            <w:tcBorders>
              <w:top w:val="single" w:sz="12" w:space="0" w:color="auto"/>
              <w:left w:val="single" w:sz="6" w:space="0" w:color="auto"/>
              <w:right w:val="single" w:sz="6" w:space="0" w:color="auto"/>
            </w:tcBorders>
            <w:shd w:val="clear" w:color="auto" w:fill="F2F2F2" w:themeFill="background1" w:themeFillShade="F2"/>
            <w:noWrap/>
            <w:vAlign w:val="center"/>
          </w:tcPr>
          <w:p w14:paraId="4FE341B1"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Věcné riziko (souvisí s rozvojem města)</w:t>
            </w:r>
          </w:p>
        </w:tc>
        <w:tc>
          <w:tcPr>
            <w:tcW w:w="3912" w:type="dxa"/>
            <w:tcBorders>
              <w:top w:val="single" w:sz="12" w:space="0" w:color="auto"/>
              <w:left w:val="single" w:sz="6" w:space="0" w:color="auto"/>
              <w:bottom w:val="single" w:sz="6" w:space="0" w:color="auto"/>
              <w:right w:val="single" w:sz="6" w:space="0" w:color="auto"/>
            </w:tcBorders>
            <w:shd w:val="clear" w:color="auto" w:fill="FFFFFF"/>
            <w:vAlign w:val="center"/>
          </w:tcPr>
          <w:p w14:paraId="5C5BFC77"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Povodně</w:t>
            </w:r>
          </w:p>
        </w:tc>
        <w:tc>
          <w:tcPr>
            <w:tcW w:w="426"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4FF140EA"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283"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7554291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709" w:type="dxa"/>
            <w:tcBorders>
              <w:top w:val="single" w:sz="12" w:space="0" w:color="auto"/>
              <w:left w:val="single" w:sz="6" w:space="0" w:color="auto"/>
              <w:bottom w:val="single" w:sz="6" w:space="0" w:color="auto"/>
              <w:right w:val="single" w:sz="6" w:space="0" w:color="auto"/>
            </w:tcBorders>
            <w:shd w:val="clear" w:color="auto" w:fill="FFFFFF"/>
            <w:noWrap/>
            <w:vAlign w:val="center"/>
          </w:tcPr>
          <w:p w14:paraId="38BA7B7B"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16</w:t>
            </w:r>
          </w:p>
        </w:tc>
        <w:tc>
          <w:tcPr>
            <w:tcW w:w="2268" w:type="dxa"/>
            <w:tcBorders>
              <w:top w:val="single" w:sz="12" w:space="0" w:color="auto"/>
              <w:left w:val="single" w:sz="6" w:space="0" w:color="auto"/>
              <w:bottom w:val="single" w:sz="6" w:space="0" w:color="auto"/>
              <w:right w:val="single" w:sz="12" w:space="0" w:color="auto"/>
            </w:tcBorders>
            <w:shd w:val="clear" w:color="auto" w:fill="FFFFFF"/>
            <w:vAlign w:val="center"/>
          </w:tcPr>
          <w:p w14:paraId="651FE2D7"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134E450C"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Postižení občané a další osoby</w:t>
            </w:r>
          </w:p>
        </w:tc>
      </w:tr>
      <w:tr w:rsidR="000729B5" w:rsidRPr="00A94B6E" w14:paraId="5D4B803A" w14:textId="77777777" w:rsidTr="006E4001">
        <w:trPr>
          <w:trHeight w:val="234"/>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06594942"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37</w:t>
            </w:r>
          </w:p>
        </w:tc>
        <w:tc>
          <w:tcPr>
            <w:tcW w:w="907" w:type="dxa"/>
            <w:vMerge/>
            <w:tcBorders>
              <w:left w:val="single" w:sz="6" w:space="0" w:color="auto"/>
              <w:right w:val="single" w:sz="6" w:space="0" w:color="auto"/>
            </w:tcBorders>
            <w:shd w:val="clear" w:color="auto" w:fill="F2F2F2" w:themeFill="background1" w:themeFillShade="F2"/>
            <w:noWrap/>
            <w:vAlign w:val="center"/>
          </w:tcPr>
          <w:p w14:paraId="2A5C1B41"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2A8E61E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Další přírodní rizika  - přívalové deště, bouřky, sesuvy a další přírodní rizika</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34DE9B4"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F0B669F"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36CBF80"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9</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7DFB4DE4"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2CE80D1B"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Postižení občané a další osoby</w:t>
            </w:r>
          </w:p>
        </w:tc>
      </w:tr>
      <w:tr w:rsidR="000729B5" w:rsidRPr="00A94B6E" w14:paraId="758F7C9A" w14:textId="77777777" w:rsidTr="006E4001">
        <w:trPr>
          <w:trHeight w:val="830"/>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34830C7C"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38</w:t>
            </w:r>
          </w:p>
        </w:tc>
        <w:tc>
          <w:tcPr>
            <w:tcW w:w="907" w:type="dxa"/>
            <w:vMerge/>
            <w:tcBorders>
              <w:left w:val="single" w:sz="6" w:space="0" w:color="auto"/>
              <w:right w:val="single" w:sz="6" w:space="0" w:color="auto"/>
            </w:tcBorders>
            <w:shd w:val="clear" w:color="auto" w:fill="F2F2F2" w:themeFill="background1" w:themeFillShade="F2"/>
            <w:noWrap/>
            <w:vAlign w:val="center"/>
          </w:tcPr>
          <w:p w14:paraId="2282BB9A"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0C63D286"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Růst prostorové koncentrace sociálně vyloučených v důsledku politiky státu, nevhodně nastavené legislativy resp. nevhodného chování soukromých subjektů mimo region</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C900E68"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4</w:t>
            </w: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D85A0AB" w14:textId="77777777" w:rsidR="000729B5" w:rsidRPr="00A94B6E" w:rsidRDefault="000729B5" w:rsidP="006E4001">
            <w:pPr>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A71A7BF" w14:textId="77777777" w:rsidR="000729B5" w:rsidRPr="00A94B6E" w:rsidRDefault="000729B5" w:rsidP="006E4001">
            <w:pPr>
              <w:spacing w:line="216" w:lineRule="auto"/>
              <w:ind w:left="-57" w:right="-57"/>
              <w:jc w:val="center"/>
              <w:rPr>
                <w:rFonts w:asciiTheme="minorHAnsi" w:hAnsiTheme="minorHAnsi" w:cstheme="minorHAnsi"/>
                <w:b/>
                <w:sz w:val="20"/>
                <w:szCs w:val="20"/>
              </w:rPr>
            </w:pPr>
            <w:r w:rsidRPr="00A94B6E">
              <w:rPr>
                <w:rFonts w:asciiTheme="minorHAnsi" w:hAnsiTheme="minorHAnsi" w:cstheme="minorHAnsi"/>
                <w:b/>
                <w:sz w:val="20"/>
                <w:szCs w:val="20"/>
              </w:rPr>
              <w:t>12</w:t>
            </w: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353D2C52"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Město Ústí nad Labem;</w:t>
            </w:r>
          </w:p>
          <w:p w14:paraId="06DA08C7" w14:textId="77777777" w:rsidR="000729B5" w:rsidRPr="00A94B6E" w:rsidRDefault="000729B5" w:rsidP="006E4001">
            <w:pPr>
              <w:spacing w:line="216" w:lineRule="auto"/>
              <w:ind w:left="-57" w:right="-57"/>
              <w:rPr>
                <w:rFonts w:asciiTheme="minorHAnsi" w:hAnsiTheme="minorHAnsi" w:cstheme="minorHAnsi"/>
                <w:sz w:val="20"/>
                <w:szCs w:val="20"/>
              </w:rPr>
            </w:pPr>
            <w:r>
              <w:rPr>
                <w:rFonts w:asciiTheme="minorHAnsi" w:hAnsiTheme="minorHAnsi" w:cstheme="minorHAnsi"/>
                <w:sz w:val="20"/>
                <w:szCs w:val="20"/>
              </w:rPr>
              <w:t>K</w:t>
            </w:r>
            <w:r w:rsidRPr="00A94B6E">
              <w:rPr>
                <w:rFonts w:asciiTheme="minorHAnsi" w:hAnsiTheme="minorHAnsi" w:cstheme="minorHAnsi"/>
                <w:sz w:val="20"/>
                <w:szCs w:val="20"/>
              </w:rPr>
              <w:t>raj</w:t>
            </w:r>
          </w:p>
        </w:tc>
      </w:tr>
      <w:tr w:rsidR="000729B5" w:rsidRPr="00A94B6E" w14:paraId="44F289CA" w14:textId="77777777" w:rsidTr="006E4001">
        <w:trPr>
          <w:trHeight w:val="138"/>
        </w:trPr>
        <w:tc>
          <w:tcPr>
            <w:tcW w:w="352" w:type="dxa"/>
            <w:tcBorders>
              <w:top w:val="single" w:sz="6" w:space="0" w:color="auto"/>
              <w:left w:val="single" w:sz="12" w:space="0" w:color="auto"/>
              <w:bottom w:val="single" w:sz="6" w:space="0" w:color="auto"/>
              <w:right w:val="single" w:sz="6" w:space="0" w:color="auto"/>
            </w:tcBorders>
            <w:shd w:val="clear" w:color="auto" w:fill="F2F2F2"/>
            <w:noWrap/>
            <w:vAlign w:val="center"/>
          </w:tcPr>
          <w:p w14:paraId="1CAC16A2" w14:textId="77777777" w:rsidR="000729B5" w:rsidRPr="00A94B6E" w:rsidRDefault="000729B5" w:rsidP="006E4001">
            <w:pPr>
              <w:pStyle w:val="Odstavecseseznamem"/>
              <w:spacing w:line="216" w:lineRule="auto"/>
              <w:ind w:left="-57" w:right="-57"/>
              <w:jc w:val="center"/>
              <w:rPr>
                <w:rFonts w:asciiTheme="minorHAnsi" w:hAnsiTheme="minorHAnsi" w:cstheme="minorHAnsi"/>
                <w:sz w:val="20"/>
                <w:szCs w:val="20"/>
              </w:rPr>
            </w:pPr>
            <w:r w:rsidRPr="00A94B6E">
              <w:rPr>
                <w:rFonts w:asciiTheme="minorHAnsi" w:hAnsiTheme="minorHAnsi" w:cstheme="minorHAnsi"/>
                <w:sz w:val="20"/>
                <w:szCs w:val="20"/>
              </w:rPr>
              <w:t>…</w:t>
            </w:r>
          </w:p>
        </w:tc>
        <w:tc>
          <w:tcPr>
            <w:tcW w:w="907" w:type="dxa"/>
            <w:vMerge/>
            <w:tcBorders>
              <w:left w:val="single" w:sz="6" w:space="0" w:color="auto"/>
              <w:bottom w:val="single" w:sz="6" w:space="0" w:color="auto"/>
              <w:right w:val="single" w:sz="6" w:space="0" w:color="auto"/>
            </w:tcBorders>
            <w:shd w:val="clear" w:color="auto" w:fill="F2F2F2" w:themeFill="background1" w:themeFillShade="F2"/>
            <w:noWrap/>
            <w:vAlign w:val="center"/>
          </w:tcPr>
          <w:p w14:paraId="10ED13E7" w14:textId="77777777" w:rsidR="000729B5" w:rsidRPr="00A94B6E" w:rsidRDefault="000729B5" w:rsidP="006E4001">
            <w:pPr>
              <w:spacing w:line="216" w:lineRule="auto"/>
              <w:ind w:left="-57" w:right="-57"/>
              <w:rPr>
                <w:rFonts w:asciiTheme="minorHAnsi" w:hAnsiTheme="minorHAnsi" w:cstheme="minorHAnsi"/>
                <w:sz w:val="20"/>
                <w:szCs w:val="20"/>
              </w:rPr>
            </w:pPr>
          </w:p>
        </w:tc>
        <w:tc>
          <w:tcPr>
            <w:tcW w:w="3912" w:type="dxa"/>
            <w:tcBorders>
              <w:top w:val="single" w:sz="6" w:space="0" w:color="auto"/>
              <w:left w:val="single" w:sz="6" w:space="0" w:color="auto"/>
              <w:bottom w:val="single" w:sz="6" w:space="0" w:color="auto"/>
              <w:right w:val="single" w:sz="6" w:space="0" w:color="auto"/>
            </w:tcBorders>
            <w:shd w:val="clear" w:color="auto" w:fill="FFFFFF"/>
            <w:vAlign w:val="center"/>
          </w:tcPr>
          <w:p w14:paraId="72215098" w14:textId="77777777" w:rsidR="000729B5" w:rsidRPr="00A94B6E" w:rsidRDefault="000729B5" w:rsidP="006E4001">
            <w:pPr>
              <w:spacing w:line="216" w:lineRule="auto"/>
              <w:ind w:left="-57" w:right="-57"/>
              <w:rPr>
                <w:rFonts w:asciiTheme="minorHAnsi" w:hAnsiTheme="minorHAnsi" w:cstheme="minorHAnsi"/>
                <w:sz w:val="20"/>
                <w:szCs w:val="20"/>
              </w:rPr>
            </w:pPr>
            <w:r w:rsidRPr="00A94B6E">
              <w:rPr>
                <w:rFonts w:asciiTheme="minorHAnsi" w:hAnsiTheme="minorHAnsi" w:cstheme="minorHAnsi"/>
                <w:sz w:val="20"/>
                <w:szCs w:val="20"/>
              </w:rPr>
              <w:t>…..</w:t>
            </w:r>
          </w:p>
        </w:tc>
        <w:tc>
          <w:tcPr>
            <w:tcW w:w="42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31DC298"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83"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7BEFFEF"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56D4EF0" w14:textId="77777777" w:rsidR="000729B5" w:rsidRPr="00A94B6E" w:rsidRDefault="000729B5" w:rsidP="006E4001">
            <w:pPr>
              <w:spacing w:line="216" w:lineRule="auto"/>
              <w:ind w:left="-57" w:right="-57"/>
              <w:jc w:val="center"/>
              <w:rPr>
                <w:rFonts w:asciiTheme="minorHAnsi" w:hAnsiTheme="minorHAnsi" w:cstheme="minorHAnsi"/>
                <w:sz w:val="20"/>
                <w:szCs w:val="20"/>
              </w:rPr>
            </w:pPr>
          </w:p>
        </w:tc>
        <w:tc>
          <w:tcPr>
            <w:tcW w:w="2268" w:type="dxa"/>
            <w:tcBorders>
              <w:top w:val="single" w:sz="6" w:space="0" w:color="auto"/>
              <w:left w:val="single" w:sz="6" w:space="0" w:color="auto"/>
              <w:bottom w:val="single" w:sz="6" w:space="0" w:color="auto"/>
              <w:right w:val="single" w:sz="12" w:space="0" w:color="auto"/>
            </w:tcBorders>
            <w:shd w:val="clear" w:color="auto" w:fill="FFFFFF"/>
            <w:vAlign w:val="center"/>
          </w:tcPr>
          <w:p w14:paraId="2D7A393C" w14:textId="77777777" w:rsidR="000729B5" w:rsidRPr="00A94B6E" w:rsidRDefault="000729B5" w:rsidP="006E4001">
            <w:pPr>
              <w:spacing w:line="216" w:lineRule="auto"/>
              <w:ind w:left="-57" w:right="-57"/>
              <w:rPr>
                <w:rFonts w:asciiTheme="minorHAnsi" w:hAnsiTheme="minorHAnsi" w:cstheme="minorHAnsi"/>
                <w:sz w:val="20"/>
                <w:szCs w:val="20"/>
              </w:rPr>
            </w:pPr>
          </w:p>
        </w:tc>
      </w:tr>
    </w:tbl>
    <w:p w14:paraId="279CDFCE" w14:textId="77777777" w:rsidR="000729B5" w:rsidRPr="00ED3850" w:rsidRDefault="000729B5" w:rsidP="000729B5">
      <w:pPr>
        <w:pStyle w:val="Zkladntext3"/>
        <w:spacing w:after="0" w:line="360" w:lineRule="auto"/>
        <w:jc w:val="both"/>
        <w:rPr>
          <w:rFonts w:asciiTheme="minorHAnsi" w:eastAsia="Calibri" w:hAnsiTheme="minorHAnsi" w:cstheme="minorHAnsi"/>
          <w:i/>
          <w:iCs/>
          <w:sz w:val="24"/>
          <w:szCs w:val="18"/>
        </w:rPr>
      </w:pPr>
      <w:r w:rsidRPr="00ED3850">
        <w:rPr>
          <w:rFonts w:asciiTheme="minorHAnsi" w:eastAsia="Calibri" w:hAnsiTheme="minorHAnsi" w:cstheme="minorHAnsi"/>
          <w:i/>
          <w:iCs/>
          <w:sz w:val="24"/>
          <w:szCs w:val="18"/>
        </w:rPr>
        <w:t>Zdroj: město Ústí nad Labem</w:t>
      </w:r>
      <w:r w:rsidRPr="00ED3850">
        <w:rPr>
          <w:rStyle w:val="Znakapoznpodarou"/>
          <w:rFonts w:asciiTheme="minorHAnsi" w:eastAsia="Calibri" w:hAnsiTheme="minorHAnsi" w:cstheme="minorHAnsi"/>
          <w:i/>
          <w:iCs/>
          <w:sz w:val="24"/>
          <w:szCs w:val="18"/>
        </w:rPr>
        <w:footnoteReference w:id="61"/>
      </w:r>
    </w:p>
    <w:p w14:paraId="48429802" w14:textId="77777777" w:rsidR="000729B5" w:rsidRPr="005149E0" w:rsidRDefault="000729B5" w:rsidP="000729B5">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3DCE6B14" w14:textId="77777777" w:rsidR="000729B5" w:rsidRDefault="000729B5" w:rsidP="0065698B">
      <w:pPr>
        <w:pStyle w:val="Odstavecseseznamem"/>
        <w:numPr>
          <w:ilvl w:val="0"/>
          <w:numId w:val="22"/>
        </w:numPr>
        <w:jc w:val="both"/>
        <w:rPr>
          <w:rFonts w:asciiTheme="minorHAnsi" w:hAnsiTheme="minorHAnsi" w:cstheme="minorHAnsi"/>
        </w:rPr>
      </w:pPr>
      <w:r>
        <w:rPr>
          <w:rFonts w:asciiTheme="minorHAnsi" w:hAnsiTheme="minorHAnsi" w:cstheme="minorHAnsi"/>
        </w:rPr>
        <w:t>Zvolený příklad je vzat z praxe, což znamená, že odpovídá dané situaci a místním podmínkám.</w:t>
      </w:r>
    </w:p>
    <w:p w14:paraId="32EEBCC0" w14:textId="1826F339" w:rsidR="000729B5" w:rsidRDefault="000729B5" w:rsidP="0065698B">
      <w:pPr>
        <w:pStyle w:val="Odstavecseseznamem"/>
        <w:numPr>
          <w:ilvl w:val="0"/>
          <w:numId w:val="22"/>
        </w:numPr>
        <w:jc w:val="both"/>
        <w:rPr>
          <w:rFonts w:asciiTheme="minorHAnsi" w:hAnsiTheme="minorHAnsi" w:cstheme="minorHAnsi"/>
        </w:rPr>
      </w:pPr>
      <w:r>
        <w:rPr>
          <w:rFonts w:asciiTheme="minorHAnsi" w:hAnsiTheme="minorHAnsi" w:cstheme="minorHAnsi"/>
        </w:rPr>
        <w:t xml:space="preserve">V rámci zpracování analýz </w:t>
      </w:r>
      <w:r w:rsidR="00D8433F">
        <w:rPr>
          <w:rFonts w:asciiTheme="minorHAnsi" w:hAnsiTheme="minorHAnsi" w:cstheme="minorHAnsi"/>
        </w:rPr>
        <w:t>strategie rozvoje města</w:t>
      </w:r>
      <w:r>
        <w:rPr>
          <w:rFonts w:asciiTheme="minorHAnsi" w:hAnsiTheme="minorHAnsi" w:cstheme="minorHAnsi"/>
        </w:rPr>
        <w:t xml:space="preserve"> by vždy měla být provedena analýza rizik. </w:t>
      </w:r>
    </w:p>
    <w:p w14:paraId="54B77547" w14:textId="1F5DADEA" w:rsidR="000729B5" w:rsidRDefault="000729B5" w:rsidP="000729B5">
      <w:pPr>
        <w:jc w:val="both"/>
        <w:rPr>
          <w:rFonts w:asciiTheme="minorHAnsi" w:hAnsiTheme="minorHAnsi" w:cstheme="minorHAnsi"/>
        </w:rPr>
      </w:pPr>
    </w:p>
    <w:p w14:paraId="0A3E4C3F" w14:textId="77777777" w:rsidR="000729B5" w:rsidRPr="00B66523" w:rsidRDefault="000729B5" w:rsidP="000729B5">
      <w:pPr>
        <w:pStyle w:val="Nadpis2"/>
        <w:spacing w:before="240" w:after="120"/>
        <w:ind w:left="578" w:hanging="578"/>
        <w:rPr>
          <w:rFonts w:asciiTheme="minorHAnsi" w:hAnsiTheme="minorHAnsi" w:cstheme="minorHAnsi"/>
          <w:color w:val="7493B0"/>
          <w:sz w:val="24"/>
          <w:szCs w:val="24"/>
          <w:lang w:val="cs-CZ"/>
        </w:rPr>
      </w:pPr>
      <w:bookmarkStart w:id="95" w:name="_Toc117270026"/>
      <w:r w:rsidRPr="00B66523">
        <w:rPr>
          <w:rFonts w:ascii="Calibri" w:hAnsi="Calibri"/>
          <w:color w:val="7493B0"/>
          <w:sz w:val="24"/>
          <w:szCs w:val="24"/>
          <w:lang w:val="cs-CZ"/>
        </w:rPr>
        <w:t xml:space="preserve">Příklad vyhodnocení rizik v rámci </w:t>
      </w:r>
      <w:r>
        <w:rPr>
          <w:rFonts w:ascii="Calibri" w:hAnsi="Calibri"/>
          <w:color w:val="7493B0"/>
          <w:sz w:val="24"/>
          <w:szCs w:val="24"/>
          <w:lang w:val="cs-CZ"/>
        </w:rPr>
        <w:t>finanční</w:t>
      </w:r>
      <w:r w:rsidRPr="00B66523">
        <w:rPr>
          <w:rFonts w:ascii="Calibri" w:hAnsi="Calibri"/>
          <w:color w:val="7493B0"/>
          <w:sz w:val="24"/>
          <w:szCs w:val="24"/>
          <w:lang w:val="cs-CZ"/>
        </w:rPr>
        <w:t xml:space="preserve"> kontroly</w:t>
      </w:r>
      <w:bookmarkEnd w:id="95"/>
    </w:p>
    <w:p w14:paraId="12FFB607" w14:textId="77777777" w:rsidR="000729B5" w:rsidRDefault="000729B5" w:rsidP="000729B5">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76F6D34D" w14:textId="77777777" w:rsidR="000729B5" w:rsidRPr="0001259F" w:rsidRDefault="000729B5" w:rsidP="000729B5">
      <w:pPr>
        <w:spacing w:after="120"/>
        <w:jc w:val="both"/>
        <w:rPr>
          <w:rFonts w:asciiTheme="minorHAnsi" w:hAnsiTheme="minorHAnsi" w:cstheme="minorHAnsi"/>
        </w:rPr>
      </w:pPr>
      <w:r>
        <w:rPr>
          <w:rFonts w:asciiTheme="minorHAnsi" w:hAnsiTheme="minorHAnsi" w:cstheme="minorHAnsi"/>
        </w:rPr>
        <w:t xml:space="preserve">Případová studie se týká hodnocení rizik dle zákona o finanční kontrole. Problematika byla popsána v kapitole 3. V rámci předběžné finanční kontroly je nezbytné vyhodnotit rizika u každého výdaje, příjmu nebo jiného nakládání s veřejnými prostředky, a to i v rámci strategické práce. V případové studii je řešeno hodnocení </w:t>
      </w:r>
      <w:r w:rsidRPr="0001259F">
        <w:rPr>
          <w:rFonts w:asciiTheme="minorHAnsi" w:hAnsiTheme="minorHAnsi" w:cstheme="minorHAnsi"/>
        </w:rPr>
        <w:t xml:space="preserve">rizik v rámci předběžné kontroly </w:t>
      </w:r>
      <w:r>
        <w:rPr>
          <w:rFonts w:asciiTheme="minorHAnsi" w:hAnsiTheme="minorHAnsi" w:cstheme="minorHAnsi"/>
        </w:rPr>
        <w:t>u veřejné</w:t>
      </w:r>
      <w:r w:rsidRPr="0001259F">
        <w:rPr>
          <w:rFonts w:asciiTheme="minorHAnsi" w:hAnsiTheme="minorHAnsi" w:cstheme="minorHAnsi"/>
        </w:rPr>
        <w:t xml:space="preserve"> zakázk</w:t>
      </w:r>
      <w:r>
        <w:rPr>
          <w:rFonts w:asciiTheme="minorHAnsi" w:hAnsiTheme="minorHAnsi" w:cstheme="minorHAnsi"/>
        </w:rPr>
        <w:t>y</w:t>
      </w:r>
      <w:r w:rsidRPr="0001259F">
        <w:rPr>
          <w:rFonts w:asciiTheme="minorHAnsi" w:hAnsiTheme="minorHAnsi" w:cstheme="minorHAnsi"/>
        </w:rPr>
        <w:t xml:space="preserve"> na stavební práce</w:t>
      </w:r>
      <w:r>
        <w:rPr>
          <w:rFonts w:asciiTheme="minorHAnsi" w:hAnsiTheme="minorHAnsi" w:cstheme="minorHAnsi"/>
        </w:rPr>
        <w:t>. Mít zavedený systém snižování rizik bez omezování příležitostí patří k zásadám zdravého finančního řízení.</w:t>
      </w:r>
    </w:p>
    <w:p w14:paraId="761529FB" w14:textId="77777777" w:rsidR="000729B5" w:rsidRPr="006B6EA5" w:rsidRDefault="000729B5" w:rsidP="000729B5">
      <w:pPr>
        <w:spacing w:after="120"/>
        <w:jc w:val="both"/>
        <w:rPr>
          <w:rFonts w:asciiTheme="minorHAnsi" w:hAnsiTheme="minorHAnsi" w:cstheme="minorHAnsi"/>
          <w:b/>
        </w:rPr>
      </w:pPr>
      <w:r w:rsidRPr="006B6EA5">
        <w:rPr>
          <w:rFonts w:asciiTheme="minorHAnsi" w:hAnsiTheme="minorHAnsi" w:cstheme="minorHAnsi"/>
          <w:b/>
        </w:rPr>
        <w:t>Popis případové studie:</w:t>
      </w:r>
    </w:p>
    <w:p w14:paraId="24F86983" w14:textId="0F220EF3" w:rsidR="000729B5" w:rsidRPr="007F78DC" w:rsidRDefault="000729B5" w:rsidP="000729B5">
      <w:pPr>
        <w:jc w:val="both"/>
        <w:rPr>
          <w:rFonts w:asciiTheme="minorHAnsi" w:hAnsiTheme="minorHAnsi" w:cstheme="minorHAnsi"/>
        </w:rPr>
      </w:pPr>
      <w:r w:rsidRPr="0001259F">
        <w:rPr>
          <w:rFonts w:asciiTheme="minorHAnsi" w:hAnsiTheme="minorHAnsi" w:cstheme="minorHAnsi"/>
        </w:rPr>
        <w:t xml:space="preserve">Příklad </w:t>
      </w:r>
      <w:r>
        <w:rPr>
          <w:rFonts w:asciiTheme="minorHAnsi" w:hAnsiTheme="minorHAnsi" w:cstheme="minorHAnsi"/>
        </w:rPr>
        <w:t xml:space="preserve">se věnuje </w:t>
      </w:r>
      <w:r w:rsidRPr="0001259F">
        <w:rPr>
          <w:rFonts w:asciiTheme="minorHAnsi" w:hAnsiTheme="minorHAnsi" w:cstheme="minorHAnsi"/>
        </w:rPr>
        <w:t xml:space="preserve">vyhodnocení rizik </w:t>
      </w:r>
      <w:r>
        <w:rPr>
          <w:rFonts w:asciiTheme="minorHAnsi" w:hAnsiTheme="minorHAnsi" w:cstheme="minorHAnsi"/>
        </w:rPr>
        <w:t>v rámci předběžné kontroly – jde o veřejnou</w:t>
      </w:r>
      <w:r w:rsidRPr="0001259F">
        <w:rPr>
          <w:rFonts w:asciiTheme="minorHAnsi" w:hAnsiTheme="minorHAnsi" w:cstheme="minorHAnsi"/>
        </w:rPr>
        <w:t xml:space="preserve"> zakázk</w:t>
      </w:r>
      <w:r>
        <w:rPr>
          <w:rFonts w:asciiTheme="minorHAnsi" w:hAnsiTheme="minorHAnsi" w:cstheme="minorHAnsi"/>
        </w:rPr>
        <w:t>u</w:t>
      </w:r>
      <w:r w:rsidRPr="0001259F">
        <w:rPr>
          <w:rFonts w:asciiTheme="minorHAnsi" w:hAnsiTheme="minorHAnsi" w:cstheme="minorHAnsi"/>
        </w:rPr>
        <w:t xml:space="preserve"> na stavební práce</w:t>
      </w:r>
      <w:r>
        <w:rPr>
          <w:rFonts w:asciiTheme="minorHAnsi" w:hAnsiTheme="minorHAnsi" w:cstheme="minorHAnsi"/>
        </w:rPr>
        <w:t xml:space="preserve">. Rizika jsou uvedena v následující tabulce. Jde o příklad, což znamená, že jiná </w:t>
      </w:r>
      <w:r>
        <w:rPr>
          <w:rFonts w:asciiTheme="minorHAnsi" w:hAnsiTheme="minorHAnsi" w:cstheme="minorHAnsi"/>
        </w:rPr>
        <w:lastRenderedPageBreak/>
        <w:t>veřejná zakázka u jiného zadavatele by měla v jiné situaci částečně jiná rizika. Zejména by se mohlo lišit jejich vyhodnocení. Rizika byla po jejich vyhodnocení seřazena</w:t>
      </w:r>
      <w:r w:rsidRPr="007F78DC">
        <w:rPr>
          <w:rFonts w:asciiTheme="minorHAnsi" w:hAnsiTheme="minorHAnsi" w:cstheme="minorHAnsi"/>
        </w:rPr>
        <w:t xml:space="preserve"> podle významnosti (sloupe</w:t>
      </w:r>
      <w:r>
        <w:rPr>
          <w:rFonts w:asciiTheme="minorHAnsi" w:hAnsiTheme="minorHAnsi" w:cstheme="minorHAnsi"/>
        </w:rPr>
        <w:t>c V</w:t>
      </w:r>
      <w:r w:rsidRPr="007F78DC">
        <w:rPr>
          <w:rFonts w:asciiTheme="minorHAnsi" w:hAnsiTheme="minorHAnsi" w:cstheme="minorHAnsi"/>
        </w:rPr>
        <w:t>=</w:t>
      </w:r>
      <w:r>
        <w:rPr>
          <w:rFonts w:asciiTheme="minorHAnsi" w:hAnsiTheme="minorHAnsi" w:cstheme="minorHAnsi"/>
        </w:rPr>
        <w:t>P*D, přičemž P je pravděpodobnost výskytu, D je dopad). Metodiku hodnocení rizik je možné dohledat v materiálu k řízení rizik</w:t>
      </w:r>
      <w:r>
        <w:rPr>
          <w:rStyle w:val="Znakapoznpodarou"/>
          <w:rFonts w:asciiTheme="minorHAnsi" w:hAnsiTheme="minorHAnsi" w:cstheme="minorHAnsi"/>
        </w:rPr>
        <w:footnoteReference w:id="62"/>
      </w:r>
      <w:r>
        <w:rPr>
          <w:rFonts w:asciiTheme="minorHAnsi" w:hAnsiTheme="minorHAnsi" w:cstheme="minorHAnsi"/>
        </w:rPr>
        <w:t>. Z tabulky je patrné, že byla přijata opatření ke všem zjištěným rizikům. V praxi se u malých rizik (hodnota 4 a nižší) často opatření nepřijímají. Podrobněji je problematika popsána v materiálu Půček, Páleníková (2022</w:t>
      </w:r>
      <w:r w:rsidR="00DB39C1">
        <w:rPr>
          <w:rFonts w:asciiTheme="minorHAnsi" w:hAnsiTheme="minorHAnsi" w:cstheme="minorHAnsi"/>
        </w:rPr>
        <w:t>b</w:t>
      </w:r>
      <w:r>
        <w:rPr>
          <w:rFonts w:asciiTheme="minorHAnsi" w:hAnsiTheme="minorHAnsi" w:cstheme="minorHAnsi"/>
        </w:rPr>
        <w:t>).</w:t>
      </w:r>
    </w:p>
    <w:p w14:paraId="68F48CA5" w14:textId="2228F6AF" w:rsidR="000729B5" w:rsidRPr="006E1557" w:rsidRDefault="000729B5" w:rsidP="000729B5">
      <w:pPr>
        <w:pStyle w:val="Zkladntext3"/>
        <w:spacing w:after="0" w:line="360" w:lineRule="auto"/>
        <w:jc w:val="both"/>
        <w:rPr>
          <w:rFonts w:asciiTheme="minorHAnsi" w:eastAsia="Calibri" w:hAnsiTheme="minorHAnsi" w:cstheme="minorHAnsi"/>
          <w:b/>
          <w:i/>
          <w:iCs/>
          <w:sz w:val="24"/>
          <w:szCs w:val="24"/>
        </w:rPr>
      </w:pPr>
      <w:r>
        <w:rPr>
          <w:rFonts w:asciiTheme="minorHAnsi" w:eastAsia="Calibri" w:hAnsiTheme="minorHAnsi" w:cstheme="minorHAnsi"/>
          <w:i/>
          <w:iCs/>
          <w:sz w:val="24"/>
          <w:szCs w:val="24"/>
        </w:rPr>
        <w:t>Tab.</w:t>
      </w:r>
      <w:r w:rsidR="004F0E1D">
        <w:rPr>
          <w:rFonts w:asciiTheme="minorHAnsi" w:eastAsia="Calibri" w:hAnsiTheme="minorHAnsi" w:cstheme="minorHAnsi"/>
          <w:i/>
          <w:iCs/>
          <w:sz w:val="24"/>
          <w:szCs w:val="24"/>
        </w:rPr>
        <w:t xml:space="preserve"> </w:t>
      </w:r>
      <w:r w:rsidR="00C14739">
        <w:rPr>
          <w:rFonts w:asciiTheme="minorHAnsi" w:eastAsia="Calibri" w:hAnsiTheme="minorHAnsi" w:cstheme="minorHAnsi"/>
          <w:i/>
          <w:iCs/>
          <w:sz w:val="24"/>
          <w:szCs w:val="24"/>
        </w:rPr>
        <w:t>30</w:t>
      </w:r>
      <w:r>
        <w:rPr>
          <w:rFonts w:asciiTheme="minorHAnsi" w:eastAsia="Calibri" w:hAnsiTheme="minorHAnsi" w:cstheme="minorHAnsi"/>
          <w:i/>
          <w:iCs/>
          <w:sz w:val="24"/>
          <w:szCs w:val="24"/>
        </w:rPr>
        <w:t xml:space="preserve"> V</w:t>
      </w:r>
      <w:r w:rsidRPr="006E1557">
        <w:rPr>
          <w:rFonts w:asciiTheme="minorHAnsi" w:eastAsia="Calibri" w:hAnsiTheme="minorHAnsi" w:cstheme="minorHAnsi"/>
          <w:i/>
          <w:iCs/>
          <w:sz w:val="24"/>
          <w:szCs w:val="24"/>
        </w:rPr>
        <w:t>yhodnocení rizik v rámci předběžné kontroly - veřejná zakázka na stavební práce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09"/>
        <w:gridCol w:w="4265"/>
        <w:gridCol w:w="283"/>
        <w:gridCol w:w="283"/>
        <w:gridCol w:w="426"/>
        <w:gridCol w:w="3350"/>
      </w:tblGrid>
      <w:tr w:rsidR="000729B5" w:rsidRPr="00441C5C" w14:paraId="7CF4439D" w14:textId="77777777" w:rsidTr="006E4001">
        <w:trPr>
          <w:trHeight w:val="233"/>
        </w:trPr>
        <w:tc>
          <w:tcPr>
            <w:tcW w:w="227" w:type="pct"/>
            <w:vMerge w:val="restart"/>
            <w:shd w:val="clear" w:color="auto" w:fill="E7E6E6"/>
            <w:noWrap/>
            <w:vAlign w:val="center"/>
          </w:tcPr>
          <w:p w14:paraId="08C48FC7"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Č.</w:t>
            </w:r>
          </w:p>
        </w:tc>
        <w:tc>
          <w:tcPr>
            <w:tcW w:w="2365" w:type="pct"/>
            <w:vMerge w:val="restart"/>
            <w:shd w:val="clear" w:color="auto" w:fill="E7E6E6"/>
            <w:vAlign w:val="center"/>
          </w:tcPr>
          <w:p w14:paraId="77CC861A"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Název rizika</w:t>
            </w:r>
          </w:p>
        </w:tc>
        <w:tc>
          <w:tcPr>
            <w:tcW w:w="550" w:type="pct"/>
            <w:gridSpan w:val="3"/>
            <w:shd w:val="clear" w:color="auto" w:fill="E7E6E6"/>
            <w:vAlign w:val="center"/>
          </w:tcPr>
          <w:p w14:paraId="7C419837"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 xml:space="preserve">Hodnocení </w:t>
            </w:r>
          </w:p>
        </w:tc>
        <w:tc>
          <w:tcPr>
            <w:tcW w:w="1858" w:type="pct"/>
            <w:vMerge w:val="restart"/>
            <w:shd w:val="clear" w:color="auto" w:fill="E7E6E6"/>
            <w:vAlign w:val="center"/>
          </w:tcPr>
          <w:p w14:paraId="7B797116" w14:textId="77777777" w:rsidR="000729B5" w:rsidRPr="00441C5C" w:rsidRDefault="000729B5" w:rsidP="006E4001">
            <w:pPr>
              <w:spacing w:line="228" w:lineRule="auto"/>
              <w:ind w:left="-113" w:right="-113"/>
              <w:jc w:val="center"/>
              <w:rPr>
                <w:rFonts w:asciiTheme="minorHAnsi" w:hAnsiTheme="minorHAnsi" w:cstheme="minorHAnsi"/>
                <w:sz w:val="20"/>
                <w:szCs w:val="20"/>
              </w:rPr>
            </w:pPr>
            <w:r w:rsidRPr="00441C5C">
              <w:rPr>
                <w:rFonts w:asciiTheme="minorHAnsi" w:hAnsiTheme="minorHAnsi" w:cstheme="minorHAnsi"/>
                <w:sz w:val="20"/>
                <w:szCs w:val="20"/>
              </w:rPr>
              <w:t>Opatření</w:t>
            </w:r>
            <w:r>
              <w:rPr>
                <w:rFonts w:asciiTheme="minorHAnsi" w:hAnsiTheme="minorHAnsi" w:cstheme="minorHAnsi"/>
                <w:sz w:val="20"/>
                <w:szCs w:val="20"/>
              </w:rPr>
              <w:t xml:space="preserve"> ke snížení rizika</w:t>
            </w:r>
          </w:p>
        </w:tc>
      </w:tr>
      <w:tr w:rsidR="000729B5" w:rsidRPr="00441C5C" w14:paraId="1CFCF453" w14:textId="77777777" w:rsidTr="006E4001">
        <w:trPr>
          <w:trHeight w:val="70"/>
        </w:trPr>
        <w:tc>
          <w:tcPr>
            <w:tcW w:w="227" w:type="pct"/>
            <w:vMerge/>
            <w:shd w:val="clear" w:color="auto" w:fill="E7E6E6"/>
            <w:noWrap/>
            <w:vAlign w:val="center"/>
          </w:tcPr>
          <w:p w14:paraId="41D2CA28" w14:textId="77777777" w:rsidR="000729B5" w:rsidRPr="00441C5C" w:rsidRDefault="000729B5" w:rsidP="006E4001">
            <w:pPr>
              <w:spacing w:line="228" w:lineRule="auto"/>
              <w:ind w:left="-57" w:right="-57"/>
              <w:jc w:val="center"/>
              <w:rPr>
                <w:rFonts w:asciiTheme="minorHAnsi" w:hAnsiTheme="minorHAnsi" w:cstheme="minorHAnsi"/>
                <w:b/>
                <w:bCs/>
                <w:sz w:val="20"/>
                <w:szCs w:val="20"/>
              </w:rPr>
            </w:pPr>
          </w:p>
        </w:tc>
        <w:tc>
          <w:tcPr>
            <w:tcW w:w="2365" w:type="pct"/>
            <w:vMerge/>
            <w:shd w:val="clear" w:color="auto" w:fill="F2F2F2"/>
            <w:vAlign w:val="center"/>
          </w:tcPr>
          <w:p w14:paraId="4EA23E91" w14:textId="77777777" w:rsidR="000729B5" w:rsidRPr="00441C5C" w:rsidRDefault="000729B5" w:rsidP="006E4001">
            <w:pPr>
              <w:spacing w:line="228" w:lineRule="auto"/>
              <w:ind w:left="-57" w:right="-57"/>
              <w:jc w:val="center"/>
              <w:rPr>
                <w:rFonts w:asciiTheme="minorHAnsi" w:hAnsiTheme="minorHAnsi" w:cstheme="minorHAnsi"/>
                <w:b/>
                <w:bCs/>
                <w:sz w:val="20"/>
                <w:szCs w:val="20"/>
              </w:rPr>
            </w:pPr>
          </w:p>
        </w:tc>
        <w:tc>
          <w:tcPr>
            <w:tcW w:w="157" w:type="pct"/>
            <w:shd w:val="clear" w:color="auto" w:fill="E7E6E6"/>
            <w:vAlign w:val="center"/>
          </w:tcPr>
          <w:p w14:paraId="414718F1"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P</w:t>
            </w:r>
          </w:p>
        </w:tc>
        <w:tc>
          <w:tcPr>
            <w:tcW w:w="157" w:type="pct"/>
            <w:shd w:val="clear" w:color="auto" w:fill="E7E6E6"/>
            <w:vAlign w:val="center"/>
          </w:tcPr>
          <w:p w14:paraId="5F94AE57"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D</w:t>
            </w:r>
          </w:p>
        </w:tc>
        <w:tc>
          <w:tcPr>
            <w:tcW w:w="236" w:type="pct"/>
            <w:shd w:val="clear" w:color="auto" w:fill="E7E6E6"/>
            <w:vAlign w:val="center"/>
          </w:tcPr>
          <w:p w14:paraId="65F122CF"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V=</w:t>
            </w:r>
          </w:p>
          <w:p w14:paraId="6ED14BEB"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P*D</w:t>
            </w:r>
          </w:p>
        </w:tc>
        <w:tc>
          <w:tcPr>
            <w:tcW w:w="1858" w:type="pct"/>
            <w:vMerge/>
            <w:shd w:val="clear" w:color="auto" w:fill="E7E6E6"/>
          </w:tcPr>
          <w:p w14:paraId="6E5A65B6" w14:textId="77777777" w:rsidR="000729B5" w:rsidRPr="00441C5C" w:rsidRDefault="000729B5" w:rsidP="006E4001">
            <w:pPr>
              <w:spacing w:line="228" w:lineRule="auto"/>
              <w:ind w:left="-113" w:right="-113"/>
              <w:jc w:val="center"/>
              <w:rPr>
                <w:rFonts w:asciiTheme="minorHAnsi" w:hAnsiTheme="minorHAnsi" w:cstheme="minorHAnsi"/>
                <w:sz w:val="20"/>
                <w:szCs w:val="20"/>
              </w:rPr>
            </w:pPr>
          </w:p>
        </w:tc>
      </w:tr>
      <w:tr w:rsidR="000729B5" w:rsidRPr="00441C5C" w14:paraId="56A4805D" w14:textId="77777777" w:rsidTr="006E4001">
        <w:trPr>
          <w:trHeight w:val="70"/>
        </w:trPr>
        <w:tc>
          <w:tcPr>
            <w:tcW w:w="227" w:type="pct"/>
            <w:shd w:val="clear" w:color="auto" w:fill="E7E6E6"/>
            <w:noWrap/>
            <w:vAlign w:val="center"/>
          </w:tcPr>
          <w:p w14:paraId="2F35DBB6"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1.1</w:t>
            </w:r>
          </w:p>
        </w:tc>
        <w:tc>
          <w:tcPr>
            <w:tcW w:w="2365" w:type="pct"/>
            <w:shd w:val="clear" w:color="auto" w:fill="FFFFFF"/>
            <w:vAlign w:val="center"/>
          </w:tcPr>
          <w:p w14:paraId="403A9A80"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hAnsiTheme="minorHAnsi" w:cstheme="minorHAnsi"/>
                <w:sz w:val="20"/>
                <w:szCs w:val="20"/>
              </w:rPr>
              <w:t>Nárůst cen mezi zpracováním projektu, vyhlášení</w:t>
            </w:r>
            <w:r>
              <w:rPr>
                <w:rFonts w:asciiTheme="minorHAnsi" w:hAnsiTheme="minorHAnsi" w:cstheme="minorHAnsi"/>
                <w:sz w:val="20"/>
                <w:szCs w:val="20"/>
              </w:rPr>
              <w:t>m</w:t>
            </w:r>
            <w:r w:rsidRPr="00441C5C">
              <w:rPr>
                <w:rFonts w:asciiTheme="minorHAnsi" w:hAnsiTheme="minorHAnsi" w:cstheme="minorHAnsi"/>
                <w:sz w:val="20"/>
                <w:szCs w:val="20"/>
              </w:rPr>
              <w:t xml:space="preserve"> zakázky a podáním nabídek</w:t>
            </w:r>
          </w:p>
        </w:tc>
        <w:tc>
          <w:tcPr>
            <w:tcW w:w="157" w:type="pct"/>
            <w:shd w:val="clear" w:color="auto" w:fill="FFFFFF"/>
            <w:noWrap/>
            <w:vAlign w:val="center"/>
          </w:tcPr>
          <w:p w14:paraId="234601FC"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157" w:type="pct"/>
            <w:shd w:val="clear" w:color="auto" w:fill="FFFFFF"/>
            <w:noWrap/>
            <w:vAlign w:val="center"/>
          </w:tcPr>
          <w:p w14:paraId="4FC6E016"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1B8F8708"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12</w:t>
            </w:r>
          </w:p>
        </w:tc>
        <w:tc>
          <w:tcPr>
            <w:tcW w:w="1858" w:type="pct"/>
            <w:shd w:val="clear" w:color="auto" w:fill="FFFFFF"/>
            <w:vAlign w:val="center"/>
          </w:tcPr>
          <w:p w14:paraId="6C3C0BFB"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urychlit přípravu veřejné zakázky 2. ošetřit ve smlouvě</w:t>
            </w:r>
          </w:p>
        </w:tc>
      </w:tr>
      <w:tr w:rsidR="000729B5" w:rsidRPr="00441C5C" w14:paraId="2BDA03FE" w14:textId="77777777" w:rsidTr="006E4001">
        <w:trPr>
          <w:trHeight w:val="70"/>
        </w:trPr>
        <w:tc>
          <w:tcPr>
            <w:tcW w:w="227" w:type="pct"/>
            <w:shd w:val="clear" w:color="auto" w:fill="E7E6E6"/>
            <w:noWrap/>
            <w:vAlign w:val="center"/>
          </w:tcPr>
          <w:p w14:paraId="7FDD4413"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1.2</w:t>
            </w:r>
          </w:p>
        </w:tc>
        <w:tc>
          <w:tcPr>
            <w:tcW w:w="2365" w:type="pct"/>
            <w:shd w:val="clear" w:color="auto" w:fill="FFFFFF"/>
            <w:vAlign w:val="center"/>
          </w:tcPr>
          <w:p w14:paraId="66899A5D"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eastAsia="Calibri" w:hAnsiTheme="minorHAnsi" w:cstheme="minorHAnsi"/>
                <w:sz w:val="20"/>
                <w:szCs w:val="20"/>
              </w:rPr>
              <w:t>Nekvalitní dodavatel stavebních prací</w:t>
            </w:r>
          </w:p>
        </w:tc>
        <w:tc>
          <w:tcPr>
            <w:tcW w:w="157" w:type="pct"/>
            <w:shd w:val="clear" w:color="auto" w:fill="FFFFFF"/>
            <w:noWrap/>
            <w:vAlign w:val="center"/>
          </w:tcPr>
          <w:p w14:paraId="47F3DF97"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71D57CB8"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236" w:type="pct"/>
            <w:shd w:val="clear" w:color="auto" w:fill="FFFFFF"/>
            <w:noWrap/>
            <w:vAlign w:val="center"/>
          </w:tcPr>
          <w:p w14:paraId="261E8905"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12</w:t>
            </w:r>
          </w:p>
        </w:tc>
        <w:tc>
          <w:tcPr>
            <w:tcW w:w="1858" w:type="pct"/>
            <w:shd w:val="clear" w:color="auto" w:fill="FFFFFF"/>
            <w:vAlign w:val="center"/>
          </w:tcPr>
          <w:p w14:paraId="7C7B4720"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zpřísnit kvalifikační předpoklady</w:t>
            </w:r>
          </w:p>
          <w:p w14:paraId="20648D50"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kompetentní stavební dozor</w:t>
            </w:r>
          </w:p>
          <w:p w14:paraId="4C8E051D" w14:textId="77777777" w:rsidR="000729B5"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3. účast na kontrolních dnech a kontrola ze strany stavebního technika</w:t>
            </w:r>
          </w:p>
          <w:p w14:paraId="7F66F536" w14:textId="77777777" w:rsidR="000729B5" w:rsidRPr="00441C5C" w:rsidRDefault="000729B5" w:rsidP="006E4001">
            <w:pPr>
              <w:spacing w:line="228" w:lineRule="auto"/>
              <w:ind w:left="-57" w:right="-113"/>
              <w:rPr>
                <w:rFonts w:asciiTheme="minorHAnsi" w:hAnsiTheme="minorHAnsi" w:cstheme="minorHAnsi"/>
                <w:sz w:val="20"/>
                <w:szCs w:val="20"/>
              </w:rPr>
            </w:pPr>
            <w:r>
              <w:rPr>
                <w:rFonts w:asciiTheme="minorHAnsi" w:hAnsiTheme="minorHAnsi" w:cstheme="minorHAnsi"/>
                <w:sz w:val="20"/>
                <w:szCs w:val="20"/>
              </w:rPr>
              <w:t>4. do hodnocení nabídek zahrnout kvalitativní ukazatel</w:t>
            </w:r>
          </w:p>
        </w:tc>
      </w:tr>
      <w:tr w:rsidR="000729B5" w:rsidRPr="00441C5C" w14:paraId="438BFC2A" w14:textId="77777777" w:rsidTr="006E4001">
        <w:trPr>
          <w:trHeight w:val="70"/>
        </w:trPr>
        <w:tc>
          <w:tcPr>
            <w:tcW w:w="227" w:type="pct"/>
            <w:shd w:val="clear" w:color="auto" w:fill="E7E6E6"/>
            <w:noWrap/>
            <w:vAlign w:val="center"/>
          </w:tcPr>
          <w:p w14:paraId="65D7E5FD"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1.3</w:t>
            </w:r>
          </w:p>
        </w:tc>
        <w:tc>
          <w:tcPr>
            <w:tcW w:w="2365" w:type="pct"/>
            <w:shd w:val="clear" w:color="auto" w:fill="FFFFFF"/>
            <w:vAlign w:val="center"/>
          </w:tcPr>
          <w:p w14:paraId="269EF606"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hAnsiTheme="minorHAnsi" w:cstheme="minorHAnsi"/>
                <w:sz w:val="20"/>
                <w:szCs w:val="20"/>
              </w:rPr>
              <w:t>Významné prodloužení veřejné zakázky z důvodu odvolání na ÚHOZ</w:t>
            </w:r>
          </w:p>
        </w:tc>
        <w:tc>
          <w:tcPr>
            <w:tcW w:w="157" w:type="pct"/>
            <w:shd w:val="clear" w:color="auto" w:fill="FFFFFF"/>
            <w:noWrap/>
            <w:vAlign w:val="center"/>
          </w:tcPr>
          <w:p w14:paraId="3B511939"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31417FC4"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236" w:type="pct"/>
            <w:shd w:val="clear" w:color="auto" w:fill="FFFFFF"/>
            <w:noWrap/>
            <w:vAlign w:val="center"/>
          </w:tcPr>
          <w:p w14:paraId="38CF56CC"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12</w:t>
            </w:r>
          </w:p>
        </w:tc>
        <w:tc>
          <w:tcPr>
            <w:tcW w:w="1858" w:type="pct"/>
            <w:shd w:val="clear" w:color="auto" w:fill="FFFFFF"/>
            <w:vAlign w:val="center"/>
          </w:tcPr>
          <w:p w14:paraId="0541ACBA"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kvalitní a včasná příprava veřejné zakázky</w:t>
            </w:r>
          </w:p>
        </w:tc>
      </w:tr>
      <w:tr w:rsidR="000729B5" w:rsidRPr="00441C5C" w14:paraId="3B01EA22" w14:textId="77777777" w:rsidTr="006E4001">
        <w:trPr>
          <w:trHeight w:val="70"/>
        </w:trPr>
        <w:tc>
          <w:tcPr>
            <w:tcW w:w="227" w:type="pct"/>
            <w:shd w:val="clear" w:color="auto" w:fill="E7E6E6"/>
            <w:noWrap/>
            <w:vAlign w:val="center"/>
          </w:tcPr>
          <w:p w14:paraId="6C55B19E"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1.4</w:t>
            </w:r>
          </w:p>
        </w:tc>
        <w:tc>
          <w:tcPr>
            <w:tcW w:w="2365" w:type="pct"/>
            <w:shd w:val="clear" w:color="auto" w:fill="FFFFFF"/>
            <w:vAlign w:val="center"/>
          </w:tcPr>
          <w:p w14:paraId="2E8BFCDA"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eastAsia="Calibri" w:hAnsiTheme="minorHAnsi" w:cstheme="minorHAnsi"/>
                <w:sz w:val="20"/>
                <w:szCs w:val="20"/>
              </w:rPr>
              <w:t>Vícepráce mající dopad na cenu</w:t>
            </w:r>
            <w:r>
              <w:rPr>
                <w:rFonts w:asciiTheme="minorHAnsi" w:eastAsia="Calibri" w:hAnsiTheme="minorHAnsi" w:cstheme="minorHAnsi"/>
                <w:sz w:val="20"/>
                <w:szCs w:val="20"/>
              </w:rPr>
              <w:t>, potažmo na režim veřejné zakázky</w:t>
            </w:r>
          </w:p>
        </w:tc>
        <w:tc>
          <w:tcPr>
            <w:tcW w:w="157" w:type="pct"/>
            <w:shd w:val="clear" w:color="auto" w:fill="FFFFFF"/>
            <w:noWrap/>
            <w:vAlign w:val="center"/>
          </w:tcPr>
          <w:p w14:paraId="4B6FF3D0"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157" w:type="pct"/>
            <w:shd w:val="clear" w:color="auto" w:fill="FFFFFF"/>
            <w:noWrap/>
            <w:vAlign w:val="center"/>
          </w:tcPr>
          <w:p w14:paraId="20E94A61"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30D74095"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12</w:t>
            </w:r>
          </w:p>
        </w:tc>
        <w:tc>
          <w:tcPr>
            <w:tcW w:w="1858" w:type="pct"/>
            <w:shd w:val="clear" w:color="auto" w:fill="FFFFFF"/>
            <w:vAlign w:val="center"/>
          </w:tcPr>
          <w:p w14:paraId="4CD569B2"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kontrola projektové dokumentace</w:t>
            </w:r>
          </w:p>
          <w:p w14:paraId="3244BC23"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kompetentní stavební dozor</w:t>
            </w:r>
          </w:p>
          <w:p w14:paraId="11F268D4" w14:textId="77777777" w:rsidR="000729B5"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3. účast na kontrolních dnech a kontrola ze strany stavebního technika</w:t>
            </w:r>
          </w:p>
          <w:p w14:paraId="1BAC45E4" w14:textId="77777777" w:rsidR="000729B5" w:rsidRPr="00441C5C" w:rsidRDefault="000729B5" w:rsidP="006E4001">
            <w:pPr>
              <w:spacing w:line="228" w:lineRule="auto"/>
              <w:ind w:left="-57" w:right="-113"/>
              <w:rPr>
                <w:rFonts w:asciiTheme="minorHAnsi" w:hAnsiTheme="minorHAnsi" w:cstheme="minorHAnsi"/>
                <w:sz w:val="20"/>
                <w:szCs w:val="20"/>
              </w:rPr>
            </w:pPr>
            <w:r>
              <w:rPr>
                <w:rFonts w:asciiTheme="minorHAnsi" w:hAnsiTheme="minorHAnsi" w:cstheme="minorHAnsi"/>
                <w:sz w:val="20"/>
                <w:szCs w:val="20"/>
              </w:rPr>
              <w:t>4. zpřesnit smluvní podmínky</w:t>
            </w:r>
          </w:p>
        </w:tc>
      </w:tr>
      <w:tr w:rsidR="000729B5" w:rsidRPr="00441C5C" w14:paraId="57ACD21D" w14:textId="77777777" w:rsidTr="006E4001">
        <w:trPr>
          <w:trHeight w:val="70"/>
        </w:trPr>
        <w:tc>
          <w:tcPr>
            <w:tcW w:w="227" w:type="pct"/>
            <w:shd w:val="clear" w:color="auto" w:fill="E7E6E6"/>
            <w:noWrap/>
            <w:vAlign w:val="center"/>
          </w:tcPr>
          <w:p w14:paraId="537FFDEE"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1.5</w:t>
            </w:r>
          </w:p>
        </w:tc>
        <w:tc>
          <w:tcPr>
            <w:tcW w:w="2365" w:type="pct"/>
            <w:shd w:val="clear" w:color="auto" w:fill="FFFFFF"/>
            <w:vAlign w:val="center"/>
          </w:tcPr>
          <w:p w14:paraId="703D7CA8"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eastAsia="Calibri" w:hAnsiTheme="minorHAnsi" w:cstheme="minorHAnsi"/>
                <w:sz w:val="20"/>
                <w:szCs w:val="20"/>
              </w:rPr>
              <w:t>Nedodržení termínů či lhůt ze strany dodavatele</w:t>
            </w:r>
          </w:p>
        </w:tc>
        <w:tc>
          <w:tcPr>
            <w:tcW w:w="157" w:type="pct"/>
            <w:shd w:val="clear" w:color="auto" w:fill="FFFFFF"/>
            <w:noWrap/>
            <w:vAlign w:val="center"/>
          </w:tcPr>
          <w:p w14:paraId="01E43A23"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2B9702FE"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5B5A9F8B"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9</w:t>
            </w:r>
          </w:p>
        </w:tc>
        <w:tc>
          <w:tcPr>
            <w:tcW w:w="1858" w:type="pct"/>
            <w:shd w:val="clear" w:color="auto" w:fill="FFFFFF"/>
            <w:vAlign w:val="center"/>
          </w:tcPr>
          <w:p w14:paraId="3EA77D19"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kompetentní stavební dozor</w:t>
            </w:r>
          </w:p>
          <w:p w14:paraId="3A770D9C" w14:textId="77777777" w:rsidR="000729B5"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účast na kontrolních dnech a kontrola ze strany stavebního technika</w:t>
            </w:r>
          </w:p>
          <w:p w14:paraId="0451F83C" w14:textId="77777777" w:rsidR="000729B5" w:rsidRPr="00441C5C" w:rsidRDefault="000729B5" w:rsidP="006E4001">
            <w:pPr>
              <w:spacing w:line="228" w:lineRule="auto"/>
              <w:ind w:left="-57" w:right="-113"/>
              <w:rPr>
                <w:rFonts w:asciiTheme="minorHAnsi" w:hAnsiTheme="minorHAnsi" w:cstheme="minorHAnsi"/>
                <w:sz w:val="20"/>
                <w:szCs w:val="20"/>
              </w:rPr>
            </w:pPr>
            <w:r>
              <w:rPr>
                <w:rFonts w:asciiTheme="minorHAnsi" w:hAnsiTheme="minorHAnsi" w:cstheme="minorHAnsi"/>
                <w:sz w:val="20"/>
                <w:szCs w:val="20"/>
              </w:rPr>
              <w:t>4. zpřesnit smluvní podmínky</w:t>
            </w:r>
          </w:p>
        </w:tc>
      </w:tr>
      <w:tr w:rsidR="000729B5" w:rsidRPr="00441C5C" w14:paraId="4F72FF13" w14:textId="77777777" w:rsidTr="006E4001">
        <w:trPr>
          <w:trHeight w:val="70"/>
        </w:trPr>
        <w:tc>
          <w:tcPr>
            <w:tcW w:w="227" w:type="pct"/>
            <w:shd w:val="clear" w:color="auto" w:fill="E7E6E6"/>
            <w:noWrap/>
            <w:vAlign w:val="center"/>
          </w:tcPr>
          <w:p w14:paraId="1C0584D8"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1.6</w:t>
            </w:r>
          </w:p>
        </w:tc>
        <w:tc>
          <w:tcPr>
            <w:tcW w:w="2365" w:type="pct"/>
            <w:shd w:val="clear" w:color="auto" w:fill="FFFFFF"/>
            <w:vAlign w:val="center"/>
          </w:tcPr>
          <w:p w14:paraId="1AC611F0"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hAnsiTheme="minorHAnsi" w:cstheme="minorHAnsi"/>
                <w:sz w:val="20"/>
                <w:szCs w:val="20"/>
              </w:rPr>
              <w:t>Nedojde k včasnému vysoutěžení dodavatele</w:t>
            </w:r>
          </w:p>
        </w:tc>
        <w:tc>
          <w:tcPr>
            <w:tcW w:w="157" w:type="pct"/>
            <w:shd w:val="clear" w:color="auto" w:fill="FFFFFF"/>
            <w:noWrap/>
            <w:vAlign w:val="center"/>
          </w:tcPr>
          <w:p w14:paraId="3BAAD1E5"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23431064"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5ED889C5"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9</w:t>
            </w:r>
          </w:p>
        </w:tc>
        <w:tc>
          <w:tcPr>
            <w:tcW w:w="1858" w:type="pct"/>
            <w:shd w:val="clear" w:color="auto" w:fill="FFFFFF"/>
            <w:vAlign w:val="center"/>
          </w:tcPr>
          <w:p w14:paraId="342A224F"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kvalitní a včasná příprava veřejné zakázky</w:t>
            </w:r>
          </w:p>
        </w:tc>
      </w:tr>
      <w:tr w:rsidR="000729B5" w:rsidRPr="00441C5C" w14:paraId="3DCF1B46" w14:textId="77777777" w:rsidTr="006E4001">
        <w:trPr>
          <w:trHeight w:val="70"/>
        </w:trPr>
        <w:tc>
          <w:tcPr>
            <w:tcW w:w="227" w:type="pct"/>
            <w:shd w:val="clear" w:color="auto" w:fill="E7E6E6"/>
            <w:noWrap/>
            <w:vAlign w:val="center"/>
          </w:tcPr>
          <w:p w14:paraId="09B05598"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1.7</w:t>
            </w:r>
          </w:p>
        </w:tc>
        <w:tc>
          <w:tcPr>
            <w:tcW w:w="2365" w:type="pct"/>
            <w:shd w:val="clear" w:color="auto" w:fill="FFFFFF"/>
            <w:vAlign w:val="center"/>
          </w:tcPr>
          <w:p w14:paraId="4CD06BF4"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hAnsiTheme="minorHAnsi" w:cstheme="minorHAnsi"/>
                <w:sz w:val="20"/>
                <w:szCs w:val="20"/>
              </w:rPr>
              <w:t>Obtěžování okolí hlukem, prachem, zvýšenou dopravou</w:t>
            </w:r>
          </w:p>
        </w:tc>
        <w:tc>
          <w:tcPr>
            <w:tcW w:w="157" w:type="pct"/>
            <w:shd w:val="clear" w:color="auto" w:fill="FFFFFF"/>
            <w:noWrap/>
            <w:vAlign w:val="center"/>
          </w:tcPr>
          <w:p w14:paraId="72CA5145"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569CB7E8"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5548123A"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9</w:t>
            </w:r>
          </w:p>
        </w:tc>
        <w:tc>
          <w:tcPr>
            <w:tcW w:w="1858" w:type="pct"/>
            <w:shd w:val="clear" w:color="auto" w:fill="FFFFFF"/>
            <w:vAlign w:val="center"/>
          </w:tcPr>
          <w:p w14:paraId="48F017D5"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 xml:space="preserve">1. ošetřit ve smlouvě tak, aby byl rozsah předem minimalizován – </w:t>
            </w:r>
            <w:r>
              <w:rPr>
                <w:rFonts w:asciiTheme="minorHAnsi" w:hAnsiTheme="minorHAnsi" w:cstheme="minorHAnsi"/>
                <w:sz w:val="20"/>
                <w:szCs w:val="20"/>
              </w:rPr>
              <w:t xml:space="preserve">riziko </w:t>
            </w:r>
            <w:r w:rsidRPr="00441C5C">
              <w:rPr>
                <w:rFonts w:asciiTheme="minorHAnsi" w:hAnsiTheme="minorHAnsi" w:cstheme="minorHAnsi"/>
                <w:sz w:val="20"/>
                <w:szCs w:val="20"/>
              </w:rPr>
              <w:t>přenést na dodavatele</w:t>
            </w:r>
          </w:p>
        </w:tc>
      </w:tr>
      <w:tr w:rsidR="000729B5" w:rsidRPr="00441C5C" w14:paraId="2DEC1E75" w14:textId="77777777" w:rsidTr="006E4001">
        <w:trPr>
          <w:trHeight w:val="70"/>
        </w:trPr>
        <w:tc>
          <w:tcPr>
            <w:tcW w:w="227" w:type="pct"/>
            <w:shd w:val="clear" w:color="auto" w:fill="E7E6E6"/>
            <w:noWrap/>
            <w:vAlign w:val="center"/>
          </w:tcPr>
          <w:p w14:paraId="4D561E8D"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1.8</w:t>
            </w:r>
          </w:p>
        </w:tc>
        <w:tc>
          <w:tcPr>
            <w:tcW w:w="2365" w:type="pct"/>
            <w:shd w:val="clear" w:color="auto" w:fill="FFFFFF"/>
            <w:vAlign w:val="center"/>
          </w:tcPr>
          <w:p w14:paraId="7BDEE40E"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eastAsia="Calibri" w:hAnsiTheme="minorHAnsi" w:cstheme="minorHAnsi"/>
                <w:sz w:val="20"/>
                <w:szCs w:val="20"/>
              </w:rPr>
              <w:t>Riziko finanční korupce</w:t>
            </w:r>
          </w:p>
        </w:tc>
        <w:tc>
          <w:tcPr>
            <w:tcW w:w="157" w:type="pct"/>
            <w:shd w:val="clear" w:color="auto" w:fill="FFFFFF"/>
            <w:noWrap/>
            <w:vAlign w:val="center"/>
          </w:tcPr>
          <w:p w14:paraId="30DFEF50"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19EC9E37"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236" w:type="pct"/>
            <w:shd w:val="clear" w:color="auto" w:fill="FFFFFF"/>
            <w:noWrap/>
            <w:vAlign w:val="center"/>
          </w:tcPr>
          <w:p w14:paraId="257E68C4"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8</w:t>
            </w:r>
          </w:p>
        </w:tc>
        <w:tc>
          <w:tcPr>
            <w:tcW w:w="1858" w:type="pct"/>
            <w:shd w:val="clear" w:color="auto" w:fill="FFFFFF"/>
            <w:vAlign w:val="center"/>
          </w:tcPr>
          <w:p w14:paraId="7D85F74C"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otevřené výběrové řízení</w:t>
            </w:r>
          </w:p>
          <w:p w14:paraId="176D257C"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 xml:space="preserve">2. kontrola </w:t>
            </w:r>
            <w:r>
              <w:rPr>
                <w:rFonts w:asciiTheme="minorHAnsi" w:hAnsiTheme="minorHAnsi" w:cstheme="minorHAnsi"/>
                <w:sz w:val="20"/>
                <w:szCs w:val="20"/>
              </w:rPr>
              <w:t xml:space="preserve">(ověření) </w:t>
            </w:r>
            <w:r w:rsidRPr="00441C5C">
              <w:rPr>
                <w:rFonts w:asciiTheme="minorHAnsi" w:hAnsiTheme="minorHAnsi" w:cstheme="minorHAnsi"/>
                <w:sz w:val="20"/>
                <w:szCs w:val="20"/>
              </w:rPr>
              <w:t xml:space="preserve">předpokládané ceny </w:t>
            </w:r>
          </w:p>
          <w:p w14:paraId="5143B7B9"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3. příkazce a osoba podepisující smlouvu jsou rozdílné osoby</w:t>
            </w:r>
          </w:p>
        </w:tc>
      </w:tr>
      <w:tr w:rsidR="000729B5" w:rsidRPr="00441C5C" w14:paraId="28FE4FB3" w14:textId="77777777" w:rsidTr="006E4001">
        <w:trPr>
          <w:trHeight w:val="70"/>
        </w:trPr>
        <w:tc>
          <w:tcPr>
            <w:tcW w:w="227" w:type="pct"/>
            <w:shd w:val="clear" w:color="auto" w:fill="E7E6E6"/>
            <w:noWrap/>
            <w:vAlign w:val="center"/>
          </w:tcPr>
          <w:p w14:paraId="565937B5"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1.9</w:t>
            </w:r>
          </w:p>
        </w:tc>
        <w:tc>
          <w:tcPr>
            <w:tcW w:w="2365" w:type="pct"/>
            <w:shd w:val="clear" w:color="auto" w:fill="FFFFFF"/>
            <w:vAlign w:val="center"/>
          </w:tcPr>
          <w:p w14:paraId="37BB065A"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hAnsiTheme="minorHAnsi" w:cstheme="minorHAnsi"/>
                <w:sz w:val="20"/>
                <w:szCs w:val="20"/>
              </w:rPr>
              <w:t>Selhání kontroly stavebních prací ze strany stavebního dozoru</w:t>
            </w:r>
          </w:p>
        </w:tc>
        <w:tc>
          <w:tcPr>
            <w:tcW w:w="157" w:type="pct"/>
            <w:shd w:val="clear" w:color="auto" w:fill="FFFFFF"/>
            <w:noWrap/>
            <w:vAlign w:val="center"/>
          </w:tcPr>
          <w:p w14:paraId="1CEF7E3E"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2ACAD84E"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236" w:type="pct"/>
            <w:shd w:val="clear" w:color="auto" w:fill="FFFFFF"/>
            <w:noWrap/>
            <w:vAlign w:val="center"/>
          </w:tcPr>
          <w:p w14:paraId="42D902A0"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8</w:t>
            </w:r>
          </w:p>
        </w:tc>
        <w:tc>
          <w:tcPr>
            <w:tcW w:w="1858" w:type="pct"/>
            <w:shd w:val="clear" w:color="auto" w:fill="FFFFFF"/>
            <w:vAlign w:val="center"/>
          </w:tcPr>
          <w:p w14:paraId="1A46893F"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kompetentní stavební dozor</w:t>
            </w:r>
          </w:p>
          <w:p w14:paraId="1F0BF68D"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účast na kontrolních dnech a kontrola ze strany stavebního technika</w:t>
            </w:r>
          </w:p>
        </w:tc>
      </w:tr>
      <w:tr w:rsidR="000729B5" w:rsidRPr="00441C5C" w14:paraId="25A1FC55" w14:textId="77777777" w:rsidTr="006E4001">
        <w:trPr>
          <w:trHeight w:val="70"/>
        </w:trPr>
        <w:tc>
          <w:tcPr>
            <w:tcW w:w="227" w:type="pct"/>
            <w:shd w:val="clear" w:color="auto" w:fill="E7E6E6"/>
            <w:noWrap/>
            <w:vAlign w:val="center"/>
          </w:tcPr>
          <w:p w14:paraId="3F443CA7"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1.10</w:t>
            </w:r>
          </w:p>
        </w:tc>
        <w:tc>
          <w:tcPr>
            <w:tcW w:w="2365" w:type="pct"/>
            <w:shd w:val="clear" w:color="auto" w:fill="FFFFFF"/>
            <w:vAlign w:val="center"/>
          </w:tcPr>
          <w:p w14:paraId="37D7961B"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eastAsia="Calibri" w:hAnsiTheme="minorHAnsi" w:cstheme="minorHAnsi"/>
                <w:sz w:val="20"/>
                <w:szCs w:val="20"/>
              </w:rPr>
              <w:t>Nedojde k včasnému vysoutěžení stavebního dozoru nebo koordinátora bezpečnosti práce</w:t>
            </w:r>
          </w:p>
        </w:tc>
        <w:tc>
          <w:tcPr>
            <w:tcW w:w="157" w:type="pct"/>
            <w:shd w:val="clear" w:color="auto" w:fill="FFFFFF"/>
            <w:noWrap/>
            <w:vAlign w:val="center"/>
          </w:tcPr>
          <w:p w14:paraId="64A64F91"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5B474BA2"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236" w:type="pct"/>
            <w:shd w:val="clear" w:color="auto" w:fill="FFFFFF"/>
            <w:noWrap/>
            <w:vAlign w:val="center"/>
          </w:tcPr>
          <w:p w14:paraId="592D7D83"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8</w:t>
            </w:r>
          </w:p>
        </w:tc>
        <w:tc>
          <w:tcPr>
            <w:tcW w:w="1858" w:type="pct"/>
            <w:shd w:val="clear" w:color="auto" w:fill="FFFFFF"/>
            <w:vAlign w:val="center"/>
          </w:tcPr>
          <w:p w14:paraId="4134E780" w14:textId="28A4333B"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kvalitní a včasná příprava veřejné zakázky</w:t>
            </w:r>
            <w:r>
              <w:rPr>
                <w:rFonts w:asciiTheme="minorHAnsi" w:hAnsiTheme="minorHAnsi" w:cstheme="minorHAnsi"/>
                <w:sz w:val="20"/>
                <w:szCs w:val="20"/>
              </w:rPr>
              <w:t>, kvalitně zpracovaná zadávací dokumentace</w:t>
            </w:r>
          </w:p>
        </w:tc>
      </w:tr>
      <w:tr w:rsidR="000729B5" w:rsidRPr="00441C5C" w14:paraId="4C00EDE1" w14:textId="77777777" w:rsidTr="006E4001">
        <w:trPr>
          <w:trHeight w:val="70"/>
        </w:trPr>
        <w:tc>
          <w:tcPr>
            <w:tcW w:w="227" w:type="pct"/>
            <w:shd w:val="clear" w:color="auto" w:fill="E7E6E6"/>
            <w:noWrap/>
            <w:vAlign w:val="center"/>
          </w:tcPr>
          <w:p w14:paraId="525A12C2"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1.11</w:t>
            </w:r>
          </w:p>
        </w:tc>
        <w:tc>
          <w:tcPr>
            <w:tcW w:w="2365" w:type="pct"/>
            <w:shd w:val="clear" w:color="auto" w:fill="FFFFFF"/>
            <w:vAlign w:val="center"/>
          </w:tcPr>
          <w:p w14:paraId="648E7A0F"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hAnsiTheme="minorHAnsi" w:cstheme="minorHAnsi"/>
                <w:sz w:val="20"/>
                <w:szCs w:val="20"/>
              </w:rPr>
              <w:t>Odchod / nemoc stavebního technika, který má u zadavatele stavbu na starosti</w:t>
            </w:r>
          </w:p>
        </w:tc>
        <w:tc>
          <w:tcPr>
            <w:tcW w:w="157" w:type="pct"/>
            <w:shd w:val="clear" w:color="auto" w:fill="FFFFFF"/>
            <w:noWrap/>
            <w:vAlign w:val="center"/>
          </w:tcPr>
          <w:p w14:paraId="48ED8CA2"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5C38EE01"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4</w:t>
            </w:r>
          </w:p>
        </w:tc>
        <w:tc>
          <w:tcPr>
            <w:tcW w:w="236" w:type="pct"/>
            <w:shd w:val="clear" w:color="auto" w:fill="FFFFFF"/>
            <w:noWrap/>
            <w:vAlign w:val="center"/>
          </w:tcPr>
          <w:p w14:paraId="0F0F7D53"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8</w:t>
            </w:r>
          </w:p>
        </w:tc>
        <w:tc>
          <w:tcPr>
            <w:tcW w:w="1858" w:type="pct"/>
            <w:shd w:val="clear" w:color="auto" w:fill="FFFFFF"/>
            <w:vAlign w:val="center"/>
          </w:tcPr>
          <w:p w14:paraId="60478E46"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nastavit zastupitelnost mezi stavebními techniky</w:t>
            </w:r>
          </w:p>
          <w:p w14:paraId="342A0B51"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řešit motivovanost stavebních techniků</w:t>
            </w:r>
          </w:p>
        </w:tc>
      </w:tr>
      <w:tr w:rsidR="000729B5" w:rsidRPr="00441C5C" w14:paraId="1E1C29C0" w14:textId="77777777" w:rsidTr="006E4001">
        <w:trPr>
          <w:trHeight w:val="70"/>
        </w:trPr>
        <w:tc>
          <w:tcPr>
            <w:tcW w:w="227" w:type="pct"/>
            <w:shd w:val="clear" w:color="auto" w:fill="E7E6E6"/>
            <w:noWrap/>
            <w:vAlign w:val="center"/>
          </w:tcPr>
          <w:p w14:paraId="5AB2A734"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1.12</w:t>
            </w:r>
          </w:p>
        </w:tc>
        <w:tc>
          <w:tcPr>
            <w:tcW w:w="2365" w:type="pct"/>
            <w:shd w:val="clear" w:color="auto" w:fill="FFFFFF"/>
            <w:vAlign w:val="center"/>
          </w:tcPr>
          <w:p w14:paraId="12C56743" w14:textId="77777777" w:rsidR="000729B5" w:rsidRPr="00441C5C" w:rsidRDefault="000729B5" w:rsidP="006E4001">
            <w:pPr>
              <w:spacing w:line="228" w:lineRule="auto"/>
              <w:ind w:right="-57"/>
              <w:rPr>
                <w:rFonts w:asciiTheme="minorHAnsi" w:hAnsiTheme="minorHAnsi" w:cstheme="minorHAnsi"/>
                <w:sz w:val="20"/>
                <w:szCs w:val="20"/>
              </w:rPr>
            </w:pPr>
            <w:r>
              <w:rPr>
                <w:rFonts w:asciiTheme="minorHAnsi" w:hAnsiTheme="minorHAnsi" w:cstheme="minorHAnsi"/>
                <w:sz w:val="20"/>
                <w:szCs w:val="20"/>
              </w:rPr>
              <w:t>Porušení zákona či vnitřních předpisů při zadávání veřejných zakázek (například rozdělení zakázky)</w:t>
            </w:r>
          </w:p>
        </w:tc>
        <w:tc>
          <w:tcPr>
            <w:tcW w:w="157" w:type="pct"/>
            <w:shd w:val="clear" w:color="auto" w:fill="FFFFFF"/>
            <w:noWrap/>
            <w:vAlign w:val="center"/>
          </w:tcPr>
          <w:p w14:paraId="3A1721FF" w14:textId="77777777" w:rsidR="000729B5" w:rsidRPr="00441C5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3</w:t>
            </w:r>
          </w:p>
        </w:tc>
        <w:tc>
          <w:tcPr>
            <w:tcW w:w="157" w:type="pct"/>
            <w:shd w:val="clear" w:color="auto" w:fill="FFFFFF"/>
            <w:noWrap/>
            <w:vAlign w:val="center"/>
          </w:tcPr>
          <w:p w14:paraId="2480175E" w14:textId="77777777" w:rsidR="000729B5" w:rsidRPr="00441C5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2</w:t>
            </w:r>
          </w:p>
        </w:tc>
        <w:tc>
          <w:tcPr>
            <w:tcW w:w="236" w:type="pct"/>
            <w:shd w:val="clear" w:color="auto" w:fill="FFFFFF"/>
            <w:noWrap/>
            <w:vAlign w:val="center"/>
          </w:tcPr>
          <w:p w14:paraId="610D41EB"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6</w:t>
            </w:r>
          </w:p>
        </w:tc>
        <w:tc>
          <w:tcPr>
            <w:tcW w:w="1858" w:type="pct"/>
            <w:shd w:val="clear" w:color="auto" w:fill="FFFFFF"/>
            <w:vAlign w:val="center"/>
          </w:tcPr>
          <w:p w14:paraId="54A6CD3B"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zajistit kontrolu, proškolení a zastupitelnost</w:t>
            </w:r>
          </w:p>
        </w:tc>
      </w:tr>
      <w:tr w:rsidR="000729B5" w:rsidRPr="00441C5C" w14:paraId="4EDD84D6" w14:textId="77777777" w:rsidTr="006E4001">
        <w:trPr>
          <w:trHeight w:val="70"/>
        </w:trPr>
        <w:tc>
          <w:tcPr>
            <w:tcW w:w="227" w:type="pct"/>
            <w:shd w:val="clear" w:color="auto" w:fill="E7E6E6"/>
            <w:noWrap/>
            <w:vAlign w:val="center"/>
          </w:tcPr>
          <w:p w14:paraId="397A7202"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1.13</w:t>
            </w:r>
          </w:p>
        </w:tc>
        <w:tc>
          <w:tcPr>
            <w:tcW w:w="2365" w:type="pct"/>
            <w:shd w:val="clear" w:color="auto" w:fill="FFFFFF"/>
            <w:vAlign w:val="center"/>
          </w:tcPr>
          <w:p w14:paraId="2974869A"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hAnsiTheme="minorHAnsi" w:cstheme="minorHAnsi"/>
                <w:sz w:val="20"/>
                <w:szCs w:val="20"/>
              </w:rPr>
              <w:t>Nedostatečně stanovené záruky</w:t>
            </w:r>
          </w:p>
        </w:tc>
        <w:tc>
          <w:tcPr>
            <w:tcW w:w="157" w:type="pct"/>
            <w:shd w:val="clear" w:color="auto" w:fill="FFFFFF"/>
            <w:noWrap/>
            <w:vAlign w:val="center"/>
          </w:tcPr>
          <w:p w14:paraId="765C8D8C"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57AF1843"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7342AB76"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6</w:t>
            </w:r>
          </w:p>
        </w:tc>
        <w:tc>
          <w:tcPr>
            <w:tcW w:w="1858" w:type="pct"/>
            <w:shd w:val="clear" w:color="auto" w:fill="FFFFFF"/>
            <w:vAlign w:val="center"/>
          </w:tcPr>
          <w:p w14:paraId="5FB8C800"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ošetřeno ve smlouvě</w:t>
            </w:r>
          </w:p>
        </w:tc>
      </w:tr>
      <w:tr w:rsidR="000729B5" w:rsidRPr="00441C5C" w14:paraId="44B69055" w14:textId="77777777" w:rsidTr="006E4001">
        <w:trPr>
          <w:trHeight w:val="70"/>
        </w:trPr>
        <w:tc>
          <w:tcPr>
            <w:tcW w:w="227" w:type="pct"/>
            <w:shd w:val="clear" w:color="auto" w:fill="E7E6E6"/>
            <w:noWrap/>
            <w:vAlign w:val="center"/>
          </w:tcPr>
          <w:p w14:paraId="233DE19B"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lastRenderedPageBreak/>
              <w:t>1.14</w:t>
            </w:r>
          </w:p>
        </w:tc>
        <w:tc>
          <w:tcPr>
            <w:tcW w:w="2365" w:type="pct"/>
            <w:shd w:val="clear" w:color="auto" w:fill="FFFFFF"/>
            <w:vAlign w:val="center"/>
          </w:tcPr>
          <w:p w14:paraId="1804C550"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hAnsiTheme="minorHAnsi" w:cstheme="minorHAnsi"/>
                <w:sz w:val="20"/>
                <w:szCs w:val="20"/>
              </w:rPr>
              <w:t>Chyby v projektu nekryté pojištěním s dopadem na kvalitu, rozsah nebo cenu</w:t>
            </w:r>
          </w:p>
        </w:tc>
        <w:tc>
          <w:tcPr>
            <w:tcW w:w="157" w:type="pct"/>
            <w:shd w:val="clear" w:color="auto" w:fill="FFFFFF"/>
            <w:noWrap/>
            <w:vAlign w:val="center"/>
          </w:tcPr>
          <w:p w14:paraId="0A1244EA"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79EA76FB"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32E3814E"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6</w:t>
            </w:r>
          </w:p>
        </w:tc>
        <w:tc>
          <w:tcPr>
            <w:tcW w:w="1858" w:type="pct"/>
            <w:shd w:val="clear" w:color="auto" w:fill="FFFFFF"/>
            <w:vAlign w:val="center"/>
          </w:tcPr>
          <w:p w14:paraId="5CE46C91"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kontrola projektové dokumentace</w:t>
            </w:r>
          </w:p>
          <w:p w14:paraId="4225F1B5"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ošetřit ve smlouvě s projektantem</w:t>
            </w:r>
          </w:p>
        </w:tc>
      </w:tr>
      <w:tr w:rsidR="000729B5" w:rsidRPr="00441C5C" w14:paraId="041D06E9" w14:textId="77777777" w:rsidTr="006E4001">
        <w:trPr>
          <w:trHeight w:val="70"/>
        </w:trPr>
        <w:tc>
          <w:tcPr>
            <w:tcW w:w="227" w:type="pct"/>
            <w:shd w:val="clear" w:color="auto" w:fill="E7E6E6"/>
            <w:noWrap/>
            <w:vAlign w:val="center"/>
          </w:tcPr>
          <w:p w14:paraId="2ACBF614"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1.15</w:t>
            </w:r>
          </w:p>
        </w:tc>
        <w:tc>
          <w:tcPr>
            <w:tcW w:w="2365" w:type="pct"/>
            <w:shd w:val="clear" w:color="auto" w:fill="FFFFFF"/>
            <w:vAlign w:val="center"/>
          </w:tcPr>
          <w:p w14:paraId="6DAC3800"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eastAsia="Calibri" w:hAnsiTheme="minorHAnsi" w:cstheme="minorHAnsi"/>
                <w:sz w:val="20"/>
                <w:szCs w:val="20"/>
              </w:rPr>
              <w:t>Chyby při přejímce nebo reklamacích stavebních prací, dodávek či služeb, které mohou vést k dodatečným výdajům</w:t>
            </w:r>
          </w:p>
        </w:tc>
        <w:tc>
          <w:tcPr>
            <w:tcW w:w="157" w:type="pct"/>
            <w:shd w:val="clear" w:color="auto" w:fill="FFFFFF"/>
            <w:noWrap/>
            <w:vAlign w:val="center"/>
          </w:tcPr>
          <w:p w14:paraId="02ED56EF"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662CB6E9"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5C71E94E"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6</w:t>
            </w:r>
          </w:p>
        </w:tc>
        <w:tc>
          <w:tcPr>
            <w:tcW w:w="1858" w:type="pct"/>
            <w:shd w:val="clear" w:color="auto" w:fill="FFFFFF"/>
            <w:vAlign w:val="center"/>
          </w:tcPr>
          <w:p w14:paraId="19102BF5"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kompetentní stavební dozor</w:t>
            </w:r>
          </w:p>
          <w:p w14:paraId="1C730895"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účast na kontrolních dnech a kontrola ze strany stavebního technika</w:t>
            </w:r>
          </w:p>
        </w:tc>
      </w:tr>
      <w:tr w:rsidR="000729B5" w:rsidRPr="00441C5C" w14:paraId="6ECE9D13" w14:textId="77777777" w:rsidTr="006E4001">
        <w:trPr>
          <w:trHeight w:val="70"/>
        </w:trPr>
        <w:tc>
          <w:tcPr>
            <w:tcW w:w="227" w:type="pct"/>
            <w:shd w:val="clear" w:color="auto" w:fill="E7E6E6"/>
            <w:noWrap/>
            <w:vAlign w:val="center"/>
          </w:tcPr>
          <w:p w14:paraId="689ED6C2"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1.16</w:t>
            </w:r>
          </w:p>
        </w:tc>
        <w:tc>
          <w:tcPr>
            <w:tcW w:w="2365" w:type="pct"/>
            <w:shd w:val="clear" w:color="auto" w:fill="FFFFFF"/>
            <w:vAlign w:val="center"/>
          </w:tcPr>
          <w:p w14:paraId="30A1C092"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eastAsia="Calibri" w:hAnsiTheme="minorHAnsi" w:cstheme="minorHAnsi"/>
                <w:sz w:val="20"/>
                <w:szCs w:val="20"/>
              </w:rPr>
              <w:t>Účetní rizika – například chyby v účtování nebo daňových záležitostech s dopadem do hospodaření</w:t>
            </w:r>
          </w:p>
        </w:tc>
        <w:tc>
          <w:tcPr>
            <w:tcW w:w="157" w:type="pct"/>
            <w:shd w:val="clear" w:color="auto" w:fill="FFFFFF"/>
            <w:noWrap/>
            <w:vAlign w:val="center"/>
          </w:tcPr>
          <w:p w14:paraId="486570B0"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76A0ECFF"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16B0E368"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6</w:t>
            </w:r>
          </w:p>
        </w:tc>
        <w:tc>
          <w:tcPr>
            <w:tcW w:w="1858" w:type="pct"/>
            <w:shd w:val="clear" w:color="auto" w:fill="FFFFFF"/>
            <w:vAlign w:val="center"/>
          </w:tcPr>
          <w:p w14:paraId="1B10CE7F"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zajistit kontrolu, proškolení a zastupitelnost</w:t>
            </w:r>
          </w:p>
        </w:tc>
      </w:tr>
      <w:tr w:rsidR="000729B5" w:rsidRPr="00441C5C" w14:paraId="4EAECED5" w14:textId="77777777" w:rsidTr="006E4001">
        <w:trPr>
          <w:trHeight w:val="70"/>
        </w:trPr>
        <w:tc>
          <w:tcPr>
            <w:tcW w:w="227" w:type="pct"/>
            <w:shd w:val="clear" w:color="auto" w:fill="E7E6E6"/>
            <w:noWrap/>
            <w:vAlign w:val="center"/>
          </w:tcPr>
          <w:p w14:paraId="076CD1ED" w14:textId="77777777" w:rsidR="000729B5" w:rsidRPr="00441C5C" w:rsidRDefault="000729B5" w:rsidP="006E4001">
            <w:pPr>
              <w:pStyle w:val="Odstavecseseznamem"/>
              <w:spacing w:line="228" w:lineRule="auto"/>
              <w:ind w:left="-57" w:right="-57"/>
              <w:jc w:val="center"/>
              <w:rPr>
                <w:rFonts w:asciiTheme="minorHAnsi" w:hAnsiTheme="minorHAnsi" w:cstheme="minorHAnsi"/>
                <w:sz w:val="20"/>
                <w:szCs w:val="20"/>
              </w:rPr>
            </w:pPr>
            <w:r w:rsidRPr="00441C5C">
              <w:rPr>
                <w:rFonts w:asciiTheme="minorHAnsi" w:eastAsia="Calibri" w:hAnsiTheme="minorHAnsi" w:cstheme="minorHAnsi"/>
                <w:sz w:val="20"/>
                <w:szCs w:val="20"/>
              </w:rPr>
              <w:t>1.17</w:t>
            </w:r>
          </w:p>
        </w:tc>
        <w:tc>
          <w:tcPr>
            <w:tcW w:w="2365" w:type="pct"/>
            <w:shd w:val="clear" w:color="auto" w:fill="FFFFFF"/>
            <w:vAlign w:val="center"/>
          </w:tcPr>
          <w:p w14:paraId="74BE137D" w14:textId="77777777" w:rsidR="000729B5" w:rsidRPr="00441C5C" w:rsidRDefault="000729B5" w:rsidP="006E4001">
            <w:pPr>
              <w:spacing w:line="228" w:lineRule="auto"/>
              <w:ind w:right="-57"/>
              <w:rPr>
                <w:rFonts w:asciiTheme="minorHAnsi" w:hAnsiTheme="minorHAnsi" w:cstheme="minorHAnsi"/>
                <w:sz w:val="20"/>
                <w:szCs w:val="20"/>
              </w:rPr>
            </w:pPr>
            <w:r w:rsidRPr="00441C5C">
              <w:rPr>
                <w:rFonts w:asciiTheme="minorHAnsi" w:eastAsia="Calibri" w:hAnsiTheme="minorHAnsi" w:cstheme="minorHAnsi"/>
                <w:sz w:val="20"/>
                <w:szCs w:val="20"/>
              </w:rPr>
              <w:t>Rozpočtová rizika – chyby v odhadu příjmů, chyby v rozpočtování, chyby týkající se řešení schodků rozpočtu</w:t>
            </w:r>
          </w:p>
        </w:tc>
        <w:tc>
          <w:tcPr>
            <w:tcW w:w="157" w:type="pct"/>
            <w:shd w:val="clear" w:color="auto" w:fill="FFFFFF"/>
            <w:noWrap/>
            <w:vAlign w:val="center"/>
          </w:tcPr>
          <w:p w14:paraId="3AFE8A90"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52167C5F"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236" w:type="pct"/>
            <w:shd w:val="clear" w:color="auto" w:fill="FFFFFF"/>
            <w:noWrap/>
            <w:vAlign w:val="center"/>
          </w:tcPr>
          <w:p w14:paraId="43AE1BFB"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6</w:t>
            </w:r>
          </w:p>
        </w:tc>
        <w:tc>
          <w:tcPr>
            <w:tcW w:w="1858" w:type="pct"/>
            <w:shd w:val="clear" w:color="auto" w:fill="FFFFFF"/>
            <w:vAlign w:val="center"/>
          </w:tcPr>
          <w:p w14:paraId="0974535D"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zajistit kontrolu, proškolení a zastupitelnost</w:t>
            </w:r>
          </w:p>
        </w:tc>
      </w:tr>
      <w:tr w:rsidR="000729B5" w:rsidRPr="00441C5C" w14:paraId="7DF08614" w14:textId="77777777" w:rsidTr="006E4001">
        <w:trPr>
          <w:trHeight w:val="70"/>
        </w:trPr>
        <w:tc>
          <w:tcPr>
            <w:tcW w:w="227" w:type="pct"/>
            <w:shd w:val="clear" w:color="auto" w:fill="E7E6E6"/>
            <w:noWrap/>
            <w:vAlign w:val="center"/>
          </w:tcPr>
          <w:p w14:paraId="23419620"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1.18</w:t>
            </w:r>
          </w:p>
        </w:tc>
        <w:tc>
          <w:tcPr>
            <w:tcW w:w="2365" w:type="pct"/>
            <w:shd w:val="clear" w:color="auto" w:fill="FFFFFF"/>
            <w:vAlign w:val="center"/>
          </w:tcPr>
          <w:p w14:paraId="26290DD0"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eastAsia="Calibri" w:hAnsiTheme="minorHAnsi" w:cstheme="minorHAnsi"/>
                <w:sz w:val="20"/>
                <w:szCs w:val="20"/>
              </w:rPr>
              <w:t>Riziko krádeže majetku nebo materiálu týkající se staveniště</w:t>
            </w:r>
          </w:p>
        </w:tc>
        <w:tc>
          <w:tcPr>
            <w:tcW w:w="157" w:type="pct"/>
            <w:shd w:val="clear" w:color="auto" w:fill="FFFFFF"/>
            <w:noWrap/>
            <w:vAlign w:val="center"/>
          </w:tcPr>
          <w:p w14:paraId="1003A348"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769BB5E7"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1</w:t>
            </w:r>
          </w:p>
        </w:tc>
        <w:tc>
          <w:tcPr>
            <w:tcW w:w="236" w:type="pct"/>
            <w:shd w:val="clear" w:color="auto" w:fill="FFFFFF"/>
            <w:noWrap/>
            <w:vAlign w:val="center"/>
          </w:tcPr>
          <w:p w14:paraId="4E9E5A53"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3</w:t>
            </w:r>
          </w:p>
        </w:tc>
        <w:tc>
          <w:tcPr>
            <w:tcW w:w="1858" w:type="pct"/>
            <w:shd w:val="clear" w:color="auto" w:fill="FFFFFF"/>
            <w:vAlign w:val="center"/>
          </w:tcPr>
          <w:p w14:paraId="2BFC0249"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ošetřit ve smlouvě – přenést na dodavatele</w:t>
            </w:r>
          </w:p>
        </w:tc>
      </w:tr>
      <w:tr w:rsidR="000729B5" w:rsidRPr="00441C5C" w14:paraId="5852392A" w14:textId="77777777" w:rsidTr="006E4001">
        <w:trPr>
          <w:trHeight w:val="70"/>
        </w:trPr>
        <w:tc>
          <w:tcPr>
            <w:tcW w:w="227" w:type="pct"/>
            <w:shd w:val="clear" w:color="auto" w:fill="E7E6E6"/>
            <w:noWrap/>
            <w:vAlign w:val="center"/>
          </w:tcPr>
          <w:p w14:paraId="0F54AC1F"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441C5C">
              <w:rPr>
                <w:rFonts w:asciiTheme="minorHAnsi" w:eastAsia="Calibri" w:hAnsiTheme="minorHAnsi" w:cstheme="minorHAnsi"/>
                <w:sz w:val="20"/>
                <w:szCs w:val="20"/>
              </w:rPr>
              <w:t>1.19</w:t>
            </w:r>
          </w:p>
        </w:tc>
        <w:tc>
          <w:tcPr>
            <w:tcW w:w="2365" w:type="pct"/>
            <w:shd w:val="clear" w:color="auto" w:fill="FFFFFF"/>
            <w:vAlign w:val="center"/>
          </w:tcPr>
          <w:p w14:paraId="3E5BE8AB"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eastAsia="Calibri" w:hAnsiTheme="minorHAnsi" w:cstheme="minorHAnsi"/>
                <w:sz w:val="20"/>
                <w:szCs w:val="20"/>
              </w:rPr>
              <w:t>Poškození majetku ve vazbě na stavební činnost</w:t>
            </w:r>
          </w:p>
        </w:tc>
        <w:tc>
          <w:tcPr>
            <w:tcW w:w="157" w:type="pct"/>
            <w:shd w:val="clear" w:color="auto" w:fill="FFFFFF"/>
            <w:noWrap/>
            <w:vAlign w:val="center"/>
          </w:tcPr>
          <w:p w14:paraId="66F9C5EE"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3</w:t>
            </w:r>
          </w:p>
        </w:tc>
        <w:tc>
          <w:tcPr>
            <w:tcW w:w="157" w:type="pct"/>
            <w:shd w:val="clear" w:color="auto" w:fill="FFFFFF"/>
            <w:noWrap/>
            <w:vAlign w:val="center"/>
          </w:tcPr>
          <w:p w14:paraId="172B2530"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1</w:t>
            </w:r>
          </w:p>
        </w:tc>
        <w:tc>
          <w:tcPr>
            <w:tcW w:w="236" w:type="pct"/>
            <w:shd w:val="clear" w:color="auto" w:fill="FFFFFF"/>
            <w:noWrap/>
            <w:vAlign w:val="center"/>
          </w:tcPr>
          <w:p w14:paraId="6D3E613A"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sidRPr="00441C5C">
              <w:rPr>
                <w:rFonts w:asciiTheme="minorHAnsi" w:hAnsiTheme="minorHAnsi" w:cstheme="minorHAnsi"/>
                <w:b/>
                <w:sz w:val="20"/>
                <w:szCs w:val="20"/>
              </w:rPr>
              <w:t>3</w:t>
            </w:r>
          </w:p>
        </w:tc>
        <w:tc>
          <w:tcPr>
            <w:tcW w:w="1858" w:type="pct"/>
            <w:shd w:val="clear" w:color="auto" w:fill="FFFFFF"/>
            <w:vAlign w:val="center"/>
          </w:tcPr>
          <w:p w14:paraId="0D24D028"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ošetřit ve smlouvě – přenést na dodavatele</w:t>
            </w:r>
          </w:p>
        </w:tc>
      </w:tr>
      <w:tr w:rsidR="000729B5" w:rsidRPr="00441C5C" w14:paraId="57580B8A" w14:textId="77777777" w:rsidTr="006E4001">
        <w:trPr>
          <w:trHeight w:val="70"/>
        </w:trPr>
        <w:tc>
          <w:tcPr>
            <w:tcW w:w="227" w:type="pct"/>
            <w:shd w:val="clear" w:color="auto" w:fill="E7E6E6"/>
            <w:noWrap/>
            <w:vAlign w:val="center"/>
          </w:tcPr>
          <w:p w14:paraId="6567E7A8" w14:textId="77777777" w:rsidR="000729B5" w:rsidRPr="00441C5C" w:rsidRDefault="000729B5" w:rsidP="006E4001">
            <w:pPr>
              <w:pStyle w:val="Odstavecseseznamem"/>
              <w:spacing w:line="228" w:lineRule="auto"/>
              <w:ind w:left="-57" w:right="-57"/>
              <w:jc w:val="center"/>
              <w:rPr>
                <w:rFonts w:asciiTheme="minorHAnsi" w:eastAsia="Calibri" w:hAnsiTheme="minorHAnsi" w:cstheme="minorHAnsi"/>
                <w:sz w:val="20"/>
                <w:szCs w:val="20"/>
              </w:rPr>
            </w:pPr>
            <w:r>
              <w:rPr>
                <w:rFonts w:asciiTheme="minorHAnsi" w:hAnsiTheme="minorHAnsi" w:cstheme="minorHAnsi"/>
                <w:sz w:val="20"/>
                <w:szCs w:val="20"/>
              </w:rPr>
              <w:t>1.20</w:t>
            </w:r>
          </w:p>
        </w:tc>
        <w:tc>
          <w:tcPr>
            <w:tcW w:w="2365" w:type="pct"/>
            <w:shd w:val="clear" w:color="auto" w:fill="FFFFFF"/>
            <w:vAlign w:val="center"/>
          </w:tcPr>
          <w:p w14:paraId="5E2F0B58" w14:textId="77777777" w:rsidR="000729B5" w:rsidRPr="00441C5C" w:rsidRDefault="000729B5" w:rsidP="006E4001">
            <w:pPr>
              <w:spacing w:line="228" w:lineRule="auto"/>
              <w:ind w:right="-57"/>
              <w:rPr>
                <w:rFonts w:asciiTheme="minorHAnsi" w:eastAsia="Calibri" w:hAnsiTheme="minorHAnsi" w:cstheme="minorHAnsi"/>
                <w:sz w:val="20"/>
                <w:szCs w:val="20"/>
              </w:rPr>
            </w:pPr>
            <w:r w:rsidRPr="00441C5C">
              <w:rPr>
                <w:rFonts w:asciiTheme="minorHAnsi" w:hAnsiTheme="minorHAnsi" w:cstheme="minorHAnsi"/>
                <w:sz w:val="20"/>
                <w:szCs w:val="20"/>
              </w:rPr>
              <w:t>Úrazy na staveništi</w:t>
            </w:r>
          </w:p>
        </w:tc>
        <w:tc>
          <w:tcPr>
            <w:tcW w:w="157" w:type="pct"/>
            <w:shd w:val="clear" w:color="auto" w:fill="FFFFFF"/>
            <w:noWrap/>
            <w:vAlign w:val="center"/>
          </w:tcPr>
          <w:p w14:paraId="4DD31DB6"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2</w:t>
            </w:r>
          </w:p>
        </w:tc>
        <w:tc>
          <w:tcPr>
            <w:tcW w:w="157" w:type="pct"/>
            <w:shd w:val="clear" w:color="auto" w:fill="FFFFFF"/>
            <w:noWrap/>
            <w:vAlign w:val="center"/>
          </w:tcPr>
          <w:p w14:paraId="3727BACA" w14:textId="77777777" w:rsidR="000729B5" w:rsidRPr="00441C5C" w:rsidRDefault="000729B5" w:rsidP="006E4001">
            <w:pPr>
              <w:spacing w:line="228" w:lineRule="auto"/>
              <w:ind w:left="-57" w:right="-57"/>
              <w:jc w:val="center"/>
              <w:rPr>
                <w:rFonts w:asciiTheme="minorHAnsi" w:hAnsiTheme="minorHAnsi" w:cstheme="minorHAnsi"/>
                <w:sz w:val="20"/>
                <w:szCs w:val="20"/>
              </w:rPr>
            </w:pPr>
            <w:r w:rsidRPr="00441C5C">
              <w:rPr>
                <w:rFonts w:asciiTheme="minorHAnsi" w:hAnsiTheme="minorHAnsi" w:cstheme="minorHAnsi"/>
                <w:sz w:val="20"/>
                <w:szCs w:val="20"/>
              </w:rPr>
              <w:t>1</w:t>
            </w:r>
          </w:p>
        </w:tc>
        <w:tc>
          <w:tcPr>
            <w:tcW w:w="236" w:type="pct"/>
            <w:shd w:val="clear" w:color="auto" w:fill="FFFFFF"/>
            <w:noWrap/>
            <w:vAlign w:val="center"/>
          </w:tcPr>
          <w:p w14:paraId="0A35B1E6" w14:textId="77777777" w:rsidR="000729B5" w:rsidRPr="00441C5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2</w:t>
            </w:r>
          </w:p>
        </w:tc>
        <w:tc>
          <w:tcPr>
            <w:tcW w:w="1858" w:type="pct"/>
            <w:shd w:val="clear" w:color="auto" w:fill="FFFFFF"/>
            <w:vAlign w:val="center"/>
          </w:tcPr>
          <w:p w14:paraId="48F68837" w14:textId="77777777"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1. kvalitní koordinátor bezpečnosti práce</w:t>
            </w:r>
          </w:p>
          <w:p w14:paraId="34D480A5" w14:textId="797900C8" w:rsidR="000729B5" w:rsidRPr="00441C5C" w:rsidRDefault="000729B5" w:rsidP="006E4001">
            <w:pPr>
              <w:spacing w:line="228" w:lineRule="auto"/>
              <w:ind w:left="-57" w:right="-113"/>
              <w:rPr>
                <w:rFonts w:asciiTheme="minorHAnsi" w:hAnsiTheme="minorHAnsi" w:cstheme="minorHAnsi"/>
                <w:sz w:val="20"/>
                <w:szCs w:val="20"/>
              </w:rPr>
            </w:pPr>
            <w:r w:rsidRPr="00441C5C">
              <w:rPr>
                <w:rFonts w:asciiTheme="minorHAnsi" w:hAnsiTheme="minorHAnsi" w:cstheme="minorHAnsi"/>
                <w:sz w:val="20"/>
                <w:szCs w:val="20"/>
              </w:rPr>
              <w:t>2. trvat na dodržování</w:t>
            </w:r>
            <w:r w:rsidR="00DB39C1">
              <w:rPr>
                <w:rFonts w:asciiTheme="minorHAnsi" w:hAnsiTheme="minorHAnsi" w:cstheme="minorHAnsi"/>
                <w:sz w:val="20"/>
                <w:szCs w:val="20"/>
              </w:rPr>
              <w:t xml:space="preserve"> </w:t>
            </w:r>
            <w:r w:rsidR="00DB39C1" w:rsidRPr="00441C5C">
              <w:rPr>
                <w:rFonts w:asciiTheme="minorHAnsi" w:hAnsiTheme="minorHAnsi" w:cstheme="minorHAnsi"/>
                <w:sz w:val="20"/>
                <w:szCs w:val="20"/>
              </w:rPr>
              <w:t>bezpečnosti práce</w:t>
            </w:r>
          </w:p>
        </w:tc>
      </w:tr>
    </w:tbl>
    <w:p w14:paraId="67BF7F8D" w14:textId="321FFA5C" w:rsidR="000729B5" w:rsidRDefault="000729B5" w:rsidP="000729B5">
      <w:pPr>
        <w:pStyle w:val="A1-text"/>
        <w:spacing w:after="120"/>
        <w:rPr>
          <w:rFonts w:ascii="Calibri" w:hAnsi="Calibri"/>
          <w:i/>
          <w:iCs/>
          <w:lang w:val="cs-CZ"/>
        </w:rPr>
      </w:pPr>
      <w:r w:rsidRPr="00DC7F02">
        <w:rPr>
          <w:rFonts w:ascii="Calibri" w:hAnsi="Calibri"/>
          <w:i/>
          <w:iCs/>
          <w:lang w:val="cs-CZ"/>
        </w:rPr>
        <w:t xml:space="preserve">Zdroj: </w:t>
      </w:r>
      <w:r>
        <w:rPr>
          <w:rFonts w:ascii="Calibri" w:hAnsi="Calibri"/>
          <w:i/>
          <w:iCs/>
          <w:lang w:val="cs-CZ"/>
        </w:rPr>
        <w:t>Půček, Páleníková (2022</w:t>
      </w:r>
      <w:r w:rsidR="00DB39C1">
        <w:rPr>
          <w:rFonts w:ascii="Calibri" w:hAnsi="Calibri"/>
          <w:i/>
          <w:iCs/>
          <w:lang w:val="cs-CZ"/>
        </w:rPr>
        <w:t>b</w:t>
      </w:r>
      <w:r>
        <w:rPr>
          <w:rFonts w:ascii="Calibri" w:hAnsi="Calibri"/>
          <w:i/>
          <w:iCs/>
          <w:lang w:val="cs-CZ"/>
        </w:rPr>
        <w:t>)</w:t>
      </w:r>
    </w:p>
    <w:p w14:paraId="388D3CEF" w14:textId="77777777" w:rsidR="000729B5" w:rsidRPr="005149E0" w:rsidRDefault="000729B5" w:rsidP="000729B5">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1D676834" w14:textId="77777777" w:rsidR="000729B5" w:rsidRDefault="000729B5" w:rsidP="0065698B">
      <w:pPr>
        <w:pStyle w:val="Odstavecseseznamem"/>
        <w:numPr>
          <w:ilvl w:val="0"/>
          <w:numId w:val="22"/>
        </w:numPr>
        <w:jc w:val="both"/>
        <w:rPr>
          <w:rFonts w:asciiTheme="minorHAnsi" w:hAnsiTheme="minorHAnsi" w:cstheme="minorHAnsi"/>
        </w:rPr>
      </w:pPr>
      <w:r>
        <w:rPr>
          <w:rFonts w:asciiTheme="minorHAnsi" w:hAnsiTheme="minorHAnsi" w:cstheme="minorHAnsi"/>
        </w:rPr>
        <w:t>V příkladu je u zvolené zakázky identifikováno 20 potenciálních rizik. Při hodnocení konkrétní zakázky se obvykle využívá registr rizik (čerpají se z něj informace), ale hodnocení je nezbytné provést pro konkrétní situaci, v našem případě veřejnou zakázku.</w:t>
      </w:r>
    </w:p>
    <w:p w14:paraId="23156264" w14:textId="77777777" w:rsidR="000729B5" w:rsidRDefault="000729B5" w:rsidP="0065698B">
      <w:pPr>
        <w:pStyle w:val="Odstavecseseznamem"/>
        <w:numPr>
          <w:ilvl w:val="0"/>
          <w:numId w:val="22"/>
        </w:numPr>
        <w:jc w:val="both"/>
        <w:rPr>
          <w:rFonts w:asciiTheme="minorHAnsi" w:hAnsiTheme="minorHAnsi" w:cstheme="minorHAnsi"/>
        </w:rPr>
      </w:pPr>
      <w:r>
        <w:rPr>
          <w:rFonts w:asciiTheme="minorHAnsi" w:hAnsiTheme="minorHAnsi" w:cstheme="minorHAnsi"/>
        </w:rPr>
        <w:t>Zejména u klíčových výdajů je nezbytné obdobným způsobem rizika vyhodnotit a přijmout si opatření ke snížení rizika. Tento postup lze považovat za dobrou praxi.</w:t>
      </w:r>
    </w:p>
    <w:p w14:paraId="066C6575" w14:textId="779778FC" w:rsidR="000729B5" w:rsidRDefault="000729B5" w:rsidP="000729B5">
      <w:pPr>
        <w:spacing w:after="120"/>
        <w:jc w:val="both"/>
        <w:rPr>
          <w:rFonts w:asciiTheme="minorHAnsi" w:hAnsiTheme="minorHAnsi" w:cstheme="minorHAnsi"/>
        </w:rPr>
      </w:pPr>
    </w:p>
    <w:p w14:paraId="09096173" w14:textId="77777777" w:rsidR="00686930" w:rsidRDefault="00686930" w:rsidP="000729B5">
      <w:pPr>
        <w:spacing w:after="120"/>
        <w:jc w:val="both"/>
        <w:rPr>
          <w:rFonts w:asciiTheme="minorHAnsi" w:hAnsiTheme="minorHAnsi" w:cstheme="minorHAnsi"/>
        </w:rPr>
      </w:pPr>
    </w:p>
    <w:p w14:paraId="4E0DB447" w14:textId="77777777" w:rsidR="000729B5" w:rsidRPr="0069357E" w:rsidRDefault="000729B5" w:rsidP="000729B5">
      <w:pPr>
        <w:pStyle w:val="Nadpis2"/>
        <w:spacing w:before="240" w:after="120"/>
        <w:ind w:left="578" w:hanging="578"/>
        <w:rPr>
          <w:rFonts w:ascii="Calibri" w:hAnsi="Calibri"/>
          <w:color w:val="7493B0"/>
          <w:sz w:val="24"/>
          <w:szCs w:val="24"/>
          <w:lang w:val="cs-CZ"/>
        </w:rPr>
      </w:pPr>
      <w:bookmarkStart w:id="96" w:name="_Toc103977837"/>
      <w:bookmarkStart w:id="97" w:name="_Toc117270027"/>
      <w:r>
        <w:rPr>
          <w:rFonts w:ascii="Calibri" w:hAnsi="Calibri"/>
          <w:color w:val="7493B0"/>
          <w:sz w:val="24"/>
          <w:szCs w:val="24"/>
          <w:lang w:val="cs-CZ"/>
        </w:rPr>
        <w:t>Hodnocení rizika korupce nebo</w:t>
      </w:r>
      <w:r w:rsidRPr="0069357E">
        <w:rPr>
          <w:rFonts w:ascii="Calibri" w:hAnsi="Calibri"/>
          <w:color w:val="7493B0"/>
          <w:sz w:val="24"/>
          <w:szCs w:val="24"/>
          <w:lang w:val="cs-CZ"/>
        </w:rPr>
        <w:t xml:space="preserve"> podvodu </w:t>
      </w:r>
      <w:r>
        <w:rPr>
          <w:rFonts w:ascii="Calibri" w:hAnsi="Calibri"/>
          <w:color w:val="7493B0"/>
          <w:sz w:val="24"/>
          <w:szCs w:val="24"/>
          <w:lang w:val="cs-CZ"/>
        </w:rPr>
        <w:t>pomocí metody FMEA</w:t>
      </w:r>
      <w:bookmarkEnd w:id="96"/>
      <w:bookmarkEnd w:id="97"/>
    </w:p>
    <w:p w14:paraId="7EC9D4BE" w14:textId="77777777" w:rsidR="000729B5" w:rsidRDefault="000729B5" w:rsidP="000729B5">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1FF36BC5" w14:textId="23622251" w:rsidR="000729B5" w:rsidRDefault="000729B5" w:rsidP="000729B5">
      <w:pPr>
        <w:spacing w:after="120"/>
        <w:jc w:val="both"/>
        <w:rPr>
          <w:rFonts w:asciiTheme="minorHAnsi" w:hAnsiTheme="minorHAnsi" w:cstheme="minorHAnsi"/>
        </w:rPr>
      </w:pPr>
      <w:r>
        <w:rPr>
          <w:rFonts w:asciiTheme="minorHAnsi" w:hAnsiTheme="minorHAnsi" w:cstheme="minorHAnsi"/>
        </w:rPr>
        <w:t xml:space="preserve">V rámci finančního řízení je třeba hledat nástroje, které dokáží snižovat riziko korupce, podvodu a podobné trestné činnosti. Případová studie se týká tříkriteriálního hodnocení rizika </w:t>
      </w:r>
      <w:r w:rsidR="00CE236B">
        <w:rPr>
          <w:rFonts w:asciiTheme="minorHAnsi" w:hAnsiTheme="minorHAnsi" w:cstheme="minorHAnsi"/>
        </w:rPr>
        <w:t xml:space="preserve">korupce </w:t>
      </w:r>
      <w:r>
        <w:rPr>
          <w:rFonts w:asciiTheme="minorHAnsi" w:hAnsiTheme="minorHAnsi" w:cstheme="minorHAnsi"/>
        </w:rPr>
        <w:t>s využitím metody FMEA.</w:t>
      </w:r>
    </w:p>
    <w:p w14:paraId="587A2A06" w14:textId="77777777" w:rsidR="000729B5" w:rsidRPr="006B6EA5" w:rsidRDefault="000729B5" w:rsidP="000729B5">
      <w:pPr>
        <w:spacing w:after="120"/>
        <w:jc w:val="both"/>
        <w:rPr>
          <w:rFonts w:asciiTheme="minorHAnsi" w:hAnsiTheme="minorHAnsi" w:cstheme="minorHAnsi"/>
          <w:b/>
        </w:rPr>
      </w:pPr>
      <w:r w:rsidRPr="006B6EA5">
        <w:rPr>
          <w:rFonts w:asciiTheme="minorHAnsi" w:hAnsiTheme="minorHAnsi" w:cstheme="minorHAnsi"/>
          <w:b/>
        </w:rPr>
        <w:t>Popis případové studie:</w:t>
      </w:r>
    </w:p>
    <w:p w14:paraId="61AB10A1" w14:textId="77777777" w:rsidR="000729B5" w:rsidRPr="00093551" w:rsidRDefault="000729B5" w:rsidP="000729B5">
      <w:pPr>
        <w:jc w:val="both"/>
        <w:rPr>
          <w:rFonts w:asciiTheme="minorHAnsi" w:hAnsiTheme="minorHAnsi" w:cstheme="minorHAnsi"/>
        </w:rPr>
      </w:pPr>
      <w:r>
        <w:rPr>
          <w:rFonts w:asciiTheme="minorHAnsi" w:hAnsiTheme="minorHAnsi" w:cstheme="minorHAnsi"/>
        </w:rPr>
        <w:t>P</w:t>
      </w:r>
      <w:r w:rsidRPr="00093551">
        <w:rPr>
          <w:rFonts w:asciiTheme="minorHAnsi" w:hAnsiTheme="minorHAnsi" w:cstheme="minorHAnsi"/>
        </w:rPr>
        <w:t>řípadová studie navazuje na výzkum, který se týkal vyhodnocení rizika korupce</w:t>
      </w:r>
      <w:r w:rsidRPr="00093551">
        <w:rPr>
          <w:rStyle w:val="Znakapoznpodarou"/>
          <w:rFonts w:asciiTheme="minorHAnsi" w:hAnsiTheme="minorHAnsi" w:cstheme="minorHAnsi"/>
        </w:rPr>
        <w:footnoteReference w:id="63"/>
      </w:r>
      <w:r w:rsidRPr="00093551">
        <w:rPr>
          <w:rFonts w:asciiTheme="minorHAnsi" w:hAnsiTheme="minorHAnsi" w:cstheme="minorHAnsi"/>
        </w:rPr>
        <w:t xml:space="preserve">. K vyhodnocení rizik korupce nebo podvodů je možné použít běžné vyhodnocení rizika pomocí </w:t>
      </w:r>
      <w:r>
        <w:rPr>
          <w:rFonts w:asciiTheme="minorHAnsi" w:hAnsiTheme="minorHAnsi" w:cstheme="minorHAnsi"/>
        </w:rPr>
        <w:t>dvou kritérií - četnosti výskytu a dopadu</w:t>
      </w:r>
      <w:r w:rsidRPr="00093551">
        <w:rPr>
          <w:rFonts w:asciiTheme="minorHAnsi" w:hAnsiTheme="minorHAnsi" w:cstheme="minorHAnsi"/>
        </w:rPr>
        <w:t xml:space="preserve">. </w:t>
      </w:r>
      <w:r w:rsidRPr="001455AD">
        <w:rPr>
          <w:rFonts w:asciiTheme="minorHAnsi" w:hAnsiTheme="minorHAnsi" w:cstheme="minorHAnsi"/>
        </w:rPr>
        <w:t>Nicméně</w:t>
      </w:r>
      <w:r w:rsidRPr="00093551">
        <w:rPr>
          <w:rFonts w:asciiTheme="minorHAnsi" w:hAnsiTheme="minorHAnsi" w:cstheme="minorHAnsi"/>
        </w:rPr>
        <w:t xml:space="preserve"> riziko korupce </w:t>
      </w:r>
      <w:r>
        <w:rPr>
          <w:rFonts w:asciiTheme="minorHAnsi" w:hAnsiTheme="minorHAnsi" w:cstheme="minorHAnsi"/>
        </w:rPr>
        <w:t>zvyšuje</w:t>
      </w:r>
      <w:r w:rsidRPr="00093551">
        <w:rPr>
          <w:rFonts w:asciiTheme="minorHAnsi" w:hAnsiTheme="minorHAnsi" w:cstheme="minorHAnsi"/>
        </w:rPr>
        <w:t xml:space="preserve"> též to, zda ten, kdo </w:t>
      </w:r>
      <w:r w:rsidRPr="00093551">
        <w:rPr>
          <w:rFonts w:asciiTheme="minorHAnsi" w:hAnsiTheme="minorHAnsi" w:cstheme="minorHAnsi"/>
        </w:rPr>
        <w:lastRenderedPageBreak/>
        <w:t xml:space="preserve">chce korumpovat nebo kdo chce prospěch z korupce přijmout, předpokládá, že nemůže být odhalen. Platí to i pro riziko podvodu </w:t>
      </w:r>
      <w:r>
        <w:rPr>
          <w:rFonts w:asciiTheme="minorHAnsi" w:hAnsiTheme="minorHAnsi" w:cstheme="minorHAnsi"/>
        </w:rPr>
        <w:t xml:space="preserve">nebo obdobné trestné činnosti </w:t>
      </w:r>
      <w:r w:rsidRPr="00093551">
        <w:rPr>
          <w:rFonts w:asciiTheme="minorHAnsi" w:hAnsiTheme="minorHAnsi" w:cstheme="minorHAnsi"/>
        </w:rPr>
        <w:t>– pokud ten, kdo chce podvod spáchat je přesvědčen, že by byl přistiže</w:t>
      </w:r>
      <w:r>
        <w:rPr>
          <w:rFonts w:asciiTheme="minorHAnsi" w:hAnsiTheme="minorHAnsi" w:cstheme="minorHAnsi"/>
        </w:rPr>
        <w:t>n, tak se obvykle podvodu vyhne. Naopak</w:t>
      </w:r>
      <w:r w:rsidRPr="00093551">
        <w:rPr>
          <w:rFonts w:asciiTheme="minorHAnsi" w:hAnsiTheme="minorHAnsi" w:cstheme="minorHAnsi"/>
        </w:rPr>
        <w:t xml:space="preserve">, pokud předpokládá, že mu podvod bez újmy projde, zvyšuje to pravděpodobnost, že podvod spáchá. Proto je vhodné u vyhodnocení </w:t>
      </w:r>
      <w:r>
        <w:rPr>
          <w:rFonts w:asciiTheme="minorHAnsi" w:hAnsiTheme="minorHAnsi" w:cstheme="minorHAnsi"/>
        </w:rPr>
        <w:t xml:space="preserve">těchto </w:t>
      </w:r>
      <w:r w:rsidRPr="00093551">
        <w:rPr>
          <w:rFonts w:asciiTheme="minorHAnsi" w:hAnsiTheme="minorHAnsi" w:cstheme="minorHAnsi"/>
        </w:rPr>
        <w:t>rizik pracovat se třetím kritérie</w:t>
      </w:r>
      <w:r>
        <w:rPr>
          <w:rFonts w:asciiTheme="minorHAnsi" w:hAnsiTheme="minorHAnsi" w:cstheme="minorHAnsi"/>
        </w:rPr>
        <w:t xml:space="preserve">m – odhalitelností korupce, </w:t>
      </w:r>
      <w:r w:rsidRPr="00093551">
        <w:rPr>
          <w:rFonts w:asciiTheme="minorHAnsi" w:hAnsiTheme="minorHAnsi" w:cstheme="minorHAnsi"/>
        </w:rPr>
        <w:t>podvodu</w:t>
      </w:r>
      <w:r>
        <w:rPr>
          <w:rFonts w:asciiTheme="minorHAnsi" w:hAnsiTheme="minorHAnsi" w:cstheme="minorHAnsi"/>
        </w:rPr>
        <w:t xml:space="preserve"> nebo obdobné trestné činnosti</w:t>
      </w:r>
      <w:r w:rsidRPr="00093551">
        <w:rPr>
          <w:rFonts w:asciiTheme="minorHAnsi" w:hAnsiTheme="minorHAnsi" w:cstheme="minorHAnsi"/>
        </w:rPr>
        <w:t>. S tímto třetím kritériem pracuje metoda FMEA</w:t>
      </w:r>
      <w:r>
        <w:rPr>
          <w:rStyle w:val="Znakapoznpodarou"/>
          <w:rFonts w:asciiTheme="minorHAnsi" w:hAnsiTheme="minorHAnsi" w:cstheme="minorHAnsi"/>
        </w:rPr>
        <w:footnoteReference w:id="64"/>
      </w:r>
      <w:r w:rsidRPr="00093551">
        <w:rPr>
          <w:rFonts w:asciiTheme="minorHAnsi" w:hAnsiTheme="minorHAnsi" w:cstheme="minorHAnsi"/>
        </w:rPr>
        <w:t xml:space="preserve">, a to v upravené podobě pro vyhodnocení korupce. Riziko korupce nebo podvodu tak může být hodnoceno pomocí tří kritérií, a to (1) výskytu korupčních příležitostí, (2) prospěchu pro korumpovaného nebo dopadu na rozpočet či cíle (variantně prospěch nebo dopad – co má vyšší hodnotu), (3) odhalitelnosti (pravděpodobnost odhalení) korupce. Následující tabulka vysvětluje jednotlivá kritéria a stanovuje postup výpočtu rizika korupce. </w:t>
      </w:r>
    </w:p>
    <w:p w14:paraId="7AA9D244" w14:textId="6E43F5E5" w:rsidR="000729B5" w:rsidRPr="004A5A7F" w:rsidRDefault="000729B5" w:rsidP="000729B5">
      <w:pPr>
        <w:pStyle w:val="Zkladntext3"/>
        <w:spacing w:after="0" w:line="360" w:lineRule="auto"/>
        <w:jc w:val="both"/>
        <w:rPr>
          <w:rFonts w:asciiTheme="minorHAnsi" w:eastAsia="Calibri" w:hAnsiTheme="minorHAnsi" w:cstheme="minorHAnsi"/>
          <w:i/>
          <w:iCs/>
          <w:sz w:val="24"/>
          <w:szCs w:val="24"/>
        </w:rPr>
      </w:pPr>
      <w:r w:rsidRPr="004A5A7F">
        <w:rPr>
          <w:rFonts w:asciiTheme="minorHAnsi" w:eastAsia="Calibri" w:hAnsiTheme="minorHAnsi" w:cstheme="minorHAnsi"/>
          <w:i/>
          <w:iCs/>
          <w:sz w:val="24"/>
          <w:szCs w:val="24"/>
        </w:rPr>
        <w:t xml:space="preserve">Tab. </w:t>
      </w:r>
      <w:r w:rsidR="004F0E1D">
        <w:rPr>
          <w:rFonts w:asciiTheme="minorHAnsi" w:eastAsia="Calibri" w:hAnsiTheme="minorHAnsi" w:cstheme="minorHAnsi"/>
          <w:i/>
          <w:iCs/>
          <w:sz w:val="24"/>
          <w:szCs w:val="24"/>
        </w:rPr>
        <w:t>3</w:t>
      </w:r>
      <w:r w:rsidR="00C14739">
        <w:rPr>
          <w:rFonts w:asciiTheme="minorHAnsi" w:eastAsia="Calibri" w:hAnsiTheme="minorHAnsi" w:cstheme="minorHAnsi"/>
          <w:i/>
          <w:iCs/>
          <w:sz w:val="24"/>
          <w:szCs w:val="24"/>
        </w:rPr>
        <w:t>1</w:t>
      </w:r>
      <w:r w:rsidR="004F0E1D">
        <w:rPr>
          <w:rFonts w:asciiTheme="minorHAnsi" w:eastAsia="Calibri" w:hAnsiTheme="minorHAnsi" w:cstheme="minorHAnsi"/>
          <w:i/>
          <w:iCs/>
          <w:sz w:val="24"/>
          <w:szCs w:val="24"/>
        </w:rPr>
        <w:t xml:space="preserve"> </w:t>
      </w:r>
      <w:r w:rsidRPr="004A5A7F">
        <w:rPr>
          <w:rFonts w:asciiTheme="minorHAnsi" w:eastAsia="Calibri" w:hAnsiTheme="minorHAnsi" w:cstheme="minorHAnsi"/>
          <w:i/>
          <w:iCs/>
          <w:sz w:val="24"/>
          <w:szCs w:val="24"/>
        </w:rPr>
        <w:t>Popis indikátorů rizika korupce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
        <w:gridCol w:w="2154"/>
        <w:gridCol w:w="1092"/>
        <w:gridCol w:w="5523"/>
      </w:tblGrid>
      <w:tr w:rsidR="000729B5" w:rsidRPr="00093551" w14:paraId="7091A8ED" w14:textId="77777777" w:rsidTr="006E4001">
        <w:tc>
          <w:tcPr>
            <w:tcW w:w="293" w:type="dxa"/>
            <w:shd w:val="clear" w:color="auto" w:fill="EEECE1"/>
            <w:vAlign w:val="center"/>
          </w:tcPr>
          <w:p w14:paraId="5FF47C7A" w14:textId="77777777" w:rsidR="000729B5" w:rsidRPr="00093551" w:rsidRDefault="000729B5" w:rsidP="006E4001">
            <w:pPr>
              <w:pStyle w:val="Normlnweb"/>
              <w:ind w:left="-57" w:right="-57"/>
              <w:jc w:val="center"/>
              <w:rPr>
                <w:rFonts w:asciiTheme="minorHAnsi" w:hAnsiTheme="minorHAnsi" w:cstheme="minorHAnsi"/>
                <w:sz w:val="20"/>
                <w:szCs w:val="20"/>
              </w:rPr>
            </w:pPr>
            <w:r w:rsidRPr="00093551">
              <w:rPr>
                <w:rFonts w:asciiTheme="minorHAnsi" w:hAnsiTheme="minorHAnsi" w:cstheme="minorHAnsi"/>
                <w:sz w:val="20"/>
                <w:szCs w:val="20"/>
              </w:rPr>
              <w:t>Č</w:t>
            </w:r>
          </w:p>
        </w:tc>
        <w:tc>
          <w:tcPr>
            <w:tcW w:w="2154" w:type="dxa"/>
            <w:shd w:val="clear" w:color="auto" w:fill="EEECE1"/>
            <w:vAlign w:val="center"/>
          </w:tcPr>
          <w:p w14:paraId="4158453D" w14:textId="77777777" w:rsidR="000729B5" w:rsidRPr="00093551" w:rsidRDefault="000729B5" w:rsidP="006E4001">
            <w:pPr>
              <w:pStyle w:val="Normlnweb"/>
              <w:ind w:left="-57" w:right="-57"/>
              <w:jc w:val="center"/>
              <w:rPr>
                <w:rFonts w:asciiTheme="minorHAnsi" w:hAnsiTheme="minorHAnsi" w:cstheme="minorHAnsi"/>
                <w:sz w:val="20"/>
                <w:szCs w:val="20"/>
              </w:rPr>
            </w:pPr>
            <w:r w:rsidRPr="00093551">
              <w:rPr>
                <w:rFonts w:asciiTheme="minorHAnsi" w:hAnsiTheme="minorHAnsi" w:cstheme="minorHAnsi"/>
                <w:sz w:val="20"/>
                <w:szCs w:val="20"/>
              </w:rPr>
              <w:t>Název</w:t>
            </w:r>
          </w:p>
        </w:tc>
        <w:tc>
          <w:tcPr>
            <w:tcW w:w="1092" w:type="dxa"/>
            <w:shd w:val="clear" w:color="auto" w:fill="EEECE1"/>
            <w:vAlign w:val="center"/>
          </w:tcPr>
          <w:p w14:paraId="726504BB" w14:textId="77777777" w:rsidR="000729B5" w:rsidRPr="00093551" w:rsidRDefault="000729B5" w:rsidP="006E4001">
            <w:pPr>
              <w:pStyle w:val="Normlnweb"/>
              <w:ind w:left="-57" w:right="-57"/>
              <w:jc w:val="center"/>
              <w:rPr>
                <w:rFonts w:asciiTheme="minorHAnsi" w:hAnsiTheme="minorHAnsi" w:cstheme="minorHAnsi"/>
                <w:sz w:val="20"/>
                <w:szCs w:val="20"/>
              </w:rPr>
            </w:pPr>
            <w:r w:rsidRPr="00093551">
              <w:rPr>
                <w:rFonts w:asciiTheme="minorHAnsi" w:hAnsiTheme="minorHAnsi" w:cstheme="minorHAnsi"/>
                <w:sz w:val="20"/>
                <w:szCs w:val="20"/>
              </w:rPr>
              <w:t>Jednotka</w:t>
            </w:r>
          </w:p>
        </w:tc>
        <w:tc>
          <w:tcPr>
            <w:tcW w:w="5523" w:type="dxa"/>
            <w:shd w:val="clear" w:color="auto" w:fill="EEECE1"/>
            <w:vAlign w:val="center"/>
          </w:tcPr>
          <w:p w14:paraId="28737664" w14:textId="77777777" w:rsidR="000729B5" w:rsidRPr="00093551" w:rsidRDefault="000729B5" w:rsidP="006E4001">
            <w:pPr>
              <w:pStyle w:val="Normlnweb"/>
              <w:ind w:left="-57" w:right="-57"/>
              <w:jc w:val="center"/>
              <w:rPr>
                <w:rFonts w:asciiTheme="minorHAnsi" w:hAnsiTheme="minorHAnsi" w:cstheme="minorHAnsi"/>
                <w:sz w:val="20"/>
                <w:szCs w:val="20"/>
              </w:rPr>
            </w:pPr>
            <w:r w:rsidRPr="00093551">
              <w:rPr>
                <w:rFonts w:asciiTheme="minorHAnsi" w:hAnsiTheme="minorHAnsi" w:cstheme="minorHAnsi"/>
                <w:sz w:val="20"/>
                <w:szCs w:val="20"/>
              </w:rPr>
              <w:t>Popis, výpočet</w:t>
            </w:r>
          </w:p>
        </w:tc>
      </w:tr>
      <w:tr w:rsidR="000729B5" w:rsidRPr="00093551" w14:paraId="08E3E0AB" w14:textId="77777777" w:rsidTr="006E4001">
        <w:trPr>
          <w:trHeight w:val="615"/>
        </w:trPr>
        <w:tc>
          <w:tcPr>
            <w:tcW w:w="293" w:type="dxa"/>
            <w:shd w:val="clear" w:color="auto" w:fill="EEECE1"/>
          </w:tcPr>
          <w:p w14:paraId="1F0A7AB2"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7011B609" w14:textId="77777777" w:rsidR="000729B5" w:rsidRPr="00093551" w:rsidRDefault="000729B5" w:rsidP="006E4001">
            <w:pPr>
              <w:spacing w:line="240" w:lineRule="auto"/>
              <w:ind w:left="-57" w:right="-57"/>
              <w:rPr>
                <w:rFonts w:asciiTheme="minorHAnsi" w:hAnsiTheme="minorHAnsi" w:cstheme="minorHAnsi"/>
                <w:sz w:val="20"/>
                <w:szCs w:val="20"/>
              </w:rPr>
            </w:pPr>
            <w:r w:rsidRPr="00093551">
              <w:rPr>
                <w:rFonts w:asciiTheme="minorHAnsi" w:hAnsiTheme="minorHAnsi" w:cstheme="minorHAnsi"/>
                <w:sz w:val="20"/>
                <w:szCs w:val="20"/>
              </w:rPr>
              <w:t>Výskyt (četnost výskytu) korupčních příležitostí (Occurrence - O</w:t>
            </w:r>
            <w:r w:rsidRPr="00093551">
              <w:rPr>
                <w:rFonts w:asciiTheme="minorHAnsi" w:hAnsiTheme="minorHAnsi" w:cstheme="minorHAnsi"/>
                <w:sz w:val="20"/>
                <w:szCs w:val="20"/>
                <w:vertAlign w:val="subscript"/>
              </w:rPr>
              <w:t>C</w:t>
            </w:r>
            <w:r w:rsidRPr="00093551">
              <w:rPr>
                <w:rFonts w:asciiTheme="minorHAnsi" w:hAnsiTheme="minorHAnsi" w:cstheme="minorHAnsi"/>
                <w:sz w:val="20"/>
                <w:szCs w:val="20"/>
              </w:rPr>
              <w:t>)</w:t>
            </w:r>
          </w:p>
        </w:tc>
        <w:tc>
          <w:tcPr>
            <w:tcW w:w="1092" w:type="dxa"/>
            <w:shd w:val="clear" w:color="auto" w:fill="auto"/>
          </w:tcPr>
          <w:p w14:paraId="72815A06"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Počet za rok</w:t>
            </w:r>
          </w:p>
        </w:tc>
        <w:tc>
          <w:tcPr>
            <w:tcW w:w="5523" w:type="dxa"/>
            <w:shd w:val="clear" w:color="auto" w:fill="auto"/>
          </w:tcPr>
          <w:p w14:paraId="6767819A"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Počet událostí (například veřejných zakázek, investic, větších pronájmů a podobně) srovnatelného typu ročně. Podle počtu se stanoví výskyt na škále 1 (nepatrný výskyt) až 5 (velmi vysoký).</w:t>
            </w:r>
          </w:p>
        </w:tc>
      </w:tr>
      <w:tr w:rsidR="000729B5" w:rsidRPr="00093551" w14:paraId="536C9DC4" w14:textId="77777777" w:rsidTr="006E4001">
        <w:trPr>
          <w:trHeight w:val="550"/>
        </w:trPr>
        <w:tc>
          <w:tcPr>
            <w:tcW w:w="293" w:type="dxa"/>
            <w:shd w:val="clear" w:color="auto" w:fill="EEECE1"/>
          </w:tcPr>
          <w:p w14:paraId="292EACEE"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7EACF1C3" w14:textId="77777777" w:rsidR="000729B5" w:rsidRPr="00093551" w:rsidRDefault="000729B5" w:rsidP="006E4001">
            <w:pPr>
              <w:spacing w:line="240" w:lineRule="auto"/>
              <w:ind w:left="-57" w:right="-57"/>
              <w:rPr>
                <w:rFonts w:asciiTheme="minorHAnsi" w:hAnsiTheme="minorHAnsi" w:cstheme="minorHAnsi"/>
                <w:sz w:val="20"/>
                <w:szCs w:val="20"/>
              </w:rPr>
            </w:pPr>
            <w:r w:rsidRPr="00093551">
              <w:rPr>
                <w:rFonts w:asciiTheme="minorHAnsi" w:hAnsiTheme="minorHAnsi" w:cstheme="minorHAnsi"/>
                <w:sz w:val="20"/>
                <w:szCs w:val="20"/>
              </w:rPr>
              <w:t>Prospěch (prospěch pro korumpovaného v porovnání s měsíčním platem); (Profit)</w:t>
            </w:r>
          </w:p>
        </w:tc>
        <w:tc>
          <w:tcPr>
            <w:tcW w:w="1092" w:type="dxa"/>
            <w:shd w:val="clear" w:color="auto" w:fill="auto"/>
          </w:tcPr>
          <w:p w14:paraId="4BC3B4BC"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w:t>
            </w:r>
          </w:p>
        </w:tc>
        <w:tc>
          <w:tcPr>
            <w:tcW w:w="5523" w:type="dxa"/>
            <w:shd w:val="clear" w:color="auto" w:fill="auto"/>
          </w:tcPr>
          <w:p w14:paraId="2DF9638B"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Potenciální prospěch v peněžních jednotkách pro korumpovaného v porovnání s měsíčním platem. Podle výše se stanoví prospěch na škále 1 (nepatrný - takřka nulový) až 5 (velmi vysoký a atraktivní).</w:t>
            </w:r>
          </w:p>
        </w:tc>
      </w:tr>
      <w:tr w:rsidR="000729B5" w:rsidRPr="00093551" w14:paraId="0877C813" w14:textId="77777777" w:rsidTr="006E4001">
        <w:tc>
          <w:tcPr>
            <w:tcW w:w="293" w:type="dxa"/>
            <w:shd w:val="clear" w:color="auto" w:fill="EEECE1"/>
          </w:tcPr>
          <w:p w14:paraId="08ED52FB"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13951471"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Dopad (závažnost) na rozpočet (Impact – I)</w:t>
            </w:r>
          </w:p>
        </w:tc>
        <w:tc>
          <w:tcPr>
            <w:tcW w:w="1092" w:type="dxa"/>
            <w:shd w:val="clear" w:color="auto" w:fill="auto"/>
          </w:tcPr>
          <w:p w14:paraId="593E01CD"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V Kč nebo % rozpočtu</w:t>
            </w:r>
          </w:p>
        </w:tc>
        <w:tc>
          <w:tcPr>
            <w:tcW w:w="5523" w:type="dxa"/>
            <w:shd w:val="clear" w:color="auto" w:fill="auto"/>
          </w:tcPr>
          <w:p w14:paraId="3AD7EBA4"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Vyjádření dopadu korupce na rozpočet v peněžních jednotkách. Podle výše se stanoví dopad na rozpočet v % na škále 1 (nepatrný - takřka nulový) až 5 (velmi vysoký).</w:t>
            </w:r>
          </w:p>
        </w:tc>
      </w:tr>
      <w:tr w:rsidR="000729B5" w:rsidRPr="00093551" w14:paraId="51380961" w14:textId="77777777" w:rsidTr="006E4001">
        <w:tc>
          <w:tcPr>
            <w:tcW w:w="293" w:type="dxa"/>
            <w:shd w:val="clear" w:color="auto" w:fill="EEECE1"/>
          </w:tcPr>
          <w:p w14:paraId="76433E0A"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0CB00E3B" w14:textId="77777777" w:rsidR="000729B5" w:rsidRPr="00093551" w:rsidRDefault="000729B5" w:rsidP="006E4001">
            <w:pPr>
              <w:spacing w:line="240" w:lineRule="auto"/>
              <w:ind w:left="-57" w:right="-57"/>
              <w:rPr>
                <w:rFonts w:asciiTheme="minorHAnsi" w:hAnsiTheme="minorHAnsi" w:cstheme="minorHAnsi"/>
                <w:sz w:val="20"/>
                <w:szCs w:val="20"/>
              </w:rPr>
            </w:pPr>
            <w:r w:rsidRPr="00093551">
              <w:rPr>
                <w:rFonts w:asciiTheme="minorHAnsi" w:hAnsiTheme="minorHAnsi" w:cstheme="minorHAnsi"/>
                <w:sz w:val="20"/>
                <w:szCs w:val="20"/>
              </w:rPr>
              <w:t xml:space="preserve">Odhalení - odhalitelnost, pravděpodobnost odhalení korupce; (Detection - D). </w:t>
            </w:r>
          </w:p>
        </w:tc>
        <w:tc>
          <w:tcPr>
            <w:tcW w:w="1092" w:type="dxa"/>
            <w:shd w:val="clear" w:color="auto" w:fill="auto"/>
          </w:tcPr>
          <w:p w14:paraId="591EA601"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Hodnocení na škále od 1 do 5</w:t>
            </w:r>
          </w:p>
        </w:tc>
        <w:tc>
          <w:tcPr>
            <w:tcW w:w="5523" w:type="dxa"/>
            <w:shd w:val="clear" w:color="auto" w:fill="auto"/>
          </w:tcPr>
          <w:p w14:paraId="07D35387"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Jde o vyjádření pravděpodobnosti, že stávající systém práce korupci odhalí. Hodnota 1 znamená, že odhalení je takřka jisté (neboli stávající systém práce zaručeně odhalí korupci), hodnota 5, že odhalení je takřka nemožné (nejsou dostupné postupy, které korupci odhalí). Hodnoty jsou vázány ke stávajícímu systému kontroly.</w:t>
            </w:r>
          </w:p>
        </w:tc>
      </w:tr>
      <w:tr w:rsidR="000729B5" w:rsidRPr="00093551" w14:paraId="760CE969" w14:textId="77777777" w:rsidTr="006E4001">
        <w:tc>
          <w:tcPr>
            <w:tcW w:w="293" w:type="dxa"/>
            <w:shd w:val="clear" w:color="auto" w:fill="EEECE1"/>
          </w:tcPr>
          <w:p w14:paraId="6DCCB5F0"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616CA103"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Hodnota rizika korupce – prospěch (RC</w:t>
            </w:r>
            <w:r w:rsidRPr="00093551">
              <w:rPr>
                <w:rFonts w:asciiTheme="minorHAnsi" w:hAnsiTheme="minorHAnsi" w:cstheme="minorHAnsi"/>
                <w:sz w:val="20"/>
                <w:szCs w:val="20"/>
                <w:vertAlign w:val="subscript"/>
              </w:rPr>
              <w:t>CP</w:t>
            </w:r>
            <w:r w:rsidRPr="00093551">
              <w:rPr>
                <w:rFonts w:asciiTheme="minorHAnsi" w:hAnsiTheme="minorHAnsi" w:cstheme="minorHAnsi"/>
                <w:sz w:val="20"/>
                <w:szCs w:val="20"/>
              </w:rPr>
              <w:t>)</w:t>
            </w:r>
          </w:p>
        </w:tc>
        <w:tc>
          <w:tcPr>
            <w:tcW w:w="1092" w:type="dxa"/>
            <w:shd w:val="clear" w:color="auto" w:fill="auto"/>
          </w:tcPr>
          <w:p w14:paraId="1F69CE6D"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index</w:t>
            </w:r>
          </w:p>
        </w:tc>
        <w:tc>
          <w:tcPr>
            <w:tcW w:w="5523" w:type="dxa"/>
            <w:shd w:val="clear" w:color="auto" w:fill="auto"/>
          </w:tcPr>
          <w:p w14:paraId="3920F960"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RC</w:t>
            </w:r>
            <w:r w:rsidRPr="00093551">
              <w:rPr>
                <w:rFonts w:asciiTheme="minorHAnsi" w:hAnsiTheme="minorHAnsi" w:cstheme="minorHAnsi"/>
                <w:sz w:val="20"/>
                <w:szCs w:val="20"/>
                <w:vertAlign w:val="subscript"/>
              </w:rPr>
              <w:t>CP</w:t>
            </w:r>
            <w:r w:rsidRPr="00093551">
              <w:rPr>
                <w:rFonts w:asciiTheme="minorHAnsi" w:hAnsiTheme="minorHAnsi" w:cstheme="minorHAnsi"/>
                <w:sz w:val="20"/>
                <w:szCs w:val="20"/>
              </w:rPr>
              <w:t xml:space="preserve"> = O</w:t>
            </w:r>
            <w:r w:rsidRPr="00093551">
              <w:rPr>
                <w:rFonts w:asciiTheme="minorHAnsi" w:hAnsiTheme="minorHAnsi" w:cstheme="minorHAnsi"/>
                <w:sz w:val="20"/>
                <w:szCs w:val="20"/>
                <w:vertAlign w:val="subscript"/>
              </w:rPr>
              <w:t>C</w:t>
            </w:r>
            <w:r w:rsidRPr="00093551">
              <w:rPr>
                <w:rFonts w:asciiTheme="minorHAnsi" w:hAnsiTheme="minorHAnsi" w:cstheme="minorHAnsi"/>
                <w:sz w:val="20"/>
                <w:szCs w:val="20"/>
              </w:rPr>
              <w:t xml:space="preserve"> * P </w:t>
            </w:r>
          </w:p>
          <w:p w14:paraId="410BA02E"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 xml:space="preserve">Výskyt krát prospěch </w:t>
            </w:r>
          </w:p>
        </w:tc>
      </w:tr>
      <w:tr w:rsidR="000729B5" w:rsidRPr="00093551" w14:paraId="608A01C7" w14:textId="77777777" w:rsidTr="006E4001">
        <w:tc>
          <w:tcPr>
            <w:tcW w:w="293" w:type="dxa"/>
            <w:shd w:val="clear" w:color="auto" w:fill="EEECE1"/>
          </w:tcPr>
          <w:p w14:paraId="68636624"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48525CCD"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Hodnota rizika korupce – dopad (RC</w:t>
            </w:r>
            <w:r w:rsidRPr="00093551">
              <w:rPr>
                <w:rFonts w:asciiTheme="minorHAnsi" w:hAnsiTheme="minorHAnsi" w:cstheme="minorHAnsi"/>
                <w:sz w:val="20"/>
                <w:szCs w:val="20"/>
                <w:vertAlign w:val="subscript"/>
              </w:rPr>
              <w:t>CI</w:t>
            </w:r>
            <w:r w:rsidRPr="00093551">
              <w:rPr>
                <w:rFonts w:asciiTheme="minorHAnsi" w:hAnsiTheme="minorHAnsi" w:cstheme="minorHAnsi"/>
                <w:sz w:val="20"/>
                <w:szCs w:val="20"/>
              </w:rPr>
              <w:t>)</w:t>
            </w:r>
          </w:p>
        </w:tc>
        <w:tc>
          <w:tcPr>
            <w:tcW w:w="1092" w:type="dxa"/>
            <w:shd w:val="clear" w:color="auto" w:fill="auto"/>
          </w:tcPr>
          <w:p w14:paraId="1ABF09A1"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index</w:t>
            </w:r>
          </w:p>
        </w:tc>
        <w:tc>
          <w:tcPr>
            <w:tcW w:w="5523" w:type="dxa"/>
            <w:shd w:val="clear" w:color="auto" w:fill="auto"/>
          </w:tcPr>
          <w:p w14:paraId="2DE12135"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RC</w:t>
            </w:r>
            <w:r w:rsidRPr="00093551">
              <w:rPr>
                <w:rFonts w:asciiTheme="minorHAnsi" w:hAnsiTheme="minorHAnsi" w:cstheme="minorHAnsi"/>
                <w:sz w:val="20"/>
                <w:szCs w:val="20"/>
                <w:vertAlign w:val="subscript"/>
              </w:rPr>
              <w:t>CI</w:t>
            </w:r>
            <w:r w:rsidRPr="00093551">
              <w:rPr>
                <w:rFonts w:asciiTheme="minorHAnsi" w:hAnsiTheme="minorHAnsi" w:cstheme="minorHAnsi"/>
                <w:sz w:val="20"/>
                <w:szCs w:val="20"/>
              </w:rPr>
              <w:t xml:space="preserve"> = O</w:t>
            </w:r>
            <w:r w:rsidRPr="00093551">
              <w:rPr>
                <w:rFonts w:asciiTheme="minorHAnsi" w:hAnsiTheme="minorHAnsi" w:cstheme="minorHAnsi"/>
                <w:sz w:val="20"/>
                <w:szCs w:val="20"/>
                <w:vertAlign w:val="subscript"/>
              </w:rPr>
              <w:t>C</w:t>
            </w:r>
            <w:r w:rsidRPr="00093551">
              <w:rPr>
                <w:rFonts w:asciiTheme="minorHAnsi" w:hAnsiTheme="minorHAnsi" w:cstheme="minorHAnsi"/>
                <w:sz w:val="20"/>
                <w:szCs w:val="20"/>
              </w:rPr>
              <w:t xml:space="preserve"> * I </w:t>
            </w:r>
          </w:p>
          <w:p w14:paraId="30C3BF2D"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Výskyt krát dopad</w:t>
            </w:r>
          </w:p>
        </w:tc>
      </w:tr>
      <w:tr w:rsidR="000729B5" w:rsidRPr="00093551" w14:paraId="5F57C048" w14:textId="77777777" w:rsidTr="006E4001">
        <w:tc>
          <w:tcPr>
            <w:tcW w:w="293" w:type="dxa"/>
            <w:shd w:val="clear" w:color="auto" w:fill="EEECE1"/>
          </w:tcPr>
          <w:p w14:paraId="297326BB"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41A19BF1"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Hodnota rizika korupce</w:t>
            </w:r>
          </w:p>
        </w:tc>
        <w:tc>
          <w:tcPr>
            <w:tcW w:w="1092" w:type="dxa"/>
            <w:shd w:val="clear" w:color="auto" w:fill="auto"/>
          </w:tcPr>
          <w:p w14:paraId="6FE83561"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index</w:t>
            </w:r>
          </w:p>
        </w:tc>
        <w:tc>
          <w:tcPr>
            <w:tcW w:w="5523" w:type="dxa"/>
            <w:shd w:val="clear" w:color="auto" w:fill="auto"/>
          </w:tcPr>
          <w:p w14:paraId="3A54B95C"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RC</w:t>
            </w:r>
            <w:r w:rsidRPr="00093551">
              <w:rPr>
                <w:rFonts w:asciiTheme="minorHAnsi" w:hAnsiTheme="minorHAnsi" w:cstheme="minorHAnsi"/>
                <w:sz w:val="20"/>
                <w:szCs w:val="20"/>
                <w:vertAlign w:val="subscript"/>
              </w:rPr>
              <w:t xml:space="preserve">C: </w:t>
            </w:r>
            <w:r w:rsidRPr="00093551">
              <w:rPr>
                <w:rFonts w:asciiTheme="minorHAnsi" w:hAnsiTheme="minorHAnsi" w:cstheme="minorHAnsi"/>
                <w:sz w:val="20"/>
                <w:szCs w:val="20"/>
              </w:rPr>
              <w:t>Vyšší z hodnot RC</w:t>
            </w:r>
            <w:r w:rsidRPr="00093551">
              <w:rPr>
                <w:rFonts w:asciiTheme="minorHAnsi" w:hAnsiTheme="minorHAnsi" w:cstheme="minorHAnsi"/>
                <w:sz w:val="20"/>
                <w:szCs w:val="20"/>
                <w:vertAlign w:val="subscript"/>
              </w:rPr>
              <w:t xml:space="preserve">CP , </w:t>
            </w:r>
            <w:r w:rsidRPr="00093551">
              <w:rPr>
                <w:rFonts w:asciiTheme="minorHAnsi" w:hAnsiTheme="minorHAnsi" w:cstheme="minorHAnsi"/>
                <w:sz w:val="20"/>
                <w:szCs w:val="20"/>
              </w:rPr>
              <w:t>RC</w:t>
            </w:r>
            <w:r w:rsidRPr="00093551">
              <w:rPr>
                <w:rFonts w:asciiTheme="minorHAnsi" w:hAnsiTheme="minorHAnsi" w:cstheme="minorHAnsi"/>
                <w:sz w:val="20"/>
                <w:szCs w:val="20"/>
                <w:vertAlign w:val="subscript"/>
              </w:rPr>
              <w:t>CI</w:t>
            </w:r>
          </w:p>
        </w:tc>
      </w:tr>
      <w:tr w:rsidR="000729B5" w:rsidRPr="00093551" w14:paraId="3FFC6583" w14:textId="77777777" w:rsidTr="006E4001">
        <w:tc>
          <w:tcPr>
            <w:tcW w:w="293" w:type="dxa"/>
            <w:shd w:val="clear" w:color="auto" w:fill="EEECE1"/>
          </w:tcPr>
          <w:p w14:paraId="44787D65" w14:textId="77777777" w:rsidR="000729B5" w:rsidRPr="00093551" w:rsidRDefault="000729B5" w:rsidP="0065698B">
            <w:pPr>
              <w:pStyle w:val="Normlnweb"/>
              <w:numPr>
                <w:ilvl w:val="0"/>
                <w:numId w:val="52"/>
              </w:numPr>
              <w:ind w:left="-57" w:right="-57" w:firstLine="0"/>
              <w:rPr>
                <w:rFonts w:asciiTheme="minorHAnsi" w:hAnsiTheme="minorHAnsi" w:cstheme="minorHAnsi"/>
                <w:sz w:val="20"/>
                <w:szCs w:val="20"/>
              </w:rPr>
            </w:pPr>
          </w:p>
        </w:tc>
        <w:tc>
          <w:tcPr>
            <w:tcW w:w="2154" w:type="dxa"/>
            <w:shd w:val="clear" w:color="auto" w:fill="auto"/>
          </w:tcPr>
          <w:p w14:paraId="5D6F7377"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Ukazatel priority rizika korupce (RPN</w:t>
            </w:r>
            <w:r w:rsidRPr="00093551">
              <w:rPr>
                <w:rFonts w:asciiTheme="minorHAnsi" w:hAnsiTheme="minorHAnsi" w:cstheme="minorHAnsi"/>
                <w:sz w:val="20"/>
                <w:szCs w:val="20"/>
                <w:vertAlign w:val="subscript"/>
              </w:rPr>
              <w:t>C</w:t>
            </w:r>
            <w:r w:rsidRPr="00093551">
              <w:rPr>
                <w:rFonts w:asciiTheme="minorHAnsi" w:hAnsiTheme="minorHAnsi" w:cstheme="minorHAnsi"/>
                <w:sz w:val="20"/>
                <w:szCs w:val="20"/>
              </w:rPr>
              <w:t>)</w:t>
            </w:r>
          </w:p>
        </w:tc>
        <w:tc>
          <w:tcPr>
            <w:tcW w:w="1092" w:type="dxa"/>
            <w:shd w:val="clear" w:color="auto" w:fill="auto"/>
          </w:tcPr>
          <w:p w14:paraId="17AD8C07"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index</w:t>
            </w:r>
          </w:p>
        </w:tc>
        <w:tc>
          <w:tcPr>
            <w:tcW w:w="5523" w:type="dxa"/>
            <w:shd w:val="clear" w:color="auto" w:fill="auto"/>
          </w:tcPr>
          <w:p w14:paraId="77E19C51"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RPN</w:t>
            </w:r>
            <w:r w:rsidRPr="00093551">
              <w:rPr>
                <w:rFonts w:asciiTheme="minorHAnsi" w:hAnsiTheme="minorHAnsi" w:cstheme="minorHAnsi"/>
                <w:sz w:val="20"/>
                <w:szCs w:val="20"/>
                <w:vertAlign w:val="subscript"/>
              </w:rPr>
              <w:t>C</w:t>
            </w:r>
            <w:r w:rsidRPr="00093551">
              <w:rPr>
                <w:rFonts w:asciiTheme="minorHAnsi" w:hAnsiTheme="minorHAnsi" w:cstheme="minorHAnsi"/>
                <w:sz w:val="20"/>
                <w:szCs w:val="20"/>
              </w:rPr>
              <w:t xml:space="preserve"> = RC</w:t>
            </w:r>
            <w:r w:rsidRPr="00093551">
              <w:rPr>
                <w:rFonts w:asciiTheme="minorHAnsi" w:hAnsiTheme="minorHAnsi" w:cstheme="minorHAnsi"/>
                <w:sz w:val="20"/>
                <w:szCs w:val="20"/>
                <w:vertAlign w:val="subscript"/>
              </w:rPr>
              <w:t>C</w:t>
            </w:r>
            <w:r w:rsidRPr="00093551">
              <w:rPr>
                <w:rFonts w:asciiTheme="minorHAnsi" w:hAnsiTheme="minorHAnsi" w:cstheme="minorHAnsi"/>
                <w:sz w:val="20"/>
                <w:szCs w:val="20"/>
              </w:rPr>
              <w:t xml:space="preserve"> * D</w:t>
            </w:r>
          </w:p>
          <w:p w14:paraId="2536BCF9" w14:textId="77777777" w:rsidR="000729B5" w:rsidRPr="00093551" w:rsidRDefault="000729B5" w:rsidP="006E4001">
            <w:pPr>
              <w:pStyle w:val="Normlnweb"/>
              <w:ind w:left="-57" w:right="-57"/>
              <w:rPr>
                <w:rFonts w:asciiTheme="minorHAnsi" w:hAnsiTheme="minorHAnsi" w:cstheme="minorHAnsi"/>
                <w:sz w:val="20"/>
                <w:szCs w:val="20"/>
              </w:rPr>
            </w:pPr>
            <w:r w:rsidRPr="00093551">
              <w:rPr>
                <w:rFonts w:asciiTheme="minorHAnsi" w:hAnsiTheme="minorHAnsi" w:cstheme="minorHAnsi"/>
                <w:sz w:val="20"/>
                <w:szCs w:val="20"/>
              </w:rPr>
              <w:t>Hodnota rizika korupce krát odhalitelnost</w:t>
            </w:r>
          </w:p>
        </w:tc>
      </w:tr>
    </w:tbl>
    <w:p w14:paraId="50CF3040" w14:textId="77777777" w:rsidR="000729B5" w:rsidRPr="004A5A7F" w:rsidRDefault="000729B5" w:rsidP="000729B5">
      <w:pPr>
        <w:pStyle w:val="Zkladntext3"/>
        <w:spacing w:line="360" w:lineRule="auto"/>
        <w:jc w:val="both"/>
        <w:rPr>
          <w:rFonts w:asciiTheme="minorHAnsi" w:eastAsia="Calibri" w:hAnsiTheme="minorHAnsi" w:cstheme="minorHAnsi"/>
          <w:i/>
          <w:iCs/>
          <w:sz w:val="24"/>
          <w:szCs w:val="24"/>
        </w:rPr>
      </w:pPr>
      <w:r w:rsidRPr="004A5A7F">
        <w:rPr>
          <w:rFonts w:asciiTheme="minorHAnsi" w:eastAsia="Calibri" w:hAnsiTheme="minorHAnsi" w:cstheme="minorHAnsi"/>
          <w:i/>
          <w:iCs/>
          <w:sz w:val="24"/>
          <w:szCs w:val="24"/>
        </w:rPr>
        <w:t>Zdroj: Ochrana, Půček, Plaček 2017</w:t>
      </w:r>
    </w:p>
    <w:p w14:paraId="377AE30A" w14:textId="5799D390" w:rsidR="000729B5" w:rsidRPr="005149E0" w:rsidRDefault="000729B5" w:rsidP="000729B5">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0064BDAB" w14:textId="5C8F3EEF" w:rsidR="000729B5" w:rsidRDefault="000729B5" w:rsidP="0065698B">
      <w:pPr>
        <w:pStyle w:val="Odstavecseseznamem"/>
        <w:numPr>
          <w:ilvl w:val="0"/>
          <w:numId w:val="22"/>
        </w:numPr>
        <w:jc w:val="both"/>
        <w:rPr>
          <w:rFonts w:asciiTheme="minorHAnsi" w:hAnsiTheme="minorHAnsi" w:cstheme="minorHAnsi"/>
        </w:rPr>
      </w:pPr>
      <w:r>
        <w:rPr>
          <w:rFonts w:asciiTheme="minorHAnsi" w:hAnsiTheme="minorHAnsi" w:cstheme="minorHAnsi"/>
        </w:rPr>
        <w:lastRenderedPageBreak/>
        <w:t>Využití tříkriteriálního hodnocení pro korupci, podvody nebo obdobnou trestnou činnost lze považovat za dobrou praxi.</w:t>
      </w:r>
    </w:p>
    <w:p w14:paraId="4EDEE11C" w14:textId="77777777" w:rsidR="00686930" w:rsidRPr="00686930" w:rsidRDefault="00686930" w:rsidP="00686930">
      <w:pPr>
        <w:jc w:val="both"/>
        <w:rPr>
          <w:rFonts w:asciiTheme="minorHAnsi" w:hAnsiTheme="minorHAnsi" w:cstheme="minorHAnsi"/>
        </w:rPr>
      </w:pPr>
    </w:p>
    <w:p w14:paraId="27C80F88" w14:textId="77777777" w:rsidR="000729B5" w:rsidRDefault="000729B5" w:rsidP="000729B5">
      <w:pPr>
        <w:pStyle w:val="Nadpis2"/>
        <w:spacing w:before="240" w:after="120"/>
        <w:ind w:left="578" w:hanging="578"/>
        <w:rPr>
          <w:rFonts w:ascii="Calibri" w:hAnsi="Calibri"/>
          <w:color w:val="7493B0"/>
          <w:sz w:val="24"/>
          <w:szCs w:val="24"/>
          <w:lang w:val="cs-CZ"/>
        </w:rPr>
      </w:pPr>
      <w:bookmarkStart w:id="98" w:name="_Toc100759640"/>
      <w:bookmarkStart w:id="99" w:name="_Toc103977832"/>
      <w:bookmarkStart w:id="100" w:name="_Toc117270028"/>
      <w:r w:rsidRPr="007F78DC">
        <w:rPr>
          <w:rFonts w:ascii="Calibri" w:hAnsi="Calibri"/>
          <w:color w:val="7493B0"/>
          <w:sz w:val="24"/>
          <w:szCs w:val="24"/>
          <w:lang w:val="cs-CZ"/>
        </w:rPr>
        <w:t xml:space="preserve">Příklad </w:t>
      </w:r>
      <w:r>
        <w:rPr>
          <w:rFonts w:ascii="Calibri" w:hAnsi="Calibri"/>
          <w:color w:val="7493B0"/>
          <w:sz w:val="24"/>
          <w:szCs w:val="24"/>
          <w:lang w:val="cs-CZ"/>
        </w:rPr>
        <w:t>vyhodnocení finančních příležitostí</w:t>
      </w:r>
      <w:bookmarkEnd w:id="98"/>
      <w:bookmarkEnd w:id="99"/>
      <w:bookmarkEnd w:id="100"/>
    </w:p>
    <w:p w14:paraId="410895D2" w14:textId="77777777" w:rsidR="000729B5" w:rsidRDefault="000729B5" w:rsidP="000729B5">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4161E13F" w14:textId="56A9BE38" w:rsidR="00C43AEF" w:rsidRDefault="00C43AEF" w:rsidP="00C43AEF">
      <w:pPr>
        <w:spacing w:after="120"/>
        <w:jc w:val="both"/>
        <w:rPr>
          <w:rFonts w:asciiTheme="minorHAnsi" w:hAnsiTheme="minorHAnsi" w:cstheme="minorHAnsi"/>
        </w:rPr>
      </w:pPr>
      <w:r>
        <w:rPr>
          <w:rFonts w:asciiTheme="minorHAnsi" w:hAnsiTheme="minorHAnsi" w:cstheme="minorHAnsi"/>
        </w:rPr>
        <w:t xml:space="preserve">Jedna ze zásad zdravého finančního řízení (viz kapitola 9) vyžaduje mít vytvořený systém řízení rizik, a to tak, aby při tom nebyly omezovány příležitosti. Případová studie se týká způsobu hodnocení finančních příležitostí. Další podobné příklady a metodiku pro hodnocení příležitostí je možné najít </w:t>
      </w:r>
      <w:r w:rsidR="00DB39C1">
        <w:rPr>
          <w:rFonts w:asciiTheme="minorHAnsi" w:hAnsiTheme="minorHAnsi" w:cstheme="minorHAnsi"/>
        </w:rPr>
        <w:t>v</w:t>
      </w:r>
      <w:r>
        <w:rPr>
          <w:rFonts w:asciiTheme="minorHAnsi" w:hAnsiTheme="minorHAnsi" w:cstheme="minorHAnsi"/>
        </w:rPr>
        <w:t> nástroji využívání příležitostí</w:t>
      </w:r>
      <w:r>
        <w:rPr>
          <w:rStyle w:val="Znakapoznpodarou"/>
          <w:rFonts w:asciiTheme="minorHAnsi" w:hAnsiTheme="minorHAnsi" w:cstheme="minorHAnsi"/>
        </w:rPr>
        <w:footnoteReference w:id="65"/>
      </w:r>
      <w:r>
        <w:rPr>
          <w:rFonts w:asciiTheme="minorHAnsi" w:hAnsiTheme="minorHAnsi" w:cstheme="minorHAnsi"/>
        </w:rPr>
        <w:t>.</w:t>
      </w:r>
    </w:p>
    <w:p w14:paraId="1CA006FC" w14:textId="77777777" w:rsidR="000729B5" w:rsidRPr="006B6EA5" w:rsidRDefault="000729B5" w:rsidP="000729B5">
      <w:pPr>
        <w:spacing w:after="120"/>
        <w:jc w:val="both"/>
        <w:rPr>
          <w:rFonts w:asciiTheme="minorHAnsi" w:hAnsiTheme="minorHAnsi" w:cstheme="minorHAnsi"/>
          <w:b/>
        </w:rPr>
      </w:pPr>
      <w:r w:rsidRPr="006B6EA5">
        <w:rPr>
          <w:rFonts w:asciiTheme="minorHAnsi" w:hAnsiTheme="minorHAnsi" w:cstheme="minorHAnsi"/>
          <w:b/>
        </w:rPr>
        <w:t>Popis případové studie:</w:t>
      </w:r>
    </w:p>
    <w:p w14:paraId="2FAD9204" w14:textId="7117BE75" w:rsidR="000729B5" w:rsidRDefault="000729B5" w:rsidP="000729B5">
      <w:pPr>
        <w:spacing w:after="120"/>
        <w:jc w:val="both"/>
        <w:rPr>
          <w:rFonts w:asciiTheme="minorHAnsi" w:hAnsiTheme="minorHAnsi" w:cstheme="minorHAnsi"/>
        </w:rPr>
      </w:pPr>
      <w:r w:rsidRPr="007F78DC">
        <w:rPr>
          <w:rFonts w:asciiTheme="minorHAnsi" w:hAnsiTheme="minorHAnsi" w:cstheme="minorHAnsi"/>
        </w:rPr>
        <w:t xml:space="preserve">V následující tabulce </w:t>
      </w:r>
      <w:r>
        <w:rPr>
          <w:rFonts w:asciiTheme="minorHAnsi" w:hAnsiTheme="minorHAnsi" w:cstheme="minorHAnsi"/>
        </w:rPr>
        <w:t>je příklad</w:t>
      </w:r>
      <w:r w:rsidRPr="007F78DC">
        <w:rPr>
          <w:rFonts w:asciiTheme="minorHAnsi" w:hAnsiTheme="minorHAnsi" w:cstheme="minorHAnsi"/>
        </w:rPr>
        <w:t xml:space="preserve"> </w:t>
      </w:r>
      <w:r>
        <w:rPr>
          <w:rFonts w:asciiTheme="minorHAnsi" w:hAnsiTheme="minorHAnsi" w:cstheme="minorHAnsi"/>
        </w:rPr>
        <w:t xml:space="preserve">vyhodnocení </w:t>
      </w:r>
      <w:r w:rsidRPr="007F78DC">
        <w:rPr>
          <w:rFonts w:asciiTheme="minorHAnsi" w:hAnsiTheme="minorHAnsi" w:cstheme="minorHAnsi"/>
        </w:rPr>
        <w:t>finančních příležitostí</w:t>
      </w:r>
      <w:r>
        <w:rPr>
          <w:rFonts w:asciiTheme="minorHAnsi" w:hAnsiTheme="minorHAnsi" w:cstheme="minorHAnsi"/>
        </w:rPr>
        <w:t xml:space="preserve"> města</w:t>
      </w:r>
      <w:r w:rsidRPr="007F78DC">
        <w:rPr>
          <w:rFonts w:asciiTheme="minorHAnsi" w:hAnsiTheme="minorHAnsi" w:cstheme="minorHAnsi"/>
        </w:rPr>
        <w:t>.</w:t>
      </w:r>
      <w:r>
        <w:rPr>
          <w:rFonts w:asciiTheme="minorHAnsi" w:hAnsiTheme="minorHAnsi" w:cstheme="minorHAnsi"/>
        </w:rPr>
        <w:t xml:space="preserve"> Jde o příklad, jiné město by mělo v jiné situaci jiné příležitosti. </w:t>
      </w:r>
      <w:r w:rsidRPr="007F78DC">
        <w:rPr>
          <w:rFonts w:asciiTheme="minorHAnsi" w:hAnsiTheme="minorHAnsi" w:cstheme="minorHAnsi"/>
        </w:rPr>
        <w:t>Příležitosti byly po jejich vyhodnocení seřazeny podle významnosti (sloupe</w:t>
      </w:r>
      <w:r>
        <w:rPr>
          <w:rFonts w:asciiTheme="minorHAnsi" w:hAnsiTheme="minorHAnsi" w:cstheme="minorHAnsi"/>
        </w:rPr>
        <w:t>c VP</w:t>
      </w:r>
      <w:r w:rsidRPr="007F78DC">
        <w:rPr>
          <w:rFonts w:asciiTheme="minorHAnsi" w:hAnsiTheme="minorHAnsi" w:cstheme="minorHAnsi"/>
        </w:rPr>
        <w:t>=</w:t>
      </w:r>
      <w:r w:rsidR="00C43AEF">
        <w:rPr>
          <w:rFonts w:asciiTheme="minorHAnsi" w:hAnsiTheme="minorHAnsi" w:cstheme="minorHAnsi"/>
        </w:rPr>
        <w:t xml:space="preserve">R*D). Sloupec „R“ znamená realizovatelnost, sloupec „D“ dopad do rozpočtu nebo na cíle. </w:t>
      </w:r>
      <w:r w:rsidRPr="007F78DC">
        <w:rPr>
          <w:rFonts w:asciiTheme="minorHAnsi" w:hAnsiTheme="minorHAnsi" w:cstheme="minorHAnsi"/>
        </w:rPr>
        <w:t>Z tabulky</w:t>
      </w:r>
      <w:r>
        <w:rPr>
          <w:rFonts w:asciiTheme="minorHAnsi" w:hAnsiTheme="minorHAnsi" w:cstheme="minorHAnsi"/>
        </w:rPr>
        <w:t xml:space="preserve"> je patrné, že v uvedeném příkladu bylo zjištěno a hodnoceno 12 příležitostí. V tomto kole vyhodnocení bylo rozhodnuto o využití 4 příležitostí. V uvedeném příkladu má město 3 záměry, které se týkají podávání žádostí na prostředky z fondů EU. S ohledem na okolnosti bylo rozhodnuto, že zatím budou připravovány 2 žádosti. Třetí záměr bude ponechán v zásobníku, čili byla zvolena taktika „sleduj“. Jednu příležitost město přenáší na ředitele své organizace (městské lesy). U příležitosti týkající se navýšení koeficientů u daní z nemovitostí rozhodlo zastupitelstvo, že koeficient bude ponechán ve stávající výši – proto je zvolena taktika „ukonči sledování“. Při Využívání příležitostí je zcela běžné, že daná instituce má jen omezenou kapacitu na realizaci opatření, tedy na využívání příležitostí. Proto se soustředí na omezený počet příležitostí, které jí přinesou největší užitek.</w:t>
      </w:r>
    </w:p>
    <w:p w14:paraId="30C77833" w14:textId="68B77AA6" w:rsidR="000729B5" w:rsidRPr="001F61CA" w:rsidRDefault="000729B5" w:rsidP="000729B5">
      <w:pPr>
        <w:pStyle w:val="A1-text"/>
        <w:spacing w:after="120"/>
        <w:rPr>
          <w:rFonts w:ascii="Calibri" w:hAnsi="Calibri"/>
          <w:i/>
          <w:iCs/>
          <w:lang w:val="cs-CZ"/>
        </w:rPr>
      </w:pPr>
      <w:r w:rsidRPr="001F61CA">
        <w:rPr>
          <w:rFonts w:ascii="Calibri" w:hAnsi="Calibri"/>
          <w:i/>
          <w:iCs/>
          <w:lang w:val="cs-CZ"/>
        </w:rPr>
        <w:t xml:space="preserve">Tab. </w:t>
      </w:r>
      <w:r w:rsidR="004F0E1D">
        <w:rPr>
          <w:rFonts w:ascii="Calibri" w:hAnsi="Calibri"/>
          <w:i/>
          <w:iCs/>
          <w:lang w:val="cs-CZ"/>
        </w:rPr>
        <w:t>3</w:t>
      </w:r>
      <w:r w:rsidR="00C14739">
        <w:rPr>
          <w:rFonts w:ascii="Calibri" w:hAnsi="Calibri"/>
          <w:i/>
          <w:iCs/>
          <w:lang w:val="cs-CZ"/>
        </w:rPr>
        <w:t>2</w:t>
      </w:r>
      <w:r>
        <w:rPr>
          <w:rFonts w:ascii="Calibri" w:hAnsi="Calibri"/>
          <w:i/>
          <w:iCs/>
          <w:lang w:val="cs-CZ"/>
        </w:rPr>
        <w:t xml:space="preserve"> </w:t>
      </w:r>
      <w:r w:rsidRPr="001F61CA">
        <w:rPr>
          <w:rFonts w:ascii="Calibri" w:hAnsi="Calibri"/>
          <w:i/>
          <w:iCs/>
          <w:lang w:val="cs-CZ"/>
        </w:rPr>
        <w:t xml:space="preserve">Příklad registru finančních příležitostí </w:t>
      </w:r>
      <w:r>
        <w:rPr>
          <w:rFonts w:ascii="Calibri" w:hAnsi="Calibri"/>
          <w:i/>
          <w:iCs/>
          <w:lang w:val="cs-CZ"/>
        </w:rPr>
        <w:t>města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18"/>
        <w:gridCol w:w="5002"/>
        <w:gridCol w:w="240"/>
        <w:gridCol w:w="240"/>
        <w:gridCol w:w="478"/>
        <w:gridCol w:w="1798"/>
        <w:gridCol w:w="840"/>
      </w:tblGrid>
      <w:tr w:rsidR="000729B5" w:rsidRPr="007F78DC" w14:paraId="32DB7A45" w14:textId="77777777" w:rsidTr="006E4001">
        <w:trPr>
          <w:trHeight w:val="233"/>
        </w:trPr>
        <w:tc>
          <w:tcPr>
            <w:tcW w:w="232" w:type="pct"/>
            <w:vMerge w:val="restart"/>
            <w:shd w:val="clear" w:color="auto" w:fill="E7E6E6"/>
            <w:noWrap/>
            <w:vAlign w:val="center"/>
          </w:tcPr>
          <w:p w14:paraId="6F5B00B6"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Č.</w:t>
            </w:r>
          </w:p>
        </w:tc>
        <w:tc>
          <w:tcPr>
            <w:tcW w:w="2774" w:type="pct"/>
            <w:vMerge w:val="restart"/>
            <w:shd w:val="clear" w:color="auto" w:fill="E7E6E6"/>
            <w:vAlign w:val="center"/>
          </w:tcPr>
          <w:p w14:paraId="11372B33"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Název finanční příležitosti</w:t>
            </w:r>
          </w:p>
        </w:tc>
        <w:tc>
          <w:tcPr>
            <w:tcW w:w="531" w:type="pct"/>
            <w:gridSpan w:val="3"/>
            <w:shd w:val="clear" w:color="auto" w:fill="E7E6E6"/>
            <w:vAlign w:val="center"/>
          </w:tcPr>
          <w:p w14:paraId="0C80F85B"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 xml:space="preserve">Hodnocení </w:t>
            </w:r>
          </w:p>
        </w:tc>
        <w:tc>
          <w:tcPr>
            <w:tcW w:w="997" w:type="pct"/>
            <w:vMerge w:val="restart"/>
            <w:shd w:val="clear" w:color="auto" w:fill="E7E6E6"/>
            <w:vAlign w:val="center"/>
          </w:tcPr>
          <w:p w14:paraId="4AC470B5" w14:textId="77777777" w:rsidR="000729B5" w:rsidRPr="007F78DC" w:rsidRDefault="000729B5" w:rsidP="006E4001">
            <w:pPr>
              <w:spacing w:line="228" w:lineRule="auto"/>
              <w:ind w:left="-113" w:right="-113"/>
              <w:jc w:val="center"/>
              <w:rPr>
                <w:rFonts w:asciiTheme="minorHAnsi" w:hAnsiTheme="minorHAnsi" w:cstheme="minorHAnsi"/>
                <w:sz w:val="20"/>
                <w:szCs w:val="20"/>
              </w:rPr>
            </w:pPr>
            <w:r w:rsidRPr="007F78DC">
              <w:rPr>
                <w:rFonts w:asciiTheme="minorHAnsi" w:hAnsiTheme="minorHAnsi" w:cstheme="minorHAnsi"/>
                <w:sz w:val="20"/>
                <w:szCs w:val="20"/>
              </w:rPr>
              <w:t>Vlastník příležitosti</w:t>
            </w:r>
          </w:p>
        </w:tc>
        <w:tc>
          <w:tcPr>
            <w:tcW w:w="466" w:type="pct"/>
            <w:vMerge w:val="restart"/>
            <w:shd w:val="clear" w:color="auto" w:fill="E7E6E6"/>
            <w:vAlign w:val="center"/>
          </w:tcPr>
          <w:p w14:paraId="6D24ABB0"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Zvolená strategie</w:t>
            </w:r>
          </w:p>
        </w:tc>
      </w:tr>
      <w:tr w:rsidR="000729B5" w:rsidRPr="007F78DC" w14:paraId="423FA9F3" w14:textId="77777777" w:rsidTr="006E4001">
        <w:trPr>
          <w:trHeight w:val="70"/>
        </w:trPr>
        <w:tc>
          <w:tcPr>
            <w:tcW w:w="232" w:type="pct"/>
            <w:vMerge/>
            <w:shd w:val="clear" w:color="auto" w:fill="E7E6E6"/>
            <w:noWrap/>
            <w:vAlign w:val="center"/>
          </w:tcPr>
          <w:p w14:paraId="28EE824F" w14:textId="77777777" w:rsidR="000729B5" w:rsidRPr="007F78DC" w:rsidRDefault="000729B5" w:rsidP="006E4001">
            <w:pPr>
              <w:spacing w:line="228" w:lineRule="auto"/>
              <w:ind w:left="-57" w:right="-57"/>
              <w:jc w:val="center"/>
              <w:rPr>
                <w:rFonts w:asciiTheme="minorHAnsi" w:hAnsiTheme="minorHAnsi" w:cstheme="minorHAnsi"/>
                <w:b/>
                <w:bCs/>
                <w:sz w:val="20"/>
                <w:szCs w:val="20"/>
              </w:rPr>
            </w:pPr>
          </w:p>
        </w:tc>
        <w:tc>
          <w:tcPr>
            <w:tcW w:w="2774" w:type="pct"/>
            <w:vMerge/>
            <w:shd w:val="clear" w:color="auto" w:fill="F2F2F2"/>
            <w:vAlign w:val="center"/>
          </w:tcPr>
          <w:p w14:paraId="6109D0FC" w14:textId="77777777" w:rsidR="000729B5" w:rsidRPr="007F78DC" w:rsidRDefault="000729B5" w:rsidP="006E4001">
            <w:pPr>
              <w:spacing w:line="228" w:lineRule="auto"/>
              <w:ind w:left="-57" w:right="-57"/>
              <w:jc w:val="center"/>
              <w:rPr>
                <w:rFonts w:asciiTheme="minorHAnsi" w:hAnsiTheme="minorHAnsi" w:cstheme="minorHAnsi"/>
                <w:b/>
                <w:bCs/>
                <w:sz w:val="20"/>
                <w:szCs w:val="20"/>
              </w:rPr>
            </w:pPr>
          </w:p>
        </w:tc>
        <w:tc>
          <w:tcPr>
            <w:tcW w:w="133" w:type="pct"/>
            <w:shd w:val="clear" w:color="auto" w:fill="E7E6E6"/>
            <w:vAlign w:val="center"/>
          </w:tcPr>
          <w:p w14:paraId="50A34DE7" w14:textId="77777777" w:rsidR="000729B5" w:rsidRPr="005222EB" w:rsidRDefault="000729B5" w:rsidP="006E4001">
            <w:pPr>
              <w:spacing w:line="228" w:lineRule="auto"/>
              <w:ind w:left="-57" w:right="-57"/>
              <w:jc w:val="center"/>
              <w:rPr>
                <w:rFonts w:asciiTheme="minorHAnsi" w:hAnsiTheme="minorHAnsi" w:cstheme="minorHAnsi"/>
                <w:sz w:val="20"/>
                <w:szCs w:val="20"/>
              </w:rPr>
            </w:pPr>
            <w:r w:rsidRPr="005222EB">
              <w:rPr>
                <w:rFonts w:asciiTheme="minorHAnsi" w:hAnsiTheme="minorHAnsi" w:cstheme="minorHAnsi"/>
                <w:sz w:val="20"/>
              </w:rPr>
              <w:t>R</w:t>
            </w:r>
          </w:p>
        </w:tc>
        <w:tc>
          <w:tcPr>
            <w:tcW w:w="133" w:type="pct"/>
            <w:shd w:val="clear" w:color="auto" w:fill="E7E6E6"/>
            <w:vAlign w:val="center"/>
          </w:tcPr>
          <w:p w14:paraId="23F08883" w14:textId="77777777" w:rsidR="000729B5" w:rsidRPr="005222EB" w:rsidRDefault="000729B5" w:rsidP="006E4001">
            <w:pPr>
              <w:spacing w:line="228" w:lineRule="auto"/>
              <w:ind w:left="-57" w:right="-57"/>
              <w:jc w:val="center"/>
              <w:rPr>
                <w:rFonts w:asciiTheme="minorHAnsi" w:hAnsiTheme="minorHAnsi" w:cstheme="minorHAnsi"/>
                <w:sz w:val="20"/>
                <w:szCs w:val="20"/>
              </w:rPr>
            </w:pPr>
            <w:r w:rsidRPr="005222EB">
              <w:rPr>
                <w:rFonts w:asciiTheme="minorHAnsi" w:hAnsiTheme="minorHAnsi" w:cstheme="minorHAnsi"/>
                <w:sz w:val="20"/>
              </w:rPr>
              <w:t>D</w:t>
            </w:r>
          </w:p>
        </w:tc>
        <w:tc>
          <w:tcPr>
            <w:tcW w:w="265" w:type="pct"/>
            <w:shd w:val="clear" w:color="auto" w:fill="E7E6E6"/>
            <w:vAlign w:val="center"/>
          </w:tcPr>
          <w:p w14:paraId="5DB1CB27" w14:textId="77777777" w:rsidR="000729B5" w:rsidRPr="005222EB" w:rsidRDefault="000729B5" w:rsidP="006E4001">
            <w:pPr>
              <w:spacing w:line="228" w:lineRule="auto"/>
              <w:ind w:left="-57" w:right="-57"/>
              <w:jc w:val="center"/>
              <w:rPr>
                <w:rFonts w:asciiTheme="minorHAnsi" w:hAnsiTheme="minorHAnsi" w:cstheme="minorHAnsi"/>
                <w:sz w:val="20"/>
              </w:rPr>
            </w:pPr>
            <w:r w:rsidRPr="005222EB">
              <w:rPr>
                <w:rFonts w:asciiTheme="minorHAnsi" w:hAnsiTheme="minorHAnsi" w:cstheme="minorHAnsi"/>
                <w:sz w:val="20"/>
              </w:rPr>
              <w:t>VP=</w:t>
            </w:r>
          </w:p>
          <w:p w14:paraId="08CB6E8A" w14:textId="77777777" w:rsidR="000729B5" w:rsidRPr="005222EB" w:rsidRDefault="000729B5" w:rsidP="006E4001">
            <w:pPr>
              <w:spacing w:line="228" w:lineRule="auto"/>
              <w:ind w:left="-57" w:right="-57"/>
              <w:jc w:val="center"/>
              <w:rPr>
                <w:rFonts w:asciiTheme="minorHAnsi" w:hAnsiTheme="minorHAnsi" w:cstheme="minorHAnsi"/>
                <w:sz w:val="20"/>
                <w:szCs w:val="20"/>
              </w:rPr>
            </w:pPr>
            <w:r w:rsidRPr="005222EB">
              <w:rPr>
                <w:rFonts w:asciiTheme="minorHAnsi" w:hAnsiTheme="minorHAnsi" w:cstheme="minorHAnsi"/>
                <w:sz w:val="20"/>
              </w:rPr>
              <w:t>R*D</w:t>
            </w:r>
          </w:p>
        </w:tc>
        <w:tc>
          <w:tcPr>
            <w:tcW w:w="997" w:type="pct"/>
            <w:vMerge/>
            <w:shd w:val="clear" w:color="auto" w:fill="E7E6E6"/>
          </w:tcPr>
          <w:p w14:paraId="7F5C4FAA" w14:textId="77777777" w:rsidR="000729B5" w:rsidRPr="007F78DC" w:rsidRDefault="000729B5" w:rsidP="006E4001">
            <w:pPr>
              <w:spacing w:line="228" w:lineRule="auto"/>
              <w:ind w:left="-113" w:right="-113"/>
              <w:jc w:val="center"/>
              <w:rPr>
                <w:rFonts w:asciiTheme="minorHAnsi" w:hAnsiTheme="minorHAnsi" w:cstheme="minorHAnsi"/>
                <w:sz w:val="20"/>
                <w:szCs w:val="20"/>
              </w:rPr>
            </w:pPr>
          </w:p>
        </w:tc>
        <w:tc>
          <w:tcPr>
            <w:tcW w:w="466" w:type="pct"/>
            <w:vMerge/>
            <w:shd w:val="clear" w:color="auto" w:fill="E7E6E6"/>
          </w:tcPr>
          <w:p w14:paraId="13691B0E" w14:textId="77777777" w:rsidR="000729B5" w:rsidRPr="007F78DC" w:rsidRDefault="000729B5" w:rsidP="006E4001">
            <w:pPr>
              <w:spacing w:line="228" w:lineRule="auto"/>
              <w:ind w:left="-57" w:right="-57"/>
              <w:jc w:val="center"/>
              <w:rPr>
                <w:rFonts w:asciiTheme="minorHAnsi" w:hAnsiTheme="minorHAnsi" w:cstheme="minorHAnsi"/>
                <w:sz w:val="20"/>
                <w:szCs w:val="20"/>
              </w:rPr>
            </w:pPr>
          </w:p>
        </w:tc>
      </w:tr>
      <w:tr w:rsidR="000729B5" w:rsidRPr="007F78DC" w14:paraId="0FC29852" w14:textId="77777777" w:rsidTr="006E4001">
        <w:trPr>
          <w:trHeight w:val="70"/>
        </w:trPr>
        <w:tc>
          <w:tcPr>
            <w:tcW w:w="232" w:type="pct"/>
            <w:shd w:val="clear" w:color="auto" w:fill="E7E6E6"/>
            <w:noWrap/>
            <w:vAlign w:val="center"/>
          </w:tcPr>
          <w:p w14:paraId="1F679C28"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1.1</w:t>
            </w:r>
          </w:p>
        </w:tc>
        <w:tc>
          <w:tcPr>
            <w:tcW w:w="2774" w:type="pct"/>
            <w:shd w:val="clear" w:color="auto" w:fill="FFFFFF"/>
            <w:vAlign w:val="center"/>
          </w:tcPr>
          <w:p w14:paraId="64DE6BF1" w14:textId="77777777" w:rsidR="000729B5" w:rsidRPr="00914B69" w:rsidRDefault="000729B5" w:rsidP="006E4001">
            <w:pPr>
              <w:spacing w:line="228" w:lineRule="auto"/>
              <w:ind w:left="-57" w:right="-57"/>
              <w:rPr>
                <w:rFonts w:asciiTheme="minorHAnsi" w:hAnsiTheme="minorHAnsi" w:cstheme="minorHAnsi"/>
                <w:sz w:val="20"/>
                <w:szCs w:val="20"/>
              </w:rPr>
            </w:pPr>
            <w:r w:rsidRPr="00914B69">
              <w:rPr>
                <w:rFonts w:asciiTheme="minorHAnsi" w:eastAsia="Calibri" w:hAnsiTheme="minorHAnsi" w:cstheme="minorHAnsi"/>
                <w:sz w:val="20"/>
                <w:szCs w:val="22"/>
              </w:rPr>
              <w:t>Získání</w:t>
            </w:r>
            <w:r>
              <w:rPr>
                <w:rFonts w:asciiTheme="minorHAnsi" w:eastAsia="Calibri" w:hAnsiTheme="minorHAnsi" w:cstheme="minorHAnsi"/>
                <w:sz w:val="20"/>
                <w:szCs w:val="22"/>
              </w:rPr>
              <w:t xml:space="preserve"> investiční dotace z fondů EU (záměr 1)</w:t>
            </w:r>
          </w:p>
        </w:tc>
        <w:tc>
          <w:tcPr>
            <w:tcW w:w="133" w:type="pct"/>
            <w:shd w:val="clear" w:color="auto" w:fill="FFFFFF"/>
            <w:noWrap/>
            <w:vAlign w:val="center"/>
          </w:tcPr>
          <w:p w14:paraId="43DFEC58"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4</w:t>
            </w:r>
          </w:p>
        </w:tc>
        <w:tc>
          <w:tcPr>
            <w:tcW w:w="133" w:type="pct"/>
            <w:shd w:val="clear" w:color="auto" w:fill="FFFFFF"/>
            <w:noWrap/>
            <w:vAlign w:val="center"/>
          </w:tcPr>
          <w:p w14:paraId="007AC61D"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5</w:t>
            </w:r>
          </w:p>
        </w:tc>
        <w:tc>
          <w:tcPr>
            <w:tcW w:w="265" w:type="pct"/>
            <w:shd w:val="clear" w:color="auto" w:fill="FFFFFF"/>
            <w:noWrap/>
            <w:vAlign w:val="center"/>
          </w:tcPr>
          <w:p w14:paraId="010EE75C"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20</w:t>
            </w:r>
          </w:p>
        </w:tc>
        <w:tc>
          <w:tcPr>
            <w:tcW w:w="997" w:type="pct"/>
            <w:shd w:val="clear" w:color="auto" w:fill="FFFFFF"/>
            <w:vAlign w:val="center"/>
          </w:tcPr>
          <w:p w14:paraId="33CE56F7"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starosta</w:t>
            </w:r>
          </w:p>
        </w:tc>
        <w:tc>
          <w:tcPr>
            <w:tcW w:w="466" w:type="pct"/>
            <w:shd w:val="clear" w:color="auto" w:fill="FFFFFF"/>
            <w:vAlign w:val="center"/>
          </w:tcPr>
          <w:p w14:paraId="0DEB1CF5" w14:textId="77777777" w:rsidR="000729B5" w:rsidRPr="00C23149" w:rsidRDefault="000729B5" w:rsidP="006E4001">
            <w:pPr>
              <w:spacing w:line="228" w:lineRule="auto"/>
              <w:rPr>
                <w:rFonts w:asciiTheme="minorHAnsi" w:hAnsiTheme="minorHAnsi" w:cstheme="minorHAnsi"/>
                <w:b/>
                <w:sz w:val="20"/>
                <w:szCs w:val="20"/>
              </w:rPr>
            </w:pPr>
            <w:r w:rsidRPr="00C23149">
              <w:rPr>
                <w:rFonts w:asciiTheme="minorHAnsi" w:eastAsia="Calibri" w:hAnsiTheme="minorHAnsi" w:cstheme="minorHAnsi"/>
                <w:b/>
                <w:sz w:val="20"/>
                <w:szCs w:val="20"/>
              </w:rPr>
              <w:t>využij</w:t>
            </w:r>
          </w:p>
        </w:tc>
      </w:tr>
      <w:tr w:rsidR="000729B5" w:rsidRPr="007F78DC" w14:paraId="6CD70C5F" w14:textId="77777777" w:rsidTr="006E4001">
        <w:trPr>
          <w:trHeight w:val="70"/>
        </w:trPr>
        <w:tc>
          <w:tcPr>
            <w:tcW w:w="232" w:type="pct"/>
            <w:shd w:val="clear" w:color="auto" w:fill="E7E6E6"/>
            <w:noWrap/>
            <w:vAlign w:val="center"/>
          </w:tcPr>
          <w:p w14:paraId="375A2B30" w14:textId="77777777" w:rsidR="000729B5" w:rsidRPr="007F78D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7F78DC">
              <w:rPr>
                <w:rFonts w:asciiTheme="minorHAnsi" w:eastAsia="Calibri" w:hAnsiTheme="minorHAnsi" w:cstheme="minorHAnsi"/>
                <w:sz w:val="20"/>
                <w:szCs w:val="20"/>
              </w:rPr>
              <w:t>1.2</w:t>
            </w:r>
          </w:p>
        </w:tc>
        <w:tc>
          <w:tcPr>
            <w:tcW w:w="2774" w:type="pct"/>
            <w:shd w:val="clear" w:color="auto" w:fill="FFFFFF"/>
            <w:vAlign w:val="center"/>
          </w:tcPr>
          <w:p w14:paraId="1937A4C6" w14:textId="77777777" w:rsidR="000729B5" w:rsidRPr="00914B69" w:rsidRDefault="000729B5" w:rsidP="006E4001">
            <w:pPr>
              <w:spacing w:line="228" w:lineRule="auto"/>
              <w:ind w:left="-57" w:right="-57"/>
              <w:rPr>
                <w:rFonts w:asciiTheme="minorHAnsi" w:eastAsia="Calibri" w:hAnsiTheme="minorHAnsi" w:cstheme="minorHAnsi"/>
                <w:sz w:val="20"/>
                <w:szCs w:val="20"/>
              </w:rPr>
            </w:pPr>
            <w:r w:rsidRPr="00914B69">
              <w:rPr>
                <w:rFonts w:asciiTheme="minorHAnsi" w:eastAsia="Calibri" w:hAnsiTheme="minorHAnsi" w:cstheme="minorHAnsi"/>
                <w:sz w:val="20"/>
                <w:szCs w:val="22"/>
              </w:rPr>
              <w:t>Získání</w:t>
            </w:r>
            <w:r>
              <w:rPr>
                <w:rFonts w:asciiTheme="minorHAnsi" w:eastAsia="Calibri" w:hAnsiTheme="minorHAnsi" w:cstheme="minorHAnsi"/>
                <w:sz w:val="20"/>
                <w:szCs w:val="22"/>
              </w:rPr>
              <w:t xml:space="preserve"> investiční dotace z fondů EU (záměr 2)</w:t>
            </w:r>
          </w:p>
        </w:tc>
        <w:tc>
          <w:tcPr>
            <w:tcW w:w="133" w:type="pct"/>
            <w:shd w:val="clear" w:color="auto" w:fill="FFFFFF"/>
            <w:noWrap/>
            <w:vAlign w:val="center"/>
          </w:tcPr>
          <w:p w14:paraId="06B8F0F0"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3</w:t>
            </w:r>
          </w:p>
        </w:tc>
        <w:tc>
          <w:tcPr>
            <w:tcW w:w="133" w:type="pct"/>
            <w:shd w:val="clear" w:color="auto" w:fill="FFFFFF"/>
            <w:noWrap/>
            <w:vAlign w:val="center"/>
          </w:tcPr>
          <w:p w14:paraId="7FFFD2B8"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5</w:t>
            </w:r>
          </w:p>
        </w:tc>
        <w:tc>
          <w:tcPr>
            <w:tcW w:w="265" w:type="pct"/>
            <w:shd w:val="clear" w:color="auto" w:fill="FFFFFF"/>
            <w:noWrap/>
            <w:vAlign w:val="center"/>
          </w:tcPr>
          <w:p w14:paraId="1443CB24"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15</w:t>
            </w:r>
          </w:p>
        </w:tc>
        <w:tc>
          <w:tcPr>
            <w:tcW w:w="997" w:type="pct"/>
            <w:shd w:val="clear" w:color="auto" w:fill="FFFFFF"/>
          </w:tcPr>
          <w:p w14:paraId="07D4E5F2" w14:textId="77777777" w:rsidR="000729B5" w:rsidRPr="007F78DC" w:rsidRDefault="000729B5" w:rsidP="006E4001">
            <w:pPr>
              <w:spacing w:line="228" w:lineRule="auto"/>
              <w:ind w:left="-113" w:right="-113"/>
              <w:jc w:val="center"/>
              <w:rPr>
                <w:rFonts w:asciiTheme="minorHAnsi" w:hAnsiTheme="minorHAnsi" w:cstheme="minorHAnsi"/>
                <w:sz w:val="20"/>
                <w:szCs w:val="20"/>
              </w:rPr>
            </w:pPr>
            <w:r w:rsidRPr="00A4466D">
              <w:rPr>
                <w:rFonts w:asciiTheme="minorHAnsi" w:hAnsiTheme="minorHAnsi" w:cstheme="minorHAnsi"/>
                <w:sz w:val="20"/>
                <w:szCs w:val="20"/>
              </w:rPr>
              <w:t>starosta</w:t>
            </w:r>
          </w:p>
        </w:tc>
        <w:tc>
          <w:tcPr>
            <w:tcW w:w="466" w:type="pct"/>
            <w:shd w:val="clear" w:color="auto" w:fill="FFFFFF"/>
            <w:vAlign w:val="center"/>
          </w:tcPr>
          <w:p w14:paraId="0D861B6E" w14:textId="77777777" w:rsidR="000729B5" w:rsidRPr="00C23149" w:rsidRDefault="000729B5" w:rsidP="006E4001">
            <w:pPr>
              <w:spacing w:line="228" w:lineRule="auto"/>
              <w:rPr>
                <w:rFonts w:asciiTheme="minorHAnsi" w:hAnsiTheme="minorHAnsi" w:cstheme="minorHAnsi"/>
                <w:b/>
                <w:sz w:val="20"/>
                <w:szCs w:val="20"/>
              </w:rPr>
            </w:pPr>
            <w:r w:rsidRPr="00C23149">
              <w:rPr>
                <w:rFonts w:asciiTheme="minorHAnsi" w:eastAsia="Calibri" w:hAnsiTheme="minorHAnsi" w:cstheme="minorHAnsi"/>
                <w:b/>
                <w:sz w:val="20"/>
                <w:szCs w:val="20"/>
              </w:rPr>
              <w:t>využij</w:t>
            </w:r>
          </w:p>
        </w:tc>
      </w:tr>
      <w:tr w:rsidR="000729B5" w:rsidRPr="007F78DC" w14:paraId="00611F22" w14:textId="77777777" w:rsidTr="006E4001">
        <w:trPr>
          <w:trHeight w:val="70"/>
        </w:trPr>
        <w:tc>
          <w:tcPr>
            <w:tcW w:w="232" w:type="pct"/>
            <w:shd w:val="clear" w:color="auto" w:fill="E7E6E6"/>
            <w:noWrap/>
            <w:vAlign w:val="center"/>
          </w:tcPr>
          <w:p w14:paraId="1102884F" w14:textId="77777777" w:rsidR="000729B5" w:rsidRPr="007F78D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7F78DC">
              <w:rPr>
                <w:rFonts w:asciiTheme="minorHAnsi" w:eastAsia="Calibri" w:hAnsiTheme="minorHAnsi" w:cstheme="minorHAnsi"/>
                <w:sz w:val="20"/>
                <w:szCs w:val="20"/>
              </w:rPr>
              <w:t>1.3</w:t>
            </w:r>
          </w:p>
        </w:tc>
        <w:tc>
          <w:tcPr>
            <w:tcW w:w="2774" w:type="pct"/>
            <w:shd w:val="clear" w:color="auto" w:fill="FFFFFF"/>
            <w:vAlign w:val="center"/>
          </w:tcPr>
          <w:p w14:paraId="2933F27A" w14:textId="77777777" w:rsidR="000729B5" w:rsidRPr="00914B69" w:rsidRDefault="000729B5" w:rsidP="006E4001">
            <w:pPr>
              <w:spacing w:line="228" w:lineRule="auto"/>
              <w:ind w:left="-57" w:right="-57"/>
              <w:rPr>
                <w:rFonts w:asciiTheme="minorHAnsi" w:eastAsia="Calibri" w:hAnsiTheme="minorHAnsi" w:cstheme="minorHAnsi"/>
                <w:sz w:val="20"/>
                <w:szCs w:val="20"/>
              </w:rPr>
            </w:pPr>
            <w:r w:rsidRPr="00914B69">
              <w:rPr>
                <w:rFonts w:asciiTheme="minorHAnsi" w:eastAsia="Calibri" w:hAnsiTheme="minorHAnsi" w:cstheme="minorHAnsi"/>
                <w:sz w:val="20"/>
                <w:szCs w:val="22"/>
              </w:rPr>
              <w:t>Získání</w:t>
            </w:r>
            <w:r>
              <w:rPr>
                <w:rFonts w:asciiTheme="minorHAnsi" w:eastAsia="Calibri" w:hAnsiTheme="minorHAnsi" w:cstheme="minorHAnsi"/>
                <w:sz w:val="20"/>
                <w:szCs w:val="22"/>
              </w:rPr>
              <w:t xml:space="preserve"> investiční dotace z fondů EU (záměr 3)</w:t>
            </w:r>
          </w:p>
        </w:tc>
        <w:tc>
          <w:tcPr>
            <w:tcW w:w="133" w:type="pct"/>
            <w:shd w:val="clear" w:color="auto" w:fill="FFFFFF"/>
            <w:noWrap/>
            <w:vAlign w:val="center"/>
          </w:tcPr>
          <w:p w14:paraId="48E9F981"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2</w:t>
            </w:r>
          </w:p>
        </w:tc>
        <w:tc>
          <w:tcPr>
            <w:tcW w:w="133" w:type="pct"/>
            <w:shd w:val="clear" w:color="auto" w:fill="FFFFFF"/>
            <w:noWrap/>
            <w:vAlign w:val="center"/>
          </w:tcPr>
          <w:p w14:paraId="531592C5"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4</w:t>
            </w:r>
          </w:p>
        </w:tc>
        <w:tc>
          <w:tcPr>
            <w:tcW w:w="265" w:type="pct"/>
            <w:shd w:val="clear" w:color="auto" w:fill="FFFFFF"/>
            <w:noWrap/>
            <w:vAlign w:val="center"/>
          </w:tcPr>
          <w:p w14:paraId="7DAC5F49"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8</w:t>
            </w:r>
          </w:p>
        </w:tc>
        <w:tc>
          <w:tcPr>
            <w:tcW w:w="997" w:type="pct"/>
            <w:shd w:val="clear" w:color="auto" w:fill="FFFFFF"/>
            <w:vAlign w:val="center"/>
          </w:tcPr>
          <w:p w14:paraId="58D07DE9" w14:textId="77777777" w:rsidR="000729B5" w:rsidRPr="007F78DC" w:rsidRDefault="000729B5" w:rsidP="006E4001">
            <w:pPr>
              <w:spacing w:line="228" w:lineRule="auto"/>
              <w:ind w:left="-113" w:right="-113"/>
              <w:jc w:val="center"/>
              <w:rPr>
                <w:rFonts w:asciiTheme="minorHAnsi" w:hAnsiTheme="minorHAnsi" w:cstheme="minorHAnsi"/>
                <w:sz w:val="20"/>
                <w:szCs w:val="20"/>
              </w:rPr>
            </w:pPr>
            <w:r w:rsidRPr="00A4466D">
              <w:rPr>
                <w:rFonts w:asciiTheme="minorHAnsi" w:hAnsiTheme="minorHAnsi" w:cstheme="minorHAnsi"/>
                <w:sz w:val="20"/>
                <w:szCs w:val="20"/>
              </w:rPr>
              <w:t>starosta</w:t>
            </w:r>
          </w:p>
        </w:tc>
        <w:tc>
          <w:tcPr>
            <w:tcW w:w="466" w:type="pct"/>
            <w:shd w:val="clear" w:color="auto" w:fill="FFFFFF"/>
            <w:vAlign w:val="center"/>
          </w:tcPr>
          <w:p w14:paraId="517B405D" w14:textId="77777777" w:rsidR="000729B5" w:rsidRPr="007F78DC" w:rsidRDefault="000729B5" w:rsidP="006E4001">
            <w:pPr>
              <w:spacing w:line="204" w:lineRule="auto"/>
              <w:ind w:left="-57" w:right="-57"/>
              <w:jc w:val="center"/>
              <w:rPr>
                <w:rFonts w:asciiTheme="minorHAnsi" w:hAnsiTheme="minorHAnsi" w:cstheme="minorHAnsi"/>
                <w:sz w:val="20"/>
                <w:szCs w:val="20"/>
              </w:rPr>
            </w:pPr>
            <w:r>
              <w:rPr>
                <w:rFonts w:asciiTheme="minorHAnsi" w:eastAsia="Calibri" w:hAnsiTheme="minorHAnsi" w:cstheme="minorHAnsi"/>
                <w:sz w:val="20"/>
                <w:szCs w:val="20"/>
              </w:rPr>
              <w:t>sleduj</w:t>
            </w:r>
          </w:p>
        </w:tc>
      </w:tr>
      <w:tr w:rsidR="000729B5" w:rsidRPr="007F78DC" w14:paraId="4EEF09F5" w14:textId="77777777" w:rsidTr="006E4001">
        <w:trPr>
          <w:trHeight w:val="70"/>
        </w:trPr>
        <w:tc>
          <w:tcPr>
            <w:tcW w:w="232" w:type="pct"/>
            <w:shd w:val="clear" w:color="auto" w:fill="E7E6E6"/>
            <w:noWrap/>
            <w:vAlign w:val="center"/>
          </w:tcPr>
          <w:p w14:paraId="28F40BAF"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lastRenderedPageBreak/>
              <w:t>1.4</w:t>
            </w:r>
          </w:p>
        </w:tc>
        <w:tc>
          <w:tcPr>
            <w:tcW w:w="2774" w:type="pct"/>
            <w:shd w:val="clear" w:color="auto" w:fill="FFFFFF"/>
            <w:vAlign w:val="center"/>
          </w:tcPr>
          <w:p w14:paraId="3570F21F" w14:textId="77777777" w:rsidR="000729B5" w:rsidRPr="00914B69" w:rsidRDefault="000729B5" w:rsidP="006E4001">
            <w:pPr>
              <w:spacing w:line="228" w:lineRule="auto"/>
              <w:ind w:left="-57" w:right="-57"/>
              <w:rPr>
                <w:rFonts w:asciiTheme="minorHAnsi" w:hAnsiTheme="minorHAnsi" w:cstheme="minorHAnsi"/>
                <w:sz w:val="20"/>
                <w:szCs w:val="20"/>
              </w:rPr>
            </w:pPr>
            <w:r w:rsidRPr="00914B69">
              <w:rPr>
                <w:rFonts w:asciiTheme="minorHAnsi" w:eastAsia="Calibri" w:hAnsiTheme="minorHAnsi" w:cstheme="minorHAnsi"/>
                <w:sz w:val="20"/>
                <w:szCs w:val="22"/>
              </w:rPr>
              <w:t xml:space="preserve">Racionální úspory nákladů na provoz </w:t>
            </w:r>
            <w:r>
              <w:rPr>
                <w:rFonts w:asciiTheme="minorHAnsi" w:eastAsia="Calibri" w:hAnsiTheme="minorHAnsi" w:cstheme="minorHAnsi"/>
                <w:sz w:val="20"/>
                <w:szCs w:val="22"/>
              </w:rPr>
              <w:t xml:space="preserve">úřadu </w:t>
            </w:r>
            <w:r w:rsidRPr="00914B69">
              <w:rPr>
                <w:rFonts w:asciiTheme="minorHAnsi" w:eastAsia="Calibri" w:hAnsiTheme="minorHAnsi" w:cstheme="minorHAnsi"/>
                <w:sz w:val="20"/>
                <w:szCs w:val="22"/>
              </w:rPr>
              <w:t>bez vlivu na kvalitu a rozsah</w:t>
            </w:r>
            <w:r>
              <w:rPr>
                <w:rFonts w:asciiTheme="minorHAnsi" w:eastAsia="Calibri" w:hAnsiTheme="minorHAnsi" w:cstheme="minorHAnsi"/>
                <w:sz w:val="20"/>
                <w:szCs w:val="22"/>
              </w:rPr>
              <w:t xml:space="preserve"> (záměr 1 – úspory energií)</w:t>
            </w:r>
          </w:p>
        </w:tc>
        <w:tc>
          <w:tcPr>
            <w:tcW w:w="133" w:type="pct"/>
            <w:shd w:val="clear" w:color="auto" w:fill="FFFFFF"/>
            <w:noWrap/>
            <w:vAlign w:val="center"/>
          </w:tcPr>
          <w:p w14:paraId="4905644E"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3</w:t>
            </w:r>
          </w:p>
        </w:tc>
        <w:tc>
          <w:tcPr>
            <w:tcW w:w="133" w:type="pct"/>
            <w:shd w:val="clear" w:color="auto" w:fill="FFFFFF"/>
            <w:noWrap/>
            <w:vAlign w:val="center"/>
          </w:tcPr>
          <w:p w14:paraId="6EE5E464"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2</w:t>
            </w:r>
          </w:p>
        </w:tc>
        <w:tc>
          <w:tcPr>
            <w:tcW w:w="265" w:type="pct"/>
            <w:shd w:val="clear" w:color="auto" w:fill="FFFFFF"/>
            <w:noWrap/>
            <w:vAlign w:val="center"/>
          </w:tcPr>
          <w:p w14:paraId="0477CB4A"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6</w:t>
            </w:r>
          </w:p>
        </w:tc>
        <w:tc>
          <w:tcPr>
            <w:tcW w:w="997" w:type="pct"/>
            <w:shd w:val="clear" w:color="auto" w:fill="FFFFFF"/>
            <w:vAlign w:val="center"/>
          </w:tcPr>
          <w:p w14:paraId="02BE8C36"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tajemník</w:t>
            </w:r>
          </w:p>
        </w:tc>
        <w:tc>
          <w:tcPr>
            <w:tcW w:w="466" w:type="pct"/>
            <w:shd w:val="clear" w:color="auto" w:fill="FFFFFF"/>
            <w:vAlign w:val="center"/>
          </w:tcPr>
          <w:p w14:paraId="63159B2D" w14:textId="77777777" w:rsidR="000729B5" w:rsidRPr="00C23149" w:rsidRDefault="000729B5" w:rsidP="006E4001">
            <w:pPr>
              <w:spacing w:line="228" w:lineRule="auto"/>
              <w:rPr>
                <w:rFonts w:asciiTheme="minorHAnsi" w:hAnsiTheme="minorHAnsi" w:cstheme="minorHAnsi"/>
                <w:b/>
                <w:sz w:val="20"/>
                <w:szCs w:val="20"/>
              </w:rPr>
            </w:pPr>
            <w:r w:rsidRPr="00C23149">
              <w:rPr>
                <w:rFonts w:asciiTheme="minorHAnsi" w:eastAsia="Calibri" w:hAnsiTheme="minorHAnsi" w:cstheme="minorHAnsi"/>
                <w:b/>
                <w:sz w:val="20"/>
                <w:szCs w:val="20"/>
              </w:rPr>
              <w:t>využij</w:t>
            </w:r>
          </w:p>
        </w:tc>
      </w:tr>
      <w:tr w:rsidR="000729B5" w:rsidRPr="007F78DC" w14:paraId="07D86292" w14:textId="77777777" w:rsidTr="006E4001">
        <w:trPr>
          <w:trHeight w:val="70"/>
        </w:trPr>
        <w:tc>
          <w:tcPr>
            <w:tcW w:w="232" w:type="pct"/>
            <w:shd w:val="clear" w:color="auto" w:fill="E7E6E6"/>
            <w:noWrap/>
            <w:vAlign w:val="center"/>
          </w:tcPr>
          <w:p w14:paraId="435DC91B"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1.5</w:t>
            </w:r>
          </w:p>
        </w:tc>
        <w:tc>
          <w:tcPr>
            <w:tcW w:w="2774" w:type="pct"/>
            <w:shd w:val="clear" w:color="auto" w:fill="FFFFFF"/>
            <w:vAlign w:val="center"/>
          </w:tcPr>
          <w:p w14:paraId="7FF8E71F" w14:textId="77777777" w:rsidR="000729B5" w:rsidRPr="00914B69" w:rsidRDefault="000729B5" w:rsidP="006E4001">
            <w:pPr>
              <w:spacing w:line="228" w:lineRule="auto"/>
              <w:ind w:left="-57" w:right="-57"/>
              <w:rPr>
                <w:rFonts w:asciiTheme="minorHAnsi" w:hAnsiTheme="minorHAnsi" w:cstheme="minorHAnsi"/>
                <w:sz w:val="20"/>
                <w:szCs w:val="20"/>
              </w:rPr>
            </w:pPr>
            <w:r w:rsidRPr="00914B69">
              <w:rPr>
                <w:rFonts w:asciiTheme="minorHAnsi" w:eastAsia="Calibri" w:hAnsiTheme="minorHAnsi" w:cstheme="minorHAnsi"/>
                <w:sz w:val="20"/>
                <w:szCs w:val="22"/>
              </w:rPr>
              <w:t>Racionální úspory při investicích bez vlivu na kvalitu a rozsah (</w:t>
            </w:r>
            <w:r>
              <w:rPr>
                <w:rFonts w:asciiTheme="minorHAnsi" w:eastAsia="Calibri" w:hAnsiTheme="minorHAnsi" w:cstheme="minorHAnsi"/>
                <w:sz w:val="20"/>
                <w:szCs w:val="22"/>
              </w:rPr>
              <w:t>záměr 1 – optimalizace zadávání veřejných zakázek</w:t>
            </w:r>
            <w:r w:rsidRPr="00914B69">
              <w:rPr>
                <w:rFonts w:asciiTheme="minorHAnsi" w:eastAsia="Calibri" w:hAnsiTheme="minorHAnsi" w:cstheme="minorHAnsi"/>
                <w:sz w:val="20"/>
                <w:szCs w:val="22"/>
              </w:rPr>
              <w:t>)</w:t>
            </w:r>
          </w:p>
        </w:tc>
        <w:tc>
          <w:tcPr>
            <w:tcW w:w="133" w:type="pct"/>
            <w:shd w:val="clear" w:color="auto" w:fill="FFFFFF"/>
            <w:noWrap/>
            <w:vAlign w:val="center"/>
          </w:tcPr>
          <w:p w14:paraId="0AC79A0F"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3</w:t>
            </w:r>
          </w:p>
        </w:tc>
        <w:tc>
          <w:tcPr>
            <w:tcW w:w="133" w:type="pct"/>
            <w:shd w:val="clear" w:color="auto" w:fill="FFFFFF"/>
            <w:noWrap/>
            <w:vAlign w:val="center"/>
          </w:tcPr>
          <w:p w14:paraId="266DE66D"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2</w:t>
            </w:r>
          </w:p>
        </w:tc>
        <w:tc>
          <w:tcPr>
            <w:tcW w:w="265" w:type="pct"/>
            <w:shd w:val="clear" w:color="auto" w:fill="FFFFFF"/>
            <w:noWrap/>
            <w:vAlign w:val="center"/>
          </w:tcPr>
          <w:p w14:paraId="612DA72E"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6</w:t>
            </w:r>
          </w:p>
        </w:tc>
        <w:tc>
          <w:tcPr>
            <w:tcW w:w="997" w:type="pct"/>
            <w:shd w:val="clear" w:color="auto" w:fill="FFFFFF"/>
            <w:vAlign w:val="center"/>
          </w:tcPr>
          <w:p w14:paraId="2F7389C5"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místostarosta</w:t>
            </w:r>
          </w:p>
        </w:tc>
        <w:tc>
          <w:tcPr>
            <w:tcW w:w="466" w:type="pct"/>
            <w:shd w:val="clear" w:color="auto" w:fill="FFFFFF"/>
            <w:vAlign w:val="center"/>
          </w:tcPr>
          <w:p w14:paraId="7E792048" w14:textId="77777777" w:rsidR="000729B5" w:rsidRPr="007F78DC" w:rsidRDefault="000729B5" w:rsidP="006E4001">
            <w:pPr>
              <w:spacing w:line="228" w:lineRule="auto"/>
              <w:rPr>
                <w:rFonts w:asciiTheme="minorHAnsi" w:hAnsiTheme="minorHAnsi" w:cstheme="minorHAnsi"/>
                <w:sz w:val="20"/>
                <w:szCs w:val="20"/>
              </w:rPr>
            </w:pPr>
            <w:r w:rsidRPr="00C23149">
              <w:rPr>
                <w:rFonts w:asciiTheme="minorHAnsi" w:eastAsia="Calibri" w:hAnsiTheme="minorHAnsi" w:cstheme="minorHAnsi"/>
                <w:b/>
                <w:sz w:val="20"/>
                <w:szCs w:val="20"/>
              </w:rPr>
              <w:t>využij</w:t>
            </w:r>
          </w:p>
        </w:tc>
      </w:tr>
      <w:tr w:rsidR="000729B5" w:rsidRPr="007F78DC" w14:paraId="5BF6B7F4" w14:textId="77777777" w:rsidTr="006E4001">
        <w:trPr>
          <w:trHeight w:val="70"/>
        </w:trPr>
        <w:tc>
          <w:tcPr>
            <w:tcW w:w="232" w:type="pct"/>
            <w:shd w:val="clear" w:color="auto" w:fill="E7E6E6"/>
            <w:noWrap/>
            <w:vAlign w:val="center"/>
          </w:tcPr>
          <w:p w14:paraId="134A2A9F"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1.6</w:t>
            </w:r>
          </w:p>
        </w:tc>
        <w:tc>
          <w:tcPr>
            <w:tcW w:w="2774" w:type="pct"/>
            <w:shd w:val="clear" w:color="auto" w:fill="FFFFFF"/>
            <w:vAlign w:val="center"/>
          </w:tcPr>
          <w:p w14:paraId="1F51D65A" w14:textId="77777777" w:rsidR="000729B5" w:rsidRPr="00914B69" w:rsidRDefault="000729B5" w:rsidP="006E4001">
            <w:pPr>
              <w:spacing w:line="228" w:lineRule="auto"/>
              <w:ind w:left="-57" w:right="-57"/>
              <w:rPr>
                <w:rFonts w:asciiTheme="minorHAnsi" w:hAnsiTheme="minorHAnsi" w:cstheme="minorHAnsi"/>
                <w:sz w:val="20"/>
                <w:szCs w:val="20"/>
              </w:rPr>
            </w:pPr>
            <w:r w:rsidRPr="00914B69">
              <w:rPr>
                <w:rFonts w:asciiTheme="minorHAnsi" w:eastAsia="Calibri" w:hAnsiTheme="minorHAnsi" w:cstheme="minorHAnsi"/>
                <w:sz w:val="20"/>
                <w:szCs w:val="22"/>
              </w:rPr>
              <w:t>Dohledání či lepší využití stávajícího majetku</w:t>
            </w:r>
          </w:p>
        </w:tc>
        <w:tc>
          <w:tcPr>
            <w:tcW w:w="133" w:type="pct"/>
            <w:shd w:val="clear" w:color="auto" w:fill="FFFFFF"/>
            <w:noWrap/>
            <w:vAlign w:val="center"/>
          </w:tcPr>
          <w:p w14:paraId="21990434"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3</w:t>
            </w:r>
          </w:p>
        </w:tc>
        <w:tc>
          <w:tcPr>
            <w:tcW w:w="133" w:type="pct"/>
            <w:shd w:val="clear" w:color="auto" w:fill="FFFFFF"/>
            <w:noWrap/>
            <w:vAlign w:val="center"/>
          </w:tcPr>
          <w:p w14:paraId="0642F9A3"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2</w:t>
            </w:r>
          </w:p>
        </w:tc>
        <w:tc>
          <w:tcPr>
            <w:tcW w:w="265" w:type="pct"/>
            <w:shd w:val="clear" w:color="auto" w:fill="FFFFFF"/>
            <w:noWrap/>
            <w:vAlign w:val="center"/>
          </w:tcPr>
          <w:p w14:paraId="526FA546"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sidRPr="007F78DC">
              <w:rPr>
                <w:rFonts w:asciiTheme="minorHAnsi" w:hAnsiTheme="minorHAnsi" w:cstheme="minorHAnsi"/>
                <w:b/>
                <w:sz w:val="20"/>
                <w:szCs w:val="20"/>
              </w:rPr>
              <w:t>6</w:t>
            </w:r>
          </w:p>
        </w:tc>
        <w:tc>
          <w:tcPr>
            <w:tcW w:w="997" w:type="pct"/>
            <w:shd w:val="clear" w:color="auto" w:fill="FFFFFF"/>
            <w:vAlign w:val="center"/>
          </w:tcPr>
          <w:p w14:paraId="20245E13" w14:textId="77777777" w:rsidR="000729B5"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 xml:space="preserve">vedoucí </w:t>
            </w:r>
          </w:p>
          <w:p w14:paraId="2E39CB1B"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finančního odboru</w:t>
            </w:r>
          </w:p>
        </w:tc>
        <w:tc>
          <w:tcPr>
            <w:tcW w:w="466" w:type="pct"/>
            <w:shd w:val="clear" w:color="auto" w:fill="FFFFFF"/>
            <w:vAlign w:val="center"/>
          </w:tcPr>
          <w:p w14:paraId="7A319A3B" w14:textId="77777777" w:rsidR="000729B5" w:rsidRPr="007F78DC" w:rsidRDefault="000729B5" w:rsidP="006E4001">
            <w:pPr>
              <w:spacing w:line="228" w:lineRule="auto"/>
              <w:jc w:val="center"/>
              <w:rPr>
                <w:rFonts w:asciiTheme="minorHAnsi" w:hAnsiTheme="minorHAnsi" w:cstheme="minorHAnsi"/>
                <w:sz w:val="20"/>
                <w:szCs w:val="20"/>
              </w:rPr>
            </w:pPr>
            <w:r>
              <w:rPr>
                <w:rFonts w:asciiTheme="minorHAnsi" w:eastAsia="Calibri" w:hAnsiTheme="minorHAnsi" w:cstheme="minorHAnsi"/>
                <w:sz w:val="20"/>
                <w:szCs w:val="20"/>
              </w:rPr>
              <w:t>sleduj</w:t>
            </w:r>
          </w:p>
        </w:tc>
      </w:tr>
      <w:tr w:rsidR="000729B5" w:rsidRPr="007F78DC" w14:paraId="2A7DB051" w14:textId="77777777" w:rsidTr="006E4001">
        <w:trPr>
          <w:trHeight w:val="70"/>
        </w:trPr>
        <w:tc>
          <w:tcPr>
            <w:tcW w:w="232" w:type="pct"/>
            <w:shd w:val="clear" w:color="auto" w:fill="E7E6E6"/>
            <w:noWrap/>
            <w:vAlign w:val="center"/>
          </w:tcPr>
          <w:p w14:paraId="22FBE27C"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1.7</w:t>
            </w:r>
          </w:p>
        </w:tc>
        <w:tc>
          <w:tcPr>
            <w:tcW w:w="2774" w:type="pct"/>
            <w:shd w:val="clear" w:color="auto" w:fill="FFFFFF"/>
            <w:vAlign w:val="center"/>
          </w:tcPr>
          <w:p w14:paraId="342C7688" w14:textId="77777777" w:rsidR="000729B5" w:rsidRPr="00914B69" w:rsidRDefault="000729B5" w:rsidP="006E4001">
            <w:pPr>
              <w:spacing w:line="228" w:lineRule="auto"/>
              <w:ind w:left="-57" w:right="-57"/>
              <w:rPr>
                <w:rFonts w:asciiTheme="minorHAnsi" w:hAnsiTheme="minorHAnsi" w:cstheme="minorHAnsi"/>
                <w:sz w:val="20"/>
                <w:szCs w:val="20"/>
              </w:rPr>
            </w:pPr>
            <w:r>
              <w:rPr>
                <w:rFonts w:asciiTheme="minorHAnsi" w:hAnsiTheme="minorHAnsi" w:cstheme="minorHAnsi"/>
                <w:sz w:val="20"/>
                <w:szCs w:val="20"/>
              </w:rPr>
              <w:t>Změny systému hospodaření v městských lesích</w:t>
            </w:r>
          </w:p>
        </w:tc>
        <w:tc>
          <w:tcPr>
            <w:tcW w:w="133" w:type="pct"/>
            <w:shd w:val="clear" w:color="auto" w:fill="FFFFFF"/>
            <w:noWrap/>
            <w:vAlign w:val="center"/>
          </w:tcPr>
          <w:p w14:paraId="28CBFDD3"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3</w:t>
            </w:r>
          </w:p>
        </w:tc>
        <w:tc>
          <w:tcPr>
            <w:tcW w:w="133" w:type="pct"/>
            <w:shd w:val="clear" w:color="auto" w:fill="FFFFFF"/>
            <w:noWrap/>
            <w:vAlign w:val="center"/>
          </w:tcPr>
          <w:p w14:paraId="34D546E5"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2</w:t>
            </w:r>
          </w:p>
        </w:tc>
        <w:tc>
          <w:tcPr>
            <w:tcW w:w="265" w:type="pct"/>
            <w:shd w:val="clear" w:color="auto" w:fill="FFFFFF"/>
            <w:noWrap/>
            <w:vAlign w:val="center"/>
          </w:tcPr>
          <w:p w14:paraId="750D7E5A"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6</w:t>
            </w:r>
          </w:p>
        </w:tc>
        <w:tc>
          <w:tcPr>
            <w:tcW w:w="997" w:type="pct"/>
            <w:shd w:val="clear" w:color="auto" w:fill="FFFFFF"/>
            <w:vAlign w:val="center"/>
          </w:tcPr>
          <w:p w14:paraId="21B5479F"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ředitel lesů</w:t>
            </w:r>
          </w:p>
        </w:tc>
        <w:tc>
          <w:tcPr>
            <w:tcW w:w="466" w:type="pct"/>
            <w:shd w:val="clear" w:color="auto" w:fill="FFFFFF"/>
            <w:vAlign w:val="center"/>
          </w:tcPr>
          <w:p w14:paraId="42895B3B" w14:textId="77777777" w:rsidR="000729B5" w:rsidRPr="00EE21A2" w:rsidRDefault="000729B5" w:rsidP="006E4001">
            <w:pPr>
              <w:spacing w:line="228" w:lineRule="auto"/>
              <w:jc w:val="right"/>
              <w:rPr>
                <w:rFonts w:asciiTheme="minorHAnsi" w:hAnsiTheme="minorHAnsi" w:cstheme="minorHAnsi"/>
                <w:sz w:val="20"/>
                <w:szCs w:val="20"/>
              </w:rPr>
            </w:pPr>
            <w:r w:rsidRPr="00EE21A2">
              <w:rPr>
                <w:rFonts w:asciiTheme="minorHAnsi" w:eastAsia="Calibri" w:hAnsiTheme="minorHAnsi" w:cstheme="minorHAnsi"/>
                <w:sz w:val="20"/>
                <w:szCs w:val="20"/>
              </w:rPr>
              <w:t>přenes</w:t>
            </w:r>
          </w:p>
        </w:tc>
      </w:tr>
      <w:tr w:rsidR="000729B5" w:rsidRPr="007F78DC" w14:paraId="54FF2DEA" w14:textId="77777777" w:rsidTr="006E4001">
        <w:trPr>
          <w:trHeight w:val="70"/>
        </w:trPr>
        <w:tc>
          <w:tcPr>
            <w:tcW w:w="232" w:type="pct"/>
            <w:shd w:val="clear" w:color="auto" w:fill="E7E6E6"/>
            <w:noWrap/>
            <w:vAlign w:val="center"/>
          </w:tcPr>
          <w:p w14:paraId="32E1CAA6"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1.8</w:t>
            </w:r>
          </w:p>
        </w:tc>
        <w:tc>
          <w:tcPr>
            <w:tcW w:w="2774" w:type="pct"/>
            <w:shd w:val="clear" w:color="auto" w:fill="FFFFFF"/>
            <w:vAlign w:val="center"/>
          </w:tcPr>
          <w:p w14:paraId="1B281720" w14:textId="77777777" w:rsidR="000729B5" w:rsidRPr="00914B69" w:rsidRDefault="000729B5" w:rsidP="006E4001">
            <w:pPr>
              <w:spacing w:line="228" w:lineRule="auto"/>
              <w:ind w:left="-57" w:right="-57"/>
              <w:rPr>
                <w:rFonts w:asciiTheme="minorHAnsi" w:hAnsiTheme="minorHAnsi" w:cstheme="minorHAnsi"/>
                <w:sz w:val="20"/>
                <w:szCs w:val="20"/>
              </w:rPr>
            </w:pPr>
            <w:r>
              <w:rPr>
                <w:rFonts w:asciiTheme="minorHAnsi" w:hAnsiTheme="minorHAnsi" w:cstheme="minorHAnsi"/>
                <w:sz w:val="20"/>
                <w:szCs w:val="20"/>
              </w:rPr>
              <w:t>Zvýšení příjmů z daní z nemovitosti změnou koeficientu</w:t>
            </w:r>
          </w:p>
        </w:tc>
        <w:tc>
          <w:tcPr>
            <w:tcW w:w="133" w:type="pct"/>
            <w:shd w:val="clear" w:color="auto" w:fill="FFFFFF"/>
            <w:noWrap/>
            <w:vAlign w:val="center"/>
          </w:tcPr>
          <w:p w14:paraId="6C0BF1C7"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5</w:t>
            </w:r>
          </w:p>
        </w:tc>
        <w:tc>
          <w:tcPr>
            <w:tcW w:w="133" w:type="pct"/>
            <w:shd w:val="clear" w:color="auto" w:fill="FFFFFF"/>
            <w:noWrap/>
            <w:vAlign w:val="center"/>
          </w:tcPr>
          <w:p w14:paraId="21474041"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1</w:t>
            </w:r>
          </w:p>
        </w:tc>
        <w:tc>
          <w:tcPr>
            <w:tcW w:w="265" w:type="pct"/>
            <w:shd w:val="clear" w:color="auto" w:fill="FFFFFF"/>
            <w:noWrap/>
            <w:vAlign w:val="center"/>
          </w:tcPr>
          <w:p w14:paraId="4578B2E3"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5</w:t>
            </w:r>
          </w:p>
        </w:tc>
        <w:tc>
          <w:tcPr>
            <w:tcW w:w="997" w:type="pct"/>
            <w:shd w:val="clear" w:color="auto" w:fill="FFFFFF"/>
            <w:vAlign w:val="center"/>
          </w:tcPr>
          <w:p w14:paraId="42738DEC" w14:textId="77777777" w:rsidR="000729B5" w:rsidRPr="007F78DC" w:rsidRDefault="000729B5" w:rsidP="006E4001">
            <w:pPr>
              <w:spacing w:line="228" w:lineRule="auto"/>
              <w:ind w:left="-113" w:right="-113"/>
              <w:jc w:val="center"/>
              <w:rPr>
                <w:rFonts w:asciiTheme="minorHAnsi" w:hAnsiTheme="minorHAnsi" w:cstheme="minorHAnsi"/>
                <w:sz w:val="20"/>
                <w:szCs w:val="20"/>
              </w:rPr>
            </w:pPr>
            <w:r w:rsidRPr="00A4466D">
              <w:rPr>
                <w:rFonts w:asciiTheme="minorHAnsi" w:hAnsiTheme="minorHAnsi" w:cstheme="minorHAnsi"/>
                <w:sz w:val="20"/>
                <w:szCs w:val="20"/>
              </w:rPr>
              <w:t>starosta</w:t>
            </w:r>
          </w:p>
        </w:tc>
        <w:tc>
          <w:tcPr>
            <w:tcW w:w="466" w:type="pct"/>
            <w:shd w:val="clear" w:color="auto" w:fill="FFFFFF"/>
            <w:vAlign w:val="center"/>
          </w:tcPr>
          <w:p w14:paraId="6618804E"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eastAsia="Calibri" w:hAnsiTheme="minorHAnsi" w:cstheme="minorHAnsi"/>
                <w:sz w:val="20"/>
                <w:szCs w:val="20"/>
              </w:rPr>
              <w:t>ukonči sledování</w:t>
            </w:r>
          </w:p>
        </w:tc>
      </w:tr>
      <w:tr w:rsidR="000729B5" w:rsidRPr="007F78DC" w14:paraId="74C35049" w14:textId="77777777" w:rsidTr="006E4001">
        <w:trPr>
          <w:trHeight w:val="70"/>
        </w:trPr>
        <w:tc>
          <w:tcPr>
            <w:tcW w:w="232" w:type="pct"/>
            <w:shd w:val="clear" w:color="auto" w:fill="E7E6E6"/>
            <w:noWrap/>
            <w:vAlign w:val="center"/>
          </w:tcPr>
          <w:p w14:paraId="5C915454"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1.9</w:t>
            </w:r>
          </w:p>
        </w:tc>
        <w:tc>
          <w:tcPr>
            <w:tcW w:w="2774" w:type="pct"/>
            <w:shd w:val="clear" w:color="auto" w:fill="FFFFFF"/>
            <w:vAlign w:val="center"/>
          </w:tcPr>
          <w:p w14:paraId="4E5D110D" w14:textId="77777777" w:rsidR="000729B5" w:rsidRPr="00914B69" w:rsidRDefault="000729B5" w:rsidP="006E4001">
            <w:pPr>
              <w:spacing w:line="228" w:lineRule="auto"/>
              <w:ind w:left="-57" w:right="-57"/>
              <w:rPr>
                <w:rFonts w:asciiTheme="minorHAnsi" w:hAnsiTheme="minorHAnsi" w:cstheme="minorHAnsi"/>
                <w:sz w:val="20"/>
                <w:szCs w:val="20"/>
              </w:rPr>
            </w:pPr>
            <w:r w:rsidRPr="00914B69">
              <w:rPr>
                <w:rFonts w:asciiTheme="minorHAnsi" w:eastAsia="Calibri" w:hAnsiTheme="minorHAnsi" w:cstheme="minorHAnsi"/>
                <w:sz w:val="20"/>
                <w:szCs w:val="22"/>
              </w:rPr>
              <w:t>Racionální úspory nákladů na provoz bez vlivu na kvalitu a rozsah</w:t>
            </w:r>
            <w:r>
              <w:rPr>
                <w:rFonts w:asciiTheme="minorHAnsi" w:eastAsia="Calibri" w:hAnsiTheme="minorHAnsi" w:cstheme="minorHAnsi"/>
                <w:sz w:val="20"/>
                <w:szCs w:val="22"/>
              </w:rPr>
              <w:t xml:space="preserve"> (záměr 2 – personální audit)</w:t>
            </w:r>
          </w:p>
        </w:tc>
        <w:tc>
          <w:tcPr>
            <w:tcW w:w="133" w:type="pct"/>
            <w:shd w:val="clear" w:color="auto" w:fill="FFFFFF"/>
            <w:noWrap/>
            <w:vAlign w:val="center"/>
          </w:tcPr>
          <w:p w14:paraId="63640732"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2</w:t>
            </w:r>
          </w:p>
        </w:tc>
        <w:tc>
          <w:tcPr>
            <w:tcW w:w="133" w:type="pct"/>
            <w:shd w:val="clear" w:color="auto" w:fill="FFFFFF"/>
            <w:noWrap/>
            <w:vAlign w:val="center"/>
          </w:tcPr>
          <w:p w14:paraId="0F750373"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2</w:t>
            </w:r>
          </w:p>
        </w:tc>
        <w:tc>
          <w:tcPr>
            <w:tcW w:w="265" w:type="pct"/>
            <w:shd w:val="clear" w:color="auto" w:fill="FFFFFF"/>
            <w:noWrap/>
            <w:vAlign w:val="center"/>
          </w:tcPr>
          <w:p w14:paraId="1712170A"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4</w:t>
            </w:r>
          </w:p>
        </w:tc>
        <w:tc>
          <w:tcPr>
            <w:tcW w:w="997" w:type="pct"/>
            <w:shd w:val="clear" w:color="auto" w:fill="FFFFFF"/>
            <w:vAlign w:val="center"/>
          </w:tcPr>
          <w:p w14:paraId="2C0AA051"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tajemník</w:t>
            </w:r>
          </w:p>
        </w:tc>
        <w:tc>
          <w:tcPr>
            <w:tcW w:w="466" w:type="pct"/>
            <w:shd w:val="clear" w:color="auto" w:fill="FFFFFF"/>
            <w:vAlign w:val="center"/>
          </w:tcPr>
          <w:p w14:paraId="2EB51A6B" w14:textId="77777777" w:rsidR="000729B5" w:rsidRPr="007F78DC" w:rsidRDefault="000729B5" w:rsidP="006E4001">
            <w:pPr>
              <w:spacing w:line="228" w:lineRule="auto"/>
              <w:jc w:val="center"/>
              <w:rPr>
                <w:rFonts w:asciiTheme="minorHAnsi" w:hAnsiTheme="minorHAnsi" w:cstheme="minorHAnsi"/>
                <w:sz w:val="20"/>
                <w:szCs w:val="20"/>
              </w:rPr>
            </w:pPr>
            <w:r>
              <w:rPr>
                <w:rFonts w:asciiTheme="minorHAnsi" w:eastAsia="Calibri" w:hAnsiTheme="minorHAnsi" w:cstheme="minorHAnsi"/>
                <w:sz w:val="20"/>
                <w:szCs w:val="20"/>
              </w:rPr>
              <w:t>sleduj</w:t>
            </w:r>
          </w:p>
        </w:tc>
      </w:tr>
      <w:tr w:rsidR="000729B5" w:rsidRPr="007F78DC" w14:paraId="074E651F" w14:textId="77777777" w:rsidTr="006E4001">
        <w:trPr>
          <w:trHeight w:val="70"/>
        </w:trPr>
        <w:tc>
          <w:tcPr>
            <w:tcW w:w="232" w:type="pct"/>
            <w:shd w:val="clear" w:color="auto" w:fill="E7E6E6"/>
            <w:noWrap/>
            <w:vAlign w:val="center"/>
          </w:tcPr>
          <w:p w14:paraId="03EC036C"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sidRPr="007F78DC">
              <w:rPr>
                <w:rFonts w:asciiTheme="minorHAnsi" w:eastAsia="Calibri" w:hAnsiTheme="minorHAnsi" w:cstheme="minorHAnsi"/>
                <w:sz w:val="20"/>
                <w:szCs w:val="20"/>
              </w:rPr>
              <w:t>1.10</w:t>
            </w:r>
          </w:p>
        </w:tc>
        <w:tc>
          <w:tcPr>
            <w:tcW w:w="2774" w:type="pct"/>
            <w:shd w:val="clear" w:color="auto" w:fill="FFFFFF"/>
            <w:vAlign w:val="center"/>
          </w:tcPr>
          <w:p w14:paraId="104C064D" w14:textId="77777777" w:rsidR="000729B5" w:rsidRPr="00914B69" w:rsidRDefault="000729B5" w:rsidP="006E4001">
            <w:pPr>
              <w:spacing w:line="228" w:lineRule="auto"/>
              <w:ind w:left="-57" w:right="-57"/>
              <w:rPr>
                <w:rFonts w:asciiTheme="minorHAnsi" w:hAnsiTheme="minorHAnsi" w:cstheme="minorHAnsi"/>
                <w:sz w:val="20"/>
                <w:szCs w:val="20"/>
              </w:rPr>
            </w:pPr>
            <w:r w:rsidRPr="00914B69">
              <w:rPr>
                <w:rFonts w:asciiTheme="minorHAnsi" w:eastAsia="Calibri" w:hAnsiTheme="minorHAnsi" w:cstheme="minorHAnsi"/>
                <w:sz w:val="20"/>
                <w:szCs w:val="22"/>
              </w:rPr>
              <w:t>Racionální úspory nákladů na provoz bez vlivu na kvalitu a rozsah</w:t>
            </w:r>
            <w:r>
              <w:rPr>
                <w:rFonts w:asciiTheme="minorHAnsi" w:eastAsia="Calibri" w:hAnsiTheme="minorHAnsi" w:cstheme="minorHAnsi"/>
                <w:sz w:val="20"/>
                <w:szCs w:val="22"/>
              </w:rPr>
              <w:t xml:space="preserve"> (záměr 3 – omezení služebních cest přechodem na on-line)</w:t>
            </w:r>
          </w:p>
        </w:tc>
        <w:tc>
          <w:tcPr>
            <w:tcW w:w="133" w:type="pct"/>
            <w:shd w:val="clear" w:color="auto" w:fill="FFFFFF"/>
            <w:noWrap/>
            <w:vAlign w:val="center"/>
          </w:tcPr>
          <w:p w14:paraId="4F9A7710"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4</w:t>
            </w:r>
          </w:p>
        </w:tc>
        <w:tc>
          <w:tcPr>
            <w:tcW w:w="133" w:type="pct"/>
            <w:shd w:val="clear" w:color="auto" w:fill="FFFFFF"/>
            <w:noWrap/>
            <w:vAlign w:val="center"/>
          </w:tcPr>
          <w:p w14:paraId="73D67867"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1</w:t>
            </w:r>
          </w:p>
        </w:tc>
        <w:tc>
          <w:tcPr>
            <w:tcW w:w="265" w:type="pct"/>
            <w:shd w:val="clear" w:color="auto" w:fill="FFFFFF"/>
            <w:noWrap/>
            <w:vAlign w:val="center"/>
          </w:tcPr>
          <w:p w14:paraId="05D5EE39"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4</w:t>
            </w:r>
          </w:p>
        </w:tc>
        <w:tc>
          <w:tcPr>
            <w:tcW w:w="997" w:type="pct"/>
            <w:shd w:val="clear" w:color="auto" w:fill="FFFFFF"/>
            <w:vAlign w:val="center"/>
          </w:tcPr>
          <w:p w14:paraId="7B20BC46"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tajemník</w:t>
            </w:r>
          </w:p>
        </w:tc>
        <w:tc>
          <w:tcPr>
            <w:tcW w:w="466" w:type="pct"/>
            <w:shd w:val="clear" w:color="auto" w:fill="FFFFFF"/>
            <w:vAlign w:val="center"/>
          </w:tcPr>
          <w:p w14:paraId="31E3B2C8" w14:textId="77777777" w:rsidR="000729B5" w:rsidRPr="007F78DC" w:rsidRDefault="000729B5" w:rsidP="006E4001">
            <w:pPr>
              <w:spacing w:line="228" w:lineRule="auto"/>
              <w:jc w:val="center"/>
              <w:rPr>
                <w:rFonts w:asciiTheme="minorHAnsi" w:hAnsiTheme="minorHAnsi" w:cstheme="minorHAnsi"/>
                <w:sz w:val="20"/>
                <w:szCs w:val="20"/>
              </w:rPr>
            </w:pPr>
            <w:r>
              <w:rPr>
                <w:rFonts w:asciiTheme="minorHAnsi" w:eastAsia="Calibri" w:hAnsiTheme="minorHAnsi" w:cstheme="minorHAnsi"/>
                <w:sz w:val="20"/>
                <w:szCs w:val="20"/>
              </w:rPr>
              <w:t>sleduj</w:t>
            </w:r>
          </w:p>
        </w:tc>
      </w:tr>
      <w:tr w:rsidR="000729B5" w:rsidRPr="007F78DC" w14:paraId="37612760" w14:textId="77777777" w:rsidTr="006E4001">
        <w:trPr>
          <w:trHeight w:val="70"/>
        </w:trPr>
        <w:tc>
          <w:tcPr>
            <w:tcW w:w="232" w:type="pct"/>
            <w:shd w:val="clear" w:color="auto" w:fill="E7E6E6"/>
            <w:noWrap/>
            <w:vAlign w:val="center"/>
          </w:tcPr>
          <w:p w14:paraId="658A0E28" w14:textId="77777777" w:rsidR="000729B5" w:rsidRPr="007F78DC" w:rsidRDefault="000729B5" w:rsidP="006E4001">
            <w:pPr>
              <w:pStyle w:val="Odstavecseseznamem"/>
              <w:spacing w:line="228" w:lineRule="auto"/>
              <w:ind w:left="-57" w:right="-57"/>
              <w:jc w:val="center"/>
              <w:rPr>
                <w:rFonts w:asciiTheme="minorHAnsi" w:eastAsia="Calibri" w:hAnsiTheme="minorHAnsi" w:cstheme="minorHAnsi"/>
                <w:sz w:val="20"/>
                <w:szCs w:val="20"/>
              </w:rPr>
            </w:pPr>
            <w:r w:rsidRPr="007F78DC">
              <w:rPr>
                <w:rFonts w:asciiTheme="minorHAnsi" w:eastAsia="Calibri" w:hAnsiTheme="minorHAnsi" w:cstheme="minorHAnsi"/>
                <w:sz w:val="20"/>
                <w:szCs w:val="20"/>
              </w:rPr>
              <w:t>1.11</w:t>
            </w:r>
          </w:p>
        </w:tc>
        <w:tc>
          <w:tcPr>
            <w:tcW w:w="2774" w:type="pct"/>
            <w:shd w:val="clear" w:color="auto" w:fill="FFFFFF"/>
            <w:vAlign w:val="center"/>
          </w:tcPr>
          <w:p w14:paraId="7C4E01B3" w14:textId="77777777" w:rsidR="000729B5" w:rsidRDefault="000729B5" w:rsidP="006E4001">
            <w:pPr>
              <w:spacing w:line="228" w:lineRule="auto"/>
              <w:ind w:left="-57" w:right="-57"/>
              <w:rPr>
                <w:rFonts w:asciiTheme="minorHAnsi" w:hAnsiTheme="minorHAnsi" w:cstheme="minorHAnsi"/>
                <w:sz w:val="20"/>
                <w:szCs w:val="20"/>
              </w:rPr>
            </w:pPr>
            <w:r>
              <w:rPr>
                <w:rFonts w:asciiTheme="minorHAnsi" w:hAnsiTheme="minorHAnsi" w:cstheme="minorHAnsi"/>
                <w:sz w:val="20"/>
                <w:szCs w:val="20"/>
              </w:rPr>
              <w:t>Zvýšení příjmů z pronájmu nemovitostí města</w:t>
            </w:r>
          </w:p>
        </w:tc>
        <w:tc>
          <w:tcPr>
            <w:tcW w:w="133" w:type="pct"/>
            <w:shd w:val="clear" w:color="auto" w:fill="FFFFFF"/>
            <w:noWrap/>
            <w:vAlign w:val="center"/>
          </w:tcPr>
          <w:p w14:paraId="57A422D1"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4</w:t>
            </w:r>
          </w:p>
        </w:tc>
        <w:tc>
          <w:tcPr>
            <w:tcW w:w="133" w:type="pct"/>
            <w:shd w:val="clear" w:color="auto" w:fill="FFFFFF"/>
            <w:noWrap/>
            <w:vAlign w:val="center"/>
          </w:tcPr>
          <w:p w14:paraId="4ED89041" w14:textId="77777777" w:rsidR="000729B5" w:rsidRPr="007F78DC" w:rsidRDefault="000729B5" w:rsidP="006E4001">
            <w:pPr>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1</w:t>
            </w:r>
          </w:p>
        </w:tc>
        <w:tc>
          <w:tcPr>
            <w:tcW w:w="265" w:type="pct"/>
            <w:shd w:val="clear" w:color="auto" w:fill="FFFFFF"/>
            <w:noWrap/>
            <w:vAlign w:val="center"/>
          </w:tcPr>
          <w:p w14:paraId="6522EFC4"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Pr>
                <w:rFonts w:asciiTheme="minorHAnsi" w:hAnsiTheme="minorHAnsi" w:cstheme="minorHAnsi"/>
                <w:b/>
                <w:sz w:val="20"/>
                <w:szCs w:val="20"/>
              </w:rPr>
              <w:t>4</w:t>
            </w:r>
          </w:p>
        </w:tc>
        <w:tc>
          <w:tcPr>
            <w:tcW w:w="997" w:type="pct"/>
            <w:shd w:val="clear" w:color="auto" w:fill="FFFFFF"/>
            <w:vAlign w:val="center"/>
          </w:tcPr>
          <w:p w14:paraId="08553076"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vedoucí správy majetku</w:t>
            </w:r>
          </w:p>
        </w:tc>
        <w:tc>
          <w:tcPr>
            <w:tcW w:w="466" w:type="pct"/>
            <w:shd w:val="clear" w:color="auto" w:fill="FFFFFF"/>
            <w:vAlign w:val="center"/>
          </w:tcPr>
          <w:p w14:paraId="4730D4D1" w14:textId="77777777" w:rsidR="000729B5" w:rsidRDefault="000729B5" w:rsidP="006E4001">
            <w:pPr>
              <w:spacing w:line="228" w:lineRule="auto"/>
              <w:jc w:val="center"/>
              <w:rPr>
                <w:rFonts w:asciiTheme="minorHAnsi" w:eastAsia="Calibri" w:hAnsiTheme="minorHAnsi" w:cstheme="minorHAnsi"/>
                <w:sz w:val="20"/>
                <w:szCs w:val="20"/>
              </w:rPr>
            </w:pPr>
            <w:r>
              <w:rPr>
                <w:rFonts w:asciiTheme="minorHAnsi" w:eastAsia="Calibri" w:hAnsiTheme="minorHAnsi" w:cstheme="minorHAnsi"/>
                <w:sz w:val="20"/>
                <w:szCs w:val="20"/>
              </w:rPr>
              <w:t>sleduj</w:t>
            </w:r>
          </w:p>
        </w:tc>
      </w:tr>
      <w:tr w:rsidR="000729B5" w:rsidRPr="007F78DC" w14:paraId="7442F588" w14:textId="77777777" w:rsidTr="006E4001">
        <w:trPr>
          <w:trHeight w:val="70"/>
        </w:trPr>
        <w:tc>
          <w:tcPr>
            <w:tcW w:w="232" w:type="pct"/>
            <w:shd w:val="clear" w:color="auto" w:fill="E7E6E6"/>
            <w:noWrap/>
            <w:vAlign w:val="center"/>
          </w:tcPr>
          <w:p w14:paraId="2530525D" w14:textId="77777777" w:rsidR="000729B5" w:rsidRPr="007F78DC" w:rsidRDefault="000729B5" w:rsidP="006E4001">
            <w:pPr>
              <w:pStyle w:val="Odstavecseseznamem"/>
              <w:spacing w:line="228" w:lineRule="auto"/>
              <w:ind w:left="-57" w:right="-57"/>
              <w:jc w:val="center"/>
              <w:rPr>
                <w:rFonts w:asciiTheme="minorHAnsi" w:hAnsiTheme="minorHAnsi" w:cstheme="minorHAnsi"/>
                <w:sz w:val="20"/>
                <w:szCs w:val="20"/>
              </w:rPr>
            </w:pPr>
            <w:r>
              <w:rPr>
                <w:rFonts w:asciiTheme="minorHAnsi" w:hAnsiTheme="minorHAnsi" w:cstheme="minorHAnsi"/>
                <w:sz w:val="20"/>
                <w:szCs w:val="20"/>
              </w:rPr>
              <w:t>1.12</w:t>
            </w:r>
          </w:p>
        </w:tc>
        <w:tc>
          <w:tcPr>
            <w:tcW w:w="2774" w:type="pct"/>
            <w:shd w:val="clear" w:color="auto" w:fill="FFFFFF"/>
            <w:vAlign w:val="center"/>
          </w:tcPr>
          <w:p w14:paraId="49D46E03" w14:textId="77777777" w:rsidR="000729B5" w:rsidRPr="00914B69" w:rsidRDefault="000729B5" w:rsidP="006E4001">
            <w:pPr>
              <w:spacing w:line="228" w:lineRule="auto"/>
              <w:ind w:left="-57" w:right="-57"/>
              <w:rPr>
                <w:rFonts w:asciiTheme="minorHAnsi" w:hAnsiTheme="minorHAnsi" w:cstheme="minorHAnsi"/>
                <w:sz w:val="20"/>
                <w:szCs w:val="20"/>
              </w:rPr>
            </w:pPr>
            <w:r>
              <w:rPr>
                <w:rFonts w:asciiTheme="minorHAnsi" w:hAnsiTheme="minorHAnsi" w:cstheme="minorHAnsi"/>
                <w:sz w:val="20"/>
                <w:szCs w:val="20"/>
              </w:rPr>
              <w:t>Optimalizace nakládání s komunálním odpadem</w:t>
            </w:r>
          </w:p>
        </w:tc>
        <w:tc>
          <w:tcPr>
            <w:tcW w:w="133" w:type="pct"/>
            <w:shd w:val="clear" w:color="auto" w:fill="FFFFFF"/>
            <w:noWrap/>
            <w:vAlign w:val="center"/>
          </w:tcPr>
          <w:p w14:paraId="758D33B7"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2</w:t>
            </w:r>
          </w:p>
        </w:tc>
        <w:tc>
          <w:tcPr>
            <w:tcW w:w="133" w:type="pct"/>
            <w:shd w:val="clear" w:color="auto" w:fill="FFFFFF"/>
            <w:noWrap/>
            <w:vAlign w:val="center"/>
          </w:tcPr>
          <w:p w14:paraId="4505F063" w14:textId="77777777" w:rsidR="000729B5" w:rsidRPr="007F78DC" w:rsidRDefault="000729B5" w:rsidP="006E4001">
            <w:pPr>
              <w:spacing w:line="228" w:lineRule="auto"/>
              <w:ind w:left="-57" w:right="-57"/>
              <w:jc w:val="center"/>
              <w:rPr>
                <w:rFonts w:asciiTheme="minorHAnsi" w:hAnsiTheme="minorHAnsi" w:cstheme="minorHAnsi"/>
                <w:sz w:val="20"/>
                <w:szCs w:val="20"/>
              </w:rPr>
            </w:pPr>
            <w:r w:rsidRPr="007F78DC">
              <w:rPr>
                <w:rFonts w:asciiTheme="minorHAnsi" w:hAnsiTheme="minorHAnsi" w:cstheme="minorHAnsi"/>
                <w:sz w:val="20"/>
                <w:szCs w:val="20"/>
              </w:rPr>
              <w:t>2</w:t>
            </w:r>
          </w:p>
        </w:tc>
        <w:tc>
          <w:tcPr>
            <w:tcW w:w="265" w:type="pct"/>
            <w:shd w:val="clear" w:color="auto" w:fill="FFFFFF"/>
            <w:noWrap/>
            <w:vAlign w:val="center"/>
          </w:tcPr>
          <w:p w14:paraId="0FE3D804" w14:textId="77777777" w:rsidR="000729B5" w:rsidRPr="007F78DC" w:rsidRDefault="000729B5" w:rsidP="006E4001">
            <w:pPr>
              <w:spacing w:line="228" w:lineRule="auto"/>
              <w:ind w:left="-57" w:right="-57"/>
              <w:jc w:val="center"/>
              <w:rPr>
                <w:rFonts w:asciiTheme="minorHAnsi" w:hAnsiTheme="minorHAnsi" w:cstheme="minorHAnsi"/>
                <w:b/>
                <w:sz w:val="20"/>
                <w:szCs w:val="20"/>
              </w:rPr>
            </w:pPr>
            <w:r w:rsidRPr="007F78DC">
              <w:rPr>
                <w:rFonts w:asciiTheme="minorHAnsi" w:hAnsiTheme="minorHAnsi" w:cstheme="minorHAnsi"/>
                <w:b/>
                <w:sz w:val="20"/>
                <w:szCs w:val="20"/>
              </w:rPr>
              <w:t>4</w:t>
            </w:r>
          </w:p>
        </w:tc>
        <w:tc>
          <w:tcPr>
            <w:tcW w:w="997" w:type="pct"/>
            <w:shd w:val="clear" w:color="auto" w:fill="FFFFFF"/>
            <w:vAlign w:val="center"/>
          </w:tcPr>
          <w:p w14:paraId="32E2C0F5" w14:textId="77777777" w:rsidR="000729B5" w:rsidRPr="007F78DC" w:rsidRDefault="000729B5" w:rsidP="006E4001">
            <w:pPr>
              <w:spacing w:line="228" w:lineRule="auto"/>
              <w:ind w:left="-113" w:right="-113"/>
              <w:jc w:val="center"/>
              <w:rPr>
                <w:rFonts w:asciiTheme="minorHAnsi" w:hAnsiTheme="minorHAnsi" w:cstheme="minorHAnsi"/>
                <w:sz w:val="20"/>
                <w:szCs w:val="20"/>
              </w:rPr>
            </w:pPr>
            <w:r>
              <w:rPr>
                <w:rFonts w:asciiTheme="minorHAnsi" w:hAnsiTheme="minorHAnsi" w:cstheme="minorHAnsi"/>
                <w:sz w:val="20"/>
                <w:szCs w:val="20"/>
              </w:rPr>
              <w:t>místostarosta</w:t>
            </w:r>
          </w:p>
        </w:tc>
        <w:tc>
          <w:tcPr>
            <w:tcW w:w="466" w:type="pct"/>
            <w:shd w:val="clear" w:color="auto" w:fill="FFFFFF"/>
            <w:vAlign w:val="center"/>
          </w:tcPr>
          <w:p w14:paraId="401156FD" w14:textId="77777777" w:rsidR="000729B5" w:rsidRPr="007F78DC" w:rsidRDefault="000729B5" w:rsidP="006E4001">
            <w:pPr>
              <w:spacing w:line="228" w:lineRule="auto"/>
              <w:jc w:val="center"/>
              <w:rPr>
                <w:rFonts w:asciiTheme="minorHAnsi" w:hAnsiTheme="minorHAnsi" w:cstheme="minorHAnsi"/>
                <w:sz w:val="20"/>
                <w:szCs w:val="20"/>
              </w:rPr>
            </w:pPr>
            <w:r>
              <w:rPr>
                <w:rFonts w:asciiTheme="minorHAnsi" w:eastAsia="Calibri" w:hAnsiTheme="minorHAnsi" w:cstheme="minorHAnsi"/>
                <w:sz w:val="20"/>
                <w:szCs w:val="20"/>
              </w:rPr>
              <w:t>sleduj</w:t>
            </w:r>
          </w:p>
        </w:tc>
      </w:tr>
    </w:tbl>
    <w:p w14:paraId="47D26980" w14:textId="77777777" w:rsidR="000729B5" w:rsidRDefault="000729B5" w:rsidP="000729B5">
      <w:pPr>
        <w:spacing w:after="120"/>
        <w:jc w:val="both"/>
        <w:rPr>
          <w:rFonts w:asciiTheme="minorHAnsi" w:hAnsiTheme="minorHAnsi"/>
          <w:i/>
        </w:rPr>
      </w:pPr>
      <w:r w:rsidRPr="00D85AC5">
        <w:rPr>
          <w:rFonts w:asciiTheme="minorHAnsi" w:hAnsiTheme="minorHAnsi"/>
          <w:i/>
        </w:rPr>
        <w:t xml:space="preserve">Zdroj: </w:t>
      </w:r>
      <w:r>
        <w:rPr>
          <w:rFonts w:asciiTheme="minorHAnsi" w:hAnsiTheme="minorHAnsi"/>
          <w:i/>
        </w:rPr>
        <w:t>Půček, Křápek (2022)</w:t>
      </w:r>
    </w:p>
    <w:p w14:paraId="4C86132B" w14:textId="77777777" w:rsidR="000729B5" w:rsidRPr="005149E0" w:rsidRDefault="000729B5" w:rsidP="000729B5">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4E9A4557" w14:textId="32DE418A" w:rsidR="000729B5" w:rsidRDefault="00C43AEF" w:rsidP="0065698B">
      <w:pPr>
        <w:pStyle w:val="Odstavecseseznamem"/>
        <w:numPr>
          <w:ilvl w:val="0"/>
          <w:numId w:val="22"/>
        </w:numPr>
        <w:jc w:val="both"/>
        <w:rPr>
          <w:rFonts w:asciiTheme="minorHAnsi" w:hAnsiTheme="minorHAnsi" w:cstheme="minorHAnsi"/>
        </w:rPr>
      </w:pPr>
      <w:r>
        <w:rPr>
          <w:rFonts w:asciiTheme="minorHAnsi" w:hAnsiTheme="minorHAnsi" w:cstheme="minorHAnsi"/>
        </w:rPr>
        <w:t>Umět efektivně využívat příležitosti je pro zdravé finanční řízení důležité. Příklad uvádí, jak příležitosti hodnotit pomocí dvou kritérií – realizovatelnost příležitosti a dopad do rozpočtu nebo na cíle.</w:t>
      </w:r>
    </w:p>
    <w:p w14:paraId="0F6309F4" w14:textId="04FA525A" w:rsidR="000729B5" w:rsidRDefault="00C43AEF" w:rsidP="0065698B">
      <w:pPr>
        <w:pStyle w:val="Odstavecseseznamem"/>
        <w:numPr>
          <w:ilvl w:val="0"/>
          <w:numId w:val="22"/>
        </w:numPr>
        <w:jc w:val="both"/>
        <w:rPr>
          <w:rFonts w:asciiTheme="minorHAnsi" w:hAnsiTheme="minorHAnsi" w:cstheme="minorHAnsi"/>
        </w:rPr>
      </w:pPr>
      <w:r>
        <w:rPr>
          <w:rFonts w:asciiTheme="minorHAnsi" w:hAnsiTheme="minorHAnsi" w:cstheme="minorHAnsi"/>
        </w:rPr>
        <w:t>Zatímco u rizik platí to, že snižovat rizika u nakládání s veřejnými prostředky jde o zákonnou povinnost dle zákona o finanční kontrole, tak u příležitostí tomu tak není. Vyzívání příležitostí není v tomto smyslu povinné</w:t>
      </w:r>
      <w:r w:rsidR="000A3250">
        <w:rPr>
          <w:rFonts w:asciiTheme="minorHAnsi" w:hAnsiTheme="minorHAnsi" w:cstheme="minorHAnsi"/>
        </w:rPr>
        <w:t>, ale je to žádoucí z hlediska zdravých veřejných financí.</w:t>
      </w:r>
    </w:p>
    <w:p w14:paraId="1235ED10" w14:textId="0C3586E1" w:rsidR="001D20DE" w:rsidRDefault="001D20DE" w:rsidP="001D20DE">
      <w:pPr>
        <w:jc w:val="both"/>
        <w:rPr>
          <w:rFonts w:asciiTheme="minorHAnsi" w:hAnsiTheme="minorHAnsi" w:cstheme="minorHAnsi"/>
        </w:rPr>
      </w:pPr>
    </w:p>
    <w:p w14:paraId="14355723" w14:textId="3D0EE100" w:rsidR="001D20DE" w:rsidRPr="00E45361" w:rsidRDefault="001D20DE" w:rsidP="001D20DE">
      <w:pPr>
        <w:pStyle w:val="Nadpis2"/>
        <w:spacing w:before="240" w:after="120"/>
        <w:ind w:left="578" w:hanging="578"/>
        <w:rPr>
          <w:rFonts w:asciiTheme="minorHAnsi" w:hAnsiTheme="minorHAnsi" w:cstheme="minorHAnsi"/>
          <w:color w:val="7493B0"/>
          <w:sz w:val="24"/>
          <w:szCs w:val="24"/>
          <w:lang w:val="cs-CZ"/>
        </w:rPr>
      </w:pPr>
      <w:bookmarkStart w:id="101" w:name="_Toc115869745"/>
      <w:bookmarkStart w:id="102" w:name="_Toc117270029"/>
      <w:r w:rsidRPr="00E45361">
        <w:rPr>
          <w:rFonts w:asciiTheme="minorHAnsi" w:hAnsiTheme="minorHAnsi" w:cstheme="minorHAnsi"/>
          <w:color w:val="7493B0"/>
          <w:sz w:val="24"/>
          <w:szCs w:val="24"/>
          <w:lang w:val="cs-CZ"/>
        </w:rPr>
        <w:t xml:space="preserve">Příklad výpočtu nákladů obětované příležitosti </w:t>
      </w:r>
      <w:bookmarkEnd w:id="101"/>
      <w:r w:rsidR="000639BA">
        <w:rPr>
          <w:rFonts w:asciiTheme="minorHAnsi" w:hAnsiTheme="minorHAnsi" w:cstheme="minorHAnsi"/>
          <w:color w:val="7493B0"/>
          <w:sz w:val="24"/>
          <w:szCs w:val="24"/>
          <w:lang w:val="cs-CZ"/>
        </w:rPr>
        <w:t xml:space="preserve">a </w:t>
      </w:r>
      <w:r w:rsidR="00E45361">
        <w:rPr>
          <w:rFonts w:asciiTheme="minorHAnsi" w:hAnsiTheme="minorHAnsi" w:cstheme="minorHAnsi"/>
          <w:color w:val="7493B0"/>
          <w:sz w:val="24"/>
          <w:szCs w:val="24"/>
          <w:lang w:val="cs-CZ"/>
        </w:rPr>
        <w:t>doba návratnosti investice</w:t>
      </w:r>
      <w:bookmarkEnd w:id="102"/>
    </w:p>
    <w:p w14:paraId="4E014D47" w14:textId="77777777" w:rsidR="00E45361" w:rsidRDefault="00E45361" w:rsidP="00E45361">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22FE69AC" w14:textId="2825CCB6" w:rsidR="00E45361" w:rsidRDefault="00E45361" w:rsidP="00E45361">
      <w:pPr>
        <w:spacing w:after="120"/>
        <w:jc w:val="both"/>
        <w:rPr>
          <w:rFonts w:asciiTheme="minorHAnsi" w:hAnsiTheme="minorHAnsi" w:cstheme="minorHAnsi"/>
        </w:rPr>
      </w:pPr>
      <w:r>
        <w:rPr>
          <w:rFonts w:asciiTheme="minorHAnsi" w:hAnsiTheme="minorHAnsi" w:cstheme="minorHAnsi"/>
        </w:rPr>
        <w:t>Případová studie se týká výpočtu nákladů obětované příležitosti pomocí úspor. Je též příkladem pro výpočet prosté doby návratnosti investice.</w:t>
      </w:r>
    </w:p>
    <w:p w14:paraId="1528ACE6" w14:textId="77777777" w:rsidR="00E45361" w:rsidRPr="006B6EA5" w:rsidRDefault="00E45361" w:rsidP="00E45361">
      <w:pPr>
        <w:spacing w:after="120"/>
        <w:jc w:val="both"/>
        <w:rPr>
          <w:rFonts w:asciiTheme="minorHAnsi" w:hAnsiTheme="minorHAnsi" w:cstheme="minorHAnsi"/>
          <w:b/>
        </w:rPr>
      </w:pPr>
      <w:r w:rsidRPr="006B6EA5">
        <w:rPr>
          <w:rFonts w:asciiTheme="minorHAnsi" w:hAnsiTheme="minorHAnsi" w:cstheme="minorHAnsi"/>
          <w:b/>
        </w:rPr>
        <w:t>Popis případové studie:</w:t>
      </w:r>
    </w:p>
    <w:p w14:paraId="5D5C8D6A" w14:textId="2034C8AD" w:rsidR="001D20DE" w:rsidRDefault="00E45361" w:rsidP="001D20DE">
      <w:pPr>
        <w:jc w:val="both"/>
        <w:rPr>
          <w:rFonts w:asciiTheme="minorHAnsi" w:hAnsiTheme="minorHAnsi" w:cstheme="minorHAnsi"/>
        </w:rPr>
      </w:pPr>
      <w:r>
        <w:rPr>
          <w:rFonts w:asciiTheme="minorHAnsi" w:hAnsiTheme="minorHAnsi" w:cstheme="minorHAnsi"/>
        </w:rPr>
        <w:t xml:space="preserve">Problematika nákladů obětované příležitosti byla popsána v samostatném materiálu týkajícího se využívání příležitostí, který je k dispozici na portálu strategické práce. </w:t>
      </w:r>
      <w:r w:rsidR="001D20DE">
        <w:rPr>
          <w:rFonts w:asciiTheme="minorHAnsi" w:hAnsiTheme="minorHAnsi" w:cstheme="minorHAnsi"/>
        </w:rPr>
        <w:t xml:space="preserve">V tomto příkladu se náklady obětované příležitosti </w:t>
      </w:r>
      <w:r>
        <w:rPr>
          <w:rFonts w:asciiTheme="minorHAnsi" w:hAnsiTheme="minorHAnsi" w:cstheme="minorHAnsi"/>
        </w:rPr>
        <w:t>počítají</w:t>
      </w:r>
      <w:r w:rsidR="001D20DE">
        <w:rPr>
          <w:rFonts w:asciiTheme="minorHAnsi" w:hAnsiTheme="minorHAnsi" w:cstheme="minorHAnsi"/>
        </w:rPr>
        <w:t xml:space="preserve"> z provozních úspor</w:t>
      </w:r>
      <w:r>
        <w:rPr>
          <w:rFonts w:asciiTheme="minorHAnsi" w:hAnsiTheme="minorHAnsi" w:cstheme="minorHAnsi"/>
        </w:rPr>
        <w:t xml:space="preserve"> (dosaženým pomocí investice do zateplení)</w:t>
      </w:r>
      <w:r w:rsidR="001D20DE">
        <w:rPr>
          <w:rFonts w:asciiTheme="minorHAnsi" w:hAnsiTheme="minorHAnsi" w:cstheme="minorHAnsi"/>
        </w:rPr>
        <w:t xml:space="preserve">. Pokud racionální úsporu nerealizujeme, pak se výše racionální úspory rovná </w:t>
      </w:r>
      <w:r w:rsidR="001D20DE" w:rsidRPr="00B651C0">
        <w:rPr>
          <w:rFonts w:asciiTheme="minorHAnsi" w:hAnsiTheme="minorHAnsi" w:cstheme="minorHAnsi"/>
        </w:rPr>
        <w:t>nákladům obětované příležitosti</w:t>
      </w:r>
      <w:r w:rsidR="001D20DE">
        <w:rPr>
          <w:rFonts w:asciiTheme="minorHAnsi" w:hAnsiTheme="minorHAnsi" w:cstheme="minorHAnsi"/>
        </w:rPr>
        <w:t xml:space="preserve">. </w:t>
      </w:r>
      <w:r w:rsidR="00F015A7">
        <w:rPr>
          <w:rFonts w:asciiTheme="minorHAnsi" w:hAnsiTheme="minorHAnsi" w:cstheme="minorHAnsi"/>
        </w:rPr>
        <w:t>Jak bylo uvedeno v kapitole 7.4, r</w:t>
      </w:r>
      <w:r w:rsidR="001D20DE">
        <w:rPr>
          <w:rFonts w:asciiTheme="minorHAnsi" w:hAnsiTheme="minorHAnsi" w:cstheme="minorHAnsi"/>
        </w:rPr>
        <w:t>acionální úsporu (</w:t>
      </w:r>
      <w:r w:rsidR="001D20DE" w:rsidRPr="00CB0C5D">
        <w:rPr>
          <w:rFonts w:asciiTheme="minorHAnsi" w:hAnsiTheme="minorHAnsi" w:cstheme="minorHAnsi"/>
        </w:rPr>
        <w:t>U</w:t>
      </w:r>
      <w:r w:rsidR="001D20DE" w:rsidRPr="00CB0C5D">
        <w:rPr>
          <w:rFonts w:asciiTheme="minorHAnsi" w:hAnsiTheme="minorHAnsi" w:cstheme="minorHAnsi"/>
          <w:vertAlign w:val="subscript"/>
        </w:rPr>
        <w:t>r</w:t>
      </w:r>
      <w:r w:rsidR="001D20DE">
        <w:rPr>
          <w:rFonts w:asciiTheme="minorHAnsi" w:hAnsiTheme="minorHAnsi" w:cstheme="minorHAnsi"/>
        </w:rPr>
        <w:t>) lze vypočítat, když od původně plánovaných nákladů (N</w:t>
      </w:r>
      <w:r w:rsidR="001D20DE">
        <w:rPr>
          <w:rFonts w:asciiTheme="minorHAnsi" w:hAnsiTheme="minorHAnsi" w:cstheme="minorHAnsi"/>
          <w:vertAlign w:val="subscript"/>
        </w:rPr>
        <w:t>P</w:t>
      </w:r>
      <w:r w:rsidR="001D20DE">
        <w:rPr>
          <w:rFonts w:asciiTheme="minorHAnsi" w:hAnsiTheme="minorHAnsi" w:cstheme="minorHAnsi"/>
        </w:rPr>
        <w:t xml:space="preserve">) odečteme reálně plánované náklady </w:t>
      </w:r>
      <w:r w:rsidR="001D20DE">
        <w:rPr>
          <w:rFonts w:asciiTheme="minorHAnsi" w:hAnsiTheme="minorHAnsi" w:cstheme="minorHAnsi"/>
        </w:rPr>
        <w:lastRenderedPageBreak/>
        <w:t>po využití příležitosti (N</w:t>
      </w:r>
      <w:r w:rsidR="001D20DE">
        <w:rPr>
          <w:rFonts w:asciiTheme="minorHAnsi" w:hAnsiTheme="minorHAnsi" w:cstheme="minorHAnsi"/>
          <w:vertAlign w:val="subscript"/>
        </w:rPr>
        <w:t>R</w:t>
      </w:r>
      <w:r w:rsidR="001D20DE">
        <w:rPr>
          <w:rFonts w:asciiTheme="minorHAnsi" w:hAnsiTheme="minorHAnsi" w:cstheme="minorHAnsi"/>
        </w:rPr>
        <w:t>) a též odečteme vyvolané náklady plynoucí z využité příležitosti (N</w:t>
      </w:r>
      <w:r w:rsidR="001D20DE">
        <w:rPr>
          <w:rFonts w:asciiTheme="minorHAnsi" w:hAnsiTheme="minorHAnsi" w:cstheme="minorHAnsi"/>
          <w:vertAlign w:val="subscript"/>
        </w:rPr>
        <w:t>V</w:t>
      </w:r>
      <w:r w:rsidR="001D20DE">
        <w:rPr>
          <w:rFonts w:asciiTheme="minorHAnsi" w:hAnsiTheme="minorHAnsi" w:cstheme="minorHAnsi"/>
        </w:rPr>
        <w:t xml:space="preserve">). Platí tedy vzorec: NOP = </w:t>
      </w:r>
      <w:r w:rsidR="001D20DE" w:rsidRPr="00CB0C5D">
        <w:rPr>
          <w:rFonts w:asciiTheme="minorHAnsi" w:hAnsiTheme="minorHAnsi" w:cstheme="minorHAnsi"/>
        </w:rPr>
        <w:t>U</w:t>
      </w:r>
      <w:r w:rsidR="001D20DE" w:rsidRPr="00CB0C5D">
        <w:rPr>
          <w:rFonts w:asciiTheme="minorHAnsi" w:hAnsiTheme="minorHAnsi" w:cstheme="minorHAnsi"/>
          <w:vertAlign w:val="subscript"/>
        </w:rPr>
        <w:t xml:space="preserve">r </w:t>
      </w:r>
      <w:r w:rsidR="001D20DE" w:rsidRPr="00CB0C5D">
        <w:rPr>
          <w:rFonts w:asciiTheme="minorHAnsi" w:hAnsiTheme="minorHAnsi" w:cstheme="minorHAnsi"/>
        </w:rPr>
        <w:t xml:space="preserve"> = </w:t>
      </w:r>
      <w:r w:rsidR="001D20DE">
        <w:rPr>
          <w:rFonts w:asciiTheme="minorHAnsi" w:hAnsiTheme="minorHAnsi" w:cstheme="minorHAnsi"/>
        </w:rPr>
        <w:t>N</w:t>
      </w:r>
      <w:r w:rsidR="001D20DE" w:rsidRPr="00CB0C5D">
        <w:rPr>
          <w:rFonts w:asciiTheme="minorHAnsi" w:hAnsiTheme="minorHAnsi" w:cstheme="minorHAnsi"/>
          <w:vertAlign w:val="subscript"/>
        </w:rPr>
        <w:t xml:space="preserve">P </w:t>
      </w:r>
      <w:r w:rsidR="001D20DE" w:rsidRPr="00CB0C5D">
        <w:rPr>
          <w:rFonts w:asciiTheme="minorHAnsi" w:hAnsiTheme="minorHAnsi" w:cstheme="minorHAnsi"/>
        </w:rPr>
        <w:t xml:space="preserve"> - </w:t>
      </w:r>
      <w:r w:rsidR="001D20DE">
        <w:rPr>
          <w:rFonts w:asciiTheme="minorHAnsi" w:hAnsiTheme="minorHAnsi" w:cstheme="minorHAnsi"/>
        </w:rPr>
        <w:t>N</w:t>
      </w:r>
      <w:r w:rsidR="001D20DE" w:rsidRPr="00CB0C5D">
        <w:rPr>
          <w:rFonts w:asciiTheme="minorHAnsi" w:hAnsiTheme="minorHAnsi" w:cstheme="minorHAnsi"/>
          <w:vertAlign w:val="subscript"/>
        </w:rPr>
        <w:t xml:space="preserve">R </w:t>
      </w:r>
      <w:r w:rsidR="001D20DE" w:rsidRPr="00CB0C5D">
        <w:rPr>
          <w:rFonts w:asciiTheme="minorHAnsi" w:hAnsiTheme="minorHAnsi" w:cstheme="minorHAnsi"/>
        </w:rPr>
        <w:t xml:space="preserve"> </w:t>
      </w:r>
      <w:r w:rsidR="001D20DE">
        <w:rPr>
          <w:rFonts w:asciiTheme="minorHAnsi" w:hAnsiTheme="minorHAnsi" w:cstheme="minorHAnsi"/>
        </w:rPr>
        <w:t>- Nv</w:t>
      </w:r>
      <w:r w:rsidR="001D20DE" w:rsidRPr="00CB0C5D">
        <w:rPr>
          <w:rFonts w:asciiTheme="minorHAnsi" w:hAnsiTheme="minorHAnsi" w:cstheme="minorHAnsi"/>
          <w:vertAlign w:val="subscript"/>
        </w:rPr>
        <w:t xml:space="preserve"> </w:t>
      </w:r>
      <w:r w:rsidR="001D20DE">
        <w:rPr>
          <w:rFonts w:asciiTheme="minorHAnsi" w:hAnsiTheme="minorHAnsi" w:cstheme="minorHAnsi"/>
        </w:rPr>
        <w:t>.</w:t>
      </w:r>
    </w:p>
    <w:p w14:paraId="42AA0216" w14:textId="77777777" w:rsidR="001D20DE" w:rsidRDefault="001D20DE" w:rsidP="001D20DE">
      <w:pPr>
        <w:jc w:val="both"/>
        <w:rPr>
          <w:rFonts w:asciiTheme="minorHAnsi" w:hAnsiTheme="minorHAnsi" w:cstheme="minorHAnsi"/>
        </w:rPr>
      </w:pPr>
    </w:p>
    <w:p w14:paraId="0F1ED306" w14:textId="40841CBB" w:rsidR="001D20DE" w:rsidRDefault="001D20DE" w:rsidP="001D20DE">
      <w:pPr>
        <w:jc w:val="both"/>
        <w:rPr>
          <w:rFonts w:asciiTheme="minorHAnsi" w:hAnsiTheme="minorHAnsi" w:cstheme="minorHAnsi"/>
        </w:rPr>
      </w:pPr>
      <w:r>
        <w:rPr>
          <w:rFonts w:asciiTheme="minorHAnsi" w:hAnsiTheme="minorHAnsi" w:cstheme="minorHAnsi"/>
        </w:rPr>
        <w:t xml:space="preserve">V našem příkladu půjde o zateplení a výměnu oken budovy </w:t>
      </w:r>
      <w:r w:rsidR="00F015A7">
        <w:rPr>
          <w:rFonts w:asciiTheme="minorHAnsi" w:hAnsiTheme="minorHAnsi" w:cstheme="minorHAnsi"/>
        </w:rPr>
        <w:t xml:space="preserve">základní </w:t>
      </w:r>
      <w:r>
        <w:rPr>
          <w:rFonts w:asciiTheme="minorHAnsi" w:hAnsiTheme="minorHAnsi" w:cstheme="minorHAnsi"/>
        </w:rPr>
        <w:t>školy v celkových investičních nákladech 6 mil. Kč. Předpokládejme, že náklady na vytápění bez proved</w:t>
      </w:r>
      <w:r w:rsidR="00F015A7">
        <w:rPr>
          <w:rFonts w:asciiTheme="minorHAnsi" w:hAnsiTheme="minorHAnsi" w:cstheme="minorHAnsi"/>
        </w:rPr>
        <w:t xml:space="preserve">ení této investice činí v naší škole </w:t>
      </w:r>
      <w:r>
        <w:rPr>
          <w:rFonts w:asciiTheme="minorHAnsi" w:hAnsiTheme="minorHAnsi" w:cstheme="minorHAnsi"/>
        </w:rPr>
        <w:t>ročně 1,1 mil. Kč. Po provedení investice se předpokládá</w:t>
      </w:r>
      <w:r w:rsidR="00F015A7">
        <w:rPr>
          <w:rFonts w:asciiTheme="minorHAnsi" w:hAnsiTheme="minorHAnsi" w:cstheme="minorHAnsi"/>
        </w:rPr>
        <w:t xml:space="preserve"> jejich snížení o 45 % </w:t>
      </w:r>
      <w:r>
        <w:rPr>
          <w:rFonts w:asciiTheme="minorHAnsi" w:hAnsiTheme="minorHAnsi" w:cstheme="minorHAnsi"/>
        </w:rPr>
        <w:t xml:space="preserve">na </w:t>
      </w:r>
      <w:r w:rsidR="00F015A7">
        <w:rPr>
          <w:rFonts w:asciiTheme="minorHAnsi" w:hAnsiTheme="minorHAnsi" w:cstheme="minorHAnsi"/>
        </w:rPr>
        <w:t xml:space="preserve">částku </w:t>
      </w:r>
      <w:r>
        <w:rPr>
          <w:rFonts w:asciiTheme="minorHAnsi" w:hAnsiTheme="minorHAnsi" w:cstheme="minorHAnsi"/>
        </w:rPr>
        <w:t>0,6 mil. Kč. Vyvolané náklady spojené s investicí zahrnuj</w:t>
      </w:r>
      <w:r w:rsidR="00F015A7">
        <w:rPr>
          <w:rFonts w:asciiTheme="minorHAnsi" w:hAnsiTheme="minorHAnsi" w:cstheme="minorHAnsi"/>
        </w:rPr>
        <w:t>í</w:t>
      </w:r>
      <w:r>
        <w:rPr>
          <w:rFonts w:asciiTheme="minorHAnsi" w:hAnsiTheme="minorHAnsi" w:cstheme="minorHAnsi"/>
        </w:rPr>
        <w:t xml:space="preserve"> v našem příkladu financování úvěru – průměrně ročně to bude činit cca 100 tis. Kč. Údaje rekapituluje následující tabulka.</w:t>
      </w:r>
    </w:p>
    <w:p w14:paraId="2C92362B" w14:textId="56577BAC" w:rsidR="001D20DE" w:rsidRPr="00981A3C" w:rsidRDefault="007B193B" w:rsidP="001D20DE">
      <w:pPr>
        <w:pStyle w:val="Odstavecseseznamem"/>
        <w:ind w:left="0"/>
        <w:jc w:val="both"/>
        <w:rPr>
          <w:rFonts w:ascii="Calibri" w:hAnsi="Calibri"/>
          <w:i/>
          <w:iCs/>
          <w:lang w:eastAsia="x-none"/>
        </w:rPr>
      </w:pPr>
      <w:r>
        <w:rPr>
          <w:rFonts w:ascii="Calibri" w:hAnsi="Calibri"/>
          <w:i/>
          <w:iCs/>
          <w:lang w:eastAsia="x-none"/>
        </w:rPr>
        <w:t xml:space="preserve">Tab. 33 </w:t>
      </w:r>
      <w:r w:rsidR="001D20DE" w:rsidRPr="009639A6">
        <w:rPr>
          <w:rFonts w:ascii="Calibri" w:hAnsi="Calibri"/>
          <w:i/>
          <w:iCs/>
          <w:lang w:eastAsia="x-none"/>
        </w:rPr>
        <w:t>Zateplení budovy školy - údaje</w:t>
      </w:r>
    </w:p>
    <w:tbl>
      <w:tblPr>
        <w:tblStyle w:val="Mkatabulky"/>
        <w:tblW w:w="0" w:type="auto"/>
        <w:tblInd w:w="137" w:type="dxa"/>
        <w:tblLook w:val="04A0" w:firstRow="1" w:lastRow="0" w:firstColumn="1" w:lastColumn="0" w:noHBand="0" w:noVBand="1"/>
      </w:tblPr>
      <w:tblGrid>
        <w:gridCol w:w="5103"/>
        <w:gridCol w:w="1134"/>
      </w:tblGrid>
      <w:tr w:rsidR="001D20DE" w:rsidRPr="00C97B5A" w14:paraId="5447E27F" w14:textId="77777777" w:rsidTr="00C14739">
        <w:tc>
          <w:tcPr>
            <w:tcW w:w="5103" w:type="dxa"/>
            <w:shd w:val="clear" w:color="auto" w:fill="E7E6E6" w:themeFill="background2"/>
          </w:tcPr>
          <w:p w14:paraId="0034D0D0" w14:textId="77777777" w:rsidR="001D20DE" w:rsidRPr="00C97B5A" w:rsidRDefault="001D20DE" w:rsidP="00C14739">
            <w:pPr>
              <w:pStyle w:val="Odstavecseseznamem"/>
              <w:spacing w:line="240" w:lineRule="auto"/>
              <w:ind w:left="0"/>
              <w:jc w:val="both"/>
              <w:rPr>
                <w:rFonts w:asciiTheme="minorHAnsi" w:hAnsiTheme="minorHAnsi" w:cstheme="minorHAnsi"/>
                <w:sz w:val="22"/>
                <w:szCs w:val="20"/>
              </w:rPr>
            </w:pPr>
          </w:p>
        </w:tc>
        <w:tc>
          <w:tcPr>
            <w:tcW w:w="1134" w:type="dxa"/>
            <w:shd w:val="clear" w:color="auto" w:fill="E7E6E6" w:themeFill="background2"/>
            <w:vAlign w:val="center"/>
          </w:tcPr>
          <w:p w14:paraId="053B7017"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tis. Kč</w:t>
            </w:r>
          </w:p>
        </w:tc>
      </w:tr>
      <w:tr w:rsidR="001D20DE" w:rsidRPr="00C97B5A" w14:paraId="22B63C20" w14:textId="77777777" w:rsidTr="00C14739">
        <w:tc>
          <w:tcPr>
            <w:tcW w:w="5103" w:type="dxa"/>
            <w:shd w:val="clear" w:color="auto" w:fill="E7E6E6" w:themeFill="background2"/>
          </w:tcPr>
          <w:p w14:paraId="64C8F691" w14:textId="77777777" w:rsidR="001D20DE" w:rsidRPr="00C97B5A" w:rsidRDefault="001D20DE"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Celkové investiční náklady (INV)</w:t>
            </w:r>
          </w:p>
        </w:tc>
        <w:tc>
          <w:tcPr>
            <w:tcW w:w="1134" w:type="dxa"/>
            <w:vAlign w:val="center"/>
          </w:tcPr>
          <w:p w14:paraId="0CA7F6DD"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6000</w:t>
            </w:r>
          </w:p>
        </w:tc>
      </w:tr>
      <w:tr w:rsidR="001D20DE" w:rsidRPr="00C97B5A" w14:paraId="7AF533DD" w14:textId="77777777" w:rsidTr="00C14739">
        <w:tc>
          <w:tcPr>
            <w:tcW w:w="5103" w:type="dxa"/>
            <w:shd w:val="clear" w:color="auto" w:fill="E7E6E6" w:themeFill="background2"/>
          </w:tcPr>
          <w:p w14:paraId="442D682C" w14:textId="77777777" w:rsidR="001D20DE" w:rsidRPr="00C97B5A" w:rsidRDefault="001D20DE"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Roční náklady na vytápění před investicí (Np)</w:t>
            </w:r>
          </w:p>
        </w:tc>
        <w:tc>
          <w:tcPr>
            <w:tcW w:w="1134" w:type="dxa"/>
            <w:vAlign w:val="center"/>
          </w:tcPr>
          <w:p w14:paraId="1D0243F1"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1100</w:t>
            </w:r>
          </w:p>
        </w:tc>
      </w:tr>
      <w:tr w:rsidR="001D20DE" w:rsidRPr="00C97B5A" w14:paraId="1F1AFBC7" w14:textId="77777777" w:rsidTr="00C14739">
        <w:tc>
          <w:tcPr>
            <w:tcW w:w="5103" w:type="dxa"/>
            <w:shd w:val="clear" w:color="auto" w:fill="E7E6E6" w:themeFill="background2"/>
          </w:tcPr>
          <w:p w14:paraId="2BD391C8" w14:textId="77777777" w:rsidR="001D20DE" w:rsidRPr="00C97B5A" w:rsidRDefault="001D20DE"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Roční náklady na vytápění po investici (Nr)</w:t>
            </w:r>
          </w:p>
        </w:tc>
        <w:tc>
          <w:tcPr>
            <w:tcW w:w="1134" w:type="dxa"/>
            <w:vAlign w:val="center"/>
          </w:tcPr>
          <w:p w14:paraId="6E8C8018"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600</w:t>
            </w:r>
          </w:p>
        </w:tc>
      </w:tr>
      <w:tr w:rsidR="001D20DE" w:rsidRPr="00C97B5A" w14:paraId="11480D1E" w14:textId="77777777" w:rsidTr="00C14739">
        <w:tc>
          <w:tcPr>
            <w:tcW w:w="5103" w:type="dxa"/>
            <w:shd w:val="clear" w:color="auto" w:fill="E7E6E6" w:themeFill="background2"/>
          </w:tcPr>
          <w:p w14:paraId="6939B9DD" w14:textId="77777777" w:rsidR="001D20DE" w:rsidRDefault="001D20DE"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 xml:space="preserve">Roční vyvolané náklady - například úroky z úvěru (Nv) </w:t>
            </w:r>
          </w:p>
        </w:tc>
        <w:tc>
          <w:tcPr>
            <w:tcW w:w="1134" w:type="dxa"/>
            <w:vAlign w:val="center"/>
          </w:tcPr>
          <w:p w14:paraId="669C3271" w14:textId="77777777" w:rsidR="001D20DE"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100</w:t>
            </w:r>
          </w:p>
        </w:tc>
      </w:tr>
    </w:tbl>
    <w:p w14:paraId="142BF93D" w14:textId="05055E02" w:rsidR="001D20DE" w:rsidRPr="00981A3C" w:rsidRDefault="001D20DE" w:rsidP="001D20DE">
      <w:pPr>
        <w:pStyle w:val="A1-text"/>
        <w:spacing w:after="120"/>
        <w:rPr>
          <w:rFonts w:ascii="Calibri" w:hAnsi="Calibri"/>
          <w:i/>
          <w:iCs/>
          <w:lang w:val="cs-CZ"/>
        </w:rPr>
      </w:pPr>
      <w:r w:rsidRPr="00981A3C">
        <w:rPr>
          <w:rFonts w:ascii="Calibri" w:hAnsi="Calibri"/>
          <w:i/>
          <w:iCs/>
          <w:lang w:val="cs-CZ"/>
        </w:rPr>
        <w:t xml:space="preserve">Zdroj: </w:t>
      </w:r>
      <w:r w:rsidR="00F015A7">
        <w:rPr>
          <w:rFonts w:ascii="Calibri" w:hAnsi="Calibri"/>
          <w:i/>
          <w:iCs/>
          <w:lang w:val="cs-CZ"/>
        </w:rPr>
        <w:t>Půček, Křápek, Linhartová (2022)</w:t>
      </w:r>
    </w:p>
    <w:p w14:paraId="4698C105" w14:textId="1C56AB02" w:rsidR="001D20DE" w:rsidRDefault="001D20DE" w:rsidP="001D20DE">
      <w:pPr>
        <w:jc w:val="both"/>
        <w:rPr>
          <w:rFonts w:asciiTheme="minorHAnsi" w:hAnsiTheme="minorHAnsi" w:cstheme="minorHAnsi"/>
        </w:rPr>
      </w:pPr>
      <w:r>
        <w:rPr>
          <w:rFonts w:asciiTheme="minorHAnsi" w:hAnsiTheme="minorHAnsi" w:cstheme="minorHAnsi"/>
        </w:rPr>
        <w:t xml:space="preserve">Výpočet vypadá </w:t>
      </w:r>
      <w:r w:rsidR="00F015A7">
        <w:rPr>
          <w:rFonts w:asciiTheme="minorHAnsi" w:hAnsiTheme="minorHAnsi" w:cstheme="minorHAnsi"/>
        </w:rPr>
        <w:t>takto</w:t>
      </w:r>
      <w:r>
        <w:rPr>
          <w:rFonts w:asciiTheme="minorHAnsi" w:hAnsiTheme="minorHAnsi" w:cstheme="minorHAnsi"/>
        </w:rPr>
        <w:t>:</w:t>
      </w:r>
      <w:r w:rsidR="00F015A7">
        <w:rPr>
          <w:rFonts w:asciiTheme="minorHAnsi" w:hAnsiTheme="minorHAnsi" w:cstheme="minorHAnsi"/>
        </w:rPr>
        <w:t xml:space="preserve"> </w:t>
      </w:r>
      <w:r>
        <w:rPr>
          <w:rFonts w:asciiTheme="minorHAnsi" w:hAnsiTheme="minorHAnsi" w:cstheme="minorHAnsi"/>
        </w:rPr>
        <w:t xml:space="preserve">NOP = </w:t>
      </w:r>
      <w:r w:rsidRPr="00CB0C5D">
        <w:rPr>
          <w:rFonts w:asciiTheme="minorHAnsi" w:hAnsiTheme="minorHAnsi" w:cstheme="minorHAnsi"/>
        </w:rPr>
        <w:t>U</w:t>
      </w:r>
      <w:r w:rsidRPr="00CB0C5D">
        <w:rPr>
          <w:rFonts w:asciiTheme="minorHAnsi" w:hAnsiTheme="minorHAnsi" w:cstheme="minorHAnsi"/>
          <w:vertAlign w:val="subscript"/>
        </w:rPr>
        <w:t>r</w:t>
      </w:r>
      <w:r>
        <w:rPr>
          <w:rFonts w:asciiTheme="minorHAnsi" w:hAnsiTheme="minorHAnsi" w:cstheme="minorHAnsi"/>
        </w:rPr>
        <w:t xml:space="preserve"> =1 100 tis. Kč – 600 tis. Kč – 100 tis. Kč = 400 tis. Kč ročně</w:t>
      </w:r>
    </w:p>
    <w:p w14:paraId="6D31CA22" w14:textId="63AF34F6" w:rsidR="001D20DE" w:rsidRDefault="001D20DE" w:rsidP="001D20DE">
      <w:pPr>
        <w:jc w:val="both"/>
        <w:rPr>
          <w:rFonts w:asciiTheme="minorHAnsi" w:hAnsiTheme="minorHAnsi" w:cstheme="minorHAnsi"/>
        </w:rPr>
      </w:pPr>
      <w:r>
        <w:rPr>
          <w:rFonts w:asciiTheme="minorHAnsi" w:hAnsiTheme="minorHAnsi" w:cstheme="minorHAnsi"/>
        </w:rPr>
        <w:t>Pokud by nedošlo k realizaci investice, tak náklady obětované příležitosti činí 400 tis. Kč ročně.</w:t>
      </w:r>
    </w:p>
    <w:p w14:paraId="60E18D78" w14:textId="77777777" w:rsidR="00F015A7" w:rsidRDefault="00F015A7" w:rsidP="001D20DE">
      <w:pPr>
        <w:jc w:val="both"/>
        <w:rPr>
          <w:rFonts w:asciiTheme="minorHAnsi" w:hAnsiTheme="minorHAnsi" w:cstheme="minorHAnsi"/>
        </w:rPr>
      </w:pPr>
    </w:p>
    <w:p w14:paraId="2A247B14" w14:textId="59896DA7" w:rsidR="001D20DE" w:rsidRDefault="001D20DE" w:rsidP="001D20DE">
      <w:pPr>
        <w:jc w:val="both"/>
        <w:rPr>
          <w:rFonts w:asciiTheme="minorHAnsi" w:hAnsiTheme="minorHAnsi" w:cstheme="minorHAnsi"/>
        </w:rPr>
      </w:pPr>
      <w:r>
        <w:rPr>
          <w:rFonts w:asciiTheme="minorHAnsi" w:hAnsiTheme="minorHAnsi" w:cstheme="minorHAnsi"/>
        </w:rPr>
        <w:t>Pro náš příklad je vhodné též vypočítat alespoň prostou dobu návratnosti investice (T) jako podíl výše investice (I) a roční racionální úspory (</w:t>
      </w:r>
      <w:r w:rsidRPr="00CB0C5D">
        <w:rPr>
          <w:rFonts w:asciiTheme="minorHAnsi" w:hAnsiTheme="minorHAnsi" w:cstheme="minorHAnsi"/>
        </w:rPr>
        <w:t>U</w:t>
      </w:r>
      <w:r w:rsidRPr="00CB0C5D">
        <w:rPr>
          <w:rFonts w:asciiTheme="minorHAnsi" w:hAnsiTheme="minorHAnsi" w:cstheme="minorHAnsi"/>
          <w:vertAlign w:val="subscript"/>
        </w:rPr>
        <w:t>r</w:t>
      </w:r>
      <w:r>
        <w:rPr>
          <w:rFonts w:asciiTheme="minorHAnsi" w:hAnsiTheme="minorHAnsi" w:cstheme="minorHAnsi"/>
        </w:rPr>
        <w:t>). V našem případě půjde o prostou dobu návratnosti investice 15 let. Údaje rekapituluje následující tabulka.</w:t>
      </w:r>
    </w:p>
    <w:p w14:paraId="54928A80" w14:textId="6F32F172" w:rsidR="001D20DE" w:rsidRPr="00981A3C" w:rsidRDefault="007B193B" w:rsidP="001D20DE">
      <w:pPr>
        <w:pStyle w:val="Odstavecseseznamem"/>
        <w:ind w:left="0"/>
        <w:jc w:val="both"/>
        <w:rPr>
          <w:rFonts w:ascii="Calibri" w:hAnsi="Calibri"/>
          <w:i/>
          <w:iCs/>
          <w:lang w:eastAsia="x-none"/>
        </w:rPr>
      </w:pPr>
      <w:r>
        <w:rPr>
          <w:rFonts w:ascii="Calibri" w:hAnsi="Calibri"/>
          <w:i/>
          <w:iCs/>
          <w:lang w:eastAsia="x-none"/>
        </w:rPr>
        <w:t>Tab. 34</w:t>
      </w:r>
      <w:r w:rsidR="001D20DE" w:rsidRPr="009639A6">
        <w:rPr>
          <w:rFonts w:ascii="Calibri" w:hAnsi="Calibri"/>
          <w:i/>
          <w:iCs/>
          <w:lang w:eastAsia="x-none"/>
        </w:rPr>
        <w:t xml:space="preserve"> Zateplení budovy školy – výpočet nákladů obětované příležitosti</w:t>
      </w:r>
    </w:p>
    <w:tbl>
      <w:tblPr>
        <w:tblStyle w:val="Mkatabulky"/>
        <w:tblW w:w="0" w:type="auto"/>
        <w:tblInd w:w="137" w:type="dxa"/>
        <w:tblLook w:val="04A0" w:firstRow="1" w:lastRow="0" w:firstColumn="1" w:lastColumn="0" w:noHBand="0" w:noVBand="1"/>
      </w:tblPr>
      <w:tblGrid>
        <w:gridCol w:w="5670"/>
        <w:gridCol w:w="2126"/>
      </w:tblGrid>
      <w:tr w:rsidR="001D20DE" w:rsidRPr="00C97B5A" w14:paraId="532A029D" w14:textId="77777777" w:rsidTr="00C14739">
        <w:tc>
          <w:tcPr>
            <w:tcW w:w="5670" w:type="dxa"/>
            <w:shd w:val="clear" w:color="auto" w:fill="E7E6E6" w:themeFill="background2"/>
          </w:tcPr>
          <w:p w14:paraId="14D84158" w14:textId="1DD96D66" w:rsidR="001D20DE" w:rsidRPr="00C97B5A" w:rsidRDefault="009C5354"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Výpočet</w:t>
            </w:r>
          </w:p>
        </w:tc>
        <w:tc>
          <w:tcPr>
            <w:tcW w:w="2126" w:type="dxa"/>
            <w:shd w:val="clear" w:color="auto" w:fill="E7E6E6" w:themeFill="background2"/>
            <w:vAlign w:val="center"/>
          </w:tcPr>
          <w:p w14:paraId="474F9593"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tis. Kč</w:t>
            </w:r>
          </w:p>
        </w:tc>
      </w:tr>
      <w:tr w:rsidR="001D20DE" w:rsidRPr="00C97B5A" w14:paraId="446B4A29" w14:textId="77777777" w:rsidTr="00C14739">
        <w:tc>
          <w:tcPr>
            <w:tcW w:w="5670" w:type="dxa"/>
            <w:shd w:val="clear" w:color="auto" w:fill="E7E6E6" w:themeFill="background2"/>
          </w:tcPr>
          <w:p w14:paraId="0DB3358D" w14:textId="77777777" w:rsidR="001D20DE" w:rsidRDefault="001D20DE"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Výpočet racionální úspory (nákladů obětované příležitosti)</w:t>
            </w:r>
          </w:p>
          <w:p w14:paraId="2F1A2702" w14:textId="77777777" w:rsidR="001D20DE" w:rsidRPr="00C97B5A" w:rsidRDefault="001D20DE" w:rsidP="00C14739">
            <w:pPr>
              <w:pStyle w:val="Odstavecseseznamem"/>
              <w:spacing w:line="240" w:lineRule="auto"/>
              <w:ind w:left="0"/>
              <w:jc w:val="both"/>
              <w:rPr>
                <w:rFonts w:asciiTheme="minorHAnsi" w:hAnsiTheme="minorHAnsi" w:cstheme="minorHAnsi"/>
                <w:sz w:val="22"/>
                <w:szCs w:val="20"/>
              </w:rPr>
            </w:pPr>
            <w:r w:rsidRPr="00EA1A1F">
              <w:rPr>
                <w:rFonts w:asciiTheme="minorHAnsi" w:hAnsiTheme="minorHAnsi" w:cstheme="minorHAnsi"/>
                <w:sz w:val="22"/>
                <w:szCs w:val="20"/>
              </w:rPr>
              <w:t>NOP = Ur  = N</w:t>
            </w:r>
            <w:r>
              <w:rPr>
                <w:rFonts w:asciiTheme="minorHAnsi" w:hAnsiTheme="minorHAnsi" w:cstheme="minorHAnsi"/>
                <w:sz w:val="22"/>
                <w:szCs w:val="20"/>
              </w:rPr>
              <w:t>p</w:t>
            </w:r>
            <w:r w:rsidRPr="00EA1A1F">
              <w:rPr>
                <w:rFonts w:asciiTheme="minorHAnsi" w:hAnsiTheme="minorHAnsi" w:cstheme="minorHAnsi"/>
                <w:sz w:val="22"/>
                <w:szCs w:val="20"/>
              </w:rPr>
              <w:t xml:space="preserve"> - N</w:t>
            </w:r>
            <w:r>
              <w:rPr>
                <w:rFonts w:asciiTheme="minorHAnsi" w:hAnsiTheme="minorHAnsi" w:cstheme="minorHAnsi"/>
                <w:sz w:val="22"/>
                <w:szCs w:val="20"/>
              </w:rPr>
              <w:t>r</w:t>
            </w:r>
            <w:r w:rsidRPr="00EA1A1F">
              <w:rPr>
                <w:rFonts w:asciiTheme="minorHAnsi" w:hAnsiTheme="minorHAnsi" w:cstheme="minorHAnsi"/>
                <w:sz w:val="22"/>
                <w:szCs w:val="20"/>
              </w:rPr>
              <w:t xml:space="preserve"> - Nv</w:t>
            </w:r>
          </w:p>
        </w:tc>
        <w:tc>
          <w:tcPr>
            <w:tcW w:w="2126" w:type="dxa"/>
            <w:vAlign w:val="center"/>
          </w:tcPr>
          <w:p w14:paraId="195747D4"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400 tis. Kč ročně</w:t>
            </w:r>
          </w:p>
        </w:tc>
      </w:tr>
      <w:tr w:rsidR="001D20DE" w:rsidRPr="00C97B5A" w14:paraId="70B8FA67" w14:textId="77777777" w:rsidTr="00C14739">
        <w:tc>
          <w:tcPr>
            <w:tcW w:w="5670" w:type="dxa"/>
            <w:shd w:val="clear" w:color="auto" w:fill="E7E6E6" w:themeFill="background2"/>
          </w:tcPr>
          <w:p w14:paraId="6308DEEF" w14:textId="77777777" w:rsidR="001D20DE" w:rsidRDefault="001D20DE" w:rsidP="00C14739">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sz w:val="22"/>
                <w:szCs w:val="20"/>
              </w:rPr>
              <w:t>Prostá doba návratnosti investice</w:t>
            </w:r>
          </w:p>
          <w:p w14:paraId="665D6112" w14:textId="6363E5B2" w:rsidR="001D20DE" w:rsidRPr="00C97B5A" w:rsidRDefault="001D20DE" w:rsidP="00F015A7">
            <w:pPr>
              <w:pStyle w:val="Odstavecseseznamem"/>
              <w:spacing w:line="240" w:lineRule="auto"/>
              <w:ind w:left="0"/>
              <w:jc w:val="both"/>
              <w:rPr>
                <w:rFonts w:asciiTheme="minorHAnsi" w:hAnsiTheme="minorHAnsi" w:cstheme="minorHAnsi"/>
                <w:sz w:val="22"/>
                <w:szCs w:val="20"/>
              </w:rPr>
            </w:pPr>
            <w:r>
              <w:rPr>
                <w:rFonts w:asciiTheme="minorHAnsi" w:hAnsiTheme="minorHAnsi" w:cstheme="minorHAnsi"/>
              </w:rPr>
              <w:t xml:space="preserve">T </w:t>
            </w:r>
            <w:r w:rsidRPr="00EA1A1F">
              <w:rPr>
                <w:rFonts w:asciiTheme="minorHAnsi" w:hAnsiTheme="minorHAnsi" w:cstheme="minorHAnsi"/>
                <w:sz w:val="22"/>
                <w:szCs w:val="20"/>
              </w:rPr>
              <w:t xml:space="preserve">= </w:t>
            </w:r>
            <w:r>
              <w:rPr>
                <w:rFonts w:asciiTheme="minorHAnsi" w:hAnsiTheme="minorHAnsi" w:cstheme="minorHAnsi"/>
                <w:sz w:val="22"/>
                <w:szCs w:val="20"/>
              </w:rPr>
              <w:t xml:space="preserve">I / </w:t>
            </w:r>
            <w:r w:rsidRPr="00EA1A1F">
              <w:rPr>
                <w:rFonts w:asciiTheme="minorHAnsi" w:hAnsiTheme="minorHAnsi" w:cstheme="minorHAnsi"/>
                <w:sz w:val="22"/>
                <w:szCs w:val="20"/>
              </w:rPr>
              <w:t>Ur</w:t>
            </w:r>
          </w:p>
        </w:tc>
        <w:tc>
          <w:tcPr>
            <w:tcW w:w="2126" w:type="dxa"/>
            <w:vAlign w:val="center"/>
          </w:tcPr>
          <w:p w14:paraId="2761DF1C" w14:textId="77777777" w:rsidR="001D20DE" w:rsidRPr="00C97B5A" w:rsidRDefault="001D20DE" w:rsidP="00C14739">
            <w:pPr>
              <w:pStyle w:val="Odstavecseseznamem"/>
              <w:spacing w:line="240" w:lineRule="auto"/>
              <w:ind w:left="0"/>
              <w:jc w:val="right"/>
              <w:rPr>
                <w:rFonts w:asciiTheme="minorHAnsi" w:hAnsiTheme="minorHAnsi" w:cstheme="minorHAnsi"/>
                <w:sz w:val="22"/>
                <w:szCs w:val="20"/>
              </w:rPr>
            </w:pPr>
            <w:r>
              <w:rPr>
                <w:rFonts w:asciiTheme="minorHAnsi" w:hAnsiTheme="minorHAnsi" w:cstheme="minorHAnsi"/>
                <w:sz w:val="22"/>
                <w:szCs w:val="20"/>
              </w:rPr>
              <w:t>15 let</w:t>
            </w:r>
          </w:p>
        </w:tc>
      </w:tr>
    </w:tbl>
    <w:p w14:paraId="561ED0A7" w14:textId="77777777" w:rsidR="009C5354" w:rsidRPr="00981A3C" w:rsidRDefault="009C5354" w:rsidP="009C5354">
      <w:pPr>
        <w:pStyle w:val="A1-text"/>
        <w:spacing w:after="120"/>
        <w:rPr>
          <w:rFonts w:ascii="Calibri" w:hAnsi="Calibri"/>
          <w:i/>
          <w:iCs/>
          <w:lang w:val="cs-CZ"/>
        </w:rPr>
      </w:pPr>
      <w:r w:rsidRPr="00981A3C">
        <w:rPr>
          <w:rFonts w:ascii="Calibri" w:hAnsi="Calibri"/>
          <w:i/>
          <w:iCs/>
          <w:lang w:val="cs-CZ"/>
        </w:rPr>
        <w:t xml:space="preserve">Zdroj: </w:t>
      </w:r>
      <w:r>
        <w:rPr>
          <w:rFonts w:ascii="Calibri" w:hAnsi="Calibri"/>
          <w:i/>
          <w:iCs/>
          <w:lang w:val="cs-CZ"/>
        </w:rPr>
        <w:t>Půček, Křápek, Linhartová (2022)</w:t>
      </w:r>
    </w:p>
    <w:p w14:paraId="00D65F88" w14:textId="77777777" w:rsidR="00E45361" w:rsidRPr="005149E0" w:rsidRDefault="00E45361" w:rsidP="00E45361">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24E34480" w14:textId="4C9755E1" w:rsidR="009C5354" w:rsidRDefault="009C5354" w:rsidP="00E45361">
      <w:pPr>
        <w:pStyle w:val="Odstavecseseznamem"/>
        <w:numPr>
          <w:ilvl w:val="0"/>
          <w:numId w:val="22"/>
        </w:numPr>
        <w:jc w:val="both"/>
        <w:rPr>
          <w:rFonts w:asciiTheme="minorHAnsi" w:hAnsiTheme="minorHAnsi" w:cstheme="minorHAnsi"/>
        </w:rPr>
      </w:pPr>
      <w:r>
        <w:rPr>
          <w:rFonts w:asciiTheme="minorHAnsi" w:hAnsiTheme="minorHAnsi" w:cstheme="minorHAnsi"/>
        </w:rPr>
        <w:t>Pro rozhodnutí, zda investici realizovat či nikoli z hlediska úspor je důležité, aby prostá doba návratnosti investice byla nižší, než životnost investice. U staveb se běžně uvádí životnost dle charakteru stavby 50 až 100 let, u zateplení cca 30 let (při dobré údržbě ale lze předpokládat životnost mnohem vyšší).</w:t>
      </w:r>
    </w:p>
    <w:p w14:paraId="64C66E9B" w14:textId="1A09A999" w:rsidR="009C5354" w:rsidRDefault="009C5354" w:rsidP="00E45361">
      <w:pPr>
        <w:pStyle w:val="Odstavecseseznamem"/>
        <w:numPr>
          <w:ilvl w:val="0"/>
          <w:numId w:val="22"/>
        </w:numPr>
        <w:jc w:val="both"/>
        <w:rPr>
          <w:rFonts w:asciiTheme="minorHAnsi" w:hAnsiTheme="minorHAnsi" w:cstheme="minorHAnsi"/>
        </w:rPr>
      </w:pPr>
      <w:r>
        <w:rPr>
          <w:rFonts w:asciiTheme="minorHAnsi" w:hAnsiTheme="minorHAnsi" w:cstheme="minorHAnsi"/>
        </w:rPr>
        <w:lastRenderedPageBreak/>
        <w:t>Prostá doba</w:t>
      </w:r>
      <w:r w:rsidRPr="004601FF">
        <w:rPr>
          <w:rFonts w:asciiTheme="minorHAnsi" w:hAnsiTheme="minorHAnsi" w:cstheme="minorHAnsi"/>
        </w:rPr>
        <w:t xml:space="preserve"> návratnosti investice</w:t>
      </w:r>
      <w:r>
        <w:rPr>
          <w:rFonts w:asciiTheme="minorHAnsi" w:hAnsiTheme="minorHAnsi" w:cstheme="minorHAnsi"/>
        </w:rPr>
        <w:t xml:space="preserve"> je nejjednodušší možnost</w:t>
      </w:r>
      <w:r w:rsidRPr="004601FF">
        <w:rPr>
          <w:rFonts w:asciiTheme="minorHAnsi" w:hAnsiTheme="minorHAnsi" w:cstheme="minorHAnsi"/>
        </w:rPr>
        <w:t xml:space="preserve">, ale lépe je pracovat s diskontovanou dobou návratnosti investice nebo </w:t>
      </w:r>
      <w:r>
        <w:rPr>
          <w:rFonts w:asciiTheme="minorHAnsi" w:hAnsiTheme="minorHAnsi" w:cstheme="minorHAnsi"/>
        </w:rPr>
        <w:t xml:space="preserve">ji hodnotit </w:t>
      </w:r>
      <w:r w:rsidRPr="004601FF">
        <w:rPr>
          <w:rFonts w:asciiTheme="minorHAnsi" w:hAnsiTheme="minorHAnsi" w:cstheme="minorHAnsi"/>
        </w:rPr>
        <w:t>pomocí čisté současné hodnoty (NPV)</w:t>
      </w:r>
      <w:r>
        <w:rPr>
          <w:rStyle w:val="Znakapoznpodarou"/>
          <w:rFonts w:asciiTheme="minorHAnsi" w:hAnsiTheme="minorHAnsi" w:cstheme="minorHAnsi"/>
        </w:rPr>
        <w:footnoteReference w:id="66"/>
      </w:r>
      <w:r w:rsidRPr="004601FF">
        <w:rPr>
          <w:rFonts w:asciiTheme="minorHAnsi" w:hAnsiTheme="minorHAnsi" w:cstheme="minorHAnsi"/>
        </w:rPr>
        <w:t>.</w:t>
      </w:r>
    </w:p>
    <w:p w14:paraId="4D138E79" w14:textId="77777777" w:rsidR="001D20DE" w:rsidRPr="001D20DE" w:rsidRDefault="001D20DE" w:rsidP="001D20DE">
      <w:pPr>
        <w:jc w:val="both"/>
        <w:rPr>
          <w:rFonts w:asciiTheme="minorHAnsi" w:hAnsiTheme="minorHAnsi" w:cstheme="minorHAnsi"/>
        </w:rPr>
      </w:pPr>
    </w:p>
    <w:p w14:paraId="09DF0388" w14:textId="273416A7" w:rsidR="006759AF" w:rsidRPr="006759AF" w:rsidRDefault="006759AF" w:rsidP="006759AF">
      <w:pPr>
        <w:pStyle w:val="Nadpis2"/>
        <w:spacing w:before="240" w:after="120"/>
        <w:ind w:left="578" w:hanging="578"/>
        <w:rPr>
          <w:rFonts w:asciiTheme="minorHAnsi" w:hAnsiTheme="minorHAnsi" w:cstheme="minorHAnsi"/>
          <w:color w:val="7493B0"/>
          <w:sz w:val="24"/>
          <w:szCs w:val="24"/>
          <w:lang w:val="cs-CZ"/>
        </w:rPr>
      </w:pPr>
      <w:bookmarkStart w:id="103" w:name="_Toc117270030"/>
      <w:r w:rsidRPr="006759AF">
        <w:rPr>
          <w:rFonts w:asciiTheme="minorHAnsi" w:hAnsiTheme="minorHAnsi" w:cstheme="minorHAnsi"/>
          <w:color w:val="7493B0"/>
          <w:sz w:val="24"/>
          <w:szCs w:val="24"/>
          <w:lang w:val="cs-CZ"/>
        </w:rPr>
        <w:t>Příklad podkladů pro audit ztrát (plýtvání)</w:t>
      </w:r>
      <w:bookmarkEnd w:id="103"/>
    </w:p>
    <w:p w14:paraId="2A6E7F46" w14:textId="77777777" w:rsidR="00AF3E7C" w:rsidRDefault="00AF3E7C" w:rsidP="00AF3E7C">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6C1571A6" w14:textId="415A2757" w:rsidR="00AF3E7C" w:rsidRDefault="00B677AE" w:rsidP="00AF3E7C">
      <w:pPr>
        <w:spacing w:after="120"/>
        <w:jc w:val="both"/>
        <w:rPr>
          <w:rFonts w:asciiTheme="minorHAnsi" w:hAnsiTheme="minorHAnsi" w:cstheme="minorHAnsi"/>
        </w:rPr>
      </w:pPr>
      <w:r>
        <w:rPr>
          <w:rFonts w:asciiTheme="minorHAnsi" w:hAnsiTheme="minorHAnsi" w:cstheme="minorHAnsi"/>
        </w:rPr>
        <w:t>Případová studie se týká auditu ztrát (plýtvání) ve smyslu metody „Štíhlá administrativa“ (bylo vysvětleno v kapitole 7.6). Problematika hledání racionálních úspor je pro zdravé finanční řízení důležitá. S nutností hledat úspory se můžeme setkat také při strategické práci.</w:t>
      </w:r>
    </w:p>
    <w:p w14:paraId="0DB5E99D" w14:textId="77777777" w:rsidR="00AF3E7C" w:rsidRPr="006B6EA5" w:rsidRDefault="00AF3E7C" w:rsidP="00AF3E7C">
      <w:pPr>
        <w:spacing w:after="120"/>
        <w:jc w:val="both"/>
        <w:rPr>
          <w:rFonts w:asciiTheme="minorHAnsi" w:hAnsiTheme="minorHAnsi" w:cstheme="minorHAnsi"/>
          <w:b/>
        </w:rPr>
      </w:pPr>
      <w:r w:rsidRPr="006B6EA5">
        <w:rPr>
          <w:rFonts w:asciiTheme="minorHAnsi" w:hAnsiTheme="minorHAnsi" w:cstheme="minorHAnsi"/>
          <w:b/>
        </w:rPr>
        <w:t>Popis případové studie:</w:t>
      </w:r>
    </w:p>
    <w:p w14:paraId="71E9CB91" w14:textId="42C35440" w:rsidR="006759AF" w:rsidRPr="006759AF" w:rsidRDefault="006759AF" w:rsidP="006759AF">
      <w:pPr>
        <w:jc w:val="both"/>
        <w:rPr>
          <w:rFonts w:asciiTheme="minorHAnsi" w:hAnsiTheme="minorHAnsi" w:cstheme="minorHAnsi"/>
        </w:rPr>
      </w:pPr>
      <w:r w:rsidRPr="00B677AE">
        <w:rPr>
          <w:rFonts w:asciiTheme="minorHAnsi" w:hAnsiTheme="minorHAnsi" w:cstheme="minorHAnsi"/>
        </w:rPr>
        <w:t>Následující tabulky uvádějí popisy jednotlivých druhů plýtvání (ztrát) ve veřejném sektoru</w:t>
      </w:r>
      <w:r w:rsidR="00DB39C1">
        <w:rPr>
          <w:rFonts w:asciiTheme="minorHAnsi" w:hAnsiTheme="minorHAnsi" w:cstheme="minorHAnsi"/>
        </w:rPr>
        <w:t>.</w:t>
      </w:r>
      <w:r w:rsidR="00B677AE">
        <w:rPr>
          <w:rFonts w:asciiTheme="minorHAnsi" w:hAnsiTheme="minorHAnsi" w:cstheme="minorHAnsi"/>
        </w:rPr>
        <w:t xml:space="preserve"> Texty a tabulky byly čerpány z Ochrana, Půček (2012)</w:t>
      </w:r>
      <w:r w:rsidR="00BF656E">
        <w:rPr>
          <w:rFonts w:asciiTheme="minorHAnsi" w:hAnsiTheme="minorHAnsi" w:cstheme="minorHAnsi"/>
        </w:rPr>
        <w:t>, kde je možné najít další informace</w:t>
      </w:r>
      <w:r w:rsidR="00B677AE">
        <w:rPr>
          <w:rFonts w:asciiTheme="minorHAnsi" w:hAnsiTheme="minorHAnsi" w:cstheme="minorHAnsi"/>
        </w:rPr>
        <w:t xml:space="preserve">. </w:t>
      </w:r>
      <w:r w:rsidRPr="006759AF">
        <w:rPr>
          <w:rFonts w:asciiTheme="minorHAnsi" w:hAnsiTheme="minorHAnsi" w:cstheme="minorHAnsi"/>
        </w:rPr>
        <w:t xml:space="preserve">První druh plýtvání způsobuje neúčelnost (viz </w:t>
      </w:r>
      <w:r w:rsidR="00B677AE">
        <w:rPr>
          <w:rFonts w:asciiTheme="minorHAnsi" w:hAnsiTheme="minorHAnsi" w:cstheme="minorHAnsi"/>
        </w:rPr>
        <w:t>následující tabulka</w:t>
      </w:r>
      <w:r w:rsidRPr="006759AF">
        <w:rPr>
          <w:rFonts w:asciiTheme="minorHAnsi" w:hAnsiTheme="minorHAnsi" w:cstheme="minorHAnsi"/>
        </w:rPr>
        <w:t>). Základní otázku, kterou si při hledá</w:t>
      </w:r>
      <w:r w:rsidR="00B677AE">
        <w:rPr>
          <w:rFonts w:asciiTheme="minorHAnsi" w:hAnsiTheme="minorHAnsi" w:cstheme="minorHAnsi"/>
        </w:rPr>
        <w:t>ní těchto ztrát pokládáme</w:t>
      </w:r>
      <w:r w:rsidR="00807AB1">
        <w:rPr>
          <w:rFonts w:asciiTheme="minorHAnsi" w:hAnsiTheme="minorHAnsi" w:cstheme="minorHAnsi"/>
        </w:rPr>
        <w:t>,</w:t>
      </w:r>
      <w:r w:rsidR="00BF656E">
        <w:rPr>
          <w:rFonts w:asciiTheme="minorHAnsi" w:hAnsiTheme="minorHAnsi" w:cstheme="minorHAnsi"/>
        </w:rPr>
        <w:t xml:space="preserve"> </w:t>
      </w:r>
      <w:r w:rsidR="00B677AE">
        <w:rPr>
          <w:rFonts w:asciiTheme="minorHAnsi" w:hAnsiTheme="minorHAnsi" w:cstheme="minorHAnsi"/>
        </w:rPr>
        <w:t>je: „O</w:t>
      </w:r>
      <w:r w:rsidRPr="006759AF">
        <w:rPr>
          <w:rFonts w:asciiTheme="minorHAnsi" w:hAnsiTheme="minorHAnsi" w:cstheme="minorHAnsi"/>
        </w:rPr>
        <w:t xml:space="preserve">dpovídá tato prováděná konkrétní činnost našemu poslání (a legislativním úkolům), měřitelným cílům nebo je oprávněně požadována naším zákazníkem?“. </w:t>
      </w:r>
      <w:r w:rsidR="00FB3215">
        <w:rPr>
          <w:rFonts w:asciiTheme="minorHAnsi" w:hAnsiTheme="minorHAnsi" w:cstheme="minorHAnsi"/>
        </w:rPr>
        <w:t>N</w:t>
      </w:r>
      <w:r w:rsidRPr="006759AF">
        <w:rPr>
          <w:rFonts w:asciiTheme="minorHAnsi" w:hAnsiTheme="minorHAnsi" w:cstheme="minorHAnsi"/>
        </w:rPr>
        <w:t>adprodukce (zbytečná administrativní zátěž) a nadbytečná práce (neúčelnost)</w:t>
      </w:r>
      <w:r w:rsidR="001D1E13">
        <w:rPr>
          <w:rFonts w:asciiTheme="minorHAnsi" w:hAnsiTheme="minorHAnsi" w:cstheme="minorHAnsi"/>
        </w:rPr>
        <w:t xml:space="preserve"> je</w:t>
      </w:r>
      <w:r w:rsidRPr="006759AF">
        <w:rPr>
          <w:rFonts w:asciiTheme="minorHAnsi" w:hAnsiTheme="minorHAnsi" w:cstheme="minorHAnsi"/>
        </w:rPr>
        <w:t xml:space="preserve"> považována za nejhorší druhy plýtvání. V českých podmínkách lze neúčelnost chápat jako největší problém (viz např. problém vnímání korupce, (ne)účelného nakládání s majetkem, neúčelné nakládání se zdroji apod.). </w:t>
      </w:r>
    </w:p>
    <w:p w14:paraId="31336D97" w14:textId="5E476F93" w:rsidR="006759AF" w:rsidRPr="006759AF" w:rsidRDefault="006759AF" w:rsidP="006759AF">
      <w:pPr>
        <w:jc w:val="both"/>
        <w:rPr>
          <w:rFonts w:asciiTheme="minorHAnsi" w:hAnsiTheme="minorHAnsi" w:cstheme="minorHAnsi"/>
          <w:i/>
        </w:rPr>
      </w:pPr>
      <w:r w:rsidRPr="006759AF">
        <w:rPr>
          <w:rFonts w:asciiTheme="minorHAnsi" w:hAnsiTheme="minorHAnsi" w:cstheme="minorHAnsi"/>
          <w:i/>
        </w:rPr>
        <w:t xml:space="preserve">Tab. </w:t>
      </w:r>
      <w:r w:rsidR="007B193B">
        <w:rPr>
          <w:rFonts w:asciiTheme="minorHAnsi" w:hAnsiTheme="minorHAnsi" w:cstheme="minorHAnsi"/>
          <w:i/>
        </w:rPr>
        <w:t>35</w:t>
      </w:r>
      <w:r w:rsidR="004F0E1D">
        <w:rPr>
          <w:rFonts w:asciiTheme="minorHAnsi" w:hAnsiTheme="minorHAnsi" w:cstheme="minorHAnsi"/>
          <w:i/>
        </w:rPr>
        <w:t xml:space="preserve"> </w:t>
      </w:r>
      <w:r w:rsidRPr="006759AF">
        <w:rPr>
          <w:rFonts w:asciiTheme="minorHAnsi" w:hAnsiTheme="minorHAnsi" w:cstheme="minorHAnsi"/>
          <w:i/>
        </w:rPr>
        <w:t>Audit ztrát: 1. Neúčelnost (nadbytečná práce)</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8"/>
        <w:gridCol w:w="5190"/>
        <w:gridCol w:w="3544"/>
      </w:tblGrid>
      <w:tr w:rsidR="006759AF" w:rsidRPr="006A0F76" w14:paraId="0A46AE15" w14:textId="77777777" w:rsidTr="00A85C8A">
        <w:tc>
          <w:tcPr>
            <w:tcW w:w="588" w:type="dxa"/>
            <w:shd w:val="clear" w:color="auto" w:fill="EEECE1"/>
            <w:vAlign w:val="center"/>
          </w:tcPr>
          <w:p w14:paraId="1D0013B2"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 xml:space="preserve">Druh </w:t>
            </w:r>
          </w:p>
        </w:tc>
        <w:tc>
          <w:tcPr>
            <w:tcW w:w="5190" w:type="dxa"/>
            <w:shd w:val="clear" w:color="auto" w:fill="EEECE1"/>
            <w:vAlign w:val="center"/>
          </w:tcPr>
          <w:p w14:paraId="27006556"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544" w:type="dxa"/>
            <w:shd w:val="clear" w:color="auto" w:fill="EEECE1"/>
            <w:vAlign w:val="center"/>
          </w:tcPr>
          <w:p w14:paraId="553C6DA1"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22FFA298" w14:textId="77777777" w:rsidTr="00FB3215">
        <w:trPr>
          <w:trHeight w:val="1371"/>
        </w:trPr>
        <w:tc>
          <w:tcPr>
            <w:tcW w:w="588" w:type="dxa"/>
            <w:vMerge w:val="restart"/>
            <w:shd w:val="clear" w:color="auto" w:fill="EEECE1"/>
            <w:textDirection w:val="btLr"/>
            <w:vAlign w:val="center"/>
          </w:tcPr>
          <w:p w14:paraId="54910104" w14:textId="77777777" w:rsidR="006759AF" w:rsidRPr="006759AF" w:rsidRDefault="006759AF" w:rsidP="00961E4F">
            <w:pPr>
              <w:spacing w:line="240" w:lineRule="auto"/>
              <w:ind w:left="113" w:right="113"/>
              <w:jc w:val="center"/>
              <w:rPr>
                <w:rFonts w:asciiTheme="minorHAnsi" w:hAnsiTheme="minorHAnsi" w:cstheme="minorHAnsi"/>
                <w:sz w:val="20"/>
                <w:szCs w:val="20"/>
              </w:rPr>
            </w:pPr>
            <w:r w:rsidRPr="006759AF">
              <w:rPr>
                <w:rFonts w:asciiTheme="minorHAnsi" w:hAnsiTheme="minorHAnsi" w:cstheme="minorHAnsi"/>
                <w:b/>
                <w:bCs/>
                <w:sz w:val="20"/>
                <w:szCs w:val="20"/>
              </w:rPr>
              <w:t>Neúčelnost (nadbytečná práce)</w:t>
            </w:r>
          </w:p>
        </w:tc>
        <w:tc>
          <w:tcPr>
            <w:tcW w:w="5190" w:type="dxa"/>
            <w:vAlign w:val="center"/>
          </w:tcPr>
          <w:p w14:paraId="59E0E8CB" w14:textId="4054B376" w:rsidR="006759AF" w:rsidRPr="006759AF" w:rsidRDefault="006759AF" w:rsidP="00BF656E">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 xml:space="preserve">(1) Z hlediska hodnoty pro zákazníka </w:t>
            </w:r>
            <w:r w:rsidR="00FB3215">
              <w:rPr>
                <w:rFonts w:asciiTheme="minorHAnsi" w:hAnsiTheme="minorHAnsi" w:cstheme="minorHAnsi"/>
                <w:sz w:val="20"/>
                <w:szCs w:val="20"/>
              </w:rPr>
              <w:t xml:space="preserve">/ občana (či </w:t>
            </w:r>
            <w:r w:rsidRPr="006759AF">
              <w:rPr>
                <w:rFonts w:asciiTheme="minorHAnsi" w:hAnsiTheme="minorHAnsi" w:cstheme="minorHAnsi"/>
                <w:sz w:val="20"/>
                <w:szCs w:val="20"/>
              </w:rPr>
              <w:t xml:space="preserve">vlivu na společnost nebo životní prostředí) : (a) není jasné, jakou hodnotu občan, zákazník či společnost skutečně potřebují či zda veřejná správa poskytuje služby ve větším rozsahu či kvalitě než je občany vyžadováno, (c) usiluje se o maximalizaci místo optimalizace. </w:t>
            </w:r>
          </w:p>
        </w:tc>
        <w:tc>
          <w:tcPr>
            <w:tcW w:w="3544" w:type="dxa"/>
            <w:vAlign w:val="center"/>
          </w:tcPr>
          <w:p w14:paraId="244F94A1" w14:textId="02BB4226"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 xml:space="preserve">(a) Mapování toku hodnoty </w:t>
            </w:r>
          </w:p>
          <w:p w14:paraId="1C05B903"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(b) Pravidelné zjišťování očekávání a potřeb zákazníků veřejných služeb, občanů atd.</w:t>
            </w:r>
          </w:p>
          <w:p w14:paraId="2297575F"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(c) Provádění optimalizace činností s využitím např. benchmarkingu.</w:t>
            </w:r>
          </w:p>
        </w:tc>
      </w:tr>
      <w:tr w:rsidR="006759AF" w:rsidRPr="006759AF" w14:paraId="38CBC0C2" w14:textId="77777777" w:rsidTr="00FB3215">
        <w:trPr>
          <w:trHeight w:val="1025"/>
        </w:trPr>
        <w:tc>
          <w:tcPr>
            <w:tcW w:w="588" w:type="dxa"/>
            <w:vMerge/>
            <w:shd w:val="clear" w:color="auto" w:fill="EEECE1"/>
            <w:vAlign w:val="center"/>
          </w:tcPr>
          <w:p w14:paraId="440D54D8" w14:textId="77777777" w:rsidR="006759AF" w:rsidRPr="006759AF" w:rsidRDefault="006759AF" w:rsidP="003A47BC">
            <w:pPr>
              <w:spacing w:line="240" w:lineRule="auto"/>
              <w:jc w:val="both"/>
              <w:rPr>
                <w:rFonts w:asciiTheme="minorHAnsi" w:hAnsiTheme="minorHAnsi" w:cstheme="minorHAnsi"/>
                <w:b/>
                <w:bCs/>
                <w:sz w:val="20"/>
                <w:szCs w:val="20"/>
              </w:rPr>
            </w:pPr>
          </w:p>
        </w:tc>
        <w:tc>
          <w:tcPr>
            <w:tcW w:w="5190" w:type="dxa"/>
            <w:vAlign w:val="center"/>
          </w:tcPr>
          <w:p w14:paraId="4E7CC214"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(2) Pracuje se na činnostech, které nevycházejí z poslání (ze zákona, dáno zřizovatelem), legislativních úkolů nebo z nich odvozených cílů. Případně jsou cíle stanoveny neměřitelně, bez termínů (nenaplňují pravidlo SMARTi)</w:t>
            </w:r>
          </w:p>
        </w:tc>
        <w:tc>
          <w:tcPr>
            <w:tcW w:w="3544" w:type="dxa"/>
            <w:vAlign w:val="center"/>
          </w:tcPr>
          <w:p w14:paraId="232E4A6A"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(a) Prověření návaznosti na poslání, legislativní úkoly a cíle.</w:t>
            </w:r>
          </w:p>
          <w:p w14:paraId="41E9937C"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(b) Prověření adekvátnosti cílů dle pravidla SMARTi, využití benchmarkingu</w:t>
            </w:r>
          </w:p>
        </w:tc>
      </w:tr>
      <w:tr w:rsidR="006759AF" w:rsidRPr="006759AF" w14:paraId="54114260" w14:textId="77777777" w:rsidTr="00FB3215">
        <w:trPr>
          <w:trHeight w:val="294"/>
        </w:trPr>
        <w:tc>
          <w:tcPr>
            <w:tcW w:w="588" w:type="dxa"/>
            <w:vMerge/>
            <w:shd w:val="clear" w:color="auto" w:fill="EEECE1"/>
            <w:vAlign w:val="center"/>
          </w:tcPr>
          <w:p w14:paraId="7BAE9B9A" w14:textId="77777777" w:rsidR="006759AF" w:rsidRPr="006759AF" w:rsidRDefault="006759AF" w:rsidP="003A47BC">
            <w:pPr>
              <w:spacing w:line="240" w:lineRule="auto"/>
              <w:jc w:val="both"/>
              <w:rPr>
                <w:rFonts w:asciiTheme="minorHAnsi" w:hAnsiTheme="minorHAnsi" w:cstheme="minorHAnsi"/>
                <w:b/>
                <w:bCs/>
                <w:sz w:val="20"/>
                <w:szCs w:val="20"/>
              </w:rPr>
            </w:pPr>
          </w:p>
        </w:tc>
        <w:tc>
          <w:tcPr>
            <w:tcW w:w="5190" w:type="dxa"/>
            <w:vAlign w:val="center"/>
          </w:tcPr>
          <w:p w14:paraId="74946DEF"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 xml:space="preserve">(3) Použití prostředků k jinému účelu, než byly určeny. V řadě případů zde jde o porušení rozpočtové kázně, ale rozhodně ne vždy. Jako příklad uvádíme záležitost běžnou u krajských a </w:t>
            </w:r>
            <w:r w:rsidRPr="006759AF">
              <w:rPr>
                <w:rFonts w:asciiTheme="minorHAnsi" w:hAnsiTheme="minorHAnsi" w:cstheme="minorHAnsi"/>
                <w:sz w:val="20"/>
                <w:szCs w:val="20"/>
              </w:rPr>
              <w:lastRenderedPageBreak/>
              <w:t>městských úřadů – dofinancování přeneseného výkonu státní správy z prostředků určených na samosprávné činnosti.</w:t>
            </w:r>
          </w:p>
        </w:tc>
        <w:tc>
          <w:tcPr>
            <w:tcW w:w="3544" w:type="dxa"/>
            <w:vAlign w:val="center"/>
          </w:tcPr>
          <w:p w14:paraId="7D4A67ED"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lastRenderedPageBreak/>
              <w:t>(a) Skutečně fungující systém předběžné, průběžné a následné kontroly.</w:t>
            </w:r>
          </w:p>
          <w:p w14:paraId="2A81E3EA"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lastRenderedPageBreak/>
              <w:t>(b) Analýza a vyhodnocení uvedeného příkladu a jim podobným.</w:t>
            </w:r>
          </w:p>
        </w:tc>
      </w:tr>
      <w:tr w:rsidR="006759AF" w:rsidRPr="006759AF" w14:paraId="54BA856F" w14:textId="77777777" w:rsidTr="00FB3215">
        <w:trPr>
          <w:trHeight w:val="294"/>
        </w:trPr>
        <w:tc>
          <w:tcPr>
            <w:tcW w:w="588" w:type="dxa"/>
            <w:vMerge/>
            <w:shd w:val="clear" w:color="auto" w:fill="EEECE1"/>
            <w:vAlign w:val="center"/>
          </w:tcPr>
          <w:p w14:paraId="352C49D2" w14:textId="77777777" w:rsidR="006759AF" w:rsidRPr="006759AF" w:rsidRDefault="006759AF" w:rsidP="003A47BC">
            <w:pPr>
              <w:spacing w:line="240" w:lineRule="auto"/>
              <w:jc w:val="both"/>
              <w:rPr>
                <w:rFonts w:asciiTheme="minorHAnsi" w:hAnsiTheme="minorHAnsi" w:cstheme="minorHAnsi"/>
                <w:b/>
                <w:bCs/>
                <w:sz w:val="20"/>
                <w:szCs w:val="20"/>
              </w:rPr>
            </w:pPr>
          </w:p>
        </w:tc>
        <w:tc>
          <w:tcPr>
            <w:tcW w:w="5190" w:type="dxa"/>
            <w:vAlign w:val="center"/>
          </w:tcPr>
          <w:p w14:paraId="7F18DB2C" w14:textId="409EFFAD" w:rsidR="006759AF" w:rsidRPr="006759AF" w:rsidRDefault="006759AF" w:rsidP="00BF656E">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 xml:space="preserve">(4) Jednotlivé veřejné služby či aktivity posuzováno odděleně od ostatních se jeví jako účelné. V součtu však převyšují možnosti rozpočtu organizace. </w:t>
            </w:r>
          </w:p>
        </w:tc>
        <w:tc>
          <w:tcPr>
            <w:tcW w:w="3544" w:type="dxa"/>
            <w:vAlign w:val="center"/>
          </w:tcPr>
          <w:p w14:paraId="779D17AC" w14:textId="7D8E3DF8"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(a) Posuzování všech činností v</w:t>
            </w:r>
            <w:r w:rsidR="001D1E13">
              <w:rPr>
                <w:rFonts w:asciiTheme="minorHAnsi" w:hAnsiTheme="minorHAnsi" w:cstheme="minorHAnsi"/>
                <w:sz w:val="20"/>
                <w:szCs w:val="20"/>
              </w:rPr>
              <w:t> </w:t>
            </w:r>
            <w:r w:rsidRPr="006759AF">
              <w:rPr>
                <w:rFonts w:asciiTheme="minorHAnsi" w:hAnsiTheme="minorHAnsi" w:cstheme="minorHAnsi"/>
                <w:sz w:val="20"/>
                <w:szCs w:val="20"/>
              </w:rPr>
              <w:t>globále</w:t>
            </w:r>
            <w:r w:rsidR="001D1E13">
              <w:rPr>
                <w:rFonts w:asciiTheme="minorHAnsi" w:hAnsiTheme="minorHAnsi" w:cstheme="minorHAnsi"/>
                <w:sz w:val="20"/>
                <w:szCs w:val="20"/>
              </w:rPr>
              <w:t>,</w:t>
            </w:r>
            <w:r w:rsidRPr="006759AF">
              <w:rPr>
                <w:rFonts w:asciiTheme="minorHAnsi" w:hAnsiTheme="minorHAnsi" w:cstheme="minorHAnsi"/>
                <w:sz w:val="20"/>
                <w:szCs w:val="20"/>
              </w:rPr>
              <w:t xml:space="preserve"> nejen separátně; provedení optimalizace.</w:t>
            </w:r>
          </w:p>
          <w:p w14:paraId="60A228E1"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(b) Využití benchmarkingu.</w:t>
            </w:r>
          </w:p>
          <w:p w14:paraId="48072245"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 xml:space="preserve">(c) Využití analýzy nákladů a užitků </w:t>
            </w:r>
          </w:p>
        </w:tc>
      </w:tr>
      <w:tr w:rsidR="006759AF" w:rsidRPr="006759AF" w14:paraId="74844DA0" w14:textId="77777777" w:rsidTr="00FB3215">
        <w:trPr>
          <w:trHeight w:val="362"/>
        </w:trPr>
        <w:tc>
          <w:tcPr>
            <w:tcW w:w="588" w:type="dxa"/>
            <w:vMerge/>
            <w:shd w:val="clear" w:color="auto" w:fill="EEECE1"/>
            <w:vAlign w:val="center"/>
          </w:tcPr>
          <w:p w14:paraId="129DE166" w14:textId="77777777" w:rsidR="006759AF" w:rsidRPr="006759AF" w:rsidRDefault="006759AF" w:rsidP="003A47BC">
            <w:pPr>
              <w:spacing w:line="240" w:lineRule="auto"/>
              <w:jc w:val="both"/>
              <w:rPr>
                <w:rFonts w:asciiTheme="minorHAnsi" w:hAnsiTheme="minorHAnsi" w:cstheme="minorHAnsi"/>
                <w:b/>
                <w:bCs/>
                <w:sz w:val="20"/>
                <w:szCs w:val="20"/>
              </w:rPr>
            </w:pPr>
          </w:p>
        </w:tc>
        <w:tc>
          <w:tcPr>
            <w:tcW w:w="5190" w:type="dxa"/>
            <w:vAlign w:val="center"/>
          </w:tcPr>
          <w:p w14:paraId="4DDCB303"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(5) Neúčelnost způsobená korupcí, například: (a) nepotřebné nebo z hlediska hodnoty pro zákazníka „předimenzované“ či předražené zakázky - nákupy či investice.  Tato příčina neúčelnosti je velmi významná. (b) nepotřebné pracovní pozice pro zaměstnávání politických podporovatelů, přátel.</w:t>
            </w:r>
          </w:p>
        </w:tc>
        <w:tc>
          <w:tcPr>
            <w:tcW w:w="3544" w:type="dxa"/>
            <w:vAlign w:val="center"/>
          </w:tcPr>
          <w:p w14:paraId="26CC5355" w14:textId="4B0CE32F"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(a) Přijmout principy</w:t>
            </w:r>
            <w:r w:rsidR="001D1E13">
              <w:rPr>
                <w:rFonts w:asciiTheme="minorHAnsi" w:hAnsiTheme="minorHAnsi" w:cstheme="minorHAnsi"/>
                <w:sz w:val="20"/>
                <w:szCs w:val="20"/>
              </w:rPr>
              <w:t xml:space="preserve"> </w:t>
            </w:r>
            <w:r w:rsidRPr="006759AF">
              <w:rPr>
                <w:rFonts w:asciiTheme="minorHAnsi" w:hAnsiTheme="minorHAnsi" w:cstheme="minorHAnsi"/>
                <w:sz w:val="20"/>
                <w:szCs w:val="20"/>
              </w:rPr>
              <w:t>a sdílet je s ostatními.</w:t>
            </w:r>
          </w:p>
          <w:p w14:paraId="07A5A42C"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(b) Prověřovat při zakázkách „hodnotu pro zákazníka“ a účelnost</w:t>
            </w:r>
          </w:p>
          <w:p w14:paraId="7897D99D" w14:textId="77777777" w:rsidR="006759AF" w:rsidRPr="006759AF" w:rsidRDefault="006759AF" w:rsidP="00FB3215">
            <w:pPr>
              <w:spacing w:line="240" w:lineRule="auto"/>
              <w:ind w:left="-57" w:right="-57"/>
              <w:rPr>
                <w:rFonts w:asciiTheme="minorHAnsi" w:hAnsiTheme="minorHAnsi" w:cstheme="minorHAnsi"/>
                <w:sz w:val="20"/>
                <w:szCs w:val="20"/>
              </w:rPr>
            </w:pPr>
            <w:r w:rsidRPr="006759AF">
              <w:rPr>
                <w:rFonts w:asciiTheme="minorHAnsi" w:hAnsiTheme="minorHAnsi" w:cstheme="minorHAnsi"/>
                <w:sz w:val="20"/>
                <w:szCs w:val="20"/>
              </w:rPr>
              <w:t>(c) Stanovit jasná pravidla pro zadávání, zveřejňovat informace o zakázkách.</w:t>
            </w:r>
          </w:p>
        </w:tc>
      </w:tr>
    </w:tbl>
    <w:p w14:paraId="4C735A2F" w14:textId="77777777" w:rsidR="00BF656E" w:rsidRPr="00FB3215" w:rsidRDefault="00BF656E" w:rsidP="00BF656E">
      <w:pPr>
        <w:pStyle w:val="A-pramen"/>
        <w:spacing w:after="120"/>
        <w:rPr>
          <w:rFonts w:asciiTheme="minorHAnsi" w:hAnsiTheme="minorHAnsi" w:cstheme="minorHAnsi"/>
          <w:i/>
          <w:szCs w:val="24"/>
          <w:lang w:val="cs-CZ"/>
        </w:rPr>
      </w:pPr>
      <w:r w:rsidRPr="00FB3215">
        <w:rPr>
          <w:rFonts w:asciiTheme="minorHAnsi" w:hAnsiTheme="minorHAnsi" w:cstheme="minorHAnsi"/>
          <w:i/>
          <w:szCs w:val="24"/>
          <w:lang w:val="cs-CZ"/>
        </w:rPr>
        <w:t xml:space="preserve">Zdroj: </w:t>
      </w:r>
      <w:r>
        <w:rPr>
          <w:rFonts w:asciiTheme="minorHAnsi" w:hAnsiTheme="minorHAnsi" w:cstheme="minorHAnsi"/>
          <w:i/>
          <w:szCs w:val="24"/>
          <w:lang w:val="cs-CZ"/>
        </w:rPr>
        <w:t>Ochrana, Půček (2012)</w:t>
      </w:r>
    </w:p>
    <w:p w14:paraId="2C402A68" w14:textId="1B0066A3" w:rsidR="003E065A" w:rsidRDefault="003E065A" w:rsidP="006759AF">
      <w:pPr>
        <w:jc w:val="both"/>
        <w:rPr>
          <w:rFonts w:asciiTheme="minorHAnsi" w:hAnsiTheme="minorHAnsi" w:cstheme="minorHAnsi"/>
        </w:rPr>
      </w:pPr>
    </w:p>
    <w:p w14:paraId="796E2E17" w14:textId="77777777" w:rsidR="00CF03B1" w:rsidRDefault="00CF03B1" w:rsidP="006759AF">
      <w:pPr>
        <w:jc w:val="both"/>
        <w:rPr>
          <w:rFonts w:asciiTheme="minorHAnsi" w:hAnsiTheme="minorHAnsi" w:cstheme="minorHAnsi"/>
        </w:rPr>
      </w:pPr>
    </w:p>
    <w:p w14:paraId="0CBA592B" w14:textId="62CC78AC" w:rsidR="006759AF" w:rsidRPr="006759AF" w:rsidRDefault="006759AF" w:rsidP="006759AF">
      <w:pPr>
        <w:jc w:val="both"/>
        <w:rPr>
          <w:rFonts w:asciiTheme="minorHAnsi" w:hAnsiTheme="minorHAnsi" w:cstheme="minorHAnsi"/>
        </w:rPr>
      </w:pPr>
      <w:r w:rsidRPr="006759AF">
        <w:rPr>
          <w:rFonts w:asciiTheme="minorHAnsi" w:hAnsiTheme="minorHAnsi" w:cstheme="minorHAnsi"/>
        </w:rPr>
        <w:t xml:space="preserve">Dalším druhem plýtvání je </w:t>
      </w:r>
      <w:r w:rsidRPr="006759AF">
        <w:rPr>
          <w:rFonts w:asciiTheme="minorHAnsi" w:hAnsiTheme="minorHAnsi" w:cstheme="minorHAnsi"/>
          <w:b/>
          <w:bCs/>
        </w:rPr>
        <w:t>zbytečná administrativní zátěž</w:t>
      </w:r>
      <w:r w:rsidRPr="006759AF">
        <w:rPr>
          <w:rFonts w:asciiTheme="minorHAnsi" w:hAnsiTheme="minorHAnsi" w:cstheme="minorHAnsi"/>
        </w:rPr>
        <w:t>, nadprodu</w:t>
      </w:r>
      <w:r w:rsidR="00B677AE">
        <w:rPr>
          <w:rFonts w:asciiTheme="minorHAnsi" w:hAnsiTheme="minorHAnsi" w:cstheme="minorHAnsi"/>
        </w:rPr>
        <w:t>kce (viz následující tabulka</w:t>
      </w:r>
      <w:r w:rsidRPr="006759AF">
        <w:rPr>
          <w:rFonts w:asciiTheme="minorHAnsi" w:hAnsiTheme="minorHAnsi" w:cstheme="minorHAnsi"/>
        </w:rPr>
        <w:t>). Je prováděno něco, co není k provedení dané činnosti nezbytné, nijak nezvyšuje hodnotu nebo nechrání oprávněný zájem (např. vliv na společnost, životní prostředí atd.). Týká se jak legislativních předpisů, tak vnitřních předpisů dané instituce. Otázky, které si pokládáme</w:t>
      </w:r>
      <w:r w:rsidR="00807AB1">
        <w:rPr>
          <w:rFonts w:asciiTheme="minorHAnsi" w:hAnsiTheme="minorHAnsi" w:cstheme="minorHAnsi"/>
        </w:rPr>
        <w:t>,</w:t>
      </w:r>
      <w:r w:rsidRPr="006759AF">
        <w:rPr>
          <w:rFonts w:asciiTheme="minorHAnsi" w:hAnsiTheme="minorHAnsi" w:cstheme="minorHAnsi"/>
        </w:rPr>
        <w:t xml:space="preserve"> jsou např. „Neděláme něco (při zachování účelu) zbytečně?“, „Proč musí aktivita proběhnout?“, „Musí (při zachování účelu) proběhnout v tomto rozsahu?“.</w:t>
      </w:r>
    </w:p>
    <w:p w14:paraId="091601AF" w14:textId="77777777" w:rsidR="00CF03B1" w:rsidRDefault="00CF03B1" w:rsidP="006759AF">
      <w:pPr>
        <w:jc w:val="both"/>
        <w:rPr>
          <w:rFonts w:asciiTheme="minorHAnsi" w:hAnsiTheme="minorHAnsi" w:cstheme="minorHAnsi"/>
          <w:i/>
        </w:rPr>
      </w:pPr>
    </w:p>
    <w:p w14:paraId="63FB791F" w14:textId="29AF5592" w:rsidR="006759AF" w:rsidRPr="006759AF" w:rsidRDefault="006759AF" w:rsidP="006759AF">
      <w:pPr>
        <w:jc w:val="both"/>
        <w:rPr>
          <w:rFonts w:asciiTheme="minorHAnsi" w:hAnsiTheme="minorHAnsi" w:cstheme="minorHAnsi"/>
          <w:i/>
        </w:rPr>
      </w:pPr>
      <w:r w:rsidRPr="006759AF">
        <w:rPr>
          <w:rFonts w:asciiTheme="minorHAnsi" w:hAnsiTheme="minorHAnsi" w:cstheme="minorHAnsi"/>
          <w:i/>
        </w:rPr>
        <w:t>Tab.</w:t>
      </w:r>
      <w:r w:rsidR="004F0E1D">
        <w:rPr>
          <w:rFonts w:asciiTheme="minorHAnsi" w:hAnsiTheme="minorHAnsi" w:cstheme="minorHAnsi"/>
          <w:i/>
        </w:rPr>
        <w:t xml:space="preserve"> 3</w:t>
      </w:r>
      <w:r w:rsidR="007B193B">
        <w:rPr>
          <w:rFonts w:asciiTheme="minorHAnsi" w:hAnsiTheme="minorHAnsi" w:cstheme="minorHAnsi"/>
          <w:i/>
        </w:rPr>
        <w:t>6</w:t>
      </w:r>
      <w:r w:rsidRPr="006759AF">
        <w:rPr>
          <w:rFonts w:asciiTheme="minorHAnsi" w:hAnsiTheme="minorHAnsi" w:cstheme="minorHAnsi"/>
          <w:i/>
        </w:rPr>
        <w:t xml:space="preserve"> Audit ztrát: 2. Zbytečná administrativní zátěž („nadprodukce“)</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8"/>
        <w:gridCol w:w="5757"/>
        <w:gridCol w:w="2977"/>
      </w:tblGrid>
      <w:tr w:rsidR="006759AF" w:rsidRPr="006A0F76" w14:paraId="40381C63" w14:textId="77777777" w:rsidTr="00A85C8A">
        <w:tc>
          <w:tcPr>
            <w:tcW w:w="588" w:type="dxa"/>
            <w:shd w:val="clear" w:color="auto" w:fill="EEECE1"/>
            <w:vAlign w:val="center"/>
          </w:tcPr>
          <w:p w14:paraId="4162846F"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 xml:space="preserve">Druh </w:t>
            </w:r>
          </w:p>
        </w:tc>
        <w:tc>
          <w:tcPr>
            <w:tcW w:w="5757" w:type="dxa"/>
            <w:shd w:val="clear" w:color="auto" w:fill="EEECE1"/>
            <w:vAlign w:val="center"/>
          </w:tcPr>
          <w:p w14:paraId="7B7F7EEC"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2977" w:type="dxa"/>
            <w:shd w:val="clear" w:color="auto" w:fill="EEECE1"/>
            <w:vAlign w:val="center"/>
          </w:tcPr>
          <w:p w14:paraId="65351373"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54730FC3" w14:textId="77777777" w:rsidTr="00BF656E">
        <w:trPr>
          <w:trHeight w:val="552"/>
        </w:trPr>
        <w:tc>
          <w:tcPr>
            <w:tcW w:w="588" w:type="dxa"/>
            <w:vMerge w:val="restart"/>
            <w:shd w:val="clear" w:color="auto" w:fill="EEECE1"/>
            <w:textDirection w:val="btLr"/>
            <w:vAlign w:val="center"/>
          </w:tcPr>
          <w:p w14:paraId="43A5D43C" w14:textId="77777777" w:rsidR="006759AF" w:rsidRPr="006759AF" w:rsidRDefault="006759AF" w:rsidP="00961E4F">
            <w:pPr>
              <w:spacing w:line="240" w:lineRule="auto"/>
              <w:ind w:left="113" w:right="113"/>
              <w:jc w:val="center"/>
              <w:rPr>
                <w:rFonts w:asciiTheme="minorHAnsi" w:hAnsiTheme="minorHAnsi" w:cstheme="minorHAnsi"/>
                <w:b/>
                <w:bCs/>
              </w:rPr>
            </w:pPr>
            <w:r w:rsidRPr="006759AF">
              <w:rPr>
                <w:rFonts w:asciiTheme="minorHAnsi" w:hAnsiTheme="minorHAnsi" w:cstheme="minorHAnsi"/>
                <w:b/>
                <w:bCs/>
              </w:rPr>
              <w:t>Zbytečná administrativní zátěž</w:t>
            </w:r>
          </w:p>
        </w:tc>
        <w:tc>
          <w:tcPr>
            <w:tcW w:w="5757" w:type="dxa"/>
            <w:vAlign w:val="center"/>
          </w:tcPr>
          <w:p w14:paraId="4BCBEC92"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 xml:space="preserve">Zátěž se může týkat jak zákazníků či občanů, tak zaměstnanců: </w:t>
            </w:r>
          </w:p>
          <w:p w14:paraId="693F70A8" w14:textId="1249774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(1) Zmatené či nadbytečné předpisy a legislativa, např.: (a) postupuje se podle předpisů (nebo jejich částí), které nikdy</w:t>
            </w:r>
            <w:r w:rsidR="00807AB1">
              <w:rPr>
                <w:rFonts w:asciiTheme="minorHAnsi" w:hAnsiTheme="minorHAnsi" w:cstheme="minorHAnsi"/>
                <w:sz w:val="20"/>
                <w:szCs w:val="20"/>
              </w:rPr>
              <w:t xml:space="preserve"> neměly být přijaty, protože </w:t>
            </w:r>
            <w:r w:rsidRPr="006759AF">
              <w:rPr>
                <w:rFonts w:asciiTheme="minorHAnsi" w:hAnsiTheme="minorHAnsi" w:cstheme="minorHAnsi"/>
                <w:sz w:val="20"/>
                <w:szCs w:val="20"/>
              </w:rPr>
              <w:t>tento druh činnosti nikdo nepotřebuje, nic se tím fakticky nového nevytváří, nic užitečného se tím nechrání, nebo se podstata jen komplikuje a byrokratizuje; (b) předpisy a legislativa jsou komplikované, umožňují mnoho výkladů a je nezbytné stále provádět právní rozbory, školit pracovníky; (c) zákony ukládají povinnosti, které zbytečně zvyšují administrativní zátěž.</w:t>
            </w:r>
          </w:p>
        </w:tc>
        <w:tc>
          <w:tcPr>
            <w:tcW w:w="2977" w:type="dxa"/>
            <w:vAlign w:val="center"/>
          </w:tcPr>
          <w:p w14:paraId="41D1D225" w14:textId="71FE1DBF"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(a) Zjednodušování, odstraňování zbytečných předpisů – například pomocí modelu SMC a pěti cest ke zjednodušování.</w:t>
            </w:r>
          </w:p>
          <w:p w14:paraId="6EFF552A" w14:textId="487DB990"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(b) Vyhodnocení všech interních předpisů (směrnic, řádů, procesních map, popisů práce at</w:t>
            </w:r>
            <w:r w:rsidR="00BF656E">
              <w:rPr>
                <w:rFonts w:asciiTheme="minorHAnsi" w:hAnsiTheme="minorHAnsi" w:cstheme="minorHAnsi"/>
                <w:sz w:val="20"/>
                <w:szCs w:val="20"/>
              </w:rPr>
              <w:t>d.) a zátěže z nich vznikající.</w:t>
            </w:r>
          </w:p>
        </w:tc>
      </w:tr>
      <w:tr w:rsidR="006759AF" w:rsidRPr="006759AF" w14:paraId="7C74C49C" w14:textId="77777777" w:rsidTr="00BF656E">
        <w:trPr>
          <w:trHeight w:val="849"/>
        </w:trPr>
        <w:tc>
          <w:tcPr>
            <w:tcW w:w="588" w:type="dxa"/>
            <w:vMerge/>
            <w:shd w:val="clear" w:color="auto" w:fill="EEECE1"/>
            <w:vAlign w:val="center"/>
          </w:tcPr>
          <w:p w14:paraId="5D308E12" w14:textId="77777777" w:rsidR="006759AF" w:rsidRPr="006759AF" w:rsidRDefault="006759AF" w:rsidP="00961E4F">
            <w:pPr>
              <w:spacing w:line="240" w:lineRule="auto"/>
              <w:jc w:val="both"/>
              <w:rPr>
                <w:rFonts w:asciiTheme="minorHAnsi" w:hAnsiTheme="minorHAnsi" w:cstheme="minorHAnsi"/>
                <w:b/>
                <w:bCs/>
                <w:sz w:val="20"/>
                <w:szCs w:val="20"/>
              </w:rPr>
            </w:pPr>
          </w:p>
        </w:tc>
        <w:tc>
          <w:tcPr>
            <w:tcW w:w="5757" w:type="dxa"/>
            <w:vAlign w:val="center"/>
          </w:tcPr>
          <w:p w14:paraId="2AC72766"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(2) Nesmyslná či nepotřebná práce a úkoly, například: (a) složitý a nepřehledný systém vnitřních předpisů; (b) vyplňují se formuláře a zprávy, které nenesou žádný užitek, nebo je prakticky nikdo nečte; (c) rozesílání nevyžádaných informací, příliš dlouhé rozdělovníky rozesílek; (c) pracuje se na něčem, co vlastně nikdo v současnosti nepotřebuje, nebo to bylo zadáno v době, kdy se tato práce jevila nebo byla užitečná, ale podmínky se změnily; (d) neúplné podklady pro rozhodování, nutnost se k problému opakovaně vracet</w:t>
            </w:r>
          </w:p>
        </w:tc>
        <w:tc>
          <w:tcPr>
            <w:tcW w:w="2977" w:type="dxa"/>
            <w:vAlign w:val="center"/>
          </w:tcPr>
          <w:p w14:paraId="353F4C3F"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 xml:space="preserve">(a) Prověření systému interních dokumentů a jejich maximální zjednodušení  </w:t>
            </w:r>
          </w:p>
          <w:p w14:paraId="585CDEB5"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(b) Audit všech trvalých úkolů zadaných v minulosti.</w:t>
            </w:r>
          </w:p>
          <w:p w14:paraId="7DD8AD14" w14:textId="63FE0F4B"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w:t>
            </w:r>
            <w:r w:rsidR="001D1E13">
              <w:rPr>
                <w:rFonts w:asciiTheme="minorHAnsi" w:hAnsiTheme="minorHAnsi" w:cstheme="minorHAnsi"/>
                <w:sz w:val="20"/>
                <w:szCs w:val="20"/>
              </w:rPr>
              <w:t>c</w:t>
            </w:r>
            <w:r w:rsidRPr="006759AF">
              <w:rPr>
                <w:rFonts w:asciiTheme="minorHAnsi" w:hAnsiTheme="minorHAnsi" w:cstheme="minorHAnsi"/>
                <w:sz w:val="20"/>
                <w:szCs w:val="20"/>
              </w:rPr>
              <w:t>) Ustavičná pozornost (bdělost) při zadávání každého úkolu, zda je skutečně nezbytný.</w:t>
            </w:r>
          </w:p>
        </w:tc>
      </w:tr>
    </w:tbl>
    <w:p w14:paraId="26A787B0" w14:textId="37480CF0" w:rsidR="006759AF" w:rsidRPr="00FB3215" w:rsidRDefault="004B0D06" w:rsidP="00FB3215">
      <w:pPr>
        <w:pStyle w:val="A-pramen"/>
        <w:spacing w:after="120"/>
        <w:rPr>
          <w:rFonts w:asciiTheme="minorHAnsi" w:hAnsiTheme="minorHAnsi" w:cstheme="minorHAnsi"/>
          <w:i/>
          <w:szCs w:val="24"/>
          <w:lang w:val="cs-CZ"/>
        </w:rPr>
      </w:pPr>
      <w:r w:rsidRPr="00FB3215">
        <w:rPr>
          <w:rFonts w:asciiTheme="minorHAnsi" w:hAnsiTheme="minorHAnsi" w:cstheme="minorHAnsi"/>
          <w:i/>
          <w:szCs w:val="24"/>
          <w:lang w:val="cs-CZ"/>
        </w:rPr>
        <w:t>Zdroj</w:t>
      </w:r>
      <w:r w:rsidR="006759AF" w:rsidRPr="00FB3215">
        <w:rPr>
          <w:rFonts w:asciiTheme="minorHAnsi" w:hAnsiTheme="minorHAnsi" w:cstheme="minorHAnsi"/>
          <w:i/>
          <w:szCs w:val="24"/>
          <w:lang w:val="cs-CZ"/>
        </w:rPr>
        <w:t xml:space="preserve">: </w:t>
      </w:r>
      <w:r w:rsidR="00BF656E">
        <w:rPr>
          <w:rFonts w:asciiTheme="minorHAnsi" w:hAnsiTheme="minorHAnsi" w:cstheme="minorHAnsi"/>
          <w:i/>
          <w:szCs w:val="24"/>
          <w:lang w:val="cs-CZ"/>
        </w:rPr>
        <w:t>Ochrana, Půček (2012)</w:t>
      </w:r>
    </w:p>
    <w:p w14:paraId="6CE1019C" w14:textId="77777777" w:rsidR="003E065A" w:rsidRDefault="003E065A" w:rsidP="00BF656E">
      <w:pPr>
        <w:pStyle w:val="Zkladntext"/>
        <w:spacing w:after="0"/>
        <w:rPr>
          <w:rFonts w:asciiTheme="minorHAnsi" w:hAnsiTheme="minorHAnsi" w:cstheme="minorHAnsi"/>
        </w:rPr>
      </w:pPr>
    </w:p>
    <w:p w14:paraId="5C2F2E23" w14:textId="0C134FF4" w:rsidR="00BF656E" w:rsidRPr="006759AF" w:rsidRDefault="006759AF" w:rsidP="00BF656E">
      <w:pPr>
        <w:pStyle w:val="Zkladntext"/>
        <w:spacing w:after="0"/>
        <w:rPr>
          <w:rFonts w:asciiTheme="minorHAnsi" w:hAnsiTheme="minorHAnsi" w:cstheme="minorHAnsi"/>
        </w:rPr>
      </w:pPr>
      <w:r w:rsidRPr="006759AF">
        <w:rPr>
          <w:rFonts w:asciiTheme="minorHAnsi" w:hAnsiTheme="minorHAnsi" w:cstheme="minorHAnsi"/>
        </w:rPr>
        <w:lastRenderedPageBreak/>
        <w:t xml:space="preserve">Třetí oblast ztrát řeší </w:t>
      </w:r>
      <w:r w:rsidR="00B677AE">
        <w:rPr>
          <w:rFonts w:asciiTheme="minorHAnsi" w:hAnsiTheme="minorHAnsi" w:cstheme="minorHAnsi"/>
          <w:lang w:val="cs-CZ"/>
        </w:rPr>
        <w:t xml:space="preserve">následující </w:t>
      </w:r>
      <w:r w:rsidR="00B677AE">
        <w:rPr>
          <w:rFonts w:asciiTheme="minorHAnsi" w:hAnsiTheme="minorHAnsi" w:cstheme="minorHAnsi"/>
        </w:rPr>
        <w:t>tabulka</w:t>
      </w:r>
      <w:r w:rsidRPr="006759AF">
        <w:rPr>
          <w:rFonts w:asciiTheme="minorHAnsi" w:hAnsiTheme="minorHAnsi" w:cstheme="minorHAnsi"/>
        </w:rPr>
        <w:t xml:space="preserve">. Jde o </w:t>
      </w:r>
      <w:r w:rsidRPr="006759AF">
        <w:rPr>
          <w:rFonts w:asciiTheme="minorHAnsi" w:hAnsiTheme="minorHAnsi" w:cstheme="minorHAnsi"/>
          <w:b/>
          <w:bCs/>
        </w:rPr>
        <w:t xml:space="preserve">čekání </w:t>
      </w:r>
      <w:r w:rsidRPr="006759AF">
        <w:rPr>
          <w:rFonts w:asciiTheme="minorHAnsi" w:hAnsiTheme="minorHAnsi" w:cstheme="minorHAnsi"/>
        </w:rPr>
        <w:t xml:space="preserve">(na podklady, informace, zákazníka), hledání (např. spisů, textů) a </w:t>
      </w:r>
      <w:r w:rsidRPr="006759AF">
        <w:rPr>
          <w:rFonts w:asciiTheme="minorHAnsi" w:hAnsiTheme="minorHAnsi" w:cstheme="minorHAnsi"/>
          <w:b/>
          <w:bCs/>
        </w:rPr>
        <w:t>nevytíženost</w:t>
      </w:r>
      <w:r w:rsidRPr="006759AF">
        <w:rPr>
          <w:rFonts w:asciiTheme="minorHAnsi" w:hAnsiTheme="minorHAnsi" w:cstheme="minorHAnsi"/>
        </w:rPr>
        <w:t xml:space="preserve"> zaměstnanců (např. špatné priority úkolů.) atd. </w:t>
      </w:r>
      <w:r w:rsidR="00BF656E" w:rsidRPr="006759AF">
        <w:rPr>
          <w:rFonts w:asciiTheme="minorHAnsi" w:hAnsiTheme="minorHAnsi" w:cstheme="minorHAnsi"/>
        </w:rPr>
        <w:t>Otázky, které si pokládáme jsou např. „Mají všichni zaměstnanci a týmy stanoveny parametry pro hodnocení výkonů a plnění cílů?“, „Jak budeme postupovat při náporu práce?“, „Jsou stanoveny a funkčně prověřeny všechny zastupitelnosti?“,  „Má každý zaměstnanec stanoveny dlouhodobé úkoly a je proškolen, kdy a jak na nich pracovat?“ atd.</w:t>
      </w:r>
    </w:p>
    <w:p w14:paraId="0B0BE3DE" w14:textId="392CF0F8" w:rsidR="006759AF" w:rsidRPr="006759AF" w:rsidRDefault="00B677AE" w:rsidP="006759AF">
      <w:pPr>
        <w:jc w:val="both"/>
        <w:rPr>
          <w:rFonts w:asciiTheme="minorHAnsi" w:hAnsiTheme="minorHAnsi" w:cstheme="minorHAnsi"/>
          <w:i/>
        </w:rPr>
      </w:pPr>
      <w:r>
        <w:rPr>
          <w:rFonts w:asciiTheme="minorHAnsi" w:hAnsiTheme="minorHAnsi" w:cstheme="minorHAnsi"/>
          <w:i/>
        </w:rPr>
        <w:t xml:space="preserve">Tab. </w:t>
      </w:r>
      <w:r w:rsidR="006759AF" w:rsidRPr="006759AF">
        <w:rPr>
          <w:rFonts w:asciiTheme="minorHAnsi" w:hAnsiTheme="minorHAnsi" w:cstheme="minorHAnsi"/>
          <w:i/>
        </w:rPr>
        <w:t xml:space="preserve"> </w:t>
      </w:r>
      <w:r w:rsidR="004F0E1D">
        <w:rPr>
          <w:rFonts w:asciiTheme="minorHAnsi" w:hAnsiTheme="minorHAnsi" w:cstheme="minorHAnsi"/>
          <w:i/>
        </w:rPr>
        <w:t>3</w:t>
      </w:r>
      <w:r w:rsidR="007B193B">
        <w:rPr>
          <w:rFonts w:asciiTheme="minorHAnsi" w:hAnsiTheme="minorHAnsi" w:cstheme="minorHAnsi"/>
          <w:i/>
        </w:rPr>
        <w:t>7</w:t>
      </w:r>
      <w:r w:rsidR="004F0E1D">
        <w:rPr>
          <w:rFonts w:asciiTheme="minorHAnsi" w:hAnsiTheme="minorHAnsi" w:cstheme="minorHAnsi"/>
          <w:i/>
        </w:rPr>
        <w:t xml:space="preserve"> </w:t>
      </w:r>
      <w:r w:rsidR="006759AF" w:rsidRPr="006759AF">
        <w:rPr>
          <w:rFonts w:asciiTheme="minorHAnsi" w:hAnsiTheme="minorHAnsi" w:cstheme="minorHAnsi"/>
          <w:i/>
        </w:rPr>
        <w:t>Audit ztrát: 3. Čekání, nevytíženost / přetíženost</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8"/>
        <w:gridCol w:w="5190"/>
        <w:gridCol w:w="3544"/>
      </w:tblGrid>
      <w:tr w:rsidR="006759AF" w:rsidRPr="006A0F76" w14:paraId="1DA8B9D8" w14:textId="77777777" w:rsidTr="00A85C8A">
        <w:tc>
          <w:tcPr>
            <w:tcW w:w="588" w:type="dxa"/>
            <w:shd w:val="clear" w:color="auto" w:fill="EEECE1"/>
            <w:vAlign w:val="center"/>
          </w:tcPr>
          <w:p w14:paraId="62316A2D"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 xml:space="preserve">Druh </w:t>
            </w:r>
          </w:p>
        </w:tc>
        <w:tc>
          <w:tcPr>
            <w:tcW w:w="5190" w:type="dxa"/>
            <w:shd w:val="clear" w:color="auto" w:fill="EEECE1"/>
            <w:vAlign w:val="center"/>
          </w:tcPr>
          <w:p w14:paraId="1CC338D6"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544" w:type="dxa"/>
            <w:shd w:val="clear" w:color="auto" w:fill="EEECE1"/>
            <w:vAlign w:val="center"/>
          </w:tcPr>
          <w:p w14:paraId="08682038"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1F11690B" w14:textId="77777777" w:rsidTr="00BF656E">
        <w:trPr>
          <w:trHeight w:val="378"/>
        </w:trPr>
        <w:tc>
          <w:tcPr>
            <w:tcW w:w="588" w:type="dxa"/>
            <w:vMerge w:val="restart"/>
            <w:shd w:val="clear" w:color="auto" w:fill="EEECE1"/>
            <w:textDirection w:val="btLr"/>
            <w:vAlign w:val="center"/>
          </w:tcPr>
          <w:p w14:paraId="6CEE6177" w14:textId="77777777" w:rsidR="006759AF" w:rsidRPr="006759AF" w:rsidRDefault="006759AF" w:rsidP="00961E4F">
            <w:pPr>
              <w:spacing w:line="240" w:lineRule="auto"/>
              <w:ind w:left="-57" w:right="-57"/>
              <w:jc w:val="center"/>
              <w:rPr>
                <w:rFonts w:asciiTheme="minorHAnsi" w:hAnsiTheme="minorHAnsi" w:cstheme="minorHAnsi"/>
                <w:b/>
                <w:bCs/>
              </w:rPr>
            </w:pPr>
            <w:r w:rsidRPr="006759AF">
              <w:rPr>
                <w:rFonts w:asciiTheme="minorHAnsi" w:hAnsiTheme="minorHAnsi" w:cstheme="minorHAnsi"/>
                <w:b/>
                <w:bCs/>
              </w:rPr>
              <w:t>Čekání, nevytíženost a přetíženost</w:t>
            </w:r>
          </w:p>
        </w:tc>
        <w:tc>
          <w:tcPr>
            <w:tcW w:w="5190" w:type="dxa"/>
            <w:vAlign w:val="center"/>
          </w:tcPr>
          <w:p w14:paraId="101E15CF"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 xml:space="preserve"> (1) Nejsou stanoveny jednoznačné požadavky na výkon každého zaměstnance, takže vedení ani neví, že někteří zaměstnanci nepracují naplno, respektive jsou nevytížení.</w:t>
            </w:r>
          </w:p>
        </w:tc>
        <w:tc>
          <w:tcPr>
            <w:tcW w:w="3544" w:type="dxa"/>
            <w:vAlign w:val="center"/>
          </w:tcPr>
          <w:p w14:paraId="6D37582D"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(a) Stanovení a trend „výkonnostních parametrů“ pro všechny zaměstnance.</w:t>
            </w:r>
          </w:p>
          <w:p w14:paraId="7F3E961A"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(b) Provádění benchmarkingu.</w:t>
            </w:r>
          </w:p>
        </w:tc>
      </w:tr>
      <w:tr w:rsidR="006759AF" w:rsidRPr="006759AF" w14:paraId="4F8F91E4" w14:textId="77777777" w:rsidTr="00BF656E">
        <w:trPr>
          <w:trHeight w:val="318"/>
        </w:trPr>
        <w:tc>
          <w:tcPr>
            <w:tcW w:w="588" w:type="dxa"/>
            <w:vMerge/>
            <w:shd w:val="clear" w:color="auto" w:fill="EEECE1"/>
            <w:vAlign w:val="center"/>
          </w:tcPr>
          <w:p w14:paraId="79F79FBD" w14:textId="77777777" w:rsidR="006759AF" w:rsidRPr="006759AF" w:rsidRDefault="006759AF" w:rsidP="00961E4F">
            <w:pPr>
              <w:spacing w:line="240" w:lineRule="auto"/>
              <w:ind w:left="-57" w:right="-57"/>
              <w:jc w:val="both"/>
              <w:rPr>
                <w:rFonts w:asciiTheme="minorHAnsi" w:hAnsiTheme="minorHAnsi" w:cstheme="minorHAnsi"/>
                <w:b/>
                <w:bCs/>
                <w:sz w:val="20"/>
                <w:szCs w:val="20"/>
              </w:rPr>
            </w:pPr>
          </w:p>
        </w:tc>
        <w:tc>
          <w:tcPr>
            <w:tcW w:w="5190" w:type="dxa"/>
            <w:vAlign w:val="center"/>
          </w:tcPr>
          <w:p w14:paraId="2BB80036"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(2) Práce je v průběhu roku velmi nerovnoměrně rozdělena (třeba i z objektivních důvodů) a počet pracovníků je nastaven na zajištění náporu (tedy maxima). Je argumentováno tím, že je nezbytné zajistit dostupnost služby.</w:t>
            </w:r>
          </w:p>
        </w:tc>
        <w:tc>
          <w:tcPr>
            <w:tcW w:w="3544" w:type="dxa"/>
            <w:vAlign w:val="center"/>
          </w:tcPr>
          <w:p w14:paraId="4CECD67B"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(a) Krátkodobé zvýšení pracovníků po dobu „špičky“ (např. přeřazením z jiných činností), úprava úkolů a týmů (zastupitelnost) tak, aby to bylo možné.</w:t>
            </w:r>
          </w:p>
          <w:p w14:paraId="34ED15BC"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(b) „Multiprofesní“ příprava ke zvýšení zastupitelnosti.</w:t>
            </w:r>
          </w:p>
          <w:p w14:paraId="06679A1A" w14:textId="23B475D3" w:rsidR="006759AF" w:rsidRPr="006759AF" w:rsidRDefault="00BF656E" w:rsidP="00BF656E">
            <w:pPr>
              <w:spacing w:line="240" w:lineRule="auto"/>
              <w:rPr>
                <w:rFonts w:asciiTheme="minorHAnsi" w:hAnsiTheme="minorHAnsi" w:cstheme="minorHAnsi"/>
                <w:sz w:val="20"/>
                <w:szCs w:val="20"/>
              </w:rPr>
            </w:pPr>
            <w:r>
              <w:rPr>
                <w:rFonts w:asciiTheme="minorHAnsi" w:hAnsiTheme="minorHAnsi" w:cstheme="minorHAnsi"/>
                <w:sz w:val="20"/>
                <w:szCs w:val="20"/>
              </w:rPr>
              <w:t xml:space="preserve">(c) Zvýšit kompetentnost </w:t>
            </w:r>
            <w:r w:rsidR="006759AF" w:rsidRPr="006759AF">
              <w:rPr>
                <w:rFonts w:asciiTheme="minorHAnsi" w:hAnsiTheme="minorHAnsi" w:cstheme="minorHAnsi"/>
                <w:sz w:val="20"/>
                <w:szCs w:val="20"/>
              </w:rPr>
              <w:t>(schopnost „vidět“ ztráty a zlepšení zastupitelnosti).</w:t>
            </w:r>
          </w:p>
        </w:tc>
      </w:tr>
      <w:tr w:rsidR="006759AF" w:rsidRPr="006759AF" w14:paraId="3157EAB0" w14:textId="77777777" w:rsidTr="00BF656E">
        <w:trPr>
          <w:trHeight w:val="318"/>
        </w:trPr>
        <w:tc>
          <w:tcPr>
            <w:tcW w:w="588" w:type="dxa"/>
            <w:vMerge/>
            <w:shd w:val="clear" w:color="auto" w:fill="EEECE1"/>
            <w:vAlign w:val="center"/>
          </w:tcPr>
          <w:p w14:paraId="51DCA561" w14:textId="77777777" w:rsidR="006759AF" w:rsidRPr="006759AF" w:rsidRDefault="006759AF" w:rsidP="00961E4F">
            <w:pPr>
              <w:spacing w:line="240" w:lineRule="auto"/>
              <w:ind w:left="-57" w:right="-57"/>
              <w:jc w:val="both"/>
              <w:rPr>
                <w:rFonts w:asciiTheme="minorHAnsi" w:hAnsiTheme="minorHAnsi" w:cstheme="minorHAnsi"/>
                <w:b/>
                <w:bCs/>
                <w:sz w:val="20"/>
                <w:szCs w:val="20"/>
              </w:rPr>
            </w:pPr>
          </w:p>
        </w:tc>
        <w:tc>
          <w:tcPr>
            <w:tcW w:w="5190" w:type="dxa"/>
            <w:vAlign w:val="center"/>
          </w:tcPr>
          <w:p w14:paraId="18C15401"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(3) Vedení dostatečně nezná náplň práce zaměstnanců a neprovádí úpravy při změnách. Každá změna činnosti musí současně znamenat změnu náplní a potřebná proškolení.</w:t>
            </w:r>
          </w:p>
        </w:tc>
        <w:tc>
          <w:tcPr>
            <w:tcW w:w="3544" w:type="dxa"/>
            <w:vAlign w:val="center"/>
          </w:tcPr>
          <w:p w14:paraId="4BC07511"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(a) Provádění pravidelného přezkoumání náplní zaměstnanců vzhledem k měnícím se potřebám.</w:t>
            </w:r>
          </w:p>
        </w:tc>
      </w:tr>
      <w:tr w:rsidR="006759AF" w:rsidRPr="006759AF" w14:paraId="2D289F35" w14:textId="77777777" w:rsidTr="00BF656E">
        <w:trPr>
          <w:trHeight w:val="318"/>
        </w:trPr>
        <w:tc>
          <w:tcPr>
            <w:tcW w:w="588" w:type="dxa"/>
            <w:vMerge/>
            <w:shd w:val="clear" w:color="auto" w:fill="EEECE1"/>
            <w:vAlign w:val="center"/>
          </w:tcPr>
          <w:p w14:paraId="14D32FCA" w14:textId="77777777" w:rsidR="006759AF" w:rsidRPr="006759AF" w:rsidRDefault="006759AF" w:rsidP="00961E4F">
            <w:pPr>
              <w:spacing w:line="240" w:lineRule="auto"/>
              <w:ind w:left="-57" w:right="-57"/>
              <w:jc w:val="both"/>
              <w:rPr>
                <w:rFonts w:asciiTheme="minorHAnsi" w:hAnsiTheme="minorHAnsi" w:cstheme="minorHAnsi"/>
                <w:b/>
                <w:bCs/>
                <w:sz w:val="20"/>
                <w:szCs w:val="20"/>
              </w:rPr>
            </w:pPr>
          </w:p>
        </w:tc>
        <w:tc>
          <w:tcPr>
            <w:tcW w:w="5190" w:type="dxa"/>
            <w:vAlign w:val="center"/>
          </w:tcPr>
          <w:p w14:paraId="04DD27A9"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(4) Prostoje způsobené (a) špatným řízením času, neplněním termínů, ztrátou dat, čekání na opozdilce porady, hledáním podkladů, zaměstnancům nebyly včas přiděleny úkoly, nepřijato rozhodnutí, čeká se na podklad od kolegy nebo (b) došlo k výpadku sítě či poruše vybavení.</w:t>
            </w:r>
          </w:p>
        </w:tc>
        <w:tc>
          <w:tcPr>
            <w:tcW w:w="3544" w:type="dxa"/>
            <w:vAlign w:val="center"/>
          </w:tcPr>
          <w:p w14:paraId="3347389D" w14:textId="4CD547FF"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 xml:space="preserve">(a) Naučit zaměstnance využívat vzniklý čas – např. plnění dlouhodobých úkolů. </w:t>
            </w:r>
          </w:p>
          <w:p w14:paraId="4E53BE0B"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(b) Zálohování dat.</w:t>
            </w:r>
          </w:p>
          <w:p w14:paraId="7DAE921F" w14:textId="023AD930"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 xml:space="preserve">(c) 5S, audit pracovišť </w:t>
            </w:r>
            <w:r w:rsidR="001D1E13">
              <w:rPr>
                <w:rFonts w:asciiTheme="minorHAnsi" w:hAnsiTheme="minorHAnsi" w:cstheme="minorHAnsi"/>
                <w:sz w:val="20"/>
                <w:szCs w:val="20"/>
              </w:rPr>
              <w:t>–</w:t>
            </w:r>
            <w:r w:rsidRPr="006759AF">
              <w:rPr>
                <w:rFonts w:asciiTheme="minorHAnsi" w:hAnsiTheme="minorHAnsi" w:cstheme="minorHAnsi"/>
                <w:sz w:val="20"/>
                <w:szCs w:val="20"/>
              </w:rPr>
              <w:t xml:space="preserve"> vizualizace</w:t>
            </w:r>
            <w:r w:rsidR="001D1E13">
              <w:rPr>
                <w:rFonts w:asciiTheme="minorHAnsi" w:hAnsiTheme="minorHAnsi" w:cstheme="minorHAnsi"/>
                <w:sz w:val="20"/>
                <w:szCs w:val="20"/>
              </w:rPr>
              <w:t>.</w:t>
            </w:r>
          </w:p>
        </w:tc>
      </w:tr>
      <w:tr w:rsidR="006759AF" w:rsidRPr="006759AF" w14:paraId="17C68130" w14:textId="77777777" w:rsidTr="00BF656E">
        <w:trPr>
          <w:trHeight w:val="127"/>
        </w:trPr>
        <w:tc>
          <w:tcPr>
            <w:tcW w:w="588" w:type="dxa"/>
            <w:vMerge/>
            <w:shd w:val="clear" w:color="auto" w:fill="EEECE1"/>
            <w:vAlign w:val="center"/>
          </w:tcPr>
          <w:p w14:paraId="0A70761F" w14:textId="77777777" w:rsidR="006759AF" w:rsidRPr="006759AF" w:rsidRDefault="006759AF" w:rsidP="00961E4F">
            <w:pPr>
              <w:spacing w:line="240" w:lineRule="auto"/>
              <w:jc w:val="both"/>
              <w:rPr>
                <w:rFonts w:asciiTheme="minorHAnsi" w:hAnsiTheme="minorHAnsi" w:cstheme="minorHAnsi"/>
                <w:b/>
                <w:bCs/>
                <w:sz w:val="20"/>
                <w:szCs w:val="20"/>
              </w:rPr>
            </w:pPr>
          </w:p>
        </w:tc>
        <w:tc>
          <w:tcPr>
            <w:tcW w:w="5190" w:type="dxa"/>
            <w:vAlign w:val="center"/>
          </w:tcPr>
          <w:p w14:paraId="177029C7" w14:textId="77777777"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(5) Přetíženost určitých klíčových zaměstnanců, u kterých se hromadí úkoly, na kterých jsou závislí další zaměstnanci, může vést k velkým ztrátám – jde o tak zvaná „úzká místa“ – viz metoda TOC.</w:t>
            </w:r>
          </w:p>
        </w:tc>
        <w:tc>
          <w:tcPr>
            <w:tcW w:w="3544" w:type="dxa"/>
            <w:vAlign w:val="center"/>
          </w:tcPr>
          <w:p w14:paraId="44FF78B5" w14:textId="1E55DA6C" w:rsidR="006759AF" w:rsidRPr="006759AF" w:rsidRDefault="006759AF" w:rsidP="00BF656E">
            <w:pPr>
              <w:spacing w:line="240" w:lineRule="auto"/>
              <w:rPr>
                <w:rFonts w:asciiTheme="minorHAnsi" w:hAnsiTheme="minorHAnsi" w:cstheme="minorHAnsi"/>
                <w:sz w:val="20"/>
                <w:szCs w:val="20"/>
              </w:rPr>
            </w:pPr>
            <w:r w:rsidRPr="006759AF">
              <w:rPr>
                <w:rFonts w:asciiTheme="minorHAnsi" w:hAnsiTheme="minorHAnsi" w:cstheme="minorHAnsi"/>
                <w:sz w:val="20"/>
                <w:szCs w:val="20"/>
              </w:rPr>
              <w:t>(a) Včasné nalezení „úzkých míst“ a jejich adekvátní posílení (např. pomocí priori</w:t>
            </w:r>
            <w:r w:rsidR="001D1E13">
              <w:rPr>
                <w:rFonts w:asciiTheme="minorHAnsi" w:hAnsiTheme="minorHAnsi" w:cstheme="minorHAnsi"/>
                <w:sz w:val="20"/>
                <w:szCs w:val="20"/>
              </w:rPr>
              <w:t>ti</w:t>
            </w:r>
            <w:r w:rsidRPr="006759AF">
              <w:rPr>
                <w:rFonts w:asciiTheme="minorHAnsi" w:hAnsiTheme="minorHAnsi" w:cstheme="minorHAnsi"/>
                <w:sz w:val="20"/>
                <w:szCs w:val="20"/>
              </w:rPr>
              <w:t>zace úkolů, přeřazením vybraných úkolů jinam či posílením).</w:t>
            </w:r>
          </w:p>
        </w:tc>
      </w:tr>
    </w:tbl>
    <w:p w14:paraId="3556C237" w14:textId="45101BE1" w:rsidR="006759AF" w:rsidRPr="00FB3215" w:rsidRDefault="004B0D06" w:rsidP="00FB3215">
      <w:pPr>
        <w:pStyle w:val="A-pramen"/>
        <w:spacing w:after="120"/>
        <w:rPr>
          <w:rFonts w:asciiTheme="minorHAnsi" w:hAnsiTheme="minorHAnsi" w:cstheme="minorHAnsi"/>
          <w:i/>
          <w:szCs w:val="24"/>
          <w:lang w:val="cs-CZ"/>
        </w:rPr>
      </w:pPr>
      <w:r>
        <w:rPr>
          <w:rFonts w:asciiTheme="minorHAnsi" w:hAnsiTheme="minorHAnsi" w:cstheme="minorHAnsi"/>
          <w:i/>
          <w:szCs w:val="24"/>
          <w:lang w:val="cs-CZ"/>
        </w:rPr>
        <w:t>Zdroj</w:t>
      </w:r>
      <w:r w:rsidR="006759AF" w:rsidRPr="00FB3215">
        <w:rPr>
          <w:rFonts w:asciiTheme="minorHAnsi" w:hAnsiTheme="minorHAnsi" w:cstheme="minorHAnsi"/>
          <w:i/>
          <w:szCs w:val="24"/>
          <w:lang w:val="cs-CZ"/>
        </w:rPr>
        <w:t xml:space="preserve">: </w:t>
      </w:r>
      <w:r w:rsidR="00BF656E">
        <w:rPr>
          <w:rFonts w:asciiTheme="minorHAnsi" w:hAnsiTheme="minorHAnsi" w:cstheme="minorHAnsi"/>
          <w:i/>
          <w:szCs w:val="24"/>
          <w:lang w:val="cs-CZ"/>
        </w:rPr>
        <w:t>Ochrana, Půček (2012)</w:t>
      </w:r>
      <w:r w:rsidR="006759AF" w:rsidRPr="00FB3215">
        <w:rPr>
          <w:rFonts w:asciiTheme="minorHAnsi" w:hAnsiTheme="minorHAnsi" w:cstheme="minorHAnsi"/>
          <w:i/>
          <w:szCs w:val="24"/>
          <w:lang w:val="cs-CZ"/>
        </w:rPr>
        <w:t xml:space="preserve"> </w:t>
      </w:r>
    </w:p>
    <w:p w14:paraId="17A0B4A5" w14:textId="77777777" w:rsidR="00CF03B1" w:rsidRDefault="00CF03B1" w:rsidP="006759AF">
      <w:pPr>
        <w:pStyle w:val="Zkladntext"/>
        <w:spacing w:after="0"/>
        <w:rPr>
          <w:rFonts w:asciiTheme="minorHAnsi" w:hAnsiTheme="minorHAnsi" w:cstheme="minorHAnsi"/>
        </w:rPr>
      </w:pPr>
    </w:p>
    <w:p w14:paraId="3B01DDD8" w14:textId="77777777" w:rsidR="00C7187C" w:rsidRDefault="00C7187C" w:rsidP="006759AF">
      <w:pPr>
        <w:pStyle w:val="Zkladntext"/>
        <w:spacing w:after="0"/>
        <w:rPr>
          <w:rFonts w:asciiTheme="minorHAnsi" w:hAnsiTheme="minorHAnsi" w:cstheme="minorHAnsi"/>
        </w:rPr>
      </w:pPr>
    </w:p>
    <w:p w14:paraId="0FC0EFAE" w14:textId="77777777" w:rsidR="00C7187C" w:rsidRDefault="00C7187C" w:rsidP="006759AF">
      <w:pPr>
        <w:pStyle w:val="Zkladntext"/>
        <w:spacing w:after="0"/>
        <w:rPr>
          <w:rFonts w:asciiTheme="minorHAnsi" w:hAnsiTheme="minorHAnsi" w:cstheme="minorHAnsi"/>
        </w:rPr>
      </w:pPr>
    </w:p>
    <w:p w14:paraId="121FA63F" w14:textId="77777777" w:rsidR="00C7187C" w:rsidRDefault="00C7187C" w:rsidP="006759AF">
      <w:pPr>
        <w:pStyle w:val="Zkladntext"/>
        <w:spacing w:after="0"/>
        <w:rPr>
          <w:rFonts w:asciiTheme="minorHAnsi" w:hAnsiTheme="minorHAnsi" w:cstheme="minorHAnsi"/>
        </w:rPr>
      </w:pPr>
    </w:p>
    <w:p w14:paraId="3CCC372A" w14:textId="6D989882" w:rsidR="006759AF" w:rsidRPr="006759AF" w:rsidRDefault="006759AF" w:rsidP="006759AF">
      <w:pPr>
        <w:pStyle w:val="Zkladntext"/>
        <w:spacing w:after="0"/>
        <w:rPr>
          <w:rFonts w:asciiTheme="minorHAnsi" w:hAnsiTheme="minorHAnsi" w:cstheme="minorHAnsi"/>
          <w:i/>
          <w:iCs/>
          <w:sz w:val="22"/>
          <w:szCs w:val="22"/>
        </w:rPr>
      </w:pPr>
      <w:r w:rsidRPr="006759AF">
        <w:rPr>
          <w:rFonts w:asciiTheme="minorHAnsi" w:hAnsiTheme="minorHAnsi" w:cstheme="minorHAnsi"/>
        </w:rPr>
        <w:t xml:space="preserve">Zatímco u výrobních podniků se čtvrtá oblast se týká zejména zásob, u veřejné správy jde hlavně o </w:t>
      </w:r>
      <w:r w:rsidRPr="006759AF">
        <w:rPr>
          <w:rFonts w:asciiTheme="minorHAnsi" w:hAnsiTheme="minorHAnsi" w:cstheme="minorHAnsi"/>
          <w:b/>
          <w:bCs/>
        </w:rPr>
        <w:t>nadbytečný majetek, vybavení, předimenzované kanceláře</w:t>
      </w:r>
      <w:r w:rsidRPr="006759AF">
        <w:rPr>
          <w:rFonts w:asciiTheme="minorHAnsi" w:hAnsiTheme="minorHAnsi" w:cstheme="minorHAnsi"/>
        </w:rPr>
        <w:t xml:space="preserve"> (prostory), ale také nadbytečné záso</w:t>
      </w:r>
      <w:r w:rsidR="00BF656E">
        <w:rPr>
          <w:rFonts w:asciiTheme="minorHAnsi" w:hAnsiTheme="minorHAnsi" w:cstheme="minorHAnsi"/>
        </w:rPr>
        <w:t>by, materiál, zprávy, informace</w:t>
      </w:r>
      <w:r w:rsidRPr="006759AF">
        <w:rPr>
          <w:rFonts w:asciiTheme="minorHAnsi" w:hAnsiTheme="minorHAnsi" w:cstheme="minorHAnsi"/>
        </w:rPr>
        <w:t>. Otázky, které si pokládáme jsou např. „Skutečně je toto vybavení (s těmito parametry) nezbytné?“, „Potřebujeme tak velké prostory?“, „Musí tuto informaci dostat všichni tito kolegové?“ atd.</w:t>
      </w:r>
    </w:p>
    <w:p w14:paraId="4933BF12" w14:textId="77777777" w:rsidR="00C7187C" w:rsidRDefault="00C7187C" w:rsidP="006759AF">
      <w:pPr>
        <w:jc w:val="both"/>
        <w:rPr>
          <w:rFonts w:asciiTheme="minorHAnsi" w:hAnsiTheme="minorHAnsi" w:cstheme="minorHAnsi"/>
          <w:i/>
        </w:rPr>
      </w:pPr>
    </w:p>
    <w:p w14:paraId="061EEE0B" w14:textId="77777777" w:rsidR="00C7187C" w:rsidRDefault="00C7187C" w:rsidP="006759AF">
      <w:pPr>
        <w:jc w:val="both"/>
        <w:rPr>
          <w:rFonts w:asciiTheme="minorHAnsi" w:hAnsiTheme="minorHAnsi" w:cstheme="minorHAnsi"/>
          <w:i/>
        </w:rPr>
      </w:pPr>
    </w:p>
    <w:p w14:paraId="016D15FC" w14:textId="1FA488C0" w:rsidR="006759AF" w:rsidRPr="006759AF" w:rsidRDefault="006759AF" w:rsidP="006759AF">
      <w:pPr>
        <w:jc w:val="both"/>
        <w:rPr>
          <w:rFonts w:asciiTheme="minorHAnsi" w:hAnsiTheme="minorHAnsi" w:cstheme="minorHAnsi"/>
          <w:i/>
        </w:rPr>
      </w:pPr>
      <w:r w:rsidRPr="006759AF">
        <w:rPr>
          <w:rFonts w:asciiTheme="minorHAnsi" w:hAnsiTheme="minorHAnsi" w:cstheme="minorHAnsi"/>
          <w:i/>
        </w:rPr>
        <w:lastRenderedPageBreak/>
        <w:t xml:space="preserve">Tab. </w:t>
      </w:r>
      <w:r w:rsidR="004F0E1D">
        <w:rPr>
          <w:rFonts w:asciiTheme="minorHAnsi" w:hAnsiTheme="minorHAnsi" w:cstheme="minorHAnsi"/>
          <w:i/>
        </w:rPr>
        <w:t>3</w:t>
      </w:r>
      <w:r w:rsidR="007B193B">
        <w:rPr>
          <w:rFonts w:asciiTheme="minorHAnsi" w:hAnsiTheme="minorHAnsi" w:cstheme="minorHAnsi"/>
          <w:i/>
        </w:rPr>
        <w:t>8</w:t>
      </w:r>
      <w:r w:rsidR="004F0E1D">
        <w:rPr>
          <w:rFonts w:asciiTheme="minorHAnsi" w:hAnsiTheme="minorHAnsi" w:cstheme="minorHAnsi"/>
          <w:i/>
        </w:rPr>
        <w:t xml:space="preserve"> </w:t>
      </w:r>
      <w:r w:rsidRPr="006759AF">
        <w:rPr>
          <w:rFonts w:asciiTheme="minorHAnsi" w:hAnsiTheme="minorHAnsi" w:cstheme="minorHAnsi"/>
          <w:i/>
        </w:rPr>
        <w:t>Audit ztrát: 4. Nadbytečný materiál, vybavení, majetek, prostory a informace</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5376"/>
        <w:gridCol w:w="3118"/>
      </w:tblGrid>
      <w:tr w:rsidR="006759AF" w:rsidRPr="006A0F76" w14:paraId="1CDBCB82" w14:textId="77777777" w:rsidTr="00A85C8A">
        <w:tc>
          <w:tcPr>
            <w:tcW w:w="828" w:type="dxa"/>
            <w:shd w:val="clear" w:color="auto" w:fill="EEECE1"/>
            <w:vAlign w:val="center"/>
          </w:tcPr>
          <w:p w14:paraId="50F12236"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Druh</w:t>
            </w:r>
          </w:p>
        </w:tc>
        <w:tc>
          <w:tcPr>
            <w:tcW w:w="5376" w:type="dxa"/>
            <w:shd w:val="clear" w:color="auto" w:fill="EEECE1"/>
            <w:vAlign w:val="center"/>
          </w:tcPr>
          <w:p w14:paraId="4DBA5E44"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118" w:type="dxa"/>
            <w:shd w:val="clear" w:color="auto" w:fill="EEECE1"/>
            <w:vAlign w:val="center"/>
          </w:tcPr>
          <w:p w14:paraId="01BF242F"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18E1DFC8" w14:textId="77777777" w:rsidTr="00A85C8A">
        <w:trPr>
          <w:trHeight w:val="1371"/>
        </w:trPr>
        <w:tc>
          <w:tcPr>
            <w:tcW w:w="828" w:type="dxa"/>
            <w:vMerge w:val="restart"/>
            <w:shd w:val="clear" w:color="auto" w:fill="EEECE1"/>
            <w:textDirection w:val="btLr"/>
            <w:vAlign w:val="center"/>
          </w:tcPr>
          <w:p w14:paraId="371B090E" w14:textId="77777777" w:rsidR="006759AF" w:rsidRPr="006759AF" w:rsidRDefault="006759AF" w:rsidP="00961E4F">
            <w:pPr>
              <w:spacing w:line="204" w:lineRule="auto"/>
              <w:ind w:left="57" w:right="57"/>
              <w:jc w:val="center"/>
              <w:rPr>
                <w:rFonts w:asciiTheme="minorHAnsi" w:hAnsiTheme="minorHAnsi" w:cstheme="minorHAnsi"/>
                <w:b/>
                <w:bCs/>
              </w:rPr>
            </w:pPr>
            <w:r w:rsidRPr="006759AF">
              <w:rPr>
                <w:rFonts w:asciiTheme="minorHAnsi" w:hAnsiTheme="minorHAnsi" w:cstheme="minorHAnsi"/>
                <w:b/>
                <w:bCs/>
                <w:sz w:val="22"/>
                <w:szCs w:val="22"/>
              </w:rPr>
              <w:t>Nadbytečný materiál, vybavení, majetek, prostor, zprávy a informace</w:t>
            </w:r>
          </w:p>
        </w:tc>
        <w:tc>
          <w:tcPr>
            <w:tcW w:w="5376" w:type="dxa"/>
            <w:vAlign w:val="center"/>
          </w:tcPr>
          <w:p w14:paraId="23372BDD" w14:textId="193E6843"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(1) Nevyužívaný majetek, zbytečné investice, např.: (a) nedůsledné provádění inventarizace majetku a procesu prodeje nadbytečného majetku. Není jasné, která část majetku je nezbytná pro plnění poslání (a která je nadbytečná a svými provozními náklady jen zatěžuje); (b) zdlouhavý nebo nehospodárný prodej nadbytečného majetku; (c) provádění neúčelných nákupů a investic</w:t>
            </w:r>
          </w:p>
        </w:tc>
        <w:tc>
          <w:tcPr>
            <w:tcW w:w="3118" w:type="dxa"/>
            <w:vAlign w:val="center"/>
          </w:tcPr>
          <w:p w14:paraId="169A8598"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(a) Důsledné inventury.</w:t>
            </w:r>
          </w:p>
          <w:p w14:paraId="4103D68F"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(b) Pravidelná optimalizace majetku, investic, nákupů.</w:t>
            </w:r>
          </w:p>
          <w:p w14:paraId="4B4B0A95"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(c) Transparentní a rychlý postup při prodeji nepotřebného majetku (při respektování 3E).</w:t>
            </w:r>
          </w:p>
        </w:tc>
      </w:tr>
      <w:tr w:rsidR="006759AF" w:rsidRPr="006759AF" w14:paraId="7CED6319" w14:textId="77777777" w:rsidTr="00A85C8A">
        <w:trPr>
          <w:trHeight w:val="350"/>
        </w:trPr>
        <w:tc>
          <w:tcPr>
            <w:tcW w:w="828" w:type="dxa"/>
            <w:vMerge/>
            <w:shd w:val="clear" w:color="auto" w:fill="EEECE1"/>
            <w:textDirection w:val="btLr"/>
            <w:vAlign w:val="center"/>
          </w:tcPr>
          <w:p w14:paraId="2C52B37B" w14:textId="77777777" w:rsidR="006759AF" w:rsidRPr="006759AF" w:rsidRDefault="006759AF" w:rsidP="00961E4F">
            <w:pPr>
              <w:spacing w:line="240" w:lineRule="auto"/>
              <w:ind w:left="-57" w:right="-57"/>
              <w:jc w:val="both"/>
              <w:rPr>
                <w:rFonts w:asciiTheme="minorHAnsi" w:hAnsiTheme="minorHAnsi" w:cstheme="minorHAnsi"/>
                <w:b/>
                <w:bCs/>
              </w:rPr>
            </w:pPr>
          </w:p>
        </w:tc>
        <w:tc>
          <w:tcPr>
            <w:tcW w:w="5376" w:type="dxa"/>
            <w:vAlign w:val="center"/>
          </w:tcPr>
          <w:p w14:paraId="7BBC3585"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(2) Více vybavení nebo prostor (např. kancelářských, provozních) než je skutečně nezbytné.</w:t>
            </w:r>
          </w:p>
        </w:tc>
        <w:tc>
          <w:tcPr>
            <w:tcW w:w="3118" w:type="dxa"/>
            <w:vAlign w:val="center"/>
          </w:tcPr>
          <w:p w14:paraId="7E5E2639" w14:textId="0A32A344"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 xml:space="preserve">(a) Stanovení standardu </w:t>
            </w:r>
            <w:r w:rsidR="00807AB1" w:rsidRPr="006759AF">
              <w:rPr>
                <w:rFonts w:asciiTheme="minorHAnsi" w:hAnsiTheme="minorHAnsi" w:cstheme="minorHAnsi"/>
                <w:sz w:val="20"/>
                <w:szCs w:val="20"/>
              </w:rPr>
              <w:t>vybavení (a prověřování</w:t>
            </w:r>
            <w:r w:rsidRPr="006759AF">
              <w:rPr>
                <w:rFonts w:asciiTheme="minorHAnsi" w:hAnsiTheme="minorHAnsi" w:cstheme="minorHAnsi"/>
                <w:sz w:val="20"/>
                <w:szCs w:val="20"/>
              </w:rPr>
              <w:t xml:space="preserve"> jeho adekvátnosti), optimalizace prostor a vybavení</w:t>
            </w:r>
            <w:r w:rsidR="001D1E13">
              <w:rPr>
                <w:rFonts w:asciiTheme="minorHAnsi" w:hAnsiTheme="minorHAnsi" w:cstheme="minorHAnsi"/>
                <w:sz w:val="20"/>
                <w:szCs w:val="20"/>
              </w:rPr>
              <w:t>.</w:t>
            </w:r>
          </w:p>
        </w:tc>
      </w:tr>
      <w:tr w:rsidR="006759AF" w:rsidRPr="006759AF" w14:paraId="7D84C832" w14:textId="77777777" w:rsidTr="00A85C8A">
        <w:trPr>
          <w:trHeight w:val="234"/>
        </w:trPr>
        <w:tc>
          <w:tcPr>
            <w:tcW w:w="828" w:type="dxa"/>
            <w:vMerge/>
            <w:shd w:val="clear" w:color="auto" w:fill="EEECE1"/>
            <w:textDirection w:val="btLr"/>
            <w:vAlign w:val="center"/>
          </w:tcPr>
          <w:p w14:paraId="39FFA2CE" w14:textId="77777777" w:rsidR="006759AF" w:rsidRPr="006759AF" w:rsidRDefault="006759AF" w:rsidP="00961E4F">
            <w:pPr>
              <w:spacing w:line="240" w:lineRule="auto"/>
              <w:ind w:left="-57" w:right="-57"/>
              <w:jc w:val="both"/>
              <w:rPr>
                <w:rFonts w:asciiTheme="minorHAnsi" w:hAnsiTheme="minorHAnsi" w:cstheme="minorHAnsi"/>
                <w:b/>
                <w:bCs/>
              </w:rPr>
            </w:pPr>
          </w:p>
        </w:tc>
        <w:tc>
          <w:tcPr>
            <w:tcW w:w="5376" w:type="dxa"/>
            <w:vAlign w:val="center"/>
          </w:tcPr>
          <w:p w14:paraId="1F1581E5"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(3) Nadbytečné zásoby, materiál</w:t>
            </w:r>
          </w:p>
        </w:tc>
        <w:tc>
          <w:tcPr>
            <w:tcW w:w="3118" w:type="dxa"/>
            <w:vAlign w:val="center"/>
          </w:tcPr>
          <w:p w14:paraId="1724E57E" w14:textId="5A527A00"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(a) Optimalizace zásob a materiálu</w:t>
            </w:r>
            <w:r w:rsidR="001D1E13">
              <w:rPr>
                <w:rFonts w:asciiTheme="minorHAnsi" w:hAnsiTheme="minorHAnsi" w:cstheme="minorHAnsi"/>
                <w:sz w:val="20"/>
                <w:szCs w:val="20"/>
              </w:rPr>
              <w:t>.</w:t>
            </w:r>
          </w:p>
        </w:tc>
      </w:tr>
      <w:tr w:rsidR="006759AF" w:rsidRPr="006759AF" w14:paraId="19D3C88B" w14:textId="77777777" w:rsidTr="00A85C8A">
        <w:trPr>
          <w:trHeight w:val="370"/>
        </w:trPr>
        <w:tc>
          <w:tcPr>
            <w:tcW w:w="828" w:type="dxa"/>
            <w:vMerge/>
            <w:shd w:val="clear" w:color="auto" w:fill="EEECE1"/>
            <w:vAlign w:val="center"/>
          </w:tcPr>
          <w:p w14:paraId="6A01138F" w14:textId="77777777" w:rsidR="006759AF" w:rsidRPr="006759AF" w:rsidRDefault="006759AF" w:rsidP="00961E4F">
            <w:pPr>
              <w:spacing w:line="240" w:lineRule="auto"/>
              <w:jc w:val="both"/>
              <w:rPr>
                <w:rFonts w:asciiTheme="minorHAnsi" w:hAnsiTheme="minorHAnsi" w:cstheme="minorHAnsi"/>
                <w:b/>
                <w:bCs/>
                <w:sz w:val="20"/>
                <w:szCs w:val="20"/>
              </w:rPr>
            </w:pPr>
          </w:p>
        </w:tc>
        <w:tc>
          <w:tcPr>
            <w:tcW w:w="5376" w:type="dxa"/>
            <w:vAlign w:val="center"/>
          </w:tcPr>
          <w:p w14:paraId="46583648"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(4) Nadbytečné informace, zprávy, příliš rozsáhlé rozdělovníky rozesílaných zpráv, duplicitní ukládání dat</w:t>
            </w:r>
          </w:p>
        </w:tc>
        <w:tc>
          <w:tcPr>
            <w:tcW w:w="3118" w:type="dxa"/>
            <w:vAlign w:val="center"/>
          </w:tcPr>
          <w:p w14:paraId="4127401F" w14:textId="53AE21C6"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(a) Optimalizace informačních toků, rozdělovníků, zálohování</w:t>
            </w:r>
            <w:r w:rsidR="001D1E13">
              <w:rPr>
                <w:rFonts w:asciiTheme="minorHAnsi" w:hAnsiTheme="minorHAnsi" w:cstheme="minorHAnsi"/>
                <w:sz w:val="20"/>
                <w:szCs w:val="20"/>
              </w:rPr>
              <w:t>.</w:t>
            </w:r>
          </w:p>
        </w:tc>
      </w:tr>
    </w:tbl>
    <w:p w14:paraId="6CC149D2" w14:textId="4CFDDE0C" w:rsidR="006759AF" w:rsidRPr="00FB3215" w:rsidRDefault="004B0D06" w:rsidP="00FB3215">
      <w:pPr>
        <w:pStyle w:val="A-pramen"/>
        <w:spacing w:after="120"/>
        <w:rPr>
          <w:rFonts w:asciiTheme="minorHAnsi" w:hAnsiTheme="minorHAnsi" w:cstheme="minorHAnsi"/>
          <w:i/>
          <w:szCs w:val="24"/>
          <w:lang w:val="cs-CZ"/>
        </w:rPr>
      </w:pPr>
      <w:r>
        <w:rPr>
          <w:rFonts w:asciiTheme="minorHAnsi" w:hAnsiTheme="minorHAnsi" w:cstheme="minorHAnsi"/>
          <w:i/>
          <w:szCs w:val="24"/>
          <w:lang w:val="cs-CZ"/>
        </w:rPr>
        <w:t xml:space="preserve">Zdroj: </w:t>
      </w:r>
      <w:r w:rsidR="00BF656E">
        <w:rPr>
          <w:rFonts w:asciiTheme="minorHAnsi" w:hAnsiTheme="minorHAnsi" w:cstheme="minorHAnsi"/>
          <w:i/>
          <w:szCs w:val="24"/>
          <w:lang w:val="cs-CZ"/>
        </w:rPr>
        <w:t>Ochrana, Půček (2012)</w:t>
      </w:r>
      <w:r w:rsidR="006759AF" w:rsidRPr="00FB3215">
        <w:rPr>
          <w:rFonts w:asciiTheme="minorHAnsi" w:hAnsiTheme="minorHAnsi" w:cstheme="minorHAnsi"/>
          <w:i/>
          <w:szCs w:val="24"/>
          <w:lang w:val="cs-CZ"/>
        </w:rPr>
        <w:t xml:space="preserve"> </w:t>
      </w:r>
    </w:p>
    <w:p w14:paraId="487FD2BD" w14:textId="77777777" w:rsidR="00C7187C" w:rsidRDefault="00C7187C" w:rsidP="006759AF">
      <w:pPr>
        <w:jc w:val="both"/>
        <w:rPr>
          <w:rFonts w:asciiTheme="minorHAnsi" w:hAnsiTheme="minorHAnsi" w:cstheme="minorHAnsi"/>
        </w:rPr>
      </w:pPr>
    </w:p>
    <w:p w14:paraId="4E39E883" w14:textId="1567C1BB" w:rsidR="006759AF" w:rsidRPr="006759AF" w:rsidRDefault="006759AF" w:rsidP="006759AF">
      <w:pPr>
        <w:jc w:val="both"/>
        <w:rPr>
          <w:rFonts w:asciiTheme="minorHAnsi" w:hAnsiTheme="minorHAnsi" w:cstheme="minorHAnsi"/>
        </w:rPr>
      </w:pPr>
      <w:r w:rsidRPr="006759AF">
        <w:rPr>
          <w:rFonts w:asciiTheme="minorHAnsi" w:hAnsiTheme="minorHAnsi" w:cstheme="minorHAnsi"/>
        </w:rPr>
        <w:t xml:space="preserve">Pátou oblastí auditu ztrát jsou </w:t>
      </w:r>
      <w:r w:rsidRPr="006759AF">
        <w:rPr>
          <w:rFonts w:asciiTheme="minorHAnsi" w:hAnsiTheme="minorHAnsi" w:cstheme="minorHAnsi"/>
          <w:b/>
          <w:bCs/>
        </w:rPr>
        <w:t>chyby a opravy</w:t>
      </w:r>
      <w:r w:rsidRPr="006759AF">
        <w:rPr>
          <w:rFonts w:asciiTheme="minorHAnsi" w:hAnsiTheme="minorHAnsi" w:cstheme="minorHAnsi"/>
        </w:rPr>
        <w:t xml:space="preserve"> (viz </w:t>
      </w:r>
      <w:r w:rsidR="003E065A">
        <w:rPr>
          <w:rFonts w:asciiTheme="minorHAnsi" w:hAnsiTheme="minorHAnsi" w:cstheme="minorHAnsi"/>
        </w:rPr>
        <w:t>následující tabulka</w:t>
      </w:r>
      <w:r w:rsidRPr="006759AF">
        <w:rPr>
          <w:rFonts w:asciiTheme="minorHAnsi" w:hAnsiTheme="minorHAnsi" w:cstheme="minorHAnsi"/>
        </w:rPr>
        <w:t>).  Důležitá je prevence – školení a výcvik, zastupitelnost, kompetentnost, řešení problémů založených na hledání a odstranění příčin (opak přístupu - nemáme nikdy čas práci pořádně promyslet, zato vždycky máme čas ji 3x předělat), schopnost poučit se z chyb, zpětná vazba při zadávání úkolů atd. Chyby vznikají také nesprávnou či nepřesnou specifikací úkolu, nepochopením zadání, zadáním úkolu zaměstnanci, u něhož nejsou kompetence nebo pravomoci úkol splnit atd.</w:t>
      </w:r>
    </w:p>
    <w:p w14:paraId="1E99C0BC" w14:textId="79E20E0D" w:rsidR="006759AF" w:rsidRPr="006759AF" w:rsidRDefault="006759AF" w:rsidP="006759AF">
      <w:pPr>
        <w:jc w:val="both"/>
        <w:rPr>
          <w:rFonts w:asciiTheme="minorHAnsi" w:hAnsiTheme="minorHAnsi" w:cstheme="minorHAnsi"/>
          <w:i/>
        </w:rPr>
      </w:pPr>
      <w:r w:rsidRPr="006759AF">
        <w:rPr>
          <w:rFonts w:asciiTheme="minorHAnsi" w:hAnsiTheme="minorHAnsi" w:cstheme="minorHAnsi"/>
          <w:i/>
        </w:rPr>
        <w:t xml:space="preserve">Tab. </w:t>
      </w:r>
      <w:r w:rsidR="004F0E1D">
        <w:rPr>
          <w:rFonts w:asciiTheme="minorHAnsi" w:hAnsiTheme="minorHAnsi" w:cstheme="minorHAnsi"/>
          <w:i/>
        </w:rPr>
        <w:t>3</w:t>
      </w:r>
      <w:r w:rsidR="007B193B">
        <w:rPr>
          <w:rFonts w:asciiTheme="minorHAnsi" w:hAnsiTheme="minorHAnsi" w:cstheme="minorHAnsi"/>
          <w:i/>
        </w:rPr>
        <w:t>9</w:t>
      </w:r>
      <w:r w:rsidRPr="006759AF">
        <w:rPr>
          <w:rFonts w:asciiTheme="minorHAnsi" w:hAnsiTheme="minorHAnsi" w:cstheme="minorHAnsi"/>
          <w:i/>
        </w:rPr>
        <w:t xml:space="preserve"> Audit ztrát: 5. Chyby a opravy</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8"/>
        <w:gridCol w:w="5616"/>
        <w:gridCol w:w="3118"/>
      </w:tblGrid>
      <w:tr w:rsidR="006759AF" w:rsidRPr="006A0F76" w14:paraId="7F9FD437" w14:textId="77777777" w:rsidTr="00A85C8A">
        <w:tc>
          <w:tcPr>
            <w:tcW w:w="588" w:type="dxa"/>
            <w:shd w:val="clear" w:color="auto" w:fill="EEECE1"/>
            <w:vAlign w:val="center"/>
          </w:tcPr>
          <w:p w14:paraId="0B83A94B"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Druh</w:t>
            </w:r>
          </w:p>
        </w:tc>
        <w:tc>
          <w:tcPr>
            <w:tcW w:w="5616" w:type="dxa"/>
            <w:shd w:val="clear" w:color="auto" w:fill="EEECE1"/>
            <w:vAlign w:val="center"/>
          </w:tcPr>
          <w:p w14:paraId="5502502D"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118" w:type="dxa"/>
            <w:shd w:val="clear" w:color="auto" w:fill="EEECE1"/>
            <w:vAlign w:val="center"/>
          </w:tcPr>
          <w:p w14:paraId="54CAB573"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701BDB40" w14:textId="77777777" w:rsidTr="00A85C8A">
        <w:trPr>
          <w:trHeight w:val="862"/>
        </w:trPr>
        <w:tc>
          <w:tcPr>
            <w:tcW w:w="588" w:type="dxa"/>
            <w:shd w:val="clear" w:color="auto" w:fill="EEECE1"/>
            <w:textDirection w:val="btLr"/>
            <w:vAlign w:val="center"/>
          </w:tcPr>
          <w:p w14:paraId="319D4136" w14:textId="77777777" w:rsidR="006759AF" w:rsidRPr="006759AF" w:rsidRDefault="006759AF" w:rsidP="00961E4F">
            <w:pPr>
              <w:spacing w:line="240" w:lineRule="auto"/>
              <w:ind w:left="-57" w:right="-57"/>
              <w:jc w:val="center"/>
              <w:rPr>
                <w:rFonts w:asciiTheme="minorHAnsi" w:hAnsiTheme="minorHAnsi" w:cstheme="minorHAnsi"/>
                <w:b/>
                <w:bCs/>
                <w:sz w:val="20"/>
                <w:szCs w:val="20"/>
              </w:rPr>
            </w:pPr>
            <w:r w:rsidRPr="006759AF">
              <w:rPr>
                <w:rFonts w:asciiTheme="minorHAnsi" w:hAnsiTheme="minorHAnsi" w:cstheme="minorHAnsi"/>
                <w:b/>
                <w:bCs/>
              </w:rPr>
              <w:t>Chyby</w:t>
            </w:r>
          </w:p>
        </w:tc>
        <w:tc>
          <w:tcPr>
            <w:tcW w:w="5616" w:type="dxa"/>
            <w:vAlign w:val="center"/>
          </w:tcPr>
          <w:p w14:paraId="78DB7893"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Chyby, opravy, vadná či nesprávná rozhodnutí, například: (a) stejnou činnost je nutné provést znovu chybou zaměstnance nebo nepřesným zadáním; (b) odvolací řízení a zrušená rozhodnutí ve výkonu státní správy; (c) nepromyšlenost, zbrklost při zadávání úkolů, (d) pravopisné a věcné chyby v dokumentech</w:t>
            </w:r>
          </w:p>
        </w:tc>
        <w:tc>
          <w:tcPr>
            <w:tcW w:w="3118" w:type="dxa"/>
            <w:vAlign w:val="center"/>
          </w:tcPr>
          <w:p w14:paraId="16AD95F1"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 xml:space="preserve">(a) Využívání formulářů a standardizovaných postupů. </w:t>
            </w:r>
          </w:p>
          <w:p w14:paraId="1C5DFFD1" w14:textId="291F405F"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(b) Školení a výcvik včetně zastupujících zaměstnanců</w:t>
            </w:r>
            <w:r w:rsidR="001D1E13">
              <w:rPr>
                <w:rFonts w:asciiTheme="minorHAnsi" w:hAnsiTheme="minorHAnsi" w:cstheme="minorHAnsi"/>
                <w:sz w:val="20"/>
                <w:szCs w:val="20"/>
              </w:rPr>
              <w:t>.</w:t>
            </w:r>
          </w:p>
          <w:p w14:paraId="5D2BB06B" w14:textId="2EF54558"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(c) Zpětná vazba při zadávání úkolů</w:t>
            </w:r>
            <w:r w:rsidR="001D1E13">
              <w:rPr>
                <w:rFonts w:asciiTheme="minorHAnsi" w:hAnsiTheme="minorHAnsi" w:cstheme="minorHAnsi"/>
                <w:sz w:val="20"/>
                <w:szCs w:val="20"/>
              </w:rPr>
              <w:t>.</w:t>
            </w:r>
          </w:p>
        </w:tc>
      </w:tr>
    </w:tbl>
    <w:p w14:paraId="77B7130B" w14:textId="1620BA0D" w:rsidR="006759AF" w:rsidRPr="00FB3215" w:rsidRDefault="004F1B82" w:rsidP="00FB3215">
      <w:pPr>
        <w:pStyle w:val="A-pramen"/>
        <w:spacing w:after="120"/>
        <w:rPr>
          <w:rFonts w:asciiTheme="minorHAnsi" w:hAnsiTheme="minorHAnsi" w:cstheme="minorHAnsi"/>
          <w:i/>
          <w:szCs w:val="24"/>
          <w:lang w:val="cs-CZ"/>
        </w:rPr>
      </w:pPr>
      <w:r>
        <w:rPr>
          <w:rFonts w:asciiTheme="minorHAnsi" w:hAnsiTheme="minorHAnsi" w:cstheme="minorHAnsi"/>
          <w:i/>
          <w:szCs w:val="24"/>
          <w:lang w:val="cs-CZ"/>
        </w:rPr>
        <w:t>Zdroj</w:t>
      </w:r>
      <w:r w:rsidR="006759AF" w:rsidRPr="00FB3215">
        <w:rPr>
          <w:rFonts w:asciiTheme="minorHAnsi" w:hAnsiTheme="minorHAnsi" w:cstheme="minorHAnsi"/>
          <w:i/>
          <w:szCs w:val="24"/>
          <w:lang w:val="cs-CZ"/>
        </w:rPr>
        <w:t xml:space="preserve">: </w:t>
      </w:r>
      <w:r w:rsidR="00BF656E">
        <w:rPr>
          <w:rFonts w:asciiTheme="minorHAnsi" w:hAnsiTheme="minorHAnsi" w:cstheme="minorHAnsi"/>
          <w:i/>
          <w:szCs w:val="24"/>
          <w:lang w:val="cs-CZ"/>
        </w:rPr>
        <w:t>Ochrana, Půček (2012)</w:t>
      </w:r>
      <w:r w:rsidR="006759AF" w:rsidRPr="00FB3215">
        <w:rPr>
          <w:rFonts w:asciiTheme="minorHAnsi" w:hAnsiTheme="minorHAnsi" w:cstheme="minorHAnsi"/>
          <w:i/>
          <w:szCs w:val="24"/>
          <w:lang w:val="cs-CZ"/>
        </w:rPr>
        <w:t xml:space="preserve"> </w:t>
      </w:r>
    </w:p>
    <w:p w14:paraId="01436ECC" w14:textId="77777777" w:rsidR="00C7187C" w:rsidRDefault="00C7187C" w:rsidP="006759AF">
      <w:pPr>
        <w:jc w:val="both"/>
        <w:rPr>
          <w:rFonts w:asciiTheme="minorHAnsi" w:hAnsiTheme="minorHAnsi" w:cstheme="minorHAnsi"/>
        </w:rPr>
      </w:pPr>
    </w:p>
    <w:p w14:paraId="4562834F" w14:textId="5701F5E6" w:rsidR="006759AF" w:rsidRPr="006759AF" w:rsidRDefault="006759AF" w:rsidP="006759AF">
      <w:pPr>
        <w:jc w:val="both"/>
        <w:rPr>
          <w:rFonts w:asciiTheme="minorHAnsi" w:hAnsiTheme="minorHAnsi" w:cstheme="minorHAnsi"/>
        </w:rPr>
      </w:pPr>
      <w:r w:rsidRPr="006759AF">
        <w:rPr>
          <w:rFonts w:asciiTheme="minorHAnsi" w:hAnsiTheme="minorHAnsi" w:cstheme="minorHAnsi"/>
        </w:rPr>
        <w:t xml:space="preserve">Šestým druhem ztrát jsou </w:t>
      </w:r>
      <w:r w:rsidRPr="006759AF">
        <w:rPr>
          <w:rFonts w:asciiTheme="minorHAnsi" w:hAnsiTheme="minorHAnsi" w:cstheme="minorHAnsi"/>
          <w:b/>
          <w:bCs/>
        </w:rPr>
        <w:t>nadbytečné přesuny</w:t>
      </w:r>
      <w:r w:rsidR="003E065A">
        <w:rPr>
          <w:rFonts w:asciiTheme="minorHAnsi" w:hAnsiTheme="minorHAnsi" w:cstheme="minorHAnsi"/>
        </w:rPr>
        <w:t xml:space="preserve"> lidí (jak zaměstnanců, </w:t>
      </w:r>
      <w:r w:rsidRPr="006759AF">
        <w:rPr>
          <w:rFonts w:asciiTheme="minorHAnsi" w:hAnsiTheme="minorHAnsi" w:cstheme="minorHAnsi"/>
        </w:rPr>
        <w:t xml:space="preserve">tak zákazníků) v rámci budovy i mimo ni, dat, vybavení, materiálu atd. (viz </w:t>
      </w:r>
      <w:r w:rsidR="003E065A">
        <w:rPr>
          <w:rFonts w:asciiTheme="minorHAnsi" w:hAnsiTheme="minorHAnsi" w:cstheme="minorHAnsi"/>
        </w:rPr>
        <w:t>následující tabulka</w:t>
      </w:r>
      <w:r w:rsidRPr="006759AF">
        <w:rPr>
          <w:rFonts w:asciiTheme="minorHAnsi" w:hAnsiTheme="minorHAnsi" w:cstheme="minorHAnsi"/>
        </w:rPr>
        <w:t>). Rozmístění kanceláří má být vždy logické, aby minimalizovalo tento druh ztrát.</w:t>
      </w:r>
    </w:p>
    <w:p w14:paraId="56E56C17" w14:textId="77777777" w:rsidR="00C7187C" w:rsidRDefault="00C7187C" w:rsidP="006759AF">
      <w:pPr>
        <w:jc w:val="both"/>
        <w:rPr>
          <w:rFonts w:asciiTheme="minorHAnsi" w:hAnsiTheme="minorHAnsi" w:cstheme="minorHAnsi"/>
          <w:i/>
        </w:rPr>
      </w:pPr>
    </w:p>
    <w:p w14:paraId="1406928E" w14:textId="77777777" w:rsidR="00C7187C" w:rsidRDefault="00C7187C" w:rsidP="006759AF">
      <w:pPr>
        <w:jc w:val="both"/>
        <w:rPr>
          <w:rFonts w:asciiTheme="minorHAnsi" w:hAnsiTheme="minorHAnsi" w:cstheme="minorHAnsi"/>
          <w:i/>
        </w:rPr>
      </w:pPr>
    </w:p>
    <w:p w14:paraId="1C0CECAE" w14:textId="77777777" w:rsidR="00C7187C" w:rsidRDefault="00C7187C" w:rsidP="006759AF">
      <w:pPr>
        <w:jc w:val="both"/>
        <w:rPr>
          <w:rFonts w:asciiTheme="minorHAnsi" w:hAnsiTheme="minorHAnsi" w:cstheme="minorHAnsi"/>
          <w:i/>
        </w:rPr>
      </w:pPr>
    </w:p>
    <w:p w14:paraId="4DB8A0DC" w14:textId="77777777" w:rsidR="00C7187C" w:rsidRDefault="00C7187C" w:rsidP="006759AF">
      <w:pPr>
        <w:jc w:val="both"/>
        <w:rPr>
          <w:rFonts w:asciiTheme="minorHAnsi" w:hAnsiTheme="minorHAnsi" w:cstheme="minorHAnsi"/>
          <w:i/>
        </w:rPr>
      </w:pPr>
    </w:p>
    <w:p w14:paraId="6F544058" w14:textId="49A80445" w:rsidR="006759AF" w:rsidRPr="006759AF" w:rsidRDefault="003E065A" w:rsidP="006759AF">
      <w:pPr>
        <w:jc w:val="both"/>
        <w:rPr>
          <w:rFonts w:asciiTheme="minorHAnsi" w:hAnsiTheme="minorHAnsi" w:cstheme="minorHAnsi"/>
          <w:i/>
        </w:rPr>
      </w:pPr>
      <w:r>
        <w:rPr>
          <w:rFonts w:asciiTheme="minorHAnsi" w:hAnsiTheme="minorHAnsi" w:cstheme="minorHAnsi"/>
          <w:i/>
        </w:rPr>
        <w:lastRenderedPageBreak/>
        <w:t xml:space="preserve">Tab. </w:t>
      </w:r>
      <w:r w:rsidR="007B193B">
        <w:rPr>
          <w:rFonts w:asciiTheme="minorHAnsi" w:hAnsiTheme="minorHAnsi" w:cstheme="minorHAnsi"/>
          <w:i/>
        </w:rPr>
        <w:t>40</w:t>
      </w:r>
      <w:r w:rsidR="004F0E1D">
        <w:rPr>
          <w:rFonts w:asciiTheme="minorHAnsi" w:hAnsiTheme="minorHAnsi" w:cstheme="minorHAnsi"/>
          <w:i/>
        </w:rPr>
        <w:t xml:space="preserve"> </w:t>
      </w:r>
      <w:r w:rsidR="006759AF" w:rsidRPr="006759AF">
        <w:rPr>
          <w:rFonts w:asciiTheme="minorHAnsi" w:hAnsiTheme="minorHAnsi" w:cstheme="minorHAnsi"/>
          <w:i/>
        </w:rPr>
        <w:t>Audit ztrát: 6. Nadbytečné přesuny</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8"/>
        <w:gridCol w:w="5616"/>
        <w:gridCol w:w="3118"/>
      </w:tblGrid>
      <w:tr w:rsidR="006759AF" w:rsidRPr="006A0F76" w14:paraId="73674CB8" w14:textId="77777777" w:rsidTr="00A85C8A">
        <w:tc>
          <w:tcPr>
            <w:tcW w:w="588" w:type="dxa"/>
            <w:shd w:val="clear" w:color="auto" w:fill="EEECE1"/>
            <w:vAlign w:val="center"/>
          </w:tcPr>
          <w:p w14:paraId="0E355739"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Druh</w:t>
            </w:r>
          </w:p>
        </w:tc>
        <w:tc>
          <w:tcPr>
            <w:tcW w:w="5616" w:type="dxa"/>
            <w:shd w:val="clear" w:color="auto" w:fill="EEECE1"/>
            <w:vAlign w:val="center"/>
          </w:tcPr>
          <w:p w14:paraId="2F5FE4DF"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118" w:type="dxa"/>
            <w:shd w:val="clear" w:color="auto" w:fill="EEECE1"/>
            <w:vAlign w:val="center"/>
          </w:tcPr>
          <w:p w14:paraId="0CDC1D93"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23850B72" w14:textId="77777777" w:rsidTr="00C7187C">
        <w:trPr>
          <w:trHeight w:val="699"/>
        </w:trPr>
        <w:tc>
          <w:tcPr>
            <w:tcW w:w="588" w:type="dxa"/>
            <w:shd w:val="clear" w:color="auto" w:fill="EEECE1"/>
            <w:textDirection w:val="btLr"/>
            <w:vAlign w:val="center"/>
          </w:tcPr>
          <w:p w14:paraId="5CF71126" w14:textId="77777777" w:rsidR="006759AF" w:rsidRPr="006759AF" w:rsidRDefault="006759AF" w:rsidP="00961E4F">
            <w:pPr>
              <w:spacing w:line="240" w:lineRule="auto"/>
              <w:jc w:val="center"/>
              <w:rPr>
                <w:rFonts w:asciiTheme="minorHAnsi" w:hAnsiTheme="minorHAnsi" w:cstheme="minorHAnsi"/>
                <w:b/>
                <w:bCs/>
                <w:sz w:val="20"/>
                <w:szCs w:val="20"/>
              </w:rPr>
            </w:pPr>
            <w:r w:rsidRPr="006759AF">
              <w:rPr>
                <w:rFonts w:asciiTheme="minorHAnsi" w:hAnsiTheme="minorHAnsi" w:cstheme="minorHAnsi"/>
                <w:b/>
                <w:bCs/>
              </w:rPr>
              <w:t>Nadbytečné přesuny</w:t>
            </w:r>
          </w:p>
        </w:tc>
        <w:tc>
          <w:tcPr>
            <w:tcW w:w="5616" w:type="dxa"/>
            <w:vAlign w:val="center"/>
          </w:tcPr>
          <w:p w14:paraId="0D59C4A3" w14:textId="3497BA79"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Zbytečné přesuny lidí (jak zaměstnanců</w:t>
            </w:r>
            <w:r w:rsidR="003E065A">
              <w:rPr>
                <w:rFonts w:asciiTheme="minorHAnsi" w:hAnsiTheme="minorHAnsi" w:cstheme="minorHAnsi"/>
                <w:sz w:val="20"/>
                <w:szCs w:val="20"/>
              </w:rPr>
              <w:t>,</w:t>
            </w:r>
            <w:r w:rsidRPr="006759AF">
              <w:rPr>
                <w:rFonts w:asciiTheme="minorHAnsi" w:hAnsiTheme="minorHAnsi" w:cstheme="minorHAnsi"/>
                <w:sz w:val="20"/>
                <w:szCs w:val="20"/>
              </w:rPr>
              <w:t xml:space="preserve"> tak zákazníků), dat, vybavení, materiálu, např.: (a) nadbytečný přesun lidí nebo informací z místa na místo, z budovy do budovy, tým nepracuje pohromadě; (b) nelogické rozmístění kanceláří, mnoho budov, špatný orientační systém v budovách; (c) nepřehlednost v informacích a v informačních tocích, rozesílání velkých souborů místo jejich sdílení atd. (d) neefektivní služební cesty nebo „pochůzky“ v případech, kdy lze problém řešit jinak, než osobně; neochota ke slučování cest; neoptimální výběr dopravního prostředku.</w:t>
            </w:r>
          </w:p>
        </w:tc>
        <w:tc>
          <w:tcPr>
            <w:tcW w:w="3118" w:type="dxa"/>
            <w:vAlign w:val="center"/>
          </w:tcPr>
          <w:p w14:paraId="47D94EEC"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(a) Provedení auditu informačního systému.</w:t>
            </w:r>
          </w:p>
          <w:p w14:paraId="76B585ED" w14:textId="77777777"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(b) Prověření logiky rozmístění kanceláří (raději „zkapacitňovat“, než se rozpínat).</w:t>
            </w:r>
          </w:p>
          <w:p w14:paraId="2CDFDF44" w14:textId="127209BA" w:rsidR="006759AF" w:rsidRPr="006759AF" w:rsidRDefault="006759AF" w:rsidP="00961E4F">
            <w:pPr>
              <w:spacing w:line="240" w:lineRule="auto"/>
              <w:jc w:val="both"/>
              <w:rPr>
                <w:rFonts w:asciiTheme="minorHAnsi" w:hAnsiTheme="minorHAnsi" w:cstheme="minorHAnsi"/>
                <w:sz w:val="20"/>
                <w:szCs w:val="20"/>
              </w:rPr>
            </w:pPr>
            <w:r w:rsidRPr="006759AF">
              <w:rPr>
                <w:rFonts w:asciiTheme="minorHAnsi" w:hAnsiTheme="minorHAnsi" w:cstheme="minorHAnsi"/>
                <w:sz w:val="20"/>
                <w:szCs w:val="20"/>
              </w:rPr>
              <w:t>(c) Optimalizace služebních cest a dopravních prostředků</w:t>
            </w:r>
            <w:r w:rsidR="001D1E13">
              <w:rPr>
                <w:rFonts w:asciiTheme="minorHAnsi" w:hAnsiTheme="minorHAnsi" w:cstheme="minorHAnsi"/>
                <w:sz w:val="20"/>
                <w:szCs w:val="20"/>
              </w:rPr>
              <w:t>.</w:t>
            </w:r>
          </w:p>
        </w:tc>
      </w:tr>
    </w:tbl>
    <w:p w14:paraId="4214E2CA" w14:textId="020836D0" w:rsidR="006759AF" w:rsidRPr="00FB3215" w:rsidRDefault="004F1B82" w:rsidP="00FB3215">
      <w:pPr>
        <w:pStyle w:val="A-pramen"/>
        <w:spacing w:after="120"/>
        <w:rPr>
          <w:rFonts w:asciiTheme="minorHAnsi" w:hAnsiTheme="minorHAnsi" w:cstheme="minorHAnsi"/>
          <w:i/>
          <w:szCs w:val="24"/>
          <w:lang w:val="cs-CZ"/>
        </w:rPr>
      </w:pPr>
      <w:r>
        <w:rPr>
          <w:rFonts w:asciiTheme="minorHAnsi" w:hAnsiTheme="minorHAnsi" w:cstheme="minorHAnsi"/>
          <w:i/>
          <w:szCs w:val="24"/>
          <w:lang w:val="cs-CZ"/>
        </w:rPr>
        <w:t>Zdroj</w:t>
      </w:r>
      <w:r w:rsidR="006759AF" w:rsidRPr="00FB3215">
        <w:rPr>
          <w:rFonts w:asciiTheme="minorHAnsi" w:hAnsiTheme="minorHAnsi" w:cstheme="minorHAnsi"/>
          <w:i/>
          <w:szCs w:val="24"/>
          <w:lang w:val="cs-CZ"/>
        </w:rPr>
        <w:t xml:space="preserve">: </w:t>
      </w:r>
      <w:r w:rsidR="00BF656E">
        <w:rPr>
          <w:rFonts w:asciiTheme="minorHAnsi" w:hAnsiTheme="minorHAnsi" w:cstheme="minorHAnsi"/>
          <w:i/>
          <w:szCs w:val="24"/>
          <w:lang w:val="cs-CZ"/>
        </w:rPr>
        <w:t>Ochrana, Půček (2012)</w:t>
      </w:r>
      <w:r w:rsidR="006759AF" w:rsidRPr="00FB3215">
        <w:rPr>
          <w:rFonts w:asciiTheme="minorHAnsi" w:hAnsiTheme="minorHAnsi" w:cstheme="minorHAnsi"/>
          <w:i/>
          <w:szCs w:val="24"/>
          <w:lang w:val="cs-CZ"/>
        </w:rPr>
        <w:t xml:space="preserve"> </w:t>
      </w:r>
    </w:p>
    <w:p w14:paraId="22B9931A" w14:textId="77777777" w:rsidR="00C7187C" w:rsidRDefault="00C7187C" w:rsidP="006759AF">
      <w:pPr>
        <w:jc w:val="both"/>
        <w:rPr>
          <w:rFonts w:asciiTheme="minorHAnsi" w:hAnsiTheme="minorHAnsi" w:cstheme="minorHAnsi"/>
        </w:rPr>
      </w:pPr>
    </w:p>
    <w:p w14:paraId="364D3913" w14:textId="47A1BC17" w:rsidR="006759AF" w:rsidRPr="006759AF" w:rsidRDefault="006759AF" w:rsidP="006759AF">
      <w:pPr>
        <w:jc w:val="both"/>
        <w:rPr>
          <w:rFonts w:asciiTheme="minorHAnsi" w:hAnsiTheme="minorHAnsi" w:cstheme="minorHAnsi"/>
        </w:rPr>
      </w:pPr>
      <w:r w:rsidRPr="006759AF">
        <w:rPr>
          <w:rFonts w:asciiTheme="minorHAnsi" w:hAnsiTheme="minorHAnsi" w:cstheme="minorHAnsi"/>
        </w:rPr>
        <w:t xml:space="preserve">Sedmou oblastí jsou </w:t>
      </w:r>
      <w:r w:rsidRPr="006759AF">
        <w:rPr>
          <w:rFonts w:asciiTheme="minorHAnsi" w:hAnsiTheme="minorHAnsi" w:cstheme="minorHAnsi"/>
          <w:b/>
          <w:bCs/>
        </w:rPr>
        <w:t>zbytečné pohyby, nepořádek, špatná ergonomie</w:t>
      </w:r>
      <w:r w:rsidRPr="006759AF">
        <w:rPr>
          <w:rFonts w:asciiTheme="minorHAnsi" w:hAnsiTheme="minorHAnsi" w:cstheme="minorHAnsi"/>
        </w:rPr>
        <w:t xml:space="preserve"> pracoviště (viz </w:t>
      </w:r>
      <w:r w:rsidR="003E065A">
        <w:rPr>
          <w:rFonts w:asciiTheme="minorHAnsi" w:hAnsiTheme="minorHAnsi" w:cstheme="minorHAnsi"/>
        </w:rPr>
        <w:t>následující tabulka</w:t>
      </w:r>
      <w:r w:rsidRPr="006759AF">
        <w:rPr>
          <w:rFonts w:asciiTheme="minorHAnsi" w:hAnsiTheme="minorHAnsi" w:cstheme="minorHAnsi"/>
        </w:rPr>
        <w:t>).</w:t>
      </w:r>
    </w:p>
    <w:p w14:paraId="4B9351A3" w14:textId="79C3CB0E" w:rsidR="006759AF" w:rsidRPr="006759AF" w:rsidRDefault="003E065A" w:rsidP="006759AF">
      <w:pPr>
        <w:jc w:val="both"/>
        <w:rPr>
          <w:rFonts w:asciiTheme="minorHAnsi" w:hAnsiTheme="minorHAnsi" w:cstheme="minorHAnsi"/>
          <w:i/>
        </w:rPr>
      </w:pPr>
      <w:r>
        <w:rPr>
          <w:rFonts w:asciiTheme="minorHAnsi" w:hAnsiTheme="minorHAnsi" w:cstheme="minorHAnsi"/>
          <w:i/>
        </w:rPr>
        <w:t>Tab.</w:t>
      </w:r>
      <w:r w:rsidR="007B193B">
        <w:rPr>
          <w:rFonts w:asciiTheme="minorHAnsi" w:hAnsiTheme="minorHAnsi" w:cstheme="minorHAnsi"/>
          <w:i/>
        </w:rPr>
        <w:t xml:space="preserve"> 41</w:t>
      </w:r>
      <w:r>
        <w:rPr>
          <w:rFonts w:asciiTheme="minorHAnsi" w:hAnsiTheme="minorHAnsi" w:cstheme="minorHAnsi"/>
          <w:i/>
        </w:rPr>
        <w:t xml:space="preserve"> </w:t>
      </w:r>
      <w:r w:rsidR="006759AF" w:rsidRPr="006759AF">
        <w:rPr>
          <w:rFonts w:asciiTheme="minorHAnsi" w:hAnsiTheme="minorHAnsi" w:cstheme="minorHAnsi"/>
          <w:i/>
        </w:rPr>
        <w:t>Audit ztrát: 7. Zbytečné pohyby, nepořádek</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8"/>
        <w:gridCol w:w="5616"/>
        <w:gridCol w:w="3118"/>
      </w:tblGrid>
      <w:tr w:rsidR="006759AF" w:rsidRPr="006A0F76" w14:paraId="25D704B4" w14:textId="77777777" w:rsidTr="00A85C8A">
        <w:tc>
          <w:tcPr>
            <w:tcW w:w="588" w:type="dxa"/>
            <w:shd w:val="clear" w:color="auto" w:fill="EEECE1"/>
            <w:vAlign w:val="center"/>
          </w:tcPr>
          <w:p w14:paraId="6DAFBBD8"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Druh</w:t>
            </w:r>
          </w:p>
        </w:tc>
        <w:tc>
          <w:tcPr>
            <w:tcW w:w="5616" w:type="dxa"/>
            <w:shd w:val="clear" w:color="auto" w:fill="EEECE1"/>
            <w:vAlign w:val="center"/>
          </w:tcPr>
          <w:p w14:paraId="09C64150"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118" w:type="dxa"/>
            <w:shd w:val="clear" w:color="auto" w:fill="EEECE1"/>
            <w:vAlign w:val="center"/>
          </w:tcPr>
          <w:p w14:paraId="15C446A6"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66150A5E" w14:textId="77777777" w:rsidTr="003E065A">
        <w:trPr>
          <w:trHeight w:val="558"/>
        </w:trPr>
        <w:tc>
          <w:tcPr>
            <w:tcW w:w="588" w:type="dxa"/>
            <w:vMerge w:val="restart"/>
            <w:shd w:val="clear" w:color="auto" w:fill="EEECE1"/>
            <w:textDirection w:val="btLr"/>
            <w:vAlign w:val="center"/>
          </w:tcPr>
          <w:p w14:paraId="44DC4249" w14:textId="77777777" w:rsidR="006759AF" w:rsidRPr="006759AF" w:rsidRDefault="006759AF" w:rsidP="00961E4F">
            <w:pPr>
              <w:spacing w:line="240" w:lineRule="auto"/>
              <w:ind w:left="-57" w:right="-57"/>
              <w:jc w:val="center"/>
              <w:rPr>
                <w:rFonts w:asciiTheme="minorHAnsi" w:hAnsiTheme="minorHAnsi" w:cstheme="minorHAnsi"/>
                <w:b/>
                <w:bCs/>
                <w:sz w:val="20"/>
                <w:szCs w:val="20"/>
              </w:rPr>
            </w:pPr>
            <w:r w:rsidRPr="006759AF">
              <w:rPr>
                <w:rFonts w:asciiTheme="minorHAnsi" w:hAnsiTheme="minorHAnsi" w:cstheme="minorHAnsi"/>
                <w:b/>
                <w:bCs/>
              </w:rPr>
              <w:t>Zbytečné pohyby</w:t>
            </w:r>
          </w:p>
        </w:tc>
        <w:tc>
          <w:tcPr>
            <w:tcW w:w="5616" w:type="dxa"/>
            <w:vAlign w:val="center"/>
          </w:tcPr>
          <w:p w14:paraId="50E7BCA4" w14:textId="77777777" w:rsidR="006759AF" w:rsidRPr="006759AF" w:rsidRDefault="006759AF" w:rsidP="00961E4F">
            <w:pPr>
              <w:spacing w:line="240" w:lineRule="auto"/>
              <w:jc w:val="both"/>
              <w:rPr>
                <w:rFonts w:asciiTheme="minorHAnsi" w:hAnsiTheme="minorHAnsi" w:cstheme="minorHAnsi"/>
              </w:rPr>
            </w:pPr>
            <w:r w:rsidRPr="006759AF">
              <w:rPr>
                <w:rFonts w:asciiTheme="minorHAnsi" w:hAnsiTheme="minorHAnsi" w:cstheme="minorHAnsi"/>
                <w:sz w:val="22"/>
                <w:szCs w:val="22"/>
              </w:rPr>
              <w:t>(1) Zbytečné pohyby při práci na pracovišti způsobené obvykle špatnou ergonomií pracoviště, neexistencí systému ukládání spisů a dat, nepořádku či nepřehledností (stále se něco hledá).</w:t>
            </w:r>
          </w:p>
        </w:tc>
        <w:tc>
          <w:tcPr>
            <w:tcW w:w="3118" w:type="dxa"/>
            <w:vAlign w:val="center"/>
          </w:tcPr>
          <w:p w14:paraId="653CBC6A" w14:textId="3BB303F5" w:rsidR="006759AF" w:rsidRPr="006759AF" w:rsidRDefault="006759AF" w:rsidP="003E065A">
            <w:pPr>
              <w:spacing w:line="240" w:lineRule="auto"/>
              <w:jc w:val="both"/>
              <w:rPr>
                <w:rFonts w:asciiTheme="minorHAnsi" w:hAnsiTheme="minorHAnsi" w:cstheme="minorHAnsi"/>
              </w:rPr>
            </w:pPr>
            <w:r w:rsidRPr="006759AF">
              <w:rPr>
                <w:rFonts w:asciiTheme="minorHAnsi" w:hAnsiTheme="minorHAnsi" w:cstheme="minorHAnsi"/>
                <w:sz w:val="22"/>
                <w:szCs w:val="22"/>
              </w:rPr>
              <w:t>(a) Provedení auditu pracovišť z hlediska ergonomie, vi</w:t>
            </w:r>
            <w:r w:rsidR="003E065A">
              <w:rPr>
                <w:rFonts w:asciiTheme="minorHAnsi" w:hAnsiTheme="minorHAnsi" w:cstheme="minorHAnsi"/>
                <w:sz w:val="22"/>
                <w:szCs w:val="22"/>
              </w:rPr>
              <w:t>zualizace pracovišť, využití 5S</w:t>
            </w:r>
            <w:r w:rsidRPr="006759AF">
              <w:rPr>
                <w:rFonts w:asciiTheme="minorHAnsi" w:hAnsiTheme="minorHAnsi" w:cstheme="minorHAnsi"/>
                <w:sz w:val="22"/>
                <w:szCs w:val="22"/>
              </w:rPr>
              <w:t>.</w:t>
            </w:r>
          </w:p>
        </w:tc>
      </w:tr>
      <w:tr w:rsidR="006759AF" w:rsidRPr="006759AF" w14:paraId="3072A552" w14:textId="77777777" w:rsidTr="00A85C8A">
        <w:trPr>
          <w:trHeight w:val="849"/>
        </w:trPr>
        <w:tc>
          <w:tcPr>
            <w:tcW w:w="588" w:type="dxa"/>
            <w:vMerge/>
            <w:shd w:val="clear" w:color="auto" w:fill="EEECE1"/>
            <w:vAlign w:val="center"/>
          </w:tcPr>
          <w:p w14:paraId="503BAC83" w14:textId="77777777" w:rsidR="006759AF" w:rsidRPr="006759AF" w:rsidRDefault="006759AF" w:rsidP="00961E4F">
            <w:pPr>
              <w:spacing w:line="240" w:lineRule="auto"/>
              <w:jc w:val="both"/>
              <w:rPr>
                <w:rFonts w:asciiTheme="minorHAnsi" w:hAnsiTheme="minorHAnsi" w:cstheme="minorHAnsi"/>
                <w:b/>
                <w:bCs/>
                <w:sz w:val="20"/>
                <w:szCs w:val="20"/>
              </w:rPr>
            </w:pPr>
          </w:p>
        </w:tc>
        <w:tc>
          <w:tcPr>
            <w:tcW w:w="5616" w:type="dxa"/>
            <w:vAlign w:val="center"/>
          </w:tcPr>
          <w:p w14:paraId="1C55FACE" w14:textId="5E2F5406" w:rsidR="006759AF" w:rsidRPr="006759AF" w:rsidRDefault="006759AF" w:rsidP="00961E4F">
            <w:pPr>
              <w:spacing w:line="240" w:lineRule="auto"/>
              <w:jc w:val="both"/>
              <w:rPr>
                <w:rFonts w:asciiTheme="minorHAnsi" w:hAnsiTheme="minorHAnsi" w:cstheme="minorHAnsi"/>
              </w:rPr>
            </w:pPr>
            <w:r w:rsidRPr="006759AF">
              <w:rPr>
                <w:rFonts w:asciiTheme="minorHAnsi" w:hAnsiTheme="minorHAnsi" w:cstheme="minorHAnsi"/>
                <w:sz w:val="22"/>
                <w:szCs w:val="22"/>
              </w:rPr>
              <w:t xml:space="preserve">(2) Může jít také o nesprávné </w:t>
            </w:r>
            <w:r w:rsidR="003E065A" w:rsidRPr="006759AF">
              <w:rPr>
                <w:rFonts w:asciiTheme="minorHAnsi" w:hAnsiTheme="minorHAnsi" w:cstheme="minorHAnsi"/>
                <w:sz w:val="22"/>
                <w:szCs w:val="22"/>
              </w:rPr>
              <w:t>rozmístění</w:t>
            </w:r>
            <w:r w:rsidRPr="006759AF">
              <w:rPr>
                <w:rFonts w:asciiTheme="minorHAnsi" w:hAnsiTheme="minorHAnsi" w:cstheme="minorHAnsi"/>
                <w:sz w:val="22"/>
                <w:szCs w:val="22"/>
              </w:rPr>
              <w:t xml:space="preserve"> kanceláří a dalších prostor - chybné rozmístění („lay-out“) kanceláří a prostor. Jde vlastně o špatné hospodaření s prostorem.</w:t>
            </w:r>
          </w:p>
        </w:tc>
        <w:tc>
          <w:tcPr>
            <w:tcW w:w="3118" w:type="dxa"/>
            <w:vAlign w:val="center"/>
          </w:tcPr>
          <w:p w14:paraId="298362D1" w14:textId="77777777" w:rsidR="006759AF" w:rsidRPr="006759AF" w:rsidRDefault="006759AF" w:rsidP="00961E4F">
            <w:pPr>
              <w:spacing w:line="240" w:lineRule="auto"/>
              <w:jc w:val="both"/>
              <w:rPr>
                <w:rFonts w:asciiTheme="minorHAnsi" w:hAnsiTheme="minorHAnsi" w:cstheme="minorHAnsi"/>
              </w:rPr>
            </w:pPr>
            <w:r w:rsidRPr="006759AF">
              <w:rPr>
                <w:rFonts w:asciiTheme="minorHAnsi" w:hAnsiTheme="minorHAnsi" w:cstheme="minorHAnsi"/>
                <w:sz w:val="22"/>
                <w:szCs w:val="22"/>
              </w:rPr>
              <w:t>(a) Prověření a optimalizace rozmístění, vizualizace pracovišť.</w:t>
            </w:r>
          </w:p>
        </w:tc>
      </w:tr>
    </w:tbl>
    <w:p w14:paraId="393D19E0" w14:textId="6219F2FA" w:rsidR="006759AF" w:rsidRPr="00FB3215" w:rsidRDefault="004F1B82" w:rsidP="00FB3215">
      <w:pPr>
        <w:pStyle w:val="A-pramen"/>
        <w:spacing w:after="120"/>
        <w:rPr>
          <w:rFonts w:asciiTheme="minorHAnsi" w:hAnsiTheme="minorHAnsi" w:cstheme="minorHAnsi"/>
          <w:i/>
          <w:szCs w:val="24"/>
          <w:lang w:val="cs-CZ"/>
        </w:rPr>
      </w:pPr>
      <w:r>
        <w:rPr>
          <w:rFonts w:asciiTheme="minorHAnsi" w:hAnsiTheme="minorHAnsi" w:cstheme="minorHAnsi"/>
          <w:i/>
          <w:szCs w:val="24"/>
          <w:lang w:val="cs-CZ"/>
        </w:rPr>
        <w:t>Zdroj</w:t>
      </w:r>
      <w:r w:rsidR="006759AF" w:rsidRPr="00FB3215">
        <w:rPr>
          <w:rFonts w:asciiTheme="minorHAnsi" w:hAnsiTheme="minorHAnsi" w:cstheme="minorHAnsi"/>
          <w:i/>
          <w:szCs w:val="24"/>
          <w:lang w:val="cs-CZ"/>
        </w:rPr>
        <w:t xml:space="preserve">: </w:t>
      </w:r>
      <w:r w:rsidR="00BF656E">
        <w:rPr>
          <w:rFonts w:asciiTheme="minorHAnsi" w:hAnsiTheme="minorHAnsi" w:cstheme="minorHAnsi"/>
          <w:i/>
          <w:szCs w:val="24"/>
          <w:lang w:val="cs-CZ"/>
        </w:rPr>
        <w:t>Ochrana, Půček (2012)</w:t>
      </w:r>
      <w:r w:rsidR="006759AF" w:rsidRPr="00FB3215">
        <w:rPr>
          <w:rFonts w:asciiTheme="minorHAnsi" w:hAnsiTheme="minorHAnsi" w:cstheme="minorHAnsi"/>
          <w:i/>
          <w:szCs w:val="24"/>
          <w:lang w:val="cs-CZ"/>
        </w:rPr>
        <w:t xml:space="preserve"> </w:t>
      </w:r>
    </w:p>
    <w:p w14:paraId="68636062" w14:textId="77777777" w:rsidR="00C7187C" w:rsidRDefault="00C7187C" w:rsidP="006759AF">
      <w:pPr>
        <w:jc w:val="both"/>
        <w:rPr>
          <w:rFonts w:asciiTheme="minorHAnsi" w:hAnsiTheme="minorHAnsi" w:cstheme="minorHAnsi"/>
        </w:rPr>
      </w:pPr>
    </w:p>
    <w:p w14:paraId="78166D1B" w14:textId="2E14A0A3" w:rsidR="006759AF" w:rsidRPr="006759AF" w:rsidRDefault="006759AF" w:rsidP="006759AF">
      <w:pPr>
        <w:jc w:val="both"/>
        <w:rPr>
          <w:rFonts w:asciiTheme="minorHAnsi" w:hAnsiTheme="minorHAnsi" w:cstheme="minorHAnsi"/>
        </w:rPr>
      </w:pPr>
      <w:r w:rsidRPr="006759AF">
        <w:rPr>
          <w:rFonts w:asciiTheme="minorHAnsi" w:hAnsiTheme="minorHAnsi" w:cstheme="minorHAnsi"/>
        </w:rPr>
        <w:t xml:space="preserve">Osmou oblastí jsou </w:t>
      </w:r>
      <w:r w:rsidRPr="006759AF">
        <w:rPr>
          <w:rFonts w:asciiTheme="minorHAnsi" w:hAnsiTheme="minorHAnsi" w:cstheme="minorHAnsi"/>
          <w:b/>
          <w:bCs/>
        </w:rPr>
        <w:t>plýtvání kreativitou, příležitostmi a místními podmínkami</w:t>
      </w:r>
      <w:r w:rsidRPr="006759AF">
        <w:rPr>
          <w:rFonts w:asciiTheme="minorHAnsi" w:hAnsiTheme="minorHAnsi" w:cstheme="minorHAnsi"/>
        </w:rPr>
        <w:t xml:space="preserve"> (viz </w:t>
      </w:r>
      <w:r w:rsidR="003E065A">
        <w:rPr>
          <w:rFonts w:asciiTheme="minorHAnsi" w:hAnsiTheme="minorHAnsi" w:cstheme="minorHAnsi"/>
        </w:rPr>
        <w:t>následující tabulka</w:t>
      </w:r>
      <w:r w:rsidRPr="006759AF">
        <w:rPr>
          <w:rFonts w:asciiTheme="minorHAnsi" w:hAnsiTheme="minorHAnsi" w:cstheme="minorHAnsi"/>
        </w:rPr>
        <w:t>).</w:t>
      </w:r>
    </w:p>
    <w:p w14:paraId="0F6490A2" w14:textId="7876E51C" w:rsidR="006759AF" w:rsidRPr="006759AF" w:rsidRDefault="003E065A" w:rsidP="006759AF">
      <w:pPr>
        <w:jc w:val="both"/>
        <w:rPr>
          <w:rFonts w:asciiTheme="minorHAnsi" w:hAnsiTheme="minorHAnsi" w:cstheme="minorHAnsi"/>
          <w:i/>
        </w:rPr>
      </w:pPr>
      <w:r>
        <w:rPr>
          <w:rFonts w:asciiTheme="minorHAnsi" w:hAnsiTheme="minorHAnsi" w:cstheme="minorHAnsi"/>
          <w:i/>
        </w:rPr>
        <w:t xml:space="preserve">Tab. </w:t>
      </w:r>
      <w:r w:rsidR="007B193B">
        <w:rPr>
          <w:rFonts w:asciiTheme="minorHAnsi" w:hAnsiTheme="minorHAnsi" w:cstheme="minorHAnsi"/>
          <w:i/>
        </w:rPr>
        <w:t>42</w:t>
      </w:r>
      <w:r w:rsidR="004F0E1D">
        <w:rPr>
          <w:rFonts w:asciiTheme="minorHAnsi" w:hAnsiTheme="minorHAnsi" w:cstheme="minorHAnsi"/>
          <w:i/>
        </w:rPr>
        <w:t xml:space="preserve"> </w:t>
      </w:r>
      <w:r w:rsidR="006759AF" w:rsidRPr="006759AF">
        <w:rPr>
          <w:rFonts w:asciiTheme="minorHAnsi" w:hAnsiTheme="minorHAnsi" w:cstheme="minorHAnsi"/>
          <w:i/>
        </w:rPr>
        <w:t>Audit ztrát: 8. Plýtvání kreativitou, příležitostmi a místními podmínkami</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5256"/>
        <w:gridCol w:w="3118"/>
      </w:tblGrid>
      <w:tr w:rsidR="006759AF" w:rsidRPr="006A0F76" w14:paraId="122AB6FC" w14:textId="77777777" w:rsidTr="00A85C8A">
        <w:tc>
          <w:tcPr>
            <w:tcW w:w="948" w:type="dxa"/>
            <w:shd w:val="clear" w:color="auto" w:fill="EEECE1"/>
            <w:vAlign w:val="center"/>
          </w:tcPr>
          <w:p w14:paraId="200D5904"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Druh</w:t>
            </w:r>
          </w:p>
        </w:tc>
        <w:tc>
          <w:tcPr>
            <w:tcW w:w="5256" w:type="dxa"/>
            <w:shd w:val="clear" w:color="auto" w:fill="EEECE1"/>
            <w:vAlign w:val="center"/>
          </w:tcPr>
          <w:p w14:paraId="3B1CB0D7"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příčin nebo projevů plýtvání (ztrát)</w:t>
            </w:r>
          </w:p>
        </w:tc>
        <w:tc>
          <w:tcPr>
            <w:tcW w:w="3118" w:type="dxa"/>
            <w:shd w:val="clear" w:color="auto" w:fill="EEECE1"/>
            <w:vAlign w:val="center"/>
          </w:tcPr>
          <w:p w14:paraId="56B8FF65" w14:textId="77777777" w:rsidR="006759AF" w:rsidRPr="006A0F76" w:rsidRDefault="006759AF" w:rsidP="006A0F76">
            <w:pPr>
              <w:spacing w:line="240" w:lineRule="auto"/>
              <w:ind w:right="-57"/>
              <w:jc w:val="both"/>
              <w:rPr>
                <w:rFonts w:asciiTheme="minorHAnsi" w:hAnsiTheme="minorHAnsi" w:cstheme="minorHAnsi"/>
                <w:b/>
                <w:sz w:val="20"/>
                <w:szCs w:val="20"/>
              </w:rPr>
            </w:pPr>
            <w:r w:rsidRPr="006A0F76">
              <w:rPr>
                <w:rFonts w:asciiTheme="minorHAnsi" w:hAnsiTheme="minorHAnsi" w:cstheme="minorHAnsi"/>
                <w:b/>
                <w:sz w:val="20"/>
                <w:szCs w:val="20"/>
              </w:rPr>
              <w:t>Příklady opatření kromě „auditu ztrát“</w:t>
            </w:r>
          </w:p>
        </w:tc>
      </w:tr>
      <w:tr w:rsidR="006759AF" w:rsidRPr="006759AF" w14:paraId="50D4A8A5" w14:textId="77777777" w:rsidTr="003E065A">
        <w:trPr>
          <w:trHeight w:val="2336"/>
        </w:trPr>
        <w:tc>
          <w:tcPr>
            <w:tcW w:w="948" w:type="dxa"/>
            <w:shd w:val="clear" w:color="auto" w:fill="EEECE1"/>
            <w:textDirection w:val="btLr"/>
            <w:vAlign w:val="center"/>
          </w:tcPr>
          <w:p w14:paraId="0BBAAD9A" w14:textId="6CC00F5F" w:rsidR="006759AF" w:rsidRPr="006759AF" w:rsidRDefault="006759AF" w:rsidP="005A15B2">
            <w:pPr>
              <w:spacing w:line="240" w:lineRule="auto"/>
              <w:jc w:val="center"/>
              <w:rPr>
                <w:rFonts w:asciiTheme="minorHAnsi" w:hAnsiTheme="minorHAnsi" w:cstheme="minorHAnsi"/>
                <w:b/>
                <w:bCs/>
              </w:rPr>
            </w:pPr>
            <w:r w:rsidRPr="006759AF">
              <w:rPr>
                <w:rFonts w:asciiTheme="minorHAnsi" w:hAnsiTheme="minorHAnsi" w:cstheme="minorHAnsi"/>
                <w:b/>
                <w:bCs/>
                <w:sz w:val="22"/>
                <w:szCs w:val="22"/>
              </w:rPr>
              <w:t>Plýtvání kreativitou, příležitostmi a</w:t>
            </w:r>
          </w:p>
          <w:p w14:paraId="13A2AE70" w14:textId="5C33BBE8" w:rsidR="006759AF" w:rsidRPr="006759AF" w:rsidRDefault="005A15B2" w:rsidP="005A15B2">
            <w:pPr>
              <w:spacing w:line="240" w:lineRule="auto"/>
              <w:ind w:left="-57" w:right="-57"/>
              <w:jc w:val="center"/>
              <w:rPr>
                <w:rFonts w:asciiTheme="minorHAnsi" w:hAnsiTheme="minorHAnsi" w:cstheme="minorHAnsi"/>
                <w:b/>
                <w:bCs/>
              </w:rPr>
            </w:pPr>
            <w:r>
              <w:rPr>
                <w:rFonts w:asciiTheme="minorHAnsi" w:hAnsiTheme="minorHAnsi" w:cstheme="minorHAnsi"/>
                <w:b/>
                <w:bCs/>
                <w:sz w:val="22"/>
                <w:szCs w:val="22"/>
              </w:rPr>
              <w:t>místními podmínkami</w:t>
            </w:r>
          </w:p>
        </w:tc>
        <w:tc>
          <w:tcPr>
            <w:tcW w:w="5256" w:type="dxa"/>
            <w:vAlign w:val="center"/>
          </w:tcPr>
          <w:p w14:paraId="630AA8B8" w14:textId="77777777" w:rsidR="006759AF" w:rsidRPr="006759AF" w:rsidRDefault="006759AF" w:rsidP="003E065A">
            <w:pPr>
              <w:spacing w:line="240" w:lineRule="auto"/>
              <w:rPr>
                <w:rFonts w:asciiTheme="minorHAnsi" w:hAnsiTheme="minorHAnsi" w:cstheme="minorHAnsi"/>
              </w:rPr>
            </w:pPr>
            <w:r w:rsidRPr="006759AF">
              <w:rPr>
                <w:rFonts w:asciiTheme="minorHAnsi" w:hAnsiTheme="minorHAnsi" w:cstheme="minorHAnsi"/>
                <w:sz w:val="22"/>
                <w:szCs w:val="22"/>
              </w:rPr>
              <w:t>Existuje ještě celá řada dalších příčin možného plýtvání, například: (a) plýtvání kreativitou lidí a schopnostmi (kompetencemi) zaměstnanců, týmů, partnerů atd.</w:t>
            </w:r>
          </w:p>
          <w:p w14:paraId="2AF7973A" w14:textId="77777777" w:rsidR="006759AF" w:rsidRPr="006759AF" w:rsidRDefault="006759AF" w:rsidP="003E065A">
            <w:pPr>
              <w:spacing w:line="240" w:lineRule="auto"/>
              <w:rPr>
                <w:rFonts w:asciiTheme="minorHAnsi" w:hAnsiTheme="minorHAnsi" w:cstheme="minorHAnsi"/>
              </w:rPr>
            </w:pPr>
            <w:r w:rsidRPr="006759AF">
              <w:rPr>
                <w:rFonts w:asciiTheme="minorHAnsi" w:hAnsiTheme="minorHAnsi" w:cstheme="minorHAnsi"/>
                <w:sz w:val="22"/>
                <w:szCs w:val="22"/>
              </w:rPr>
              <w:t xml:space="preserve">(b) špatná motivace zaměstnanců; (c) nevyužívání příležitostí, partnerství a synergií (např. nepřipravenost na čerpání zdrojů z fondů EU); (d) neschopnost učit se od jiných (benchlearning, znalostní řízení); (e) neznalost (či plýtvání) místními podmínkami a místními výhodami. </w:t>
            </w:r>
          </w:p>
        </w:tc>
        <w:tc>
          <w:tcPr>
            <w:tcW w:w="3118" w:type="dxa"/>
            <w:vAlign w:val="center"/>
          </w:tcPr>
          <w:p w14:paraId="777153A0" w14:textId="77777777" w:rsidR="006759AF" w:rsidRPr="006759AF" w:rsidRDefault="006759AF" w:rsidP="003E065A">
            <w:pPr>
              <w:spacing w:line="240" w:lineRule="auto"/>
              <w:rPr>
                <w:rFonts w:asciiTheme="minorHAnsi" w:hAnsiTheme="minorHAnsi" w:cstheme="minorHAnsi"/>
              </w:rPr>
            </w:pPr>
            <w:r w:rsidRPr="006759AF">
              <w:rPr>
                <w:rFonts w:asciiTheme="minorHAnsi" w:hAnsiTheme="minorHAnsi" w:cstheme="minorHAnsi"/>
                <w:sz w:val="22"/>
                <w:szCs w:val="22"/>
              </w:rPr>
              <w:t>(a) Vytvoření kultury (klimatu) podporující úspory a „štíhlou administrativu“.</w:t>
            </w:r>
          </w:p>
          <w:p w14:paraId="51A20CDF" w14:textId="77777777" w:rsidR="006759AF" w:rsidRPr="006759AF" w:rsidRDefault="006759AF" w:rsidP="003E065A">
            <w:pPr>
              <w:spacing w:line="240" w:lineRule="auto"/>
              <w:rPr>
                <w:rFonts w:asciiTheme="minorHAnsi" w:hAnsiTheme="minorHAnsi" w:cstheme="minorHAnsi"/>
                <w:sz w:val="20"/>
                <w:szCs w:val="20"/>
              </w:rPr>
            </w:pPr>
            <w:r w:rsidRPr="006759AF">
              <w:rPr>
                <w:rFonts w:asciiTheme="minorHAnsi" w:hAnsiTheme="minorHAnsi" w:cstheme="minorHAnsi"/>
                <w:sz w:val="22"/>
                <w:szCs w:val="22"/>
              </w:rPr>
              <w:t>(b) Odměňování založené na kompetencích, výkonech a plnění dohodnutých cílů.</w:t>
            </w:r>
          </w:p>
        </w:tc>
      </w:tr>
    </w:tbl>
    <w:p w14:paraId="09568F6C" w14:textId="5E382776" w:rsidR="006759AF" w:rsidRPr="00FB3215" w:rsidRDefault="004F1B82" w:rsidP="00FB3215">
      <w:pPr>
        <w:pStyle w:val="A-pramen"/>
        <w:spacing w:after="120"/>
        <w:rPr>
          <w:rFonts w:asciiTheme="minorHAnsi" w:hAnsiTheme="minorHAnsi" w:cstheme="minorHAnsi"/>
          <w:i/>
          <w:szCs w:val="24"/>
          <w:lang w:val="cs-CZ"/>
        </w:rPr>
      </w:pPr>
      <w:r>
        <w:rPr>
          <w:rFonts w:asciiTheme="minorHAnsi" w:hAnsiTheme="minorHAnsi" w:cstheme="minorHAnsi"/>
          <w:i/>
          <w:szCs w:val="24"/>
          <w:lang w:val="cs-CZ"/>
        </w:rPr>
        <w:t>Zdroj</w:t>
      </w:r>
      <w:r w:rsidR="006759AF" w:rsidRPr="00FB3215">
        <w:rPr>
          <w:rFonts w:asciiTheme="minorHAnsi" w:hAnsiTheme="minorHAnsi" w:cstheme="minorHAnsi"/>
          <w:i/>
          <w:szCs w:val="24"/>
          <w:lang w:val="cs-CZ"/>
        </w:rPr>
        <w:t xml:space="preserve">: </w:t>
      </w:r>
      <w:r w:rsidR="00BF656E">
        <w:rPr>
          <w:rFonts w:asciiTheme="minorHAnsi" w:hAnsiTheme="minorHAnsi" w:cstheme="minorHAnsi"/>
          <w:i/>
          <w:szCs w:val="24"/>
          <w:lang w:val="cs-CZ"/>
        </w:rPr>
        <w:t>Ochrana, Půček (2012)</w:t>
      </w:r>
      <w:r w:rsidR="006759AF" w:rsidRPr="00FB3215">
        <w:rPr>
          <w:rFonts w:asciiTheme="minorHAnsi" w:hAnsiTheme="minorHAnsi" w:cstheme="minorHAnsi"/>
          <w:i/>
          <w:szCs w:val="24"/>
          <w:lang w:val="cs-CZ"/>
        </w:rPr>
        <w:t xml:space="preserve"> </w:t>
      </w:r>
    </w:p>
    <w:p w14:paraId="472CE482" w14:textId="77777777" w:rsidR="00C7187C" w:rsidRDefault="00C7187C" w:rsidP="00B677AE">
      <w:pPr>
        <w:pStyle w:val="A1-text"/>
        <w:spacing w:after="120"/>
        <w:rPr>
          <w:rFonts w:asciiTheme="minorHAnsi" w:hAnsiTheme="minorHAnsi" w:cstheme="minorHAnsi"/>
          <w:b/>
          <w:lang w:val="cs-CZ"/>
        </w:rPr>
      </w:pPr>
    </w:p>
    <w:p w14:paraId="1636A179" w14:textId="7C93A4F9" w:rsidR="00B677AE" w:rsidRPr="005149E0" w:rsidRDefault="00B677AE" w:rsidP="00B677AE">
      <w:pPr>
        <w:pStyle w:val="A1-text"/>
        <w:spacing w:after="120"/>
        <w:rPr>
          <w:rFonts w:asciiTheme="minorHAnsi" w:hAnsiTheme="minorHAnsi" w:cstheme="minorHAnsi"/>
          <w:b/>
          <w:lang w:val="cs-CZ"/>
        </w:rPr>
      </w:pPr>
      <w:r w:rsidRPr="005149E0">
        <w:rPr>
          <w:rFonts w:asciiTheme="minorHAnsi" w:hAnsiTheme="minorHAnsi" w:cstheme="minorHAnsi"/>
          <w:b/>
          <w:lang w:val="cs-CZ"/>
        </w:rPr>
        <w:lastRenderedPageBreak/>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2F797847" w14:textId="57A887BA" w:rsidR="003E065A" w:rsidRDefault="003E065A" w:rsidP="0065698B">
      <w:pPr>
        <w:pStyle w:val="Odstavecseseznamem"/>
        <w:numPr>
          <w:ilvl w:val="0"/>
          <w:numId w:val="22"/>
        </w:numPr>
        <w:jc w:val="both"/>
        <w:rPr>
          <w:rFonts w:asciiTheme="minorHAnsi" w:hAnsiTheme="minorHAnsi" w:cstheme="minorHAnsi"/>
        </w:rPr>
      </w:pPr>
      <w:r w:rsidRPr="006759AF">
        <w:rPr>
          <w:rFonts w:asciiTheme="minorHAnsi" w:hAnsiTheme="minorHAnsi" w:cstheme="minorHAnsi"/>
        </w:rPr>
        <w:t xml:space="preserve"> </w:t>
      </w:r>
      <w:r>
        <w:rPr>
          <w:rFonts w:asciiTheme="minorHAnsi" w:hAnsiTheme="minorHAnsi" w:cstheme="minorHAnsi"/>
        </w:rPr>
        <w:t>„Š</w:t>
      </w:r>
      <w:r w:rsidRPr="006759AF">
        <w:rPr>
          <w:rFonts w:asciiTheme="minorHAnsi" w:hAnsiTheme="minorHAnsi" w:cstheme="minorHAnsi"/>
        </w:rPr>
        <w:t>tíhlá administrativa</w:t>
      </w:r>
      <w:r>
        <w:rPr>
          <w:rFonts w:asciiTheme="minorHAnsi" w:hAnsiTheme="minorHAnsi" w:cstheme="minorHAnsi"/>
        </w:rPr>
        <w:t>“</w:t>
      </w:r>
      <w:r w:rsidRPr="006759AF">
        <w:rPr>
          <w:rFonts w:asciiTheme="minorHAnsi" w:hAnsiTheme="minorHAnsi" w:cstheme="minorHAnsi"/>
        </w:rPr>
        <w:t xml:space="preserve"> se nezaměřuje na snižování počtu</w:t>
      </w:r>
      <w:r w:rsidR="008F5042">
        <w:rPr>
          <w:rFonts w:asciiTheme="minorHAnsi" w:hAnsiTheme="minorHAnsi" w:cstheme="minorHAnsi"/>
        </w:rPr>
        <w:t xml:space="preserve"> zaměstnanců, ale na zkracování</w:t>
      </w:r>
      <w:r w:rsidRPr="006759AF">
        <w:rPr>
          <w:rFonts w:asciiTheme="minorHAnsi" w:hAnsiTheme="minorHAnsi" w:cstheme="minorHAnsi"/>
        </w:rPr>
        <w:t xml:space="preserve"> času, prostoru, zásob a majetku nutného pro poskytování </w:t>
      </w:r>
      <w:r>
        <w:rPr>
          <w:rFonts w:asciiTheme="minorHAnsi" w:hAnsiTheme="minorHAnsi" w:cstheme="minorHAnsi"/>
        </w:rPr>
        <w:t xml:space="preserve">veřejných </w:t>
      </w:r>
      <w:r w:rsidRPr="006759AF">
        <w:rPr>
          <w:rFonts w:asciiTheme="minorHAnsi" w:hAnsiTheme="minorHAnsi" w:cstheme="minorHAnsi"/>
        </w:rPr>
        <w:t xml:space="preserve">služeb. </w:t>
      </w:r>
      <w:r>
        <w:rPr>
          <w:rFonts w:asciiTheme="minorHAnsi" w:hAnsiTheme="minorHAnsi" w:cstheme="minorHAnsi"/>
        </w:rPr>
        <w:t>Snahou je optimalizovat činnosti tak</w:t>
      </w:r>
      <w:r w:rsidRPr="006759AF">
        <w:rPr>
          <w:rFonts w:asciiTheme="minorHAnsi" w:hAnsiTheme="minorHAnsi" w:cstheme="minorHAnsi"/>
        </w:rPr>
        <w:t xml:space="preserve">, že </w:t>
      </w:r>
    </w:p>
    <w:p w14:paraId="210BED51" w14:textId="5CA38B26" w:rsidR="003E065A" w:rsidRDefault="003E065A" w:rsidP="0065698B">
      <w:pPr>
        <w:pStyle w:val="Odstavecseseznamem"/>
        <w:numPr>
          <w:ilvl w:val="1"/>
          <w:numId w:val="22"/>
        </w:numPr>
        <w:jc w:val="both"/>
        <w:rPr>
          <w:rFonts w:asciiTheme="minorHAnsi" w:hAnsiTheme="minorHAnsi" w:cstheme="minorHAnsi"/>
        </w:rPr>
      </w:pPr>
      <w:r w:rsidRPr="006759AF">
        <w:rPr>
          <w:rFonts w:asciiTheme="minorHAnsi" w:hAnsiTheme="minorHAnsi" w:cstheme="minorHAnsi"/>
        </w:rPr>
        <w:t xml:space="preserve">méně </w:t>
      </w:r>
      <w:r>
        <w:rPr>
          <w:rFonts w:asciiTheme="minorHAnsi" w:hAnsiTheme="minorHAnsi" w:cstheme="minorHAnsi"/>
        </w:rPr>
        <w:t>potřebného</w:t>
      </w:r>
      <w:r w:rsidRPr="006759AF">
        <w:rPr>
          <w:rFonts w:asciiTheme="minorHAnsi" w:hAnsiTheme="minorHAnsi" w:cstheme="minorHAnsi"/>
        </w:rPr>
        <w:t xml:space="preserve"> času může znamenat odvedení více práce stejným počtem zaměstnanců ne</w:t>
      </w:r>
      <w:r>
        <w:rPr>
          <w:rFonts w:asciiTheme="minorHAnsi" w:hAnsiTheme="minorHAnsi" w:cstheme="minorHAnsi"/>
        </w:rPr>
        <w:t>bo úspory ve mzdových nákladech,</w:t>
      </w:r>
      <w:r w:rsidRPr="006759AF">
        <w:rPr>
          <w:rFonts w:asciiTheme="minorHAnsi" w:hAnsiTheme="minorHAnsi" w:cstheme="minorHAnsi"/>
        </w:rPr>
        <w:t xml:space="preserve"> </w:t>
      </w:r>
    </w:p>
    <w:p w14:paraId="7B8D3E96" w14:textId="417F8DC6" w:rsidR="003E065A" w:rsidRDefault="003E065A" w:rsidP="0065698B">
      <w:pPr>
        <w:pStyle w:val="Odstavecseseznamem"/>
        <w:numPr>
          <w:ilvl w:val="1"/>
          <w:numId w:val="22"/>
        </w:numPr>
        <w:jc w:val="both"/>
        <w:rPr>
          <w:rFonts w:asciiTheme="minorHAnsi" w:hAnsiTheme="minorHAnsi" w:cstheme="minorHAnsi"/>
        </w:rPr>
      </w:pPr>
      <w:r>
        <w:rPr>
          <w:rFonts w:asciiTheme="minorHAnsi" w:hAnsiTheme="minorHAnsi" w:cstheme="minorHAnsi"/>
        </w:rPr>
        <w:t>m</w:t>
      </w:r>
      <w:r w:rsidRPr="006759AF">
        <w:rPr>
          <w:rFonts w:asciiTheme="minorHAnsi" w:hAnsiTheme="minorHAnsi" w:cstheme="minorHAnsi"/>
        </w:rPr>
        <w:t>éně potřebných prostor šetří nák</w:t>
      </w:r>
      <w:r>
        <w:rPr>
          <w:rFonts w:asciiTheme="minorHAnsi" w:hAnsiTheme="minorHAnsi" w:cstheme="minorHAnsi"/>
        </w:rPr>
        <w:t xml:space="preserve">lady na energie a média, úklid, </w:t>
      </w:r>
    </w:p>
    <w:p w14:paraId="6BE85A16" w14:textId="77777777" w:rsidR="003E065A" w:rsidRDefault="003E065A" w:rsidP="0065698B">
      <w:pPr>
        <w:pStyle w:val="Odstavecseseznamem"/>
        <w:numPr>
          <w:ilvl w:val="1"/>
          <w:numId w:val="22"/>
        </w:numPr>
        <w:jc w:val="both"/>
        <w:rPr>
          <w:rFonts w:asciiTheme="minorHAnsi" w:hAnsiTheme="minorHAnsi" w:cstheme="minorHAnsi"/>
        </w:rPr>
      </w:pPr>
      <w:r>
        <w:rPr>
          <w:rFonts w:asciiTheme="minorHAnsi" w:hAnsiTheme="minorHAnsi" w:cstheme="minorHAnsi"/>
        </w:rPr>
        <w:t>m</w:t>
      </w:r>
      <w:r w:rsidRPr="006759AF">
        <w:rPr>
          <w:rFonts w:asciiTheme="minorHAnsi" w:hAnsiTheme="minorHAnsi" w:cstheme="minorHAnsi"/>
        </w:rPr>
        <w:t xml:space="preserve">éně vybavení a majetku šetří investice a náklady na údržbu atd. </w:t>
      </w:r>
    </w:p>
    <w:p w14:paraId="790ECD94" w14:textId="6AB0EE9A" w:rsidR="003E065A" w:rsidRPr="006759AF" w:rsidRDefault="003E065A" w:rsidP="0065698B">
      <w:pPr>
        <w:pStyle w:val="Odstavecseseznamem"/>
        <w:numPr>
          <w:ilvl w:val="0"/>
          <w:numId w:val="22"/>
        </w:numPr>
        <w:jc w:val="both"/>
        <w:rPr>
          <w:rFonts w:asciiTheme="minorHAnsi" w:hAnsiTheme="minorHAnsi" w:cstheme="minorHAnsi"/>
        </w:rPr>
      </w:pPr>
      <w:r w:rsidRPr="003E065A">
        <w:rPr>
          <w:rFonts w:asciiTheme="minorHAnsi" w:hAnsiTheme="minorHAnsi" w:cstheme="minorHAnsi"/>
        </w:rPr>
        <w:t xml:space="preserve">Výše uvedené příklady příčin nebo projevů plýtvání je </w:t>
      </w:r>
      <w:r>
        <w:rPr>
          <w:rFonts w:asciiTheme="minorHAnsi" w:hAnsiTheme="minorHAnsi" w:cstheme="minorHAnsi"/>
        </w:rPr>
        <w:t xml:space="preserve">třeba brát jako inspiraci pro </w:t>
      </w:r>
      <w:r w:rsidRPr="003E065A">
        <w:rPr>
          <w:rFonts w:asciiTheme="minorHAnsi" w:hAnsiTheme="minorHAnsi" w:cstheme="minorHAnsi"/>
        </w:rPr>
        <w:t xml:space="preserve">provedení auditu ztrát (plýtvání) </w:t>
      </w:r>
      <w:r w:rsidRPr="006759AF">
        <w:rPr>
          <w:rFonts w:asciiTheme="minorHAnsi" w:hAnsiTheme="minorHAnsi" w:cstheme="minorHAnsi"/>
        </w:rPr>
        <w:t>v konkrétní instituci.</w:t>
      </w:r>
      <w:r>
        <w:rPr>
          <w:rFonts w:asciiTheme="minorHAnsi" w:hAnsiTheme="minorHAnsi" w:cstheme="minorHAnsi"/>
        </w:rPr>
        <w:t xml:space="preserve"> Je nezbytné je přizpůsobit předmětu činnosti a místním podmínkám.</w:t>
      </w:r>
    </w:p>
    <w:p w14:paraId="42F8D51C" w14:textId="5319F99F" w:rsidR="00B677AE" w:rsidRDefault="00B677AE" w:rsidP="006759AF">
      <w:pPr>
        <w:pStyle w:val="A1-text"/>
        <w:spacing w:after="0"/>
        <w:rPr>
          <w:rFonts w:asciiTheme="minorHAnsi" w:hAnsiTheme="minorHAnsi" w:cstheme="minorHAnsi"/>
          <w:lang w:val="cs-CZ"/>
        </w:rPr>
      </w:pPr>
    </w:p>
    <w:p w14:paraId="268A3A6E" w14:textId="77777777" w:rsidR="003205BC" w:rsidRPr="006759AF" w:rsidRDefault="003205BC" w:rsidP="006759AF">
      <w:pPr>
        <w:pStyle w:val="A1-text"/>
        <w:spacing w:after="0"/>
        <w:rPr>
          <w:rFonts w:asciiTheme="minorHAnsi" w:hAnsiTheme="minorHAnsi" w:cstheme="minorHAnsi"/>
          <w:lang w:val="cs-CZ"/>
        </w:rPr>
      </w:pPr>
    </w:p>
    <w:p w14:paraId="331A0196" w14:textId="77777777" w:rsidR="00226C7C" w:rsidRDefault="00226C7C" w:rsidP="00226C7C">
      <w:pPr>
        <w:pStyle w:val="Nadpis2"/>
        <w:spacing w:before="240" w:after="120"/>
        <w:ind w:left="578" w:hanging="578"/>
        <w:rPr>
          <w:rFonts w:asciiTheme="minorHAnsi" w:hAnsiTheme="minorHAnsi" w:cstheme="minorHAnsi"/>
          <w:color w:val="7493B0"/>
          <w:sz w:val="24"/>
          <w:szCs w:val="24"/>
          <w:lang w:val="cs-CZ"/>
        </w:rPr>
      </w:pPr>
      <w:bookmarkStart w:id="104" w:name="_Toc117270031"/>
      <w:r w:rsidRPr="0093652E">
        <w:rPr>
          <w:rFonts w:asciiTheme="minorHAnsi" w:hAnsiTheme="minorHAnsi" w:cstheme="minorHAnsi"/>
          <w:color w:val="7493B0"/>
          <w:sz w:val="24"/>
          <w:szCs w:val="24"/>
          <w:lang w:val="cs-CZ"/>
        </w:rPr>
        <w:t>Energetické úspory města Litoměřice</w:t>
      </w:r>
      <w:bookmarkEnd w:id="104"/>
    </w:p>
    <w:p w14:paraId="07BB971C" w14:textId="77777777" w:rsidR="00226C7C" w:rsidRPr="00024FF5" w:rsidRDefault="00226C7C" w:rsidP="00226C7C">
      <w:pPr>
        <w:spacing w:after="120"/>
        <w:jc w:val="both"/>
        <w:rPr>
          <w:rFonts w:asciiTheme="minorHAnsi" w:hAnsiTheme="minorHAnsi" w:cstheme="minorHAnsi"/>
        </w:rPr>
      </w:pPr>
      <w:r w:rsidRPr="00024FF5">
        <w:rPr>
          <w:rFonts w:asciiTheme="minorHAnsi" w:hAnsiTheme="minorHAnsi" w:cstheme="minorHAnsi"/>
          <w:b/>
        </w:rPr>
        <w:t>Čeho se případová studie týká:</w:t>
      </w:r>
      <w:r w:rsidRPr="00024FF5">
        <w:rPr>
          <w:rFonts w:asciiTheme="minorHAnsi" w:hAnsiTheme="minorHAnsi" w:cstheme="minorHAnsi"/>
        </w:rPr>
        <w:t xml:space="preserve"> </w:t>
      </w:r>
    </w:p>
    <w:p w14:paraId="42A0C8D1" w14:textId="7DE47FEA" w:rsidR="00226C7C" w:rsidRPr="00024FF5" w:rsidRDefault="00226C7C" w:rsidP="00226C7C">
      <w:pPr>
        <w:spacing w:after="120"/>
        <w:jc w:val="both"/>
        <w:rPr>
          <w:rFonts w:asciiTheme="minorHAnsi" w:hAnsiTheme="minorHAnsi" w:cstheme="minorHAnsi"/>
        </w:rPr>
      </w:pPr>
      <w:r w:rsidRPr="00024FF5">
        <w:rPr>
          <w:rFonts w:asciiTheme="minorHAnsi" w:hAnsiTheme="minorHAnsi" w:cstheme="minorHAnsi"/>
        </w:rPr>
        <w:t>Druhá zásada zdravého finančního řízení samospráv se týká indexu provozních úspor. Je třeba hledat prostor pro racionální úspory. K tomu je významné usilovat o dosažení co nejvyšších energetických úspor. Poslední ze zásad zdravého finančního řízení se týká soběstačnosti, včetně snahy o zvýšení energetické soběstačnosti. Případová studie se týká energetických úspor města Litoměřice.</w:t>
      </w:r>
    </w:p>
    <w:p w14:paraId="2D44C3E2" w14:textId="77777777" w:rsidR="00226C7C" w:rsidRPr="00024FF5" w:rsidRDefault="00226C7C" w:rsidP="00226C7C">
      <w:pPr>
        <w:spacing w:after="120"/>
        <w:jc w:val="both"/>
        <w:rPr>
          <w:rFonts w:asciiTheme="minorHAnsi" w:hAnsiTheme="minorHAnsi" w:cstheme="minorHAnsi"/>
          <w:b/>
        </w:rPr>
      </w:pPr>
      <w:r w:rsidRPr="00024FF5">
        <w:rPr>
          <w:rFonts w:asciiTheme="minorHAnsi" w:hAnsiTheme="minorHAnsi" w:cstheme="minorHAnsi"/>
          <w:b/>
        </w:rPr>
        <w:t>Popis případové studie:</w:t>
      </w:r>
    </w:p>
    <w:p w14:paraId="421B734B" w14:textId="29D0B818" w:rsidR="00226C7C" w:rsidRPr="00024FF5" w:rsidRDefault="00DD40FD" w:rsidP="0022790F">
      <w:pPr>
        <w:spacing w:after="120"/>
        <w:jc w:val="both"/>
        <w:rPr>
          <w:rFonts w:asciiTheme="minorHAnsi" w:hAnsiTheme="minorHAnsi" w:cstheme="minorHAnsi"/>
        </w:rPr>
      </w:pPr>
      <w:r w:rsidRPr="00024FF5">
        <w:rPr>
          <w:rFonts w:asciiTheme="minorHAnsi" w:hAnsiTheme="minorHAnsi" w:cstheme="minorHAnsi"/>
        </w:rPr>
        <w:t xml:space="preserve">Město Litoměřice se snaží o dlouhodobé snižování provozních výdajů za energie a podporuje všechny dotčené subjekty města (zaměstnance veřejné správy, příspěvkové organizace, ale také běžné občany) v zodpovědném uživatelském chování směrem k realizaci úspor energie a využití lokálních obnovitelných zdrojů energie. </w:t>
      </w:r>
    </w:p>
    <w:p w14:paraId="47334A55" w14:textId="4752F181" w:rsidR="00EA76F3" w:rsidRPr="00024FF5" w:rsidRDefault="00EA76F3" w:rsidP="0022790F">
      <w:pPr>
        <w:spacing w:after="120"/>
        <w:jc w:val="both"/>
        <w:rPr>
          <w:rFonts w:asciiTheme="minorHAnsi" w:hAnsiTheme="minorHAnsi" w:cstheme="minorHAnsi"/>
        </w:rPr>
      </w:pPr>
      <w:r w:rsidRPr="00024FF5">
        <w:rPr>
          <w:rFonts w:asciiTheme="minorHAnsi" w:hAnsiTheme="minorHAnsi" w:cstheme="minorHAnsi"/>
        </w:rPr>
        <w:t xml:space="preserve">Pro investice do vlastního majetku je důležité, aby byly realizovány ekonomicky a energeticky úsporně. K tomu je nezbytné připravit kvalitní podklady (projektové studie, energetické audity, posudky, žádosti o dotace, atd.). Pro tato projektová opatření a i pro drobné investice </w:t>
      </w:r>
      <w:r w:rsidR="002A4641" w:rsidRPr="00024FF5">
        <w:rPr>
          <w:rFonts w:asciiTheme="minorHAnsi" w:hAnsiTheme="minorHAnsi" w:cstheme="minorHAnsi"/>
        </w:rPr>
        <w:lastRenderedPageBreak/>
        <w:t>město Litoměřice vytvořilo</w:t>
      </w:r>
      <w:r w:rsidRPr="00024FF5">
        <w:rPr>
          <w:rFonts w:asciiTheme="minorHAnsi" w:hAnsiTheme="minorHAnsi" w:cstheme="minorHAnsi"/>
        </w:rPr>
        <w:t xml:space="preserve"> samostatný Fond úspor energie</w:t>
      </w:r>
      <w:r w:rsidR="00A13F1E" w:rsidRPr="00024FF5">
        <w:rPr>
          <w:rStyle w:val="Znakapoznpodarou"/>
          <w:rFonts w:asciiTheme="minorHAnsi" w:hAnsiTheme="minorHAnsi" w:cstheme="minorHAnsi"/>
        </w:rPr>
        <w:footnoteReference w:id="67"/>
      </w:r>
      <w:r w:rsidRPr="00024FF5">
        <w:rPr>
          <w:rFonts w:asciiTheme="minorHAnsi" w:hAnsiTheme="minorHAnsi" w:cstheme="minorHAnsi"/>
        </w:rPr>
        <w:t>. </w:t>
      </w:r>
      <w:r w:rsidR="00197351" w:rsidRPr="00024FF5">
        <w:rPr>
          <w:rFonts w:asciiTheme="minorHAnsi" w:hAnsiTheme="minorHAnsi" w:cstheme="minorHAnsi"/>
        </w:rPr>
        <w:t xml:space="preserve"> Fond je koncipován tak, aby prostředky na podporu úspor energie a obnovitelných zdrojů energie byly dlouhodobě generovány z již realizovaných úspor, a tím v minimální možné míře zatěžovaly rozpočet města. Navíc prostředky znovu investované do úspor energie a využití obnovitelných zdrojů energie budou mít dlouhodobý multiplikační efekt pro město.</w:t>
      </w:r>
    </w:p>
    <w:p w14:paraId="7D501370" w14:textId="096E0A06" w:rsidR="00226C7C" w:rsidRPr="00024FF5" w:rsidRDefault="00026241" w:rsidP="0022790F">
      <w:pPr>
        <w:spacing w:after="120"/>
        <w:jc w:val="both"/>
        <w:rPr>
          <w:rFonts w:asciiTheme="minorHAnsi" w:hAnsiTheme="minorHAnsi" w:cstheme="minorHAnsi"/>
        </w:rPr>
      </w:pPr>
      <w:r w:rsidRPr="00024FF5">
        <w:rPr>
          <w:rFonts w:asciiTheme="minorHAnsi" w:hAnsiTheme="minorHAnsi" w:cstheme="minorHAnsi"/>
        </w:rPr>
        <w:t xml:space="preserve">Efektivní přístup k hospodaření v oblasti spotřeby energií a využití obnovitelných zdrojů městu přineslo </w:t>
      </w:r>
      <w:r w:rsidR="00194504" w:rsidRPr="00024FF5">
        <w:rPr>
          <w:rFonts w:asciiTheme="minorHAnsi" w:hAnsiTheme="minorHAnsi" w:cstheme="minorHAnsi"/>
        </w:rPr>
        <w:t>kromě očekávaných finančních úspor</w:t>
      </w:r>
      <w:r w:rsidRPr="00024FF5">
        <w:rPr>
          <w:rFonts w:asciiTheme="minorHAnsi" w:hAnsiTheme="minorHAnsi" w:cstheme="minorHAnsi"/>
        </w:rPr>
        <w:t xml:space="preserve"> i </w:t>
      </w:r>
      <w:r w:rsidR="00194504" w:rsidRPr="00024FF5">
        <w:rPr>
          <w:rFonts w:asciiTheme="minorHAnsi" w:hAnsiTheme="minorHAnsi" w:cstheme="minorHAnsi"/>
        </w:rPr>
        <w:t xml:space="preserve">řadu </w:t>
      </w:r>
      <w:r w:rsidRPr="00024FF5">
        <w:rPr>
          <w:rFonts w:asciiTheme="minorHAnsi" w:hAnsiTheme="minorHAnsi" w:cstheme="minorHAnsi"/>
        </w:rPr>
        <w:t>nefinančních přínosů.</w:t>
      </w:r>
      <w:r w:rsidR="00194504" w:rsidRPr="00024FF5">
        <w:rPr>
          <w:rFonts w:asciiTheme="minorHAnsi" w:hAnsiTheme="minorHAnsi" w:cstheme="minorHAnsi"/>
        </w:rPr>
        <w:t xml:space="preserve"> Mezi hlavní nefinanční přínosy Fondu lze zařadit:</w:t>
      </w:r>
    </w:p>
    <w:p w14:paraId="26D73549" w14:textId="4CF744E6" w:rsidR="00194504" w:rsidRPr="00024FF5" w:rsidRDefault="00194504" w:rsidP="00194504">
      <w:pPr>
        <w:pStyle w:val="Odstavecseseznamem"/>
        <w:numPr>
          <w:ilvl w:val="0"/>
          <w:numId w:val="22"/>
        </w:numPr>
        <w:jc w:val="both"/>
        <w:rPr>
          <w:rFonts w:asciiTheme="minorHAnsi" w:hAnsiTheme="minorHAnsi" w:cstheme="minorHAnsi"/>
        </w:rPr>
      </w:pPr>
      <w:r w:rsidRPr="00024FF5">
        <w:rPr>
          <w:rFonts w:asciiTheme="minorHAnsi" w:hAnsiTheme="minorHAnsi" w:cstheme="minorHAnsi"/>
        </w:rPr>
        <w:t>Má pozitivní dopad na životní prostředí. Díky dané inovaci, realizovaným a prokazatelným úsporám energie dochází k</w:t>
      </w:r>
      <w:r w:rsidR="00377867" w:rsidRPr="00024FF5">
        <w:rPr>
          <w:rFonts w:asciiTheme="minorHAnsi" w:hAnsiTheme="minorHAnsi" w:cstheme="minorHAnsi"/>
        </w:rPr>
        <w:t>e</w:t>
      </w:r>
      <w:r w:rsidRPr="00024FF5">
        <w:rPr>
          <w:rFonts w:asciiTheme="minorHAnsi" w:hAnsiTheme="minorHAnsi" w:cstheme="minorHAnsi"/>
        </w:rPr>
        <w:t> zlepšování kvality ovzduší a snížení negativních dopadů přispívajících ke klimatickým změnám.</w:t>
      </w:r>
    </w:p>
    <w:p w14:paraId="2923EDEA" w14:textId="682A52DF" w:rsidR="00194504" w:rsidRPr="00024FF5" w:rsidRDefault="00194504" w:rsidP="00194504">
      <w:pPr>
        <w:pStyle w:val="Odstavecseseznamem"/>
        <w:numPr>
          <w:ilvl w:val="0"/>
          <w:numId w:val="22"/>
        </w:numPr>
        <w:jc w:val="both"/>
        <w:rPr>
          <w:rFonts w:asciiTheme="minorHAnsi" w:hAnsiTheme="minorHAnsi" w:cstheme="minorHAnsi"/>
        </w:rPr>
      </w:pPr>
      <w:r w:rsidRPr="00024FF5">
        <w:rPr>
          <w:rFonts w:asciiTheme="minorHAnsi" w:hAnsiTheme="minorHAnsi" w:cstheme="minorHAnsi"/>
        </w:rPr>
        <w:t>Má pozitivní dopad na sociální oblast</w:t>
      </w:r>
      <w:r w:rsidR="00885BF9" w:rsidRPr="00024FF5">
        <w:rPr>
          <w:rFonts w:asciiTheme="minorHAnsi" w:hAnsiTheme="minorHAnsi" w:cstheme="minorHAnsi"/>
        </w:rPr>
        <w:t>.</w:t>
      </w:r>
      <w:r w:rsidRPr="00024FF5">
        <w:rPr>
          <w:rFonts w:asciiTheme="minorHAnsi" w:hAnsiTheme="minorHAnsi" w:cstheme="minorHAnsi"/>
        </w:rPr>
        <w:t xml:space="preserve"> Fond </w:t>
      </w:r>
      <w:r w:rsidR="00885BF9" w:rsidRPr="00024FF5">
        <w:rPr>
          <w:rFonts w:asciiTheme="minorHAnsi" w:hAnsiTheme="minorHAnsi" w:cstheme="minorHAnsi"/>
        </w:rPr>
        <w:t xml:space="preserve">umožňuje </w:t>
      </w:r>
      <w:r w:rsidRPr="00024FF5">
        <w:rPr>
          <w:rFonts w:asciiTheme="minorHAnsi" w:hAnsiTheme="minorHAnsi" w:cstheme="minorHAnsi"/>
        </w:rPr>
        <w:t>především v sektoru školství realizovat investice s vyšší přidanou hodnotou, kdy při renovac</w:t>
      </w:r>
      <w:r w:rsidR="00885BF9" w:rsidRPr="00024FF5">
        <w:rPr>
          <w:rFonts w:asciiTheme="minorHAnsi" w:hAnsiTheme="minorHAnsi" w:cstheme="minorHAnsi"/>
        </w:rPr>
        <w:t xml:space="preserve">ích </w:t>
      </w:r>
      <w:r w:rsidRPr="00024FF5">
        <w:rPr>
          <w:rFonts w:asciiTheme="minorHAnsi" w:hAnsiTheme="minorHAnsi" w:cstheme="minorHAnsi"/>
        </w:rPr>
        <w:t>škol a školek je možné oproti běžnému standardu umísťovat rekuperace, která snižuje velmi významně koncentrace CO2 ve třídách</w:t>
      </w:r>
      <w:r w:rsidR="00885BF9" w:rsidRPr="00024FF5">
        <w:rPr>
          <w:rFonts w:asciiTheme="minorHAnsi" w:hAnsiTheme="minorHAnsi" w:cstheme="minorHAnsi"/>
        </w:rPr>
        <w:t>.</w:t>
      </w:r>
    </w:p>
    <w:p w14:paraId="626AECEB" w14:textId="669AF377" w:rsidR="00194504" w:rsidRPr="00024FF5" w:rsidRDefault="00194504" w:rsidP="00194504">
      <w:pPr>
        <w:pStyle w:val="Odstavecseseznamem"/>
        <w:numPr>
          <w:ilvl w:val="0"/>
          <w:numId w:val="22"/>
        </w:numPr>
        <w:jc w:val="both"/>
        <w:rPr>
          <w:rFonts w:asciiTheme="minorHAnsi" w:hAnsiTheme="minorHAnsi" w:cstheme="minorHAnsi"/>
        </w:rPr>
      </w:pPr>
      <w:r w:rsidRPr="00024FF5">
        <w:rPr>
          <w:rFonts w:asciiTheme="minorHAnsi" w:hAnsiTheme="minorHAnsi" w:cstheme="minorHAnsi"/>
        </w:rPr>
        <w:t xml:space="preserve">Zvyšuje povědomí o úsporách energie a možnostech využívání </w:t>
      </w:r>
      <w:r w:rsidR="00885BF9" w:rsidRPr="00024FF5">
        <w:rPr>
          <w:rFonts w:asciiTheme="minorHAnsi" w:hAnsiTheme="minorHAnsi" w:cstheme="minorHAnsi"/>
        </w:rPr>
        <w:t>obnovitelných zdrojů energie</w:t>
      </w:r>
      <w:r w:rsidRPr="00024FF5">
        <w:rPr>
          <w:rFonts w:asciiTheme="minorHAnsi" w:hAnsiTheme="minorHAnsi" w:cstheme="minorHAnsi"/>
        </w:rPr>
        <w:t xml:space="preserve"> a je ukázkou postupu i pro širokou veřejnost a domácnosti, které mohou porovnat náklady a úspory na konkrétních příkladech.</w:t>
      </w:r>
    </w:p>
    <w:p w14:paraId="0406B37E" w14:textId="77777777" w:rsidR="00226C7C" w:rsidRPr="00024FF5" w:rsidRDefault="00226C7C" w:rsidP="00226C7C">
      <w:pPr>
        <w:pStyle w:val="A1-text"/>
        <w:spacing w:after="120"/>
        <w:rPr>
          <w:rFonts w:asciiTheme="minorHAnsi" w:hAnsiTheme="minorHAnsi" w:cstheme="minorHAnsi"/>
          <w:b/>
          <w:lang w:val="cs-CZ"/>
        </w:rPr>
      </w:pPr>
      <w:r w:rsidRPr="00024FF5">
        <w:rPr>
          <w:rFonts w:asciiTheme="minorHAnsi" w:hAnsiTheme="minorHAnsi" w:cstheme="minorHAnsi"/>
          <w:b/>
          <w:lang w:val="cs-CZ"/>
        </w:rPr>
        <w:t>Závěr / omezení / zkušenost nebo dobrá praxe ze studie plynoucí:</w:t>
      </w:r>
    </w:p>
    <w:p w14:paraId="66548856" w14:textId="5EBE513B" w:rsidR="00197351" w:rsidRPr="00024FF5" w:rsidRDefault="00197351" w:rsidP="00A13F1E">
      <w:pPr>
        <w:pStyle w:val="Odstavecseseznamem"/>
        <w:numPr>
          <w:ilvl w:val="0"/>
          <w:numId w:val="22"/>
        </w:numPr>
        <w:spacing w:after="120"/>
        <w:jc w:val="both"/>
        <w:rPr>
          <w:rFonts w:asciiTheme="minorHAnsi" w:hAnsiTheme="minorHAnsi" w:cstheme="minorHAnsi"/>
        </w:rPr>
      </w:pPr>
      <w:r w:rsidRPr="00024FF5">
        <w:rPr>
          <w:rFonts w:asciiTheme="minorHAnsi" w:hAnsiTheme="minorHAnsi" w:cstheme="minorHAnsi"/>
        </w:rPr>
        <w:t xml:space="preserve">Fond je unikátním nástrojem v rámci českých měst, a to zejména svou celkovou koncepcí zvyšující multiplikační efekt prostředků uspořených na výdajích za energii a motivující k uvědomělému uživatelskému chování. Dochází rovněž k posílení energetické soběstačnosti a efektivnějšímu využití veřejných prostředků. </w:t>
      </w:r>
    </w:p>
    <w:p w14:paraId="28DFFCB0" w14:textId="103DFC08" w:rsidR="00197351" w:rsidRPr="00024FF5" w:rsidRDefault="00197351" w:rsidP="00A13F1E">
      <w:pPr>
        <w:pStyle w:val="Odstavecseseznamem"/>
        <w:numPr>
          <w:ilvl w:val="0"/>
          <w:numId w:val="22"/>
        </w:numPr>
        <w:spacing w:after="120"/>
        <w:jc w:val="both"/>
        <w:rPr>
          <w:rFonts w:asciiTheme="minorHAnsi" w:hAnsiTheme="minorHAnsi" w:cstheme="minorHAnsi"/>
        </w:rPr>
      </w:pPr>
      <w:r w:rsidRPr="00024FF5">
        <w:rPr>
          <w:rFonts w:asciiTheme="minorHAnsi" w:hAnsiTheme="minorHAnsi" w:cstheme="minorHAnsi"/>
        </w:rPr>
        <w:t xml:space="preserve">Fond úspor energie je replikovatelný a velmi jednoduše přenositelný i na jiná města a obce. Město Litoměřice k Fondu úspor energie vypracovalo metodiku, která ostatním obcím usnadní </w:t>
      </w:r>
      <w:r w:rsidR="00D7795F" w:rsidRPr="00024FF5">
        <w:rPr>
          <w:rFonts w:asciiTheme="minorHAnsi" w:hAnsiTheme="minorHAnsi" w:cstheme="minorHAnsi"/>
        </w:rPr>
        <w:t>aplikaci tohoto nástroje v místních podmínkách.</w:t>
      </w:r>
    </w:p>
    <w:p w14:paraId="2038EDAD" w14:textId="77777777" w:rsidR="006759AF" w:rsidRPr="006759AF" w:rsidRDefault="006759AF" w:rsidP="006759AF">
      <w:pPr>
        <w:pStyle w:val="A1-text"/>
        <w:spacing w:after="0"/>
        <w:rPr>
          <w:rFonts w:asciiTheme="minorHAnsi" w:hAnsiTheme="minorHAnsi" w:cstheme="minorHAnsi"/>
          <w:lang w:val="cs-CZ"/>
        </w:rPr>
      </w:pPr>
    </w:p>
    <w:p w14:paraId="1731380E" w14:textId="77777777" w:rsidR="0028344B" w:rsidRPr="007B1B0A" w:rsidRDefault="0028344B" w:rsidP="0028344B">
      <w:pPr>
        <w:pStyle w:val="Nadpis2"/>
        <w:spacing w:before="240" w:after="120"/>
        <w:ind w:left="578" w:hanging="578"/>
        <w:rPr>
          <w:rFonts w:asciiTheme="minorHAnsi" w:hAnsiTheme="minorHAnsi" w:cstheme="minorHAnsi"/>
          <w:color w:val="7493B0"/>
          <w:sz w:val="24"/>
          <w:szCs w:val="24"/>
          <w:lang w:val="cs-CZ"/>
        </w:rPr>
      </w:pPr>
      <w:bookmarkStart w:id="105" w:name="_Toc117270032"/>
      <w:r>
        <w:rPr>
          <w:rFonts w:asciiTheme="minorHAnsi" w:hAnsiTheme="minorHAnsi" w:cstheme="minorHAnsi"/>
          <w:color w:val="7493B0"/>
          <w:sz w:val="24"/>
          <w:szCs w:val="24"/>
          <w:lang w:val="cs-CZ"/>
        </w:rPr>
        <w:lastRenderedPageBreak/>
        <w:t>Příklady b</w:t>
      </w:r>
      <w:r w:rsidRPr="007B1B0A">
        <w:rPr>
          <w:rFonts w:asciiTheme="minorHAnsi" w:hAnsiTheme="minorHAnsi" w:cstheme="minorHAnsi"/>
          <w:color w:val="7493B0"/>
          <w:sz w:val="24"/>
          <w:szCs w:val="24"/>
          <w:lang w:val="cs-CZ"/>
        </w:rPr>
        <w:t>enchmarking</w:t>
      </w:r>
      <w:r>
        <w:rPr>
          <w:rFonts w:asciiTheme="minorHAnsi" w:hAnsiTheme="minorHAnsi" w:cstheme="minorHAnsi"/>
          <w:color w:val="7493B0"/>
          <w:sz w:val="24"/>
          <w:szCs w:val="24"/>
          <w:lang w:val="cs-CZ"/>
        </w:rPr>
        <w:t>u obcí</w:t>
      </w:r>
      <w:bookmarkEnd w:id="105"/>
    </w:p>
    <w:p w14:paraId="5640278F" w14:textId="77777777" w:rsidR="0028344B" w:rsidRDefault="0028344B" w:rsidP="0028344B">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7657D2BB" w14:textId="16556B6D" w:rsidR="008170AA" w:rsidRDefault="008170AA" w:rsidP="0028344B">
      <w:pPr>
        <w:spacing w:after="120"/>
        <w:jc w:val="both"/>
        <w:rPr>
          <w:rFonts w:asciiTheme="minorHAnsi" w:hAnsiTheme="minorHAnsi" w:cstheme="minorHAnsi"/>
        </w:rPr>
      </w:pPr>
      <w:r>
        <w:rPr>
          <w:rFonts w:asciiTheme="minorHAnsi" w:hAnsiTheme="minorHAnsi" w:cstheme="minorHAnsi"/>
        </w:rPr>
        <w:t>Případová studie se týká projektů benchmarkingu obcí. Problematika benchmarkingu byla popsána v kapitole 5.5. B</w:t>
      </w:r>
      <w:r w:rsidR="00B054AC">
        <w:rPr>
          <w:rFonts w:asciiTheme="minorHAnsi" w:hAnsiTheme="minorHAnsi" w:cstheme="minorHAnsi"/>
        </w:rPr>
        <w:t>enchmarking je možné využít v rámci strategické práce – například při provádění finančních analýz.</w:t>
      </w:r>
    </w:p>
    <w:p w14:paraId="3BA01D90" w14:textId="77777777" w:rsidR="0028344B" w:rsidRPr="006B6EA5" w:rsidRDefault="0028344B" w:rsidP="0028344B">
      <w:pPr>
        <w:spacing w:after="120"/>
        <w:jc w:val="both"/>
        <w:rPr>
          <w:rFonts w:asciiTheme="minorHAnsi" w:hAnsiTheme="minorHAnsi" w:cstheme="minorHAnsi"/>
          <w:b/>
        </w:rPr>
      </w:pPr>
      <w:r w:rsidRPr="006B6EA5">
        <w:rPr>
          <w:rFonts w:asciiTheme="minorHAnsi" w:hAnsiTheme="minorHAnsi" w:cstheme="minorHAnsi"/>
          <w:b/>
        </w:rPr>
        <w:t>Popis případové studie:</w:t>
      </w:r>
    </w:p>
    <w:p w14:paraId="72C52FFE" w14:textId="08AD98BF" w:rsidR="00B054AC" w:rsidRDefault="0028344B" w:rsidP="00B054AC">
      <w:pPr>
        <w:pStyle w:val="A1-text"/>
        <w:spacing w:after="120"/>
        <w:rPr>
          <w:rFonts w:asciiTheme="minorHAnsi" w:hAnsiTheme="minorHAnsi" w:cstheme="minorHAnsi"/>
        </w:rPr>
      </w:pPr>
      <w:r>
        <w:rPr>
          <w:rFonts w:asciiTheme="minorHAnsi" w:hAnsiTheme="minorHAnsi" w:cstheme="minorHAnsi"/>
        </w:rPr>
        <w:t>V následující tabulce jsou uvedeny</w:t>
      </w:r>
      <w:r w:rsidR="00C819DC">
        <w:rPr>
          <w:rFonts w:asciiTheme="minorHAnsi" w:hAnsiTheme="minorHAnsi" w:cstheme="minorHAnsi"/>
          <w:lang w:val="cs-CZ"/>
        </w:rPr>
        <w:t xml:space="preserve"> informace k</w:t>
      </w:r>
      <w:r w:rsidR="00E77990">
        <w:rPr>
          <w:rFonts w:asciiTheme="minorHAnsi" w:hAnsiTheme="minorHAnsi" w:cstheme="minorHAnsi"/>
        </w:rPr>
        <w:t> </w:t>
      </w:r>
      <w:r w:rsidR="00E77990">
        <w:rPr>
          <w:rFonts w:asciiTheme="minorHAnsi" w:hAnsiTheme="minorHAnsi" w:cstheme="minorHAnsi"/>
          <w:lang w:val="cs-CZ"/>
        </w:rPr>
        <w:t xml:space="preserve">vybraným </w:t>
      </w:r>
      <w:r>
        <w:rPr>
          <w:rFonts w:asciiTheme="minorHAnsi" w:hAnsiTheme="minorHAnsi" w:cstheme="minorHAnsi"/>
        </w:rPr>
        <w:t>ben</w:t>
      </w:r>
      <w:r w:rsidR="00C819DC">
        <w:rPr>
          <w:rFonts w:asciiTheme="minorHAnsi" w:hAnsiTheme="minorHAnsi" w:cstheme="minorHAnsi"/>
        </w:rPr>
        <w:t>chmarkingovým projektům</w:t>
      </w:r>
      <w:r>
        <w:rPr>
          <w:rFonts w:asciiTheme="minorHAnsi" w:hAnsiTheme="minorHAnsi" w:cstheme="minorHAnsi"/>
        </w:rPr>
        <w:t xml:space="preserve"> obcí</w:t>
      </w:r>
      <w:r w:rsidRPr="008B6851">
        <w:rPr>
          <w:rFonts w:asciiTheme="minorHAnsi" w:hAnsiTheme="minorHAnsi" w:cstheme="minorHAnsi"/>
        </w:rPr>
        <w:t xml:space="preserve">. </w:t>
      </w:r>
      <w:r w:rsidR="00B054AC" w:rsidRPr="00622159">
        <w:rPr>
          <w:rFonts w:asciiTheme="minorHAnsi" w:hAnsiTheme="minorHAnsi" w:cstheme="minorHAnsi"/>
        </w:rPr>
        <w:t>Data k finančnímu benchmarkingu může poskytnout databáze MONITOR.</w:t>
      </w:r>
    </w:p>
    <w:p w14:paraId="36D52F79" w14:textId="34E7801A" w:rsidR="0028344B" w:rsidRPr="004B0D06" w:rsidRDefault="0028344B" w:rsidP="0028344B">
      <w:pPr>
        <w:pStyle w:val="Normlnweb"/>
        <w:spacing w:line="360" w:lineRule="auto"/>
        <w:jc w:val="both"/>
        <w:rPr>
          <w:rFonts w:asciiTheme="minorHAnsi" w:hAnsiTheme="minorHAnsi" w:cstheme="minorHAnsi"/>
          <w:i/>
          <w:iCs/>
        </w:rPr>
      </w:pPr>
      <w:r w:rsidRPr="004B0D06">
        <w:rPr>
          <w:rFonts w:asciiTheme="minorHAnsi" w:hAnsiTheme="minorHAnsi" w:cstheme="minorHAnsi"/>
          <w:i/>
          <w:iCs/>
        </w:rPr>
        <w:t xml:space="preserve">Tab. </w:t>
      </w:r>
      <w:r w:rsidR="007B193B">
        <w:rPr>
          <w:rFonts w:asciiTheme="minorHAnsi" w:hAnsiTheme="minorHAnsi" w:cstheme="minorHAnsi"/>
          <w:i/>
          <w:iCs/>
        </w:rPr>
        <w:t>43</w:t>
      </w:r>
      <w:r w:rsidR="004F0E1D">
        <w:rPr>
          <w:rFonts w:asciiTheme="minorHAnsi" w:hAnsiTheme="minorHAnsi" w:cstheme="minorHAnsi"/>
          <w:i/>
          <w:iCs/>
        </w:rPr>
        <w:t xml:space="preserve"> </w:t>
      </w:r>
      <w:r w:rsidRPr="004B0D06">
        <w:rPr>
          <w:rFonts w:asciiTheme="minorHAnsi" w:hAnsiTheme="minorHAnsi" w:cstheme="minorHAnsi"/>
          <w:i/>
          <w:iCs/>
        </w:rPr>
        <w:t xml:space="preserve">Základní informace o vybraných projektech benchmarkingu municipalit v ČR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
        <w:gridCol w:w="2546"/>
        <w:gridCol w:w="809"/>
        <w:gridCol w:w="2324"/>
        <w:gridCol w:w="2975"/>
      </w:tblGrid>
      <w:tr w:rsidR="0028344B" w:rsidRPr="00622159" w14:paraId="09C577A2" w14:textId="77777777" w:rsidTr="00B054AC">
        <w:tc>
          <w:tcPr>
            <w:tcW w:w="163" w:type="pct"/>
            <w:shd w:val="clear" w:color="auto" w:fill="F2F2F2"/>
            <w:vAlign w:val="center"/>
          </w:tcPr>
          <w:p w14:paraId="2B8B1564"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Č</w:t>
            </w:r>
          </w:p>
        </w:tc>
        <w:tc>
          <w:tcPr>
            <w:tcW w:w="1422" w:type="pct"/>
            <w:shd w:val="clear" w:color="auto" w:fill="F2F2F2"/>
            <w:vAlign w:val="center"/>
          </w:tcPr>
          <w:p w14:paraId="11C06E67"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Název projektu</w:t>
            </w:r>
          </w:p>
        </w:tc>
        <w:tc>
          <w:tcPr>
            <w:tcW w:w="458" w:type="pct"/>
            <w:shd w:val="clear" w:color="auto" w:fill="F2F2F2"/>
            <w:vAlign w:val="center"/>
          </w:tcPr>
          <w:p w14:paraId="1E582D6D"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Období</w:t>
            </w:r>
          </w:p>
        </w:tc>
        <w:tc>
          <w:tcPr>
            <w:tcW w:w="1298" w:type="pct"/>
            <w:shd w:val="clear" w:color="auto" w:fill="F2F2F2"/>
            <w:vAlign w:val="center"/>
          </w:tcPr>
          <w:p w14:paraId="37D3776E"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Koordinátor a financování</w:t>
            </w:r>
          </w:p>
        </w:tc>
        <w:tc>
          <w:tcPr>
            <w:tcW w:w="1659" w:type="pct"/>
            <w:shd w:val="clear" w:color="auto" w:fill="F2F2F2"/>
            <w:vAlign w:val="center"/>
          </w:tcPr>
          <w:p w14:paraId="46997FB7"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Určen pro a počet zapojených</w:t>
            </w:r>
          </w:p>
        </w:tc>
      </w:tr>
      <w:tr w:rsidR="0028344B" w:rsidRPr="00622159" w14:paraId="69C24ED4" w14:textId="77777777" w:rsidTr="00B054AC">
        <w:tc>
          <w:tcPr>
            <w:tcW w:w="163" w:type="pct"/>
            <w:shd w:val="clear" w:color="auto" w:fill="F2F2F2"/>
            <w:vAlign w:val="center"/>
          </w:tcPr>
          <w:p w14:paraId="778B47C2"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1</w:t>
            </w:r>
          </w:p>
        </w:tc>
        <w:tc>
          <w:tcPr>
            <w:tcW w:w="1422" w:type="pct"/>
            <w:shd w:val="clear" w:color="auto" w:fill="auto"/>
            <w:vAlign w:val="center"/>
          </w:tcPr>
          <w:p w14:paraId="354CC960"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Cena a výkon</w:t>
            </w:r>
          </w:p>
        </w:tc>
        <w:tc>
          <w:tcPr>
            <w:tcW w:w="458" w:type="pct"/>
            <w:shd w:val="clear" w:color="auto" w:fill="auto"/>
            <w:vAlign w:val="center"/>
          </w:tcPr>
          <w:p w14:paraId="5DD630EE"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2001-2002</w:t>
            </w:r>
          </w:p>
        </w:tc>
        <w:tc>
          <w:tcPr>
            <w:tcW w:w="1298" w:type="pct"/>
            <w:shd w:val="clear" w:color="auto" w:fill="auto"/>
            <w:vAlign w:val="center"/>
          </w:tcPr>
          <w:p w14:paraId="7D1FF81E"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Město Ostrava a VCVS z prostředků British Know How Fund a města Ostrava</w:t>
            </w:r>
          </w:p>
        </w:tc>
        <w:tc>
          <w:tcPr>
            <w:tcW w:w="1659" w:type="pct"/>
            <w:shd w:val="clear" w:color="auto" w:fill="auto"/>
            <w:vAlign w:val="center"/>
          </w:tcPr>
          <w:p w14:paraId="4E7E990C"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města nad 50 tis. obyvatel; zapojeno 6 měst</w:t>
            </w:r>
          </w:p>
        </w:tc>
      </w:tr>
      <w:tr w:rsidR="0028344B" w:rsidRPr="00622159" w14:paraId="2C9FE8B2" w14:textId="77777777" w:rsidTr="00B054AC">
        <w:tc>
          <w:tcPr>
            <w:tcW w:w="163" w:type="pct"/>
            <w:shd w:val="clear" w:color="auto" w:fill="F2F2F2"/>
            <w:vAlign w:val="center"/>
          </w:tcPr>
          <w:p w14:paraId="5E570350"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w:t>
            </w:r>
          </w:p>
        </w:tc>
        <w:tc>
          <w:tcPr>
            <w:tcW w:w="1422" w:type="pct"/>
            <w:shd w:val="clear" w:color="auto" w:fill="auto"/>
            <w:vAlign w:val="center"/>
          </w:tcPr>
          <w:p w14:paraId="4B270E4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Benchmarking v oblasti rozšířené působnosti obcí 3. typu</w:t>
            </w:r>
          </w:p>
        </w:tc>
        <w:tc>
          <w:tcPr>
            <w:tcW w:w="458" w:type="pct"/>
            <w:shd w:val="clear" w:color="auto" w:fill="auto"/>
            <w:vAlign w:val="center"/>
          </w:tcPr>
          <w:p w14:paraId="345B50B9"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2003-2004</w:t>
            </w:r>
          </w:p>
        </w:tc>
        <w:tc>
          <w:tcPr>
            <w:tcW w:w="1298" w:type="pct"/>
            <w:shd w:val="clear" w:color="auto" w:fill="auto"/>
            <w:vAlign w:val="center"/>
          </w:tcPr>
          <w:p w14:paraId="2E349303"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VCVS z prostředků kanadské vlády</w:t>
            </w:r>
          </w:p>
        </w:tc>
        <w:tc>
          <w:tcPr>
            <w:tcW w:w="1659" w:type="pct"/>
            <w:shd w:val="clear" w:color="auto" w:fill="auto"/>
            <w:vAlign w:val="center"/>
          </w:tcPr>
          <w:p w14:paraId="31F8B0B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města (obce 3 typu – provádějí největší rozsah přeneseného výkonu státní správy); zapojeno 48 měst</w:t>
            </w:r>
          </w:p>
        </w:tc>
      </w:tr>
      <w:tr w:rsidR="0028344B" w:rsidRPr="00622159" w14:paraId="2C3B563D" w14:textId="77777777" w:rsidTr="00B054AC">
        <w:tc>
          <w:tcPr>
            <w:tcW w:w="163" w:type="pct"/>
            <w:shd w:val="clear" w:color="auto" w:fill="F2F2F2"/>
            <w:vAlign w:val="center"/>
          </w:tcPr>
          <w:p w14:paraId="0DAEBF72"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3</w:t>
            </w:r>
          </w:p>
        </w:tc>
        <w:tc>
          <w:tcPr>
            <w:tcW w:w="1422" w:type="pct"/>
            <w:shd w:val="clear" w:color="auto" w:fill="auto"/>
            <w:vAlign w:val="center"/>
          </w:tcPr>
          <w:p w14:paraId="03F33689"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Benchlearning v rámci Národní sítě Zdravých měst a regionů</w:t>
            </w:r>
          </w:p>
        </w:tc>
        <w:tc>
          <w:tcPr>
            <w:tcW w:w="458" w:type="pct"/>
            <w:shd w:val="clear" w:color="auto" w:fill="auto"/>
            <w:vAlign w:val="center"/>
          </w:tcPr>
          <w:p w14:paraId="247FC923"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2003 - dosud</w:t>
            </w:r>
          </w:p>
        </w:tc>
        <w:tc>
          <w:tcPr>
            <w:tcW w:w="1298" w:type="pct"/>
            <w:shd w:val="clear" w:color="auto" w:fill="auto"/>
            <w:vAlign w:val="center"/>
          </w:tcPr>
          <w:p w14:paraId="5554135D"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NSZM z prostředků členských měst a projektů</w:t>
            </w:r>
          </w:p>
        </w:tc>
        <w:tc>
          <w:tcPr>
            <w:tcW w:w="1659" w:type="pct"/>
            <w:shd w:val="clear" w:color="auto" w:fill="auto"/>
            <w:vAlign w:val="center"/>
          </w:tcPr>
          <w:p w14:paraId="1577B3D9"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členské obce (převážně města), následně také mikroregiony a kraje; v roce 2013: 115 členů</w:t>
            </w:r>
          </w:p>
        </w:tc>
      </w:tr>
      <w:tr w:rsidR="0028344B" w:rsidRPr="00622159" w14:paraId="1B316681" w14:textId="77777777" w:rsidTr="00B054AC">
        <w:tc>
          <w:tcPr>
            <w:tcW w:w="163" w:type="pct"/>
            <w:shd w:val="clear" w:color="auto" w:fill="F2F2F2"/>
            <w:vAlign w:val="center"/>
          </w:tcPr>
          <w:p w14:paraId="7B6823CB"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4</w:t>
            </w:r>
          </w:p>
        </w:tc>
        <w:tc>
          <w:tcPr>
            <w:tcW w:w="1422" w:type="pct"/>
            <w:shd w:val="clear" w:color="auto" w:fill="auto"/>
            <w:vAlign w:val="center"/>
          </w:tcPr>
          <w:p w14:paraId="65322771"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Benchmarking indikátorů udržitelného rozvoje měst</w:t>
            </w:r>
          </w:p>
        </w:tc>
        <w:tc>
          <w:tcPr>
            <w:tcW w:w="458" w:type="pct"/>
            <w:shd w:val="clear" w:color="auto" w:fill="auto"/>
            <w:vAlign w:val="center"/>
          </w:tcPr>
          <w:p w14:paraId="50200E44"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2004 -dosud</w:t>
            </w:r>
          </w:p>
        </w:tc>
        <w:tc>
          <w:tcPr>
            <w:tcW w:w="1298" w:type="pct"/>
            <w:shd w:val="clear" w:color="auto" w:fill="auto"/>
            <w:vAlign w:val="center"/>
          </w:tcPr>
          <w:p w14:paraId="78D015F9" w14:textId="77777777" w:rsidR="0028344B" w:rsidRPr="00622159" w:rsidRDefault="0028344B" w:rsidP="00C7187C">
            <w:pPr>
              <w:pStyle w:val="Default"/>
              <w:ind w:left="-57" w:right="-57"/>
              <w:rPr>
                <w:rFonts w:asciiTheme="minorHAnsi" w:hAnsiTheme="minorHAnsi" w:cstheme="minorHAnsi"/>
                <w:sz w:val="20"/>
                <w:szCs w:val="20"/>
              </w:rPr>
            </w:pPr>
            <w:r w:rsidRPr="00622159">
              <w:rPr>
                <w:rFonts w:asciiTheme="minorHAnsi" w:hAnsiTheme="minorHAnsi" w:cstheme="minorHAnsi"/>
                <w:sz w:val="20"/>
                <w:szCs w:val="20"/>
              </w:rPr>
              <w:t>Ústav pro ekopolitiku, o.p.s. (prostředky vlámské vlády) a od roku 2005 TIMUR, o.</w:t>
            </w:r>
            <w:r>
              <w:rPr>
                <w:rFonts w:asciiTheme="minorHAnsi" w:hAnsiTheme="minorHAnsi" w:cstheme="minorHAnsi"/>
                <w:sz w:val="20"/>
                <w:szCs w:val="20"/>
              </w:rPr>
              <w:t xml:space="preserve"> </w:t>
            </w:r>
            <w:r w:rsidRPr="00622159">
              <w:rPr>
                <w:rFonts w:asciiTheme="minorHAnsi" w:hAnsiTheme="minorHAnsi" w:cstheme="minorHAnsi"/>
                <w:sz w:val="20"/>
                <w:szCs w:val="20"/>
              </w:rPr>
              <w:t xml:space="preserve">s. z prostředků měst a dotací </w:t>
            </w:r>
          </w:p>
        </w:tc>
        <w:tc>
          <w:tcPr>
            <w:tcW w:w="1659" w:type="pct"/>
            <w:shd w:val="clear" w:color="auto" w:fill="auto"/>
            <w:vAlign w:val="center"/>
          </w:tcPr>
          <w:p w14:paraId="61E7F867"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města; v roce 2004: 5 měst; 2013: 39 obcí a měst</w:t>
            </w:r>
          </w:p>
        </w:tc>
      </w:tr>
      <w:tr w:rsidR="0028344B" w:rsidRPr="00622159" w14:paraId="39A1B281" w14:textId="77777777" w:rsidTr="00B054AC">
        <w:tc>
          <w:tcPr>
            <w:tcW w:w="163" w:type="pct"/>
            <w:shd w:val="clear" w:color="auto" w:fill="F2F2F2"/>
            <w:vAlign w:val="center"/>
          </w:tcPr>
          <w:p w14:paraId="51362998"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5</w:t>
            </w:r>
          </w:p>
        </w:tc>
        <w:tc>
          <w:tcPr>
            <w:tcW w:w="1422" w:type="pct"/>
            <w:shd w:val="clear" w:color="auto" w:fill="auto"/>
            <w:vAlign w:val="center"/>
          </w:tcPr>
          <w:p w14:paraId="25E6980B"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 xml:space="preserve">Mezinárodní benchlearning měst: "CAF Regional Benchlearning Project" </w:t>
            </w:r>
          </w:p>
        </w:tc>
        <w:tc>
          <w:tcPr>
            <w:tcW w:w="458" w:type="pct"/>
            <w:shd w:val="clear" w:color="auto" w:fill="auto"/>
            <w:vAlign w:val="center"/>
          </w:tcPr>
          <w:p w14:paraId="1A63A016"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2004 -2005</w:t>
            </w:r>
          </w:p>
        </w:tc>
        <w:tc>
          <w:tcPr>
            <w:tcW w:w="1298" w:type="pct"/>
            <w:shd w:val="clear" w:color="auto" w:fill="auto"/>
            <w:vAlign w:val="center"/>
          </w:tcPr>
          <w:p w14:paraId="7B012768"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Ministerstvo vnitra (v rámci ČR), financováno městy</w:t>
            </w:r>
          </w:p>
        </w:tc>
        <w:tc>
          <w:tcPr>
            <w:tcW w:w="1659" w:type="pct"/>
            <w:shd w:val="clear" w:color="auto" w:fill="auto"/>
            <w:vAlign w:val="center"/>
          </w:tcPr>
          <w:p w14:paraId="7651C28E" w14:textId="77777777" w:rsidR="0028344B" w:rsidRPr="00622159" w:rsidRDefault="0028344B" w:rsidP="00C7187C">
            <w:pPr>
              <w:autoSpaceDE w:val="0"/>
              <w:autoSpaceDN w:val="0"/>
              <w:adjustRightInd w:val="0"/>
              <w:spacing w:line="240" w:lineRule="auto"/>
              <w:ind w:left="-57" w:right="-57"/>
              <w:rPr>
                <w:rFonts w:asciiTheme="minorHAnsi" w:hAnsiTheme="minorHAnsi" w:cstheme="minorHAnsi"/>
                <w:sz w:val="20"/>
                <w:szCs w:val="20"/>
              </w:rPr>
            </w:pPr>
            <w:r w:rsidRPr="00622159">
              <w:rPr>
                <w:rFonts w:asciiTheme="minorHAnsi" w:hAnsiTheme="minorHAnsi" w:cstheme="minorHAnsi"/>
                <w:sz w:val="20"/>
                <w:szCs w:val="20"/>
              </w:rPr>
              <w:t>Vsetín (ČR), Martin (Slovensko), Šopron (Maďarsko)</w:t>
            </w:r>
          </w:p>
        </w:tc>
      </w:tr>
      <w:tr w:rsidR="0028344B" w:rsidRPr="00622159" w14:paraId="13E2385F" w14:textId="77777777" w:rsidTr="00B054AC">
        <w:tc>
          <w:tcPr>
            <w:tcW w:w="163" w:type="pct"/>
            <w:shd w:val="clear" w:color="auto" w:fill="F2F2F2"/>
            <w:vAlign w:val="center"/>
          </w:tcPr>
          <w:p w14:paraId="0B49CE84"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6</w:t>
            </w:r>
          </w:p>
        </w:tc>
        <w:tc>
          <w:tcPr>
            <w:tcW w:w="1422" w:type="pct"/>
            <w:shd w:val="clear" w:color="auto" w:fill="auto"/>
            <w:vAlign w:val="center"/>
          </w:tcPr>
          <w:p w14:paraId="298454A7"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Benchmarkingová iniciativa 2005</w:t>
            </w:r>
          </w:p>
        </w:tc>
        <w:tc>
          <w:tcPr>
            <w:tcW w:w="458" w:type="pct"/>
            <w:shd w:val="clear" w:color="auto" w:fill="auto"/>
            <w:vAlign w:val="center"/>
          </w:tcPr>
          <w:p w14:paraId="54B05512"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2005 - dosud</w:t>
            </w:r>
          </w:p>
        </w:tc>
        <w:tc>
          <w:tcPr>
            <w:tcW w:w="1298" w:type="pct"/>
            <w:shd w:val="clear" w:color="auto" w:fill="auto"/>
            <w:vAlign w:val="center"/>
          </w:tcPr>
          <w:p w14:paraId="0BBC7B8B"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VCVS z prostředků zapojených měst a dílčích projektů (např. Ministerstvo vnitra)</w:t>
            </w:r>
          </w:p>
        </w:tc>
        <w:tc>
          <w:tcPr>
            <w:tcW w:w="1659" w:type="pct"/>
            <w:shd w:val="clear" w:color="auto" w:fill="auto"/>
            <w:vAlign w:val="center"/>
          </w:tcPr>
          <w:p w14:paraId="58DC3B77"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města (obce 3 typu – provádějí největší rozsah přeneseného výkonu státní správy); 49 v roce 2005, 71 v roce 2013</w:t>
            </w:r>
          </w:p>
        </w:tc>
      </w:tr>
      <w:tr w:rsidR="0028344B" w:rsidRPr="00622159" w14:paraId="0E240E39" w14:textId="77777777" w:rsidTr="00B054AC">
        <w:tc>
          <w:tcPr>
            <w:tcW w:w="163" w:type="pct"/>
            <w:shd w:val="clear" w:color="auto" w:fill="F2F2F2"/>
            <w:vAlign w:val="center"/>
          </w:tcPr>
          <w:p w14:paraId="68995CD1"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7</w:t>
            </w:r>
          </w:p>
        </w:tc>
        <w:tc>
          <w:tcPr>
            <w:tcW w:w="1422" w:type="pct"/>
            <w:shd w:val="clear" w:color="auto" w:fill="auto"/>
            <w:vAlign w:val="center"/>
          </w:tcPr>
          <w:p w14:paraId="5E8AA2A1"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Benchmarking místních Agend 21</w:t>
            </w:r>
          </w:p>
        </w:tc>
        <w:tc>
          <w:tcPr>
            <w:tcW w:w="458" w:type="pct"/>
            <w:shd w:val="clear" w:color="auto" w:fill="auto"/>
            <w:vAlign w:val="center"/>
          </w:tcPr>
          <w:p w14:paraId="078DD920"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2005 - dosud</w:t>
            </w:r>
          </w:p>
        </w:tc>
        <w:tc>
          <w:tcPr>
            <w:tcW w:w="1298" w:type="pct"/>
            <w:shd w:val="clear" w:color="auto" w:fill="auto"/>
            <w:vAlign w:val="center"/>
          </w:tcPr>
          <w:p w14:paraId="67CF63E9"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Ministerstvo životního prostředí a jeho organizace CENIA</w:t>
            </w:r>
          </w:p>
        </w:tc>
        <w:tc>
          <w:tcPr>
            <w:tcW w:w="1659" w:type="pct"/>
            <w:shd w:val="clear" w:color="auto" w:fill="auto"/>
            <w:vAlign w:val="center"/>
          </w:tcPr>
          <w:p w14:paraId="1A38BFD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obce a města (následně také mikroregiony a kraje); 2006: 40, 2013: 197</w:t>
            </w:r>
          </w:p>
        </w:tc>
      </w:tr>
      <w:tr w:rsidR="0028344B" w:rsidRPr="00622159" w14:paraId="1E00001F" w14:textId="77777777" w:rsidTr="00B054AC">
        <w:tc>
          <w:tcPr>
            <w:tcW w:w="163" w:type="pct"/>
            <w:shd w:val="clear" w:color="auto" w:fill="F2F2F2"/>
            <w:vAlign w:val="center"/>
          </w:tcPr>
          <w:p w14:paraId="18424AE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8</w:t>
            </w:r>
          </w:p>
        </w:tc>
        <w:tc>
          <w:tcPr>
            <w:tcW w:w="1422" w:type="pct"/>
            <w:shd w:val="clear" w:color="auto" w:fill="auto"/>
            <w:vAlign w:val="center"/>
          </w:tcPr>
          <w:p w14:paraId="423FF0C8"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Benchmarking na podporu rozvoje a efektivního řízení zdrojů měst</w:t>
            </w:r>
          </w:p>
        </w:tc>
        <w:tc>
          <w:tcPr>
            <w:tcW w:w="458" w:type="pct"/>
            <w:shd w:val="clear" w:color="auto" w:fill="auto"/>
            <w:vAlign w:val="center"/>
          </w:tcPr>
          <w:p w14:paraId="2A050E56"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2011-2012</w:t>
            </w:r>
          </w:p>
        </w:tc>
        <w:tc>
          <w:tcPr>
            <w:tcW w:w="1298" w:type="pct"/>
            <w:shd w:val="clear" w:color="auto" w:fill="auto"/>
            <w:vAlign w:val="center"/>
          </w:tcPr>
          <w:p w14:paraId="1F03BF61"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MEPCO (dceřiná společnost Svazu měst a obcí) ze zdrojů MMR a měst</w:t>
            </w:r>
          </w:p>
        </w:tc>
        <w:tc>
          <w:tcPr>
            <w:tcW w:w="1659" w:type="pct"/>
            <w:shd w:val="clear" w:color="auto" w:fill="auto"/>
            <w:vAlign w:val="center"/>
          </w:tcPr>
          <w:p w14:paraId="6DD1A050"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 měst (zaměřeno na města nad 20 tis. obyvatel); navazující projekt v roce 2013 nezahájen</w:t>
            </w:r>
          </w:p>
        </w:tc>
      </w:tr>
      <w:tr w:rsidR="0028344B" w:rsidRPr="00622159" w14:paraId="3F6E2BDF" w14:textId="77777777" w:rsidTr="00B054AC">
        <w:tc>
          <w:tcPr>
            <w:tcW w:w="163" w:type="pct"/>
            <w:shd w:val="clear" w:color="auto" w:fill="F2F2F2"/>
            <w:vAlign w:val="center"/>
          </w:tcPr>
          <w:p w14:paraId="01115DD6"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9</w:t>
            </w:r>
          </w:p>
        </w:tc>
        <w:tc>
          <w:tcPr>
            <w:tcW w:w="1422" w:type="pct"/>
            <w:shd w:val="clear" w:color="auto" w:fill="auto"/>
            <w:vAlign w:val="center"/>
          </w:tcPr>
          <w:p w14:paraId="1249938A"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Mezinárodní benchmarking k přenosu dobré praxe</w:t>
            </w:r>
          </w:p>
        </w:tc>
        <w:tc>
          <w:tcPr>
            <w:tcW w:w="458" w:type="pct"/>
            <w:shd w:val="clear" w:color="auto" w:fill="auto"/>
            <w:vAlign w:val="center"/>
          </w:tcPr>
          <w:p w14:paraId="2BADE2D6"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2012 -</w:t>
            </w:r>
            <w:r>
              <w:rPr>
                <w:rFonts w:asciiTheme="minorHAnsi" w:hAnsiTheme="minorHAnsi" w:cstheme="minorHAnsi"/>
                <w:sz w:val="20"/>
                <w:szCs w:val="20"/>
              </w:rPr>
              <w:t>2015</w:t>
            </w:r>
          </w:p>
        </w:tc>
        <w:tc>
          <w:tcPr>
            <w:tcW w:w="1298" w:type="pct"/>
            <w:shd w:val="clear" w:color="auto" w:fill="auto"/>
            <w:vAlign w:val="center"/>
          </w:tcPr>
          <w:p w14:paraId="48E3F89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MEPCO (dceřiná společnost Svazu měst a obcí) ze zdrojů UNDP, EU a další dotací</w:t>
            </w:r>
          </w:p>
        </w:tc>
        <w:tc>
          <w:tcPr>
            <w:tcW w:w="1659" w:type="pct"/>
            <w:shd w:val="clear" w:color="auto" w:fill="auto"/>
            <w:vAlign w:val="center"/>
          </w:tcPr>
          <w:p w14:paraId="6CC43D3D"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jde o dílčí projekty měst (Balkán, bývalé Sovětské republiky)</w:t>
            </w:r>
          </w:p>
        </w:tc>
      </w:tr>
      <w:tr w:rsidR="0028344B" w:rsidRPr="00622159" w14:paraId="7FC21F89" w14:textId="77777777" w:rsidTr="00B054AC">
        <w:tc>
          <w:tcPr>
            <w:tcW w:w="163" w:type="pct"/>
            <w:shd w:val="clear" w:color="auto" w:fill="F2F2F2"/>
            <w:vAlign w:val="center"/>
          </w:tcPr>
          <w:p w14:paraId="0095D44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10</w:t>
            </w:r>
          </w:p>
        </w:tc>
        <w:tc>
          <w:tcPr>
            <w:tcW w:w="1422" w:type="pct"/>
            <w:shd w:val="clear" w:color="auto" w:fill="auto"/>
            <w:vAlign w:val="center"/>
          </w:tcPr>
          <w:p w14:paraId="0EFD0EC5"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 xml:space="preserve">Benchmarking v projektu Podpory meziobecní spolupráce </w:t>
            </w:r>
          </w:p>
        </w:tc>
        <w:tc>
          <w:tcPr>
            <w:tcW w:w="458" w:type="pct"/>
            <w:shd w:val="clear" w:color="auto" w:fill="auto"/>
            <w:vAlign w:val="center"/>
          </w:tcPr>
          <w:p w14:paraId="1D2C5BC9"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2013 -</w:t>
            </w:r>
            <w:r>
              <w:rPr>
                <w:rFonts w:asciiTheme="minorHAnsi" w:hAnsiTheme="minorHAnsi" w:cstheme="minorHAnsi"/>
                <w:sz w:val="20"/>
                <w:szCs w:val="20"/>
              </w:rPr>
              <w:t>2015</w:t>
            </w:r>
          </w:p>
        </w:tc>
        <w:tc>
          <w:tcPr>
            <w:tcW w:w="1298" w:type="pct"/>
            <w:shd w:val="clear" w:color="auto" w:fill="auto"/>
            <w:vAlign w:val="center"/>
          </w:tcPr>
          <w:p w14:paraId="49C9E02F"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Svaz měst a obcí ze zdrojů fondů EU a měst</w:t>
            </w:r>
          </w:p>
        </w:tc>
        <w:tc>
          <w:tcPr>
            <w:tcW w:w="1659" w:type="pct"/>
            <w:shd w:val="clear" w:color="auto" w:fill="auto"/>
            <w:vAlign w:val="center"/>
          </w:tcPr>
          <w:p w14:paraId="60AA4912" w14:textId="77777777" w:rsidR="0028344B" w:rsidRPr="00622159" w:rsidRDefault="0028344B" w:rsidP="00C7187C">
            <w:pPr>
              <w:pStyle w:val="Normlnweb"/>
              <w:ind w:left="-57" w:right="-57"/>
              <w:rPr>
                <w:rFonts w:asciiTheme="minorHAnsi" w:hAnsiTheme="minorHAnsi" w:cstheme="minorHAnsi"/>
                <w:sz w:val="20"/>
                <w:szCs w:val="20"/>
              </w:rPr>
            </w:pPr>
            <w:r w:rsidRPr="00622159">
              <w:rPr>
                <w:rFonts w:asciiTheme="minorHAnsi" w:hAnsiTheme="minorHAnsi" w:cstheme="minorHAnsi"/>
                <w:sz w:val="20"/>
                <w:szCs w:val="20"/>
              </w:rPr>
              <w:t xml:space="preserve">obce v rámci území obcí s rozšířenou působností; 190 účastníků </w:t>
            </w:r>
          </w:p>
        </w:tc>
      </w:tr>
    </w:tbl>
    <w:p w14:paraId="5540CF77" w14:textId="5A1C6840" w:rsidR="0028344B" w:rsidRPr="004B0D06" w:rsidRDefault="0028344B" w:rsidP="0028344B">
      <w:pPr>
        <w:pStyle w:val="Normlnweb"/>
        <w:spacing w:after="120" w:line="360" w:lineRule="auto"/>
        <w:jc w:val="both"/>
        <w:rPr>
          <w:rFonts w:asciiTheme="minorHAnsi" w:hAnsiTheme="minorHAnsi" w:cstheme="minorHAnsi"/>
          <w:i/>
          <w:iCs/>
        </w:rPr>
      </w:pPr>
      <w:r w:rsidRPr="004B0D06">
        <w:rPr>
          <w:rFonts w:asciiTheme="minorHAnsi" w:hAnsiTheme="minorHAnsi" w:cstheme="minorHAnsi"/>
          <w:i/>
          <w:iCs/>
        </w:rPr>
        <w:t xml:space="preserve">Zdroj: autoři dle </w:t>
      </w:r>
      <w:r w:rsidR="00B054AC">
        <w:rPr>
          <w:rFonts w:asciiTheme="minorHAnsi" w:hAnsiTheme="minorHAnsi" w:cstheme="minorHAnsi"/>
          <w:i/>
          <w:iCs/>
        </w:rPr>
        <w:t>Ochrana, Půček, Špaček (2015)</w:t>
      </w:r>
    </w:p>
    <w:p w14:paraId="0985FB22" w14:textId="77777777" w:rsidR="00B054AC" w:rsidRPr="005149E0" w:rsidRDefault="00B054AC" w:rsidP="00B054AC">
      <w:pPr>
        <w:pStyle w:val="A1-text"/>
        <w:spacing w:after="120"/>
        <w:rPr>
          <w:rFonts w:asciiTheme="minorHAnsi" w:hAnsiTheme="minorHAnsi" w:cstheme="minorHAnsi"/>
          <w:b/>
          <w:lang w:val="cs-CZ"/>
        </w:rPr>
      </w:pPr>
      <w:r w:rsidRPr="005149E0">
        <w:rPr>
          <w:rFonts w:asciiTheme="minorHAnsi" w:hAnsiTheme="minorHAnsi" w:cstheme="minorHAnsi"/>
          <w:b/>
          <w:lang w:val="cs-CZ"/>
        </w:rPr>
        <w:lastRenderedPageBreak/>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3263FC72" w14:textId="557E9B3A" w:rsidR="0028344B" w:rsidRDefault="00C819DC" w:rsidP="0065698B">
      <w:pPr>
        <w:pStyle w:val="Odstavecseseznamem"/>
        <w:numPr>
          <w:ilvl w:val="0"/>
          <w:numId w:val="22"/>
        </w:numPr>
        <w:jc w:val="both"/>
        <w:rPr>
          <w:rFonts w:asciiTheme="minorHAnsi" w:hAnsiTheme="minorHAnsi" w:cstheme="minorHAnsi"/>
        </w:rPr>
      </w:pPr>
      <w:r w:rsidRPr="00C819DC">
        <w:rPr>
          <w:rFonts w:asciiTheme="minorHAnsi" w:hAnsiTheme="minorHAnsi" w:cstheme="minorHAnsi"/>
        </w:rPr>
        <w:t>Benchmarking</w:t>
      </w:r>
      <w:r w:rsidR="0028344B" w:rsidRPr="00C819DC">
        <w:rPr>
          <w:rFonts w:asciiTheme="minorHAnsi" w:hAnsiTheme="minorHAnsi" w:cstheme="minorHAnsi"/>
        </w:rPr>
        <w:t xml:space="preserve"> </w:t>
      </w:r>
      <w:r>
        <w:rPr>
          <w:rFonts w:asciiTheme="minorHAnsi" w:hAnsiTheme="minorHAnsi" w:cstheme="minorHAnsi"/>
        </w:rPr>
        <w:t xml:space="preserve">je velmi účinná metoda, ale přesto </w:t>
      </w:r>
      <w:r w:rsidR="0028344B" w:rsidRPr="00C819DC">
        <w:rPr>
          <w:rFonts w:asciiTheme="minorHAnsi" w:hAnsiTheme="minorHAnsi" w:cstheme="minorHAnsi"/>
        </w:rPr>
        <w:t xml:space="preserve">s sebou </w:t>
      </w:r>
      <w:r>
        <w:rPr>
          <w:rFonts w:asciiTheme="minorHAnsi" w:hAnsiTheme="minorHAnsi" w:cstheme="minorHAnsi"/>
        </w:rPr>
        <w:t>nese problémy spojené</w:t>
      </w:r>
      <w:r w:rsidR="0028344B" w:rsidRPr="00C819DC">
        <w:rPr>
          <w:rFonts w:asciiTheme="minorHAnsi" w:hAnsiTheme="minorHAnsi" w:cstheme="minorHAnsi"/>
        </w:rPr>
        <w:t xml:space="preserve"> například se: (1) špatně stanovenou metodikou porovnávání nebo nekvalitním sběrem dat, záměrné zkreslování údajů atd., (2) porovnáváním neporovnatelného nebo snahou “přenést nepřenositelné” – ne vždy jsou specifické místní podmínky vhodné pro porovnání nebo jako inspirace pro jiné.</w:t>
      </w:r>
    </w:p>
    <w:p w14:paraId="7515E299" w14:textId="731479AA" w:rsidR="00E77990" w:rsidRDefault="00E77990" w:rsidP="00E77990">
      <w:pPr>
        <w:jc w:val="both"/>
        <w:rPr>
          <w:rFonts w:asciiTheme="minorHAnsi" w:hAnsiTheme="minorHAnsi" w:cstheme="minorHAnsi"/>
        </w:rPr>
      </w:pPr>
    </w:p>
    <w:p w14:paraId="464F3AF4" w14:textId="0F1A64E0" w:rsidR="008C4AC2" w:rsidRPr="006129A1" w:rsidRDefault="008C4AC2" w:rsidP="008C4AC2">
      <w:pPr>
        <w:pStyle w:val="Nadpis2"/>
        <w:spacing w:before="240" w:after="120"/>
        <w:ind w:left="578" w:hanging="578"/>
        <w:rPr>
          <w:rFonts w:asciiTheme="minorHAnsi" w:hAnsiTheme="minorHAnsi" w:cstheme="minorHAnsi"/>
          <w:color w:val="7493B0"/>
          <w:sz w:val="24"/>
          <w:szCs w:val="24"/>
          <w:lang w:val="cs-CZ"/>
        </w:rPr>
      </w:pPr>
      <w:bookmarkStart w:id="106" w:name="_Toc117270033"/>
      <w:r w:rsidRPr="006129A1">
        <w:rPr>
          <w:rFonts w:asciiTheme="minorHAnsi" w:hAnsiTheme="minorHAnsi" w:cstheme="minorHAnsi"/>
          <w:color w:val="7493B0"/>
          <w:sz w:val="24"/>
          <w:szCs w:val="24"/>
          <w:lang w:val="cs-CZ"/>
        </w:rPr>
        <w:t xml:space="preserve">Databáze veřejných strategií z hlediska finančních </w:t>
      </w:r>
      <w:r w:rsidR="00411921">
        <w:rPr>
          <w:rFonts w:asciiTheme="minorHAnsi" w:hAnsiTheme="minorHAnsi" w:cstheme="minorHAnsi"/>
          <w:color w:val="7493B0"/>
          <w:sz w:val="24"/>
          <w:szCs w:val="24"/>
          <w:lang w:val="cs-CZ"/>
        </w:rPr>
        <w:t>zdrojů</w:t>
      </w:r>
      <w:bookmarkEnd w:id="106"/>
    </w:p>
    <w:p w14:paraId="68956B8B" w14:textId="77777777" w:rsidR="008C4AC2" w:rsidRDefault="008C4AC2" w:rsidP="008C4AC2">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440F1606" w14:textId="7DC513BF" w:rsidR="0067454A" w:rsidRDefault="008C4AC2" w:rsidP="008C4AC2">
      <w:pPr>
        <w:spacing w:after="120"/>
        <w:jc w:val="both"/>
        <w:rPr>
          <w:rFonts w:asciiTheme="minorHAnsi" w:hAnsiTheme="minorHAnsi" w:cstheme="minorHAnsi"/>
        </w:rPr>
      </w:pPr>
      <w:r>
        <w:rPr>
          <w:rFonts w:asciiTheme="minorHAnsi" w:hAnsiTheme="minorHAnsi" w:cstheme="minorHAnsi"/>
        </w:rPr>
        <w:t xml:space="preserve">V ČR existuje databáze veřejných strategií, do které jsou vkládány veřejné strategie </w:t>
      </w:r>
      <w:r w:rsidR="004417F3">
        <w:rPr>
          <w:rFonts w:asciiTheme="minorHAnsi" w:hAnsiTheme="minorHAnsi" w:cstheme="minorHAnsi"/>
        </w:rPr>
        <w:t xml:space="preserve">na </w:t>
      </w:r>
      <w:r>
        <w:rPr>
          <w:rFonts w:asciiTheme="minorHAnsi" w:hAnsiTheme="minorHAnsi" w:cstheme="minorHAnsi"/>
        </w:rPr>
        <w:t>státní, krajské a</w:t>
      </w:r>
      <w:r w:rsidR="004417F3">
        <w:rPr>
          <w:rFonts w:asciiTheme="minorHAnsi" w:hAnsiTheme="minorHAnsi" w:cstheme="minorHAnsi"/>
        </w:rPr>
        <w:t xml:space="preserve"> místní úrovni</w:t>
      </w:r>
      <w:r w:rsidR="00DB59BA">
        <w:rPr>
          <w:rStyle w:val="Znakapoznpodarou"/>
          <w:rFonts w:asciiTheme="minorHAnsi" w:hAnsiTheme="minorHAnsi" w:cstheme="minorHAnsi"/>
        </w:rPr>
        <w:footnoteReference w:id="68"/>
      </w:r>
      <w:r>
        <w:rPr>
          <w:rFonts w:asciiTheme="minorHAnsi" w:hAnsiTheme="minorHAnsi" w:cstheme="minorHAnsi"/>
        </w:rPr>
        <w:t xml:space="preserve">. </w:t>
      </w:r>
      <w:r w:rsidR="0067454A">
        <w:rPr>
          <w:rFonts w:asciiTheme="minorHAnsi" w:hAnsiTheme="minorHAnsi" w:cstheme="minorHAnsi"/>
        </w:rPr>
        <w:t>V databázi je možné rychle dohledat, které veřejné strategie mají vazbu na finanční zdroje.</w:t>
      </w:r>
    </w:p>
    <w:p w14:paraId="3CB59D29" w14:textId="77777777" w:rsidR="008C4AC2" w:rsidRPr="006B6EA5" w:rsidRDefault="008C4AC2" w:rsidP="008C4AC2">
      <w:pPr>
        <w:spacing w:after="120"/>
        <w:jc w:val="both"/>
        <w:rPr>
          <w:rFonts w:asciiTheme="minorHAnsi" w:hAnsiTheme="minorHAnsi" w:cstheme="minorHAnsi"/>
          <w:b/>
        </w:rPr>
      </w:pPr>
      <w:r w:rsidRPr="006B6EA5">
        <w:rPr>
          <w:rFonts w:asciiTheme="minorHAnsi" w:hAnsiTheme="minorHAnsi" w:cstheme="minorHAnsi"/>
          <w:b/>
        </w:rPr>
        <w:t>Popis případové studie:</w:t>
      </w:r>
    </w:p>
    <w:p w14:paraId="4A64FA23" w14:textId="33FF0B6A" w:rsidR="0067454A" w:rsidRPr="0067454A" w:rsidRDefault="004417F3" w:rsidP="0067454A">
      <w:pPr>
        <w:jc w:val="both"/>
        <w:rPr>
          <w:rFonts w:asciiTheme="minorHAnsi" w:hAnsiTheme="minorHAnsi" w:cstheme="minorHAnsi"/>
        </w:rPr>
      </w:pPr>
      <w:r w:rsidRPr="004417F3">
        <w:rPr>
          <w:rFonts w:asciiTheme="minorHAnsi" w:hAnsiTheme="minorHAnsi" w:cstheme="minorHAnsi"/>
        </w:rPr>
        <w:t xml:space="preserve">K datu zpracování případové studie bylo v Databázi strategií uloženo celkem 1832 aktuálních strategií, z toho </w:t>
      </w:r>
      <w:r w:rsidR="00C660C3" w:rsidRPr="004417F3">
        <w:rPr>
          <w:rFonts w:asciiTheme="minorHAnsi" w:hAnsiTheme="minorHAnsi" w:cstheme="minorHAnsi"/>
        </w:rPr>
        <w:t>62 na mezinárodní úrovni</w:t>
      </w:r>
      <w:r w:rsidRPr="004417F3">
        <w:rPr>
          <w:rFonts w:asciiTheme="minorHAnsi" w:hAnsiTheme="minorHAnsi" w:cstheme="minorHAnsi"/>
        </w:rPr>
        <w:t xml:space="preserve">, </w:t>
      </w:r>
      <w:r w:rsidR="00C660C3" w:rsidRPr="004417F3">
        <w:rPr>
          <w:rFonts w:asciiTheme="minorHAnsi" w:hAnsiTheme="minorHAnsi" w:cstheme="minorHAnsi"/>
        </w:rPr>
        <w:t>285 na národní úrovni ČR</w:t>
      </w:r>
      <w:r w:rsidR="000F1D53">
        <w:rPr>
          <w:rFonts w:asciiTheme="minorHAnsi" w:hAnsiTheme="minorHAnsi" w:cstheme="minorHAnsi"/>
        </w:rPr>
        <w:t xml:space="preserve"> (členěné dle jednotlivých ministerstev a dalších úřadů)</w:t>
      </w:r>
      <w:r w:rsidRPr="004417F3">
        <w:rPr>
          <w:rFonts w:asciiTheme="minorHAnsi" w:hAnsiTheme="minorHAnsi" w:cstheme="minorHAnsi"/>
        </w:rPr>
        <w:t xml:space="preserve">, </w:t>
      </w:r>
      <w:r w:rsidR="00C660C3" w:rsidRPr="004417F3">
        <w:rPr>
          <w:rFonts w:asciiTheme="minorHAnsi" w:hAnsiTheme="minorHAnsi" w:cstheme="minorHAnsi"/>
        </w:rPr>
        <w:t>266 na úrovni regionální</w:t>
      </w:r>
      <w:r w:rsidRPr="004417F3">
        <w:rPr>
          <w:rFonts w:asciiTheme="minorHAnsi" w:hAnsiTheme="minorHAnsi" w:cstheme="minorHAnsi"/>
        </w:rPr>
        <w:t xml:space="preserve"> (krajské), </w:t>
      </w:r>
      <w:r w:rsidR="00C660C3" w:rsidRPr="004417F3">
        <w:rPr>
          <w:rFonts w:asciiTheme="minorHAnsi" w:hAnsiTheme="minorHAnsi" w:cstheme="minorHAnsi"/>
        </w:rPr>
        <w:t>197 na úrovni oblastní</w:t>
      </w:r>
      <w:r w:rsidRPr="004417F3">
        <w:rPr>
          <w:rFonts w:asciiTheme="minorHAnsi" w:hAnsiTheme="minorHAnsi" w:cstheme="minorHAnsi"/>
        </w:rPr>
        <w:t xml:space="preserve"> (</w:t>
      </w:r>
      <w:r w:rsidR="000F1D53">
        <w:rPr>
          <w:rFonts w:asciiTheme="minorHAnsi" w:hAnsiTheme="minorHAnsi" w:cstheme="minorHAnsi"/>
        </w:rPr>
        <w:t xml:space="preserve">aglomerace, </w:t>
      </w:r>
      <w:r w:rsidRPr="004417F3">
        <w:rPr>
          <w:rFonts w:asciiTheme="minorHAnsi" w:hAnsiTheme="minorHAnsi" w:cstheme="minorHAnsi"/>
        </w:rPr>
        <w:t xml:space="preserve">místní akční skupiny, mikroregiony), </w:t>
      </w:r>
      <w:r w:rsidR="00C660C3" w:rsidRPr="004417F3">
        <w:rPr>
          <w:rFonts w:asciiTheme="minorHAnsi" w:hAnsiTheme="minorHAnsi" w:cstheme="minorHAnsi"/>
        </w:rPr>
        <w:t>1022 na úrovni místní</w:t>
      </w:r>
      <w:r w:rsidRPr="004417F3">
        <w:rPr>
          <w:rFonts w:asciiTheme="minorHAnsi" w:hAnsiTheme="minorHAnsi" w:cstheme="minorHAnsi"/>
        </w:rPr>
        <w:t xml:space="preserve"> (obce).</w:t>
      </w:r>
      <w:r>
        <w:rPr>
          <w:rFonts w:asciiTheme="minorHAnsi" w:hAnsiTheme="minorHAnsi" w:cstheme="minorHAnsi"/>
        </w:rPr>
        <w:t xml:space="preserve"> </w:t>
      </w:r>
      <w:r w:rsidR="000F1D53">
        <w:rPr>
          <w:rFonts w:asciiTheme="minorHAnsi" w:hAnsiTheme="minorHAnsi" w:cstheme="minorHAnsi"/>
        </w:rPr>
        <w:t>Na úrovni jednotlivých ministerstev je velmi užitečná pomůcka „strategická mapa“, která vizualizuje jednotlivé dokumenty ve vazbě na kompetence každého ministerstva</w:t>
      </w:r>
      <w:r w:rsidR="000F1D53">
        <w:rPr>
          <w:rStyle w:val="Znakapoznpodarou"/>
          <w:rFonts w:asciiTheme="minorHAnsi" w:hAnsiTheme="minorHAnsi" w:cstheme="minorHAnsi"/>
        </w:rPr>
        <w:footnoteReference w:id="69"/>
      </w:r>
      <w:r w:rsidR="000F1D53">
        <w:rPr>
          <w:rFonts w:asciiTheme="minorHAnsi" w:hAnsiTheme="minorHAnsi" w:cstheme="minorHAnsi"/>
        </w:rPr>
        <w:t>. Po rozkliknuti každé strategie je možné aktuální text strategie otevřít</w:t>
      </w:r>
      <w:r w:rsidR="001D1E13">
        <w:rPr>
          <w:rFonts w:asciiTheme="minorHAnsi" w:hAnsiTheme="minorHAnsi" w:cstheme="minorHAnsi"/>
        </w:rPr>
        <w:t>,</w:t>
      </w:r>
      <w:r w:rsidR="000F1D53">
        <w:rPr>
          <w:rFonts w:asciiTheme="minorHAnsi" w:hAnsiTheme="minorHAnsi" w:cstheme="minorHAnsi"/>
        </w:rPr>
        <w:t xml:space="preserve"> a také se zobrazí „základní informace o dokumentu“, jako je</w:t>
      </w:r>
      <w:r w:rsidR="00C71FA2">
        <w:rPr>
          <w:rFonts w:asciiTheme="minorHAnsi" w:hAnsiTheme="minorHAnsi" w:cstheme="minorHAnsi"/>
        </w:rPr>
        <w:t xml:space="preserve"> </w:t>
      </w:r>
      <w:r w:rsidR="000F1D53">
        <w:rPr>
          <w:rFonts w:asciiTheme="minorHAnsi" w:hAnsiTheme="minorHAnsi" w:cstheme="minorHAnsi"/>
        </w:rPr>
        <w:t>n</w:t>
      </w:r>
      <w:r w:rsidR="000F1D53" w:rsidRPr="000F1D53">
        <w:rPr>
          <w:rFonts w:asciiTheme="minorHAnsi" w:hAnsiTheme="minorHAnsi" w:cstheme="minorHAnsi"/>
        </w:rPr>
        <w:t>ázev dokumentu</w:t>
      </w:r>
      <w:r w:rsidR="00C71FA2">
        <w:rPr>
          <w:rFonts w:asciiTheme="minorHAnsi" w:hAnsiTheme="minorHAnsi" w:cstheme="minorHAnsi"/>
        </w:rPr>
        <w:t xml:space="preserve">; </w:t>
      </w:r>
      <w:r w:rsidR="000F1D53">
        <w:rPr>
          <w:rFonts w:asciiTheme="minorHAnsi" w:hAnsiTheme="minorHAnsi" w:cstheme="minorHAnsi"/>
        </w:rPr>
        <w:t>o</w:t>
      </w:r>
      <w:r w:rsidR="000F1D53" w:rsidRPr="000F1D53">
        <w:rPr>
          <w:rFonts w:asciiTheme="minorHAnsi" w:hAnsiTheme="minorHAnsi" w:cstheme="minorHAnsi"/>
        </w:rPr>
        <w:t>dpovědná instituce</w:t>
      </w:r>
      <w:r w:rsidR="00C71FA2">
        <w:rPr>
          <w:rFonts w:asciiTheme="minorHAnsi" w:hAnsiTheme="minorHAnsi" w:cstheme="minorHAnsi"/>
        </w:rPr>
        <w:t xml:space="preserve">; </w:t>
      </w:r>
      <w:r w:rsidR="000F1D53">
        <w:rPr>
          <w:rFonts w:asciiTheme="minorHAnsi" w:hAnsiTheme="minorHAnsi" w:cstheme="minorHAnsi"/>
        </w:rPr>
        <w:t>g</w:t>
      </w:r>
      <w:r w:rsidR="000F1D53" w:rsidRPr="000F1D53">
        <w:rPr>
          <w:rFonts w:asciiTheme="minorHAnsi" w:hAnsiTheme="minorHAnsi" w:cstheme="minorHAnsi"/>
        </w:rPr>
        <w:t>arant za instituci</w:t>
      </w:r>
      <w:r w:rsidR="00C71FA2">
        <w:rPr>
          <w:rFonts w:asciiTheme="minorHAnsi" w:hAnsiTheme="minorHAnsi" w:cstheme="minorHAnsi"/>
        </w:rPr>
        <w:t xml:space="preserve">; </w:t>
      </w:r>
      <w:r w:rsidR="000F1D53">
        <w:rPr>
          <w:rFonts w:asciiTheme="minorHAnsi" w:hAnsiTheme="minorHAnsi" w:cstheme="minorHAnsi"/>
        </w:rPr>
        <w:t>d</w:t>
      </w:r>
      <w:r w:rsidR="000F1D53" w:rsidRPr="000F1D53">
        <w:rPr>
          <w:rFonts w:asciiTheme="minorHAnsi" w:hAnsiTheme="minorHAnsi" w:cstheme="minorHAnsi"/>
        </w:rPr>
        <w:t>atum schválení</w:t>
      </w:r>
      <w:r w:rsidR="00C71FA2">
        <w:rPr>
          <w:rFonts w:asciiTheme="minorHAnsi" w:hAnsiTheme="minorHAnsi" w:cstheme="minorHAnsi"/>
        </w:rPr>
        <w:t xml:space="preserve">; </w:t>
      </w:r>
      <w:r w:rsidR="000F1D53">
        <w:rPr>
          <w:rFonts w:asciiTheme="minorHAnsi" w:hAnsiTheme="minorHAnsi" w:cstheme="minorHAnsi"/>
        </w:rPr>
        <w:t>d</w:t>
      </w:r>
      <w:r w:rsidR="000F1D53" w:rsidRPr="000F1D53">
        <w:rPr>
          <w:rFonts w:asciiTheme="minorHAnsi" w:hAnsiTheme="minorHAnsi" w:cstheme="minorHAnsi"/>
        </w:rPr>
        <w:t>oba platnosti</w:t>
      </w:r>
      <w:r w:rsidR="00C71FA2">
        <w:rPr>
          <w:rFonts w:asciiTheme="minorHAnsi" w:hAnsiTheme="minorHAnsi" w:cstheme="minorHAnsi"/>
        </w:rPr>
        <w:t xml:space="preserve">; </w:t>
      </w:r>
      <w:r w:rsidR="000F1D53">
        <w:rPr>
          <w:rFonts w:asciiTheme="minorHAnsi" w:hAnsiTheme="minorHAnsi" w:cstheme="minorHAnsi"/>
        </w:rPr>
        <w:t>p</w:t>
      </w:r>
      <w:r w:rsidR="000F1D53" w:rsidRPr="000F1D53">
        <w:rPr>
          <w:rFonts w:asciiTheme="minorHAnsi" w:hAnsiTheme="minorHAnsi" w:cstheme="minorHAnsi"/>
        </w:rPr>
        <w:t>opis dokumentu</w:t>
      </w:r>
      <w:r w:rsidR="00C71FA2">
        <w:rPr>
          <w:rFonts w:asciiTheme="minorHAnsi" w:hAnsiTheme="minorHAnsi" w:cstheme="minorHAnsi"/>
        </w:rPr>
        <w:t xml:space="preserve">; </w:t>
      </w:r>
      <w:r w:rsidR="000F1D53">
        <w:rPr>
          <w:rFonts w:asciiTheme="minorHAnsi" w:hAnsiTheme="minorHAnsi" w:cstheme="minorHAnsi"/>
        </w:rPr>
        <w:t>v</w:t>
      </w:r>
      <w:r w:rsidR="000F1D53" w:rsidRPr="000F1D53">
        <w:rPr>
          <w:rFonts w:asciiTheme="minorHAnsi" w:hAnsiTheme="minorHAnsi" w:cstheme="minorHAnsi"/>
        </w:rPr>
        <w:t>ýchozí legislativa</w:t>
      </w:r>
      <w:r w:rsidR="00C71FA2">
        <w:rPr>
          <w:rFonts w:asciiTheme="minorHAnsi" w:hAnsiTheme="minorHAnsi" w:cstheme="minorHAnsi"/>
        </w:rPr>
        <w:t xml:space="preserve">; </w:t>
      </w:r>
      <w:r w:rsidR="000F1D53">
        <w:rPr>
          <w:rFonts w:asciiTheme="minorHAnsi" w:hAnsiTheme="minorHAnsi" w:cstheme="minorHAnsi"/>
        </w:rPr>
        <w:t>u</w:t>
      </w:r>
      <w:r w:rsidR="000F1D53" w:rsidRPr="000F1D53">
        <w:rPr>
          <w:rFonts w:asciiTheme="minorHAnsi" w:hAnsiTheme="minorHAnsi" w:cstheme="minorHAnsi"/>
        </w:rPr>
        <w:t>snesení vlády či jiný akt, kterým je dokument schválen</w:t>
      </w:r>
      <w:r w:rsidR="00C71FA2">
        <w:rPr>
          <w:rFonts w:asciiTheme="minorHAnsi" w:hAnsiTheme="minorHAnsi" w:cstheme="minorHAnsi"/>
        </w:rPr>
        <w:t xml:space="preserve">; </w:t>
      </w:r>
      <w:r w:rsidR="000F1D53">
        <w:rPr>
          <w:rFonts w:asciiTheme="minorHAnsi" w:hAnsiTheme="minorHAnsi" w:cstheme="minorHAnsi"/>
        </w:rPr>
        <w:t>h</w:t>
      </w:r>
      <w:r w:rsidR="000F1D53" w:rsidRPr="000F1D53">
        <w:rPr>
          <w:rFonts w:asciiTheme="minorHAnsi" w:hAnsiTheme="minorHAnsi" w:cstheme="minorHAnsi"/>
        </w:rPr>
        <w:t>odnocení SEA</w:t>
      </w:r>
      <w:r w:rsidR="00C71FA2">
        <w:rPr>
          <w:rFonts w:asciiTheme="minorHAnsi" w:hAnsiTheme="minorHAnsi" w:cstheme="minorHAnsi"/>
        </w:rPr>
        <w:t xml:space="preserve">; </w:t>
      </w:r>
      <w:r w:rsidR="000F1D53">
        <w:rPr>
          <w:rFonts w:asciiTheme="minorHAnsi" w:hAnsiTheme="minorHAnsi" w:cstheme="minorHAnsi"/>
        </w:rPr>
        <w:t>r</w:t>
      </w:r>
      <w:r w:rsidR="000F1D53" w:rsidRPr="000F1D53">
        <w:rPr>
          <w:rFonts w:asciiTheme="minorHAnsi" w:hAnsiTheme="minorHAnsi" w:cstheme="minorHAnsi"/>
        </w:rPr>
        <w:t>elevance ke kohezní politice 2021+</w:t>
      </w:r>
      <w:r w:rsidR="00C71FA2">
        <w:rPr>
          <w:rFonts w:asciiTheme="minorHAnsi" w:hAnsiTheme="minorHAnsi" w:cstheme="minorHAnsi"/>
        </w:rPr>
        <w:t xml:space="preserve">; </w:t>
      </w:r>
      <w:r w:rsidR="000F1D53">
        <w:rPr>
          <w:rFonts w:asciiTheme="minorHAnsi" w:hAnsiTheme="minorHAnsi" w:cstheme="minorHAnsi"/>
        </w:rPr>
        <w:t>d</w:t>
      </w:r>
      <w:r w:rsidR="000F1D53" w:rsidRPr="000F1D53">
        <w:rPr>
          <w:rFonts w:asciiTheme="minorHAnsi" w:hAnsiTheme="minorHAnsi" w:cstheme="minorHAnsi"/>
        </w:rPr>
        <w:t>alší údaje</w:t>
      </w:r>
      <w:r w:rsidR="00C71FA2">
        <w:rPr>
          <w:rFonts w:asciiTheme="minorHAnsi" w:hAnsiTheme="minorHAnsi" w:cstheme="minorHAnsi"/>
        </w:rPr>
        <w:t xml:space="preserve">. </w:t>
      </w:r>
      <w:r w:rsidR="0067454A">
        <w:rPr>
          <w:rFonts w:asciiTheme="minorHAnsi" w:hAnsiTheme="minorHAnsi" w:cstheme="minorHAnsi"/>
        </w:rPr>
        <w:t>Pod základními údaji</w:t>
      </w:r>
      <w:r w:rsidR="00160B9E">
        <w:rPr>
          <w:rFonts w:asciiTheme="minorHAnsi" w:hAnsiTheme="minorHAnsi" w:cstheme="minorHAnsi"/>
        </w:rPr>
        <w:t xml:space="preserve"> je uvedena tabulka, která mimo jiné uvádí, zda je možné ve strategii dohledat finanční zdroje. V následující tabulce je uvedený příklad z konkrétní strategie (konkrétně šlo o „Dopravní politiku</w:t>
      </w:r>
      <w:r w:rsidR="00160B9E" w:rsidRPr="00160B9E">
        <w:rPr>
          <w:rFonts w:asciiTheme="minorHAnsi" w:hAnsiTheme="minorHAnsi" w:cstheme="minorHAnsi"/>
        </w:rPr>
        <w:t xml:space="preserve"> České republiky 2021-2027 s výhledem do roku 2050</w:t>
      </w:r>
      <w:r w:rsidR="00160B9E">
        <w:rPr>
          <w:rFonts w:asciiTheme="minorHAnsi" w:hAnsiTheme="minorHAnsi" w:cstheme="minorHAnsi"/>
        </w:rPr>
        <w:t>“)</w:t>
      </w:r>
      <w:r w:rsidR="0067454A">
        <w:rPr>
          <w:rFonts w:asciiTheme="minorHAnsi" w:hAnsiTheme="minorHAnsi" w:cstheme="minorHAnsi"/>
        </w:rPr>
        <w:t>.</w:t>
      </w:r>
      <w:r w:rsidR="0067454A" w:rsidRPr="0067454A">
        <w:rPr>
          <w:rFonts w:asciiTheme="minorHAnsi" w:hAnsiTheme="minorHAnsi" w:cstheme="minorHAnsi"/>
        </w:rPr>
        <w:t xml:space="preserve"> Tabulka </w:t>
      </w:r>
      <w:r w:rsidR="0067454A">
        <w:rPr>
          <w:rFonts w:asciiTheme="minorHAnsi" w:hAnsiTheme="minorHAnsi" w:cstheme="minorHAnsi"/>
        </w:rPr>
        <w:t>nám usnadní orientaci v tom, které veřejné strategie a v jakém rozsahu mají vazbu na finanční zdroje.</w:t>
      </w:r>
    </w:p>
    <w:p w14:paraId="3D3A39B0" w14:textId="08164B40" w:rsidR="00160B9E" w:rsidRPr="00C54201" w:rsidRDefault="00160B9E" w:rsidP="00160B9E">
      <w:pPr>
        <w:jc w:val="both"/>
        <w:rPr>
          <w:rFonts w:asciiTheme="minorHAnsi" w:hAnsiTheme="minorHAnsi" w:cstheme="minorHAnsi"/>
          <w:i/>
        </w:rPr>
      </w:pPr>
      <w:r w:rsidRPr="00C54201">
        <w:rPr>
          <w:rFonts w:asciiTheme="minorHAnsi" w:hAnsiTheme="minorHAnsi" w:cstheme="minorHAnsi"/>
          <w:i/>
        </w:rPr>
        <w:lastRenderedPageBreak/>
        <w:t xml:space="preserve">Tab. </w:t>
      </w:r>
      <w:r w:rsidR="004F0E1D">
        <w:rPr>
          <w:rFonts w:asciiTheme="minorHAnsi" w:hAnsiTheme="minorHAnsi" w:cstheme="minorHAnsi"/>
          <w:i/>
        </w:rPr>
        <w:t>4</w:t>
      </w:r>
      <w:r w:rsidR="007B193B">
        <w:rPr>
          <w:rFonts w:asciiTheme="minorHAnsi" w:hAnsiTheme="minorHAnsi" w:cstheme="minorHAnsi"/>
          <w:i/>
        </w:rPr>
        <w:t>4</w:t>
      </w:r>
      <w:r w:rsidR="004F0E1D">
        <w:rPr>
          <w:rFonts w:asciiTheme="minorHAnsi" w:hAnsiTheme="minorHAnsi" w:cstheme="minorHAnsi"/>
          <w:i/>
        </w:rPr>
        <w:t xml:space="preserve"> </w:t>
      </w:r>
      <w:r w:rsidRPr="00C54201">
        <w:rPr>
          <w:rFonts w:asciiTheme="minorHAnsi" w:hAnsiTheme="minorHAnsi" w:cstheme="minorHAnsi"/>
          <w:i/>
        </w:rPr>
        <w:t>Příklad informací k veřejné strategii</w:t>
      </w:r>
    </w:p>
    <w:tbl>
      <w:tblPr>
        <w:tblStyle w:val="Mkatabulky"/>
        <w:tblW w:w="0" w:type="auto"/>
        <w:jc w:val="right"/>
        <w:tblLook w:val="04A0" w:firstRow="1" w:lastRow="0" w:firstColumn="1" w:lastColumn="0" w:noHBand="0" w:noVBand="1"/>
      </w:tblPr>
      <w:tblGrid>
        <w:gridCol w:w="1429"/>
        <w:gridCol w:w="1595"/>
        <w:gridCol w:w="1487"/>
        <w:gridCol w:w="1402"/>
        <w:gridCol w:w="1662"/>
        <w:gridCol w:w="1441"/>
      </w:tblGrid>
      <w:tr w:rsidR="00160B9E" w:rsidRPr="00160B9E" w14:paraId="1341E3D3" w14:textId="77777777" w:rsidTr="00160B9E">
        <w:trPr>
          <w:jc w:val="right"/>
        </w:trPr>
        <w:tc>
          <w:tcPr>
            <w:tcW w:w="1500" w:type="dxa"/>
            <w:shd w:val="clear" w:color="auto" w:fill="F2F2F2" w:themeFill="background1" w:themeFillShade="F2"/>
            <w:hideMark/>
          </w:tcPr>
          <w:p w14:paraId="2E89B0AD" w14:textId="77777777" w:rsidR="00160B9E" w:rsidRPr="00160B9E" w:rsidRDefault="00160B9E" w:rsidP="00160B9E">
            <w:pPr>
              <w:spacing w:line="240" w:lineRule="auto"/>
              <w:jc w:val="center"/>
              <w:rPr>
                <w:rFonts w:asciiTheme="minorHAnsi" w:hAnsiTheme="minorHAnsi" w:cstheme="minorHAnsi"/>
                <w:b/>
                <w:bCs/>
                <w:color w:val="222222"/>
                <w:sz w:val="20"/>
                <w:szCs w:val="20"/>
              </w:rPr>
            </w:pPr>
            <w:r w:rsidRPr="00160B9E">
              <w:rPr>
                <w:rFonts w:asciiTheme="minorHAnsi" w:hAnsiTheme="minorHAnsi" w:cstheme="minorHAnsi"/>
                <w:b/>
                <w:bCs/>
                <w:color w:val="222222"/>
                <w:sz w:val="20"/>
                <w:szCs w:val="20"/>
              </w:rPr>
              <w:t>Indikátory úspěšnosti</w:t>
            </w:r>
          </w:p>
        </w:tc>
        <w:tc>
          <w:tcPr>
            <w:tcW w:w="1650" w:type="dxa"/>
            <w:shd w:val="clear" w:color="auto" w:fill="F2F2F2" w:themeFill="background1" w:themeFillShade="F2"/>
            <w:hideMark/>
          </w:tcPr>
          <w:p w14:paraId="734BA620" w14:textId="77777777" w:rsidR="00160B9E" w:rsidRPr="00160B9E" w:rsidRDefault="00160B9E" w:rsidP="00160B9E">
            <w:pPr>
              <w:spacing w:line="240" w:lineRule="auto"/>
              <w:jc w:val="center"/>
              <w:rPr>
                <w:rFonts w:asciiTheme="minorHAnsi" w:hAnsiTheme="minorHAnsi" w:cstheme="minorHAnsi"/>
                <w:b/>
                <w:bCs/>
                <w:color w:val="222222"/>
                <w:sz w:val="20"/>
                <w:szCs w:val="20"/>
              </w:rPr>
            </w:pPr>
            <w:r w:rsidRPr="00160B9E">
              <w:rPr>
                <w:rFonts w:asciiTheme="minorHAnsi" w:hAnsiTheme="minorHAnsi" w:cstheme="minorHAnsi"/>
                <w:b/>
                <w:bCs/>
                <w:color w:val="222222"/>
                <w:sz w:val="20"/>
                <w:szCs w:val="20"/>
              </w:rPr>
              <w:t>Odpovědnost za plnění</w:t>
            </w:r>
          </w:p>
        </w:tc>
        <w:tc>
          <w:tcPr>
            <w:tcW w:w="1500" w:type="dxa"/>
            <w:shd w:val="clear" w:color="auto" w:fill="F2F2F2" w:themeFill="background1" w:themeFillShade="F2"/>
            <w:hideMark/>
          </w:tcPr>
          <w:p w14:paraId="38310C31" w14:textId="77777777" w:rsidR="00160B9E" w:rsidRPr="00160B9E" w:rsidRDefault="00160B9E" w:rsidP="00160B9E">
            <w:pPr>
              <w:spacing w:line="240" w:lineRule="auto"/>
              <w:jc w:val="center"/>
              <w:rPr>
                <w:rFonts w:asciiTheme="minorHAnsi" w:hAnsiTheme="minorHAnsi" w:cstheme="minorHAnsi"/>
                <w:b/>
                <w:bCs/>
                <w:color w:val="222222"/>
                <w:sz w:val="20"/>
                <w:szCs w:val="20"/>
              </w:rPr>
            </w:pPr>
            <w:r w:rsidRPr="00160B9E">
              <w:rPr>
                <w:rFonts w:asciiTheme="minorHAnsi" w:hAnsiTheme="minorHAnsi" w:cstheme="minorHAnsi"/>
                <w:b/>
                <w:bCs/>
                <w:color w:val="222222"/>
                <w:sz w:val="20"/>
                <w:szCs w:val="20"/>
              </w:rPr>
              <w:t>Harmonogram plnění</w:t>
            </w:r>
          </w:p>
        </w:tc>
        <w:tc>
          <w:tcPr>
            <w:tcW w:w="1500" w:type="dxa"/>
            <w:shd w:val="clear" w:color="auto" w:fill="F2F2F2" w:themeFill="background1" w:themeFillShade="F2"/>
            <w:hideMark/>
          </w:tcPr>
          <w:p w14:paraId="4CAD834D" w14:textId="77777777" w:rsidR="00160B9E" w:rsidRPr="00160B9E" w:rsidRDefault="00160B9E" w:rsidP="00160B9E">
            <w:pPr>
              <w:spacing w:line="240" w:lineRule="auto"/>
              <w:jc w:val="center"/>
              <w:rPr>
                <w:rFonts w:asciiTheme="minorHAnsi" w:hAnsiTheme="minorHAnsi" w:cstheme="minorHAnsi"/>
                <w:b/>
                <w:bCs/>
                <w:color w:val="222222"/>
                <w:sz w:val="20"/>
                <w:szCs w:val="20"/>
              </w:rPr>
            </w:pPr>
            <w:r w:rsidRPr="00160B9E">
              <w:rPr>
                <w:rFonts w:asciiTheme="minorHAnsi" w:hAnsiTheme="minorHAnsi" w:cstheme="minorHAnsi"/>
                <w:b/>
                <w:bCs/>
                <w:color w:val="222222"/>
                <w:sz w:val="20"/>
                <w:szCs w:val="20"/>
              </w:rPr>
              <w:t>Finance k plnění</w:t>
            </w:r>
          </w:p>
        </w:tc>
        <w:tc>
          <w:tcPr>
            <w:tcW w:w="1800" w:type="dxa"/>
            <w:shd w:val="clear" w:color="auto" w:fill="F2F2F2" w:themeFill="background1" w:themeFillShade="F2"/>
            <w:hideMark/>
          </w:tcPr>
          <w:p w14:paraId="3792F019" w14:textId="77777777" w:rsidR="00160B9E" w:rsidRPr="00160B9E" w:rsidRDefault="00160B9E" w:rsidP="00160B9E">
            <w:pPr>
              <w:spacing w:line="240" w:lineRule="auto"/>
              <w:jc w:val="center"/>
              <w:rPr>
                <w:rFonts w:asciiTheme="minorHAnsi" w:hAnsiTheme="minorHAnsi" w:cstheme="minorHAnsi"/>
                <w:b/>
                <w:bCs/>
                <w:color w:val="222222"/>
                <w:sz w:val="20"/>
                <w:szCs w:val="20"/>
              </w:rPr>
            </w:pPr>
            <w:r w:rsidRPr="00160B9E">
              <w:rPr>
                <w:rFonts w:asciiTheme="minorHAnsi" w:hAnsiTheme="minorHAnsi" w:cstheme="minorHAnsi"/>
                <w:b/>
                <w:bCs/>
                <w:color w:val="222222"/>
                <w:sz w:val="20"/>
                <w:szCs w:val="20"/>
              </w:rPr>
              <w:t>Hodnotící zpráva (interval)</w:t>
            </w:r>
          </w:p>
        </w:tc>
        <w:tc>
          <w:tcPr>
            <w:tcW w:w="1500" w:type="dxa"/>
            <w:shd w:val="clear" w:color="auto" w:fill="F2F2F2" w:themeFill="background1" w:themeFillShade="F2"/>
            <w:hideMark/>
          </w:tcPr>
          <w:p w14:paraId="1B11C1BB" w14:textId="77777777" w:rsidR="00160B9E" w:rsidRPr="00160B9E" w:rsidRDefault="00160B9E" w:rsidP="00160B9E">
            <w:pPr>
              <w:spacing w:line="240" w:lineRule="auto"/>
              <w:jc w:val="center"/>
              <w:rPr>
                <w:rFonts w:asciiTheme="minorHAnsi" w:hAnsiTheme="minorHAnsi" w:cstheme="minorHAnsi"/>
                <w:b/>
                <w:bCs/>
                <w:color w:val="222222"/>
                <w:sz w:val="20"/>
                <w:szCs w:val="20"/>
              </w:rPr>
            </w:pPr>
            <w:r w:rsidRPr="00160B9E">
              <w:rPr>
                <w:rFonts w:asciiTheme="minorHAnsi" w:hAnsiTheme="minorHAnsi" w:cstheme="minorHAnsi"/>
                <w:b/>
                <w:bCs/>
                <w:color w:val="222222"/>
                <w:sz w:val="20"/>
                <w:szCs w:val="20"/>
              </w:rPr>
              <w:t>Aktualizace (interval)</w:t>
            </w:r>
          </w:p>
        </w:tc>
      </w:tr>
      <w:tr w:rsidR="00160B9E" w:rsidRPr="00160B9E" w14:paraId="40F71441" w14:textId="77777777" w:rsidTr="00160B9E">
        <w:trPr>
          <w:jc w:val="right"/>
        </w:trPr>
        <w:tc>
          <w:tcPr>
            <w:tcW w:w="0" w:type="auto"/>
            <w:hideMark/>
          </w:tcPr>
          <w:p w14:paraId="61CDD4AA" w14:textId="77777777" w:rsidR="00160B9E" w:rsidRPr="00160B9E" w:rsidRDefault="00160B9E" w:rsidP="00160B9E">
            <w:pPr>
              <w:spacing w:line="240" w:lineRule="auto"/>
              <w:jc w:val="center"/>
              <w:rPr>
                <w:rFonts w:asciiTheme="minorHAnsi" w:hAnsiTheme="minorHAnsi" w:cstheme="minorHAnsi"/>
                <w:color w:val="222222"/>
                <w:sz w:val="20"/>
                <w:szCs w:val="20"/>
              </w:rPr>
            </w:pPr>
            <w:r w:rsidRPr="00160B9E">
              <w:rPr>
                <w:rFonts w:asciiTheme="minorHAnsi" w:hAnsiTheme="minorHAnsi" w:cstheme="minorHAnsi"/>
                <w:color w:val="222222"/>
                <w:sz w:val="20"/>
                <w:szCs w:val="20"/>
              </w:rPr>
              <w:t>Ano</w:t>
            </w:r>
          </w:p>
        </w:tc>
        <w:tc>
          <w:tcPr>
            <w:tcW w:w="0" w:type="auto"/>
            <w:hideMark/>
          </w:tcPr>
          <w:p w14:paraId="306474BF" w14:textId="77777777" w:rsidR="00160B9E" w:rsidRPr="00160B9E" w:rsidRDefault="00160B9E" w:rsidP="00160B9E">
            <w:pPr>
              <w:spacing w:line="240" w:lineRule="auto"/>
              <w:jc w:val="center"/>
              <w:rPr>
                <w:rFonts w:asciiTheme="minorHAnsi" w:hAnsiTheme="minorHAnsi" w:cstheme="minorHAnsi"/>
                <w:color w:val="222222"/>
                <w:sz w:val="20"/>
                <w:szCs w:val="20"/>
              </w:rPr>
            </w:pPr>
            <w:r w:rsidRPr="00160B9E">
              <w:rPr>
                <w:rFonts w:asciiTheme="minorHAnsi" w:hAnsiTheme="minorHAnsi" w:cstheme="minorHAnsi"/>
                <w:color w:val="222222"/>
                <w:sz w:val="20"/>
                <w:szCs w:val="20"/>
              </w:rPr>
              <w:t>Ano</w:t>
            </w:r>
          </w:p>
        </w:tc>
        <w:tc>
          <w:tcPr>
            <w:tcW w:w="0" w:type="auto"/>
            <w:hideMark/>
          </w:tcPr>
          <w:p w14:paraId="18DF87F3" w14:textId="77777777" w:rsidR="00160B9E" w:rsidRPr="00160B9E" w:rsidRDefault="00160B9E" w:rsidP="00160B9E">
            <w:pPr>
              <w:spacing w:line="240" w:lineRule="auto"/>
              <w:jc w:val="center"/>
              <w:rPr>
                <w:rFonts w:asciiTheme="minorHAnsi" w:hAnsiTheme="minorHAnsi" w:cstheme="minorHAnsi"/>
                <w:color w:val="222222"/>
                <w:sz w:val="20"/>
                <w:szCs w:val="20"/>
              </w:rPr>
            </w:pPr>
            <w:r w:rsidRPr="00160B9E">
              <w:rPr>
                <w:rFonts w:asciiTheme="minorHAnsi" w:hAnsiTheme="minorHAnsi" w:cstheme="minorHAnsi"/>
                <w:color w:val="222222"/>
                <w:sz w:val="20"/>
                <w:szCs w:val="20"/>
              </w:rPr>
              <w:t>Ano</w:t>
            </w:r>
          </w:p>
        </w:tc>
        <w:tc>
          <w:tcPr>
            <w:tcW w:w="0" w:type="auto"/>
            <w:shd w:val="clear" w:color="auto" w:fill="FFFF00"/>
            <w:hideMark/>
          </w:tcPr>
          <w:p w14:paraId="526F3078" w14:textId="77777777" w:rsidR="00160B9E" w:rsidRPr="00160B9E" w:rsidRDefault="00160B9E" w:rsidP="00160B9E">
            <w:pPr>
              <w:spacing w:line="240" w:lineRule="auto"/>
              <w:jc w:val="center"/>
              <w:rPr>
                <w:rFonts w:asciiTheme="minorHAnsi" w:hAnsiTheme="minorHAnsi" w:cstheme="minorHAnsi"/>
                <w:color w:val="222222"/>
                <w:sz w:val="20"/>
                <w:szCs w:val="20"/>
              </w:rPr>
            </w:pPr>
            <w:r w:rsidRPr="00160B9E">
              <w:rPr>
                <w:rFonts w:asciiTheme="minorHAnsi" w:hAnsiTheme="minorHAnsi" w:cstheme="minorHAnsi"/>
                <w:color w:val="222222"/>
                <w:sz w:val="20"/>
                <w:szCs w:val="20"/>
              </w:rPr>
              <w:t>Částečně</w:t>
            </w:r>
          </w:p>
        </w:tc>
        <w:tc>
          <w:tcPr>
            <w:tcW w:w="0" w:type="auto"/>
            <w:hideMark/>
          </w:tcPr>
          <w:p w14:paraId="0EA35878" w14:textId="77777777" w:rsidR="00160B9E" w:rsidRPr="00160B9E" w:rsidRDefault="00160B9E" w:rsidP="00160B9E">
            <w:pPr>
              <w:spacing w:line="240" w:lineRule="auto"/>
              <w:jc w:val="center"/>
              <w:rPr>
                <w:rFonts w:asciiTheme="minorHAnsi" w:hAnsiTheme="minorHAnsi" w:cstheme="minorHAnsi"/>
                <w:color w:val="222222"/>
                <w:sz w:val="20"/>
                <w:szCs w:val="20"/>
              </w:rPr>
            </w:pPr>
            <w:r w:rsidRPr="00160B9E">
              <w:rPr>
                <w:rFonts w:asciiTheme="minorHAnsi" w:hAnsiTheme="minorHAnsi" w:cstheme="minorHAnsi"/>
                <w:color w:val="222222"/>
                <w:sz w:val="20"/>
                <w:szCs w:val="20"/>
              </w:rPr>
              <w:t>5 let</w:t>
            </w:r>
          </w:p>
        </w:tc>
        <w:tc>
          <w:tcPr>
            <w:tcW w:w="0" w:type="auto"/>
            <w:hideMark/>
          </w:tcPr>
          <w:p w14:paraId="2B85A426" w14:textId="77777777" w:rsidR="00160B9E" w:rsidRPr="00160B9E" w:rsidRDefault="00160B9E" w:rsidP="00160B9E">
            <w:pPr>
              <w:spacing w:line="240" w:lineRule="auto"/>
              <w:jc w:val="center"/>
              <w:rPr>
                <w:rFonts w:asciiTheme="minorHAnsi" w:hAnsiTheme="minorHAnsi" w:cstheme="minorHAnsi"/>
                <w:color w:val="222222"/>
                <w:sz w:val="20"/>
                <w:szCs w:val="20"/>
              </w:rPr>
            </w:pPr>
            <w:r w:rsidRPr="00160B9E">
              <w:rPr>
                <w:rStyle w:val="Zdraznn"/>
                <w:rFonts w:asciiTheme="minorHAnsi" w:hAnsiTheme="minorHAnsi" w:cstheme="minorHAnsi"/>
                <w:color w:val="222222"/>
                <w:sz w:val="20"/>
                <w:szCs w:val="20"/>
              </w:rPr>
              <w:t>neuvedeno</w:t>
            </w:r>
          </w:p>
        </w:tc>
      </w:tr>
    </w:tbl>
    <w:p w14:paraId="5EF0BC29" w14:textId="626B7024" w:rsidR="00160B9E" w:rsidRPr="00160B9E" w:rsidRDefault="00160B9E" w:rsidP="00160B9E">
      <w:pPr>
        <w:jc w:val="both"/>
        <w:rPr>
          <w:rFonts w:asciiTheme="minorHAnsi" w:hAnsiTheme="minorHAnsi" w:cstheme="minorHAnsi"/>
        </w:rPr>
      </w:pPr>
      <w:r>
        <w:rPr>
          <w:rFonts w:asciiTheme="minorHAnsi" w:hAnsiTheme="minorHAnsi" w:cstheme="minorHAnsi"/>
        </w:rPr>
        <w:t>Zdroj: Databáze strategií</w:t>
      </w:r>
      <w:r>
        <w:rPr>
          <w:rStyle w:val="Znakapoznpodarou"/>
          <w:rFonts w:asciiTheme="minorHAnsi" w:hAnsiTheme="minorHAnsi" w:cstheme="minorHAnsi"/>
        </w:rPr>
        <w:footnoteReference w:id="70"/>
      </w:r>
    </w:p>
    <w:p w14:paraId="724BB55A" w14:textId="443AEE90" w:rsidR="00C660C3" w:rsidRPr="0067454A" w:rsidRDefault="0067454A" w:rsidP="0067454A">
      <w:pPr>
        <w:spacing w:after="120"/>
        <w:jc w:val="both"/>
        <w:rPr>
          <w:rFonts w:asciiTheme="minorHAnsi" w:hAnsiTheme="minorHAnsi" w:cstheme="minorHAnsi"/>
        </w:rPr>
      </w:pPr>
      <w:r w:rsidRPr="0067454A">
        <w:rPr>
          <w:rFonts w:asciiTheme="minorHAnsi" w:hAnsiTheme="minorHAnsi" w:cstheme="minorHAnsi"/>
        </w:rPr>
        <w:t>Databáze strategií též obsahuje elektronickou verzi</w:t>
      </w:r>
      <w:r>
        <w:rPr>
          <w:rStyle w:val="Znakapoznpodarou"/>
          <w:rFonts w:asciiTheme="minorHAnsi" w:hAnsiTheme="minorHAnsi" w:cstheme="minorHAnsi"/>
        </w:rPr>
        <w:footnoteReference w:id="71"/>
      </w:r>
      <w:r w:rsidRPr="0067454A">
        <w:rPr>
          <w:rFonts w:asciiTheme="minorHAnsi" w:hAnsiTheme="minorHAnsi" w:cstheme="minorHAnsi"/>
        </w:rPr>
        <w:t xml:space="preserve"> metodiky pro tvorbu veřejných strategií, což je velmi užitečná pomůcka při vytváření strategie.</w:t>
      </w:r>
      <w:r>
        <w:rPr>
          <w:rFonts w:asciiTheme="minorHAnsi" w:hAnsiTheme="minorHAnsi" w:cstheme="minorHAnsi"/>
        </w:rPr>
        <w:t xml:space="preserve"> Užitečnou funkcí databáze je též možnost provést porovnání mezi dvěma strategiemi.</w:t>
      </w:r>
    </w:p>
    <w:p w14:paraId="22564ABA" w14:textId="77777777" w:rsidR="008C4AC2" w:rsidRPr="005149E0" w:rsidRDefault="008C4AC2" w:rsidP="008C4AC2">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637D7605" w14:textId="0E3B3C69" w:rsidR="008C4AC2" w:rsidRDefault="00C71FA2" w:rsidP="0065698B">
      <w:pPr>
        <w:pStyle w:val="Odstavecseseznamem"/>
        <w:numPr>
          <w:ilvl w:val="0"/>
          <w:numId w:val="22"/>
        </w:numPr>
        <w:jc w:val="both"/>
        <w:rPr>
          <w:rFonts w:asciiTheme="minorHAnsi" w:hAnsiTheme="minorHAnsi" w:cstheme="minorHAnsi"/>
        </w:rPr>
      </w:pPr>
      <w:r>
        <w:rPr>
          <w:rFonts w:asciiTheme="minorHAnsi" w:hAnsiTheme="minorHAnsi" w:cstheme="minorHAnsi"/>
        </w:rPr>
        <w:t>Databáze strategií je užitečný nástroj, který umožňuje rychlou orientaci, které strategie mají vazby na finanční zdroje. Databázi strategií je možné považovat za dobrou praxi.</w:t>
      </w:r>
    </w:p>
    <w:p w14:paraId="118934A8" w14:textId="0964415A" w:rsidR="00C71FA2" w:rsidRDefault="00C71FA2" w:rsidP="0065698B">
      <w:pPr>
        <w:pStyle w:val="Odstavecseseznamem"/>
        <w:numPr>
          <w:ilvl w:val="0"/>
          <w:numId w:val="22"/>
        </w:numPr>
        <w:jc w:val="both"/>
        <w:rPr>
          <w:rFonts w:asciiTheme="minorHAnsi" w:hAnsiTheme="minorHAnsi" w:cstheme="minorHAnsi"/>
        </w:rPr>
      </w:pPr>
      <w:r>
        <w:rPr>
          <w:rFonts w:asciiTheme="minorHAnsi" w:hAnsiTheme="minorHAnsi" w:cstheme="minorHAnsi"/>
        </w:rPr>
        <w:t xml:space="preserve">Problémem je, že </w:t>
      </w:r>
      <w:r w:rsidR="00F66744">
        <w:rPr>
          <w:rFonts w:asciiTheme="minorHAnsi" w:hAnsiTheme="minorHAnsi" w:cstheme="minorHAnsi"/>
        </w:rPr>
        <w:t xml:space="preserve">neexistuje povinnost </w:t>
      </w:r>
      <w:r>
        <w:rPr>
          <w:rFonts w:asciiTheme="minorHAnsi" w:hAnsiTheme="minorHAnsi" w:cstheme="minorHAnsi"/>
        </w:rPr>
        <w:t xml:space="preserve"> strategie do databáze uvést.</w:t>
      </w:r>
    </w:p>
    <w:p w14:paraId="34040C28" w14:textId="0C19DF46" w:rsidR="00F66744" w:rsidRDefault="00F66744" w:rsidP="0065698B">
      <w:pPr>
        <w:pStyle w:val="Odstavecseseznamem"/>
        <w:numPr>
          <w:ilvl w:val="0"/>
          <w:numId w:val="22"/>
        </w:numPr>
        <w:jc w:val="both"/>
        <w:rPr>
          <w:rFonts w:asciiTheme="minorHAnsi" w:hAnsiTheme="minorHAnsi" w:cstheme="minorHAnsi"/>
        </w:rPr>
      </w:pPr>
      <w:r>
        <w:rPr>
          <w:rFonts w:asciiTheme="minorHAnsi" w:hAnsiTheme="minorHAnsi" w:cstheme="minorHAnsi"/>
        </w:rPr>
        <w:t>Většina strategií má uvedeny finanční zdroje k realizaci jednotlivých opatření resp. cílů ale bez konkrétního vyčíslení finanční potřeby nebo jsou tyto potřeby uvedeny jen u některých opatření resp. cílů.</w:t>
      </w:r>
    </w:p>
    <w:p w14:paraId="35EFDE0A" w14:textId="72E3E86C" w:rsidR="00C71FA2" w:rsidRDefault="00C71FA2" w:rsidP="00C71FA2">
      <w:pPr>
        <w:jc w:val="both"/>
        <w:rPr>
          <w:rFonts w:asciiTheme="minorHAnsi" w:hAnsiTheme="minorHAnsi" w:cstheme="minorHAnsi"/>
        </w:rPr>
      </w:pPr>
    </w:p>
    <w:p w14:paraId="2C585ABE" w14:textId="13814EF5" w:rsidR="00C71FA2" w:rsidRDefault="00C71FA2" w:rsidP="00C71FA2">
      <w:pPr>
        <w:jc w:val="both"/>
        <w:rPr>
          <w:rFonts w:asciiTheme="minorHAnsi" w:hAnsiTheme="minorHAnsi" w:cstheme="minorHAnsi"/>
        </w:rPr>
      </w:pPr>
    </w:p>
    <w:p w14:paraId="1066C884" w14:textId="209E6EA6" w:rsidR="002903CF" w:rsidRPr="00CE6D02" w:rsidRDefault="002903CF" w:rsidP="002903CF">
      <w:pPr>
        <w:pStyle w:val="Nadpis2"/>
        <w:spacing w:before="240" w:after="120"/>
        <w:ind w:left="578" w:hanging="578"/>
        <w:rPr>
          <w:rFonts w:asciiTheme="minorHAnsi" w:hAnsiTheme="minorHAnsi" w:cstheme="minorHAnsi"/>
          <w:color w:val="7493B0"/>
          <w:sz w:val="24"/>
          <w:szCs w:val="24"/>
          <w:lang w:val="cs-CZ"/>
        </w:rPr>
      </w:pPr>
      <w:bookmarkStart w:id="107" w:name="_Toc82610066"/>
      <w:bookmarkStart w:id="108" w:name="_Toc111820098"/>
      <w:r w:rsidRPr="00CE6D02">
        <w:rPr>
          <w:rFonts w:asciiTheme="minorHAnsi" w:hAnsiTheme="minorHAnsi" w:cstheme="minorHAnsi"/>
          <w:color w:val="7493B0"/>
          <w:sz w:val="24"/>
          <w:szCs w:val="24"/>
          <w:lang w:val="cs-CZ"/>
        </w:rPr>
        <w:t xml:space="preserve"> </w:t>
      </w:r>
      <w:bookmarkStart w:id="109" w:name="_Toc117270034"/>
      <w:bookmarkEnd w:id="107"/>
      <w:bookmarkEnd w:id="108"/>
      <w:r w:rsidR="00CE6D02" w:rsidRPr="00CE6D02">
        <w:rPr>
          <w:rFonts w:asciiTheme="minorHAnsi" w:hAnsiTheme="minorHAnsi" w:cstheme="minorHAnsi"/>
          <w:color w:val="7493B0"/>
          <w:sz w:val="24"/>
          <w:szCs w:val="24"/>
          <w:lang w:val="cs-CZ"/>
        </w:rPr>
        <w:t>Příklad Ishikawova diagramu – problém s překračováním výdajů</w:t>
      </w:r>
      <w:bookmarkEnd w:id="109"/>
    </w:p>
    <w:p w14:paraId="08B11EEB" w14:textId="77777777" w:rsidR="00CE6D02" w:rsidRDefault="00CE6D02" w:rsidP="00CE6D02">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0DFBDABE" w14:textId="612FD487" w:rsidR="00CE6D02" w:rsidRDefault="006956DA" w:rsidP="00CE6D02">
      <w:pPr>
        <w:spacing w:after="120"/>
        <w:jc w:val="both"/>
        <w:rPr>
          <w:rFonts w:asciiTheme="minorHAnsi" w:hAnsiTheme="minorHAnsi" w:cstheme="minorHAnsi"/>
        </w:rPr>
      </w:pPr>
      <w:r>
        <w:rPr>
          <w:rFonts w:asciiTheme="minorHAnsi" w:hAnsiTheme="minorHAnsi" w:cstheme="minorHAnsi"/>
        </w:rPr>
        <w:t>V případové studii jsou pomocí Ishikawova diagramu vizualizovány příčiny řešeného problému, kterým je překračování výdajů u stavebního projektu.</w:t>
      </w:r>
    </w:p>
    <w:p w14:paraId="12035570" w14:textId="77777777" w:rsidR="00CE6D02" w:rsidRPr="006B6EA5" w:rsidRDefault="00CE6D02" w:rsidP="00CE6D02">
      <w:pPr>
        <w:spacing w:after="120"/>
        <w:jc w:val="both"/>
        <w:rPr>
          <w:rFonts w:asciiTheme="minorHAnsi" w:hAnsiTheme="minorHAnsi" w:cstheme="minorHAnsi"/>
          <w:b/>
        </w:rPr>
      </w:pPr>
      <w:r w:rsidRPr="006B6EA5">
        <w:rPr>
          <w:rFonts w:asciiTheme="minorHAnsi" w:hAnsiTheme="minorHAnsi" w:cstheme="minorHAnsi"/>
          <w:b/>
        </w:rPr>
        <w:t>Popis případové studie:</w:t>
      </w:r>
    </w:p>
    <w:p w14:paraId="3F4DBAB9" w14:textId="5A65AA90" w:rsidR="002903CF" w:rsidRPr="006956DA" w:rsidRDefault="002903CF" w:rsidP="002903CF">
      <w:pPr>
        <w:pStyle w:val="A1-text"/>
        <w:spacing w:after="0"/>
        <w:rPr>
          <w:rFonts w:asciiTheme="minorHAnsi" w:hAnsiTheme="minorHAnsi" w:cs="Calibri"/>
          <w:lang w:val="cs-CZ"/>
        </w:rPr>
      </w:pPr>
      <w:r w:rsidRPr="00DC7F02">
        <w:rPr>
          <w:rFonts w:asciiTheme="minorHAnsi" w:hAnsiTheme="minorHAnsi"/>
          <w:lang w:val="cs-CZ"/>
        </w:rPr>
        <w:t xml:space="preserve">K analýze a vizualizaci příčin </w:t>
      </w:r>
      <w:r w:rsidR="006956DA">
        <w:rPr>
          <w:rFonts w:asciiTheme="minorHAnsi" w:hAnsiTheme="minorHAnsi"/>
          <w:lang w:val="cs-CZ"/>
        </w:rPr>
        <w:t>překračování výdajů u stavebních projektů</w:t>
      </w:r>
      <w:r w:rsidRPr="00DC7F02">
        <w:rPr>
          <w:rFonts w:asciiTheme="minorHAnsi" w:hAnsiTheme="minorHAnsi"/>
          <w:lang w:val="cs-CZ"/>
        </w:rPr>
        <w:t xml:space="preserve"> je využit Ishikawův diagram (Diagram příčin a následku)</w:t>
      </w:r>
      <w:r w:rsidRPr="00DC7F02">
        <w:rPr>
          <w:rStyle w:val="Znakapoznpodarou"/>
          <w:rFonts w:asciiTheme="minorHAnsi" w:hAnsiTheme="minorHAnsi"/>
          <w:lang w:val="cs-CZ"/>
        </w:rPr>
        <w:footnoteReference w:id="72"/>
      </w:r>
      <w:r w:rsidRPr="00DC7F02">
        <w:rPr>
          <w:rFonts w:asciiTheme="minorHAnsi" w:hAnsiTheme="minorHAnsi"/>
          <w:lang w:val="cs-CZ"/>
        </w:rPr>
        <w:t>. Pomocí diagramu hledáme příčiny a „podpříčiny“ analyzovaného problému. Obvykle</w:t>
      </w:r>
      <w:r w:rsidRPr="00100CE1">
        <w:rPr>
          <w:rFonts w:asciiTheme="minorHAnsi" w:hAnsiTheme="minorHAnsi"/>
          <w:lang w:val="cs-CZ"/>
        </w:rPr>
        <w:t xml:space="preserve"> hlavních příčin bývá 5, maximálně 7.</w:t>
      </w:r>
      <w:r>
        <w:rPr>
          <w:rFonts w:asciiTheme="minorHAnsi" w:hAnsiTheme="minorHAnsi"/>
          <w:lang w:val="cs-CZ"/>
        </w:rPr>
        <w:t xml:space="preserve"> </w:t>
      </w:r>
      <w:r w:rsidRPr="00100CE1">
        <w:rPr>
          <w:rFonts w:asciiTheme="minorHAnsi" w:hAnsiTheme="minorHAnsi" w:cs="Calibri"/>
        </w:rPr>
        <w:t xml:space="preserve">Na následujících dvou obrázcích je zpracovaný Ishikawův diagram pro </w:t>
      </w:r>
      <w:r w:rsidR="006956DA">
        <w:rPr>
          <w:rFonts w:asciiTheme="minorHAnsi" w:hAnsiTheme="minorHAnsi"/>
          <w:lang w:val="cs-CZ"/>
        </w:rPr>
        <w:t>problém:</w:t>
      </w:r>
      <w:r>
        <w:rPr>
          <w:rFonts w:asciiTheme="minorHAnsi" w:hAnsiTheme="minorHAnsi" w:cs="Calibri"/>
        </w:rPr>
        <w:t xml:space="preserve"> </w:t>
      </w:r>
      <w:r>
        <w:rPr>
          <w:rFonts w:asciiTheme="minorHAnsi" w:hAnsiTheme="minorHAnsi"/>
        </w:rPr>
        <w:t>„</w:t>
      </w:r>
      <w:r w:rsidRPr="00E465CE">
        <w:rPr>
          <w:rFonts w:asciiTheme="minorHAnsi" w:hAnsiTheme="minorHAnsi"/>
        </w:rPr>
        <w:t xml:space="preserve">Proč </w:t>
      </w:r>
      <w:r w:rsidR="006956DA">
        <w:rPr>
          <w:rFonts w:asciiTheme="minorHAnsi" w:hAnsiTheme="minorHAnsi"/>
          <w:lang w:val="cs-CZ"/>
        </w:rPr>
        <w:t>jsou překračovány výdaje stavebních projektů</w:t>
      </w:r>
      <w:r w:rsidR="006956DA">
        <w:rPr>
          <w:rFonts w:asciiTheme="minorHAnsi" w:hAnsiTheme="minorHAnsi"/>
        </w:rPr>
        <w:t xml:space="preserve">“. </w:t>
      </w:r>
      <w:r w:rsidR="006956DA">
        <w:rPr>
          <w:rFonts w:asciiTheme="minorHAnsi" w:hAnsiTheme="minorHAnsi"/>
          <w:lang w:val="cs-CZ"/>
        </w:rPr>
        <w:t xml:space="preserve"> Na prvním jsou zobrazeny hlavní příčiny pro tento konkrétní příklad </w:t>
      </w:r>
      <w:r w:rsidR="006956DA">
        <w:rPr>
          <w:rFonts w:asciiTheme="minorHAnsi" w:hAnsiTheme="minorHAnsi"/>
          <w:lang w:val="cs-CZ"/>
        </w:rPr>
        <w:lastRenderedPageBreak/>
        <w:t>(jiný projekt, který je v jiné situaci by mohl mít jiné nebo částečné jiné hlavní příčiny, jde o příklad)</w:t>
      </w:r>
      <w:r w:rsidR="001D1E13">
        <w:rPr>
          <w:rFonts w:asciiTheme="minorHAnsi" w:hAnsiTheme="minorHAnsi"/>
          <w:lang w:val="cs-CZ"/>
        </w:rPr>
        <w:t>.</w:t>
      </w:r>
    </w:p>
    <w:p w14:paraId="240113D1" w14:textId="5EF2D057" w:rsidR="002903CF" w:rsidRPr="00783EDD" w:rsidRDefault="002903CF" w:rsidP="002903CF">
      <w:pPr>
        <w:jc w:val="both"/>
        <w:rPr>
          <w:rFonts w:asciiTheme="minorHAnsi" w:hAnsiTheme="minorHAnsi" w:cstheme="minorHAnsi"/>
          <w:i/>
          <w:iCs/>
        </w:rPr>
      </w:pPr>
      <w:r w:rsidRPr="00783EDD">
        <w:rPr>
          <w:rFonts w:asciiTheme="minorHAnsi" w:hAnsiTheme="minorHAnsi" w:cstheme="minorHAnsi"/>
          <w:i/>
          <w:iCs/>
          <w:noProof/>
        </w:rPr>
        <mc:AlternateContent>
          <mc:Choice Requires="wpg">
            <w:drawing>
              <wp:anchor distT="0" distB="0" distL="114300" distR="114300" simplePos="0" relativeHeight="251577856" behindDoc="0" locked="0" layoutInCell="1" allowOverlap="1" wp14:anchorId="614F623D" wp14:editId="25E40C5D">
                <wp:simplePos x="0" y="0"/>
                <wp:positionH relativeFrom="column">
                  <wp:posOffset>114300</wp:posOffset>
                </wp:positionH>
                <wp:positionV relativeFrom="paragraph">
                  <wp:posOffset>247015</wp:posOffset>
                </wp:positionV>
                <wp:extent cx="6129967" cy="2755460"/>
                <wp:effectExtent l="0" t="0" r="4445" b="0"/>
                <wp:wrapNone/>
                <wp:docPr id="3946" name="Skupina 3946"/>
                <wp:cNvGraphicFramePr/>
                <a:graphic xmlns:a="http://schemas.openxmlformats.org/drawingml/2006/main">
                  <a:graphicData uri="http://schemas.microsoft.com/office/word/2010/wordprocessingGroup">
                    <wpg:wgp>
                      <wpg:cNvGrpSpPr/>
                      <wpg:grpSpPr>
                        <a:xfrm>
                          <a:off x="0" y="0"/>
                          <a:ext cx="6129967" cy="2755460"/>
                          <a:chOff x="487463" y="105428"/>
                          <a:chExt cx="6130682" cy="3695199"/>
                        </a:xfrm>
                      </wpg:grpSpPr>
                      <wps:wsp>
                        <wps:cNvPr id="3947" name="Textové pole 2"/>
                        <wps:cNvSpPr txBox="1">
                          <a:spLocks noChangeArrowheads="1"/>
                        </wps:cNvSpPr>
                        <wps:spPr bwMode="auto">
                          <a:xfrm>
                            <a:off x="5235856" y="1262121"/>
                            <a:ext cx="1382289" cy="1502873"/>
                          </a:xfrm>
                          <a:prstGeom prst="rect">
                            <a:avLst/>
                          </a:prstGeom>
                          <a:noFill/>
                          <a:ln w="9525">
                            <a:noFill/>
                            <a:miter lim="800000"/>
                            <a:headEnd/>
                            <a:tailEnd/>
                          </a:ln>
                        </wps:spPr>
                        <wps:txbx>
                          <w:txbxContent>
                            <w:p w14:paraId="76D0AC98" w14:textId="0AD01DEB" w:rsidR="00511D9B" w:rsidRPr="006538F8" w:rsidRDefault="00511D9B" w:rsidP="003B3D24">
                              <w:pPr>
                                <w:spacing w:line="202" w:lineRule="auto"/>
                                <w:ind w:left="-57" w:right="-57"/>
                                <w:jc w:val="center"/>
                                <w:rPr>
                                  <w:rFonts w:asciiTheme="minorHAnsi" w:hAnsiTheme="minorHAnsi"/>
                                  <w:b/>
                                  <w:sz w:val="28"/>
                                </w:rPr>
                              </w:pPr>
                              <w:r>
                                <w:rPr>
                                  <w:rFonts w:asciiTheme="minorHAnsi" w:hAnsiTheme="minorHAnsi"/>
                                  <w:b/>
                                  <w:sz w:val="28"/>
                                </w:rPr>
                                <w:t>Proč jsou překračovány výdaje stavebních projektů</w:t>
                              </w:r>
                            </w:p>
                          </w:txbxContent>
                        </wps:txbx>
                        <wps:bodyPr rot="0" vert="horz" wrap="square" lIns="91440" tIns="45720" rIns="91440" bIns="45720" anchor="t" anchorCtr="0">
                          <a:noAutofit/>
                        </wps:bodyPr>
                      </wps:wsp>
                      <wps:wsp>
                        <wps:cNvPr id="3948" name="Textové pole 2"/>
                        <wps:cNvSpPr txBox="1">
                          <a:spLocks noChangeArrowheads="1"/>
                        </wps:cNvSpPr>
                        <wps:spPr bwMode="auto">
                          <a:xfrm>
                            <a:off x="487463" y="3361733"/>
                            <a:ext cx="1362444" cy="356244"/>
                          </a:xfrm>
                          <a:prstGeom prst="rect">
                            <a:avLst/>
                          </a:prstGeom>
                          <a:noFill/>
                          <a:ln w="9525">
                            <a:noFill/>
                            <a:miter lim="800000"/>
                            <a:headEnd/>
                            <a:tailEnd/>
                          </a:ln>
                        </wps:spPr>
                        <wps:txbx>
                          <w:txbxContent>
                            <w:p w14:paraId="741D3088" w14:textId="142C81C5"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Kontrola stavby</w:t>
                              </w:r>
                            </w:p>
                          </w:txbxContent>
                        </wps:txbx>
                        <wps:bodyPr rot="0" vert="horz" wrap="square" lIns="91440" tIns="45720" rIns="91440" bIns="45720" anchor="t" anchorCtr="0">
                          <a:noAutofit/>
                        </wps:bodyPr>
                      </wps:wsp>
                      <wpg:grpSp>
                        <wpg:cNvPr id="3949" name="Skupina 3949"/>
                        <wpg:cNvGrpSpPr/>
                        <wpg:grpSpPr>
                          <a:xfrm>
                            <a:off x="526473" y="105441"/>
                            <a:ext cx="6063093" cy="3323321"/>
                            <a:chOff x="526473" y="-1314650"/>
                            <a:chExt cx="6063093" cy="3323321"/>
                          </a:xfrm>
                        </wpg:grpSpPr>
                        <wps:wsp>
                          <wps:cNvPr id="3951" name="Přímá spojnice 36"/>
                          <wps:cNvCnPr>
                            <a:cxnSpLocks noChangeShapeType="1"/>
                          </wps:cNvCnPr>
                          <wps:spPr bwMode="auto">
                            <a:xfrm flipH="1">
                              <a:off x="526473" y="583622"/>
                              <a:ext cx="4679950" cy="0"/>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952" name="Ovál 35"/>
                          <wps:cNvSpPr>
                            <a:spLocks noChangeArrowheads="1"/>
                          </wps:cNvSpPr>
                          <wps:spPr bwMode="auto">
                            <a:xfrm>
                              <a:off x="5207277" y="-186327"/>
                              <a:ext cx="1382289" cy="1502874"/>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3" name="Přímá spojnice 55"/>
                          <wps:cNvCnPr>
                            <a:cxnSpLocks noChangeShapeType="1"/>
                          </wps:cNvCnPr>
                          <wps:spPr bwMode="auto">
                            <a:xfrm flipH="1">
                              <a:off x="1155123" y="597982"/>
                              <a:ext cx="620091" cy="1410689"/>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962" name="Textové pole 2"/>
                          <wps:cNvSpPr txBox="1">
                            <a:spLocks noChangeArrowheads="1"/>
                          </wps:cNvSpPr>
                          <wps:spPr bwMode="auto">
                            <a:xfrm>
                              <a:off x="685637" y="-1314650"/>
                              <a:ext cx="1219200" cy="341595"/>
                            </a:xfrm>
                            <a:prstGeom prst="rect">
                              <a:avLst/>
                            </a:prstGeom>
                            <a:noFill/>
                            <a:ln w="9525">
                              <a:noFill/>
                              <a:miter lim="800000"/>
                              <a:headEnd/>
                              <a:tailEnd/>
                            </a:ln>
                          </wps:spPr>
                          <wps:txbx>
                            <w:txbxContent>
                              <w:p w14:paraId="713EC86A" w14:textId="77777777"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Dodavatelé</w:t>
                                </w:r>
                              </w:p>
                            </w:txbxContent>
                          </wps:txbx>
                          <wps:bodyPr rot="0" vert="horz" wrap="square" lIns="91440" tIns="45720" rIns="91440" bIns="45720" anchor="t" anchorCtr="0">
                            <a:noAutofit/>
                          </wps:bodyPr>
                        </wps:wsp>
                      </wpg:grpSp>
                      <wpg:grpSp>
                        <wpg:cNvPr id="4096" name="Skupina 4096"/>
                        <wpg:cNvGrpSpPr/>
                        <wpg:grpSpPr>
                          <a:xfrm>
                            <a:off x="1400986" y="105428"/>
                            <a:ext cx="3806290" cy="3695199"/>
                            <a:chOff x="1054622" y="105428"/>
                            <a:chExt cx="3806290" cy="3695199"/>
                          </a:xfrm>
                        </wpg:grpSpPr>
                        <wps:wsp>
                          <wps:cNvPr id="4097" name="Přímá spojnice 43"/>
                          <wps:cNvCnPr>
                            <a:cxnSpLocks noChangeShapeType="1"/>
                          </wps:cNvCnPr>
                          <wps:spPr bwMode="auto">
                            <a:xfrm flipH="1" flipV="1">
                              <a:off x="3940571" y="441614"/>
                              <a:ext cx="674318" cy="1550947"/>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098" name="Přímá spojnice 52"/>
                          <wps:cNvCnPr>
                            <a:cxnSpLocks noChangeShapeType="1"/>
                          </wps:cNvCnPr>
                          <wps:spPr bwMode="auto">
                            <a:xfrm flipH="1" flipV="1">
                              <a:off x="2589050" y="441614"/>
                              <a:ext cx="674318" cy="1550947"/>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113" name="Textové pole 2"/>
                          <wps:cNvSpPr txBox="1">
                            <a:spLocks noChangeArrowheads="1"/>
                          </wps:cNvSpPr>
                          <wps:spPr bwMode="auto">
                            <a:xfrm>
                              <a:off x="1948691" y="105428"/>
                              <a:ext cx="1314332" cy="341585"/>
                            </a:xfrm>
                            <a:prstGeom prst="rect">
                              <a:avLst/>
                            </a:prstGeom>
                            <a:noFill/>
                            <a:ln w="9525">
                              <a:noFill/>
                              <a:miter lim="800000"/>
                              <a:headEnd/>
                              <a:tailEnd/>
                            </a:ln>
                          </wps:spPr>
                          <wps:txbx>
                            <w:txbxContent>
                              <w:p w14:paraId="38C96997" w14:textId="0617B96B"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Projektant, projekt</w:t>
                                </w:r>
                              </w:p>
                            </w:txbxContent>
                          </wps:txbx>
                          <wps:bodyPr rot="0" vert="horz" wrap="square" lIns="91440" tIns="45720" rIns="91440" bIns="45720" anchor="t" anchorCtr="0">
                            <a:noAutofit/>
                          </wps:bodyPr>
                        </wps:wsp>
                        <wps:wsp>
                          <wps:cNvPr id="4115" name="Textové pole 2"/>
                          <wps:cNvSpPr txBox="1">
                            <a:spLocks noChangeArrowheads="1"/>
                          </wps:cNvSpPr>
                          <wps:spPr bwMode="auto">
                            <a:xfrm>
                              <a:off x="2571635" y="3404392"/>
                              <a:ext cx="1336399" cy="396235"/>
                            </a:xfrm>
                            <a:prstGeom prst="rect">
                              <a:avLst/>
                            </a:prstGeom>
                            <a:noFill/>
                            <a:ln w="9525">
                              <a:noFill/>
                              <a:miter lim="800000"/>
                              <a:headEnd/>
                              <a:tailEnd/>
                            </a:ln>
                          </wps:spPr>
                          <wps:txbx>
                            <w:txbxContent>
                              <w:p w14:paraId="49D9168E" w14:textId="26DB36BB"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Veřejná zakázka</w:t>
                                </w:r>
                              </w:p>
                            </w:txbxContent>
                          </wps:txbx>
                          <wps:bodyPr rot="0" vert="horz" wrap="square" lIns="91440" tIns="45720" rIns="91440" bIns="45720" anchor="t" anchorCtr="0">
                            <a:noAutofit/>
                          </wps:bodyPr>
                        </wps:wsp>
                        <wps:wsp>
                          <wps:cNvPr id="4116" name="Přímá spojnice 54"/>
                          <wps:cNvCnPr>
                            <a:cxnSpLocks noChangeShapeType="1"/>
                          </wps:cNvCnPr>
                          <wps:spPr bwMode="auto">
                            <a:xfrm flipH="1">
                              <a:off x="3168069" y="2017866"/>
                              <a:ext cx="622981" cy="1403762"/>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117" name="Přímá spojnice 52"/>
                          <wps:cNvCnPr>
                            <a:cxnSpLocks noChangeShapeType="1"/>
                          </wps:cNvCnPr>
                          <wps:spPr bwMode="auto">
                            <a:xfrm flipH="1" flipV="1">
                              <a:off x="1054622" y="441614"/>
                              <a:ext cx="674318" cy="1550926"/>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118" name="Přímá spojnice 55"/>
                          <wps:cNvCnPr>
                            <a:cxnSpLocks noChangeShapeType="1"/>
                          </wps:cNvCnPr>
                          <wps:spPr bwMode="auto">
                            <a:xfrm flipH="1">
                              <a:off x="1989716" y="2010563"/>
                              <a:ext cx="616307" cy="1392546"/>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4119" name="Textové pole 2"/>
                          <wps:cNvSpPr txBox="1">
                            <a:spLocks noChangeArrowheads="1"/>
                          </wps:cNvSpPr>
                          <wps:spPr bwMode="auto">
                            <a:xfrm>
                              <a:off x="3416726" y="105428"/>
                              <a:ext cx="1444186" cy="341536"/>
                            </a:xfrm>
                            <a:prstGeom prst="rect">
                              <a:avLst/>
                            </a:prstGeom>
                            <a:noFill/>
                            <a:ln w="9525">
                              <a:noFill/>
                              <a:miter lim="800000"/>
                              <a:headEnd/>
                              <a:tailEnd/>
                            </a:ln>
                          </wps:spPr>
                          <wps:txbx>
                            <w:txbxContent>
                              <w:p w14:paraId="33417CF3" w14:textId="67610096"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Systém řízení</w:t>
                                </w:r>
                              </w:p>
                            </w:txbxContent>
                          </wps:txbx>
                          <wps:bodyPr rot="0" vert="horz" wrap="square" lIns="91440" tIns="45720" rIns="91440" bIns="45720" anchor="t" anchorCtr="0">
                            <a:noAutofit/>
                          </wps:bodyPr>
                        </wps:wsp>
                        <wps:wsp>
                          <wps:cNvPr id="4120" name="Textové pole 2"/>
                          <wps:cNvSpPr txBox="1">
                            <a:spLocks noChangeArrowheads="1"/>
                          </wps:cNvSpPr>
                          <wps:spPr bwMode="auto">
                            <a:xfrm>
                              <a:off x="1540585" y="3375762"/>
                              <a:ext cx="1135957" cy="380402"/>
                            </a:xfrm>
                            <a:prstGeom prst="rect">
                              <a:avLst/>
                            </a:prstGeom>
                            <a:noFill/>
                            <a:ln w="9525">
                              <a:noFill/>
                              <a:miter lim="800000"/>
                              <a:headEnd/>
                              <a:tailEnd/>
                            </a:ln>
                          </wps:spPr>
                          <wps:txbx>
                            <w:txbxContent>
                              <w:p w14:paraId="6695459D" w14:textId="77777777"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Vnější prostředí</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14F623D" id="Skupina 3946" o:spid="_x0000_s1370" style="position:absolute;left:0;text-align:left;margin-left:9pt;margin-top:19.45pt;width:482.65pt;height:216.95pt;z-index:251577856;mso-position-horizontal-relative:text;mso-position-vertical-relative:text;mso-width-relative:margin;mso-height-relative:margin" coordorigin="4874,1054" coordsize="61306,36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8zgYAAA8uAAAOAAAAZHJzL2Uyb0RvYy54bWzsWt1u2zYUvh+wdyB071r8lWjUKTo76QZ0&#10;a4F0u2dk2dYqi5qkxE6HPcgue7mLPUWw99oh9Ws7btOudVXMQWDrlybPOTzf9x3y8ZPNKkY3YZZH&#10;Ohk7+JHroDAJ9CxKFmPn51cXA99BeaGSmYp1Eo6d2zB3npx9+83jdToKiV7qeBZmCBpJ8tE6HTvL&#10;okhHw2EeLMOVyh/pNEzg5lxnK1XAabYYzjK1htZX8ZC4rhiudTZLMx2EeQ5Xp+VN58y2P5+HQfFi&#10;Ps/DAsVjB/pW2M/Mfl6Zz+HZYzVaZCpdRkHVDfURvVipKIEfbZqaqkKh6yzaa2oVBZnO9bx4FOjV&#10;UM/nURDaMcBosLszmmeZvk7tWBaj9SJtzASm3bHTRzcb/HTzMkPRbOxQyYSDErUCL12+vk6jRCF7&#10;DUy0ThcjePJZll6mL7PqwqI8M6PezLOV+YbxoI017m1j3HBToAAuCkykFJ6DArhHPM6ZqMwfLMFH&#10;5j3me0xQB8ED2OWM+KV7guV50wZ1hU/KNqiQHEtpnhnWXRianjYdW6cQVHlrt/y/2e1yqdLQuiM3&#10;1mjtBoMq7fYKBqtv7v5CqY5DREzXTB/gYWM3VGy+0zBMbCMlT5/r4HWOEj1ZqmQRPs0yvV6Gaga9&#10;xHZQnVfLdnLTyNX6Rz0DH6nrQtuGdozPCeU+B1caKxJBMLGtqVHtCEx9QnxZGhFzl/ge3TKiGqVZ&#10;XjwL9QqZg7GTwTSyP6VunudFae/6EeP2RF9EcQzX1ShO0HrsSE64faFzZxUVMNPjaDV2fNf8md9U&#10;IzPi82RmjwsVxeUxODROwK/GBGbU5fiLzdXGxiouQ8fcvdKzW7BKpsupDakIDpY6e+OgNUzrsZP/&#10;dq2y0EHxDwlYVmLGTB6wJ4x7BE6y7p2r7h2VBNDU2CkcVB5OCps7ykE/BQ/MI2uPtidVpyHsyj4f&#10;I/4gx/Yn/jqTmFKBPWqDqxt+gjDGqjnMzclXF312RrU+72v0VanQBKLN323Ggtm/l+ltJv3ATM+J&#10;YJA96ozNdlKNcAV1Jdw3OZ9SAv/VE03O77QwwBQzwRtUaLL+gVa+bNbnuLbhy3/+vPt7dfcW5an+&#10;NQFAR1SYkDYBAql/kpj8pUbBJrncyfkWUV7dppDOrV1svmteMe8fTvloHkfp9zWaVMjbsSb3qSAW&#10;gtq5x4QnJRjY+sPaubHhXtKPo8SAnRo9NOkTn3tl1s91HM0MJJjX82xxNYkzdKMMBWsyP/zw1mNA&#10;dSoUqBABFdYuysAi5PKxswpnkMVDoJnm6H7AsEMFjDI/bPDOUrDfpSvP/XOfDRgR5wPmTqeDpxcT&#10;NhAX2ONTOp1MpvgPM1bMRstoNgsT0/maDmL2MNpQEdOSyDWEsEHA4XbrlrRAF+tv2+kdvCuxDUZq&#10;rx8TUjhwrDJBvLi5exsjyjsBbbiM9exONH86BuN6xANSBUljgH1BiVe6+x0M5j0YEsYwWfIPi2fq&#10;YyApdqCfIp6/loDdmpVbk/fC/hlXbE/ej47sI+Mmuk6zaLEEflgy8ET3hcFxgMhyuu1jCe9OvWNi&#10;CcacY1KCO5eeBN1lY7iehQL0twQQNNiOGQZhtq3FTohyQpRWJIsGUfogkgUoZFojTJd11sENqllC&#10;fFfMlWEu7TQ8TJd6qJGb+kOfNTJQmy2ZYos3u4qFuXKvNmWvQUL6QMWCGWQtvyqPdIpMteOp7woi&#10;a8e3JSbg73WZytSmDLWuVc9+nepQI034tKOuaxufvU4A9mrqVPsow6xKP5ZisdrllxqHK+0CxUaX&#10;ewAogCeMYYEtp2vFi/AYxVDqsHjDuSuZpYWNTU94c8KbGm8g2Jui2H6wg7qxieM48vzeYCfcl65R&#10;4qdgP8n1By8I3b8CwTBu9EMfyBWWzBdGGRhhcA/EmjIfVAJbbuV/fdyqgcs+cysD55+fV4BOrNVr&#10;H6KPAIcQUK8y0UeZy6jc0a0YliUorBuWRWkpYL2sqmnUK2n12lZ/l78sNTLuPYUfxo00uAfpG0M1&#10;VfXjFOIpFiAkIMggCmFl3/OFXRLosFlCpN9UT1zqgUAuK2sHovBUjy93iUAZ/f9WjweAf4d06wGb&#10;7SriB0k3YmfDSbqdFp9ggaWqOlSr0xDs75JuX6waLn0JxKJO6C7UD3fK4cA6XJimtjwBpANqRKeE&#10;flpgvXfPGMR4swOjD5yZQrnNg5x8ULHBhh1YiG0VW7nB4XD+7mE1vEkcJ8qMza63/uwYwxwKv1AD&#10;sIqNeryiwi1XhvoGrL9UuRVq68x9D1fuYfg1O4L6HH7tsoTdc2J3HdvV/mqHtNnW3D23T7X7uM/+&#10;BQAA//8DAFBLAwQUAAYACAAAACEAdTl4k+AAAAAJAQAADwAAAGRycy9kb3ducmV2LnhtbEyPzWrD&#10;MBCE74W+g9hCb43suD+KYzmE0PYUCk0KJbeNvbFNLMlYiu28fben9jjMMPNNtppMKwbqfeOshngW&#10;gSBbuLKxlYav/duDAuED2hJbZ0nDlTys8tubDNPSjfaThl2oBJdYn6KGOoQuldIXNRn0M9eRZe/k&#10;eoOBZV/JsseRy00r51H0LA02lhdq7GhTU3HeXYyG9xHHdRK/DtvzaXM97J8+vrcxaX1/N62XIAJN&#10;4S8Mv/iMDjkzHd3Fll60rBVfCRoStQDB/kIlCYijhseXuQKZZ/L/g/wHAAD//wMAUEsBAi0AFAAG&#10;AAgAAAAhALaDOJL+AAAA4QEAABMAAAAAAAAAAAAAAAAAAAAAAFtDb250ZW50X1R5cGVzXS54bWxQ&#10;SwECLQAUAAYACAAAACEAOP0h/9YAAACUAQAACwAAAAAAAAAAAAAAAAAvAQAAX3JlbHMvLnJlbHNQ&#10;SwECLQAUAAYACAAAACEAafjR/M4GAAAPLgAADgAAAAAAAAAAAAAAAAAuAgAAZHJzL2Uyb0RvYy54&#10;bWxQSwECLQAUAAYACAAAACEAdTl4k+AAAAAJAQAADwAAAAAAAAAAAAAAAAAoCQAAZHJzL2Rvd25y&#10;ZXYueG1sUEsFBgAAAAAEAAQA8wAAADUKAAAAAA==&#10;">
                <v:shape id="_x0000_s1371" type="#_x0000_t202" style="position:absolute;left:52358;top:12621;width:13823;height:15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JaZxQAAAN0AAAAPAAAAZHJzL2Rvd25yZXYueG1sRI9bawIx&#10;FITfC/6HcIS+aaK1XlajSEvBp4pX8O2wOe4ubk6WTequ/74pCH0cZuYbZrFqbSnuVPvCsYZBX4Eg&#10;Tp0pONNwPHz1piB8QDZYOiYND/KwWnZeFpgY1/CO7vuQiQhhn6CGPIQqkdKnOVn0fVcRR+/qaosh&#10;yjqTpsYmwm0ph0qNpcWC40KOFX3klN72P1bD6ft6OY/UNvu071XjWiXZzqTWr912PQcRqA3/4Wd7&#10;YzS8zUYT+HsTn4Bc/gIAAP//AwBQSwECLQAUAAYACAAAACEA2+H2y+4AAACFAQAAEwAAAAAAAAAA&#10;AAAAAAAAAAAAW0NvbnRlbnRfVHlwZXNdLnhtbFBLAQItABQABgAIAAAAIQBa9CxbvwAAABUBAAAL&#10;AAAAAAAAAAAAAAAAAB8BAABfcmVscy8ucmVsc1BLAQItABQABgAIAAAAIQB45JaZxQAAAN0AAAAP&#10;AAAAAAAAAAAAAAAAAAcCAABkcnMvZG93bnJldi54bWxQSwUGAAAAAAMAAwC3AAAA+QIAAAAA&#10;" filled="f" stroked="f">
                  <v:textbox>
                    <w:txbxContent>
                      <w:p w14:paraId="76D0AC98" w14:textId="0AD01DEB" w:rsidR="00511D9B" w:rsidRPr="006538F8" w:rsidRDefault="00511D9B" w:rsidP="003B3D24">
                        <w:pPr>
                          <w:spacing w:line="202" w:lineRule="auto"/>
                          <w:ind w:left="-57" w:right="-57"/>
                          <w:jc w:val="center"/>
                          <w:rPr>
                            <w:rFonts w:asciiTheme="minorHAnsi" w:hAnsiTheme="minorHAnsi"/>
                            <w:b/>
                            <w:sz w:val="28"/>
                          </w:rPr>
                        </w:pPr>
                        <w:r>
                          <w:rPr>
                            <w:rFonts w:asciiTheme="minorHAnsi" w:hAnsiTheme="minorHAnsi"/>
                            <w:b/>
                            <w:sz w:val="28"/>
                          </w:rPr>
                          <w:t>Proč jsou překračovány výdaje stavebních projektů</w:t>
                        </w:r>
                      </w:p>
                    </w:txbxContent>
                  </v:textbox>
                </v:shape>
                <v:shape id="_x0000_s1372" type="#_x0000_t202" style="position:absolute;left:4874;top:33617;width:13625;height:3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LrwwAAAN0AAAAPAAAAZHJzL2Rvd25yZXYueG1sRE/Pa8Iw&#10;FL4P/B/CE7ytidMNrcYyNgY7OexU8PZonm2xeSlN1nb/vTkMdvz4fm+z0Taip87XjjXMEwWCuHCm&#10;5lLD8fvjcQXCB2SDjWPS8Esest3kYYupcQMfqM9DKWII+xQ1VCG0qZS+qMiiT1xLHLmr6yyGCLtS&#10;mg6HGG4b+aTUi7RYc2yosKW3iopb/mM1nPbXy3mpvsp3+9wOblSS7VpqPZuOrxsQgcbwL/5zfxoN&#10;i/Uyzo1v4hOQuzsAAAD//wMAUEsBAi0AFAAGAAgAAAAhANvh9svuAAAAhQEAABMAAAAAAAAAAAAA&#10;AAAAAAAAAFtDb250ZW50X1R5cGVzXS54bWxQSwECLQAUAAYACAAAACEAWvQsW78AAAAVAQAACwAA&#10;AAAAAAAAAAAAAAAfAQAAX3JlbHMvLnJlbHNQSwECLQAUAAYACAAAACEACXsC68MAAADdAAAADwAA&#10;AAAAAAAAAAAAAAAHAgAAZHJzL2Rvd25yZXYueG1sUEsFBgAAAAADAAMAtwAAAPcCAAAAAA==&#10;" filled="f" stroked="f">
                  <v:textbox>
                    <w:txbxContent>
                      <w:p w14:paraId="741D3088" w14:textId="142C81C5"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Kontrola stavby</w:t>
                        </w:r>
                      </w:p>
                    </w:txbxContent>
                  </v:textbox>
                </v:shape>
                <v:group id="Skupina 3949" o:spid="_x0000_s1373" style="position:absolute;left:5264;top:1054;width:60631;height:33233" coordorigin="5264,-13146" coordsize="60630,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Kk4xwAAAN0AAAAPAAAAZHJzL2Rvd25yZXYueG1sRI9Pa8JA&#10;FMTvBb/D8oTedBNtRaOriNTSgwj+AfH2yD6TYPZtyK5J/PbdgtDjMDO/YRarzpSiodoVlhXEwwgE&#10;cWp1wZmC82k7mIJwHlljaZkUPMnBatl7W2CibcsHao4+EwHCLkEFufdVIqVLczLohrYiDt7N1gZ9&#10;kHUmdY1tgJtSjqJoIg0WHBZyrGiTU3o/PoyC7xbb9Tj+anb32+Z5PX3uL7uYlHrvd+s5CE+d/w+/&#10;2j9awXj2MYO/N+EJyOUvAAAA//8DAFBLAQItABQABgAIAAAAIQDb4fbL7gAAAIUBAAATAAAAAAAA&#10;AAAAAAAAAAAAAABbQ29udGVudF9UeXBlc10ueG1sUEsBAi0AFAAGAAgAAAAhAFr0LFu/AAAAFQEA&#10;AAsAAAAAAAAAAAAAAAAAHwEAAF9yZWxzLy5yZWxzUEsBAi0AFAAGAAgAAAAhALmEqTjHAAAA3QAA&#10;AA8AAAAAAAAAAAAAAAAABwIAAGRycy9kb3ducmV2LnhtbFBLBQYAAAAAAwADALcAAAD7AgAAAAA=&#10;">
                  <v:line id="Přímá spojnice 36" o:spid="_x0000_s1374" style="position:absolute;flip:x;visibility:visible;mso-wrap-style:square" from="5264,5836" to="52064,5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iuoxgAAAN0AAAAPAAAAZHJzL2Rvd25yZXYueG1sRI/dasJA&#10;FITvhb7DcgreSN1oVNo0GylSRe9s2gc4zZ780OzZkN2a9O27guDlMDPfMOl2NK24UO8aywoW8wgE&#10;cWF1w5WCr8/90zMI55E1tpZJwR852GYPkxQTbQf+oEvuKxEg7BJUUHvfJVK6oiaDbm474uCVtjfo&#10;g+wrqXscAty0chlFG2mw4bBQY0e7moqf/Nco+D7Hcn86bMrZ6r2IqzLeDUOXKzV9HN9eQXga/T18&#10;ax+1gvhlvYDrm/AEZPYPAAD//wMAUEsBAi0AFAAGAAgAAAAhANvh9svuAAAAhQEAABMAAAAAAAAA&#10;AAAAAAAAAAAAAFtDb250ZW50X1R5cGVzXS54bWxQSwECLQAUAAYACAAAACEAWvQsW78AAAAVAQAA&#10;CwAAAAAAAAAAAAAAAAAfAQAAX3JlbHMvLnJlbHNQSwECLQAUAAYACAAAACEAne4rqMYAAADdAAAA&#10;DwAAAAAAAAAAAAAAAAAHAgAAZHJzL2Rvd25yZXYueG1sUEsFBgAAAAADAAMAtwAAAPoCAAAAAA==&#10;" strokeweight="2.25pt">
                    <v:stroke startarrow="open"/>
                  </v:line>
                  <v:oval id="Ovál 35" o:spid="_x0000_s1375" style="position:absolute;left:52072;top:-1863;width:13823;height:15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nxOwwAAAN0AAAAPAAAAZHJzL2Rvd25yZXYueG1sRI9Ba8JA&#10;FITvBf/D8gRvddOItqauIoKoR03p+TX7mqTNvg27q4n/3hUEj8PMfMMsVr1pxIWcry0reBsnIIgL&#10;q2suFXzl29cPED4ga2wsk4IreVgtBy8LzLTt+EiXUyhFhLDPUEEVQptJ6YuKDPqxbYmj92udwRCl&#10;K6V22EW4aWSaJDNpsOa4UGFLm4qK/9PZKNiZnyseXHqYfud/YW5lOfHvnVKjYb/+BBGoD8/wo73X&#10;CibzaQr3N/EJyOUNAAD//wMAUEsBAi0AFAAGAAgAAAAhANvh9svuAAAAhQEAABMAAAAAAAAAAAAA&#10;AAAAAAAAAFtDb250ZW50X1R5cGVzXS54bWxQSwECLQAUAAYACAAAACEAWvQsW78AAAAVAQAACwAA&#10;AAAAAAAAAAAAAAAfAQAAX3JlbHMvLnJlbHNQSwECLQAUAAYACAAAACEADAp8TsMAAADdAAAADwAA&#10;AAAAAAAAAAAAAAAHAgAAZHJzL2Rvd25yZXYueG1sUEsFBgAAAAADAAMAtwAAAPcCAAAAAA==&#10;" filled="f" strokeweight="3pt"/>
                  <v:line id="Přímá spojnice 55" o:spid="_x0000_s1376" style="position:absolute;flip:x;visibility:visible;mso-wrap-style:square" from="11551,5979" to="17752,20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BExgAAAN0AAAAPAAAAZHJzL2Rvd25yZXYueG1sRI/dagIx&#10;FITvC75DOII3pWZrqujWKEW0tHd16wMcN2d/6OZk2UR3fXtTKPRymJlvmPV2sI24UudrxxqepwkI&#10;4tyZmksNp+/D0xKED8gGG8ek4UYetpvRwxpT43o+0jULpYgQ9ilqqEJoUyl9XpFFP3UtcfQK11kM&#10;UXalNB32EW4bOUuShbRYc1yosKVdRflPdrEazl9KHj7fF8Xjyz5XZaF2fd9mWk/Gw9sriEBD+A//&#10;tT+MBrWaK/h9E5+A3NwBAAD//wMAUEsBAi0AFAAGAAgAAAAhANvh9svuAAAAhQEAABMAAAAAAAAA&#10;AAAAAAAAAAAAAFtDb250ZW50X1R5cGVzXS54bWxQSwECLQAUAAYACAAAACEAWvQsW78AAAAVAQAA&#10;CwAAAAAAAAAAAAAAAAAfAQAAX3JlbHMvLnJlbHNQSwECLQAUAAYACAAAACEAAnAQRMYAAADdAAAA&#10;DwAAAAAAAAAAAAAAAAAHAgAAZHJzL2Rvd25yZXYueG1sUEsFBgAAAAADAAMAtwAAAPoCAAAAAA==&#10;" strokeweight="2.25pt">
                    <v:stroke startarrow="open"/>
                  </v:line>
                  <v:shape id="_x0000_s1377" type="#_x0000_t202" style="position:absolute;left:6856;top:-13146;width:12192;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lhxQAAAN0AAAAPAAAAZHJzL2Rvd25yZXYueG1sRI9bi8Iw&#10;FITfF/wP4Qj7tiZeVrQaRZSFfXLxCr4dmmNbbE5Kk7X135uFBR+HmfmGmS9bW4o71b5wrKHfUyCI&#10;U2cKzjQcD18fExA+IBssHZOGB3lYLjpvc0yMa3hH933IRISwT1BDHkKVSOnTnCz6nquIo3d1tcUQ&#10;ZZ1JU2MT4baUA6XG0mLBcSHHitY5pbf9r9Vw2l4v55H6yTb2s2pcqyTbqdT6vduuZiACteEV/m9/&#10;Gw3D6XgAf2/iE5CLJwAAAP//AwBQSwECLQAUAAYACAAAACEA2+H2y+4AAACFAQAAEwAAAAAAAAAA&#10;AAAAAAAAAAAAW0NvbnRlbnRfVHlwZXNdLnhtbFBLAQItABQABgAIAAAAIQBa9CxbvwAAABUBAAAL&#10;AAAAAAAAAAAAAAAAAB8BAABfcmVscy8ucmVsc1BLAQItABQABgAIAAAAIQAjJmlhxQAAAN0AAAAP&#10;AAAAAAAAAAAAAAAAAAcCAABkcnMvZG93bnJldi54bWxQSwUGAAAAAAMAAwC3AAAA+QIAAAAA&#10;" filled="f" stroked="f">
                    <v:textbox>
                      <w:txbxContent>
                        <w:p w14:paraId="713EC86A" w14:textId="77777777"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Dodavatelé</w:t>
                          </w:r>
                        </w:p>
                      </w:txbxContent>
                    </v:textbox>
                  </v:shape>
                </v:group>
                <v:group id="Skupina 4096" o:spid="_x0000_s1378" style="position:absolute;left:14009;top:1054;width:38063;height:36952" coordorigin="10546,1054" coordsize="38062,3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Y4xwAAAN0AAAAPAAAAZHJzL2Rvd25yZXYueG1sRI9Ba8JA&#10;FITvgv9heUJvdRNrpY1ZRUSlBylUC8XbI/tMQrJvQ3ZN4r/vFgoeh5n5hknXg6lFR60rLSuIpxEI&#10;4szqknMF3+f98xsI55E11pZJwZ0crFfjUYqJtj1/UXfyuQgQdgkqKLxvEildVpBBN7UNcfCutjXo&#10;g2xzqVvsA9zUchZFC2mw5LBQYEPbgrLqdDMKDj32m5d41x2r6/Z+Ob9+/hxjUuppMmyWIDwN/hH+&#10;b39oBfPofQF/b8ITkKtfAAAA//8DAFBLAQItABQABgAIAAAAIQDb4fbL7gAAAIUBAAATAAAAAAAA&#10;AAAAAAAAAAAAAABbQ29udGVudF9UeXBlc10ueG1sUEsBAi0AFAAGAAgAAAAhAFr0LFu/AAAAFQEA&#10;AAsAAAAAAAAAAAAAAAAAHwEAAF9yZWxzLy5yZWxzUEsBAi0AFAAGAAgAAAAhAOyLRjjHAAAA3QAA&#10;AA8AAAAAAAAAAAAAAAAABwIAAGRycy9kb3ducmV2LnhtbFBLBQYAAAAAAwADALcAAAD7AgAAAAA=&#10;">
                  <v:line id="Přímá spojnice 43" o:spid="_x0000_s1379" style="position:absolute;flip:x y;visibility:visible;mso-wrap-style:square" from="39405,4416" to="46148,1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B1xgAAAN0AAAAPAAAAZHJzL2Rvd25yZXYueG1sRI9bawIx&#10;FITfhf6HcATfNGvx0m6N4gVB9KHUFvt62JzuLiYnyyau6783gtDHYWa+YWaL1hrRUO1LxwqGgwQE&#10;ceZ0ybmCn+9t/w2ED8gajWNScCMPi/lLZ4apdlf+ouYYchEh7FNUUIRQpVL6rCCLfuAq4uj9udpi&#10;iLLOpa7xGuHWyNckmUiLJceFAitaF5SdjxerwI5/m+A+96fzxl5Oy83BTFc3o1Sv2y4/QARqw3/4&#10;2d5pBaPkfQqPN/EJyPkdAAD//wMAUEsBAi0AFAAGAAgAAAAhANvh9svuAAAAhQEAABMAAAAAAAAA&#10;AAAAAAAAAAAAAFtDb250ZW50X1R5cGVzXS54bWxQSwECLQAUAAYACAAAACEAWvQsW78AAAAVAQAA&#10;CwAAAAAAAAAAAAAAAAAfAQAAX3JlbHMvLnJlbHNQSwECLQAUAAYACAAAACEAF5xwdcYAAADdAAAA&#10;DwAAAAAAAAAAAAAAAAAHAgAAZHJzL2Rvd25yZXYueG1sUEsFBgAAAAADAAMAtwAAAPoCAAAAAA==&#10;" strokeweight="2.25pt">
                    <v:stroke startarrow="open"/>
                  </v:line>
                  <v:line id="Přímá spojnice 52" o:spid="_x0000_s1380" style="position:absolute;flip:x y;visibility:visible;mso-wrap-style:square" from="25890,4416" to="32633,1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HwwAAAN0AAAAPAAAAZHJzL2Rvd25yZXYueG1sRE/LisIw&#10;FN0P+A/hCu7GVHFGrUbxwcAwLsQHur0017aY3JQm1vr3k8XALA/nPV+21oiGal86VjDoJyCIM6dL&#10;zhWcT1/vExA+IGs0jknBizwsF523OabaPflAzTHkIoawT1FBEUKVSumzgiz6vquII3dztcUQYZ1L&#10;XeMzhlsjh0nyKS2WHBsKrGhTUHY/PqwC+3Ftgtv/XO5b+7istjszXr+MUr1uu5qBCNSGf/Gf+1sr&#10;GCXTODe+iU9ALn4BAAD//wMAUEsBAi0AFAAGAAgAAAAhANvh9svuAAAAhQEAABMAAAAAAAAAAAAA&#10;AAAAAAAAAFtDb250ZW50X1R5cGVzXS54bWxQSwECLQAUAAYACAAAACEAWvQsW78AAAAVAQAACwAA&#10;AAAAAAAAAAAAAAAfAQAAX3JlbHMvLnJlbHNQSwECLQAUAAYACAAAACEAZgPkB8MAAADdAAAADwAA&#10;AAAAAAAAAAAAAAAHAgAAZHJzL2Rvd25yZXYueG1sUEsFBgAAAAADAAMAtwAAAPcCAAAAAA==&#10;" strokeweight="2.25pt">
                    <v:stroke startarrow="open"/>
                  </v:line>
                  <v:shape id="_x0000_s1381" type="#_x0000_t202" style="position:absolute;left:19486;top:1054;width:13144;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ecvxQAAAN0AAAAPAAAAZHJzL2Rvd25yZXYueG1sRI9Pa8JA&#10;FMTvgt9heQVvupvWio2uIi2Cpxb/Fbw9ss8kNPs2ZFcTv71bEDwOM/MbZr7sbCWu1PjSsYZkpEAQ&#10;Z86UnGs47NfDKQgfkA1WjknDjTwsF/3eHFPjWt7SdRdyESHsU9RQhFCnUvqsIIt+5Gri6J1dYzFE&#10;2eTSNNhGuK3kq1ITabHkuFBgTZ8FZX+7i9Vw/D6ffsfqJ/+y73XrOiXZfkitBy/dagYiUBee4Ud7&#10;YzSMk+QN/t/EJyAXdwAAAP//AwBQSwECLQAUAAYACAAAACEA2+H2y+4AAACFAQAAEwAAAAAAAAAA&#10;AAAAAAAAAAAAW0NvbnRlbnRfVHlwZXNdLnhtbFBLAQItABQABgAIAAAAIQBa9CxbvwAAABUBAAAL&#10;AAAAAAAAAAAAAAAAAB8BAABfcmVscy8ucmVsc1BLAQItABQABgAIAAAAIQA4fecvxQAAAN0AAAAP&#10;AAAAAAAAAAAAAAAAAAcCAABkcnMvZG93bnJldi54bWxQSwUGAAAAAAMAAwC3AAAA+QIAAAAA&#10;" filled="f" stroked="f">
                    <v:textbox>
                      <w:txbxContent>
                        <w:p w14:paraId="38C96997" w14:textId="0617B96B"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Projektant, projekt</w:t>
                          </w:r>
                        </w:p>
                      </w:txbxContent>
                    </v:textbox>
                  </v:shape>
                  <v:shape id="_x0000_s1382" type="#_x0000_t202" style="position:absolute;left:25716;top:34043;width:13364;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NrAxQAAAN0AAAAPAAAAZHJzL2Rvd25yZXYueG1sRI9Pa8JA&#10;FMTvgt9heUJvZjdFxUZXEYvQk8U/LfT2yD6TYPZtyK4mfvtuoeBxmJnfMMt1b2txp9ZXjjWkiQJB&#10;nDtTcaHhfNqN5yB8QDZYOyYND/KwXg0HS8yM6/hA92MoRISwz1BDGUKTSenzkiz6xDXE0bu41mKI&#10;si2kabGLcFvLV6Vm0mLFcaHEhrYl5dfjzWr42l9+vifqs3i306ZzvZJs36TWL6N+swARqA/P8H/7&#10;w2iYpOkU/t7EJyBXvwAAAP//AwBQSwECLQAUAAYACAAAACEA2+H2y+4AAACFAQAAEwAAAAAAAAAA&#10;AAAAAAAAAAAAW0NvbnRlbnRfVHlwZXNdLnhtbFBLAQItABQABgAIAAAAIQBa9CxbvwAAABUBAAAL&#10;AAAAAAAAAAAAAAAAAB8BAABfcmVscy8ucmVsc1BLAQItABQABgAIAAAAIQDY2NrAxQAAAN0AAAAP&#10;AAAAAAAAAAAAAAAAAAcCAABkcnMvZG93bnJldi54bWxQSwUGAAAAAAMAAwC3AAAA+QIAAAAA&#10;" filled="f" stroked="f">
                    <v:textbox>
                      <w:txbxContent>
                        <w:p w14:paraId="49D9168E" w14:textId="26DB36BB"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Veřejná zakázka</w:t>
                          </w:r>
                        </w:p>
                      </w:txbxContent>
                    </v:textbox>
                  </v:shape>
                  <v:line id="Přímá spojnice 54" o:spid="_x0000_s1383" style="position:absolute;flip:x;visibility:visible;mso-wrap-style:square" from="31680,20178" to="37910,3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K0xQAAAN0AAAAPAAAAZHJzL2Rvd25yZXYueG1sRI/dasJA&#10;FITvC77DcgRvim7SSJDoKkWq6F2b+gDH7MkPZs+G7Nakb98VhF4OM/MNs9mNphV36l1jWUG8iEAQ&#10;F1Y3XCm4fB/mKxDOI2tsLZOCX3Kw205eNphpO/AX3XNfiQBhl6GC2vsuk9IVNRl0C9sRB6+0vUEf&#10;ZF9J3eMQ4KaVb1GUSoMNh4UaO9rXVNzyH6Pg+pnIw/mYlq/LjyKpymQ/DF2u1Gw6vq9BeBr9f/jZ&#10;PmkFyzhO4fEmPAG5/QMAAP//AwBQSwECLQAUAAYACAAAACEA2+H2y+4AAACFAQAAEwAAAAAAAAAA&#10;AAAAAAAAAAAAW0NvbnRlbnRfVHlwZXNdLnhtbFBLAQItABQABgAIAAAAIQBa9CxbvwAAABUBAAAL&#10;AAAAAAAAAAAAAAAAAB8BAABfcmVscy8ucmVsc1BLAQItABQABgAIAAAAIQCofFK0xQAAAN0AAAAP&#10;AAAAAAAAAAAAAAAAAAcCAABkcnMvZG93bnJldi54bWxQSwUGAAAAAAMAAwC3AAAA+QIAAAAA&#10;" strokeweight="2.25pt">
                    <v:stroke startarrow="open"/>
                  </v:line>
                  <v:line id="Přímá spojnice 52" o:spid="_x0000_s1384" style="position:absolute;flip:x y;visibility:visible;mso-wrap-style:square" from="10546,4416" to="17289,1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yyxgAAAN0AAAAPAAAAZHJzL2Rvd25yZXYueG1sRI9Pa8JA&#10;FMTvBb/D8gRvdZNiq0RX0Uqh2IP4B70+ss8kuPs2ZNcYv31XKPQ4zMxvmNmis0a01PjKsYJ0mIAg&#10;zp2uuFBwPHy9TkD4gKzROCYFD/KwmPdeZphpd+cdtftQiAhhn6GCMoQ6k9LnJVn0Q1cTR+/iGosh&#10;yqaQusF7hFsj35LkQ1qsOC6UWNNnSfl1f7MK7Pu5DW67OV3X9nZarn/MePUwSg363XIKIlAX/sN/&#10;7W+tYJSmY3i+iU9Azn8BAAD//wMAUEsBAi0AFAAGAAgAAAAhANvh9svuAAAAhQEAABMAAAAAAAAA&#10;AAAAAAAAAAAAAFtDb250ZW50X1R5cGVzXS54bWxQSwECLQAUAAYACAAAACEAWvQsW78AAAAVAQAA&#10;CwAAAAAAAAAAAAAAAAAfAQAAX3JlbHMvLnJlbHNQSwECLQAUAAYACAAAACEADK58ssYAAADdAAAA&#10;DwAAAAAAAAAAAAAAAAAHAgAAZHJzL2Rvd25yZXYueG1sUEsFBgAAAAADAAMAtwAAAPoCAAAAAA==&#10;" strokeweight="2.25pt">
                    <v:stroke startarrow="open"/>
                  </v:line>
                  <v:line id="Přímá spojnice 55" o:spid="_x0000_s1385" style="position:absolute;flip:x;visibility:visible;mso-wrap-style:square" from="19897,20105" to="26060,3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2NdwgAAAN0AAAAPAAAAZHJzL2Rvd25yZXYueG1sRE/LisIw&#10;FN0L8w/hCm5E01oR6RhlEB2cnVY/4E5z+8DmpjTRdv7eLAZcHs57sxtMI57UudqygngegSDOra65&#10;VHC7HmdrEM4ja2wsk4I/crDbfow2mGrb84WemS9FCGGXooLK+zaV0uUVGXRz2xIHrrCdQR9gV0rd&#10;YR/CTSMXUbSSBmsODRW2tK8ov2cPo+D3nMjjz/eqmC4PeVIWyb7v20ypyXj4+gThafBv8b/7pBUs&#10;4zjMDW/CE5DbFwAAAP//AwBQSwECLQAUAAYACAAAACEA2+H2y+4AAACFAQAAEwAAAAAAAAAAAAAA&#10;AAAAAAAAW0NvbnRlbnRfVHlwZXNdLnhtbFBLAQItABQABgAIAAAAIQBa9CxbvwAAABUBAAALAAAA&#10;AAAAAAAAAAAAAB8BAABfcmVscy8ucmVsc1BLAQItABQABgAIAAAAIQC2r2NdwgAAAN0AAAAPAAAA&#10;AAAAAAAAAAAAAAcCAABkcnMvZG93bnJldi54bWxQSwUGAAAAAAMAAwC3AAAA9gIAAAAA&#10;" strokeweight="2.25pt">
                    <v:stroke startarrow="open"/>
                  </v:line>
                  <v:shape id="_x0000_s1386" type="#_x0000_t202" style="position:absolute;left:34167;top:1054;width:14442;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dDFxQAAAN0AAAAPAAAAZHJzL2Rvd25yZXYueG1sRI9PawIx&#10;FMTvgt8hvII3TbZoqatZkYrgyVJbBW+Pzds/dPOybKK7fvumUOhxmJnfMOvNYBtxp87XjjUkMwWC&#10;OHem5lLD1+d++grCB2SDjWPS8CAPm2w8WmNqXM8fdD+FUkQI+xQ1VCG0qZQ+r8iin7mWOHqF6yyG&#10;KLtSmg77CLeNfFbqRVqsOS5U2NJbRfn36WY1nI/F9TJX7+XOLtreDUqyXUqtJ0/DdgUi0BD+w3/t&#10;g9EwT5Il/L6JT0BmPwAAAP//AwBQSwECLQAUAAYACAAAACEA2+H2y+4AAACFAQAAEwAAAAAAAAAA&#10;AAAAAAAAAAAAW0NvbnRlbnRfVHlwZXNdLnhtbFBLAQItABQABgAIAAAAIQBa9CxbvwAAABUBAAAL&#10;AAAAAAAAAAAAAAAAAB8BAABfcmVscy8ucmVsc1BLAQItABQABgAIAAAAIQBZldDFxQAAAN0AAAAP&#10;AAAAAAAAAAAAAAAAAAcCAABkcnMvZG93bnJldi54bWxQSwUGAAAAAAMAAwC3AAAA+QIAAAAA&#10;" filled="f" stroked="f">
                    <v:textbox>
                      <w:txbxContent>
                        <w:p w14:paraId="33417CF3" w14:textId="67610096"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Systém řízení</w:t>
                          </w:r>
                        </w:p>
                      </w:txbxContent>
                    </v:textbox>
                  </v:shape>
                  <v:shape id="_x0000_s1387" type="#_x0000_t202" style="position:absolute;left:15405;top:33757;width:11360;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7PlwgAAAN0AAAAPAAAAZHJzL2Rvd25yZXYueG1sRE/Pa8Iw&#10;FL4L+x/CG3izScWNrWssogieNlY3wdujebZlzUtpoq3//XIY7Pjx/c6LyXbiRoNvHWtIEwWCuHKm&#10;5VrD13G/eAHhA7LBzjFpuJOHYv0wyzEzbuRPupWhFjGEfYYamhD6TEpfNWTRJ64njtzFDRZDhEMt&#10;zYBjDLedXCr1LC22HBsa7GnbUPVTXq2G7/fL+bRSH/XOPvWjm5Rk+yq1nj9OmzcQgabwL/5zH4yG&#10;VbqM++Ob+ATk+hcAAP//AwBQSwECLQAUAAYACAAAACEA2+H2y+4AAACFAQAAEwAAAAAAAAAAAAAA&#10;AAAAAAAAW0NvbnRlbnRfVHlwZXNdLnhtbFBLAQItABQABgAIAAAAIQBa9CxbvwAAABUBAAALAAAA&#10;AAAAAAAAAAAAAB8BAABfcmVscy8ucmVsc1BLAQItABQABgAIAAAAIQAGw7PlwgAAAN0AAAAPAAAA&#10;AAAAAAAAAAAAAAcCAABkcnMvZG93bnJldi54bWxQSwUGAAAAAAMAAwC3AAAA9gIAAAAA&#10;" filled="f" stroked="f">
                    <v:textbox>
                      <w:txbxContent>
                        <w:p w14:paraId="6695459D" w14:textId="77777777" w:rsidR="00511D9B" w:rsidRPr="006538F8" w:rsidRDefault="00511D9B" w:rsidP="002903CF">
                          <w:pPr>
                            <w:spacing w:line="192" w:lineRule="auto"/>
                            <w:ind w:left="-57" w:right="-57"/>
                            <w:jc w:val="center"/>
                            <w:rPr>
                              <w:rFonts w:asciiTheme="minorHAnsi" w:hAnsiTheme="minorHAnsi"/>
                              <w:b/>
                              <w:sz w:val="20"/>
                            </w:rPr>
                          </w:pPr>
                          <w:r>
                            <w:rPr>
                              <w:rFonts w:asciiTheme="minorHAnsi" w:hAnsiTheme="minorHAnsi"/>
                              <w:b/>
                              <w:sz w:val="20"/>
                            </w:rPr>
                            <w:t>Vnější prostředí</w:t>
                          </w:r>
                        </w:p>
                      </w:txbxContent>
                    </v:textbox>
                  </v:shape>
                </v:group>
              </v:group>
            </w:pict>
          </mc:Fallback>
        </mc:AlternateContent>
      </w:r>
      <w:r w:rsidRPr="00783EDD">
        <w:rPr>
          <w:rFonts w:asciiTheme="minorHAnsi" w:hAnsiTheme="minorHAnsi" w:cstheme="minorHAnsi"/>
          <w:i/>
          <w:iCs/>
        </w:rPr>
        <w:t>Obr.</w:t>
      </w:r>
      <w:r>
        <w:rPr>
          <w:rFonts w:asciiTheme="minorHAnsi" w:hAnsiTheme="minorHAnsi" w:cstheme="minorHAnsi"/>
          <w:i/>
          <w:iCs/>
        </w:rPr>
        <w:t xml:space="preserve"> </w:t>
      </w:r>
      <w:r w:rsidR="004F0E1D">
        <w:rPr>
          <w:rFonts w:asciiTheme="minorHAnsi" w:hAnsiTheme="minorHAnsi" w:cstheme="minorHAnsi"/>
          <w:i/>
          <w:iCs/>
        </w:rPr>
        <w:t>2</w:t>
      </w:r>
      <w:r w:rsidR="00257449">
        <w:rPr>
          <w:rFonts w:asciiTheme="minorHAnsi" w:hAnsiTheme="minorHAnsi" w:cstheme="minorHAnsi"/>
          <w:i/>
          <w:iCs/>
        </w:rPr>
        <w:t>6</w:t>
      </w:r>
      <w:r w:rsidR="00C92DFC">
        <w:rPr>
          <w:rFonts w:asciiTheme="minorHAnsi" w:hAnsiTheme="minorHAnsi" w:cstheme="minorHAnsi"/>
          <w:i/>
          <w:iCs/>
        </w:rPr>
        <w:t xml:space="preserve"> </w:t>
      </w:r>
      <w:r w:rsidRPr="00783EDD">
        <w:rPr>
          <w:rFonts w:asciiTheme="minorHAnsi" w:hAnsiTheme="minorHAnsi" w:cstheme="minorHAnsi"/>
          <w:i/>
          <w:iCs/>
        </w:rPr>
        <w:t xml:space="preserve">Příklad pro hlavní příčiny </w:t>
      </w:r>
      <w:r w:rsidR="006956DA">
        <w:rPr>
          <w:rFonts w:asciiTheme="minorHAnsi" w:hAnsiTheme="minorHAnsi" w:cstheme="minorHAnsi"/>
          <w:i/>
          <w:iCs/>
        </w:rPr>
        <w:t>překračování výdajů stavebního projektu</w:t>
      </w:r>
    </w:p>
    <w:p w14:paraId="586203C7" w14:textId="77777777" w:rsidR="002903CF" w:rsidRDefault="002903CF" w:rsidP="002903CF">
      <w:pPr>
        <w:pStyle w:val="Odstavecseseznamem"/>
        <w:ind w:left="0"/>
        <w:jc w:val="both"/>
        <w:rPr>
          <w:rFonts w:asciiTheme="minorHAnsi" w:hAnsiTheme="minorHAnsi" w:cs="Calibri"/>
        </w:rPr>
      </w:pPr>
    </w:p>
    <w:p w14:paraId="4337D4BE" w14:textId="77777777" w:rsidR="002903CF" w:rsidRDefault="002903CF" w:rsidP="002903CF">
      <w:pPr>
        <w:pStyle w:val="Odstavecseseznamem"/>
        <w:ind w:left="0"/>
        <w:jc w:val="both"/>
        <w:rPr>
          <w:rFonts w:asciiTheme="minorHAnsi" w:hAnsiTheme="minorHAnsi" w:cs="Calibri"/>
        </w:rPr>
      </w:pPr>
    </w:p>
    <w:p w14:paraId="4FE942A2" w14:textId="77777777" w:rsidR="002903CF" w:rsidRDefault="002903CF" w:rsidP="002903CF">
      <w:pPr>
        <w:pStyle w:val="Odstavecseseznamem"/>
        <w:ind w:left="0"/>
        <w:jc w:val="both"/>
        <w:rPr>
          <w:rFonts w:asciiTheme="minorHAnsi" w:hAnsiTheme="minorHAnsi" w:cs="Calibri"/>
        </w:rPr>
      </w:pPr>
    </w:p>
    <w:p w14:paraId="42AE10E0" w14:textId="77777777" w:rsidR="002903CF" w:rsidRDefault="002903CF" w:rsidP="002903CF">
      <w:pPr>
        <w:pStyle w:val="Odstavecseseznamem"/>
        <w:ind w:left="0"/>
        <w:jc w:val="both"/>
        <w:rPr>
          <w:rFonts w:asciiTheme="minorHAnsi" w:hAnsiTheme="minorHAnsi" w:cs="Calibri"/>
        </w:rPr>
      </w:pPr>
    </w:p>
    <w:p w14:paraId="2ACA3AEA" w14:textId="77777777" w:rsidR="002903CF" w:rsidRDefault="002903CF" w:rsidP="002903CF">
      <w:pPr>
        <w:pStyle w:val="Odstavecseseznamem"/>
        <w:ind w:left="0"/>
        <w:jc w:val="both"/>
        <w:rPr>
          <w:rFonts w:asciiTheme="minorHAnsi" w:hAnsiTheme="minorHAnsi" w:cs="Calibri"/>
        </w:rPr>
      </w:pPr>
    </w:p>
    <w:p w14:paraId="2B42FF2C" w14:textId="77777777" w:rsidR="002903CF" w:rsidRDefault="002903CF" w:rsidP="002903CF">
      <w:pPr>
        <w:pStyle w:val="Odstavecseseznamem"/>
        <w:ind w:left="0"/>
        <w:jc w:val="both"/>
        <w:rPr>
          <w:rFonts w:asciiTheme="minorHAnsi" w:hAnsiTheme="minorHAnsi" w:cs="Calibri"/>
        </w:rPr>
      </w:pPr>
    </w:p>
    <w:p w14:paraId="4443FE7F" w14:textId="77777777" w:rsidR="002903CF" w:rsidRDefault="002903CF" w:rsidP="002903CF">
      <w:pPr>
        <w:pStyle w:val="Odstavecseseznamem"/>
        <w:ind w:left="0"/>
        <w:jc w:val="both"/>
        <w:rPr>
          <w:rFonts w:asciiTheme="minorHAnsi" w:hAnsiTheme="minorHAnsi" w:cs="Calibri"/>
        </w:rPr>
      </w:pPr>
    </w:p>
    <w:p w14:paraId="7F871ADC" w14:textId="77777777" w:rsidR="002903CF" w:rsidRDefault="002903CF" w:rsidP="002903CF">
      <w:pPr>
        <w:pStyle w:val="Odstavecseseznamem"/>
        <w:ind w:left="0"/>
        <w:jc w:val="both"/>
        <w:rPr>
          <w:rFonts w:asciiTheme="minorHAnsi" w:hAnsiTheme="minorHAnsi" w:cs="Calibri"/>
        </w:rPr>
      </w:pPr>
    </w:p>
    <w:p w14:paraId="7D1E6A1F" w14:textId="77777777" w:rsidR="002903CF" w:rsidRDefault="002903CF" w:rsidP="002903CF">
      <w:pPr>
        <w:pStyle w:val="Odstavecseseznamem"/>
        <w:spacing w:line="240" w:lineRule="auto"/>
        <w:ind w:left="0"/>
        <w:jc w:val="both"/>
        <w:rPr>
          <w:rFonts w:asciiTheme="minorHAnsi" w:hAnsiTheme="minorHAnsi" w:cs="Calibri"/>
        </w:rPr>
      </w:pPr>
    </w:p>
    <w:p w14:paraId="12DA1F60" w14:textId="77777777" w:rsidR="002903CF" w:rsidRDefault="002903CF" w:rsidP="002903CF">
      <w:pPr>
        <w:jc w:val="both"/>
        <w:rPr>
          <w:rFonts w:asciiTheme="minorHAnsi" w:hAnsiTheme="minorHAnsi" w:cstheme="minorHAnsi"/>
          <w:i/>
          <w:iCs/>
        </w:rPr>
      </w:pPr>
    </w:p>
    <w:p w14:paraId="54F25FF2" w14:textId="77777777" w:rsidR="002903CF" w:rsidRPr="00783EDD" w:rsidRDefault="002903CF" w:rsidP="002903CF">
      <w:pPr>
        <w:jc w:val="both"/>
        <w:rPr>
          <w:rFonts w:asciiTheme="minorHAnsi" w:hAnsiTheme="minorHAnsi" w:cstheme="minorHAnsi"/>
          <w:i/>
          <w:iCs/>
        </w:rPr>
      </w:pPr>
      <w:r w:rsidRPr="00783EDD">
        <w:rPr>
          <w:rFonts w:asciiTheme="minorHAnsi" w:hAnsiTheme="minorHAnsi" w:cstheme="minorHAnsi"/>
          <w:i/>
          <w:iCs/>
        </w:rPr>
        <w:t>Zdroj: autoři</w:t>
      </w:r>
    </w:p>
    <w:p w14:paraId="715797FC" w14:textId="7A9615F5" w:rsidR="002903CF" w:rsidRDefault="002903CF" w:rsidP="002903CF">
      <w:pPr>
        <w:jc w:val="both"/>
        <w:rPr>
          <w:rFonts w:ascii="Calibri" w:hAnsi="Calibri"/>
        </w:rPr>
      </w:pPr>
      <w:r>
        <w:rPr>
          <w:rFonts w:ascii="Calibri" w:hAnsi="Calibri"/>
        </w:rPr>
        <w:t>Na druhém obrázku jsou k  příčinám identifikovány a vizualizovány podpříčiny.</w:t>
      </w:r>
    </w:p>
    <w:p w14:paraId="4D7BDD85" w14:textId="64694E91" w:rsidR="003B3D24" w:rsidRPr="00783EDD" w:rsidRDefault="003B3D24" w:rsidP="003B3D24">
      <w:pPr>
        <w:jc w:val="both"/>
        <w:rPr>
          <w:rFonts w:asciiTheme="minorHAnsi" w:hAnsiTheme="minorHAnsi" w:cstheme="minorHAnsi"/>
          <w:i/>
          <w:iCs/>
        </w:rPr>
      </w:pPr>
      <w:r w:rsidRPr="00783EDD">
        <w:rPr>
          <w:rFonts w:asciiTheme="minorHAnsi" w:hAnsiTheme="minorHAnsi" w:cstheme="minorHAnsi"/>
          <w:i/>
          <w:iCs/>
          <w:noProof/>
        </w:rPr>
        <mc:AlternateContent>
          <mc:Choice Requires="wpg">
            <w:drawing>
              <wp:anchor distT="0" distB="0" distL="114300" distR="114300" simplePos="0" relativeHeight="251578880" behindDoc="0" locked="0" layoutInCell="1" allowOverlap="1" wp14:anchorId="2EDDBB40" wp14:editId="38BB1511">
                <wp:simplePos x="0" y="0"/>
                <wp:positionH relativeFrom="column">
                  <wp:posOffset>-190500</wp:posOffset>
                </wp:positionH>
                <wp:positionV relativeFrom="paragraph">
                  <wp:posOffset>198120</wp:posOffset>
                </wp:positionV>
                <wp:extent cx="6430723" cy="3457126"/>
                <wp:effectExtent l="0" t="0" r="8255" b="0"/>
                <wp:wrapNone/>
                <wp:docPr id="23923" name="Skupina 23923"/>
                <wp:cNvGraphicFramePr/>
                <a:graphic xmlns:a="http://schemas.openxmlformats.org/drawingml/2006/main">
                  <a:graphicData uri="http://schemas.microsoft.com/office/word/2010/wordprocessingGroup">
                    <wpg:wgp>
                      <wpg:cNvGrpSpPr/>
                      <wpg:grpSpPr>
                        <a:xfrm>
                          <a:off x="0" y="0"/>
                          <a:ext cx="6430723" cy="3457126"/>
                          <a:chOff x="186363" y="100018"/>
                          <a:chExt cx="6431474" cy="3551862"/>
                        </a:xfrm>
                      </wpg:grpSpPr>
                      <wps:wsp>
                        <wps:cNvPr id="23924" name="Textové pole 2"/>
                        <wps:cNvSpPr txBox="1">
                          <a:spLocks noChangeArrowheads="1"/>
                        </wps:cNvSpPr>
                        <wps:spPr bwMode="auto">
                          <a:xfrm>
                            <a:off x="5235548" y="1412840"/>
                            <a:ext cx="1382289" cy="1072547"/>
                          </a:xfrm>
                          <a:prstGeom prst="rect">
                            <a:avLst/>
                          </a:prstGeom>
                          <a:noFill/>
                          <a:ln w="9525">
                            <a:noFill/>
                            <a:miter lim="800000"/>
                            <a:headEnd/>
                            <a:tailEnd/>
                          </a:ln>
                        </wps:spPr>
                        <wps:txbx>
                          <w:txbxContent>
                            <w:p w14:paraId="19B3E43D" w14:textId="77777777" w:rsidR="00511D9B" w:rsidRPr="006538F8" w:rsidRDefault="00511D9B" w:rsidP="003B3D24">
                              <w:pPr>
                                <w:spacing w:line="202" w:lineRule="auto"/>
                                <w:ind w:left="-57" w:right="-57"/>
                                <w:jc w:val="center"/>
                                <w:rPr>
                                  <w:rFonts w:asciiTheme="minorHAnsi" w:hAnsiTheme="minorHAnsi"/>
                                  <w:b/>
                                  <w:sz w:val="28"/>
                                </w:rPr>
                              </w:pPr>
                              <w:r>
                                <w:rPr>
                                  <w:rFonts w:asciiTheme="minorHAnsi" w:hAnsiTheme="minorHAnsi"/>
                                  <w:b/>
                                  <w:sz w:val="28"/>
                                </w:rPr>
                                <w:t>Proč jsou překračovány výdaje stavebních projektů</w:t>
                              </w:r>
                            </w:p>
                          </w:txbxContent>
                        </wps:txbx>
                        <wps:bodyPr rot="0" vert="horz" wrap="square" lIns="91440" tIns="45720" rIns="91440" bIns="45720" anchor="t" anchorCtr="0">
                          <a:noAutofit/>
                        </wps:bodyPr>
                      </wps:wsp>
                      <wps:wsp>
                        <wps:cNvPr id="23991" name="Textové pole 2"/>
                        <wps:cNvSpPr txBox="1">
                          <a:spLocks noChangeArrowheads="1"/>
                        </wps:cNvSpPr>
                        <wps:spPr bwMode="auto">
                          <a:xfrm>
                            <a:off x="186363" y="3361549"/>
                            <a:ext cx="1362444" cy="243358"/>
                          </a:xfrm>
                          <a:prstGeom prst="rect">
                            <a:avLst/>
                          </a:prstGeom>
                          <a:noFill/>
                          <a:ln w="9525">
                            <a:noFill/>
                            <a:miter lim="800000"/>
                            <a:headEnd/>
                            <a:tailEnd/>
                          </a:ln>
                        </wps:spPr>
                        <wps:txbx>
                          <w:txbxContent>
                            <w:p w14:paraId="2547A63E"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Kontrola stavby</w:t>
                              </w:r>
                            </w:p>
                          </w:txbxContent>
                        </wps:txbx>
                        <wps:bodyPr rot="0" vert="horz" wrap="square" lIns="91440" tIns="45720" rIns="91440" bIns="45720" anchor="t" anchorCtr="0">
                          <a:noAutofit/>
                        </wps:bodyPr>
                      </wps:wsp>
                      <wpg:grpSp>
                        <wpg:cNvPr id="67584" name="Skupina 67584"/>
                        <wpg:cNvGrpSpPr/>
                        <wpg:grpSpPr>
                          <a:xfrm>
                            <a:off x="422610" y="100018"/>
                            <a:ext cx="6166103" cy="3304373"/>
                            <a:chOff x="422610" y="-1320073"/>
                            <a:chExt cx="6166103" cy="3304373"/>
                          </a:xfrm>
                        </wpg:grpSpPr>
                        <wps:wsp>
                          <wps:cNvPr id="67585" name="Přímá spojnice 36"/>
                          <wps:cNvCnPr>
                            <a:cxnSpLocks noChangeShapeType="1"/>
                          </wps:cNvCnPr>
                          <wps:spPr bwMode="auto">
                            <a:xfrm flipH="1">
                              <a:off x="526473" y="583622"/>
                              <a:ext cx="4679950" cy="0"/>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86" name="Ovál 35"/>
                          <wps:cNvSpPr>
                            <a:spLocks noChangeArrowheads="1"/>
                          </wps:cNvSpPr>
                          <wps:spPr bwMode="auto">
                            <a:xfrm>
                              <a:off x="5206424" y="-28763"/>
                              <a:ext cx="1382289" cy="1134191"/>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87" name="Přímá spojnice 55"/>
                          <wps:cNvCnPr>
                            <a:cxnSpLocks noChangeShapeType="1"/>
                          </wps:cNvCnPr>
                          <wps:spPr bwMode="auto">
                            <a:xfrm flipH="1">
                              <a:off x="690428" y="573611"/>
                              <a:ext cx="620091" cy="1410689"/>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88" name="Textové pole 2"/>
                          <wps:cNvSpPr txBox="1">
                            <a:spLocks noChangeArrowheads="1"/>
                          </wps:cNvSpPr>
                          <wps:spPr bwMode="auto">
                            <a:xfrm>
                              <a:off x="422610" y="-1320073"/>
                              <a:ext cx="1219200" cy="341595"/>
                            </a:xfrm>
                            <a:prstGeom prst="rect">
                              <a:avLst/>
                            </a:prstGeom>
                            <a:noFill/>
                            <a:ln w="9525">
                              <a:noFill/>
                              <a:miter lim="800000"/>
                              <a:headEnd/>
                              <a:tailEnd/>
                            </a:ln>
                          </wps:spPr>
                          <wps:txbx>
                            <w:txbxContent>
                              <w:p w14:paraId="3EA0DEBA" w14:textId="649100FC"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Dodavatel stavby</w:t>
                                </w:r>
                              </w:p>
                            </w:txbxContent>
                          </wps:txbx>
                          <wps:bodyPr rot="0" vert="horz" wrap="square" lIns="91440" tIns="45720" rIns="91440" bIns="45720" anchor="t" anchorCtr="0">
                            <a:noAutofit/>
                          </wps:bodyPr>
                        </wps:wsp>
                      </wpg:grpSp>
                      <wpg:grpSp>
                        <wpg:cNvPr id="67589" name="Skupina 67589"/>
                        <wpg:cNvGrpSpPr/>
                        <wpg:grpSpPr>
                          <a:xfrm>
                            <a:off x="950344" y="105428"/>
                            <a:ext cx="4010909" cy="3546452"/>
                            <a:chOff x="603980" y="105428"/>
                            <a:chExt cx="4010909" cy="3546452"/>
                          </a:xfrm>
                        </wpg:grpSpPr>
                        <wps:wsp>
                          <wps:cNvPr id="67590" name="Přímá spojnice 43"/>
                          <wps:cNvCnPr>
                            <a:cxnSpLocks noChangeShapeType="1"/>
                          </wps:cNvCnPr>
                          <wps:spPr bwMode="auto">
                            <a:xfrm flipH="1" flipV="1">
                              <a:off x="3940571" y="441614"/>
                              <a:ext cx="674318" cy="1550947"/>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91" name="Přímá spojnice 52"/>
                          <wps:cNvCnPr>
                            <a:cxnSpLocks noChangeShapeType="1"/>
                          </wps:cNvCnPr>
                          <wps:spPr bwMode="auto">
                            <a:xfrm flipH="1" flipV="1">
                              <a:off x="2150864" y="466940"/>
                              <a:ext cx="674318" cy="1550947"/>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92" name="Textové pole 2"/>
                          <wps:cNvSpPr txBox="1">
                            <a:spLocks noChangeArrowheads="1"/>
                          </wps:cNvSpPr>
                          <wps:spPr bwMode="auto">
                            <a:xfrm>
                              <a:off x="1606072" y="105428"/>
                              <a:ext cx="1219110" cy="250522"/>
                            </a:xfrm>
                            <a:prstGeom prst="rect">
                              <a:avLst/>
                            </a:prstGeom>
                            <a:noFill/>
                            <a:ln w="9525">
                              <a:noFill/>
                              <a:miter lim="800000"/>
                              <a:headEnd/>
                              <a:tailEnd/>
                            </a:ln>
                          </wps:spPr>
                          <wps:txbx>
                            <w:txbxContent>
                              <w:p w14:paraId="16897135" w14:textId="41FC5ADF"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Projektant, projekt</w:t>
                                </w:r>
                              </w:p>
                            </w:txbxContent>
                          </wps:txbx>
                          <wps:bodyPr rot="0" vert="horz" wrap="square" lIns="91440" tIns="45720" rIns="91440" bIns="45720" anchor="t" anchorCtr="0">
                            <a:noAutofit/>
                          </wps:bodyPr>
                        </wps:wsp>
                        <wps:wsp>
                          <wps:cNvPr id="67593" name="Textové pole 2"/>
                          <wps:cNvSpPr txBox="1">
                            <a:spLocks noChangeArrowheads="1"/>
                          </wps:cNvSpPr>
                          <wps:spPr bwMode="auto">
                            <a:xfrm>
                              <a:off x="2717876" y="3375763"/>
                              <a:ext cx="1336399" cy="247488"/>
                            </a:xfrm>
                            <a:prstGeom prst="rect">
                              <a:avLst/>
                            </a:prstGeom>
                            <a:noFill/>
                            <a:ln w="9525">
                              <a:noFill/>
                              <a:miter lim="800000"/>
                              <a:headEnd/>
                              <a:tailEnd/>
                            </a:ln>
                          </wps:spPr>
                          <wps:txbx>
                            <w:txbxContent>
                              <w:p w14:paraId="7D20300A"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Veřejná zakázka</w:t>
                                </w:r>
                              </w:p>
                            </w:txbxContent>
                          </wps:txbx>
                          <wps:bodyPr rot="0" vert="horz" wrap="square" lIns="91440" tIns="45720" rIns="91440" bIns="45720" anchor="t" anchorCtr="0">
                            <a:noAutofit/>
                          </wps:bodyPr>
                        </wps:wsp>
                        <wps:wsp>
                          <wps:cNvPr id="67594" name="Přímá spojnice 54"/>
                          <wps:cNvCnPr>
                            <a:cxnSpLocks noChangeShapeType="1"/>
                          </wps:cNvCnPr>
                          <wps:spPr bwMode="auto">
                            <a:xfrm flipH="1">
                              <a:off x="3168069" y="2017866"/>
                              <a:ext cx="622981" cy="1403762"/>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95" name="Přímá spojnice 52"/>
                          <wps:cNvCnPr>
                            <a:cxnSpLocks noChangeShapeType="1"/>
                          </wps:cNvCnPr>
                          <wps:spPr bwMode="auto">
                            <a:xfrm flipH="1" flipV="1">
                              <a:off x="603980" y="466940"/>
                              <a:ext cx="674318" cy="1550926"/>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96" name="Přímá spojnice 55"/>
                          <wps:cNvCnPr>
                            <a:cxnSpLocks noChangeShapeType="1"/>
                          </wps:cNvCnPr>
                          <wps:spPr bwMode="auto">
                            <a:xfrm flipH="1">
                              <a:off x="1989716" y="2010563"/>
                              <a:ext cx="616307" cy="1392546"/>
                            </a:xfrm>
                            <a:prstGeom prst="line">
                              <a:avLst/>
                            </a:prstGeom>
                            <a:noFill/>
                            <a:ln w="285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7599" name="Textové pole 2"/>
                          <wps:cNvSpPr txBox="1">
                            <a:spLocks noChangeArrowheads="1"/>
                          </wps:cNvSpPr>
                          <wps:spPr bwMode="auto">
                            <a:xfrm>
                              <a:off x="3144634" y="105428"/>
                              <a:ext cx="1444186" cy="341536"/>
                            </a:xfrm>
                            <a:prstGeom prst="rect">
                              <a:avLst/>
                            </a:prstGeom>
                            <a:noFill/>
                            <a:ln w="9525">
                              <a:noFill/>
                              <a:miter lim="800000"/>
                              <a:headEnd/>
                              <a:tailEnd/>
                            </a:ln>
                          </wps:spPr>
                          <wps:txbx>
                            <w:txbxContent>
                              <w:p w14:paraId="67799C7E"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Systém řízení</w:t>
                                </w:r>
                              </w:p>
                            </w:txbxContent>
                          </wps:txbx>
                          <wps:bodyPr rot="0" vert="horz" wrap="square" lIns="91440" tIns="45720" rIns="91440" bIns="45720" anchor="t" anchorCtr="0">
                            <a:noAutofit/>
                          </wps:bodyPr>
                        </wps:wsp>
                        <wps:wsp>
                          <wps:cNvPr id="67600" name="Textové pole 2"/>
                          <wps:cNvSpPr txBox="1">
                            <a:spLocks noChangeArrowheads="1"/>
                          </wps:cNvSpPr>
                          <wps:spPr bwMode="auto">
                            <a:xfrm>
                              <a:off x="1540514" y="3375762"/>
                              <a:ext cx="1135957" cy="276118"/>
                            </a:xfrm>
                            <a:prstGeom prst="rect">
                              <a:avLst/>
                            </a:prstGeom>
                            <a:noFill/>
                            <a:ln w="9525">
                              <a:noFill/>
                              <a:miter lim="800000"/>
                              <a:headEnd/>
                              <a:tailEnd/>
                            </a:ln>
                          </wps:spPr>
                          <wps:txbx>
                            <w:txbxContent>
                              <w:p w14:paraId="164B6141"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Vnější prostředí</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EDDBB40" id="Skupina 23923" o:spid="_x0000_s1388" style="position:absolute;left:0;text-align:left;margin-left:-15pt;margin-top:15.6pt;width:506.35pt;height:272.2pt;z-index:251578880;mso-position-horizontal-relative:text;mso-position-vertical-relative:text;mso-width-relative:margin;mso-height-relative:margin" coordorigin="1863,1000" coordsize="64314,3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ze2AYAAB8uAAAOAAAAZHJzL2Uyb0RvYy54bWzsWttu20YQfS/QfyD47oh7JSlEDlLZTguk&#10;jQGnfadJSmJDcVmStuQU/ZA+5rEP/Qqj/9WZ3SV1s3JxG4eBlQdH4mW1O3NmzpnZffpsOc+d67Sq&#10;M1WMXPLEc520iFWSFdOR+/Prs6PAdeomKpIoV0U6cm/S2n12/O03TxflMKVqpvIkrRwYpKiHi3Lk&#10;zpqmHA4GdTxL51H9RJVpATcnqppHDXytpoOkihYw+jwfUM+Tg4WqkrJScVrXcPXE3HSP9fiTSRo3&#10;ryaTOm2cfOTC3Br9t9J/L/Hv4PhpNJxWUTnLYjuN6B6zmEdZAT/aDXUSNZFzVWU7Q82zuFK1mjRP&#10;YjUfqMkki1O9BlgN8bZW86JSV6Vey3S4mJadmcC0W3a697DxT9fnlZMlI5eykDLXKaI5uOnizVWZ&#10;FZFjLoKRFuV0CM++qMqL8ryyF6bmG657Oanm+D+syFlq89505k2XjRPDRcmZ5+NvxHCPceETKo0D&#10;4hl4Cd8jgWQSnoAHiOd5JGjvn67GINzndgwh4AWKzwzaKQxwpt3EFiXAql5Zrv5vlruYRWWqHVKj&#10;NdYsBzMylnsNq1XXt385pcpTR88NJwFPo+GcZvmdwnVqsNTlSxW/qZ1CjWdRMU2fV5VazNIogWkS&#10;vaq1V9EH9bDGQS4XP6oEvBRdNUoPtGV9QZkQHCIPzcgJDbgFeusJwgJKg9BYkYBTBPc3rBgNy6pu&#10;XqRq7uCHkVtBJOmfiq5f1o0xePsI+r1QZ1mew/VomBfOYuSGggr9wtqdedZAsOfZfOQG4F3PzgpX&#10;fFok+uUmynLzGTyaF+DYdtVm/c3ycqnhSqSeMd69VMkNWKVSJrohG8GHmareus4CInvk1r9dRVXq&#10;OvkPBVg2JBzs4TT6C6CQwpdq/c7l+p2oiGGokdu4jvk4bnT6MIt+Dh6YZNoeq5nYSQPuzJwfAoAh&#10;6RMA18KYMUkED00cr/AnKec2iilnTOhA74L4a4CfnvHK6X2Fn02GXQa3OUv6IuhyVpvtzUWIw0/M&#10;9pxSSSCKtrJ2621JJNxu8z7zOPOZwUOX99dGOCIMiH31xGmb+feM0oHmC2R+NJhoA+/8nz9v/57f&#10;vnPqUv1aAK87TNMbYgTS/7g4rzBpxMviYivva1p5fVNCSt9I++YVfH9/2ncmeVZ+3zKKpV9BJQcL&#10;okNEwCTVNBQNW4dw6YehAIchEesk3BlxJ/LyrEDGi4Yfm/hpIHyT+WuVZwnSAr5eV9PLcV451xEq&#10;sS77ww9vPAaKxzKBZQWn0XaJkBohn4/ceZpAJk9BbeKnu0lDLxV4Cn8YF62V2O+hF54GpwE/4lSe&#10;HnHv5OTo+dmYH8kz4osTdjIen5A/cK2ED2dZkqQFTr5VhYR/nHaw+tTouU4Xdiw42BxdKxeYYvu/&#10;nvQW5xl+g5Xq6w9HK4hu2aL71fXtu9xhAi1uEY2CRrt2C87/n4zxJKeQpQClRzTwQRhqd7cw3lQx&#10;hHECLIhmarXgDpjTHIKl/jQ8swCUqI6ADaDeF896BTsqp3+A3b/YM/3PGnrtsXsj+4Gp07kqq2w6&#10;A41oVHih+qHiMNz8Ntx2yUSsh95DkokMPU5NMSF8UHM6xlZkIoGtUX0il0Cx4UmoK94bhAdGMe0O&#10;IILHyCiApP5Uynt1Z8cxlIQAcNtv4ESEOgz3U0wPC2Udj32vVFbq3ZQfuoXTVSJrVQt0LTZ7VJg3&#10;7RI/qUcFCphhDYp5yxOY4jbUBYd+HChG63nBJRdWRndVi/RYGLR1z2qEeHZqa5Z9Y3TwWa0apRT6&#10;6LM3C8BcIczZ2HCXZrgWWVbhfXaa0dXLLy0T2+qFhdyD5qD2DOdEEr7pGelzBp1BwzhCeOGHmlcH&#10;xnnMjLNqje2i3YT0F0U7JcILpMlDXErA/gHth4r9Q1tDd+9EYG6nbW7vw04EkZ6E7YW9JEtAXhFs&#10;HWL1QIUnTKuq48edCr5/8srX8dp3efVg0gK6jv2R99QnPvSNNPwY88UdLSTYbgytyKOwsRh8dRsR&#10;IJRAtx7wl8AGM6Q/INJ90lZoHflQZI+d0VbQEhl4ElCGSc4DSEq7791WmdChD4Ouh+Ixf2tTeycN&#10;HhTto1a079lz6oGiXSuLP0rQmlMg+zn/APZHDfZuC+qO8u1L9cRJGIQ+McICD26J7b0p2POGw062&#10;RwEnq6B/hDR9APlhnxX2Eq0GWXU1UYL2RzYzOCEl2f7WKNzmcMTHtkahKW4OOuwHdw+rtu5k3qM/&#10;PSZ9iRsc/YEfnBfzBDR9US6bqm3r/AohDPZhbHalPmxJfn1VW9dm7zP+VtsT+vCJPoWsScyemMZj&#10;zuvf9VOrc93H/wIAAP//AwBQSwMEFAAGAAgAAAAhAOfSn9riAAAACgEAAA8AAABkcnMvZG93bnJl&#10;di54bWxMj0trwzAQhO+F/gexhd4S+YHzcC2HENqeQqFJoeS2sTe2ibUylmI7/77qqT0OM8x8k20m&#10;3YqBetsYVhDOAxDEhSkbrhR8Hd9mKxDWIZfYGiYFd7KwyR8fMkxLM/InDQdXCV/CNkUFtXNdKqUt&#10;atJo56Yj9t7F9Bqdl30lyx5HX65bGQXBQmps2C/U2NGupuJ6uGkF7yOO2zh8HfbXy+5+OiYf3/uQ&#10;lHp+mrYvIBxN7i8Mv/geHXLPdDY3Lq1oFcziwH9xCuIwAuED61W0BHFWkCyTBcg8k/8v5D8AAAD/&#10;/wMAUEsBAi0AFAAGAAgAAAAhALaDOJL+AAAA4QEAABMAAAAAAAAAAAAAAAAAAAAAAFtDb250ZW50&#10;X1R5cGVzXS54bWxQSwECLQAUAAYACAAAACEAOP0h/9YAAACUAQAACwAAAAAAAAAAAAAAAAAvAQAA&#10;X3JlbHMvLnJlbHNQSwECLQAUAAYACAAAACEAfXbc3tgGAAAfLgAADgAAAAAAAAAAAAAAAAAuAgAA&#10;ZHJzL2Uyb0RvYy54bWxQSwECLQAUAAYACAAAACEA59Kf2uIAAAAKAQAADwAAAAAAAAAAAAAAAAAy&#10;CQAAZHJzL2Rvd25yZXYueG1sUEsFBgAAAAAEAAQA8wAAAEEKAAAAAA==&#10;">
                <v:shape id="_x0000_s1389" type="#_x0000_t202" style="position:absolute;left:52355;top:14128;width:13823;height:10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8i8xgAAAN4AAAAPAAAAZHJzL2Rvd25yZXYueG1sRI9Ba8JA&#10;FITvQv/D8gq96W5TlZpmI2Ip9FRRq9DbI/tMQrNvQ3Zr4r93C4LHYWa+YbLlYBtxps7XjjU8TxQI&#10;4sKZmksN3/uP8SsIH5ANNo5Jw4U8LPOHUYapcT1v6bwLpYgQ9ilqqEJoUyl9UZFFP3EtcfROrrMY&#10;ouxKaTrsI9w2MlFqLi3WHBcqbGldUfG7+7MaDl+nn+NUbcp3O2t7NyjJdiG1fnocVm8gAg3hHr61&#10;P42G5GWRTOH/TrwCMr8CAAD//wMAUEsBAi0AFAAGAAgAAAAhANvh9svuAAAAhQEAABMAAAAAAAAA&#10;AAAAAAAAAAAAAFtDb250ZW50X1R5cGVzXS54bWxQSwECLQAUAAYACAAAACEAWvQsW78AAAAVAQAA&#10;CwAAAAAAAAAAAAAAAAAfAQAAX3JlbHMvLnJlbHNQSwECLQAUAAYACAAAACEA6ePIvMYAAADeAAAA&#10;DwAAAAAAAAAAAAAAAAAHAgAAZHJzL2Rvd25yZXYueG1sUEsFBgAAAAADAAMAtwAAAPoCAAAAAA==&#10;" filled="f" stroked="f">
                  <v:textbox>
                    <w:txbxContent>
                      <w:p w14:paraId="19B3E43D" w14:textId="77777777" w:rsidR="00511D9B" w:rsidRPr="006538F8" w:rsidRDefault="00511D9B" w:rsidP="003B3D24">
                        <w:pPr>
                          <w:spacing w:line="202" w:lineRule="auto"/>
                          <w:ind w:left="-57" w:right="-57"/>
                          <w:jc w:val="center"/>
                          <w:rPr>
                            <w:rFonts w:asciiTheme="minorHAnsi" w:hAnsiTheme="minorHAnsi"/>
                            <w:b/>
                            <w:sz w:val="28"/>
                          </w:rPr>
                        </w:pPr>
                        <w:r>
                          <w:rPr>
                            <w:rFonts w:asciiTheme="minorHAnsi" w:hAnsiTheme="minorHAnsi"/>
                            <w:b/>
                            <w:sz w:val="28"/>
                          </w:rPr>
                          <w:t>Proč jsou překračovány výdaje stavebních projektů</w:t>
                        </w:r>
                      </w:p>
                    </w:txbxContent>
                  </v:textbox>
                </v:shape>
                <v:shape id="_x0000_s1390" type="#_x0000_t202" style="position:absolute;left:1863;top:33615;width:13625;height:2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LDxQAAAN4AAAAPAAAAZHJzL2Rvd25yZXYueG1sRI9Ba8JA&#10;FITvQv/D8gq91V2tFhNdpSgFT4pWBW+P7DMJzb4N2a2J/94VCh6HmfmGmS06W4krNb50rGHQVyCI&#10;M2dKzjUcfr7fJyB8QDZYOSYNN/KwmL/0Zpga1/KOrvuQiwhhn6KGIoQ6ldJnBVn0fVcTR+/iGosh&#10;yiaXpsE2wm0lh0p9Soslx4UCa1oWlP3u/6yG4+ZyPo3UNl/Zcd26Tkm2idT67bX7moII1IVn+L+9&#10;NhqGH0kygMedeAXk/A4AAP//AwBQSwECLQAUAAYACAAAACEA2+H2y+4AAACFAQAAEwAAAAAAAAAA&#10;AAAAAAAAAAAAW0NvbnRlbnRfVHlwZXNdLnhtbFBLAQItABQABgAIAAAAIQBa9CxbvwAAABUBAAAL&#10;AAAAAAAAAAAAAAAAAB8BAABfcmVscy8ucmVsc1BLAQItABQABgAIAAAAIQBaK6LDxQAAAN4AAAAP&#10;AAAAAAAAAAAAAAAAAAcCAABkcnMvZG93bnJldi54bWxQSwUGAAAAAAMAAwC3AAAA+QIAAAAA&#10;" filled="f" stroked="f">
                  <v:textbox>
                    <w:txbxContent>
                      <w:p w14:paraId="2547A63E"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Kontrola stavby</w:t>
                        </w:r>
                      </w:p>
                    </w:txbxContent>
                  </v:textbox>
                </v:shape>
                <v:group id="Skupina 67584" o:spid="_x0000_s1391" style="position:absolute;left:4226;top:1000;width:61661;height:33043" coordorigin="4226,-13200" coordsize="61661,3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xwAAAN4AAAAPAAAAZHJzL2Rvd25yZXYueG1sRI9Pa8JA&#10;FMTvgt9heYK3uomtf4iuIlKlBylUBfH2yD6TYPZtyK5J/PbdQsHjMDO/YZbrzpSiodoVlhXEowgE&#10;cWp1wZmC82n3NgfhPLLG0jIpeJKD9arfW2Kibcs/1Bx9JgKEXYIKcu+rREqX5mTQjWxFHLybrQ36&#10;IOtM6hrbADelHEfRVBosOCzkWNE2p/R+fBgF+xbbzXv82Rzut+3zepp8Xw4xKTUcdJsFCE+df4X/&#10;219awXQ2mX/A351wBeTqFwAA//8DAFBLAQItABQABgAIAAAAIQDb4fbL7gAAAIUBAAATAAAAAAAA&#10;AAAAAAAAAAAAAABbQ29udGVudF9UeXBlc10ueG1sUEsBAi0AFAAGAAgAAAAhAFr0LFu/AAAAFQEA&#10;AAsAAAAAAAAAAAAAAAAAHwEAAF9yZWxzLy5yZWxzUEsBAi0AFAAGAAgAAAAhAPD8C+THAAAA3gAA&#10;AA8AAAAAAAAAAAAAAAAABwIAAGRycy9kb3ducmV2LnhtbFBLBQYAAAAAAwADALcAAAD7AgAAAAA=&#10;">
                  <v:line id="Přímá spojnice 36" o:spid="_x0000_s1392" style="position:absolute;flip:x;visibility:visible;mso-wrap-style:square" from="5264,5836" to="52064,5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ExwAAAN4AAAAPAAAAZHJzL2Rvd25yZXYueG1sRI/dasJA&#10;FITvC32H5RR6I7ppU6NEVylSpb2r0Qc4Zk9+MHs2ZLcmvr0rCL0cZuYbZrkeTCMu1LnasoK3SQSC&#10;OLe65lLB8bAdz0E4j6yxsUwKruRgvXp+WmKqbc97umS+FAHCLkUFlfdtKqXLKzLoJrYlDl5hO4M+&#10;yK6UusM+wE0j36MokQZrDgsVtrSpKD9nf0bB6TeW259dUow+vvK4LOJN37eZUq8vw+cChKfB/4cf&#10;7W+tIJlN51O43wlXQK5uAAAA//8DAFBLAQItABQABgAIAAAAIQDb4fbL7gAAAIUBAAATAAAAAAAA&#10;AAAAAAAAAAAAAABbQ29udGVudF9UeXBlc10ueG1sUEsBAi0AFAAGAAgAAAAhAFr0LFu/AAAAFQEA&#10;AAsAAAAAAAAAAAAAAAAAHwEAAF9yZWxzLy5yZWxzUEsBAi0AFAAGAAgAAAAhAD/kMYTHAAAA3gAA&#10;AA8AAAAAAAAAAAAAAAAABwIAAGRycy9kb3ducmV2LnhtbFBLBQYAAAAAAwADALcAAAD7AgAAAAA=&#10;" strokeweight="2.25pt">
                    <v:stroke startarrow="open"/>
                  </v:line>
                  <v:oval id="Ovál 35" o:spid="_x0000_s1393" style="position:absolute;left:52064;top:-287;width:13823;height:1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ovJxQAAAN4AAAAPAAAAZHJzL2Rvd25yZXYueG1sRI9Ba8JA&#10;FITvQv/D8gq96UaL0UY3QYSiHtXS82v2NYlm34bdrYn/vlsQehxm5htmXQymFTdyvrGsYDpJQBCX&#10;VjdcKfg4v4+XIHxA1thaJgV38lDkT6M1Ztr2fKTbKVQiQthnqKAOocuk9GVNBv3EdsTR+7bOYIjS&#10;VVI77CPctHKWJKk02HBcqLGjbU3l9fRjFOzM1x0PbnaYf54v4c3K6tUveqVenofNCkSgIfyHH+29&#10;VpAu5ssU/u7EKyDzXwAAAP//AwBQSwECLQAUAAYACAAAACEA2+H2y+4AAACFAQAAEwAAAAAAAAAA&#10;AAAAAAAAAAAAW0NvbnRlbnRfVHlwZXNdLnhtbFBLAQItABQABgAIAAAAIQBa9CxbvwAAABUBAAAL&#10;AAAAAAAAAAAAAAAAAB8BAABfcmVscy8ucmVsc1BLAQItABQABgAIAAAAIQA3rovJxQAAAN4AAAAP&#10;AAAAAAAAAAAAAAAAAAcCAABkcnMvZG93bnJldi54bWxQSwUGAAAAAAMAAwC3AAAA+QIAAAAA&#10;" filled="f" strokeweight="3pt"/>
                  <v:line id="Přímá spojnice 55" o:spid="_x0000_s1394" style="position:absolute;flip:x;visibility:visible;mso-wrap-style:square" from="6904,5736" to="13105,19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gpoxwAAAN4AAAAPAAAAZHJzL2Rvd25yZXYueG1sRI/dasJA&#10;FITvC32H5RR6I7ppU6NEVylSpb2r0Qc4Zk9+MHs2ZLcmvr0rCL0cZuYbZrkeTCMu1LnasoK3SQSC&#10;OLe65lLB8bAdz0E4j6yxsUwKruRgvXp+WmKqbc97umS+FAHCLkUFlfdtKqXLKzLoJrYlDl5hO4M+&#10;yK6UusM+wE0j36MokQZrDgsVtrSpKD9nf0bB6TeW259dUow+vvK4LOJN37eZUq8vw+cChKfB/4cf&#10;7W+tIJlN5zO43wlXQK5uAAAA//8DAFBLAQItABQABgAIAAAAIQDb4fbL7gAAAIUBAAATAAAAAAAA&#10;AAAAAAAAAAAAAABbQ29udGVudF9UeXBlc10ueG1sUEsBAi0AFAAGAAgAAAAhAFr0LFu/AAAAFQEA&#10;AAsAAAAAAAAAAAAAAAAAHwEAAF9yZWxzLy5yZWxzUEsBAi0AFAAGAAgAAAAhAKB6CmjHAAAA3gAA&#10;AA8AAAAAAAAAAAAAAAAABwIAAGRycy9kb3ducmV2LnhtbFBLBQYAAAAAAwADALcAAAD7AgAAAAA=&#10;" strokeweight="2.25pt">
                    <v:stroke startarrow="open"/>
                  </v:line>
                  <v:shape id="_x0000_s1395" type="#_x0000_t202" style="position:absolute;left:4226;top:-13200;width:12192;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CX3wwAAAN4AAAAPAAAAZHJzL2Rvd25yZXYueG1sRE/Pa8Iw&#10;FL4P/B/CG3jTZGOtrhqLbAieJrop7PZonm2xeSlNbLv/fjkMdvz4fq/z0Taip87XjjU8zRUI4sKZ&#10;mksNX5+72RKED8gGG8ek4Yc85JvJwxoz4wY+Un8KpYgh7DPUUIXQZlL6oiKLfu5a4shdXWcxRNiV&#10;0nQ4xHDbyGelUmmx5thQYUtvFRW3091qOH9cvy8v6lC+26Qd3Kgk21ep9fRx3K5ABBrDv/jPvTca&#10;0kWyjHvjnXgF5OYXAAD//wMAUEsBAi0AFAAGAAgAAAAhANvh9svuAAAAhQEAABMAAAAAAAAAAAAA&#10;AAAAAAAAAFtDb250ZW50X1R5cGVzXS54bWxQSwECLQAUAAYACAAAACEAWvQsW78AAAAVAQAACwAA&#10;AAAAAAAAAAAAAAAfAQAAX3JlbHMvLnJlbHNQSwECLQAUAAYACAAAACEAh3Al98MAAADeAAAADwAA&#10;AAAAAAAAAAAAAAAHAgAAZHJzL2Rvd25yZXYueG1sUEsFBgAAAAADAAMAtwAAAPcCAAAAAA==&#10;" filled="f" stroked="f">
                    <v:textbox>
                      <w:txbxContent>
                        <w:p w14:paraId="3EA0DEBA" w14:textId="649100FC"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Dodavatel stavby</w:t>
                          </w:r>
                        </w:p>
                      </w:txbxContent>
                    </v:textbox>
                  </v:shape>
                </v:group>
                <v:group id="Skupina 67589" o:spid="_x0000_s1396" style="position:absolute;left:9503;top:1054;width:40109;height:35464" coordorigin="6039,1054" coordsize="40109,3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R6xwAAAN4AAAAPAAAAZHJzL2Rvd25yZXYueG1sRI9Pa8JA&#10;FMTvgt9heUJvuonFf9FVRGzpQQpVQbw9ss8kmH0bstskfvtuQfA4zMxvmNWmM6VoqHaFZQXxKAJB&#10;nFpdcKbgfPoYzkE4j6yxtEwKHuRgs+73Vpho2/IPNUefiQBhl6CC3PsqkdKlORl0I1sRB+9ma4M+&#10;yDqTusY2wE0px1E0lQYLDgs5VrTLKb0ff42Czxbb7Xu8bw732+5xPU2+L4eYlHobdNslCE+df4Wf&#10;7S+tYDqbzBfwfydcAbn+AwAA//8DAFBLAQItABQABgAIAAAAIQDb4fbL7gAAAIUBAAATAAAAAAAA&#10;AAAAAAAAAAAAAABbQ29udGVudF9UeXBlc10ueG1sUEsBAi0AFAAGAAgAAAAhAFr0LFu/AAAAFQEA&#10;AAsAAAAAAAAAAAAAAAAAHwEAAF9yZWxzLy5yZWxzUEsBAi0AFAAGAAgAAAAhAB79pHrHAAAA3gAA&#10;AA8AAAAAAAAAAAAAAAAABwIAAGRycy9kb3ducmV2LnhtbFBLBQYAAAAAAwADALcAAAD7AgAAAAA=&#10;">
                  <v:line id="Přímá spojnice 43" o:spid="_x0000_s1397" style="position:absolute;flip:x y;visibility:visible;mso-wrap-style:square" from="39405,4416" to="46148,1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i/NxQAAAN4AAAAPAAAAZHJzL2Rvd25yZXYueG1sRI/LisIw&#10;FIb3A75DOII7TRW8TDWKF4RBF6IzONtDc2yLyUlpYq1vP1kIs/z5b3yLVWuNaKj2pWMFw0ECgjhz&#10;uuRcwc/3vj8D4QOyRuOYFLzIw2rZ+Vhgqt2Tz9RcQi7iCPsUFRQhVKmUPivIoh+4ijh6N1dbDFHW&#10;udQ1PuO4NXKUJBNpseT4UGBF24Ky++VhFdjxbxPc6XC97+zjut4dzXTzMkr1uu16DiJQG/7D7/aX&#10;VjCZjj8jQMSJKCCXfwAAAP//AwBQSwECLQAUAAYACAAAACEA2+H2y+4AAACFAQAAEwAAAAAAAAAA&#10;AAAAAAAAAAAAW0NvbnRlbnRfVHlwZXNdLnhtbFBLAQItABQABgAIAAAAIQBa9CxbvwAAABUBAAAL&#10;AAAAAAAAAAAAAAAAAB8BAABfcmVscy8ucmVsc1BLAQItABQABgAIAAAAIQAM2i/NxQAAAN4AAAAP&#10;AAAAAAAAAAAAAAAAAAcCAABkcnMvZG93bnJldi54bWxQSwUGAAAAAAMAAwC3AAAA+QIAAAAA&#10;" strokeweight="2.25pt">
                    <v:stroke startarrow="open"/>
                  </v:line>
                  <v:line id="Přímá spojnice 52" o:spid="_x0000_s1398" style="position:absolute;flip:x y;visibility:visible;mso-wrap-style:square" from="21508,4669" to="28251,2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pWxwAAAN4AAAAPAAAAZHJzL2Rvd25yZXYueG1sRI9Pa8JA&#10;FMTvhX6H5RV6qxsF/6WuopVC0YMYRa+P7GsS3H0bsmuM394VCj0OM/MbZrborBEtNb5yrKDfS0AQ&#10;505XXCg4Hr4/JiB8QNZoHJOCO3lYzF9fZphqd+M9tVkoRISwT1FBGUKdSunzkiz6nquJo/frGosh&#10;yqaQusFbhFsjB0kykhYrjgsl1vRVUn7JrlaBHZ7b4Hab02Vtr6flemvGq7tR6v2tW36CCNSF//Bf&#10;+0crGI2H0z4878QrIOcPAAAA//8DAFBLAQItABQABgAIAAAAIQDb4fbL7gAAAIUBAAATAAAAAAAA&#10;AAAAAAAAAAAAAABbQ29udGVudF9UeXBlc10ueG1sUEsBAi0AFAAGAAgAAAAhAFr0LFu/AAAAFQEA&#10;AAsAAAAAAAAAAAAAAAAAHwEAAF9yZWxzLy5yZWxzUEsBAi0AFAAGAAgAAAAhAGOWilbHAAAA3gAA&#10;AA8AAAAAAAAAAAAAAAAABwIAAGRycy9kb3ducmV2LnhtbFBLBQYAAAAAAwADALcAAAD7AgAAAAA=&#10;" strokeweight="2.25pt">
                    <v:stroke startarrow="open"/>
                  </v:line>
                  <v:shape id="_x0000_s1399" type="#_x0000_t202" style="position:absolute;left:16060;top:1054;width:12191;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TAxgAAAN4AAAAPAAAAZHJzL2Rvd25yZXYueG1sRI9Pa8JA&#10;FMTvgt9heYXe6m6l/ktdRZSCJ8W0Ct4e2WcSmn0bslsTv70rFDwOM/MbZr7sbCWu1PjSsYb3gQJB&#10;nDlTcq7h5/vrbQrCB2SDlWPScCMPy0W/N8fEuJYPdE1DLiKEfYIaihDqREqfFWTRD1xNHL2LayyG&#10;KJtcmgbbCLeVHCo1lhZLjgsF1rQuKPtN/6yG4+5yPn2ofb6xo7p1nZJsZ1Lr15du9QkiUBee4f/2&#10;1mgYT0azITzuxCsgF3cAAAD//wMAUEsBAi0AFAAGAAgAAAAhANvh9svuAAAAhQEAABMAAAAAAAAA&#10;AAAAAAAAAAAAAFtDb250ZW50X1R5cGVzXS54bWxQSwECLQAUAAYACAAAACEAWvQsW78AAAAVAQAA&#10;CwAAAAAAAAAAAAAAAAAfAQAAX3JlbHMvLnJlbHNQSwECLQAUAAYACAAAACEAY0GEwMYAAADeAAAA&#10;DwAAAAAAAAAAAAAAAAAHAgAAZHJzL2Rvd25yZXYueG1sUEsFBgAAAAADAAMAtwAAAPoCAAAAAA==&#10;" filled="f" stroked="f">
                    <v:textbox>
                      <w:txbxContent>
                        <w:p w14:paraId="16897135" w14:textId="41FC5ADF"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Projektant, projekt</w:t>
                          </w:r>
                        </w:p>
                      </w:txbxContent>
                    </v:textbox>
                  </v:shape>
                  <v:shape id="_x0000_s1400" type="#_x0000_t202" style="position:absolute;left:27178;top:33757;width:13364;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FbxgAAAN4AAAAPAAAAZHJzL2Rvd25yZXYueG1sRI9BawIx&#10;FITvgv8hPMGbJmq1dTWKKAVPLWoreHtsnruLm5dlE9313zeFQo/DzHzDLNetLcWDal841jAaKhDE&#10;qTMFZxq+Tu+DNxA+IBssHZOGJ3lYr7qdJSbGNXygxzFkIkLYJ6ghD6FKpPRpThb90FXE0bu62mKI&#10;ss6kqbGJcFvKsVIzabHguJBjRduc0tvxbjV8f1wv5xf1me3stGpcqyTbudS632s3CxCB2vAf/mvv&#10;jYbZ63Q+gd878QrI1Q8AAAD//wMAUEsBAi0AFAAGAAgAAAAhANvh9svuAAAAhQEAABMAAAAAAAAA&#10;AAAAAAAAAAAAAFtDb250ZW50X1R5cGVzXS54bWxQSwECLQAUAAYACAAAACEAWvQsW78AAAAVAQAA&#10;CwAAAAAAAAAAAAAAAAAfAQAAX3JlbHMvLnJlbHNQSwECLQAUAAYACAAAACEADA0hW8YAAADeAAAA&#10;DwAAAAAAAAAAAAAAAAAHAgAAZHJzL2Rvd25yZXYueG1sUEsFBgAAAAADAAMAtwAAAPoCAAAAAA==&#10;" filled="f" stroked="f">
                    <v:textbox>
                      <w:txbxContent>
                        <w:p w14:paraId="7D20300A"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Veřejná zakázka</w:t>
                          </w:r>
                        </w:p>
                      </w:txbxContent>
                    </v:textbox>
                  </v:shape>
                  <v:line id="Přímá spojnice 54" o:spid="_x0000_s1401" style="position:absolute;flip:x;visibility:visible;mso-wrap-style:square" from="31680,20178" to="37910,3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QLCxwAAAN4AAAAPAAAAZHJzL2Rvd25yZXYueG1sRI/dasJA&#10;FITvC77Dcgq9Kbppo9GmrlKkFr3T6AOcZk9+MHs2ZLcmvr1bKPRymJlvmOV6MI24UudqywpeJhEI&#10;4tzqmksF59N2vADhPLLGxjIpuJGD9Wr0sMRU256PdM18KQKEXYoKKu/bVEqXV2TQTWxLHLzCdgZ9&#10;kF0pdYd9gJtGvkZRIg3WHBYqbGlTUX7JfoyC70Mst/uvpHiefuZxWcSbvm8zpZ4eh493EJ4G/x/+&#10;a++0gmQ+e5vC751wBeTqDgAA//8DAFBLAQItABQABgAIAAAAIQDb4fbL7gAAAIUBAAATAAAAAAAA&#10;AAAAAAAAAAAAAABbQ29udGVudF9UeXBlc10ueG1sUEsBAi0AFAAGAAgAAAAhAFr0LFu/AAAAFQEA&#10;AAsAAAAAAAAAAAAAAAAAHwEAAF9yZWxzLy5yZWxzUEsBAi0AFAAGAAgAAAAhANVxAsLHAAAA3gAA&#10;AA8AAAAAAAAAAAAAAAAABwIAAGRycy9kb3ducmV2LnhtbFBLBQYAAAAAAwADALcAAAD7AgAAAAA=&#10;" strokeweight="2.25pt">
                    <v:stroke startarrow="open"/>
                  </v:line>
                  <v:line id="Přímá spojnice 52" o:spid="_x0000_s1402" style="position:absolute;flip:x y;visibility:visible;mso-wrap-style:square" from="6039,4669" to="12782,2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YxVxgAAAN4AAAAPAAAAZHJzL2Rvd25yZXYueG1sRI9Ba8JA&#10;FITvBf/D8oTe6qZCtEZX0Uqh6EG0otdH9jUJ7r4N2TXGf+8KhR6HmfmGmS06a0RLja8cK3gfJCCI&#10;c6crLhQcf77ePkD4gKzROCYFd/KwmPdeZphpd+M9tYdQiAhhn6GCMoQ6k9LnJVn0A1cTR+/XNRZD&#10;lE0hdYO3CLdGDpNkJC1WHBdKrOmzpPxyuFoFNj23we02p8vaXk/L9daMV3ej1Gu/W05BBOrCf/iv&#10;/a0VjMbpJIXnnXgF5PwBAAD//wMAUEsBAi0AFAAGAAgAAAAhANvh9svuAAAAhQEAABMAAAAAAAAA&#10;AAAAAAAAAAAAAFtDb250ZW50X1R5cGVzXS54bWxQSwECLQAUAAYACAAAACEAWvQsW78AAAAVAQAA&#10;CwAAAAAAAAAAAAAAAAAfAQAAX3JlbHMvLnJlbHNQSwECLQAUAAYACAAAACEAHK2MVcYAAADeAAAA&#10;DwAAAAAAAAAAAAAAAAAHAgAAZHJzL2Rvd25yZXYueG1sUEsFBgAAAAADAAMAtwAAAPoCAAAAAA==&#10;" strokeweight="2.25pt">
                    <v:stroke startarrow="open"/>
                  </v:line>
                  <v:line id="Přímá spojnice 55" o:spid="_x0000_s1403" style="position:absolute;flip:x;visibility:visible;mso-wrap-style:square" from="19897,20105" to="26060,3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zkuxwAAAN4AAAAPAAAAZHJzL2Rvd25yZXYueG1sRI/dasJA&#10;FITvC32H5RS8KbppU6NGVylSi95p9AGO2ZMfmj0bsqtJ375bKPRymJlvmNVmMI24U+dqywpeJhEI&#10;4tzqmksFl/NuPAfhPLLGxjIp+CYHm/XjwwpTbXs+0T3zpQgQdikqqLxvUyldXpFBN7EtcfAK2xn0&#10;QXal1B32AW4a+RpFiTRYc1iosKVtRflXdjMKrsdY7g6fSfH89pHHZRFv+77NlBo9De9LEJ4G/x/+&#10;a++1gmQ2XSTweydcAbn+AQAA//8DAFBLAQItABQABgAIAAAAIQDb4fbL7gAAAIUBAAATAAAAAAAA&#10;AAAAAAAAAAAAAABbQ29udGVudF9UeXBlc10ueG1sUEsBAi0AFAAGAAgAAAAhAFr0LFu/AAAAFQEA&#10;AAsAAAAAAAAAAAAAAAAAHwEAAF9yZWxzLy5yZWxzUEsBAi0AFAAGAAgAAAAhAErvOS7HAAAA3gAA&#10;AA8AAAAAAAAAAAAAAAAABwIAAGRycy9kb3ducmV2LnhtbFBLBQYAAAAAAwADALcAAAD7AgAAAAA=&#10;" strokeweight="2.25pt">
                    <v:stroke startarrow="open"/>
                  </v:line>
                  <v:shape id="_x0000_s1404" type="#_x0000_t202" style="position:absolute;left:31446;top:1054;width:14442;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RaxxgAAAN4AAAAPAAAAZHJzL2Rvd25yZXYueG1sRI9PawIx&#10;FMTvhX6H8Aq9aVKp2t1uFGkRPFXUKvT22Lz9Qzcvyya667dvBKHHYWZ+w2TLwTbiQp2vHWt4GSsQ&#10;xLkzNZcavg/r0RsIH5ANNo5Jw5U8LBePDxmmxvW8o8s+lCJC2KeooQqhTaX0eUUW/di1xNErXGcx&#10;RNmV0nTYR7ht5ESpmbRYc1yosKWPivLf/dlqOH4VP6dXtS0/7bTt3aAk20Rq/fw0rN5BBBrCf/je&#10;3hgNs/k0SeB2J14BufgDAAD//wMAUEsBAi0AFAAGAAgAAAAhANvh9svuAAAAhQEAABMAAAAAAAAA&#10;AAAAAAAAAAAAAFtDb250ZW50X1R5cGVzXS54bWxQSwECLQAUAAYACAAAACEAWvQsW78AAAAVAQAA&#10;CwAAAAAAAAAAAAAAAAAfAQAAX3JlbHMvLnJlbHNQSwECLQAUAAYACAAAACEAbeUWscYAAADeAAAA&#10;DwAAAAAAAAAAAAAAAAAHAgAAZHJzL2Rvd25yZXYueG1sUEsFBgAAAAADAAMAtwAAAPoCAAAAAA==&#10;" filled="f" stroked="f">
                    <v:textbox>
                      <w:txbxContent>
                        <w:p w14:paraId="67799C7E"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Systém řízení</w:t>
                          </w:r>
                        </w:p>
                      </w:txbxContent>
                    </v:textbox>
                  </v:shape>
                  <v:shape id="_x0000_s1405" type="#_x0000_t202" style="position:absolute;left:15405;top:33757;width:11359;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EvXxAAAAN4AAAAPAAAAZHJzL2Rvd25yZXYueG1sRI/LasJA&#10;FIb3Bd9hOII7nVFsqtFRRCl0VWm8gLtD5pgEM2dCZmrSt+8sCl3+/De+9ba3tXhS6yvHGqYTBYI4&#10;d6biQsP59D5egPAB2WDtmDT8kIftZvCyxtS4jr/omYVCxBH2KWooQ2hSKX1ekkU/cQ1x9O6utRii&#10;bAtpWuziuK3lTKlEWqw4PpTY0L6k/JF9Ww2Xz/vtOlfH4mBfm871SrJdSq1Hw363AhGoD//hv/aH&#10;0ZC8JSoCRJyIAnLzCwAA//8DAFBLAQItABQABgAIAAAAIQDb4fbL7gAAAIUBAAATAAAAAAAAAAAA&#10;AAAAAAAAAABbQ29udGVudF9UeXBlc10ueG1sUEsBAi0AFAAGAAgAAAAhAFr0LFu/AAAAFQEAAAsA&#10;AAAAAAAAAAAAAAAAHwEAAF9yZWxzLy5yZWxzUEsBAi0AFAAGAAgAAAAhAM/wS9fEAAAA3gAAAA8A&#10;AAAAAAAAAAAAAAAABwIAAGRycy9kb3ducmV2LnhtbFBLBQYAAAAAAwADALcAAAD4AgAAAAA=&#10;" filled="f" stroked="f">
                    <v:textbox>
                      <w:txbxContent>
                        <w:p w14:paraId="164B6141" w14:textId="77777777" w:rsidR="00511D9B" w:rsidRPr="006538F8" w:rsidRDefault="00511D9B" w:rsidP="003B3D24">
                          <w:pPr>
                            <w:spacing w:line="192" w:lineRule="auto"/>
                            <w:ind w:left="-57" w:right="-57"/>
                            <w:jc w:val="center"/>
                            <w:rPr>
                              <w:rFonts w:asciiTheme="minorHAnsi" w:hAnsiTheme="minorHAnsi"/>
                              <w:b/>
                              <w:sz w:val="20"/>
                            </w:rPr>
                          </w:pPr>
                          <w:r>
                            <w:rPr>
                              <w:rFonts w:asciiTheme="minorHAnsi" w:hAnsiTheme="minorHAnsi"/>
                              <w:b/>
                              <w:sz w:val="20"/>
                            </w:rPr>
                            <w:t>Vnější prostředí</w:t>
                          </w:r>
                        </w:p>
                      </w:txbxContent>
                    </v:textbox>
                  </v:shape>
                </v:group>
              </v:group>
            </w:pict>
          </mc:Fallback>
        </mc:AlternateContent>
      </w:r>
      <w:r w:rsidRPr="00783EDD">
        <w:rPr>
          <w:rFonts w:asciiTheme="minorHAnsi" w:hAnsiTheme="minorHAnsi" w:cstheme="minorHAnsi"/>
          <w:i/>
          <w:iCs/>
        </w:rPr>
        <w:t>Obr.</w:t>
      </w:r>
      <w:r>
        <w:rPr>
          <w:rFonts w:asciiTheme="minorHAnsi" w:hAnsiTheme="minorHAnsi" w:cstheme="minorHAnsi"/>
          <w:i/>
          <w:iCs/>
        </w:rPr>
        <w:t xml:space="preserve"> </w:t>
      </w:r>
      <w:r w:rsidR="004F0E1D">
        <w:rPr>
          <w:rFonts w:asciiTheme="minorHAnsi" w:hAnsiTheme="minorHAnsi" w:cstheme="minorHAnsi"/>
          <w:i/>
          <w:iCs/>
        </w:rPr>
        <w:t>2</w:t>
      </w:r>
      <w:r w:rsidR="00257449">
        <w:rPr>
          <w:rFonts w:asciiTheme="minorHAnsi" w:hAnsiTheme="minorHAnsi" w:cstheme="minorHAnsi"/>
          <w:i/>
          <w:iCs/>
        </w:rPr>
        <w:t>7</w:t>
      </w:r>
      <w:r w:rsidR="00C92DFC">
        <w:rPr>
          <w:rFonts w:asciiTheme="minorHAnsi" w:hAnsiTheme="minorHAnsi" w:cstheme="minorHAnsi"/>
          <w:i/>
          <w:iCs/>
        </w:rPr>
        <w:t xml:space="preserve"> </w:t>
      </w:r>
      <w:r w:rsidRPr="00783EDD">
        <w:rPr>
          <w:rFonts w:asciiTheme="minorHAnsi" w:hAnsiTheme="minorHAnsi" w:cstheme="minorHAnsi"/>
          <w:i/>
          <w:iCs/>
        </w:rPr>
        <w:t xml:space="preserve">Příklad pro </w:t>
      </w:r>
      <w:r w:rsidR="00C54201">
        <w:rPr>
          <w:rFonts w:asciiTheme="minorHAnsi" w:hAnsiTheme="minorHAnsi" w:cstheme="minorHAnsi"/>
          <w:i/>
          <w:iCs/>
        </w:rPr>
        <w:t>pod</w:t>
      </w:r>
      <w:r w:rsidRPr="00783EDD">
        <w:rPr>
          <w:rFonts w:asciiTheme="minorHAnsi" w:hAnsiTheme="minorHAnsi" w:cstheme="minorHAnsi"/>
          <w:i/>
          <w:iCs/>
        </w:rPr>
        <w:t xml:space="preserve">příčiny </w:t>
      </w:r>
      <w:r w:rsidR="006956DA">
        <w:rPr>
          <w:rFonts w:asciiTheme="minorHAnsi" w:hAnsiTheme="minorHAnsi" w:cstheme="minorHAnsi"/>
          <w:i/>
          <w:iCs/>
        </w:rPr>
        <w:t>překračování výdajů stavebního projektu</w:t>
      </w:r>
    </w:p>
    <w:p w14:paraId="23EE0CE3" w14:textId="301B0265" w:rsidR="003B3D24" w:rsidRDefault="00EB4E05"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21888" behindDoc="0" locked="0" layoutInCell="1" allowOverlap="1" wp14:anchorId="3294554A" wp14:editId="7C23F960">
                <wp:simplePos x="0" y="0"/>
                <wp:positionH relativeFrom="column">
                  <wp:posOffset>592455</wp:posOffset>
                </wp:positionH>
                <wp:positionV relativeFrom="paragraph">
                  <wp:posOffset>125095</wp:posOffset>
                </wp:positionV>
                <wp:extent cx="1115695" cy="320040"/>
                <wp:effectExtent l="0" t="0" r="0" b="3810"/>
                <wp:wrapNone/>
                <wp:docPr id="241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20040"/>
                        </a:xfrm>
                        <a:prstGeom prst="rect">
                          <a:avLst/>
                        </a:prstGeom>
                        <a:noFill/>
                        <a:ln w="9525">
                          <a:noFill/>
                          <a:miter lim="800000"/>
                          <a:headEnd/>
                          <a:tailEnd/>
                        </a:ln>
                      </wps:spPr>
                      <wps:txbx>
                        <w:txbxContent>
                          <w:p w14:paraId="2CF2FA26" w14:textId="50211F7C"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Dal příliš nízkou cenu do nabídky</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294554A" id="_x0000_s1406" type="#_x0000_t202" style="position:absolute;left:0;text-align:left;margin-left:46.65pt;margin-top:9.85pt;width:87.85pt;height:25.2pt;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vTGwIAAAQEAAAOAAAAZHJzL2Uyb0RvYy54bWysU9uO2yAQfa/Uf0C8N47dZLOxQlbb3W5V&#10;aXuRdvsBBOMYFRgKJHb6R/2O/lgHnKRR+1bVDwg8zJk5Zw6rm8Fospc+KLCMlpMpJdIKaJTdMvrl&#10;+eHVNSUhcttwDVYyepCB3qxfvlj1rpYVdKAb6QmC2FD3jtEuRlcXRRCdNDxMwEmLwRa84RGPfls0&#10;nveIbnRRTadXRQ++cR6EDAH/3o9Bus74bStF/NS2QUaiGcXeYl59XjdpLdYrXm89d50Sxzb4P3Rh&#10;uLJY9Ax1zyMnO6/+gjJKeAjQxokAU0DbKiEzB2RTTv9g89RxJzMXFCe4s0zh/8GKj/vPnqiG0WpW&#10;lgtKLDc4pmc5RNj//EEcaEmqJFPvQo23nxzej8MbGHDcmXJwjyC+BmLhruN2K2+9h76TvME2y5RZ&#10;XKSOOCGBbPoP0GAtvouQgYbWm6QhqkIQHcd1OI8I+yEilSzL+dVyTonA2Gt0wCzPsOD1Kdv5EN9J&#10;MCRtGPVogYzO948hpm54fbqSill4UFpnG2hLekaX82qeEy4iRkV0qVaG0etp+kbfJJJvbZOTI1d6&#10;3GMBbY+sE9GRchw2Q9a5XMxOcm6gOaAQHkZb4jPCTQf+OyU9WpLR8G3HvaREv7co5rKcIVsS82E2&#10;X1R48JeRzWWEW4FQjEZKxu1dzL4fSd+i6K3KeqTpjJ0cm0arZZmOzyJ5+fKcb/1+vOtfAAAA//8D&#10;AFBLAwQUAAYACAAAACEApjYvet0AAAAIAQAADwAAAGRycy9kb3ducmV2LnhtbEyPzU7DMBCE70i8&#10;g7VI3KjdFloS4lQIxBXU8iNx28bbJCJeR7HbhLdnOcFxZ0az3xSbyXfqRENsA1uYzwwo4iq4lmsL&#10;b69PV7egYkJ22AUmC98UYVOenxWYuzDylk67VCsp4ZijhSalPtc6Vg15jLPQE4t3CIPHJOdQazfg&#10;KOW+0wtjVtpjy/KhwZ4eGqq+dkdv4f358PlxbV7qR3/Tj2Eymn2mrb28mO7vQCWa0l8YfvEFHUph&#10;2ocju6g6C9lyKUnRszUo8RerTLbtLazNHHRZ6P8Dyh8AAAD//wMAUEsBAi0AFAAGAAgAAAAhALaD&#10;OJL+AAAA4QEAABMAAAAAAAAAAAAAAAAAAAAAAFtDb250ZW50X1R5cGVzXS54bWxQSwECLQAUAAYA&#10;CAAAACEAOP0h/9YAAACUAQAACwAAAAAAAAAAAAAAAAAvAQAAX3JlbHMvLnJlbHNQSwECLQAUAAYA&#10;CAAAACEAb8Tb0xsCAAAEBAAADgAAAAAAAAAAAAAAAAAuAgAAZHJzL2Uyb0RvYy54bWxQSwECLQAU&#10;AAYACAAAACEApjYvet0AAAAIAQAADwAAAAAAAAAAAAAAAAB1BAAAZHJzL2Rvd25yZXYueG1sUEsF&#10;BgAAAAAEAAQA8wAAAH8FAAAAAA==&#10;" filled="f" stroked="f">
                <v:textbox>
                  <w:txbxContent>
                    <w:p w14:paraId="2CF2FA26" w14:textId="50211F7C"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Dal příliš nízkou cenu do nabídky</w:t>
                      </w:r>
                    </w:p>
                  </w:txbxContent>
                </v:textbox>
              </v:shape>
            </w:pict>
          </mc:Fallback>
        </mc:AlternateContent>
      </w:r>
      <w:r w:rsidR="00D06113">
        <w:rPr>
          <w:rFonts w:asciiTheme="minorHAnsi" w:hAnsiTheme="minorHAnsi" w:cs="Calibri"/>
          <w:noProof/>
        </w:rPr>
        <mc:AlternateContent>
          <mc:Choice Requires="wps">
            <w:drawing>
              <wp:anchor distT="0" distB="0" distL="114300" distR="114300" simplePos="0" relativeHeight="251603456" behindDoc="0" locked="0" layoutInCell="1" allowOverlap="1" wp14:anchorId="00FB2152" wp14:editId="0B22CDAA">
                <wp:simplePos x="0" y="0"/>
                <wp:positionH relativeFrom="column">
                  <wp:posOffset>-263581</wp:posOffset>
                </wp:positionH>
                <wp:positionV relativeFrom="paragraph">
                  <wp:posOffset>239395</wp:posOffset>
                </wp:positionV>
                <wp:extent cx="960120" cy="350520"/>
                <wp:effectExtent l="0" t="0" r="0" b="0"/>
                <wp:wrapNone/>
                <wp:docPr id="2403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50520"/>
                        </a:xfrm>
                        <a:prstGeom prst="rect">
                          <a:avLst/>
                        </a:prstGeom>
                        <a:noFill/>
                        <a:ln w="9525">
                          <a:noFill/>
                          <a:miter lim="800000"/>
                          <a:headEnd/>
                          <a:tailEnd/>
                        </a:ln>
                      </wps:spPr>
                      <wps:txbx>
                        <w:txbxContent>
                          <w:p w14:paraId="49596BEA" w14:textId="20814E1E"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nekvalitní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B2152" id="_x0000_s1407" type="#_x0000_t202" style="position:absolute;left:0;text-align:left;margin-left:-20.75pt;margin-top:18.85pt;width:75.6pt;height:27.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kFGQIAAAMEAAAOAAAAZHJzL2Uyb0RvYy54bWysU9tu2zAMfR+wfxD0vvjSuBcjTtG16zCg&#10;Wwu0+wBFlmNhkqhJSuzsj/od+7FRcpIF29swPxiUSB7yHFKL61ErshXOSzANLWY5JcJwaKVZN/Tr&#10;y/27S0p8YKZlCoxo6E54er18+2Yx2FqU0INqhSMIYnw92Ib2Idg6yzzvhWZ+BlYYdHbgNAt4dOus&#10;dWxAdK2yMs/PswFcax1w4T3e3k1Oukz4XSd4eOw6LwJRDcXeQvq79F/Ff7ZcsHrtmO0l37fB/qEL&#10;zaTBokeoOxYY2Tj5F5SW3IGHLsw46Ay6TnKROCCbIv+DzXPPrEhcUBxvjzL5/wfLv2yfHJFtQ8t5&#10;fobDMkzjmF7EGGD785VYUIKUUabB+hqjny3Gh/E9jDjuRNnbB+DfPDFw2zOzFjfOwdAL1mKbRczM&#10;TlInHB9BVsNnaLEW2wRIQGPndNQQVSGIjuPaHUeE/RCOl1fneVGih6PrrMortGMFVh+SrfPhowBN&#10;otFQhxuQwNn2wYcp9BASaxm4l0rhPauVIQMWqMoqJZx4tAy4pErqhl7m8ZvWJnL8YNqUHJhUk429&#10;KLMnHXlOjMO4GpPMxUV1UHMF7Q51cDBtJb4iNHpwPygZcCMb6r9vmBOUqE8Gtbwq5vO4wukwry6i&#10;DO7Uszr1MMMRqqGBksm8DWntJ9I3qHknkx5xOFMn+6Zx05Ki+1cRV/n0nKJ+v93lLwAAAP//AwBQ&#10;SwMEFAAGAAgAAAAhAO7ue2/eAAAACQEAAA8AAABkcnMvZG93bnJldi54bWxMj01PwzAMhu9I+w+R&#10;kbhtycY+aKk7IRBX0AabxC1rvLZa41RNtpZ/T3ZiN1t+9Pp5s/VgG3GhzteOEaYTBYK4cKbmEuH7&#10;6338BMIHzUY3jgnhlzys89FdplPjet7QZRtKEUPYpxqhCqFNpfRFRVb7iWuJ4+3oOqtDXLtSmk73&#10;Mdw2cqbUUlpdc/xQ6ZZeKypO27NF2H0cf/Zz9Vm+2UXbu0FJtolEfLgfXp5BBBrCPwxX/agOeXQ6&#10;uDMbLxqE8Xy6iCjC42oF4gqoJA4HhGSWgMwzedsg/wMAAP//AwBQSwECLQAUAAYACAAAACEAtoM4&#10;kv4AAADhAQAAEwAAAAAAAAAAAAAAAAAAAAAAW0NvbnRlbnRfVHlwZXNdLnhtbFBLAQItABQABgAI&#10;AAAAIQA4/SH/1gAAAJQBAAALAAAAAAAAAAAAAAAAAC8BAABfcmVscy8ucmVsc1BLAQItABQABgAI&#10;AAAAIQCaKKkFGQIAAAMEAAAOAAAAAAAAAAAAAAAAAC4CAABkcnMvZTJvRG9jLnhtbFBLAQItABQA&#10;BgAIAAAAIQDu7ntv3gAAAAkBAAAPAAAAAAAAAAAAAAAAAHMEAABkcnMvZG93bnJldi54bWxQSwUG&#10;AAAAAAQABADzAAAAfgUAAAAA&#10;" filled="f" stroked="f">
                <v:textbox>
                  <w:txbxContent>
                    <w:p w14:paraId="49596BEA" w14:textId="20814E1E"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nekvalitní</w:t>
                      </w:r>
                    </w:p>
                  </w:txbxContent>
                </v:textbox>
              </v:shape>
            </w:pict>
          </mc:Fallback>
        </mc:AlternateContent>
      </w:r>
      <w:r w:rsidR="00D06113">
        <w:rPr>
          <w:rFonts w:asciiTheme="minorHAnsi" w:hAnsiTheme="minorHAnsi" w:cs="Calibri"/>
          <w:noProof/>
        </w:rPr>
        <mc:AlternateContent>
          <mc:Choice Requires="wps">
            <w:drawing>
              <wp:anchor distT="0" distB="0" distL="114300" distR="114300" simplePos="0" relativeHeight="251595264" behindDoc="0" locked="0" layoutInCell="1" allowOverlap="1" wp14:anchorId="39F5DC08" wp14:editId="5138BAEA">
                <wp:simplePos x="0" y="0"/>
                <wp:positionH relativeFrom="column">
                  <wp:posOffset>2262505</wp:posOffset>
                </wp:positionH>
                <wp:positionV relativeFrom="paragraph">
                  <wp:posOffset>216535</wp:posOffset>
                </wp:positionV>
                <wp:extent cx="899160" cy="345440"/>
                <wp:effectExtent l="0" t="0" r="0" b="0"/>
                <wp:wrapNone/>
                <wp:docPr id="6760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45440"/>
                        </a:xfrm>
                        <a:prstGeom prst="rect">
                          <a:avLst/>
                        </a:prstGeom>
                        <a:noFill/>
                        <a:ln w="9525">
                          <a:noFill/>
                          <a:miter lim="800000"/>
                          <a:headEnd/>
                          <a:tailEnd/>
                        </a:ln>
                      </wps:spPr>
                      <wps:txbx>
                        <w:txbxContent>
                          <w:p w14:paraId="207F7637" w14:textId="06B89EA6"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Špatn</w:t>
                            </w:r>
                            <w:r>
                              <w:rPr>
                                <w:rFonts w:asciiTheme="minorHAnsi" w:hAnsiTheme="minorHAnsi"/>
                                <w:sz w:val="18"/>
                                <w:szCs w:val="22"/>
                              </w:rPr>
                              <w:t>á</w:t>
                            </w:r>
                            <w:r w:rsidRPr="006A0637">
                              <w:rPr>
                                <w:rFonts w:asciiTheme="minorHAnsi" w:hAnsiTheme="minorHAnsi"/>
                                <w:sz w:val="18"/>
                                <w:szCs w:val="22"/>
                              </w:rPr>
                              <w:t xml:space="preserve"> </w:t>
                            </w:r>
                            <w:r>
                              <w:rPr>
                                <w:rFonts w:asciiTheme="minorHAnsi" w:hAnsiTheme="minorHAnsi"/>
                                <w:sz w:val="18"/>
                                <w:szCs w:val="22"/>
                              </w:rPr>
                              <w:t>kontrola projektu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5DC08" id="_x0000_s1408" type="#_x0000_t202" style="position:absolute;left:0;text-align:left;margin-left:178.15pt;margin-top:17.05pt;width:70.8pt;height:27.2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YGgIAAAMEAAAOAAAAZHJzL2Uyb0RvYy54bWysU1GO0zAQ/UfiDpb/aZLSptuo6WrZZRHS&#10;AivtcgDXcRoL22Nst0m5EefgYoydtlvBHyIflp3xvJn35nl1PWhF9sJ5CaamxSSnRBgOjTTbmn59&#10;vn9zRYkPzDRMgRE1PQhPr9evX616W4kpdKAa4QiCGF/1tqZdCLbKMs87oZmfgBUGgy04zQIe3TZr&#10;HOsRXatsmudl1oNrrAMuvMe/d2OQrhN+2woevrStF4GommJvIa0urZu4ZusVq7aO2U7yYxvsH7rQ&#10;TBoseoa6Y4GRnZN/QWnJHXhow4SDzqBtJReJA7Ip8j/YPHXMisQFxfH2LJP/f7D88/7REdnUtFyU&#10;+ZISwzSO6VkMAfa/fhILSpBplKm3vsLbTxbvh+EdDDjuRNnbB+DfPDFw2zGzFTfOQd8J1mCbRczM&#10;LlJHHB9BNv0naLAW2wVIQEPrdNQQVSGIjuM6nEeE/RCOP6+Wy6LECMfQ29l8NksjzFh1SrbOhw8C&#10;NImbmjp0QAJn+wcfYjOsOl2JtQzcS6WSC5QhfU2X8+k8JVxEtAxoUiU11s/jN9omcnxvmpQcmFTj&#10;HgsocyQdeY6Mw7AZkszFojypuYHmgDo4GF2Jrwg3HbgflPToyJr67zvmBCXqo0Etl0VkS0I6zOaL&#10;KR7cZWRzGWGGI1RNAyXj9jYk24+kb1DzViY94nDGTo5No9OSTMdXEa18eU63Xt7u+jcAAAD//wMA&#10;UEsDBBQABgAIAAAAIQDpF32N3gAAAAkBAAAPAAAAZHJzL2Rvd25yZXYueG1sTI/BTsMwDIbvSLxD&#10;ZCRuLBlrt7Y0nRCIK4jBkLhljddWNE7VZGt5e8wJbrb86ff3l9vZ9eKMY+g8aVguFAik2tuOGg3v&#10;b083GYgQDVnTe0IN3xhgW11elKawfqJXPO9iIziEQmE0tDEOhZShbtGZsPADEt+OfnQm8jo20o5m&#10;4nDXy1ul1tKZjvhDawZ8aLH+2p2chv3z8fMjUS/No0uHyc9Kksul1tdX8/0diIhz/IPhV5/VoWKn&#10;gz+RDaLXsErXK0Z5SJYgGEjyTQ7ioCHLUpBVKf83qH4AAAD//wMAUEsBAi0AFAAGAAgAAAAhALaD&#10;OJL+AAAA4QEAABMAAAAAAAAAAAAAAAAAAAAAAFtDb250ZW50X1R5cGVzXS54bWxQSwECLQAUAAYA&#10;CAAAACEAOP0h/9YAAACUAQAACwAAAAAAAAAAAAAAAAAvAQAAX3JlbHMvLnJlbHNQSwECLQAUAAYA&#10;CAAAACEAMVf5GBoCAAADBAAADgAAAAAAAAAAAAAAAAAuAgAAZHJzL2Uyb0RvYy54bWxQSwECLQAU&#10;AAYACAAAACEA6Rd9jd4AAAAJAQAADwAAAAAAAAAAAAAAAAB0BAAAZHJzL2Rvd25yZXYueG1sUEsF&#10;BgAAAAAEAAQA8wAAAH8FAAAAAA==&#10;" filled="f" stroked="f">
                <v:textbox>
                  <w:txbxContent>
                    <w:p w14:paraId="207F7637" w14:textId="06B89EA6"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Špatn</w:t>
                      </w:r>
                      <w:r>
                        <w:rPr>
                          <w:rFonts w:asciiTheme="minorHAnsi" w:hAnsiTheme="minorHAnsi"/>
                          <w:sz w:val="18"/>
                          <w:szCs w:val="22"/>
                        </w:rPr>
                        <w:t>á</w:t>
                      </w:r>
                      <w:r w:rsidRPr="006A0637">
                        <w:rPr>
                          <w:rFonts w:asciiTheme="minorHAnsi" w:hAnsiTheme="minorHAnsi"/>
                          <w:sz w:val="18"/>
                          <w:szCs w:val="22"/>
                        </w:rPr>
                        <w:t xml:space="preserve"> </w:t>
                      </w:r>
                      <w:r>
                        <w:rPr>
                          <w:rFonts w:asciiTheme="minorHAnsi" w:hAnsiTheme="minorHAnsi"/>
                          <w:sz w:val="18"/>
                          <w:szCs w:val="22"/>
                        </w:rPr>
                        <w:t>kontrola projektu</w:t>
                      </w:r>
                    </w:p>
                  </w:txbxContent>
                </v:textbox>
              </v:shape>
            </w:pict>
          </mc:Fallback>
        </mc:AlternateContent>
      </w:r>
      <w:r w:rsidR="000C4BA5">
        <w:rPr>
          <w:rFonts w:asciiTheme="minorHAnsi" w:hAnsiTheme="minorHAnsi" w:cs="Calibri"/>
          <w:noProof/>
        </w:rPr>
        <mc:AlternateContent>
          <mc:Choice Requires="wps">
            <w:drawing>
              <wp:anchor distT="0" distB="0" distL="114300" distR="114300" simplePos="0" relativeHeight="251584000" behindDoc="0" locked="0" layoutInCell="1" allowOverlap="1" wp14:anchorId="536D9EA1" wp14:editId="086779C7">
                <wp:simplePos x="0" y="0"/>
                <wp:positionH relativeFrom="column">
                  <wp:posOffset>3253740</wp:posOffset>
                </wp:positionH>
                <wp:positionV relativeFrom="paragraph">
                  <wp:posOffset>125095</wp:posOffset>
                </wp:positionV>
                <wp:extent cx="680720" cy="433705"/>
                <wp:effectExtent l="0" t="0" r="0" b="4445"/>
                <wp:wrapNone/>
                <wp:docPr id="239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433705"/>
                        </a:xfrm>
                        <a:prstGeom prst="rect">
                          <a:avLst/>
                        </a:prstGeom>
                        <a:noFill/>
                        <a:ln w="9525">
                          <a:noFill/>
                          <a:miter lim="800000"/>
                          <a:headEnd/>
                          <a:tailEnd/>
                        </a:ln>
                      </wps:spPr>
                      <wps:txbx>
                        <w:txbxContent>
                          <w:p w14:paraId="3C4C098A"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Nezahrnuje školení a výcvik</w:t>
                            </w:r>
                          </w:p>
                        </w:txbxContent>
                      </wps:txbx>
                      <wps:bodyPr rot="0" vert="horz" wrap="square" lIns="91440" tIns="45720" rIns="91440" bIns="45720" anchor="t" anchorCtr="0">
                        <a:noAutofit/>
                      </wps:bodyPr>
                    </wps:wsp>
                  </a:graphicData>
                </a:graphic>
              </wp:anchor>
            </w:drawing>
          </mc:Choice>
          <mc:Fallback>
            <w:pict>
              <v:shape w14:anchorId="536D9EA1" id="_x0000_s1409" type="#_x0000_t202" style="position:absolute;left:0;text-align:left;margin-left:256.2pt;margin-top:9.85pt;width:53.6pt;height:34.15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5bDGgIAAAMEAAAOAAAAZHJzL2Uyb0RvYy54bWysU1tu2zAQ/C/QOxD8r/WwHduC5SBNmqJA&#10;+gCSHoCmKIsoyWVJ2lJ6o5yjF+uSsl2j/SuqD4LUcmd3Zofr60ErchDOSzA1LSY5JcJwaKTZ1fTr&#10;0/2bJSU+MNMwBUbU9Fl4er15/Wrd20qU0IFqhCMIYnzV25p2IdgqyzzvhGZ+AlYYDLbgNAt4dLus&#10;caxHdK2yMs+vsh5cYx1w4T3+vRuDdJPw21bw8LltvQhE1RR7C2l1ad3GNdusWbVzzHaSH9tg/9CF&#10;ZtJg0TPUHQuM7J38C0pL7sBDGyYcdAZtK7lIHJBNkf/B5rFjViQuKI63Z5n8/4Plnw5fHJFNTcvp&#10;qlhRYpjGMT2JIcDh5wuxoAQpo0y99RXefrR4PwxvYcBxJ8rePgD/5omB246ZnbhxDvpOsAbbLGJm&#10;dpE64vgIsu0/QoO12D5AAhpap6OGqApBdBzX83lE2A/h+PNqmS9KjHAMzabTRT5PFVh1SrbOh/cC&#10;NImbmjp0QAJnhwcfYjOsOl2JtQzcS6WSC5QhfU1X83KeEi4iWgY0qZK6pss8fqNtIsd3pknJgUk1&#10;7rGAMkfSkefIOAzbIclcLBYnNbfQPKMODkZX4ivCTQfuByU9OrKm/vueOUGJ+mBQy1Uxm0ULp8Ns&#10;nmRwl5HtZYQZjlA1DZSM29uQbD+SvkHNW5n0iMMZOzk2jU5LMh1fRbTy5Tnd+v12N78AAAD//wMA&#10;UEsDBBQABgAIAAAAIQAjXij73QAAAAkBAAAPAAAAZHJzL2Rvd25yZXYueG1sTI/BTsMwEETvSPyD&#10;tUjcqJ2qDUmIUyEQVxAFKvXmxtskIl5HsduEv2c50eNqnmbelpvZ9eKMY+g8aUgWCgRS7W1HjYbP&#10;j5e7DESIhqzpPaGGHwywqa6vSlNYP9E7nrexEVxCoTAa2hiHQspQt+hMWPgBibOjH52JfI6NtKOZ&#10;uNz1cqlUKp3piBdaM+BTi/X39uQ0fL0e97uVemue3XqY/KwkuVxqfXszPz6AiDjHfxj+9FkdKnY6&#10;+BPZIHoN62S5YpSD/B4EA2mSpyAOGrJMgaxKeflB9QsAAP//AwBQSwECLQAUAAYACAAAACEAtoM4&#10;kv4AAADhAQAAEwAAAAAAAAAAAAAAAAAAAAAAW0NvbnRlbnRfVHlwZXNdLnhtbFBLAQItABQABgAI&#10;AAAAIQA4/SH/1gAAAJQBAAALAAAAAAAAAAAAAAAAAC8BAABfcmVscy8ucmVsc1BLAQItABQABgAI&#10;AAAAIQA9B5bDGgIAAAMEAAAOAAAAAAAAAAAAAAAAAC4CAABkcnMvZTJvRG9jLnhtbFBLAQItABQA&#10;BgAIAAAAIQAjXij73QAAAAkBAAAPAAAAAAAAAAAAAAAAAHQEAABkcnMvZG93bnJldi54bWxQSwUG&#10;AAAAAAQABADzAAAAfgUAAAAA&#10;" filled="f" stroked="f">
                <v:textbox>
                  <w:txbxContent>
                    <w:p w14:paraId="3C4C098A"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Nezahrnuje školení a výcvik</w:t>
                      </w:r>
                    </w:p>
                  </w:txbxContent>
                </v:textbox>
              </v:shape>
            </w:pict>
          </mc:Fallback>
        </mc:AlternateContent>
      </w:r>
    </w:p>
    <w:p w14:paraId="7E712492" w14:textId="2533522D" w:rsidR="003B3D24" w:rsidRDefault="00144BDE"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597312" behindDoc="0" locked="0" layoutInCell="1" allowOverlap="1" wp14:anchorId="202F50EA" wp14:editId="04B787CF">
                <wp:simplePos x="0" y="0"/>
                <wp:positionH relativeFrom="column">
                  <wp:posOffset>1266029</wp:posOffset>
                </wp:positionH>
                <wp:positionV relativeFrom="paragraph">
                  <wp:posOffset>42157</wp:posOffset>
                </wp:positionV>
                <wp:extent cx="1115695" cy="459740"/>
                <wp:effectExtent l="0" t="0" r="0" b="0"/>
                <wp:wrapNone/>
                <wp:docPr id="676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59740"/>
                        </a:xfrm>
                        <a:prstGeom prst="rect">
                          <a:avLst/>
                        </a:prstGeom>
                        <a:noFill/>
                        <a:ln w="9525">
                          <a:noFill/>
                          <a:miter lim="800000"/>
                          <a:headEnd/>
                          <a:tailEnd/>
                        </a:ln>
                      </wps:spPr>
                      <wps:txbx>
                        <w:txbxContent>
                          <w:p w14:paraId="2E96B5C4" w14:textId="1E81A535" w:rsidR="00511D9B" w:rsidRPr="006A0637" w:rsidRDefault="00511D9B" w:rsidP="000C4BA5">
                            <w:pPr>
                              <w:spacing w:line="192" w:lineRule="auto"/>
                              <w:ind w:left="-57" w:right="-57"/>
                              <w:rPr>
                                <w:rFonts w:asciiTheme="minorHAnsi" w:hAnsiTheme="minorHAnsi"/>
                                <w:sz w:val="18"/>
                                <w:szCs w:val="22"/>
                              </w:rPr>
                            </w:pPr>
                            <w:r>
                              <w:rPr>
                                <w:rFonts w:asciiTheme="minorHAnsi" w:hAnsiTheme="minorHAnsi"/>
                                <w:sz w:val="18"/>
                                <w:szCs w:val="22"/>
                              </w:rPr>
                              <w:t>Chyby v rozpočtu projektu nebo projektu</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02F50EA" id="_x0000_s1410" type="#_x0000_t202" style="position:absolute;left:0;text-align:left;margin-left:99.7pt;margin-top:3.3pt;width:87.85pt;height:36.2pt;z-index:25159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Z3GwIAAAQEAAAOAAAAZHJzL2Uyb0RvYy54bWysU9uO2yAQfa/Uf0C8N46jOBcrzmq7260q&#10;bS/Sbj8AYxyjAkOBxE7/qN+xP9YBJ2nUvlX1AwIPc2bOmcPmZtCKHITzEkxF88mUEmE4NNLsKvr1&#10;+eHNihIfmGmYAiMqehSe3mxfv9r0thQz6EA1whEEMb7sbUW7EGyZZZ53QjM/ASsMBltwmgU8ul3W&#10;ONYjulbZbDpdZD24xjrgwnv8ez8G6Tbht63g4XPbehGIqij2FtLq0lrHNdtuWLlzzHaSn9pg/9CF&#10;ZtJg0QvUPQuM7J38C0pL7sBDGyYcdAZtK7lIHJBNPv2DzVPHrEhcUBxvLzL5/wfLPx2+OCKbii6W&#10;izynxDCNY3oWQ4DDy09iQQkyizL11pd4+8ni/TC8hQHHnSh7+wj8mycG7jpmduLWOeg7wRpsM4+Z&#10;2VXqiOMjSN1/hAZrsX2ABDS0TkcNURWC6Diu42VE2A/hsWSeF4t1QQnH2LxYL+dphhkrz9nW+fBe&#10;gCZxU1GHFkjo7PDoQ+yGlecrsZiBB6lUsoEypK/oupgVKeEqomVAlyqpK7qaxm/0TST5zjQpOTCp&#10;xj0WUObEOhIdKYehHpLO+XJ1lrOG5ohCOBhtic8INx24H5T0aMmK+u975gQl6oNBMdf5HNmSkA7z&#10;YjnDg7uO1NcRZjhCVTRQMm7vQvL9SPoWRW9l0iNOZ+zk1DRaLcl0ehbRy9fndOv3493+AgAA//8D&#10;AFBLAwQUAAYACAAAACEAuu450t0AAAAIAQAADwAAAGRycy9kb3ducmV2LnhtbEyPQU/CQBSE7yb+&#10;h80z8Sa7KBRauiVG41UDKgm3pftoG7tvm+5C67/ncdLjZCYz3+Tr0bXijH1oPGmYThQIpNLbhioN&#10;X59vD0sQIRqypvWEGn4xwLq4vclNZv1AGzxvYyW4hEJmNNQxdpmUoazRmTDxHRJ7R987E1n2lbS9&#10;GbjctfJRqUQ60xAv1KbDlxrLn+3Jafh+P+53M/VRvbp5N/hRSXKp1Pr+bnxegYg4xr8wXPEZHQpm&#10;OvgT2SBa1mk646iGJAHB/tNiPgVx0LBIFcgil/8PFBcAAAD//wMAUEsBAi0AFAAGAAgAAAAhALaD&#10;OJL+AAAA4QEAABMAAAAAAAAAAAAAAAAAAAAAAFtDb250ZW50X1R5cGVzXS54bWxQSwECLQAUAAYA&#10;CAAAACEAOP0h/9YAAACUAQAACwAAAAAAAAAAAAAAAAAvAQAAX3JlbHMvLnJlbHNQSwECLQAUAAYA&#10;CAAAACEA5hA2dxsCAAAEBAAADgAAAAAAAAAAAAAAAAAuAgAAZHJzL2Uyb0RvYy54bWxQSwECLQAU&#10;AAYACAAAACEAuu450t0AAAAIAQAADwAAAAAAAAAAAAAAAAB1BAAAZHJzL2Rvd25yZXYueG1sUEsF&#10;BgAAAAAEAAQA8wAAAH8FAAAAAA==&#10;" filled="f" stroked="f">
                <v:textbox>
                  <w:txbxContent>
                    <w:p w14:paraId="2E96B5C4" w14:textId="1E81A535" w:rsidR="00511D9B" w:rsidRPr="006A0637" w:rsidRDefault="00511D9B" w:rsidP="000C4BA5">
                      <w:pPr>
                        <w:spacing w:line="192" w:lineRule="auto"/>
                        <w:ind w:left="-57" w:right="-57"/>
                        <w:rPr>
                          <w:rFonts w:asciiTheme="minorHAnsi" w:hAnsiTheme="minorHAnsi"/>
                          <w:sz w:val="18"/>
                          <w:szCs w:val="22"/>
                        </w:rPr>
                      </w:pPr>
                      <w:r>
                        <w:rPr>
                          <w:rFonts w:asciiTheme="minorHAnsi" w:hAnsiTheme="minorHAnsi"/>
                          <w:sz w:val="18"/>
                          <w:szCs w:val="22"/>
                        </w:rPr>
                        <w:t>Chyby v rozpočtu projektu nebo projektu</w:t>
                      </w:r>
                    </w:p>
                  </w:txbxContent>
                </v:textbox>
              </v:shape>
            </w:pict>
          </mc:Fallback>
        </mc:AlternateContent>
      </w:r>
      <w:r w:rsidR="00EB4E05">
        <w:rPr>
          <w:rFonts w:asciiTheme="minorHAnsi" w:hAnsiTheme="minorHAnsi" w:cs="Calibri"/>
          <w:noProof/>
        </w:rPr>
        <mc:AlternateContent>
          <mc:Choice Requires="wps">
            <w:drawing>
              <wp:anchor distT="0" distB="0" distL="114300" distR="114300" simplePos="0" relativeHeight="251618816" behindDoc="0" locked="0" layoutInCell="1" allowOverlap="1" wp14:anchorId="4D20AAA9" wp14:editId="0FE1D2BD">
                <wp:simplePos x="0" y="0"/>
                <wp:positionH relativeFrom="column">
                  <wp:posOffset>640080</wp:posOffset>
                </wp:positionH>
                <wp:positionV relativeFrom="paragraph">
                  <wp:posOffset>160655</wp:posOffset>
                </wp:positionV>
                <wp:extent cx="610870" cy="0"/>
                <wp:effectExtent l="38100" t="76200" r="0" b="114300"/>
                <wp:wrapNone/>
                <wp:docPr id="24114"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0F3DFA1E" id="Přímá spojnice 23716" o:spid="_x0000_s1026" style="position:absolute;flip:x y;z-index:251618816;visibility:visible;mso-wrap-style:square;mso-wrap-distance-left:9pt;mso-wrap-distance-top:0;mso-wrap-distance-right:9pt;mso-wrap-distance-bottom:0;mso-position-horizontal:absolute;mso-position-horizontal-relative:text;mso-position-vertical:absolute;mso-position-vertical-relative:text" from="50.4pt,12.65pt" to="9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aNTQIAAG8EAAAOAAAAZHJzL2Uyb0RvYy54bWysVM2O0zAQviPxDpbvbZJu2m2jpivUtHBY&#10;oNIu3F3baQyObdlu0wrxIBx5AJ5ixXvhcX92Fy4I0YM7tme++Wbmc6Y3+1aiHbdOaFXirJ9ixBXV&#10;TKhNiT/cL3tjjJwnihGpFS/xgTt8M3v5YtqZgg90oyXjFgUQ5YrOlLjx3hRJ4mjDW+L62nAVLmtt&#10;W+LD1m4SZkkX0FuZDNJ0lHTaMmM15c6F0+p4iWcRv6459e/r2nGPZIkDNx9XG9c1rMlsSoqNJaYR&#10;9ESD/AOLlggVkl6gKuIJ2lrxB1QrqNVO175PdZvouhaUxxpCNVn6WzV3DTE81hKa48ylTe7/wdJ3&#10;u5VFgpV4kGdZjpEibRjT6ue3hx/tw3fkjP6kAkc0uLrORtCuzrgiRM3VykLBdK/uzK2mnx1Set4Q&#10;teGR9v3BBJwMIpJnIbBxJiRdd281Cz5k63Xs3b62LaqlMG8gMFofwYI0oVNoH8d2uIyN7z2i4XCU&#10;pePrMFx6vkpIAVgQZ6zzr7luERgllkJBQ0lBdrfOA7dHFzhWeimkjKKQCnUlngwHwxjgtBQMLsHN&#10;2c16Li3aEZBV/MVCw81TN6u3ikWwhhO2ONmeCBls5GOHiLW6w5Cq5QwjycMzAuvITSpIFwoNbE/W&#10;UVZfJulkMV6M814+GC16eVpVvVfLed4bLbPrYXVVzedV9hWYZ3nRCMa4AvJniWf530no9NiO4ryI&#10;/NKl5Dl6bGcge/6PpOP0YeBH6aw1O6wsVAdCCKqOzqcXCM/m6T56PX4nZr8AAAD//wMAUEsDBBQA&#10;BgAIAAAAIQA3N4d83QAAAAkBAAAPAAAAZHJzL2Rvd25yZXYueG1sTI/NTsMwEITvSLyDtUjcqE35&#10;KYQ4FZRyQIgDbdXzNl6SQLyOYrcNPD1bcYDjzI5mv8mng2/VjvrYBLZwPjKgiMvgGq4srJZPZzeg&#10;YkJ22AYmC18UYVocH+WYubDnN9otUqWkhGOGFuqUukzrWNbkMY5CRyy399B7TCL7Srse91LuWz02&#10;5lp7bFg+1NjRrKbyc7H1FrT3azNff6zmWL/Mwuvl9/Pw8Gjt6clwfwcq0ZD+wnDAF3QohGkTtuyi&#10;akUbI+jJwvjqAtQhcDuRcZtfQxe5/r+g+AEAAP//AwBQSwECLQAUAAYACAAAACEAtoM4kv4AAADh&#10;AQAAEwAAAAAAAAAAAAAAAAAAAAAAW0NvbnRlbnRfVHlwZXNdLnhtbFBLAQItABQABgAIAAAAIQA4&#10;/SH/1gAAAJQBAAALAAAAAAAAAAAAAAAAAC8BAABfcmVscy8ucmVsc1BLAQItABQABgAIAAAAIQAF&#10;TXaNTQIAAG8EAAAOAAAAAAAAAAAAAAAAAC4CAABkcnMvZTJvRG9jLnhtbFBLAQItABQABgAIAAAA&#10;IQA3N4d83QAAAAkBAAAPAAAAAAAAAAAAAAAAAKcEAABkcnMvZG93bnJldi54bWxQSwUGAAAAAAQA&#10;BADzAAAAsQUAAAAA&#10;">
                <v:stroke endarrow="open"/>
              </v:line>
            </w:pict>
          </mc:Fallback>
        </mc:AlternateContent>
      </w:r>
      <w:r w:rsidR="00D06113">
        <w:rPr>
          <w:rFonts w:asciiTheme="minorHAnsi" w:hAnsiTheme="minorHAnsi" w:cs="Calibri"/>
          <w:noProof/>
        </w:rPr>
        <mc:AlternateContent>
          <mc:Choice Requires="wps">
            <w:drawing>
              <wp:anchor distT="0" distB="0" distL="114300" distR="114300" simplePos="0" relativeHeight="251590144" behindDoc="0" locked="0" layoutInCell="1" allowOverlap="1" wp14:anchorId="25A1E7F9" wp14:editId="655E5B86">
                <wp:simplePos x="0" y="0"/>
                <wp:positionH relativeFrom="column">
                  <wp:posOffset>-22593</wp:posOffset>
                </wp:positionH>
                <wp:positionV relativeFrom="paragraph">
                  <wp:posOffset>248920</wp:posOffset>
                </wp:positionV>
                <wp:extent cx="684000" cy="0"/>
                <wp:effectExtent l="0" t="76200" r="20955" b="114300"/>
                <wp:wrapNone/>
                <wp:docPr id="67604"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E735725" id="Přímá spojnice 59" o:spid="_x0000_s1026" style="position:absolute;flip:x y;z-index:25159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9.6pt" to="52.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gTTAIAAGwEAAAOAAAAZHJzL2Uyb0RvYy54bWysVM2O0zAQviPxDpbvbZKSdtuo6Qo1LRwW&#10;qLQLd9d2GoNjW7bbtEL7IBx5AJ5ixXvhcX92Fy4I0YM79sx8/mbmc6bX+1aiHbdOaFXirJ9ixBXV&#10;TKhNiT/eLXtjjJwnihGpFS/xgTt8PXv5YtqZgg90oyXjFgUQ5YrOlLjx3hRJ4mjDW+L62nAVnLW2&#10;LfFhazcJs6QL6K1MBmk6SjptmbGacufCaXV04lnEr2tO/Ye6dtwjWeLAzcfVxnUNazKbkmJjiWkE&#10;PdEg/8CiJUKFSy9QFfEEba34A6oV1Gqna9+nuk10XQvKYw2hmiz9rZrbhhgeawnNcebSJvf/YOn7&#10;3coiwUo8uhqlOUaKtGFMq5/fHn60D9+RM/qzChzRcAK96owrQspcrSxUS/fq1txo+sUhpecNURse&#10;Od8dTADJICN5lgIbZ8KN6+6dZiGGbL2OjdvXtkW1FOYtJEbrE1hwTWgT2seZHS4z43uPaDgcjfM0&#10;DZOlZ1dCCsCCPGOdf8N1i8AosRQKukkKsrtxHrg9hsCx0kshZVSEVKgr8WQ4GMYEp6Vg4IQwZzfr&#10;ubRoR0BT8RcLDZ6nYVZvFYtgDSdsoRjysSvEWt1hgG85w0jy8G7AiqGeCBlCj9ykgutCoYHtyTpq&#10;6usknSzGi3HeywejRS9Pq6r3ejnPe6NldjWsXlXzeZXdA/MsLxrBGFdA/qzvLP87/Zxe2lGZF4Vf&#10;upQ8R4/tDGTP/5F0nD4M/CidtWaHlYXqQAhB0jH49PzgzTzdx6jHj8TsFwAAAP//AwBQSwMEFAAG&#10;AAgAAAAhAADIn7zdAAAACAEAAA8AAABkcnMvZG93bnJldi54bWxMj0FrwkAQhe8F/8MyQm+60Yi0&#10;aTYiBaEXoY059DhmxyQkOxuyG43/vis9tMc37/HeN+luMp240uAaywpWywgEcWl1w5WC4nRYvIBw&#10;HlljZ5kU3MnBLps9pZhoe+Mvuua+EqGEXYIKau/7REpX1mTQLW1PHLyLHQz6IIdK6gFvodx0ch1F&#10;W2mw4bBQY0/vNZVtPhoFx1juP9oNXuKxOJii/c6Pn81dqef5tH8D4Wnyf2F44Ad0yALT2Y6snegU&#10;LOJtSCqIX9cgHn60WYE4/x5klsr/D2Q/AAAA//8DAFBLAQItABQABgAIAAAAIQC2gziS/gAAAOEB&#10;AAATAAAAAAAAAAAAAAAAAAAAAABbQ29udGVudF9UeXBlc10ueG1sUEsBAi0AFAAGAAgAAAAhADj9&#10;If/WAAAAlAEAAAsAAAAAAAAAAAAAAAAALwEAAF9yZWxzLy5yZWxzUEsBAi0AFAAGAAgAAAAhAMpq&#10;iBNMAgAAbAQAAA4AAAAAAAAAAAAAAAAALgIAAGRycy9lMm9Eb2MueG1sUEsBAi0AFAAGAAgAAAAh&#10;AADIn7zdAAAACAEAAA8AAAAAAAAAAAAAAAAApgQAAGRycy9kb3ducmV2LnhtbFBLBQYAAAAABAAE&#10;APMAAACwBQAAAAA=&#10;">
                <v:stroke startarrow="open"/>
              </v:line>
            </w:pict>
          </mc:Fallback>
        </mc:AlternateContent>
      </w:r>
      <w:r w:rsidR="000C4BA5">
        <w:rPr>
          <w:rFonts w:asciiTheme="minorHAnsi" w:hAnsiTheme="minorHAnsi" w:cs="Calibri"/>
          <w:noProof/>
        </w:rPr>
        <mc:AlternateContent>
          <mc:Choice Requires="wps">
            <w:drawing>
              <wp:anchor distT="0" distB="0" distL="114300" distR="114300" simplePos="0" relativeHeight="251580928" behindDoc="0" locked="0" layoutInCell="1" allowOverlap="1" wp14:anchorId="1949E821" wp14:editId="6FEA0CBA">
                <wp:simplePos x="0" y="0"/>
                <wp:positionH relativeFrom="column">
                  <wp:posOffset>4100195</wp:posOffset>
                </wp:positionH>
                <wp:positionV relativeFrom="paragraph">
                  <wp:posOffset>157480</wp:posOffset>
                </wp:positionV>
                <wp:extent cx="1115695" cy="246460"/>
                <wp:effectExtent l="0" t="0" r="0" b="1270"/>
                <wp:wrapNone/>
                <wp:docPr id="2385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246460"/>
                        </a:xfrm>
                        <a:prstGeom prst="rect">
                          <a:avLst/>
                        </a:prstGeom>
                        <a:noFill/>
                        <a:ln w="9525">
                          <a:noFill/>
                          <a:miter lim="800000"/>
                          <a:headEnd/>
                          <a:tailEnd/>
                        </a:ln>
                      </wps:spPr>
                      <wps:txbx>
                        <w:txbxContent>
                          <w:p w14:paraId="61DB244B"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Špatný systém řízení</w:t>
                            </w:r>
                          </w:p>
                        </w:txbxContent>
                      </wps:txbx>
                      <wps:bodyPr rot="0" vert="horz" wrap="square" lIns="91440" tIns="45720" rIns="91440" bIns="45720" anchor="t" anchorCtr="0">
                        <a:noAutofit/>
                      </wps:bodyPr>
                    </wps:wsp>
                  </a:graphicData>
                </a:graphic>
              </wp:anchor>
            </w:drawing>
          </mc:Choice>
          <mc:Fallback>
            <w:pict>
              <v:shape w14:anchorId="1949E821" id="_x0000_s1411" type="#_x0000_t202" style="position:absolute;left:0;text-align:left;margin-left:322.85pt;margin-top:12.4pt;width:87.85pt;height:19.4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E75GwIAAAQEAAAOAAAAZHJzL2Uyb0RvYy54bWysU1GO0zAQ/UfiDpb/aZrQdNuo6WrZZRHS&#10;AivtcgDXcRoL22Nst0m5EefgYoydtlvBHyIflp3xvJn35nl1PWhF9sJ5Caam+WRKiTAcGmm2Nf36&#10;fP9mQYkPzDRMgRE1PQhPr9evX616W4kCOlCNcARBjK96W9MuBFtlmeed0MxPwAqDwRacZgGPbps1&#10;jvWIrlVWTKfzrAfXWAdceI9/78YgXSf8thU8fGlbLwJRNcXeQlpdWjdxzdYrVm0ds53kxzbYP3Sh&#10;mTRY9Ax1xwIjOyf/gtKSO/DQhgkHnUHbSi4SB2STT/9g89QxKxIXFMfbs0z+/8Hyz/tHR2RT0+Lt&#10;olxSYpjGMT2LIcD+109iQQlSRJl66yu8/WTxfhjewYDjTpS9fQD+zRMDtx0zW3HjHPSdYA22mcfM&#10;7CJ1xPERZNN/ggZrsV2ABDS0TkcNURWC6Diuw3lE2A/hsWSel/NlSQnHWDGbz+ZphhmrTtnW+fBB&#10;gCZxU1OHFkjobP/gQ+yGVacrsZiBe6lUsoEypK/psizKlHAR0TKgS5XUNV1M4zf6JpJ8b5qUHJhU&#10;4x4LKHNkHYmOlMOwGZLO+dXyJOcGmgMK4WC0JT4j3HTgflDSoyVr6r/vmBOUqI8GxVzms1n0cDrM&#10;yqsCD+4ysrmMMMMRqqaBknF7G5LvR9I3KHorkx5xOmMnx6bRakmm47OIXr48p1svj3f9GwAA//8D&#10;AFBLAwQUAAYACAAAACEAwC5SUt4AAAAJAQAADwAAAGRycy9kb3ducmV2LnhtbEyPy07DMBBF90j9&#10;B2uQ2FG7IQ0lxKkQiC2o5SGxc+NpEjUeR7HbhL/vdAXL0T26c26xnlwnTjiE1pOGxVyBQKq8banW&#10;8PnxersCEaIhazpPqOEXA6zL2VVhcutH2uBpG2vBJRRyo6GJsc+lDFWDzoS575E42/vBmcjnUEs7&#10;mJHLXScTpTLpTEv8oTE9PjdYHbZHp+Hrbf/znar3+sUt+9FPSpJ7kFrfXE9PjyAiTvEPhos+q0PJ&#10;Tjt/JBtEpyFLl/eMakhSnsDAKlmkIHac3GUgy0L+X1CeAQAA//8DAFBLAQItABQABgAIAAAAIQC2&#10;gziS/gAAAOEBAAATAAAAAAAAAAAAAAAAAAAAAABbQ29udGVudF9UeXBlc10ueG1sUEsBAi0AFAAG&#10;AAgAAAAhADj9If/WAAAAlAEAAAsAAAAAAAAAAAAAAAAALwEAAF9yZWxzLy5yZWxzUEsBAi0AFAAG&#10;AAgAAAAhADWoTvkbAgAABAQAAA4AAAAAAAAAAAAAAAAALgIAAGRycy9lMm9Eb2MueG1sUEsBAi0A&#10;FAAGAAgAAAAhAMAuUlLeAAAACQEAAA8AAAAAAAAAAAAAAAAAdQQAAGRycy9kb3ducmV2LnhtbFBL&#10;BQYAAAAABAAEAPMAAACABQAAAAA=&#10;" filled="f" stroked="f">
                <v:textbox>
                  <w:txbxContent>
                    <w:p w14:paraId="61DB244B"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Špatný systém řízení</w:t>
                      </w:r>
                    </w:p>
                  </w:txbxContent>
                </v:textbox>
              </v:shape>
            </w:pict>
          </mc:Fallback>
        </mc:AlternateContent>
      </w:r>
      <w:r w:rsidR="000C4BA5">
        <w:rPr>
          <w:rFonts w:asciiTheme="minorHAnsi" w:hAnsiTheme="minorHAnsi" w:cs="Calibri"/>
          <w:noProof/>
        </w:rPr>
        <mc:AlternateContent>
          <mc:Choice Requires="wps">
            <w:drawing>
              <wp:anchor distT="0" distB="0" distL="114300" distR="114300" simplePos="0" relativeHeight="251593216" behindDoc="0" locked="0" layoutInCell="1" allowOverlap="1" wp14:anchorId="63038825" wp14:editId="00F72EBD">
                <wp:simplePos x="0" y="0"/>
                <wp:positionH relativeFrom="column">
                  <wp:posOffset>3270885</wp:posOffset>
                </wp:positionH>
                <wp:positionV relativeFrom="paragraph">
                  <wp:posOffset>241935</wp:posOffset>
                </wp:positionV>
                <wp:extent cx="684000" cy="0"/>
                <wp:effectExtent l="0" t="76200" r="20955" b="114300"/>
                <wp:wrapNone/>
                <wp:docPr id="67607"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0466A1FF" id="Přímá spojnice 59" o:spid="_x0000_s1026" style="position:absolute;flip:x y;z-index:25159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55pt,19.05pt" to="311.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YTAIAAGwEAAAOAAAAZHJzL2Uyb0RvYy54bWysVM2O0zAQviPxDpbvbZKSdtuo6Qo1LRwW&#10;qLQLd9d2GoNjW7bbtEL7IBx5AJ5ixXvhcX92Fy4I0YM79sx8/mbmc6bX+1aiHbdOaFXirJ9ixBXV&#10;TKhNiT/eLXtjjJwnihGpFS/xgTt8PXv5YtqZgg90oyXjFgUQ5YrOlLjx3hRJ4mjDW+L62nAVnLW2&#10;LfFhazcJs6QL6K1MBmk6SjptmbGacufCaXV04lnEr2tO/Ye6dtwjWeLAzcfVxnUNazKbkmJjiWkE&#10;PdEg/8CiJUKFSy9QFfEEba34A6oV1Gqna9+nuk10XQvKYw2hmiz9rZrbhhgeawnNcebSJvf/YOn7&#10;3coiwUo8uhqlVxgp0oYxrX5+e/jRPnxHzujPKnBEwwn0qjOuCClztbJQLd2rW3Oj6ReHlJ43RG14&#10;5Hx3MAEkg4zkWQpsnAk3rrt3moUYsvU6Nm5f2xbVUpi3kBitT2DBNaFNaB9ndrjMjO89ouFwNM7T&#10;NEyWnl0JKQAL8ox1/g3XLQKjxFIo6CYpyO7GeeD2GALHSi+FlFERUqGuxJPhYBgTnJaCgRPCnN2s&#10;59KiHQFNxV8sNHiehlm9VSyCNZywhWLIx64Qa3WHAb7lDCPJw7sBK4Z6ImQIPXKTCq4LhQa2J+uo&#10;qa+TdLIYL8Z5Lx+MFr08rare6+U8742W2dWwelXN51V2D8yzvGgEY1wB+bO+s/zv9HN6aUdlXhR+&#10;6VLyHD22M5A9/0fScfow8KN01podVhaqAyEEScfg0/ODN/N0H6MePxKzXwAAAP//AwBQSwMEFAAG&#10;AAgAAAAhAG8OOWreAAAACQEAAA8AAABkcnMvZG93bnJldi54bWxMj09Lw0AQxe+C32EZwZvd/LGl&#10;xGxKEQpeChpz8LjNTpOQ7GzIbtr02zviQU/DzHu8+b18t9hBXHDynSMF8SoCgVQ701GjoPo8PG1B&#10;+KDJ6MERKrihh11xf5frzLgrfeClDI3gEPKZVtCGMGZS+rpFq/3KjUisnd1kdeB1aqSZ9JXD7SCT&#10;KNpIqzviD60e8bXFui9nq+CYyv1b/6zP6VwdbNV/lcf37qbU48OyfwERcAl/ZvjBZ3QomOnkZjJe&#10;DArW8Tpmq4J0y5MNmyThLqffgyxy+b9B8Q0AAP//AwBQSwECLQAUAAYACAAAACEAtoM4kv4AAADh&#10;AQAAEwAAAAAAAAAAAAAAAAAAAAAAW0NvbnRlbnRfVHlwZXNdLnhtbFBLAQItABQABgAIAAAAIQA4&#10;/SH/1gAAAJQBAAALAAAAAAAAAAAAAAAAAC8BAABfcmVscy8ucmVsc1BLAQItABQABgAIAAAAIQD3&#10;Wt+YTAIAAGwEAAAOAAAAAAAAAAAAAAAAAC4CAABkcnMvZTJvRG9jLnhtbFBLAQItABQABgAIAAAA&#10;IQBvDjlq3gAAAAkBAAAPAAAAAAAAAAAAAAAAAKYEAABkcnMvZG93bnJldi54bWxQSwUGAAAAAAQA&#10;BADzAAAAsQUAAAAA&#10;">
                <v:stroke startarrow="open"/>
              </v:line>
            </w:pict>
          </mc:Fallback>
        </mc:AlternateContent>
      </w:r>
    </w:p>
    <w:p w14:paraId="5594F983" w14:textId="7D8446BA" w:rsidR="003B3D24" w:rsidRDefault="00144BDE"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02432" behindDoc="0" locked="0" layoutInCell="1" allowOverlap="1" wp14:anchorId="46F62C60" wp14:editId="25C8C32E">
                <wp:simplePos x="0" y="0"/>
                <wp:positionH relativeFrom="column">
                  <wp:posOffset>838200</wp:posOffset>
                </wp:positionH>
                <wp:positionV relativeFrom="paragraph">
                  <wp:posOffset>176530</wp:posOffset>
                </wp:positionV>
                <wp:extent cx="822123" cy="246380"/>
                <wp:effectExtent l="0" t="0" r="0" b="1270"/>
                <wp:wrapNone/>
                <wp:docPr id="2403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23" cy="246380"/>
                        </a:xfrm>
                        <a:prstGeom prst="rect">
                          <a:avLst/>
                        </a:prstGeom>
                        <a:noFill/>
                        <a:ln w="9525">
                          <a:noFill/>
                          <a:miter lim="800000"/>
                          <a:headEnd/>
                          <a:tailEnd/>
                        </a:ln>
                      </wps:spPr>
                      <wps:txbx>
                        <w:txbxContent>
                          <w:p w14:paraId="234050F9" w14:textId="348816D4"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Nemá kapacity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6F62C60" id="_x0000_s1412" type="#_x0000_t202" style="position:absolute;left:0;text-align:left;margin-left:66pt;margin-top:13.9pt;width:64.75pt;height:19.4pt;z-index:25160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wGQIAAAMEAAAOAAAAZHJzL2Uyb0RvYy54bWysU1tu2zAQ/C/QOxD8r/WwnTqC5SBNmqJA&#10;+gCSHoCiKIsoyWVJ2pJ7o5yjF+uSchyj/SuqD4LUcmd3Zofrq1ErshfOSzA1LWY5JcJwaKXZ1vTb&#10;492bFSU+MNMyBUbU9CA8vdq8frUebCVK6EG1whEEMb4abE37EGyVZZ73QjM/AysMBjtwmgU8um3W&#10;OjYgulZZmecX2QCutQ648B7/3k5Bukn4XSd4+NJ1XgSiaoq9hbS6tDZxzTZrVm0ds73kxzbYP3Sh&#10;mTRY9AR1ywIjOyf/gtKSO/DQhRkHnUHXSS4SB2RT5H+weeiZFYkLiuPtSSb//2D55/1XR2Rb03KR&#10;z5eUGKZxTI9iDLD/9UQsKEHKKNNgfYW3HyzeD+M7GHHcibK398C/e2LgpmdmK66dg6EXrMU2i5iZ&#10;naVOOD6CNMMnaLEW2wVIQGPndNQQVSGIjuM6nEaE/RCOP1dlWZRzSjiGysXFfJVGmLHqOdk6Hz4I&#10;0CRuaurQAQmc7e99iM2w6vlKrGXgTiqVXKAMGWp6uSyXKeEsomVAkyqpsX4ev8k2keN706bkwKSa&#10;9lhAmSPpyHNiHMZmTDIXU8dRkgbaA+rgYHIlviLc9OB+UjKgI2vqf+yYE5Sojwa1vCwWi2jhdFgs&#10;35Z4cOeR5jzCDEeomgZKpu1NSLafSF+j5p1Merx0cmwanZZkOr6KaOXzc7r18nY3vwEAAP//AwBQ&#10;SwMEFAAGAAgAAAAhALTuJzHdAAAACQEAAA8AAABkcnMvZG93bnJldi54bWxMj8tOwzAQRfdI/IM1&#10;SOyo3UANTeNUFYgtqOUhsXPjaRI1Hkex24S/Z1jB8mqu7pxTrCffiTMOsQ1kYD5TIJCq4FqqDby/&#10;Pd88gIjJkrNdIDTwjRHW5eVFYXMXRtrieZdqwSMUc2ugSanPpYxVg97GWeiR+HYIg7eJ41BLN9iR&#10;x30nM6W09LYl/tDYHh8brI67kzfw8XL4+rxTr/WTX/RjmJQkv5TGXF9NmxWIhFP6K8MvPqNDyUz7&#10;cCIXRcf5NmOXZCC7ZwUuZHq+ALE3oLUGWRbyv0H5AwAA//8DAFBLAQItABQABgAIAAAAIQC2gziS&#10;/gAAAOEBAAATAAAAAAAAAAAAAAAAAAAAAABbQ29udGVudF9UeXBlc10ueG1sUEsBAi0AFAAGAAgA&#10;AAAhADj9If/WAAAAlAEAAAsAAAAAAAAAAAAAAAAALwEAAF9yZWxzLy5yZWxzUEsBAi0AFAAGAAgA&#10;AAAhAOEZH/AZAgAAAwQAAA4AAAAAAAAAAAAAAAAALgIAAGRycy9lMm9Eb2MueG1sUEsBAi0AFAAG&#10;AAgAAAAhALTuJzHdAAAACQEAAA8AAAAAAAAAAAAAAAAAcwQAAGRycy9kb3ducmV2LnhtbFBLBQYA&#10;AAAABAAEAPMAAAB9BQAAAAA=&#10;" filled="f" stroked="f">
                <v:textbox>
                  <w:txbxContent>
                    <w:p w14:paraId="234050F9" w14:textId="348816D4"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Nemá kapacity</w:t>
                      </w:r>
                    </w:p>
                  </w:txbxContent>
                </v:textbox>
              </v:shape>
            </w:pict>
          </mc:Fallback>
        </mc:AlternateContent>
      </w:r>
      <w:r w:rsidR="00EB4E05">
        <w:rPr>
          <w:rFonts w:asciiTheme="minorHAnsi" w:hAnsiTheme="minorHAnsi" w:cs="Calibri"/>
          <w:noProof/>
        </w:rPr>
        <mc:AlternateContent>
          <mc:Choice Requires="wps">
            <w:drawing>
              <wp:anchor distT="0" distB="0" distL="114300" distR="114300" simplePos="0" relativeHeight="251592192" behindDoc="0" locked="0" layoutInCell="1" allowOverlap="1" wp14:anchorId="42163A01" wp14:editId="21F4903C">
                <wp:simplePos x="0" y="0"/>
                <wp:positionH relativeFrom="column">
                  <wp:posOffset>1632585</wp:posOffset>
                </wp:positionH>
                <wp:positionV relativeFrom="paragraph">
                  <wp:posOffset>181610</wp:posOffset>
                </wp:positionV>
                <wp:extent cx="684000" cy="0"/>
                <wp:effectExtent l="0" t="76200" r="20955" b="114300"/>
                <wp:wrapNone/>
                <wp:docPr id="67606"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8D52F0D" id="Přímá spojnice 59" o:spid="_x0000_s1026" style="position:absolute;flip:x y;z-index:25159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55pt,14.3pt" to="18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3hTAIAAGwEAAAOAAAAZHJzL2Uyb0RvYy54bWysVMGO0zAQvSPxD5bvbZKSZtto0xVqWjgs&#10;UGkX7q7tNAbHtmy3aYX2QzjyAXzFiv/C43a7u3BBiB7csWfm+c3Mcy6v9p1EO26d0KrC2TDFiCuq&#10;mVCbCn+8XQ4mGDlPFCNSK17hA3f4avbyxWVvSj7SrZaMWxRAlCt7U+HWe1MmiaMt74gbasNVcDba&#10;dsSHrd0kzJI+oHcyGaVpkfTaMmM15c6F0/roxLOI3zSc+g9N47hHssKBm4+rjesa1mR2ScqNJaYV&#10;9ESD/AOLjggVLj1D1cQTtLXiD6hOUKudbvyQ6i7RTSMojzWEarL0t2puWmJ4rCU0x5lzm9z/g6Xv&#10;dyuLBKtwcVGkBUaKdGFMq5/f7n9099+RM/qzChzReAq96o0rQ8pcrSxUS/fqxlxr+sUhpectURse&#10;Od8eTADJICN5lgIbZ8KN6/6dZiGGbL2Ojds3tkONFOYtJEbrE1hwTWgT2seZHc4z43uPaDgsJnma&#10;hsnSB1dCSsCCPGOdf8N1h8CosBQKuklKsrt2Hrg9hsCx0kshZVSEVKiv8HQ8GscEp6Vg4IQwZzfr&#10;ubRoR0BT8RcLDZ6nYVZvFYtgLSdsoRjysSvEWt1jgO84w0jy8G7AiqGeCBlCj9ykgutCoYHtyTpq&#10;6us0nS4mi0k+yEfFYpCndT14vZzng2KZXYzrV/V8Xmd3wDzLy1YwxhWQf9B3lv+dfk4v7ajMs8LP&#10;XUqeo8d2BrIP/5F0nD4M/CidtWaHlYXqQAhB0jH49PzgzTzdx6jHj8TsFwAAAP//AwBQSwMEFAAG&#10;AAgAAAAhACjTwIzfAAAACQEAAA8AAABkcnMvZG93bnJldi54bWxMj0FLw0AQhe+C/2EZwZvdtKmx&#10;xGxKEQpeChpz8DjNbpOQ7GzIbtr03zviwd5m5j3efC/bzrYXZzP61pGC5SICYahyuqVaQfm1f9qA&#10;8AFJY+/IKLgaD9v8/i7DVLsLfZpzEWrBIeRTVNCEMKRS+qoxFv3CDYZYO7nRYuB1rKUe8cLhtper&#10;KEqkxZb4Q4ODeWtM1RWTVXCI5e69W+Mpnsq9Lbvv4vDRXpV6fJh3ryCCmcO/GX7xGR1yZjq6ibQX&#10;vYLV88uSrTxsEhBsiJM1dzn+HWSeydsG+Q8AAAD//wMAUEsBAi0AFAAGAAgAAAAhALaDOJL+AAAA&#10;4QEAABMAAAAAAAAAAAAAAAAAAAAAAFtDb250ZW50X1R5cGVzXS54bWxQSwECLQAUAAYACAAAACEA&#10;OP0h/9YAAACUAQAACwAAAAAAAAAAAAAAAAAvAQAAX3JlbHMvLnJlbHNQSwECLQAUAAYACAAAACEA&#10;HLXt4UwCAABsBAAADgAAAAAAAAAAAAAAAAAuAgAAZHJzL2Uyb0RvYy54bWxQSwECLQAUAAYACAAA&#10;ACEAKNPAjN8AAAAJAQAADwAAAAAAAAAAAAAAAACmBAAAZHJzL2Rvd25yZXYueG1sUEsFBgAAAAAE&#10;AAQA8wAAALIFAAAAAA==&#10;">
                <v:stroke startarrow="open"/>
              </v:line>
            </w:pict>
          </mc:Fallback>
        </mc:AlternateContent>
      </w:r>
      <w:r w:rsidR="00D06113">
        <w:rPr>
          <w:rFonts w:asciiTheme="minorHAnsi" w:hAnsiTheme="minorHAnsi" w:cs="Calibri"/>
          <w:noProof/>
        </w:rPr>
        <mc:AlternateContent>
          <mc:Choice Requires="wps">
            <w:drawing>
              <wp:anchor distT="0" distB="0" distL="114300" distR="114300" simplePos="0" relativeHeight="251606528" behindDoc="0" locked="0" layoutInCell="1" allowOverlap="1" wp14:anchorId="4012FF71" wp14:editId="3E4E0894">
                <wp:simplePos x="0" y="0"/>
                <wp:positionH relativeFrom="column">
                  <wp:posOffset>-167640</wp:posOffset>
                </wp:positionH>
                <wp:positionV relativeFrom="paragraph">
                  <wp:posOffset>85090</wp:posOffset>
                </wp:positionV>
                <wp:extent cx="960120" cy="464820"/>
                <wp:effectExtent l="0" t="0" r="0" b="0"/>
                <wp:wrapNone/>
                <wp:docPr id="240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464820"/>
                        </a:xfrm>
                        <a:prstGeom prst="rect">
                          <a:avLst/>
                        </a:prstGeom>
                        <a:noFill/>
                        <a:ln w="9525">
                          <a:noFill/>
                          <a:miter lim="800000"/>
                          <a:headEnd/>
                          <a:tailEnd/>
                        </a:ln>
                      </wps:spPr>
                      <wps:txbx>
                        <w:txbxContent>
                          <w:p w14:paraId="7B58A266" w14:textId="19A0424A"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nekvalitní subdodavatelé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2FF71" id="_x0000_s1413" type="#_x0000_t202" style="position:absolute;left:0;text-align:left;margin-left:-13.2pt;margin-top:6.7pt;width:75.6pt;height:36.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F0FwIAAAMEAAAOAAAAZHJzL2Uyb0RvYy54bWysU9tuGyEQfa/Uf0C813vR2rVXXkdp0lSV&#10;0ouU9AMwy3pRgaGAvev+Ub8jP9aBdRyrfavKAxqYmTNzDsP6atSKHITzEkxDi1lOiTAcWml2Df32&#10;ePdmSYkPzLRMgRENPQpPrzavX60HW4sSelCtcARBjK8H29A+BFtnmee90MzPwAqDzg6cZgGPbpe1&#10;jg2IrlVW5vkiG8C11gEX3uPt7eSkm4TfdYKHL13nRSCqodhbSLtL+zbu2WbN6p1jtpf81Ab7hy40&#10;kwaLnqFuWWBk7+RfUFpyBx66MOOgM+g6yUXigGyK/A82Dz2zInFBcbw9y+T/Hyz/fPjqiGwbWlb5&#10;akGJYRqf6VGMAQ5Pv4gFJUgZZRqsrzH6wWJ8GN/BiM+dKHt7D/y7JwZuemZ24to5GHrBWmyziJnZ&#10;ReqE4yPIdvgELdZi+wAJaOycjhqiKgTR8bmO5yfCfgjHy9UiL0r0cHRVi2qJdqzA6udk63z4IECT&#10;aDTU4QQkcHa492EKfQ6JtQzcSaXwntXKkAELzMt5SrjwaBlwSJXUDV3mcU1jEzm+N21KDkyqycZe&#10;lDmRjjwnxmHcjknmYpk0iZJsoT2iDg6mqcRfhEYP7iclA05kQ/2PPXOCEvXRoJaroqriCKdDNX8b&#10;ZXCXnu2lhxmOUA0NlEzmTUhjP5G+Rs07mfR46eTUNE5aUvT0K+IoX55T1Mvf3fwGAAD//wMAUEsD&#10;BBQABgAIAAAAIQDJsXnG3QAAAAkBAAAPAAAAZHJzL2Rvd25yZXYueG1sTI/BTsMwEETvSPyDtUjc&#10;WpsQohLiVAjElYrSVurNjbdJRLyOYrcJf9/tCU6r0TzNzhTLyXXijENoPWl4mCsQSJW3LdUaNt8f&#10;swWIEA1Z03lCDb8YYFne3hQmt36kLzyvYy04hEJuNDQx9rmUoWrQmTD3PRJ7Rz84E1kOtbSDGTnc&#10;dTJRKpPOtMQfGtPjW4PVz/rkNGw/j/tdqlb1u3vqRz8pSe5Zan1/N72+gIg4xT8YrvW5OpTc6eBP&#10;ZIPoNMySLGWUjUe+VyBJectBwyLLQJaF/L+gvAAAAP//AwBQSwECLQAUAAYACAAAACEAtoM4kv4A&#10;AADhAQAAEwAAAAAAAAAAAAAAAAAAAAAAW0NvbnRlbnRfVHlwZXNdLnhtbFBLAQItABQABgAIAAAA&#10;IQA4/SH/1gAAAJQBAAALAAAAAAAAAAAAAAAAAC8BAABfcmVscy8ucmVsc1BLAQItABQABgAIAAAA&#10;IQAUfLF0FwIAAAMEAAAOAAAAAAAAAAAAAAAAAC4CAABkcnMvZTJvRG9jLnhtbFBLAQItABQABgAI&#10;AAAAIQDJsXnG3QAAAAkBAAAPAAAAAAAAAAAAAAAAAHEEAABkcnMvZG93bnJldi54bWxQSwUGAAAA&#10;AAQABADzAAAAewUAAAAA&#10;" filled="f" stroked="f">
                <v:textbox>
                  <w:txbxContent>
                    <w:p w14:paraId="7B58A266" w14:textId="19A0424A"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nekvalitní subdodavatelé</w:t>
                      </w:r>
                    </w:p>
                  </w:txbxContent>
                </v:textbox>
              </v:shape>
            </w:pict>
          </mc:Fallback>
        </mc:AlternateContent>
      </w:r>
      <w:r w:rsidR="00D06113">
        <w:rPr>
          <w:rFonts w:asciiTheme="minorHAnsi" w:hAnsiTheme="minorHAnsi" w:cs="Calibri"/>
          <w:noProof/>
        </w:rPr>
        <mc:AlternateContent>
          <mc:Choice Requires="wps">
            <w:drawing>
              <wp:anchor distT="0" distB="0" distL="114300" distR="114300" simplePos="0" relativeHeight="251599360" behindDoc="0" locked="0" layoutInCell="1" allowOverlap="1" wp14:anchorId="522837B0" wp14:editId="52ABEF7E">
                <wp:simplePos x="0" y="0"/>
                <wp:positionH relativeFrom="column">
                  <wp:posOffset>2242185</wp:posOffset>
                </wp:positionH>
                <wp:positionV relativeFrom="paragraph">
                  <wp:posOffset>31750</wp:posOffset>
                </wp:positionV>
                <wp:extent cx="610870" cy="0"/>
                <wp:effectExtent l="38100" t="76200" r="0" b="114300"/>
                <wp:wrapNone/>
                <wp:docPr id="67613"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63A50410" id="Přímá spojnice 23716" o:spid="_x0000_s1026" style="position:absolute;flip:x y;z-index:251599360;visibility:visible;mso-wrap-style:square;mso-wrap-distance-left:9pt;mso-wrap-distance-top:0;mso-wrap-distance-right:9pt;mso-wrap-distance-bottom:0;mso-position-horizontal:absolute;mso-position-horizontal-relative:text;mso-position-vertical:absolute;mso-position-vertical-relative:text" from="176.55pt,2.5pt" to="224.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ADTgIAAG8EAAAOAAAAZHJzL2Uyb0RvYy54bWysVM2O0zAQviPxDpbv3STdNO1Gm65Q08Jh&#10;gUq7cHdtpzE4tmW7TSvEg3DkAXiKFe+Fx/3ZXbggRA/u2J755puZz7m+2XUSbbl1QqsKZxcpRlxR&#10;zYRaV/jD/WIwwch5ohiRWvEK77nDN9OXL657U/KhbrVk3KIAolzZmwq33psySRxteUfchTZchctG&#10;2474sLXrhFnSB/ROJsM0LZJeW2aspty5cFofLvE04jcNp/590zjukaxw4ObjauO6gjWZXpNybYlp&#10;BT3SIP/AoiNChaRnqJp4gjZW/AHVCWq1042/oLpLdNMIymMNoZos/a2au5YYHmsJzXHm3Cb3/2Dp&#10;u+3SIsEqXIyL7BIjRbowpuXPbw8/uofvyBn9SQWOaHg5zgpoV29cGaJmammhYLpTd+ZW088OKT1r&#10;iVrzSPt+bwJOBhHJsxDYOBOSrvq3mgUfsvE69m7X2A41Upg3EBitj2BBmtAptItj25/Hxnce0XBY&#10;ZOlkHIZLT1cJKQEL4ox1/jXXHQKjwlIoaCgpyfbWeeD26ALHSi+ElFEUUqG+wlej4SgGOC0Fg0tw&#10;c3a9mkmLtgRkFX+x0HDz1M3qjWIRrOWEzY+2J0IGG/nYIWKt7jGk6jjDSPLwjMA6cJMK0oVCA9uj&#10;dZDVl6v0aj6ZT/JBPizmgzyt68GrxSwfFItsPKov69mszr4C8ywvW8EYV0D+JPEs/zsJHR/bQZxn&#10;kZ+7lDxHj+0MZE//kXScPgz8IJ2VZvulhepACEHV0fn4AuHZPN1Hr8fvxPQXAAAA//8DAFBLAwQU&#10;AAYACAAAACEAyEeAr90AAAAHAQAADwAAAGRycy9kb3ducmV2LnhtbEyPwU7DMBBE70j8g7VI3KhT&#10;kiIIcSoo5YAqDpSq5228JIF4HcVuG/h6Fi5wHM1o5k0xH12nDjSE1rOB6SQBRVx523JtYPP6eHEN&#10;KkRki51nMvBJAebl6UmBufVHfqHDOtZKSjjkaKCJsc+1DlVDDsPE98TivfnBYRQ51NoOeJRy1+nL&#10;JLnSDluWhQZ7WjRUfaz3zoB2bpsst++bJTarhX/Ovp7G+wdjzs/Gu1tQkcb4F4YffEGHUph2fs82&#10;qM5AOkunEjUwk0viZ9lNCmr3q3VZ6P/85TcAAAD//wMAUEsBAi0AFAAGAAgAAAAhALaDOJL+AAAA&#10;4QEAABMAAAAAAAAAAAAAAAAAAAAAAFtDb250ZW50X1R5cGVzXS54bWxQSwECLQAUAAYACAAAACEA&#10;OP0h/9YAAACUAQAACwAAAAAAAAAAAAAAAAAvAQAAX3JlbHMvLnJlbHNQSwECLQAUAAYACAAAACEA&#10;RnnAA04CAABvBAAADgAAAAAAAAAAAAAAAAAuAgAAZHJzL2Uyb0RvYy54bWxQSwECLQAUAAYACAAA&#10;ACEAyEeAr90AAAAHAQAADwAAAAAAAAAAAAAAAACoBAAAZHJzL2Rvd25yZXYueG1sUEsFBgAAAAAE&#10;AAQA8wAAALIFAAAAAA==&#10;">
                <v:stroke endarrow="open"/>
              </v:line>
            </w:pict>
          </mc:Fallback>
        </mc:AlternateContent>
      </w:r>
      <w:r w:rsidR="000C4BA5">
        <w:rPr>
          <w:rFonts w:asciiTheme="minorHAnsi" w:hAnsiTheme="minorHAnsi" w:cs="Calibri"/>
          <w:noProof/>
        </w:rPr>
        <mc:AlternateContent>
          <mc:Choice Requires="wps">
            <w:drawing>
              <wp:anchor distT="0" distB="0" distL="114300" distR="114300" simplePos="0" relativeHeight="251585024" behindDoc="0" locked="0" layoutInCell="1" allowOverlap="1" wp14:anchorId="77D0CCDB" wp14:editId="290F8F24">
                <wp:simplePos x="0" y="0"/>
                <wp:positionH relativeFrom="column">
                  <wp:posOffset>3150235</wp:posOffset>
                </wp:positionH>
                <wp:positionV relativeFrom="paragraph">
                  <wp:posOffset>69850</wp:posOffset>
                </wp:positionV>
                <wp:extent cx="1089660" cy="480060"/>
                <wp:effectExtent l="0" t="0" r="0" b="0"/>
                <wp:wrapNone/>
                <wp:docPr id="239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80060"/>
                        </a:xfrm>
                        <a:prstGeom prst="rect">
                          <a:avLst/>
                        </a:prstGeom>
                        <a:noFill/>
                        <a:ln w="9525">
                          <a:noFill/>
                          <a:miter lim="800000"/>
                          <a:headEnd/>
                          <a:tailEnd/>
                        </a:ln>
                      </wps:spPr>
                      <wps:txbx>
                        <w:txbxContent>
                          <w:p w14:paraId="4C16CE9F"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Nejsou vytvořeny nebo se nedodržují předpisy</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D0CCDB" id="_x0000_s1414" type="#_x0000_t202" style="position:absolute;left:0;text-align:left;margin-left:248.05pt;margin-top:5.5pt;width:85.8pt;height:37.8pt;z-index:25158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oUaGQIAAAQEAAAOAAAAZHJzL2Uyb0RvYy54bWysU9uO2yAQfa/Uf0C8N47dJE2skNV2t1tV&#10;2l6k3X4AwThGBYYCiZ3+0X5Hf6wDzqZR+1bVDwg8zJk5Zw7rq8FocpA+KLCMlpMpJdIKaJTdMfr1&#10;8e7VkpIQuW24BisZPcpArzYvX6x7V8sKOtCN9ARBbKh7x2gXo6uLIohOGh4m4KTFYAve8IhHvysa&#10;z3tEN7qoptNF0YNvnAchQ8C/t2OQbjJ+20oRP7dtkJFoRrG3mFef121ai82a1zvPXafEqQ3+D10Y&#10;riwWPUPd8sjJ3qu/oIwSHgK0cSLAFNC2SsjMAdmU0z/YPHTcycwFxQnuLFP4f7Di0+GLJ6phtHq9&#10;KnFYlhsc06McIhx+PhEHWpIqydS7UOPtB4f34/AWBhx3phzcPYhvgVi46bjdyWvvoe8kb7DNMmUW&#10;F6kjTkgg2/4jNFiL7yNkoKH1JmmIqhBEx3EdzyPCfohIJafL1WKBIYGx2RIdkGdY8Po52/kQ30sw&#10;JG0Y9WiBjM4P9yGmbnj9fCUVs3CntM420Jb0jK7m1TwnXESMiuhSrQyjWBK/0TeJ5Dvb5OTIlR73&#10;WEDbE+tEdKQch+2QdS6XZzm30BxRCA+jLfEZ4aYD/4OSHi3JaPi+515Soj9YFHNVzmbJw/kwm7+p&#10;8OAvI9vLCLcCoRiNlIzbm5h9P5K+RtFblfVI0xk7OTWNVssynZ5F8vLlOd/6/Xg3vwAAAP//AwBQ&#10;SwMEFAAGAAgAAAAhAHzNdyvdAAAACQEAAA8AAABkcnMvZG93bnJldi54bWxMj8tOwzAQRfdI/IM1&#10;SN1RO1Vx2xCnqkDdgigPiZ0bT5OIeBzFbhP+nmEFy9E9unNusZ18Jy44xDaQgWyuQCBVwbVUG3h7&#10;3d+uQcRkydkuEBr4xgjb8vqqsLkLI73g5ZBqwSUUc2ugSanPpYxVg97GeeiRODuFwdvE51BLN9iR&#10;y30nF0pp6W1L/KGxPT40WH0dzt7A+9Pp82OpnutHf9ePYVKS/EYaM7uZdvcgEk7pD4ZffVaHkp2O&#10;4Uwuis7AcqMzRjnIeBMDWq9WII4G1lqDLAv5f0H5AwAA//8DAFBLAQItABQABgAIAAAAIQC2gziS&#10;/gAAAOEBAAATAAAAAAAAAAAAAAAAAAAAAABbQ29udGVudF9UeXBlc10ueG1sUEsBAi0AFAAGAAgA&#10;AAAhADj9If/WAAAAlAEAAAsAAAAAAAAAAAAAAAAALwEAAF9yZWxzLy5yZWxzUEsBAi0AFAAGAAgA&#10;AAAhADrWhRoZAgAABAQAAA4AAAAAAAAAAAAAAAAALgIAAGRycy9lMm9Eb2MueG1sUEsBAi0AFAAG&#10;AAgAAAAhAHzNdyvdAAAACQEAAA8AAAAAAAAAAAAAAAAAcwQAAGRycy9kb3ducmV2LnhtbFBLBQYA&#10;AAAABAAEAPMAAAB9BQAAAAA=&#10;" filled="f" stroked="f">
                <v:textbox>
                  <w:txbxContent>
                    <w:p w14:paraId="4C16CE9F"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Nejsou vytvořeny nebo se nedodržují předpisy</w:t>
                      </w:r>
                    </w:p>
                  </w:txbxContent>
                </v:textbox>
              </v:shape>
            </w:pict>
          </mc:Fallback>
        </mc:AlternateContent>
      </w:r>
      <w:r w:rsidR="000C4BA5">
        <w:rPr>
          <w:rFonts w:asciiTheme="minorHAnsi" w:hAnsiTheme="minorHAnsi" w:cs="Calibri"/>
          <w:noProof/>
        </w:rPr>
        <mc:AlternateContent>
          <mc:Choice Requires="wps">
            <w:drawing>
              <wp:anchor distT="0" distB="0" distL="114300" distR="114300" simplePos="0" relativeHeight="251581952" behindDoc="0" locked="0" layoutInCell="1" allowOverlap="1" wp14:anchorId="21F04F36" wp14:editId="54F30DCD">
                <wp:simplePos x="0" y="0"/>
                <wp:positionH relativeFrom="column">
                  <wp:posOffset>4062730</wp:posOffset>
                </wp:positionH>
                <wp:positionV relativeFrom="paragraph">
                  <wp:posOffset>71755</wp:posOffset>
                </wp:positionV>
                <wp:extent cx="611741" cy="0"/>
                <wp:effectExtent l="38100" t="76200" r="0" b="114300"/>
                <wp:wrapNone/>
                <wp:docPr id="23858"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174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0E5C21C1" id="Přímá spojnice 23716" o:spid="_x0000_s1026" style="position:absolute;flip:x y;z-index:251581952;visibility:visible;mso-wrap-style:square;mso-wrap-distance-left:9pt;mso-wrap-distance-top:0;mso-wrap-distance-right:9pt;mso-wrap-distance-bottom:0;mso-position-horizontal:absolute;mso-position-horizontal-relative:text;mso-position-vertical:absolute;mso-position-vertical-relative:text" from="319.9pt,5.65pt" to="368.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TTQIAAG8EAAAOAAAAZHJzL2Uyb0RvYy54bWysVM2O0zAQviPxDpbvbZo27XajTVeoaeGw&#10;QKVduLux0xgc27K9TSvEg3DkAXiKFe/FjPuzu3BBiB7csT3zzTczn3N1vWsV2QrnpdEFTfsDSoSu&#10;DJd6U9APd8velBIfmOZMGS0KuheeXs9evrjqbC6GpjGKC0cARPu8swVtQrB5kviqES3zfWOFhsva&#10;uJYF2LpNwh3rAL1VyXAwmCSdcdw6Uwnv4bQ8XNJZxK9rUYX3de1FIKqgwC3E1cV1jWsyu2L5xjHb&#10;yOpIg/0Di5ZJDUnPUCULjNw7+QdUKytnvKlDvzJtYupaViLWANWkg9+quW2YFbEWaI635zb5/wdb&#10;vduuHJG8oMPRdAzD0qyFMa1+fnv40T58J96aTxo4kuHoIp1guzrrc4ia65XDgqudvrU3pvrsiTbz&#10;humNiLTv9hZwUoxInoXgxltIuu7eGg4+7D6Y2Ltd7VpSK2nfYGC0PqKFaaBTZBfHtj+PTewCqeBw&#10;kqYXGQRUp6uE5YiFcdb58FqYlqBRUCU1NpTlbHvjA3J7dMFjbZZSqSgKpUlX0MvxcBwDvFGS4yW6&#10;ebdZz5UjW4ayir9YKNw8dXPmXvMI1gjGF0c7MKnAJiF2iDlnOoqpWsEpUQKeEVoHbkpjOigU2B6t&#10;g6y+XA4uF9PFNOtlw8milw3KsvdqOc96k2V6MS5H5Xxepl+ReZrljeRcaCR/knia/Z2Ejo/tIM6z&#10;yM9dSp6jx3YC2dN/JB2njwM/SGdt+H7lsDoUAqg6Oh9fID6bp/vo9fidmP0CAAD//wMAUEsDBBQA&#10;BgAIAAAAIQD3MFMe3gAAAAkBAAAPAAAAZHJzL2Rvd25yZXYueG1sTI/BTsMwEETvSPyDtUjcqBOC&#10;AoQ4FZRyQIgDpep5Gy9JIF5HsdsGvp5FHOA4O6OZt+V8cr3a0xg6zwbSWQKKuPa248bA+vXh7ApU&#10;iMgWe89k4JMCzKvjoxIL6w/8QvtVbJSUcCjQQBvjUGgd6pYchpkfiMV786PDKHJstB3xIOWu1+dJ&#10;kmuHHctCiwMtWqo/VjtnQDu3SZab9/US26eFf774epzu7o05PZlub0BFmuJfGH7wBR0qYdr6Hdug&#10;egN5di3oUYw0AyWByyxPQW1/D7oq9f8Pqm8AAAD//wMAUEsBAi0AFAAGAAgAAAAhALaDOJL+AAAA&#10;4QEAABMAAAAAAAAAAAAAAAAAAAAAAFtDb250ZW50X1R5cGVzXS54bWxQSwECLQAUAAYACAAAACEA&#10;OP0h/9YAAACUAQAACwAAAAAAAAAAAAAAAAAvAQAAX3JlbHMvLnJlbHNQSwECLQAUAAYACAAAACEA&#10;4Af7E00CAABvBAAADgAAAAAAAAAAAAAAAAAuAgAAZHJzL2Uyb0RvYy54bWxQSwECLQAUAAYACAAA&#10;ACEA9zBTHt4AAAAJAQAADwAAAAAAAAAAAAAAAACnBAAAZHJzL2Rvd25yZXYueG1sUEsFBgAAAAAE&#10;AAQA8wAAALIFAAAAAA==&#10;">
                <v:stroke endarrow="open"/>
              </v:line>
            </w:pict>
          </mc:Fallback>
        </mc:AlternateContent>
      </w:r>
    </w:p>
    <w:p w14:paraId="4F34F5D3" w14:textId="7ECC3DA3" w:rsidR="003B3D24" w:rsidRDefault="00D06113"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589120" behindDoc="0" locked="0" layoutInCell="1" allowOverlap="1" wp14:anchorId="5D903D67" wp14:editId="0B655462">
                <wp:simplePos x="0" y="0"/>
                <wp:positionH relativeFrom="column">
                  <wp:posOffset>215265</wp:posOffset>
                </wp:positionH>
                <wp:positionV relativeFrom="paragraph">
                  <wp:posOffset>209550</wp:posOffset>
                </wp:positionV>
                <wp:extent cx="684000" cy="0"/>
                <wp:effectExtent l="0" t="76200" r="20955" b="114300"/>
                <wp:wrapNone/>
                <wp:docPr id="67603"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41CE416" id="Přímá spojnice 59" o:spid="_x0000_s1026" style="position:absolute;flip:x y;z-index:25158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5pt,16.5pt" to="70.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WnTAIAAGwEAAAOAAAAZHJzL2Uyb0RvYy54bWysVM2O0zAQviPxDpbvbZJu2m2jpivUtHBY&#10;oNIu3F3baQyObdlu0wrxIBx5AJ5ixXvhcX92Fy4I0YM79sx8/mbmc6Y3+1aiHbdOaFXirJ9ixBXV&#10;TKhNiT/cL3tjjJwnihGpFS/xgTt8M3v5YtqZgg90oyXjFgUQ5YrOlLjx3hRJ4mjDW+L62nAVnLW2&#10;LfFhazcJs6QL6K1MBmk6SjptmbGacufCaXV04lnEr2tO/fu6dtwjWeLAzcfVxnUNazKbkmJjiWkE&#10;PdEg/8CiJUKFSy9QFfEEba34A6oV1Gqna9+nuk10XQvKYw2hmiz9rZq7hhgeawnNcebSJvf/YOm7&#10;3coiwUo8uh6lVxgp0oYxrX5+e/jRPnxHzuhPKnBEwwn0qjOuCClztbJQLd2rO3Or6WeHlJ43RG14&#10;5Hx/MAEkg4zkWQpsnAk3rru3moUYsvU6Nm5f2xbVUpg3kBitj2DBNaFNaB9ndrjMjO89ouFwNM7T&#10;NEyWnl0JKQAL8ox1/jXXLQKjxFIo6CYpyO7WeeD2GALHSi+FlFERUqGuxJPhYBgTnJaCgRPCnN2s&#10;59KiHQFNxV8sNHiehlm9VSyCNZywhWLIx64Qa3WHAb7lDCPJw7sBK4Z6ImQIPXKTCq4LhQa2J+uo&#10;qS+TdLIYL8Z5Lx+MFr08rareq+U8742W2fWwuqrm8yr7CsyzvGgEY1wB+bO+s/zv9HN6aUdlXhR+&#10;6VLyHD22M5A9/0fScfow8KN01podVhaqAyEEScfg0/ODN/N0H6MePxKzXwAAAP//AwBQSwMEFAAG&#10;AAgAAAAhAOEqn7TcAAAACAEAAA8AAABkcnMvZG93bnJldi54bWxMj0Frg0AQhe+F/IdlAr01a2oI&#10;rXUNoRDoJdAaDz1O3ImK7qy4a2L+fVd6aE/DzHu8+V66m0wnrjS4xrKC9SoCQVxa3XCloDgdnl5A&#10;OI+ssbNMCu7kYJctHlJMtL3xF11zX4kQwi5BBbX3fSKlK2sy6Fa2Jw7axQ4GfViHSuoBbyHcdPI5&#10;irbSYMPhQ409vddUtvloFBxjuf9oN3iJx+JgivY7P342d6Uel9P+DYSnyf+ZYcYP6JAFprMdWTvR&#10;KYjj1+CcZ6g065v1FsT59yCzVP4vkP0AAAD//wMAUEsBAi0AFAAGAAgAAAAhALaDOJL+AAAA4QEA&#10;ABMAAAAAAAAAAAAAAAAAAAAAAFtDb250ZW50X1R5cGVzXS54bWxQSwECLQAUAAYACAAAACEAOP0h&#10;/9YAAACUAQAACwAAAAAAAAAAAAAAAAAvAQAAX3JlbHMvLnJlbHNQSwECLQAUAAYACAAAACEAGuNl&#10;p0wCAABsBAAADgAAAAAAAAAAAAAAAAAuAgAAZHJzL2Uyb0RvYy54bWxQSwECLQAUAAYACAAAACEA&#10;4SqftNwAAAAIAQAADwAAAAAAAAAAAAAAAACmBAAAZHJzL2Rvd25yZXYueG1sUEsFBgAAAAAEAAQA&#10;8wAAAK8FAAAAAA==&#10;">
                <v:stroke startarrow="open"/>
              </v:line>
            </w:pict>
          </mc:Fallback>
        </mc:AlternateContent>
      </w:r>
      <w:r>
        <w:rPr>
          <w:rFonts w:asciiTheme="minorHAnsi" w:hAnsiTheme="minorHAnsi" w:cs="Calibri"/>
          <w:noProof/>
        </w:rPr>
        <mc:AlternateContent>
          <mc:Choice Requires="wps">
            <w:drawing>
              <wp:anchor distT="0" distB="0" distL="114300" distR="114300" simplePos="0" relativeHeight="251600384" behindDoc="0" locked="0" layoutInCell="1" allowOverlap="1" wp14:anchorId="35DD8C98" wp14:editId="4962DE16">
                <wp:simplePos x="0" y="0"/>
                <wp:positionH relativeFrom="column">
                  <wp:posOffset>868680</wp:posOffset>
                </wp:positionH>
                <wp:positionV relativeFrom="paragraph">
                  <wp:posOffset>64770</wp:posOffset>
                </wp:positionV>
                <wp:extent cx="610870" cy="0"/>
                <wp:effectExtent l="38100" t="76200" r="0" b="114300"/>
                <wp:wrapNone/>
                <wp:docPr id="67614"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71F4A750" id="Přímá spojnice 23716" o:spid="_x0000_s1026" style="position:absolute;flip:x y;z-index:251600384;visibility:visible;mso-wrap-style:square;mso-wrap-distance-left:9pt;mso-wrap-distance-top:0;mso-wrap-distance-right:9pt;mso-wrap-distance-bottom:0;mso-position-horizontal:absolute;mso-position-horizontal-relative:text;mso-position-vertical:absolute;mso-position-vertical-relative:text" from="68.4pt,5.1pt" to="11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O6TQIAAG8EAAAOAAAAZHJzL2Uyb0RvYy54bWysVM2O0zAQviPxDpbvbZJumnajTVeoaeGw&#10;QKVduLu20xgc27K9TSvEg3DkAXiKFe+Fx/3ZXbggRA/u2J755puZz7m63nUSbbl1QqsKZ8MUI66o&#10;ZkJtKvzhbjmYYuQ8UYxIrXiF99zh69nLF1e9KflIt1oyblEAUa7sTYVb702ZJI62vCNuqA1X4bLR&#10;tiM+bO0mYZb0Ab2TyShNi6TXlhmrKXcunNaHSzyL+E3DqX/fNI57JCscuPm42riuYU1mV6TcWGJa&#10;QY80yD+w6IhQIekZqiaeoHsr/oDqBLXa6cYPqe4S3TSC8lhDqCZLf6vmtiWGx1pCc5w5t8n9P1j6&#10;bruySLAKF5MiyzFSpAtjWv389vCje/iOnNGfVOCIRheTrIB29caVIWquVhYKpjt1a240/eyQ0vOW&#10;qA2PtO/2JuBkEJE8C4GNMyHpun+rWfAh917H3u0a26FGCvMGAqP1ESxIEzqFdnFs+/PY+M4jGg6L&#10;LJ1OwnDp6SohJWBBnLHOv+a6Q2BUWAoFDSUl2d44D9weXeBY6aWQMopCKtRX+HI8GscAp6VgcAlu&#10;zm7Wc2nRloCs4i8WGm6eull9r1gEazlhi6PtiZDBRj52iFirewypOs4wkjw8I7AO3KSCdKHQwPZo&#10;HWT15TK9XEwX03yQj4rFIE/revBqOc8HxTKbjOuLej6vs6/APMvLVjDGFZA/STzL/05Cx8d2EOdZ&#10;5OcuJc/RYzsD2dN/JB2nDwM/SGet2X5loToQQlB1dD6+QHg2T/fR6/E7MfsFAAD//wMAUEsDBBQA&#10;BgAIAAAAIQDYh6MY3AAAAAkBAAAPAAAAZHJzL2Rvd25yZXYueG1sTI9BT8MwDIXvSPyHyEjcWEqL&#10;JlSaTjDGASEOjGlnrzFNoXGqJtsKvx4jDnDzs5+ev1ctJt+rA42xC2zgcpaBIm6C7bg1sHl9uLgG&#10;FROyxT4wGfikCIv69KTC0oYjv9BhnVolIRxLNOBSGkqtY+PIY5yFgVhub2H0mESOrbYjHiXc9zrP&#10;srn22LF8cDjQ0lHzsd57A9r7bbbavm9W6J6W4fnq63G6uzfm/Gy6vQGVaEp/ZvjBF3SohWkX9myj&#10;6kUXc0FPMmQ5KDHkRSHldr8LXVf6f4P6GwAA//8DAFBLAQItABQABgAIAAAAIQC2gziS/gAAAOEB&#10;AAATAAAAAAAAAAAAAAAAAAAAAABbQ29udGVudF9UeXBlc10ueG1sUEsBAi0AFAAGAAgAAAAhADj9&#10;If/WAAAAlAEAAAsAAAAAAAAAAAAAAAAALwEAAF9yZWxzLy5yZWxzUEsBAi0AFAAGAAgAAAAhAAXx&#10;s7pNAgAAbwQAAA4AAAAAAAAAAAAAAAAALgIAAGRycy9lMm9Eb2MueG1sUEsBAi0AFAAGAAgAAAAh&#10;ANiHoxjcAAAACQEAAA8AAAAAAAAAAAAAAAAApwQAAGRycy9kb3ducmV2LnhtbFBLBQYAAAAABAAE&#10;APMAAACwBQAAAAA=&#10;">
                <v:stroke endarrow="open"/>
              </v:line>
            </w:pict>
          </mc:Fallback>
        </mc:AlternateContent>
      </w:r>
      <w:r>
        <w:rPr>
          <w:rFonts w:asciiTheme="minorHAnsi" w:hAnsiTheme="minorHAnsi" w:cs="Calibri"/>
          <w:noProof/>
        </w:rPr>
        <mc:AlternateContent>
          <mc:Choice Requires="wps">
            <w:drawing>
              <wp:anchor distT="0" distB="0" distL="114300" distR="114300" simplePos="0" relativeHeight="251605504" behindDoc="0" locked="0" layoutInCell="1" allowOverlap="1" wp14:anchorId="127E5621" wp14:editId="70EECB74">
                <wp:simplePos x="0" y="0"/>
                <wp:positionH relativeFrom="column">
                  <wp:posOffset>1485901</wp:posOffset>
                </wp:positionH>
                <wp:positionV relativeFrom="paragraph">
                  <wp:posOffset>57150</wp:posOffset>
                </wp:positionV>
                <wp:extent cx="952500" cy="337820"/>
                <wp:effectExtent l="0" t="0" r="0" b="5080"/>
                <wp:wrapNone/>
                <wp:docPr id="240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37820"/>
                        </a:xfrm>
                        <a:prstGeom prst="rect">
                          <a:avLst/>
                        </a:prstGeom>
                        <a:noFill/>
                        <a:ln w="9525">
                          <a:noFill/>
                          <a:miter lim="800000"/>
                          <a:headEnd/>
                          <a:tailEnd/>
                        </a:ln>
                      </wps:spPr>
                      <wps:txbx>
                        <w:txbxContent>
                          <w:p w14:paraId="46FA9520" w14:textId="24EC03D6"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projektant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5621" id="_x0000_s1415" type="#_x0000_t202" style="position:absolute;left:0;text-align:left;margin-left:117pt;margin-top:4.5pt;width:75pt;height:26.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CGAIAAAMEAAAOAAAAZHJzL2Uyb0RvYy54bWysU9uO0zAQfUfiHyy/01zast2o6WrZZRHS&#10;cpF2+QDHcRoL22Nst0n5I76DH2PstKWCN0QeLDvjOTPnzPH6ZtSK7IXzEkxNi1lOiTAcWmm2Nf3y&#10;/PBqRYkPzLRMgRE1PQhPbzYvX6wHW4kSelCtcARBjK8GW9M+BFtlmee90MzPwAqDwQ6cZgGPbpu1&#10;jg2IrlVW5vnrbADXWgdceI9/76cg3ST8rhM8fOo6LwJRNcXeQlpdWpu4Zps1q7aO2V7yYxvsH7rQ&#10;TBoseoa6Z4GRnZN/QWnJHXjowoyDzqDrJBeJA7Ip8j/YPPXMisQFxfH2LJP/f7D84/6zI7KtabnI&#10;FwUlhmkc07MYA+x//iAWlCBllGmwvsLbTxbvh/ENjDjuRNnbR+BfPTFw1zOzFbfOwdAL1mKbRczM&#10;LlInHB9BmuEDtFiL7QIkoLFzOmqIqhBEx3EdziPCfgjHn9fLcpljhGNoPr9alWmEGatOydb58E6A&#10;JnFTU4cOSOBs/+hDbIZVpyuxloEHqVRygTJkmAqkhIuIlgFNqqSu6SqP32SbyPGtaVNyYFJNeyyg&#10;zJF05DkxDmMzJpmL1fykZgPtAXVwMLkSXxFuenDfKRnQkTX133bMCUrUe4NaXheLRbRwOiyWV0id&#10;uMtIcxlhhiNUTQMl0/YuJNtPpG9R804mPeJwpk6OTaPTkkzHVxGtfHlOt36/3c0vAAAA//8DAFBL&#10;AwQUAAYACAAAACEAboOV1twAAAAIAQAADwAAAGRycy9kb3ducmV2LnhtbEyPzU7DMBCE70i8g7VI&#10;3KhNWqo2ZFMhEFcQ5Ufi5sbbJCJeR7HbhLdne6Kn1WhGs98Um8l36khDbAMj3M4MKOIquJZrhI/3&#10;55sVqJgsO9sFJoRfirApLy8Km7sw8hsdt6lWUsIxtwhNSn2udawa8jbOQk8s3j4M3iaRQ63dYEcp&#10;953OjFlqb1uWD43t6bGh6md78AifL/vvr4V5rZ/8XT+GyWj2a414fTU93INKNKX/MJzwBR1KYdqF&#10;A7uoOoRsvpAtCWEtR/z56qR3CMssA10W+nxA+QcAAP//AwBQSwECLQAUAAYACAAAACEAtoM4kv4A&#10;AADhAQAAEwAAAAAAAAAAAAAAAAAAAAAAW0NvbnRlbnRfVHlwZXNdLnhtbFBLAQItABQABgAIAAAA&#10;IQA4/SH/1gAAAJQBAAALAAAAAAAAAAAAAAAAAC8BAABfcmVscy8ucmVsc1BLAQItABQABgAIAAAA&#10;IQBN/IbCGAIAAAMEAAAOAAAAAAAAAAAAAAAAAC4CAABkcnMvZTJvRG9jLnhtbFBLAQItABQABgAI&#10;AAAAIQBug5XW3AAAAAgBAAAPAAAAAAAAAAAAAAAAAHIEAABkcnMvZG93bnJldi54bWxQSwUGAAAA&#10;AAQABADzAAAAewUAAAAA&#10;" filled="f" stroked="f">
                <v:textbox>
                  <w:txbxContent>
                    <w:p w14:paraId="46FA9520" w14:textId="24EC03D6"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projektant</w:t>
                      </w:r>
                    </w:p>
                  </w:txbxContent>
                </v:textbox>
              </v:shape>
            </w:pict>
          </mc:Fallback>
        </mc:AlternateContent>
      </w:r>
      <w:r w:rsidR="000C4BA5">
        <w:rPr>
          <w:rFonts w:asciiTheme="minorHAnsi" w:hAnsiTheme="minorHAnsi" w:cs="Calibri"/>
          <w:noProof/>
        </w:rPr>
        <mc:AlternateContent>
          <mc:Choice Requires="wps">
            <w:drawing>
              <wp:anchor distT="0" distB="0" distL="114300" distR="114300" simplePos="0" relativeHeight="251596288" behindDoc="0" locked="0" layoutInCell="1" allowOverlap="1" wp14:anchorId="1A57746D" wp14:editId="14001CB3">
                <wp:simplePos x="0" y="0"/>
                <wp:positionH relativeFrom="column">
                  <wp:posOffset>2613025</wp:posOffset>
                </wp:positionH>
                <wp:positionV relativeFrom="paragraph">
                  <wp:posOffset>186690</wp:posOffset>
                </wp:positionV>
                <wp:extent cx="1013460" cy="444500"/>
                <wp:effectExtent l="0" t="0" r="0" b="0"/>
                <wp:wrapNone/>
                <wp:docPr id="676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444500"/>
                        </a:xfrm>
                        <a:prstGeom prst="rect">
                          <a:avLst/>
                        </a:prstGeom>
                        <a:noFill/>
                        <a:ln w="9525">
                          <a:noFill/>
                          <a:miter lim="800000"/>
                          <a:headEnd/>
                          <a:tailEnd/>
                        </a:ln>
                      </wps:spPr>
                      <wps:txbx>
                        <w:txbxContent>
                          <w:p w14:paraId="50532E9A" w14:textId="65F27F9F" w:rsidR="00511D9B" w:rsidRPr="006A0637" w:rsidRDefault="00511D9B" w:rsidP="000C4BA5">
                            <w:pPr>
                              <w:spacing w:line="192" w:lineRule="auto"/>
                              <w:ind w:left="-57" w:right="-57"/>
                              <w:rPr>
                                <w:rFonts w:asciiTheme="minorHAnsi" w:hAnsiTheme="minorHAnsi"/>
                                <w:sz w:val="18"/>
                                <w:szCs w:val="22"/>
                              </w:rPr>
                            </w:pPr>
                            <w:r>
                              <w:rPr>
                                <w:rFonts w:asciiTheme="minorHAnsi" w:hAnsiTheme="minorHAnsi"/>
                                <w:sz w:val="18"/>
                                <w:szCs w:val="22"/>
                              </w:rPr>
                              <w:t>Nebylo dostatek času na kvalitní projekt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7746D" id="_x0000_s1416" type="#_x0000_t202" style="position:absolute;left:0;text-align:left;margin-left:205.75pt;margin-top:14.7pt;width:79.8pt;height:3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JGgIAAAQEAAAOAAAAZHJzL2Uyb0RvYy54bWysU9uO0zAQfUfiHyy/0yQl7Xajpqtll0VI&#10;y0Xa5QMcx2ksbI+x3Sblj/gOfoyx05YK3hB5sOyM58ycM8frm1ErshfOSzA1LWY5JcJwaKXZ1vTL&#10;88OrFSU+MNMyBUbU9CA8vdm8fLEebCXm0INqhSMIYnw12Jr2IdgqyzzvhWZ+BlYYDHbgNAt4dNus&#10;dWxAdK2yeZ4vswFcax1w4T3+vZ+CdJPwu07w8KnrvAhE1RR7C2l1aW3imm3WrNo6ZnvJj22wf+hC&#10;M2mw6BnqngVGdk7+BaUld+ChCzMOOoOuk1wkDsimyP9g89QzKxIXFMfbs0z+/8Hyj/vPjsi2psur&#10;ZYEKGaZxTM9iDLD/+YNYUILMo0yD9RXefrJ4P4xvYMRxJ8rePgL/6omBu56Zrbh1DoZesBbbLGJm&#10;dpE64fgI0gwfoMVabBcgAY2d01FDVIUgOjZzOI8I+yE8lsyL1+USQxxjZVku8jTDjFWnbOt8eCdA&#10;k7ipqUMLJHS2f/QhdsOq05VYzMCDVCrZQBky1PR6MV+khIuIlgFdqqSu6SqP3+SbSPKtaVNyYFJN&#10;eyygzJF1JDpRDmMzJp2LVXmSs4H2gEI4mGyJzwg3PbjvlAxoyZr6bzvmBCXqvUExr4uyjB5Oh3Jx&#10;NceDu4w0lxFmOELVNFAybe9C8v1E+hZF72TSI05n6uTYNFotyXR8FtHLl+d06/fj3fwCAAD//wMA&#10;UEsDBBQABgAIAAAAIQD9htW33QAAAAkBAAAPAAAAZHJzL2Rvd25yZXYueG1sTI9NT8MwDIbvSPyH&#10;yEjcWJKpBVrqTgjEFcT4kLhlTdZWNE7VZGv595gTO9p+9Pp5q83iB3F0U+wDIeiVAuGoCbanFuH9&#10;7enqFkRMhqwZAjmEHxdhU5+fVaa0YaZXd9ymVnAIxdIgdCmNpZSx6Zw3cRVGR3zbh8mbxOPUSjuZ&#10;mcP9INdKXUtveuIPnRndQ+ea7+3BI3w8778+M/XSPvp8nMOiJPlCIl5eLPd3IJJb0j8Mf/qsDjU7&#10;7cKBbBQDQqZ1zijCushAMJDfaA1ih1DwQtaVPG1Q/wIAAP//AwBQSwECLQAUAAYACAAAACEAtoM4&#10;kv4AAADhAQAAEwAAAAAAAAAAAAAAAAAAAAAAW0NvbnRlbnRfVHlwZXNdLnhtbFBLAQItABQABgAI&#10;AAAAIQA4/SH/1gAAAJQBAAALAAAAAAAAAAAAAAAAAC8BAABfcmVscy8ucmVsc1BLAQItABQABgAI&#10;AAAAIQCKw7+JGgIAAAQEAAAOAAAAAAAAAAAAAAAAAC4CAABkcnMvZTJvRG9jLnhtbFBLAQItABQA&#10;BgAIAAAAIQD9htW33QAAAAkBAAAPAAAAAAAAAAAAAAAAAHQEAABkcnMvZG93bnJldi54bWxQSwUG&#10;AAAAAAQABADzAAAAfgUAAAAA&#10;" filled="f" stroked="f">
                <v:textbox>
                  <w:txbxContent>
                    <w:p w14:paraId="50532E9A" w14:textId="65F27F9F" w:rsidR="00511D9B" w:rsidRPr="006A0637" w:rsidRDefault="00511D9B" w:rsidP="000C4BA5">
                      <w:pPr>
                        <w:spacing w:line="192" w:lineRule="auto"/>
                        <w:ind w:left="-57" w:right="-57"/>
                        <w:rPr>
                          <w:rFonts w:asciiTheme="minorHAnsi" w:hAnsiTheme="minorHAnsi"/>
                          <w:sz w:val="18"/>
                          <w:szCs w:val="22"/>
                        </w:rPr>
                      </w:pPr>
                      <w:r>
                        <w:rPr>
                          <w:rFonts w:asciiTheme="minorHAnsi" w:hAnsiTheme="minorHAnsi"/>
                          <w:sz w:val="18"/>
                          <w:szCs w:val="22"/>
                        </w:rPr>
                        <w:t>Nebylo dostatek času na kvalitní projekt</w:t>
                      </w:r>
                    </w:p>
                  </w:txbxContent>
                </v:textbox>
              </v:shape>
            </w:pict>
          </mc:Fallback>
        </mc:AlternateContent>
      </w:r>
      <w:r w:rsidR="000C4BA5">
        <w:rPr>
          <w:rFonts w:asciiTheme="minorHAnsi" w:hAnsiTheme="minorHAnsi" w:cs="Calibri"/>
          <w:noProof/>
        </w:rPr>
        <mc:AlternateContent>
          <mc:Choice Requires="wps">
            <w:drawing>
              <wp:anchor distT="0" distB="0" distL="114300" distR="114300" simplePos="0" relativeHeight="251579904" behindDoc="0" locked="0" layoutInCell="1" allowOverlap="1" wp14:anchorId="438251DF" wp14:editId="6359C6BB">
                <wp:simplePos x="0" y="0"/>
                <wp:positionH relativeFrom="column">
                  <wp:posOffset>4368800</wp:posOffset>
                </wp:positionH>
                <wp:positionV relativeFrom="paragraph">
                  <wp:posOffset>179070</wp:posOffset>
                </wp:positionV>
                <wp:extent cx="834390" cy="231775"/>
                <wp:effectExtent l="0" t="0" r="0" b="0"/>
                <wp:wrapNone/>
                <wp:docPr id="2385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231775"/>
                        </a:xfrm>
                        <a:prstGeom prst="rect">
                          <a:avLst/>
                        </a:prstGeom>
                        <a:noFill/>
                        <a:ln w="9525">
                          <a:noFill/>
                          <a:miter lim="800000"/>
                          <a:headEnd/>
                          <a:tailEnd/>
                        </a:ln>
                      </wps:spPr>
                      <wps:txbx>
                        <w:txbxContent>
                          <w:p w14:paraId="2803326E"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Chaos, zmatky</w:t>
                            </w:r>
                          </w:p>
                        </w:txbxContent>
                      </wps:txbx>
                      <wps:bodyPr rot="0" vert="horz" wrap="square" lIns="91440" tIns="45720" rIns="91440" bIns="45720" anchor="t" anchorCtr="0">
                        <a:noAutofit/>
                      </wps:bodyPr>
                    </wps:wsp>
                  </a:graphicData>
                </a:graphic>
              </wp:anchor>
            </w:drawing>
          </mc:Choice>
          <mc:Fallback>
            <w:pict>
              <v:shape w14:anchorId="438251DF" id="_x0000_s1417" type="#_x0000_t202" style="position:absolute;left:0;text-align:left;margin-left:344pt;margin-top:14.1pt;width:65.7pt;height:18.25pt;z-index:25157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mGAIAAAMEAAAOAAAAZHJzL2Uyb0RvYy54bWysU9uO2yAUfK/Uf0C8N74kaRIrzmq7260q&#10;bS/Sbj+AYByjAocCiZ3+0X5Hf6wHnM1G7VtVPyDwgTkzw7C+GrQiB+G8BFPTYpJTIgyHRppdTb89&#10;3r1ZUuIDMw1TYERNj8LTq83rV+veVqKEDlQjHEEQ46ve1rQLwVZZ5nknNPMTsMJgsQWnWcCl22WN&#10;Yz2ia5WVef4268E11gEX3uPf27FINwm/bQUPX9rWi0BUTZFbSKNL4zaO2WbNqp1jtpP8RIP9AwvN&#10;pMGmZ6hbFhjZO/kXlJbcgYc2TDjoDNpWcpE0oJoi/0PNQ8esSFrQHG/PNvn/B8s/H746IpualtPl&#10;HB0yTOM1PYohwOHXE7GgBCmjTb31Fe5+sLg/DO9gwOtOkr29B/7dEwM3HTM7ce0c9J1gDdIs4sns&#10;4uiI4yPItv8EDfZi+wAJaGidjh6iKwTRkczxfEXIh3D8uZzOpiuscCyV02KxmKcOrHo+bJ0PHwRo&#10;Eic1dZiABM4O9z5EMqx63hJ7GbiTSqUUKEP6mq7m5TwduKhoGTCkSmrsn8dvjE3U+N406XBgUo1z&#10;bKDMSXTUOSoOw3ZINhfLxDhasoXmiD44GFOJrwgnHbiflPSYyJr6H3vmBCXqo0EvV8VsFiOcFrP5&#10;osSFu6xsLyvMcISqaaBknN6EFPtR9DV63srkxwuTE2lMWrLp9CpilC/XadfL2938BgAA//8DAFBL&#10;AwQUAAYACAAAACEAKq0MGd0AAAAJAQAADwAAAGRycy9kb3ducmV2LnhtbEyPzU7DMBCE70i8g7VI&#10;3KjdKBQ3jVMhEFcQ5UfqzY23SUS8jmK3CW/PcoLjaEYz35Tb2ffijGPsAhlYLhQIpDq4jhoD729P&#10;NxpETJac7QOhgW+MsK0uL0pbuDDRK553qRFcQrGwBtqUhkLKWLfobVyEAYm9Yxi9TSzHRrrRTlzu&#10;e5kptZLedsQLrR3wocX6a3fyBj6ej/vPXL00j/52mMKsJPm1NOb6ar7fgEg4p78w/OIzOlTMdAgn&#10;clH0BlZa85dkINMZCA7o5ToHcWAnvwNZlfL/g+oHAAD//wMAUEsBAi0AFAAGAAgAAAAhALaDOJL+&#10;AAAA4QEAABMAAAAAAAAAAAAAAAAAAAAAAFtDb250ZW50X1R5cGVzXS54bWxQSwECLQAUAAYACAAA&#10;ACEAOP0h/9YAAACUAQAACwAAAAAAAAAAAAAAAAAvAQAAX3JlbHMvLnJlbHNQSwECLQAUAAYACAAA&#10;ACEA9q/15hgCAAADBAAADgAAAAAAAAAAAAAAAAAuAgAAZHJzL2Uyb0RvYy54bWxQSwECLQAUAAYA&#10;CAAAACEAKq0MGd0AAAAJAQAADwAAAAAAAAAAAAAAAAByBAAAZHJzL2Rvd25yZXYueG1sUEsFBgAA&#10;AAAEAAQA8wAAAHwFAAAAAA==&#10;" filled="f" stroked="f">
                <v:textbox>
                  <w:txbxContent>
                    <w:p w14:paraId="2803326E" w14:textId="77777777" w:rsidR="00511D9B" w:rsidRPr="006A0637" w:rsidRDefault="00511D9B" w:rsidP="000C4BA5">
                      <w:pPr>
                        <w:spacing w:line="192" w:lineRule="auto"/>
                        <w:ind w:left="-57" w:right="-57"/>
                        <w:rPr>
                          <w:rFonts w:asciiTheme="minorHAnsi" w:hAnsiTheme="minorHAnsi"/>
                          <w:sz w:val="18"/>
                          <w:szCs w:val="22"/>
                        </w:rPr>
                      </w:pPr>
                      <w:r w:rsidRPr="006A0637">
                        <w:rPr>
                          <w:rFonts w:asciiTheme="minorHAnsi" w:hAnsiTheme="minorHAnsi"/>
                          <w:sz w:val="18"/>
                          <w:szCs w:val="22"/>
                        </w:rPr>
                        <w:t>Chaos, zmatky</w:t>
                      </w:r>
                    </w:p>
                  </w:txbxContent>
                </v:textbox>
              </v:shape>
            </w:pict>
          </mc:Fallback>
        </mc:AlternateContent>
      </w:r>
      <w:r w:rsidR="000C4BA5">
        <w:rPr>
          <w:rFonts w:asciiTheme="minorHAnsi" w:hAnsiTheme="minorHAnsi" w:cs="Calibri"/>
          <w:noProof/>
        </w:rPr>
        <mc:AlternateContent>
          <mc:Choice Requires="wps">
            <w:drawing>
              <wp:anchor distT="0" distB="0" distL="114300" distR="114300" simplePos="0" relativeHeight="251594240" behindDoc="0" locked="0" layoutInCell="1" allowOverlap="1" wp14:anchorId="5A5AE5F2" wp14:editId="0629ED9F">
                <wp:simplePos x="0" y="0"/>
                <wp:positionH relativeFrom="column">
                  <wp:posOffset>3509065</wp:posOffset>
                </wp:positionH>
                <wp:positionV relativeFrom="paragraph">
                  <wp:posOffset>203835</wp:posOffset>
                </wp:positionV>
                <wp:extent cx="684000" cy="0"/>
                <wp:effectExtent l="0" t="76200" r="20955" b="114300"/>
                <wp:wrapNone/>
                <wp:docPr id="67608"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929BAD8" id="Přímá spojnice 59" o:spid="_x0000_s1026" style="position:absolute;flip:x y;z-index:25159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3pt,16.05pt" to="330.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dTTAIAAGwEAAAOAAAAZHJzL2Uyb0RvYy54bWysVMFuEzEQvSPxD5bv6e6GTZqsuqlQNoFD&#10;gUgt3J21N2vw2pbtZhOhfghHPoCvqPgvZpw0beGCEDk4Y8/M85uZ57243HWKbIXz0uiSZmcpJULX&#10;hku9KenHm+VgQokPTHOmjBYl3QtPL2cvX1z0thBD0xrFhSMAon3R25K2IdgiSXzdio75M2OFBmdj&#10;XMcCbN0m4Y71gN6pZJim46Q3jltnauE9nFYHJ51F/KYRdfjQNF4EokoK3EJcXVzXuCazC1ZsHLOt&#10;rI802D+w6JjUcOkJqmKBkVsn/4DqZO2MN004q02XmKaRtYg1QDVZ+ls11y2zItYCzfH21Cb//2Dr&#10;99uVI5KXdHw+TmFYmnUwptXPb/c/uvvvxFvzWQNHMppir3rrC0iZ65XDauudvrZXpv7iiTbzlumN&#10;iJxv9hZAMsxInqXgxlu4cd2/Mxxi2G0wsXG7xnWkUdK+xcRofUILr4E2kV2c2f40M7ELpIbD8SRP&#10;U5hs/eBKWIFYmGedD2+E6QgaJVVSYzdZwbZXPiC3xxA81mYplYqKUJr0JZ2OhqOY4I2SHJ0Y5t1m&#10;PVeObBlqKv5ioeB5GubMreYRrBWMLzQnIXaFOWd6ivCd4JQoAe8GrRgamFQQeuCmNF4HhQLbo3XQ&#10;1NdpOl1MFpN8kA/Hi0GeVtXg9XKeD8bL7HxUvarm8yq7Q+ZZXrSSc6GR/IO+s/zv9HN8aQdlnhR+&#10;6lLyHD22E8g+/EfScfo48IN01obvVw6rQyGApGPw8fnhm3m6j1GPH4nZLwAAAP//AwBQSwMEFAAG&#10;AAgAAAAhALdchzDeAAAACQEAAA8AAABkcnMvZG93bnJldi54bWxMj8Fqg0AQhu+FvsMyhd6aNdpI&#10;sa4hFAK9BFrjoceJO1HRnRV3Tczbd0sP7XFmPv75/ny7mEFcaHKdZQXrVQSCuLa640ZBddw/vYBw&#10;HlnjYJkU3MjBtri/yzHT9sqfdCl9I0IIuwwVtN6PmZSubsmgW9mRONzOdjLowzg1Uk94DeFmkHEU&#10;pdJgx+FDiyO9tVT35WwUHBK5e++f8ZzM1d5U/Vd5+OhuSj0+LLtXEJ4W/wfDj35QhyI4nezM2olB&#10;wWYTpwFVkMRrEAFI0ygBcfpdyCKX/xsU3wAAAP//AwBQSwECLQAUAAYACAAAACEAtoM4kv4AAADh&#10;AQAAEwAAAAAAAAAAAAAAAAAAAAAAW0NvbnRlbnRfVHlwZXNdLnhtbFBLAQItABQABgAIAAAAIQA4&#10;/SH/1gAAAJQBAAALAAAAAAAAAAAAAAAAAC8BAABfcmVscy8ucmVsc1BLAQItABQABgAIAAAAIQD9&#10;oEdTTAIAAGwEAAAOAAAAAAAAAAAAAAAAAC4CAABkcnMvZTJvRG9jLnhtbFBLAQItABQABgAIAAAA&#10;IQC3XIcw3gAAAAkBAAAPAAAAAAAAAAAAAAAAAKYEAABkcnMvZG93bnJldi54bWxQSwUGAAAAAAQA&#10;BADzAAAAsQUAAAAA&#10;">
                <v:stroke startarrow="open"/>
              </v:line>
            </w:pict>
          </mc:Fallback>
        </mc:AlternateContent>
      </w:r>
    </w:p>
    <w:p w14:paraId="3DC77452" w14:textId="08C24662" w:rsidR="003B3D24" w:rsidRDefault="00D06113"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11648" behindDoc="0" locked="0" layoutInCell="1" allowOverlap="1" wp14:anchorId="58965FCA" wp14:editId="118D9FA4">
                <wp:simplePos x="0" y="0"/>
                <wp:positionH relativeFrom="column">
                  <wp:posOffset>149566</wp:posOffset>
                </wp:positionH>
                <wp:positionV relativeFrom="paragraph">
                  <wp:posOffset>60325</wp:posOffset>
                </wp:positionV>
                <wp:extent cx="834390" cy="338455"/>
                <wp:effectExtent l="0" t="0" r="0" b="4445"/>
                <wp:wrapNone/>
                <wp:docPr id="241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38455"/>
                        </a:xfrm>
                        <a:prstGeom prst="rect">
                          <a:avLst/>
                        </a:prstGeom>
                        <a:noFill/>
                        <a:ln w="9525">
                          <a:noFill/>
                          <a:miter lim="800000"/>
                          <a:headEnd/>
                          <a:tailEnd/>
                        </a:ln>
                      </wps:spPr>
                      <wps:txbx>
                        <w:txbxContent>
                          <w:p w14:paraId="5256EE87" w14:textId="10B737C4" w:rsidR="00511D9B" w:rsidRPr="006A0637" w:rsidRDefault="00511D9B" w:rsidP="00D06113">
                            <w:pPr>
                              <w:spacing w:line="192" w:lineRule="auto"/>
                              <w:ind w:left="-57" w:right="-57"/>
                              <w:rPr>
                                <w:rFonts w:asciiTheme="minorHAnsi" w:hAnsiTheme="minorHAnsi"/>
                                <w:sz w:val="18"/>
                                <w:szCs w:val="22"/>
                              </w:rPr>
                            </w:pPr>
                            <w:r w:rsidRPr="006A0637">
                              <w:rPr>
                                <w:rFonts w:asciiTheme="minorHAnsi" w:hAnsiTheme="minorHAnsi"/>
                                <w:sz w:val="18"/>
                                <w:szCs w:val="22"/>
                              </w:rPr>
                              <w:t>Chaos, zmatky</w:t>
                            </w:r>
                            <w:r>
                              <w:rPr>
                                <w:rFonts w:asciiTheme="minorHAnsi" w:hAnsiTheme="minorHAnsi"/>
                                <w:sz w:val="18"/>
                                <w:szCs w:val="22"/>
                              </w:rPr>
                              <w:t xml:space="preserve"> na stavbě</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8965FCA" id="_x0000_s1418" type="#_x0000_t202" style="position:absolute;left:0;text-align:left;margin-left:11.8pt;margin-top:4.75pt;width:65.7pt;height:26.65pt;z-index:25161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EjMGwIAAAMEAAAOAAAAZHJzL2Uyb0RvYy54bWysU1tu2zAQ/C/QOxD8ryXLcmILloM0aYoC&#10;6QNIegCaoiyiJJclaUvujXKOXqxLynaN9q+oPghSy53dmR2ubgatyF44L8HUdDrJKRGGQyPNtqZf&#10;nx/eLCjxgZmGKTCipgfh6c369atVbytRQAeqEY4giPFVb2vahWCrLPO8E5r5CVhhMNiC0yzg0W2z&#10;xrEe0bXKijy/ynpwjXXAhff4934M0nXCb1vBw+e29SIQVVPsLaTVpXUT12y9YtXWMdtJfmyD/UMX&#10;mkmDRc9Q9ywwsnPyLygtuQMPbZhw0Bm0reQicUA20/wPNk8dsyJxQXG8Pcvk/x8s/7T/4ohsalqU&#10;0/yaEsM0julZDAH2P1+IBSVIEWXqra/w9pPF+2F4CwOOO1H29hH4N08M3HXMbMWtc9B3gjXY5jRm&#10;ZhepI46PIJv+IzRYi+0CJKChdTpqiKoQRMdxHc4jwn4Ix5+LWTlbYoRjaDZblPN5qsCqU7J1PrwX&#10;oEnc1NShAxI42z/6EJth1elKrGXgQSqVXKAM6Wu6nBfzlHAR0TKgSZXUWD+P32ibyPGdaVJyYFKN&#10;eyygzJF05DkyDsNmSDJPF1cnNTfQHFAHB6Mr8RXhpgP3g5IeHVlT/33HnKBEfTCo5XJaltHC6VDO&#10;rws8uMvI5jLCDEeomgZKxu1dSLYfSd+i5q1MesThjJ0cm0anJZmOryJa+fKcbv1+u+tfAAAA//8D&#10;AFBLAwQUAAYACAAAACEABFRUCtwAAAAHAQAADwAAAGRycy9kb3ducmV2LnhtbEyPwU7DMBBE70j8&#10;g7WVuFG7gURtyKZCIK5UFKjUmxtvk4h4HcVuE/6+7gmOoxnNvCnWk+3EmQbfOkZYzBUI4sqZlmuE&#10;r8+3+yUIHzQb3TkmhF/ysC5vbwqdGzfyB523oRaxhH2uEZoQ+lxKXzVktZ+7njh6RzdYHaIcamkG&#10;PcZy28lEqUxa3XJcaHRPLw1VP9uTRfh+P+53j2pTv9q0H92kJNuVRLybTc9PIAJN4S8MV/yIDmVk&#10;OrgTGy86hOQhi0mEVQriaqdpvHZAyJIlyLKQ//nLCwAAAP//AwBQSwECLQAUAAYACAAAACEAtoM4&#10;kv4AAADhAQAAEwAAAAAAAAAAAAAAAAAAAAAAW0NvbnRlbnRfVHlwZXNdLnhtbFBLAQItABQABgAI&#10;AAAAIQA4/SH/1gAAAJQBAAALAAAAAAAAAAAAAAAAAC8BAABfcmVscy8ucmVsc1BLAQItABQABgAI&#10;AAAAIQC46EjMGwIAAAMEAAAOAAAAAAAAAAAAAAAAAC4CAABkcnMvZTJvRG9jLnhtbFBLAQItABQA&#10;BgAIAAAAIQAEVFQK3AAAAAcBAAAPAAAAAAAAAAAAAAAAAHUEAABkcnMvZG93bnJldi54bWxQSwUG&#10;AAAAAAQABADzAAAAfgUAAAAA&#10;" filled="f" stroked="f">
                <v:textbox>
                  <w:txbxContent>
                    <w:p w14:paraId="5256EE87" w14:textId="10B737C4" w:rsidR="00511D9B" w:rsidRPr="006A0637" w:rsidRDefault="00511D9B" w:rsidP="00D06113">
                      <w:pPr>
                        <w:spacing w:line="192" w:lineRule="auto"/>
                        <w:ind w:left="-57" w:right="-57"/>
                        <w:rPr>
                          <w:rFonts w:asciiTheme="minorHAnsi" w:hAnsiTheme="minorHAnsi"/>
                          <w:sz w:val="18"/>
                          <w:szCs w:val="22"/>
                        </w:rPr>
                      </w:pPr>
                      <w:r w:rsidRPr="006A0637">
                        <w:rPr>
                          <w:rFonts w:asciiTheme="minorHAnsi" w:hAnsiTheme="minorHAnsi"/>
                          <w:sz w:val="18"/>
                          <w:szCs w:val="22"/>
                        </w:rPr>
                        <w:t>Chaos, zmatky</w:t>
                      </w:r>
                      <w:r>
                        <w:rPr>
                          <w:rFonts w:asciiTheme="minorHAnsi" w:hAnsiTheme="minorHAnsi"/>
                          <w:sz w:val="18"/>
                          <w:szCs w:val="22"/>
                        </w:rPr>
                        <w:t xml:space="preserve"> na stavbě</w:t>
                      </w:r>
                    </w:p>
                  </w:txbxContent>
                </v:textbox>
              </v:shape>
            </w:pict>
          </mc:Fallback>
        </mc:AlternateContent>
      </w:r>
      <w:r>
        <w:rPr>
          <w:rFonts w:asciiTheme="minorHAnsi" w:hAnsiTheme="minorHAnsi" w:cs="Calibri"/>
          <w:noProof/>
        </w:rPr>
        <mc:AlternateContent>
          <mc:Choice Requires="wps">
            <w:drawing>
              <wp:anchor distT="0" distB="0" distL="114300" distR="114300" simplePos="0" relativeHeight="251604480" behindDoc="0" locked="0" layoutInCell="1" allowOverlap="1" wp14:anchorId="2879EE4F" wp14:editId="013216DF">
                <wp:simplePos x="0" y="0"/>
                <wp:positionH relativeFrom="column">
                  <wp:posOffset>1153795</wp:posOffset>
                </wp:positionH>
                <wp:positionV relativeFrom="paragraph">
                  <wp:posOffset>248285</wp:posOffset>
                </wp:positionV>
                <wp:extent cx="1115695" cy="246460"/>
                <wp:effectExtent l="0" t="0" r="0" b="1270"/>
                <wp:wrapNone/>
                <wp:docPr id="240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246460"/>
                        </a:xfrm>
                        <a:prstGeom prst="rect">
                          <a:avLst/>
                        </a:prstGeom>
                        <a:noFill/>
                        <a:ln w="9525">
                          <a:noFill/>
                          <a:miter lim="800000"/>
                          <a:headEnd/>
                          <a:tailEnd/>
                        </a:ln>
                      </wps:spPr>
                      <wps:txbx>
                        <w:txbxContent>
                          <w:p w14:paraId="38C4F6A2" w14:textId="77777777" w:rsidR="00511D9B" w:rsidRPr="006A0637" w:rsidRDefault="00511D9B" w:rsidP="00D06113">
                            <w:pPr>
                              <w:spacing w:line="192" w:lineRule="auto"/>
                              <w:ind w:left="-57" w:right="-57"/>
                              <w:rPr>
                                <w:rFonts w:asciiTheme="minorHAnsi" w:hAnsiTheme="minorHAnsi"/>
                                <w:sz w:val="18"/>
                                <w:szCs w:val="22"/>
                              </w:rPr>
                            </w:pPr>
                            <w:r w:rsidRPr="006A0637">
                              <w:rPr>
                                <w:rFonts w:asciiTheme="minorHAnsi" w:hAnsiTheme="minorHAnsi"/>
                                <w:sz w:val="18"/>
                                <w:szCs w:val="22"/>
                              </w:rPr>
                              <w:t>Špatný systém řízení</w:t>
                            </w:r>
                          </w:p>
                        </w:txbxContent>
                      </wps:txbx>
                      <wps:bodyPr rot="0" vert="horz" wrap="square" lIns="91440" tIns="45720" rIns="91440" bIns="45720" anchor="t" anchorCtr="0">
                        <a:noAutofit/>
                      </wps:bodyPr>
                    </wps:wsp>
                  </a:graphicData>
                </a:graphic>
              </wp:anchor>
            </w:drawing>
          </mc:Choice>
          <mc:Fallback>
            <w:pict>
              <v:shape w14:anchorId="2879EE4F" id="_x0000_s1419" type="#_x0000_t202" style="position:absolute;left:0;text-align:left;margin-left:90.85pt;margin-top:19.55pt;width:87.85pt;height:19.4pt;z-index:25160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s9GwIAAAQEAAAOAAAAZHJzL2Uyb0RvYy54bWysU1tu2zAQ/C/QOxD8r/WA7MSC5SBNmqJA&#10;+gCSHoCmKIsoyWVJ2pJ7o54jF+uSsl2j/SuqD4LUcmd3Zoerm1ErshfOSzANLWY5JcJwaKXZNvTr&#10;88Oba0p8YKZlCoxo6EF4erN+/Wo12FqU0INqhSMIYnw92Ib2Idg6yzzvhWZ+BlYYDHbgNAt4dNus&#10;dWxAdK2yMs8X2QCutQ648B7/3k9Buk74XSd4+Nx1XgSiGoq9hbS6tG7imq1XrN46ZnvJj22wf+hC&#10;M2mw6BnqngVGdk7+BaUld+ChCzMOOoOuk1wkDsimyP9g89QzKxIXFMfbs0z+/8HyT/svjsi2oWWV&#10;V6iQYRrH9CzGAPuXn8SCEqSMMg3W13j7yeL9ML6FEcedKHv7CPybJwbuema24tY5GHrBWmyziJnZ&#10;ReqE4yPIZvgILdZiuwAJaOycjhqiKgTRsZnDeUTYD+GxZFHMF8s5JRxjZbWoFmmGGatP2db58F6A&#10;JnHTUIcWSOhs/+hD7IbVpyuxmIEHqVSygTJkaOhyXs5TwkVEy4AuVVI39DqP3+SbSPKdaVNyYFJN&#10;eyygzJF1JDpRDuNmTDoX11cnOTfQHlAIB5Mt8Rnhpgf3g5IBLdlQ/33HnKBEfTAo5rKo4oRCOlTz&#10;qxIP7jKyuYwwwxGqoYGSaXsXku8n0rcoeieTHnE6UyfHptFqSabjs4hevjynW78f7/oXAAAA//8D&#10;AFBLAwQUAAYACAAAACEAOr2GW94AAAAJAQAADwAAAGRycy9kb3ducmV2LnhtbEyPy07DMBBF90j9&#10;B2uQ2FE79JEmxKkQiC2IFpDYufE0iRqPo9htwt8zrGB5NUf3nim2k+vEBYfQetKQzBUIpMrblmoN&#10;7/vn2w2IEA1Z03lCDd8YYFvOrgqTWz/SG152sRZcQiE3GpoY+1zKUDXoTJj7HolvRz84EzkOtbSD&#10;GbncdfJOqbV0piVeaEyPjw1Wp93Zafh4OX59LtVr/eRW/egnJcllUuub6+nhHkTEKf7B8KvP6lCy&#10;08GfyQbRcd4kKaMaFlkCgoHFKl2COGhI0wxkWcj/H5Q/AAAA//8DAFBLAQItABQABgAIAAAAIQC2&#10;gziS/gAAAOEBAAATAAAAAAAAAAAAAAAAAAAAAABbQ29udGVudF9UeXBlc10ueG1sUEsBAi0AFAAG&#10;AAgAAAAhADj9If/WAAAAlAEAAAsAAAAAAAAAAAAAAAAALwEAAF9yZWxzLy5yZWxzUEsBAi0AFAAG&#10;AAgAAAAhANikuz0bAgAABAQAAA4AAAAAAAAAAAAAAAAALgIAAGRycy9lMm9Eb2MueG1sUEsBAi0A&#10;FAAGAAgAAAAhADq9hlveAAAACQEAAA8AAAAAAAAAAAAAAAAAdQQAAGRycy9kb3ducmV2LnhtbFBL&#10;BQYAAAAABAAEAPMAAACABQAAAAA=&#10;" filled="f" stroked="f">
                <v:textbox>
                  <w:txbxContent>
                    <w:p w14:paraId="38C4F6A2" w14:textId="77777777" w:rsidR="00511D9B" w:rsidRPr="006A0637" w:rsidRDefault="00511D9B" w:rsidP="00D06113">
                      <w:pPr>
                        <w:spacing w:line="192" w:lineRule="auto"/>
                        <w:ind w:left="-57" w:right="-57"/>
                        <w:rPr>
                          <w:rFonts w:asciiTheme="minorHAnsi" w:hAnsiTheme="minorHAnsi"/>
                          <w:sz w:val="18"/>
                          <w:szCs w:val="22"/>
                        </w:rPr>
                      </w:pPr>
                      <w:r w:rsidRPr="006A0637">
                        <w:rPr>
                          <w:rFonts w:asciiTheme="minorHAnsi" w:hAnsiTheme="minorHAnsi"/>
                          <w:sz w:val="18"/>
                          <w:szCs w:val="22"/>
                        </w:rPr>
                        <w:t>Špatný systém řízení</w:t>
                      </w:r>
                    </w:p>
                  </w:txbxContent>
                </v:textbox>
              </v:shape>
            </w:pict>
          </mc:Fallback>
        </mc:AlternateContent>
      </w:r>
      <w:r>
        <w:rPr>
          <w:rFonts w:asciiTheme="minorHAnsi" w:hAnsiTheme="minorHAnsi" w:cs="Calibri"/>
          <w:noProof/>
        </w:rPr>
        <mc:AlternateContent>
          <mc:Choice Requires="wps">
            <w:drawing>
              <wp:anchor distT="0" distB="0" distL="114300" distR="114300" simplePos="0" relativeHeight="251591168" behindDoc="0" locked="0" layoutInCell="1" allowOverlap="1" wp14:anchorId="53547428" wp14:editId="79A416A4">
                <wp:simplePos x="0" y="0"/>
                <wp:positionH relativeFrom="column">
                  <wp:posOffset>1845945</wp:posOffset>
                </wp:positionH>
                <wp:positionV relativeFrom="paragraph">
                  <wp:posOffset>132080</wp:posOffset>
                </wp:positionV>
                <wp:extent cx="684000" cy="0"/>
                <wp:effectExtent l="0" t="76200" r="20955" b="114300"/>
                <wp:wrapNone/>
                <wp:docPr id="67605"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1B3622F8" id="Přímá spojnice 59" o:spid="_x0000_s1026" style="position:absolute;flip:x y;z-index:25159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35pt,10.4pt" to="199.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pqTAIAAGwEAAAOAAAAZHJzL2Uyb0RvYy54bWysVM2O0zAQviPxDpbvbZKSdtuo6Qo1LRwW&#10;qLQLd9d2GoNjW7bbtEL7IBx5AJ5ixXvhcX92Fy4I0YM79sx8/mbmc6bX+1aiHbdOaFXirJ9ixBXV&#10;TKhNiT/eLXtjjJwnihGpFS/xgTt8PXv5YtqZgg90oyXjFgUQ5YrOlLjx3hRJ4mjDW+L62nAVnLW2&#10;LfFhazcJs6QL6K1MBmk6SjptmbGacufCaXV04lnEr2tO/Ye6dtwjWeLAzcfVxnUNazKbkmJjiWkE&#10;PdEg/8CiJUKFSy9QFfEEba34A6oV1Gqna9+nuk10XQvKYw2hmiz9rZrbhhgeawnNcebSJvf/YOn7&#10;3coiwUo8uhqlQ4wUacOYVj+/PfxoH74jZ/RnFTii4QR61RlXhJS5Wlmolu7VrbnR9ItDSs8bojY8&#10;cr47mACSQUbyLAU2zoQb1907zUIM2XodG7evbYtqKcxbSIzWJ7DgmtAmtI8zO1xmxvce0XA4Gudp&#10;GiZLz66EFIAFecY6/4brFoFRYikUdJMUZHfjPHB7DIFjpZdCyqgIqVBX4slwMIwJTkvBwAlhzm7W&#10;c2nRjoCm4i8WGjxPw6zeKhbBGk7YQjHkY1eItbrDAN9yhpHk4d2AFUM9ETKEHrlJBdeFQgPbk3XU&#10;1NdJOlmMF+O8lw9Gi16eVlXv9XKe90bL7GpYvarm8yq7B+ZZXjSCMa6A/FnfWf53+jm9tKMyLwq/&#10;dCl5jh7bGcie/yPpOH0Y+FE6a80OKwvVgRCCpGPw6fnBm3m6j1GPH4nZLwAAAP//AwBQSwMEFAAG&#10;AAgAAAAhANFpqFjeAAAACQEAAA8AAABkcnMvZG93bnJldi54bWxMj0FPwzAMhe9I/IfISNxYwjrB&#10;VppOE9IkLpOg9MDRa7K2auNUTbp1/x4jDnCz/Z6ev5dtZ9eLsx1D60nD40KBsFR501KtofzcP6xB&#10;hIhksPdkNVxtgG1+e5NhavyFPuy5iLXgEAopamhiHFIpQ9VYh2HhB0usnfzoMPI61tKMeOFw18ul&#10;Uk/SYUv8ocHBvja26orJaTgkcvfWrfCUTOXeld1XcXhvr1rf3827FxDRzvHPDD/4jA45Mx39RCaI&#10;XsNyo57ZyoPiCmxINusViOPvQeaZ/N8g/wYAAP//AwBQSwECLQAUAAYACAAAACEAtoM4kv4AAADh&#10;AQAAEwAAAAAAAAAAAAAAAAAAAAAAW0NvbnRlbnRfVHlwZXNdLnhtbFBLAQItABQABgAIAAAAIQA4&#10;/SH/1gAAAJQBAAALAAAAAAAAAAAAAAAAAC8BAABfcmVscy8ucmVsc1BLAQItABQABgAIAAAAIQAh&#10;hbpqTAIAAGwEAAAOAAAAAAAAAAAAAAAAAC4CAABkcnMvZTJvRG9jLnhtbFBLAQItABQABgAIAAAA&#10;IQDRaahY3gAAAAkBAAAPAAAAAAAAAAAAAAAAAKYEAABkcnMvZG93bnJldi54bWxQSwUGAAAAAAQA&#10;BADzAAAAsQUAAAAA&#10;">
                <v:stroke startarrow="open"/>
              </v:line>
            </w:pict>
          </mc:Fallback>
        </mc:AlternateContent>
      </w:r>
      <w:r w:rsidR="000C4BA5">
        <w:rPr>
          <w:rFonts w:asciiTheme="minorHAnsi" w:hAnsiTheme="minorHAnsi" w:cs="Calibri"/>
          <w:noProof/>
        </w:rPr>
        <mc:AlternateContent>
          <mc:Choice Requires="wps">
            <w:drawing>
              <wp:anchor distT="0" distB="0" distL="114300" distR="114300" simplePos="0" relativeHeight="251582976" behindDoc="0" locked="0" layoutInCell="1" allowOverlap="1" wp14:anchorId="25F1DD26" wp14:editId="2705832C">
                <wp:simplePos x="0" y="0"/>
                <wp:positionH relativeFrom="column">
                  <wp:posOffset>4324985</wp:posOffset>
                </wp:positionH>
                <wp:positionV relativeFrom="paragraph">
                  <wp:posOffset>106062</wp:posOffset>
                </wp:positionV>
                <wp:extent cx="610870" cy="0"/>
                <wp:effectExtent l="38100" t="76200" r="0" b="114300"/>
                <wp:wrapNone/>
                <wp:docPr id="23853"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6F63C2EA" id="Přímá spojnice 23716" o:spid="_x0000_s1026" style="position:absolute;flip:x y;z-index:251582976;visibility:visible;mso-wrap-style:square;mso-wrap-distance-left:9pt;mso-wrap-distance-top:0;mso-wrap-distance-right:9pt;mso-wrap-distance-bottom:0;mso-position-horizontal:absolute;mso-position-horizontal-relative:text;mso-position-vertical:absolute;mso-position-vertical-relative:text" from="340.55pt,8.35pt" to="38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yTAIAAG8EAAAOAAAAZHJzL2Uyb0RvYy54bWysVM2O0zAQviPxDpbvbZL+N2q6Qk0LhwUq&#10;7cLdtZ3G4NiW7TatEA/CkQfgKVa8Fx73Z3fhghA9uGN75ptvZj5ndnNoJNpz64RWBc66KUZcUc2E&#10;2hb4w/2qM8HIeaIYkVrxAh+5wzfzly9mrcl5T9daMm5RAFEub02Ba+9NniSO1rwhrqsNV+Gy0rYh&#10;PmztNmGWtAG9kUkvTUdJqy0zVlPuXDgtT5d4HvGrilP/vqoc90gWOHDzcbVx3cCazGck31piakHP&#10;NMg/sGiIUCHpFaoknqCdFX9ANYJa7XTlu1Q3ia4qQXmsIVSTpb9Vc1cTw2MtoTnOXNvk/h8sfbdf&#10;WyRYgXv9ybCPkSJNGNP657eHH83Dd+SM/qQCR9Trj7MRtKs1Lg9RC7W2UDA9qDtzq+lnh5Re1ERt&#10;eaR9fzQBJ4OI5FkIbJwJSTftW82CD9l5HXt3qGyDKinMGwiM1kewIE3oFDrEsR2vY+MHj2g4HGXp&#10;ZByGSy9XCckBC+KMdf411w0Co8BSKGgoycn+1nng9ugCx0qvhJRRFFKhtsDTYW8YA5yWgsEluDm7&#10;3SykRXsCsoq/WGi4eepm9U6xCFZzwpZn2xMhg4187BCxVrcYUjWcYSR5eEZgnbhJBelCoYHt2TrJ&#10;6ss0nS4ny8mgM+iNlp1BWpadV6vFoDNaZeNh2S8XizL7CsyzQV4LxrgC8heJZ4O/k9D5sZ3EeRX5&#10;tUvJc/TYzkD28h9Jx+nDwE/S2Wh2XFuoDoQQVB2dzy8Qns3TffR6/E7MfwEAAP//AwBQSwMEFAAG&#10;AAgAAAAhALvT1OXdAAAACQEAAA8AAABkcnMvZG93bnJldi54bWxMj8FOwzAMhu9IvENkJG4sLaB2&#10;Kk0nGOOAEAfGtLPXmqbQOFWTbYWnx4gDHO3/0+/P5WJyvTrQGDrPBtJZAoq49k3HrYHN68PFHFSI&#10;yA32nsnAJwVYVKcnJRaNP/ILHdaxVVLCoUADNsah0DrUlhyGmR+IJXvzo8Mo49jqZsSjlLteXyZJ&#10;ph12LBcsDrS0VH+s986Adm6brLbvmxXap6V/vv56nO7ujTk/m25vQEWa4h8MP/qiDpU47fyem6B6&#10;A9k8TQWVIMtBCZDn+RWo3e9CV6X+/0H1DQAA//8DAFBLAQItABQABgAIAAAAIQC2gziS/gAAAOEB&#10;AAATAAAAAAAAAAAAAAAAAAAAAABbQ29udGVudF9UeXBlc10ueG1sUEsBAi0AFAAGAAgAAAAhADj9&#10;If/WAAAAlAEAAAsAAAAAAAAAAAAAAAAALwEAAF9yZWxzLy5yZWxzUEsBAi0AFAAGAAgAAAAhAD8A&#10;AXJMAgAAbwQAAA4AAAAAAAAAAAAAAAAALgIAAGRycy9lMm9Eb2MueG1sUEsBAi0AFAAGAAgAAAAh&#10;ALvT1OXdAAAACQEAAA8AAAAAAAAAAAAAAAAApgQAAGRycy9kb3ducmV2LnhtbFBLBQYAAAAABAAE&#10;APMAAACwBQAAAAA=&#10;">
                <v:stroke endarrow="open"/>
              </v:line>
            </w:pict>
          </mc:Fallback>
        </mc:AlternateContent>
      </w:r>
      <w:r w:rsidR="000C4BA5">
        <w:rPr>
          <w:rFonts w:asciiTheme="minorHAnsi" w:hAnsiTheme="minorHAnsi" w:cs="Calibri"/>
          <w:noProof/>
        </w:rPr>
        <mc:AlternateContent>
          <mc:Choice Requires="wps">
            <w:drawing>
              <wp:anchor distT="0" distB="0" distL="114300" distR="114300" simplePos="0" relativeHeight="251586048" behindDoc="0" locked="0" layoutInCell="1" allowOverlap="1" wp14:anchorId="3BA1124E" wp14:editId="1985FC17">
                <wp:simplePos x="0" y="0"/>
                <wp:positionH relativeFrom="column">
                  <wp:posOffset>3383280</wp:posOffset>
                </wp:positionH>
                <wp:positionV relativeFrom="paragraph">
                  <wp:posOffset>128905</wp:posOffset>
                </wp:positionV>
                <wp:extent cx="889000" cy="320040"/>
                <wp:effectExtent l="0" t="0" r="0" b="3810"/>
                <wp:wrapNone/>
                <wp:docPr id="2385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20040"/>
                        </a:xfrm>
                        <a:prstGeom prst="rect">
                          <a:avLst/>
                        </a:prstGeom>
                        <a:noFill/>
                        <a:ln w="9525">
                          <a:noFill/>
                          <a:miter lim="800000"/>
                          <a:headEnd/>
                          <a:tailEnd/>
                        </a:ln>
                      </wps:spPr>
                      <wps:txbx>
                        <w:txbxContent>
                          <w:p w14:paraId="26238903" w14:textId="5C127192" w:rsidR="00511D9B" w:rsidRPr="006A0637" w:rsidRDefault="00511D9B" w:rsidP="000C4BA5">
                            <w:pPr>
                              <w:spacing w:line="192" w:lineRule="auto"/>
                              <w:ind w:left="-57" w:right="-57"/>
                              <w:rPr>
                                <w:rFonts w:asciiTheme="minorHAnsi" w:hAnsiTheme="minorHAnsi"/>
                                <w:sz w:val="18"/>
                                <w:szCs w:val="22"/>
                              </w:rPr>
                            </w:pPr>
                            <w:r>
                              <w:rPr>
                                <w:rFonts w:asciiTheme="minorHAnsi" w:hAnsiTheme="minorHAnsi"/>
                                <w:sz w:val="18"/>
                                <w:szCs w:val="22"/>
                              </w:rPr>
                              <w:t>Neřídí se rizika a nehodnotí se 3E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1124E" id="_x0000_s1420" type="#_x0000_t202" style="position:absolute;left:0;text-align:left;margin-left:266.4pt;margin-top:10.15pt;width:70pt;height:25.2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VGQIAAAMEAAAOAAAAZHJzL2Uyb0RvYy54bWysU12O0zAQfkfiDpbfadJsu6RR09WyyyKk&#10;5Ufa5QCO4zQWtsfYbpNyI87BxRg7bangDfFijT0z38z3zXh9M2pF9sJ5Caam81lOiTAcWmm2Nf3y&#10;/PCqpMQHZlqmwIiaHoSnN5uXL9aDrUQBPahWOIIgxleDrWkfgq2yzPNeaOZnYIVBZwdOs4BXt81a&#10;xwZE1yor8vw6G8C11gEX3uPr/eSkm4TfdYKHT13nRSCqpthbSKdLZxPPbLNm1dYx20t+bIP9Qxea&#10;SYNFz1D3LDCyc/IvKC25Aw9dmHHQGXSd5CJxQDbz/A82Tz2zInFBcbw9y+T/Hyz/uP/siGxrWlyV&#10;y2tKDNM4pmcxBtj//EEsKEGKKNNgfYXRTxbjw/gGRhx3ouztI/Cvnhi465nZilvnYOgFa7HNeczM&#10;LlInHB9BmuEDtFiL7QIkoLFzOmqIqhBEx3EdziPCfgjHx7Jc5Tl6OLqucAEWaYQZq07J1vnwToAm&#10;0aipww1I4Gz/6ENshlWnkFjLwINUKm2BMmSo6WpZLFPChUfLgEuqpMb6WB3rp4TI8a1pkx2YVJON&#10;BZQ5ko48J8ZhbMYk87wsT2o20B5QBwfTVuIvQqMH952SATeypv7bjjlBiXpvUMvVfIFsSUiXxfJ1&#10;gRd36WkuPcxwhKppoGQy70Ja+4n0LWreyaRHHM7UybFp3LQk0/FXxFW+vKeo33938wsAAP//AwBQ&#10;SwMEFAAGAAgAAAAhAIHJ/nTdAAAACQEAAA8AAABkcnMvZG93bnJldi54bWxMj8FOwzAQRO9I/IO1&#10;SNyoTUqbNmRTIRDXohao1Jsbb5OIeB3FbhP+vu4Jjjs7mnmTr0bbijP1vnGM8DhRIIhLZxquEL4+&#10;3x8WIHzQbHTrmBB+ycOquL3JdWbcwBs6b0MlYgj7TCPUIXSZlL6syWo/cR1x/B1db3WIZ19J0+sh&#10;httWJkrNpdUNx4Zad/RaU/mzPVmE7/Vxv3tSH9WbnXWDG5Vku5SI93fjyzOIQGP4M8MVP6JDEZkO&#10;7sTGixZhNk0iekBI1BRENMzTq3BASFUKssjl/wXFBQAA//8DAFBLAQItABQABgAIAAAAIQC2gziS&#10;/gAAAOEBAAATAAAAAAAAAAAAAAAAAAAAAABbQ29udGVudF9UeXBlc10ueG1sUEsBAi0AFAAGAAgA&#10;AAAhADj9If/WAAAAlAEAAAsAAAAAAAAAAAAAAAAALwEAAF9yZWxzLy5yZWxzUEsBAi0AFAAGAAgA&#10;AAAhAOj7WxUZAgAAAwQAAA4AAAAAAAAAAAAAAAAALgIAAGRycy9lMm9Eb2MueG1sUEsBAi0AFAAG&#10;AAgAAAAhAIHJ/nTdAAAACQEAAA8AAAAAAAAAAAAAAAAAcwQAAGRycy9kb3ducmV2LnhtbFBLBQYA&#10;AAAABAAEAPMAAAB9BQAAAAA=&#10;" filled="f" stroked="f">
                <v:textbox>
                  <w:txbxContent>
                    <w:p w14:paraId="26238903" w14:textId="5C127192" w:rsidR="00511D9B" w:rsidRPr="006A0637" w:rsidRDefault="00511D9B" w:rsidP="000C4BA5">
                      <w:pPr>
                        <w:spacing w:line="192" w:lineRule="auto"/>
                        <w:ind w:left="-57" w:right="-57"/>
                        <w:rPr>
                          <w:rFonts w:asciiTheme="minorHAnsi" w:hAnsiTheme="minorHAnsi"/>
                          <w:sz w:val="18"/>
                          <w:szCs w:val="22"/>
                        </w:rPr>
                      </w:pPr>
                      <w:r>
                        <w:rPr>
                          <w:rFonts w:asciiTheme="minorHAnsi" w:hAnsiTheme="minorHAnsi"/>
                          <w:sz w:val="18"/>
                          <w:szCs w:val="22"/>
                        </w:rPr>
                        <w:t>Neřídí se rizika a nehodnotí se 3E</w:t>
                      </w:r>
                    </w:p>
                  </w:txbxContent>
                </v:textbox>
              </v:shape>
            </w:pict>
          </mc:Fallback>
        </mc:AlternateContent>
      </w:r>
    </w:p>
    <w:p w14:paraId="27C6515F" w14:textId="1446994A" w:rsidR="003B3D24" w:rsidRDefault="00D06113"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15744" behindDoc="0" locked="0" layoutInCell="1" allowOverlap="1" wp14:anchorId="5AB778F1" wp14:editId="4424AE4F">
                <wp:simplePos x="0" y="0"/>
                <wp:positionH relativeFrom="column">
                  <wp:posOffset>367665</wp:posOffset>
                </wp:positionH>
                <wp:positionV relativeFrom="paragraph">
                  <wp:posOffset>73025</wp:posOffset>
                </wp:positionV>
                <wp:extent cx="684000" cy="0"/>
                <wp:effectExtent l="0" t="76200" r="20955" b="114300"/>
                <wp:wrapNone/>
                <wp:docPr id="24111"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0D6E4473" id="Přímá spojnice 59" o:spid="_x0000_s1026" style="position:absolute;flip:x y;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95pt,5.75pt" to="82.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E3SwIAAGwEAAAOAAAAZHJzL2Uyb0RvYy54bWysVM2O0zAQviPxDpbvbZKSljZqukJJC4cF&#10;Ku3C3bWdxuDYlu1tWiEehCMPwFOseC887s/uwgUhenDHnpnP38x8zvxq30m049YJrUqcDVOMuKKa&#10;CbUt8Yfb1WCKkfNEMSK14iU+cIevFs+fzXtT8JFutWTcogCiXNGbErfemyJJHG15R9xQG66Cs9G2&#10;Iz5s7TZhlvQBvZPJKE0nSa8tM1ZT7lw4rY9OvIj4TcOpf980jnskSxy4+bjauG5gTRZzUmwtMa2g&#10;JxrkH1h0RKhw6QWqJp6gOyv+gOoEtdrpxg+p7hLdNILyWEOoJkt/q+amJYbHWkJznLm0yf0/WPpu&#10;t7ZIsBKP8izLMFKkC2Na//x2/6O7/46c0Z9U4IjGM+hVb1wRUiq1tlAt3asbc63pZ4eUrlqitjxy&#10;vj2YAJJBRvIkBTbOhBs3/VvNQgy58zo2bt/YDjVSmDeQGK2PYME1oU1oH2d2uMyM7z2i4XAyzdM0&#10;TJaeXQkpAAvyjHX+NdcdAqPEUijoJinI7tp54PYQAsdKr4SUURFSob7Es/FoHBOcloKBE8Kc3W4q&#10;adGOgKbiLxYaPI/DrL5TLIK1nLClYsjHrhBrdY8BvuMMI8nDuwErhnoiZAg9cpMKrguFBrYn66ip&#10;L7N0tpwup/kgH02Wgzyt68GrVZUPJqvs5bh+UVdVnX0F5lletIIxroD8Wd9Z/nf6Ob20ozIvCr90&#10;KXmKHtsZyJ7/I+k4fRj4UTobzQ5rC9WBEIKkY/Dp+cGbebyPUQ8ficUvAAAA//8DAFBLAwQUAAYA&#10;CAAAACEAtjsZ690AAAAIAQAADwAAAGRycy9kb3ducmV2LnhtbEyPQU+DQBCF7yb+h82YeLNLraAi&#10;S9OYNPHSRJGDxyk7BQI7S9ilpf/ebTzY47z38uZ72Xo2vTjS6FrLCpaLCARxZXXLtYLye/vwAsJ5&#10;ZI29ZVJwJgfr/PYmw1TbE3/RsfC1CCXsUlTQeD+kUrqqIYNuYQfi4B3saNCHc6ylHvEUyk0vH6Mo&#10;kQZbDh8aHOi9oaorJqNgt5Kbj+4JD6up3Jqy+yl2n+1Zqfu7efMGwtPs/8NwwQ/okAemvZ1YO9Er&#10;iJ9fQzLoyxjExU/iBMT+T5B5Jq8H5L8AAAD//wMAUEsBAi0AFAAGAAgAAAAhALaDOJL+AAAA4QEA&#10;ABMAAAAAAAAAAAAAAAAAAAAAAFtDb250ZW50X1R5cGVzXS54bWxQSwECLQAUAAYACAAAACEAOP0h&#10;/9YAAACUAQAACwAAAAAAAAAAAAAAAAAvAQAAX3JlbHMvLnJlbHNQSwECLQAUAAYACAAAACEAPMzR&#10;N0sCAABsBAAADgAAAAAAAAAAAAAAAAAuAgAAZHJzL2Uyb0RvYy54bWxQSwECLQAUAAYACAAAACEA&#10;tjsZ690AAAAIAQAADwAAAAAAAAAAAAAAAAClBAAAZHJzL2Rvd25yZXYueG1sUEsFBgAAAAAEAAQA&#10;8wAAAK8FAAAAAA==&#10;">
                <v:stroke startarrow="open"/>
              </v:line>
            </w:pict>
          </mc:Fallback>
        </mc:AlternateContent>
      </w:r>
      <w:r>
        <w:rPr>
          <w:rFonts w:asciiTheme="minorHAnsi" w:hAnsiTheme="minorHAnsi" w:cs="Calibri"/>
          <w:noProof/>
        </w:rPr>
        <mc:AlternateContent>
          <mc:Choice Requires="wps">
            <w:drawing>
              <wp:anchor distT="0" distB="0" distL="114300" distR="114300" simplePos="0" relativeHeight="251607552" behindDoc="0" locked="0" layoutInCell="1" allowOverlap="1" wp14:anchorId="6C125F9E" wp14:editId="4E3FF021">
                <wp:simplePos x="0" y="0"/>
                <wp:positionH relativeFrom="column">
                  <wp:posOffset>1122312</wp:posOffset>
                </wp:positionH>
                <wp:positionV relativeFrom="paragraph">
                  <wp:posOffset>169545</wp:posOffset>
                </wp:positionV>
                <wp:extent cx="610870" cy="0"/>
                <wp:effectExtent l="38100" t="76200" r="0" b="114300"/>
                <wp:wrapNone/>
                <wp:docPr id="24103"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4EB8CA36" id="Přímá spojnice 23716" o:spid="_x0000_s1026" style="position:absolute;flip:x y;z-index:251607552;visibility:visible;mso-wrap-style:square;mso-wrap-distance-left:9pt;mso-wrap-distance-top:0;mso-wrap-distance-right:9pt;mso-wrap-distance-bottom:0;mso-position-horizontal:absolute;mso-position-horizontal-relative:text;mso-position-vertical:absolute;mso-position-vertical-relative:text" from="88.35pt,13.35pt" to="136.4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xTTQIAAG8EAAAOAAAAZHJzL2Uyb0RvYy54bWysVM2O0zAQviPxDpbvbZI2/dmo6Qo1LRwW&#10;qLQLd9d2GoNjW7bbtEI8CEcegKdY8V543G53Fy4I0YM7tme++Wbmc2bXh1aiPbdOaFXirJ9ixBXV&#10;TKhtiT/crXpTjJwnihGpFS/xkTt8PX/5YtaZgg90oyXjFgUQ5YrOlLjx3hRJ4mjDW+L62nAVLmtt&#10;W+LD1m4TZkkX0FuZDNJ0nHTaMmM15c6F0+p0iecRv6459e/r2nGPZIkDNx9XG9cNrMl8RoqtJaYR&#10;9EyD/AOLlggVkl6gKuIJ2lnxB1QrqNVO175PdZvouhaUxxpCNVn6WzW3DTE81hKa48ylTe7/wdJ3&#10;+7VFgpV4kGfpECNF2jCm9c9v9z/a++/IGf1JBY5oMJxkY2hXZ1wRohZqbaFgelC35kbTzw4pvWiI&#10;2vJI++5oAk4GEcmzENg4E5JuureaBR+y8zr27lDbFtVSmDcQGK2PYEGa0Cl0iGM7XsbGDx7RcDjO&#10;0ukkDJc+XCWkACyIM9b511y3CIwSS6GgoaQg+xvngdujCxwrvRJSRlFIhboSX40GoxjgtBQMLsHN&#10;2e1mIS3aE5BV/MVCw81TN6t3ikWwhhO2PNueCBls5GOHiLW6w5Cq5QwjycMzAuvETSpIFwoNbM/W&#10;SVZfrtKr5XQ5zXv5YLzs5WlV9V6tFnlvvMomo2pYLRZV9hWYZ3nRCMa4AvIPEs/yv5PQ+bGdxHkR&#10;+aVLyXP02M5A9uE/ko7Th4GfpLPR7Li2UB0IIag6Op9fIDybp/vo9fidmP8CAAD//wMAUEsDBBQA&#10;BgAIAAAAIQCEsXQP3QAAAAkBAAAPAAAAZHJzL2Rvd25yZXYueG1sTI9BT8MwDIXvSPyHyEjcWEqF&#10;VlaaTjDGASEObNPOXmPaQuNUTbYVfj2eOMDJevbT8/eK+eg6daAhtJ4NXE8SUMSVty3XBjbrp6tb&#10;UCEiW+w8k4EvCjAvz88KzK0/8hsdVrFWEsIhRwNNjH2udagachgmvieW27sfHEaRQ63tgEcJd51O&#10;k2SqHbYsHxrsadFQ9bnaOwPauW2y3H5slti8LPzrzffz+PBozOXFeH8HKtIY/8xwwhd0KIVp5/ds&#10;g+pEZ9NMrAbS0xRDmqUzULvfhS4L/b9B+QMAAP//AwBQSwECLQAUAAYACAAAACEAtoM4kv4AAADh&#10;AQAAEwAAAAAAAAAAAAAAAAAAAAAAW0NvbnRlbnRfVHlwZXNdLnhtbFBLAQItABQABgAIAAAAIQA4&#10;/SH/1gAAAJQBAAALAAAAAAAAAAAAAAAAAC8BAABfcmVscy8ucmVsc1BLAQItABQABgAIAAAAIQAL&#10;CWxTTQIAAG8EAAAOAAAAAAAAAAAAAAAAAC4CAABkcnMvZTJvRG9jLnhtbFBLAQItABQABgAIAAAA&#10;IQCEsXQP3QAAAAkBAAAPAAAAAAAAAAAAAAAAAKcEAABkcnMvZG93bnJldi54bWxQSwUGAAAAAAQA&#10;BADzAAAAsQUAAAAA&#10;">
                <v:stroke endarrow="open"/>
              </v:line>
            </w:pict>
          </mc:Fallback>
        </mc:AlternateContent>
      </w:r>
      <w:r w:rsidR="000C4BA5">
        <w:rPr>
          <w:rFonts w:asciiTheme="minorHAnsi" w:hAnsiTheme="minorHAnsi" w:cs="Calibri"/>
          <w:noProof/>
        </w:rPr>
        <mc:AlternateContent>
          <mc:Choice Requires="wps">
            <w:drawing>
              <wp:anchor distT="0" distB="0" distL="114300" distR="114300" simplePos="0" relativeHeight="251598336" behindDoc="0" locked="0" layoutInCell="1" allowOverlap="1" wp14:anchorId="3CEA5116" wp14:editId="05EBFD41">
                <wp:simplePos x="0" y="0"/>
                <wp:positionH relativeFrom="column">
                  <wp:posOffset>2600325</wp:posOffset>
                </wp:positionH>
                <wp:positionV relativeFrom="paragraph">
                  <wp:posOffset>20320</wp:posOffset>
                </wp:positionV>
                <wp:extent cx="610870" cy="0"/>
                <wp:effectExtent l="38100" t="76200" r="0" b="114300"/>
                <wp:wrapNone/>
                <wp:docPr id="67612"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09A6008F" id="Přímá spojnice 23716" o:spid="_x0000_s1026" style="position:absolute;flip:x y;z-index:251598336;visibility:visible;mso-wrap-style:square;mso-wrap-distance-left:9pt;mso-wrap-distance-top:0;mso-wrap-distance-right:9pt;mso-wrap-distance-bottom:0;mso-position-horizontal:absolute;mso-position-horizontal-relative:text;mso-position-vertical:absolute;mso-position-vertical-relative:text" from="204.75pt,1.6pt" to="252.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3TQIAAG8EAAAOAAAAZHJzL2Uyb0RvYy54bWysVM2O0zAQviPxDpbvbZJum7ZR0xVqWjgs&#10;UGkX7q7tNAbHtmxv0wrxIBx5AJ5ixXvhcX92Fy4I0YM7tme++Wbmc2bX+1aiHbdOaFXirJ9ixBXV&#10;TKhtiT/crXoTjJwnihGpFS/xgTt8PX/5YtaZgg90oyXjFgUQ5YrOlLjx3hRJ4mjDW+L62nAVLmtt&#10;W+LD1m4TZkkX0FuZDNI0TzptmbGacufCaXW8xPOIX9ec+vd17bhHssSBm4+rjesG1mQ+I8XWEtMI&#10;eqJB/oFFS4QKSS9QFfEE3VvxB1QrqNVO175PdZvouhaUxxpCNVn6WzW3DTE81hKa48ylTe7/wdJ3&#10;u7VFgpU4H+fZACNF2jCm9c9vDz/ah+/IGf1JBY5ocDXOcmhXZ1wRohZqbaFgule35kbTzw4pvWiI&#10;2vJI++5gAk4GEcmzENg4E5JuureaBR9y73Xs3b62LaqlMG8gMFofwYI0oVNoH8d2uIyN7z2i4TDP&#10;0sk4DJeerxJSABbEGev8a65bBEaJpVDQUFKQ3Y3zwO3RBY6VXgkpoyikQl2Jp6PBKAY4LQWDS3Bz&#10;drtZSIt2BGQVf7HQcPPUzep7xSJYwwlbnmxPhAw28rFDxFrdYUjVcoaR5OEZgXXkJhWkC4UGtifr&#10;KKsv03S6nCwnw95wkC97w7Sqeq9Wi2EvX2XjUXVVLRZV9hWYZ8OiEYxxBeTPEs+Gfyeh02M7ivMi&#10;8kuXkufosZ2B7Pk/ko7Th4EfpbPR7LC2UB0IIag6Op9eIDybp/vo9fidmP8CAAD//wMAUEsDBBQA&#10;BgAIAAAAIQCaQctS3AAAAAcBAAAPAAAAZHJzL2Rvd25yZXYueG1sTI7BTsMwEETvSPyDtUjcqE1p&#10;KIQ4FZRyqBCHlqrnbbzEgXgdxW4b+HoMFziOZvTmFbPBteJAfWg8a7gcKRDElTcN1xo2r08XNyBC&#10;RDbYeiYNnxRgVp6eFJgbf+QVHdaxFgnCIUcNNsYulzJUlhyGke+IU/fme4cxxb6WpsdjgrtWjpW6&#10;lg4bTg8WO5pbqj7We6dBOrdVi+37ZoH2ee5fJl/L4eFR6/Oz4f4ORKQh/o3hRz+pQ5mcdn7PJohW&#10;w0TdZmmq4WoMIvWZyqYgdr9ZloX8719+AwAA//8DAFBLAQItABQABgAIAAAAIQC2gziS/gAAAOEB&#10;AAATAAAAAAAAAAAAAAAAAAAAAABbQ29udGVudF9UeXBlc10ueG1sUEsBAi0AFAAGAAgAAAAhADj9&#10;If/WAAAAlAEAAAsAAAAAAAAAAAAAAAAALwEAAF9yZWxzLy5yZWxzUEsBAi0AFAAGAAgAAAAhAN34&#10;RrdNAgAAbwQAAA4AAAAAAAAAAAAAAAAALgIAAGRycy9lMm9Eb2MueG1sUEsBAi0AFAAGAAgAAAAh&#10;AJpBy1LcAAAABwEAAA8AAAAAAAAAAAAAAAAApwQAAGRycy9kb3ducmV2LnhtbFBLBQYAAAAABAAE&#10;APMAAACwBQAAAAA=&#10;">
                <v:stroke endarrow="open"/>
              </v:line>
            </w:pict>
          </mc:Fallback>
        </mc:AlternateContent>
      </w:r>
      <w:r w:rsidR="000C4BA5">
        <w:rPr>
          <w:rFonts w:asciiTheme="minorHAnsi" w:hAnsiTheme="minorHAnsi" w:cs="Calibri"/>
          <w:noProof/>
        </w:rPr>
        <mc:AlternateContent>
          <mc:Choice Requires="wps">
            <w:drawing>
              <wp:anchor distT="0" distB="0" distL="114300" distR="114300" simplePos="0" relativeHeight="251587072" behindDoc="0" locked="0" layoutInCell="1" allowOverlap="1" wp14:anchorId="214CE8C8" wp14:editId="495F633B">
                <wp:simplePos x="0" y="0"/>
                <wp:positionH relativeFrom="column">
                  <wp:posOffset>3797935</wp:posOffset>
                </wp:positionH>
                <wp:positionV relativeFrom="paragraph">
                  <wp:posOffset>169545</wp:posOffset>
                </wp:positionV>
                <wp:extent cx="684000" cy="0"/>
                <wp:effectExtent l="0" t="76200" r="20955" b="114300"/>
                <wp:wrapNone/>
                <wp:docPr id="23855"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2389FEB" id="Přímá spojnice 59" o:spid="_x0000_s1026" style="position:absolute;flip:x y;z-index:25158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9.05pt,13.35pt" to="352.9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3hQTAIAAGwEAAAOAAAAZHJzL2Uyb0RvYy54bWysVM2O0zAQviPxDpbvbZJuWtqo6Qo1LRwW&#10;qLQLd9d2GoNjW7bbtEL7IBx5AJ5ixXvhcX92Fy4I0YM79sx8/mbmc6bX+1aiHbdOaFXirJ9ixBXV&#10;TKhNiT/eLXtjjJwnihGpFS/xgTt8PXv5YtqZgg90oyXjFgUQ5YrOlLjx3hRJ4mjDW+L62nAVnLW2&#10;LfFhazcJs6QL6K1MBmk6SjptmbGacufCaXV04lnEr2tO/Ye6dtwjWeLAzcfVxnUNazKbkmJjiWkE&#10;PdEg/8CiJUKFSy9QFfEEba34A6oV1Gqna9+nuk10XQvKYw2hmiz9rZrbhhgeawnNcebSJvf/YOn7&#10;3coiwUo8uBoPhxgp0oYxrX5+e/jRPnxHzujPKnBEwwn0qjOuCClztbJQLd2rW3Oj6ReHlJ43RG14&#10;5Hx3MAEkg4zkWQpsnAk3rrt3moUYsvU6Nm5f2xbVUpi3kBitT2DBNaFNaB9ndrjMjO89ouFwNM7T&#10;NEyWnl0JKQAL8ox1/g3XLQKjxFIo6CYpyO7GeeD2GALHSi+FlFERUqGuxJPhYBgTnJaCgRPCnN2s&#10;59KiHQFNxV8sNHiehlm9VSyCNZywhWLIx64Qa3WHAb7lDCPJw7sBK4Z6ImQIPXKTCq4LhQa2J+uo&#10;qa+TdLIYL8Z5Lx+MFr08rare6+U8742W2athdVXN51V2D8yzvGgEY1wB+bO+s/zv9HN6aUdlXhR+&#10;6VLyHD22M5A9/0fScfow8KN01podVhaqAyEEScfg0/ODN/N0H6MePxKzXwAAAP//AwBQSwMEFAAG&#10;AAgAAAAhADS0mLffAAAACQEAAA8AAABkcnMvZG93bnJldi54bWxMj01rwzAMhu+D/Qejwm6r03b9&#10;WBqnlEFhl8KW5bCjG6tJSCyH2GnTfz+NHdajpIdXz5vsRtuKC/a+dqRgNo1AIBXO1FQqyL8OzxsQ&#10;PmgyunWECm7oYZc+PiQ6Nu5Kn3jJQik4hHysFVQhdLGUvqjQaj91HRLfzq63OvDYl9L0+srhtpXz&#10;KFpJq2viD5Xu8K3CoskGq+C4kPv35kWfF0N+sHnznR0/6ptST5NxvwURcAz/MPzqszqk7HRyAxkv&#10;WgXL182MUQXz1RoEA+toyV1OfwuZJvK+QfoDAAD//wMAUEsBAi0AFAAGAAgAAAAhALaDOJL+AAAA&#10;4QEAABMAAAAAAAAAAAAAAAAAAAAAAFtDb250ZW50X1R5cGVzXS54bWxQSwECLQAUAAYACAAAACEA&#10;OP0h/9YAAACUAQAACwAAAAAAAAAAAAAAAAAvAQAAX3JlbHMvLnJlbHNQSwECLQAUAAYACAAAACEA&#10;dAd4UEwCAABsBAAADgAAAAAAAAAAAAAAAAAuAgAAZHJzL2Uyb0RvYy54bWxQSwECLQAUAAYACAAA&#10;ACEANLSYt98AAAAJAQAADwAAAAAAAAAAAAAAAACmBAAAZHJzL2Rvd25yZXYueG1sUEsFBgAAAAAE&#10;AAQA8wAAALIFAAAAAA==&#10;">
                <v:stroke startarrow="open"/>
              </v:line>
            </w:pict>
          </mc:Fallback>
        </mc:AlternateContent>
      </w:r>
    </w:p>
    <w:p w14:paraId="7E2C6C58" w14:textId="5A8FD5E8" w:rsidR="003B3D24" w:rsidRDefault="00C348FD"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09600" behindDoc="0" locked="0" layoutInCell="1" allowOverlap="1" wp14:anchorId="4438CF10" wp14:editId="6B6EA63F">
                <wp:simplePos x="0" y="0"/>
                <wp:positionH relativeFrom="column">
                  <wp:posOffset>1546860</wp:posOffset>
                </wp:positionH>
                <wp:positionV relativeFrom="paragraph">
                  <wp:posOffset>133656</wp:posOffset>
                </wp:positionV>
                <wp:extent cx="922020" cy="671524"/>
                <wp:effectExtent l="0" t="0" r="0" b="0"/>
                <wp:wrapNone/>
                <wp:docPr id="241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671524"/>
                        </a:xfrm>
                        <a:prstGeom prst="rect">
                          <a:avLst/>
                        </a:prstGeom>
                        <a:noFill/>
                        <a:ln w="9525">
                          <a:noFill/>
                          <a:miter lim="800000"/>
                          <a:headEnd/>
                          <a:tailEnd/>
                        </a:ln>
                      </wps:spPr>
                      <wps:txbx>
                        <w:txbxContent>
                          <w:p w14:paraId="057E3398" w14:textId="3C060ADD"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Nárůst cen energií, materiálu, služeb, nárůst platů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8CF10" id="_x0000_s1421" type="#_x0000_t202" style="position:absolute;left:0;text-align:left;margin-left:121.8pt;margin-top:10.5pt;width:72.6pt;height:52.9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edGQIAAAMEAAAOAAAAZHJzL2Uyb0RvYy54bWysU1tu2zAQ/C/QOxD8r/WAndiC5SBNmqJA&#10;+gCSHoCiKIsoyWVJ2pJ7o54jF+uSsl2j/SuqD4LUcmd3Zofrm1ErshfOSzA1LWY5JcJwaKXZ1vTr&#10;88ObJSU+MNMyBUbU9CA8vdm8frUebCVK6EG1whEEMb4abE37EGyVZZ73QjM/AysMBjtwmgU8um3W&#10;OjYgulZZmedX2QCutQ648B7/3k9Bukn4XSd4+Nx1XgSiaoq9hbS6tDZxzTZrVm0ds73kxzbYP3Sh&#10;mTRY9Ax1zwIjOyf/gtKSO/DQhRkHnUHXSS4SB2RT5H+weeqZFYkLiuPtWSb//2D5p/0XR2Rb03Je&#10;5AtKDNM4pmcxBti//CQWlCBllGmwvsLbTxbvh/EtjDjuRNnbR+DfPDFw1zOzFbfOwdAL1mKbRczM&#10;LlInHB9BmuEjtFiL7QIkoLFzOmqIqhBEx3EdziPCfgjHn6uyzEuMcAxdXReLcp4qsOqUbJ0P7wVo&#10;Ejc1deiABM72jz7EZlh1uhJrGXiQSiUXKEMGLLAoFynhIqJlQJMqqWu6zOM32SZyfGfalByYVNMe&#10;CyhzJB15TozD2IxJ5mK5OqnZQHtAHRxMrsRXhJse3A9KBnRkTf33HXOCEvXBoJarYj6PFk6H+eI6&#10;yuAuI81lhBmOUDUNlEzbu5BsP5G+Rc07mfSIw5k6OTaNTksyHV9FtPLlOd36/XY3vwAAAP//AwBQ&#10;SwMEFAAGAAgAAAAhAHcMwxbeAAAACgEAAA8AAABkcnMvZG93bnJldi54bWxMj8FOwzAMhu9IvENk&#10;JG4sWTeqUppOaBNXEGObtFvWeG1F41RNtpa3x5zgZsuffv9fsZpcJ644hNaThvlMgUCqvG2p1rD7&#10;fH3IQIRoyJrOE2r4xgCr8vamMLn1I33gdRtrwSEUcqOhibHPpQxVg86Eme+R+Hb2gzOR16GWdjAj&#10;h7tOJkql0pmW+ENjelw3WH1tL07D/u18PCzVe71xj/3oJyXJPUmt7++ml2cQEaf4B8Nvfa4OJXc6&#10;+QvZIDoNyXKRMsrDnJ0YWGQZu5yYTNIMZFnI/wrlDwAAAP//AwBQSwECLQAUAAYACAAAACEAtoM4&#10;kv4AAADhAQAAEwAAAAAAAAAAAAAAAAAAAAAAW0NvbnRlbnRfVHlwZXNdLnhtbFBLAQItABQABgAI&#10;AAAAIQA4/SH/1gAAAJQBAAALAAAAAAAAAAAAAAAAAC8BAABfcmVscy8ucmVsc1BLAQItABQABgAI&#10;AAAAIQAfzYedGQIAAAMEAAAOAAAAAAAAAAAAAAAAAC4CAABkcnMvZTJvRG9jLnhtbFBLAQItABQA&#10;BgAIAAAAIQB3DMMW3gAAAAoBAAAPAAAAAAAAAAAAAAAAAHMEAABkcnMvZG93bnJldi54bWxQSwUG&#10;AAAAAAQABADzAAAAfgUAAAAA&#10;" filled="f" stroked="f">
                <v:textbox>
                  <w:txbxContent>
                    <w:p w14:paraId="057E3398" w14:textId="3C060ADD"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Nárůst cen energií, materiálu, služeb, nárůst platů</w:t>
                      </w:r>
                    </w:p>
                  </w:txbxContent>
                </v:textbox>
              </v:shape>
            </w:pict>
          </mc:Fallback>
        </mc:AlternateContent>
      </w:r>
      <w:r w:rsidR="00D06113">
        <w:rPr>
          <w:rFonts w:asciiTheme="minorHAnsi" w:hAnsiTheme="minorHAnsi" w:cs="Calibri"/>
          <w:noProof/>
        </w:rPr>
        <mc:AlternateContent>
          <mc:Choice Requires="wps">
            <w:drawing>
              <wp:anchor distT="0" distB="0" distL="114300" distR="114300" simplePos="0" relativeHeight="251601408" behindDoc="0" locked="0" layoutInCell="1" allowOverlap="1" wp14:anchorId="0B8F5315" wp14:editId="0EECBA99">
                <wp:simplePos x="0" y="0"/>
                <wp:positionH relativeFrom="column">
                  <wp:posOffset>815340</wp:posOffset>
                </wp:positionH>
                <wp:positionV relativeFrom="paragraph">
                  <wp:posOffset>279400</wp:posOffset>
                </wp:positionV>
                <wp:extent cx="777240" cy="464820"/>
                <wp:effectExtent l="0" t="0" r="0" b="0"/>
                <wp:wrapNone/>
                <wp:docPr id="676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64820"/>
                        </a:xfrm>
                        <a:prstGeom prst="rect">
                          <a:avLst/>
                        </a:prstGeom>
                        <a:noFill/>
                        <a:ln w="9525">
                          <a:noFill/>
                          <a:miter lim="800000"/>
                          <a:headEnd/>
                          <a:tailEnd/>
                        </a:ln>
                      </wps:spPr>
                      <wps:txbx>
                        <w:txbxContent>
                          <w:p w14:paraId="732A2ED6" w14:textId="05094DA3"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Špatně, nedostatečné prováděna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F5315" id="_x0000_s1422" type="#_x0000_t202" style="position:absolute;left:0;text-align:left;margin-left:64.2pt;margin-top:22pt;width:61.2pt;height:36.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52GAIAAAMEAAAOAAAAZHJzL2Uyb0RvYy54bWysU9uO2yAQfa/Uf0C8N46tXK0lq+1ut6q0&#10;vUi7/QCCcYwKDAUSO/2jfkd/rAPOZqP2raofEHiYM3POHK6uB6PJQfqgwDJaTqaUSCugUXbH6Nen&#10;+zcrSkLktuEarGT0KAO93rx+ddW7WlbQgW6kJwhiQ907RrsYXV0UQXTS8DABJy0GW/CGRzz6XdF4&#10;3iO60UU1nS6KHnzjPAgZAv69G4N0k/HbVor4uW2DjEQzir3FvPq8btNabK54vfPcdUqc2uD/0IXh&#10;ymLRM9Qdj5zsvfoLyijhIUAbJwJMAW2rhMwckE05/YPNY8edzFxQnODOMoX/Bys+Hb54ohpGF8tF&#10;OafEcoNjepJDhMOvn8SBlqRKMvUu1Hj70eH9OLyFAcedKQf3AOJbIBZuO2538sZ76DvJG2yzTJnF&#10;ReqIExLItv8IDdbi+wgZaGi9SRqiKgTRcVzH84iwHyLw53K5rGYYERiaLWarKo+w4PVzsvMhvpdg&#10;SNow6tEBGZwfHkJMzfD6+UqqZeFeaZ1doC3pGV3Pq3lOuIgYFdGkWhlGV9P0jbZJHN/ZJidHrvS4&#10;xwLankgnniPjOGyHLHO5ztlJki00R9TBw+hKfEW46cD/oKRHRzIavu+5l5ToDxa1XJezxDzmw2y+&#10;ROrEX0a2lxFuBUIxGikZt7cx234kfYOatyrr8dLJqWl0Wpbp9CqSlS/P+dbL2938BgAA//8DAFBL&#10;AwQUAAYACAAAACEA7+9iNNwAAAAKAQAADwAAAGRycy9kb3ducmV2LnhtbEyPzU7DMBCE70i8g7VI&#10;3KjdKIUS4lQIxBVE+ZG4beNtEhGvo9htwtuznOhxNKOZb8rN7Ht1pDF2gS0sFwYUcR1cx42F97en&#10;qzWomJAd9oHJwg9F2FTnZyUWLkz8SsdtapSUcCzQQpvSUGgd65Y8xkUYiMXbh9FjEjk22o04Sbnv&#10;dWbMtfbYsSy0ONBDS/X39uAtfDzvvz5z89I8+tUwhdlo9rfa2suL+f4OVKI5/YfhD1/QoRKmXTiw&#10;i6oXna1ziVrIc/kkgWxl5MtOnOVNBroq9emF6hcAAP//AwBQSwECLQAUAAYACAAAACEAtoM4kv4A&#10;AADhAQAAEwAAAAAAAAAAAAAAAAAAAAAAW0NvbnRlbnRfVHlwZXNdLnhtbFBLAQItABQABgAIAAAA&#10;IQA4/SH/1gAAAJQBAAALAAAAAAAAAAAAAAAAAC8BAABfcmVscy8ucmVsc1BLAQItABQABgAIAAAA&#10;IQBnIw52GAIAAAMEAAAOAAAAAAAAAAAAAAAAAC4CAABkcnMvZTJvRG9jLnhtbFBLAQItABQABgAI&#10;AAAAIQDv72I03AAAAAoBAAAPAAAAAAAAAAAAAAAAAHIEAABkcnMvZG93bnJldi54bWxQSwUGAAAA&#10;AAQABADzAAAAewUAAAAA&#10;" filled="f" stroked="f">
                <v:textbox>
                  <w:txbxContent>
                    <w:p w14:paraId="732A2ED6" w14:textId="05094DA3"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Špatně, nedostatečné prováděna</w:t>
                      </w:r>
                    </w:p>
                  </w:txbxContent>
                </v:textbox>
              </v:shape>
            </w:pict>
          </mc:Fallback>
        </mc:AlternateContent>
      </w:r>
    </w:p>
    <w:p w14:paraId="09456D13" w14:textId="3CE46004" w:rsidR="003B3D24" w:rsidRDefault="00C348FD" w:rsidP="003B3D24">
      <w:pPr>
        <w:pStyle w:val="Odstavecseseznamem"/>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30080" behindDoc="0" locked="0" layoutInCell="1" allowOverlap="1" wp14:anchorId="4C5E2D07" wp14:editId="2ABF2EDD">
                <wp:simplePos x="0" y="0"/>
                <wp:positionH relativeFrom="column">
                  <wp:posOffset>3609975</wp:posOffset>
                </wp:positionH>
                <wp:positionV relativeFrom="paragraph">
                  <wp:posOffset>167640</wp:posOffset>
                </wp:positionV>
                <wp:extent cx="1310640" cy="335280"/>
                <wp:effectExtent l="0" t="0" r="0" b="0"/>
                <wp:wrapNone/>
                <wp:docPr id="2412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335280"/>
                        </a:xfrm>
                        <a:prstGeom prst="rect">
                          <a:avLst/>
                        </a:prstGeom>
                        <a:noFill/>
                        <a:ln w="9525">
                          <a:noFill/>
                          <a:miter lim="800000"/>
                          <a:headEnd/>
                          <a:tailEnd/>
                        </a:ln>
                      </wps:spPr>
                      <wps:txbx>
                        <w:txbxContent>
                          <w:p w14:paraId="38957493" w14:textId="3F479F5E"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Špatné načasování, zpoždění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E2D07" id="_x0000_s1423" type="#_x0000_t202" style="position:absolute;left:0;text-align:left;margin-left:284.25pt;margin-top:13.2pt;width:103.2pt;height:26.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9lGAIAAAQEAAAOAAAAZHJzL2Uyb0RvYy54bWysU1tu2zAQ/C/QOxD8r/WwndqC5SBNmqJA&#10;mhRIegCaoiyiJJclaUvujXqOXqxLynGM9K+oPgiulpzdmR2uLgetyF44L8HUtJjklAjDoZFmW9Nv&#10;T7fvFpT4wEzDFBhR04Pw9HL99s2qt5UooQPVCEcQxPiqtzXtQrBVlnneCc38BKwwmGzBaRYwdNus&#10;caxHdK2yMs8vsh5cYx1w4T3+vRmTdJ3w21bw8NC2XgSiaoq9hbS6tG7imq1XrNo6ZjvJj22wf+hC&#10;M2mw6AnqhgVGdk7+BaUld+ChDRMOOoO2lVwkDsimyF+xeeyYFYkLiuPtSSb//2D5/f6rI7KpaTkr&#10;yjklhmkc05MYAux//yIWlCBllKm3vsLTjxbPh+EDDDjuRNnbO+DfPTFw3TGzFVfOQd8J1mCbRbyZ&#10;nV0dcXwE2fRfoMFabBcgAQ2t01FDVIUgOo7rcBoR9kN4LDkt8osZpjjmptN5uUgzzFj1fNs6Hz4J&#10;0CRuaurQAgmd7e98iN2w6vlILGbgViqVbKAM6Wu6nKMMrzJaBnSpkrqmizx+o28iyY+mSZcDk2rc&#10;YwFljqwj0ZFyGDZD0rlYJlGiJhtoDiiEg9GW+Ixw04H7SUmPlqyp/7FjTlCiPhsUc1nMIvOQgtn8&#10;fYmBO89szjPMcISqaaBk3F6H5PuR2hWK3sqkx0snx6bRakmm47OIXj6P06mXx7v+AwAA//8DAFBL&#10;AwQUAAYACAAAACEAOup33t4AAAAJAQAADwAAAGRycy9kb3ducmV2LnhtbEyPTU/DMAyG70j8h8hI&#10;3FhC1XZraTohEFcQ40PiljVeW9E4VZOt5d9jTuxmy49eP2+1XdwgTjiF3pOG25UCgdR421Or4f3t&#10;6WYDIkRD1gyeUMMPBtjWlxeVKa2f6RVPu9gKDqFQGg1djGMpZWg6dCas/IjEt4OfnIm8Tq20k5k5&#10;3A0yUSqXzvTEHzoz4kOHzffu6DR8PB++PlP10j66bJz9oiS5Qmp9fbXc34GIuMR/GP70WR1qdtr7&#10;I9kgBg1ZvskY1ZDkKQgG1uu0ALHnoUhA1pU8b1D/AgAA//8DAFBLAQItABQABgAIAAAAIQC2gziS&#10;/gAAAOEBAAATAAAAAAAAAAAAAAAAAAAAAABbQ29udGVudF9UeXBlc10ueG1sUEsBAi0AFAAGAAgA&#10;AAAhADj9If/WAAAAlAEAAAsAAAAAAAAAAAAAAAAALwEAAF9yZWxzLy5yZWxzUEsBAi0AFAAGAAgA&#10;AAAhAFW1P2UYAgAABAQAAA4AAAAAAAAAAAAAAAAALgIAAGRycy9lMm9Eb2MueG1sUEsBAi0AFAAG&#10;AAgAAAAhADrqd97eAAAACQEAAA8AAAAAAAAAAAAAAAAAcgQAAGRycy9kb3ducmV2LnhtbFBLBQYA&#10;AAAABAAEAPMAAAB9BQAAAAA=&#10;" filled="f" stroked="f">
                <v:textbox>
                  <w:txbxContent>
                    <w:p w14:paraId="38957493" w14:textId="3F479F5E"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Špatné načasování, zpoždění</w:t>
                      </w:r>
                    </w:p>
                  </w:txbxContent>
                </v:textbox>
              </v:shape>
            </w:pict>
          </mc:Fallback>
        </mc:AlternateContent>
      </w:r>
      <w:r>
        <w:rPr>
          <w:rFonts w:asciiTheme="minorHAnsi" w:hAnsiTheme="minorHAnsi" w:cs="Calibri"/>
          <w:noProof/>
        </w:rPr>
        <mc:AlternateContent>
          <mc:Choice Requires="wps">
            <w:drawing>
              <wp:anchor distT="0" distB="0" distL="114300" distR="114300" simplePos="0" relativeHeight="251620864" behindDoc="0" locked="0" layoutInCell="1" allowOverlap="1" wp14:anchorId="165A10E2" wp14:editId="03759F5E">
                <wp:simplePos x="0" y="0"/>
                <wp:positionH relativeFrom="column">
                  <wp:posOffset>2461260</wp:posOffset>
                </wp:positionH>
                <wp:positionV relativeFrom="paragraph">
                  <wp:posOffset>66040</wp:posOffset>
                </wp:positionV>
                <wp:extent cx="1115695" cy="368300"/>
                <wp:effectExtent l="0" t="0" r="0" b="0"/>
                <wp:wrapNone/>
                <wp:docPr id="241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68300"/>
                        </a:xfrm>
                        <a:prstGeom prst="rect">
                          <a:avLst/>
                        </a:prstGeom>
                        <a:noFill/>
                        <a:ln w="9525">
                          <a:noFill/>
                          <a:miter lim="800000"/>
                          <a:headEnd/>
                          <a:tailEnd/>
                        </a:ln>
                      </wps:spPr>
                      <wps:txbx>
                        <w:txbxContent>
                          <w:p w14:paraId="5200928C" w14:textId="202109DC"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Nepříznivé změny legislativy</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65A10E2" id="_x0000_s1424" type="#_x0000_t202" style="position:absolute;left:0;text-align:left;margin-left:193.8pt;margin-top:5.2pt;width:87.85pt;height:29pt;z-index:25162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oJGgIAAAQEAAAOAAAAZHJzL2Uyb0RvYy54bWysU9uO0zAQfUfiHyy/01y2LW3UdLXssghp&#10;uUi7fIDjOI2F7TG226T8Ed/BjzF2uqWCN0QeLDvjOTPnzPHmetSKHITzEkxNi1lOiTAcWml2Nf3y&#10;dP9qRYkPzLRMgRE1PQpPr7cvX2wGW4kSelCtcARBjK8GW9M+BFtlmee90MzPwAqDwQ6cZgGPbpe1&#10;jg2IrlVW5vkyG8C11gEX3uPfuylItwm/6wQPn7rOi0BUTbG3kFaX1iau2XbDqp1jtpf81Ab7hy40&#10;kwaLnqHuWGBk7+RfUFpyBx66MOOgM+g6yUXigGyK/A82jz2zInFBcbw9y+T/Hyz/ePjsiGxrWs6L&#10;YkmJYRrH9CTGAIefP4gFJUgZZRqsr/D2o8X7YXwDI447Ufb2AfhXTwzc9szsxI1zMPSCtdhmETOz&#10;i9QJx0eQZvgALdZi+wAJaOycjhqiKgTRcVzH84iwH8JjyaJYLNcLSjjGrparqzzNMGPVc7Z1PrwT&#10;oEnc1NShBRI6Ozz4ELth1fOVWMzAvVQq2UAZMtR0vSgXKeEiomVAlyqpa7rK4zf5JpJ8a9qUHJhU&#10;0x4LKHNiHYlOlMPYjEnnYn2Ws4H2iEI4mGyJzwg3PbjvlAxoyZr6b3vmBCXqvUEx18V8Hj2cDvPF&#10;6xIP7jLSXEaY4QhV00DJtL0NyfcT6RsUvZNJjzidqZNT02i1JNPpWUQvX57Trd+Pd/sLAAD//wMA&#10;UEsDBBQABgAIAAAAIQBwVfrB3gAAAAkBAAAPAAAAZHJzL2Rvd25yZXYueG1sTI/LTsMwEEX3SPyD&#10;NUjsqA1JQ5rGqRCILYjykNi58TSJiMdR7Dbh7ztdwXJ0j+49U25m14sjjqHzpOF2oUAg1d521Gj4&#10;eH++yUGEaMia3hNq+MUAm+ryojSF9RO94XEbG8ElFAqjoY1xKKQMdYvOhIUfkDjb+9GZyOfYSDua&#10;ictdL++UyqQzHfFCawZ8bLH+2R6chs+X/fdXql6bJ7ccJj8rSW4ltb6+mh/WICLO8Q+Gsz6rQ8VO&#10;O38gG0SvIcnvM0Y5UCkIBpZZkoDYacjyFGRVyv8fVCcAAAD//wMAUEsBAi0AFAAGAAgAAAAhALaD&#10;OJL+AAAA4QEAABMAAAAAAAAAAAAAAAAAAAAAAFtDb250ZW50X1R5cGVzXS54bWxQSwECLQAUAAYA&#10;CAAAACEAOP0h/9YAAACUAQAACwAAAAAAAAAAAAAAAAAvAQAAX3JlbHMvLnJlbHNQSwECLQAUAAYA&#10;CAAAACEAvtDqCRoCAAAEBAAADgAAAAAAAAAAAAAAAAAuAgAAZHJzL2Uyb0RvYy54bWxQSwECLQAU&#10;AAYACAAAACEAcFX6wd4AAAAJAQAADwAAAAAAAAAAAAAAAAB0BAAAZHJzL2Rvd25yZXYueG1sUEsF&#10;BgAAAAAEAAQA8wAAAH8FAAAAAA==&#10;" filled="f" stroked="f">
                <v:textbox>
                  <w:txbxContent>
                    <w:p w14:paraId="5200928C" w14:textId="202109DC"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Nepříznivé změny legislativy</w:t>
                      </w:r>
                    </w:p>
                  </w:txbxContent>
                </v:textbox>
              </v:shape>
            </w:pict>
          </mc:Fallback>
        </mc:AlternateContent>
      </w:r>
      <w:r w:rsidR="00D06113">
        <w:rPr>
          <w:rFonts w:asciiTheme="minorHAnsi" w:hAnsiTheme="minorHAnsi" w:cs="Calibri"/>
          <w:noProof/>
        </w:rPr>
        <mc:AlternateContent>
          <mc:Choice Requires="wps">
            <w:drawing>
              <wp:anchor distT="0" distB="0" distL="114300" distR="114300" simplePos="0" relativeHeight="251610624" behindDoc="0" locked="0" layoutInCell="1" allowOverlap="1" wp14:anchorId="18C16249" wp14:editId="526F8CC6">
                <wp:simplePos x="0" y="0"/>
                <wp:positionH relativeFrom="column">
                  <wp:posOffset>-126291</wp:posOffset>
                </wp:positionH>
                <wp:positionV relativeFrom="paragraph">
                  <wp:posOffset>76200</wp:posOffset>
                </wp:positionV>
                <wp:extent cx="960120" cy="464820"/>
                <wp:effectExtent l="0" t="0" r="0" b="0"/>
                <wp:wrapNone/>
                <wp:docPr id="2410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464820"/>
                        </a:xfrm>
                        <a:prstGeom prst="rect">
                          <a:avLst/>
                        </a:prstGeom>
                        <a:noFill/>
                        <a:ln w="9525">
                          <a:noFill/>
                          <a:miter lim="800000"/>
                          <a:headEnd/>
                          <a:tailEnd/>
                        </a:ln>
                      </wps:spPr>
                      <wps:txbx>
                        <w:txbxContent>
                          <w:p w14:paraId="6066B566" w14:textId="04CF7C70"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nekvalitní stavební dozor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16249" id="_x0000_s1425" type="#_x0000_t202" style="position:absolute;left:0;text-align:left;margin-left:-9.95pt;margin-top:6pt;width:75.6pt;height:36.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JPGQIAAAMEAAAOAAAAZHJzL2Uyb0RvYy54bWysU9uO0zAQfUfiHyy/01xISxs1XS27LEJa&#10;LtIuH+A6TmNhe4ztNln+aL+DH2PstKWCN0QeorFn5sycM+P11agVOQjnJZiGFrOcEmE4tNLsGvr1&#10;8e7VkhIfmGmZAiMa+iQ8vdq8fLEebC1K6EG1whEEMb4ebEP7EGydZZ73QjM/AysMOjtwmgU8ul3W&#10;OjYgulZZmeeLbADXWgdceI+3t5OTbhJ+1wkePnedF4GohmJvIf1d+m/jP9usWb1zzPaSH9tg/9CF&#10;ZtJg0TPULQuM7J38C0pL7sBDF2YcdAZdJ7lIHJBNkf/B5qFnViQuKI63Z5n8/4Plnw5fHJFtQ8uq&#10;yBeUGKZxTI9iDHD4+UwsKEHKKNNgfY3RDxbjw/gWRhx3ouztPfBvnhi46ZnZiWvnYOgFa7HNImZm&#10;F6kTjo8g2+EjtFiL7QMkoLFzOmqIqhBEx3E9nUeE/RCOl6tFXpTo4eiqFtUS7ViB1adk63x4L0CT&#10;aDTU4QYkcHa492EKPYXEWgbupFJ4z2plyIAF5uU8JVx4tAy4pErqhi7z+E1rEzm+M21KDkyqycZe&#10;lDmSjjwnxmHcjknmYvX6pOYW2ifUwcG0lfiK0OjB/aBkwI1sqP++Z05Qoj4Y1HJVVFVc4XSo5m+i&#10;DO7Ss730MMMRqqGBksm8CWntJ9LXqHknkx5xOFMnx6Zx05Kix1cRV/nynKJ+v93NLwAAAP//AwBQ&#10;SwMEFAAGAAgAAAAhAKKhb2XdAAAACQEAAA8AAABkcnMvZG93bnJldi54bWxMj8FOwzAQRO9I/IO1&#10;lbi1dlJaNSFOhUBcQZSCxM2Nt0nUeB3FbhP+nu0Jjqt5mn1TbCfXiQsOofWkIVkoEEiVty3VGvYf&#10;L/MNiBANWdN5Qg0/GGBb3t4UJrd+pHe87GItuIRCbjQ0Mfa5lKFq0Jmw8D0SZ0c/OBP5HGppBzNy&#10;uetkqtRaOtMSf2hMj08NVqfd2Wn4fD1+f92rt/rZrfrRT0qSy6TWd7Pp8QFExCn+wXDVZ3Uo2eng&#10;z2SD6DTMkyxjlIOUN12BZbIEcdCwWaUgy0L+X1D+AgAA//8DAFBLAQItABQABgAIAAAAIQC2gziS&#10;/gAAAOEBAAATAAAAAAAAAAAAAAAAAAAAAABbQ29udGVudF9UeXBlc10ueG1sUEsBAi0AFAAGAAgA&#10;AAAhADj9If/WAAAAlAEAAAsAAAAAAAAAAAAAAAAALwEAAF9yZWxzLy5yZWxzUEsBAi0AFAAGAAgA&#10;AAAhAOxjMk8ZAgAAAwQAAA4AAAAAAAAAAAAAAAAALgIAAGRycy9lMm9Eb2MueG1sUEsBAi0AFAAG&#10;AAgAAAAhAKKhb2XdAAAACQEAAA8AAAAAAAAAAAAAAAAAcwQAAGRycy9kb3ducmV2LnhtbFBLBQYA&#10;AAAABAAEAPMAAAB9BQAAAAA=&#10;" filled="f" stroked="f">
                <v:textbox>
                  <w:txbxContent>
                    <w:p w14:paraId="6066B566" w14:textId="04CF7C70"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Nekompetentní, nekvalitní stavební dozor</w:t>
                      </w:r>
                    </w:p>
                  </w:txbxContent>
                </v:textbox>
              </v:shape>
            </w:pict>
          </mc:Fallback>
        </mc:AlternateContent>
      </w:r>
    </w:p>
    <w:p w14:paraId="4776242E" w14:textId="7C192E2F" w:rsidR="003B3D24" w:rsidRDefault="00C348FD" w:rsidP="003B3D24">
      <w:pPr>
        <w:pStyle w:val="Odstavecseseznamem"/>
        <w:spacing w:line="240" w:lineRule="auto"/>
        <w:ind w:left="0"/>
        <w:jc w:val="both"/>
        <w:rPr>
          <w:rFonts w:asciiTheme="minorHAnsi" w:hAnsiTheme="minorHAnsi" w:cs="Calibri"/>
        </w:rPr>
      </w:pPr>
      <w:r>
        <w:rPr>
          <w:rFonts w:asciiTheme="minorHAnsi" w:hAnsiTheme="minorHAnsi" w:cs="Calibri"/>
          <w:noProof/>
        </w:rPr>
        <mc:AlternateContent>
          <mc:Choice Requires="wps">
            <w:drawing>
              <wp:anchor distT="0" distB="0" distL="114300" distR="114300" simplePos="0" relativeHeight="251628032" behindDoc="0" locked="0" layoutInCell="1" allowOverlap="1" wp14:anchorId="651DD3FA" wp14:editId="1C78678A">
                <wp:simplePos x="0" y="0"/>
                <wp:positionH relativeFrom="column">
                  <wp:posOffset>3511550</wp:posOffset>
                </wp:positionH>
                <wp:positionV relativeFrom="paragraph">
                  <wp:posOffset>178435</wp:posOffset>
                </wp:positionV>
                <wp:extent cx="610870" cy="0"/>
                <wp:effectExtent l="38100" t="76200" r="0" b="114300"/>
                <wp:wrapNone/>
                <wp:docPr id="24123"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29B5E7A5" id="Přímá spojnice 23716" o:spid="_x0000_s1026" style="position:absolute;flip:x y;z-index:251628032;visibility:visible;mso-wrap-style:square;mso-wrap-distance-left:9pt;mso-wrap-distance-top:0;mso-wrap-distance-right:9pt;mso-wrap-distance-bottom:0;mso-position-horizontal:absolute;mso-position-horizontal-relative:text;mso-position-vertical:absolute;mso-position-vertical-relative:text" from="276.5pt,14.05pt" to="324.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dTQIAAG8EAAAOAAAAZHJzL2Uyb0RvYy54bWysVM1uEzEQviPxDpbv6f50m59VNxXKJnAo&#10;EKmFu2N7swavbdlONhHiQTjyADxFxXvhcX7awgUhcnDG9sw338x83uubXSfRllsntKpwdpFixBXV&#10;TKh1hT/cLwZjjJwnihGpFa/wnjt8M3354ro3Jc91qyXjFgUQ5creVLj13pRJ4mjLO+IutOEqXDba&#10;dsSHrV0nzJI+oHcyydN0mPTaMmM15c6F0/pwiacRv2k49e+bxnGPZIUDNx9XG9cVrMn0mpRrS0wr&#10;6JEG+QcWHREqJD1D1cQTtLHiD6hOUKudbvwF1V2im0ZQHmsI1WTpb9XctcTwWEtojjPnNrn/B0vf&#10;bZcWCVbhvMjyS4wU6cKYlj+/PfzoHr4jZ/QnFTii/HKUDaFdvXFliJqppYWC6U7dmVtNPzuk9Kwl&#10;as0j7fu9CTgZRCTPQmDjTEi66t9qFnzIxuvYu11jO9RIYd5AYLQ+ggVpQqfQLo5tfx4b33lEw+Ew&#10;S8ejMFx6ukpICVgQZ6zzr7nuEBgVlkJBQ0lJtrfOA7dHFzhWeiGkjKKQCvUVnlzlVzHAaSkYXIKb&#10;s+vVTFq0JSCr+IuFhpunblZvFItgLSdsfrQ9ETLYyMcOEWt1jyFVxxlGkodnBNaBm1SQLhQa2B6t&#10;g6y+TNLJfDwfF4MiH84HRVrXg1eLWTEYLrLRVX1Zz2Z19hWYZ0XZCsa4AvIniWfF30no+NgO4jyL&#10;/Nyl5Dl6bGcge/qPpOP0YeAH6aw02y8tVAdCCKqOzscXCM/m6T56PX4npr8AAAD//wMAUEsDBBQA&#10;BgAIAAAAIQAaEJsX3wAAAAkBAAAPAAAAZHJzL2Rvd25yZXYueG1sTI9BT8JAEIXvJv6HzZB4ky0V&#10;CNZuiSIeDPEgEs5Dd+hWu7NNd4Hqr3eNBzi+eS9vvpfPe9uII3W+dqxgNExAEJdO11wp2Hy83M5A&#10;+ICssXFMCr7Jw7y4vsox0+7E73Rch0rEEvYZKjAhtJmUvjRk0Q9dSxy9vesshii7SuoOT7HcNjJN&#10;kqm0WHP8YLClhaHya32wCqS122S5/dws0awW7m3889o/PSt1M+gfH0AE6sM5DH/4ER2KyLRzB9Ze&#10;NAomk7u4JShIZyMQMTAd36cgdv8HWeTyckHxCwAA//8DAFBLAQItABQABgAIAAAAIQC2gziS/gAA&#10;AOEBAAATAAAAAAAAAAAAAAAAAAAAAABbQ29udGVudF9UeXBlc10ueG1sUEsBAi0AFAAGAAgAAAAh&#10;ADj9If/WAAAAlAEAAAsAAAAAAAAAAAAAAAAALwEAAF9yZWxzLy5yZWxzUEsBAi0AFAAGAAgAAAAh&#10;AJGRv51NAgAAbwQAAA4AAAAAAAAAAAAAAAAALgIAAGRycy9lMm9Eb2MueG1sUEsBAi0AFAAGAAgA&#10;AAAhABoQmxffAAAACQEAAA8AAAAAAAAAAAAAAAAApwQAAGRycy9kb3ducmV2LnhtbFBLBQYAAAAA&#10;BAAEAPMAAACzBQAAAAA=&#10;">
                <v:stroke endarrow="open"/>
              </v:line>
            </w:pict>
          </mc:Fallback>
        </mc:AlternateContent>
      </w:r>
      <w:r>
        <w:rPr>
          <w:rFonts w:asciiTheme="minorHAnsi" w:hAnsiTheme="minorHAnsi" w:cs="Calibri"/>
          <w:noProof/>
        </w:rPr>
        <mc:AlternateContent>
          <mc:Choice Requires="wps">
            <w:drawing>
              <wp:anchor distT="0" distB="0" distL="114300" distR="114300" simplePos="0" relativeHeight="251616768" behindDoc="0" locked="0" layoutInCell="1" allowOverlap="1" wp14:anchorId="697C72D4" wp14:editId="5228EA48">
                <wp:simplePos x="0" y="0"/>
                <wp:positionH relativeFrom="column">
                  <wp:posOffset>2374900</wp:posOffset>
                </wp:positionH>
                <wp:positionV relativeFrom="paragraph">
                  <wp:posOffset>54036</wp:posOffset>
                </wp:positionV>
                <wp:extent cx="610870" cy="0"/>
                <wp:effectExtent l="38100" t="76200" r="0" b="114300"/>
                <wp:wrapNone/>
                <wp:docPr id="24112"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28428B87" id="Přímá spojnice 23716" o:spid="_x0000_s1026" style="position:absolute;flip:x y;z-index:251616768;visibility:visible;mso-wrap-style:square;mso-wrap-distance-left:9pt;mso-wrap-distance-top:0;mso-wrap-distance-right:9pt;mso-wrap-distance-bottom:0;mso-position-horizontal:absolute;mso-position-horizontal-relative:text;mso-position-vertical:absolute;mso-position-vertical-relative:text" from="187pt,4.25pt" to="235.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OATQIAAG8EAAAOAAAAZHJzL2Uyb0RvYy54bWysVM1uEzEQviPxDpbvyf50k6arbCqUTeBQ&#10;IFILd8f2Zg1e27KdbCLEg3DkAXiKivfC46RpCxeEyMEZ2zPffDPzeafX+06iHbdOaFXhbJhixBXV&#10;TKhNhT/cLQcTjJwnihGpFa/wgTt8PXv5Ytqbkue61ZJxiwKIcmVvKtx6b8okcbTlHXFDbbgKl422&#10;HfFhazcJs6QP6J1M8jQdJ722zFhNuXPhtD5e4lnEbxpO/fumcdwjWeHAzcfVxnUNazKbknJjiWkF&#10;PdEg/8CiI0KFpGeomniCtlb8AdUJarXTjR9S3SW6aQTlsYZQTZb+Vs1tSwyPtYTmOHNuk/t/sPTd&#10;bmWRYBXOiyzLMVKkC2Na/fx2/6O7/46c0Z9U4Ijyi8tsDO3qjStD1FytLBRM9+rW3Gj62SGl5y1R&#10;Gx5p3x1MwMkgInkWAhtnQtJ1/1az4EO2Xsfe7RvboUYK8wYCo/URLEgTOoX2cWyH89j43iMaDsdZ&#10;OrkMw6UPVwkpAQvijHX+NdcdAqPCUihoKCnJ7sZ54PboAsdKL4WUURRSob7CV6N8FAOcloLBJbg5&#10;u1nPpUU7ArKKv1houHnqZvVWsQjWcsIWJ9sTIYONfOwQsVb3GFJ1nGEkeXhGYB25SQXpQqGB7ck6&#10;yurLVXq1mCwmxaDIx4tBkdb14NVyXgzGy+xyVF/U83mdfQXmWVG2gjGugPyDxLPi7yR0emxHcZ5F&#10;fu5S8hw9tjOQffiPpOP0YeBH6aw1O6wsVAdCCKqOzqcXCM/m6T56PX4nZr8AAAD//wMAUEsDBBQA&#10;BgAIAAAAIQBo63EP3QAAAAcBAAAPAAAAZHJzL2Rvd25yZXYueG1sTI/NTsMwEITvSLyDtUjcqE0J&#10;tApxKijlgCoO/VHP23iJA/E6it028PQYLnAczWjmm2I2uFYcqQ+NZw3XIwWCuPKm4VrDdvN8NQUR&#10;IrLB1jNp+KQAs/L8rMDc+BOv6LiOtUglHHLUYGPscilDZclhGPmOOHlvvncYk+xraXo8pXLXyrFS&#10;d9Jhw2nBYkdzS9XH+uA0SOd2arF73y7QLuf+Nft6GR6ftL68GB7uQUQa4l8YfvATOpSJae8PbIJo&#10;NdxMsvQlapjegkh+NlFjEPtfLctC/ucvvwEAAP//AwBQSwECLQAUAAYACAAAACEAtoM4kv4AAADh&#10;AQAAEwAAAAAAAAAAAAAAAAAAAAAAW0NvbnRlbnRfVHlwZXNdLnhtbFBLAQItABQABgAIAAAAIQA4&#10;/SH/1gAAAJQBAAALAAAAAAAAAAAAAAAAAC8BAABfcmVscy8ucmVsc1BLAQItABQABgAIAAAAIQDd&#10;RIOATQIAAG8EAAAOAAAAAAAAAAAAAAAAAC4CAABkcnMvZTJvRG9jLnhtbFBLAQItABQABgAIAAAA&#10;IQBo63EP3QAAAAcBAAAPAAAAAAAAAAAAAAAAAKcEAABkcnMvZG93bnJldi54bWxQSwUGAAAAAAQA&#10;BADzAAAAsQUAAAAA&#10;">
                <v:stroke endarrow="open"/>
              </v:line>
            </w:pict>
          </mc:Fallback>
        </mc:AlternateContent>
      </w:r>
      <w:r>
        <w:rPr>
          <w:rFonts w:asciiTheme="minorHAnsi" w:hAnsiTheme="minorHAnsi" w:cs="Calibri"/>
          <w:noProof/>
        </w:rPr>
        <mc:AlternateContent>
          <mc:Choice Requires="wps">
            <w:drawing>
              <wp:anchor distT="0" distB="0" distL="114300" distR="114300" simplePos="0" relativeHeight="251623936" behindDoc="0" locked="0" layoutInCell="1" allowOverlap="1" wp14:anchorId="3571FE00" wp14:editId="06B09B22">
                <wp:simplePos x="0" y="0"/>
                <wp:positionH relativeFrom="column">
                  <wp:posOffset>2301240</wp:posOffset>
                </wp:positionH>
                <wp:positionV relativeFrom="paragraph">
                  <wp:posOffset>86995</wp:posOffset>
                </wp:positionV>
                <wp:extent cx="977723" cy="589280"/>
                <wp:effectExtent l="0" t="0" r="0" b="1270"/>
                <wp:wrapNone/>
                <wp:docPr id="241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23" cy="589280"/>
                        </a:xfrm>
                        <a:prstGeom prst="rect">
                          <a:avLst/>
                        </a:prstGeom>
                        <a:noFill/>
                        <a:ln w="9525">
                          <a:noFill/>
                          <a:miter lim="800000"/>
                          <a:headEnd/>
                          <a:tailEnd/>
                        </a:ln>
                      </wps:spPr>
                      <wps:txbx>
                        <w:txbxContent>
                          <w:p w14:paraId="59F54E4A" w14:textId="64C3003C"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Nedostatek kvalifikovaných dělníků (profesí) na trhu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1FE00" id="_x0000_s1426" type="#_x0000_t202" style="position:absolute;left:0;text-align:left;margin-left:181.2pt;margin-top:6.85pt;width:77pt;height:46.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pOGwIAAAMEAAAOAAAAZHJzL2Uyb0RvYy54bWysU1tu2zAQ/C/QOxD8r/WoXduC5SBNmqJA&#10;+gCSHoCmKIsoyWVJ2pJ7o5yjF+uSsh2j+SuqD4LUcmd3Zoerq0ErshfOSzA1LSY5JcJwaKTZ1vT7&#10;492bBSU+MNMwBUbU9CA8vVq/frXqbSVK6EA1whEEMb7qbU27EGyVZZ53QjM/ASsMBltwmgU8um3W&#10;ONYjulZZmefvsh5cYx1w4T3+vR2DdJ3w21bw8LVtvQhE1RR7C2l1ad3ENVuvWLV1zHaSH9tg/9CF&#10;ZtJg0TPULQuM7Jx8AaUld+ChDRMOOoO2lVwkDsimyP9i89AxKxIXFMfbs0z+/8HyL/tvjsimpuW0&#10;KJaUGKZxTI9iCLD//UQsKEHKKFNvfYW3HyzeD8N7GHDcibK398B/eGLgpmNmK66dg74TrME2i5iZ&#10;XaSOOD6CbPrP0GAttguQgIbW6aghqkIQHcd1OI8I+yEcfy7n83n5lhKOodliWS7SCDNWnZKt8+Gj&#10;AE3ipqYOHZDA2f7eh9gMq05XYi0Dd1Kp5AJlSI8FZuUsJVxEtAxoUiV1TRd5/EbbRI4fTJOSA5Nq&#10;3GMBZY6kI8+RcRg2Q5K5WE5Pam6gOaAODkZX4ivCTQfuFyU9OrKm/ueOOUGJ+mRQy2UxnUYLp8N0&#10;Ni/x4C4jm8sIMxyhahooGbc3Idl+JH2Nmrcy6RGHM3ZybBqdlmQ6vopo5ctzuvX8dtd/AAAA//8D&#10;AFBLAwQUAAYACAAAACEAgKSx+N4AAAAKAQAADwAAAGRycy9kb3ducmV2LnhtbEyPzU7DMBCE70h9&#10;B2srcaN2fxJoGqdCIK6gFlqJmxtvk4h4HcVuE96e5QTHnfk0O5NvR9eKK/ah8aRhPlMgkEpvG6o0&#10;fLy/3D2ACNGQNa0n1PCNAbbF5CY3mfUD7fC6j5XgEAqZ0VDH2GVShrJGZ8LMd0jsnX3vTOSzr6Tt&#10;zcDhrpULpVLpTEP8oTYdPtVYfu0vTsPh9fx5XKm36tkl3eBHJcmtpda30/FxAyLiGP9g+K3P1aHg&#10;Tid/IRtEq2GZLlaMsrG8B8FAMk9ZOLGg0gRkkcv/E4ofAAAA//8DAFBLAQItABQABgAIAAAAIQC2&#10;gziS/gAAAOEBAAATAAAAAAAAAAAAAAAAAAAAAABbQ29udGVudF9UeXBlc10ueG1sUEsBAi0AFAAG&#10;AAgAAAAhADj9If/WAAAAlAEAAAsAAAAAAAAAAAAAAAAALwEAAF9yZWxzLy5yZWxzUEsBAi0AFAAG&#10;AAgAAAAhACKFKk4bAgAAAwQAAA4AAAAAAAAAAAAAAAAALgIAAGRycy9lMm9Eb2MueG1sUEsBAi0A&#10;FAAGAAgAAAAhAICksfjeAAAACgEAAA8AAAAAAAAAAAAAAAAAdQQAAGRycy9kb3ducmV2LnhtbFBL&#10;BQYAAAAABAAEAPMAAACABQAAAAA=&#10;" filled="f" stroked="f">
                <v:textbox>
                  <w:txbxContent>
                    <w:p w14:paraId="59F54E4A" w14:textId="64C3003C"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Nedostatek kvalifikovaných dělníků (profesí) na trhu</w:t>
                      </w:r>
                    </w:p>
                  </w:txbxContent>
                </v:textbox>
              </v:shape>
            </w:pict>
          </mc:Fallback>
        </mc:AlternateContent>
      </w:r>
      <w:r>
        <w:rPr>
          <w:rFonts w:asciiTheme="minorHAnsi" w:hAnsiTheme="minorHAnsi" w:cs="Calibri"/>
          <w:noProof/>
        </w:rPr>
        <mc:AlternateContent>
          <mc:Choice Requires="wps">
            <w:drawing>
              <wp:anchor distT="0" distB="0" distL="114300" distR="114300" simplePos="0" relativeHeight="251614720" behindDoc="0" locked="0" layoutInCell="1" allowOverlap="1" wp14:anchorId="10D26E88" wp14:editId="403C2C10">
                <wp:simplePos x="0" y="0"/>
                <wp:positionH relativeFrom="column">
                  <wp:posOffset>1630045</wp:posOffset>
                </wp:positionH>
                <wp:positionV relativeFrom="paragraph">
                  <wp:posOffset>178435</wp:posOffset>
                </wp:positionV>
                <wp:extent cx="684000" cy="0"/>
                <wp:effectExtent l="0" t="76200" r="20955" b="114300"/>
                <wp:wrapNone/>
                <wp:docPr id="24110"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F610063" id="Přímá spojnice 59" o:spid="_x0000_s1026" style="position:absolute;flip:x y;z-index:25161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35pt,14.05pt" to="182.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OSwIAAGwEAAAOAAAAZHJzL2Uyb0RvYy54bWysVM2O0zAQviPxDpbv3SQlLW206Qo1LRwW&#10;qLQLdzd2GoNjW7a3aYV4EI48AE+x4r2YcX92Fy4I0YM79sx8/mbmcy6vdp0iW+G8NLqk2UVKidC1&#10;4VJvSvrhdjmYUOID05wpo0VJ98LTq9nzZ5e9LcTQtEZx4QiAaF/0tqRtCLZIEl+3omP+wlihwdkY&#10;17EAW7dJuGM9oHcqGabpOOmN49aZWngPp9XBSWcRv2lEHd43jReBqJICtxBXF9c1rsnskhUbx2wr&#10;6yMN9g8sOiY1XHqGqlhg5M7JP6A6WTvjTRMuatMlpmlkLWINUE2W/lbNTcusiLVAc7w9t8n/P9j6&#10;3XbliOQlHeZZBh3SrIMxrX5+u//R3X8n3ppPGjiS0RR71VtfQMpcrxxWW+/0jb029WdPtJm3TG9E&#10;5Hy7twCSYUbyJAU33sKN6/6t4RDD7oKJjds1riONkvYNJkbrI1p4DbSJ7OLM9ueZiV0gNRyOJ3ma&#10;Au/65EpYgViYZ50Pr4XpCBolVVJjN1nBttc+ILeHEDzWZimViopQmvQlnY6Go5jgjZIcnRjm3WY9&#10;V45sGWoq/mKh4Hkc5syd5hGsFYwvNCchdoU5Z3qK8J3glCgB7watGBqYVBB64KY0XgeFAtujddDU&#10;l2k6XUwWk3yQD8eLQZ5W1eDVcp4Pxsvs5ah6Uc3nVfYVmWd50UrOhUbyJ31n+d/p5/jSDso8K/zc&#10;peQpemwnkD39R9Jx+jjwg3TWhu9XDqtDIYCkY/Dx+eGbebyPUQ8fidkvAAAA//8DAFBLAwQUAAYA&#10;CAAAACEAxX/rZt4AAAAJAQAADwAAAGRycy9kb3ducmV2LnhtbEyPTWuDQBCG74X8h2UCvTVrorXB&#10;uoZQCPQSaK2HHic6UdHdFXdNzL/vlB6a23w8vPNMupt1Ly40utYaBetVAIJMaavW1AqKr8PTFoTz&#10;aCrsrSEFN3KwyxYPKSaVvZpPuuS+FhxiXIIKGu+HREpXNqTRrexAhndnO2r03I61rEa8crju5SYI&#10;YqmxNXyhwYHeGiq7fNIKjqHcv3cRnsOpOOii+86PH+1NqcflvH8F4Wn2/zD86rM6ZOx0spOpnOgV&#10;bJ7jF0a52K5BMBDGUQTi9DeQWSrvP8h+AAAA//8DAFBLAQItABQABgAIAAAAIQC2gziS/gAAAOEB&#10;AAATAAAAAAAAAAAAAAAAAAAAAABbQ29udGVudF9UeXBlc10ueG1sUEsBAi0AFAAGAAgAAAAhADj9&#10;If/WAAAAlAEAAAsAAAAAAAAAAAAAAAAALwEAAF9yZWxzLy5yZWxzUEsBAi0AFAAGAAgAAAAhANcj&#10;405LAgAAbAQAAA4AAAAAAAAAAAAAAAAALgIAAGRycy9lMm9Eb2MueG1sUEsBAi0AFAAGAAgAAAAh&#10;AMV/62beAAAACQEAAA8AAAAAAAAAAAAAAAAApQQAAGRycy9kb3ducmV2LnhtbFBLBQYAAAAABAAE&#10;APMAAACwBQAAAAA=&#10;">
                <v:stroke startarrow="open"/>
              </v:line>
            </w:pict>
          </mc:Fallback>
        </mc:AlternateContent>
      </w:r>
      <w:r w:rsidR="00D06113">
        <w:rPr>
          <w:rFonts w:asciiTheme="minorHAnsi" w:hAnsiTheme="minorHAnsi" w:cs="Calibri"/>
          <w:noProof/>
        </w:rPr>
        <mc:AlternateContent>
          <mc:Choice Requires="wps">
            <w:drawing>
              <wp:anchor distT="0" distB="0" distL="114300" distR="114300" simplePos="0" relativeHeight="251608576" behindDoc="0" locked="0" layoutInCell="1" allowOverlap="1" wp14:anchorId="01B4C731" wp14:editId="5F732AF1">
                <wp:simplePos x="0" y="0"/>
                <wp:positionH relativeFrom="column">
                  <wp:posOffset>728345</wp:posOffset>
                </wp:positionH>
                <wp:positionV relativeFrom="paragraph">
                  <wp:posOffset>93096</wp:posOffset>
                </wp:positionV>
                <wp:extent cx="610870" cy="0"/>
                <wp:effectExtent l="38100" t="76200" r="0" b="114300"/>
                <wp:wrapNone/>
                <wp:docPr id="24104"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0D46A2E4" id="Přímá spojnice 23716" o:spid="_x0000_s1026" style="position:absolute;flip:x y;z-index:251608576;visibility:visible;mso-wrap-style:square;mso-wrap-distance-left:9pt;mso-wrap-distance-top:0;mso-wrap-distance-right:9pt;mso-wrap-distance-bottom:0;mso-position-horizontal:absolute;mso-position-horizontal-relative:text;mso-position-vertical:absolute;mso-position-vertical-relative:text" from="57.35pt,7.35pt" to="105.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qTQIAAG8EAAAOAAAAZHJzL2Uyb0RvYy54bWysVM2O0zAQviPxDpbvbZJu2m2jpivUtHBY&#10;oNIu3F3baQyObdlu0wrxIBx5AJ5ixXvhcX92Fy4I0YM7tme++Wbmc6Y3+1aiHbdOaFXirJ9ixBXV&#10;TKhNiT/cL3tjjJwnihGpFS/xgTt8M3v5YtqZgg90oyXjFgUQ5YrOlLjx3hRJ4mjDW+L62nAVLmtt&#10;W+LD1m4SZkkX0FuZDNJ0lHTaMmM15c6F0+p4iWcRv6459e/r2nGPZIkDNx9XG9c1rMlsSoqNJaYR&#10;9ESD/AOLlggVkl6gKuIJ2lrxB1QrqNVO175PdZvouhaUxxpCNVn6WzV3DTE81hKa48ylTe7/wdJ3&#10;u5VFgpV4kGdpjpEibRjT6ue3hx/tw3fkjP6kAkc0uLrORtCuzrgiRM3VykLBdK/uzK2mnx1Set4Q&#10;teGR9v3BBJwMIpJnIbBxJiRdd281Cz5k63Xs3b62LaqlMG8gMFofwYI0oVNoH8d2uIyN7z2i4XCU&#10;pePrMFx6vkpIAVgQZ6zzr7luERgllkJBQ0lBdrfOA7dHFzhWeimkjKKQCnUlngwHwxjgtBQMLsHN&#10;2c16Li3aEZBV/MVCw81TN6u3ikWwhhO2ONmeCBls5GOHiLW6w5Cq5QwjycMzAuvITSpIFwoNbE/W&#10;UVZfJulkMV6M814+GC16eVpVvVfLed4bLbPrYXVVzedV9hWYZ3nRCMa4AvJniWf530no9NiO4ryI&#10;/NKl5Dl6bGcge/6PpOP0YeBH6aw1O6wsVAdCCKqOzqcXCM/m6T56PX4nZr8AAAD//wMAUEsDBBQA&#10;BgAIAAAAIQCiTk783QAAAAkBAAAPAAAAZHJzL2Rvd25yZXYueG1sTI9PT8MwDMXvSHyHyEjcWNJp&#10;4k9pOsEYB4Q4MKadvca0hcapmmwrfHo8cYCT/eyn55+L+eg7tachtoEtZBMDirgKruXawvrt8eIa&#10;VEzIDrvAZOGLIszL05MCcxcO/Er7VaqVhHDM0UKTUp9rHauGPMZJ6Ill9x4Gj0nkUGs34EHCfaen&#10;xlxqjy3LhQZ7WjRUfa523oL2fmOWm4/1EpvnRXiZfT+N9w/Wnp+Nd7egEo3pzwxHfEGHUpi2Yccu&#10;qk50NrsSqzTHKoZpZm5AbX8Huiz0/w/KHwAAAP//AwBQSwECLQAUAAYACAAAACEAtoM4kv4AAADh&#10;AQAAEwAAAAAAAAAAAAAAAAAAAAAAW0NvbnRlbnRfVHlwZXNdLnhtbFBLAQItABQABgAIAAAAIQA4&#10;/SH/1gAAAJQBAAALAAAAAAAAAAAAAAAAAC8BAABfcmVscy8ucmVsc1BLAQItABQABgAIAAAAIQBI&#10;gR/qTQIAAG8EAAAOAAAAAAAAAAAAAAAAAC4CAABkcnMvZTJvRG9jLnhtbFBLAQItABQABgAIAAAA&#10;IQCiTk783QAAAAkBAAAPAAAAAAAAAAAAAAAAAKcEAABkcnMvZG93bnJldi54bWxQSwUGAAAAAAQA&#10;BADzAAAAsQUAAAAA&#10;">
                <v:stroke endarrow="open"/>
              </v:line>
            </w:pict>
          </mc:Fallback>
        </mc:AlternateContent>
      </w:r>
      <w:r w:rsidR="00D06113">
        <w:rPr>
          <w:rFonts w:asciiTheme="minorHAnsi" w:hAnsiTheme="minorHAnsi" w:cs="Calibri"/>
          <w:noProof/>
        </w:rPr>
        <mc:AlternateContent>
          <mc:Choice Requires="wps">
            <w:drawing>
              <wp:anchor distT="0" distB="0" distL="114300" distR="114300" simplePos="0" relativeHeight="251588096" behindDoc="0" locked="0" layoutInCell="1" allowOverlap="1" wp14:anchorId="351C68AE" wp14:editId="6043442E">
                <wp:simplePos x="0" y="0"/>
                <wp:positionH relativeFrom="column">
                  <wp:posOffset>-99060</wp:posOffset>
                </wp:positionH>
                <wp:positionV relativeFrom="paragraph">
                  <wp:posOffset>224155</wp:posOffset>
                </wp:positionV>
                <wp:extent cx="684000" cy="0"/>
                <wp:effectExtent l="0" t="76200" r="20955" b="114300"/>
                <wp:wrapNone/>
                <wp:docPr id="67602"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FDE005E" id="Přímá spojnice 59" o:spid="_x0000_s1026" style="position:absolute;flip:x y;z-index:25158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pt,17.65pt" to="46.0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feTAIAAGwEAAAOAAAAZHJzL2Uyb0RvYy54bWysVM2O0zAQviPxDpbvbZKSdtuo6Qo1LRwW&#10;qLQLd9d2GoNjW7bbtEL7IBx5AJ5ixXvhcX92Fy4I0YM79sx8/mbmc6bX+1aiHbdOaFXirJ9ixBXV&#10;TKhNiT/eLXtjjJwnihGpFS/xgTt8PXv5YtqZgg90oyXjFgUQ5YrOlLjx3hRJ4mjDW+L62nAVnLW2&#10;LfFhazcJs6QL6K1MBmk6SjptmbGacufCaXV04lnEr2tO/Ye6dtwjWeLAzcfVxnUNazKbkmJjiWkE&#10;PdEg/8CiJUKFSy9QFfEEba34A6oV1Gqna9+nuk10XQvKYw2hmiz9rZrbhhgeawnNcebSJvf/YOn7&#10;3coiwUo8uhqlA4wUacOYVj+/PfxoH74jZ/RnFTii4QR61RlXhJS5Wlmolu7VrbnR9ItDSs8bojY8&#10;cr47mACSQUbyLAU2zoQb1907zUIM2XodG7evbYtqKcxbSIzWJ7DgmtAmtI8zO1xmxvce0XA4Gudp&#10;GiZLz66EFIAFecY6/4brFoFRYikUdJMUZHfjPHB7DIFjpZdCyqgIqVBX4slwMIwJTkvBwAlhzm7W&#10;c2nRjoCm4i8WGjxPw6zeKhbBGk7YQjHkY1eItbrDAN9yhpHk4d2AFUM9ETKEHrlJBdeFQgPbk3XU&#10;1NdJOlmMF+O8lw9Gi16eVlXv9XKe90bL7GpYvarm8yq7B+ZZXjSCMa6A/FnfWf53+jm9tKMyLwq/&#10;dCl5jh7bGcie/yPpOH0Y+FE6a80OKwvVgRCCpGPw6fnBm3m6j1GPH4nZLwAAAP//AwBQSwMEFAAG&#10;AAgAAAAhALoxXFfdAAAACAEAAA8AAABkcnMvZG93bnJldi54bWxMj0FLw0AQhe+C/2EZwVu7SWOL&#10;xmxKEQpeChpz8DjNTpOQ7GzIbtr037viwR4f8/HeN9l2Nr040+haywriZQSCuLK65VpB+bVfPINw&#10;Hlljb5kUXMnBNr+/yzDV9sKfdC58LUIJuxQVNN4PqZSuasigW9qBONxOdjToQxxrqUe8hHLTy1UU&#10;baTBlsNCgwO9NVR1xWQUHBK5e++e8JRM5d6U3Xdx+GivSj0+zLtXEJ5m/w/Dr35Qhzw4He3E2ole&#10;wSJebwKqIFknIALwsopBHP+yzDN5+0D+AwAA//8DAFBLAQItABQABgAIAAAAIQC2gziS/gAAAOEB&#10;AAATAAAAAAAAAAAAAAAAAAAAAABbQ29udGVudF9UeXBlc10ueG1sUEsBAi0AFAAGAAgAAAAhADj9&#10;If/WAAAAlAEAAAsAAAAAAAAAAAAAAAAALwEAAF9yZWxzLy5yZWxzUEsBAi0AFAAGAAgAAAAhAPEM&#10;V95MAgAAbAQAAA4AAAAAAAAAAAAAAAAALgIAAGRycy9lMm9Eb2MueG1sUEsBAi0AFAAGAAgAAAAh&#10;ALoxXFfdAAAACAEAAA8AAAAAAAAAAAAAAAAApgQAAGRycy9kb3ducmV2LnhtbFBLBQYAAAAABAAE&#10;APMAAACwBQAAAAA=&#10;">
                <v:stroke startarrow="open"/>
              </v:line>
            </w:pict>
          </mc:Fallback>
        </mc:AlternateContent>
      </w:r>
    </w:p>
    <w:p w14:paraId="1A56CDFB" w14:textId="277E34FA" w:rsidR="003B3D24" w:rsidRDefault="00C348FD" w:rsidP="003B3D24">
      <w:pPr>
        <w:jc w:val="both"/>
        <w:rPr>
          <w:rFonts w:asciiTheme="minorHAnsi" w:hAnsiTheme="minorHAnsi" w:cstheme="minorHAnsi"/>
          <w:i/>
          <w:iCs/>
        </w:rPr>
      </w:pPr>
      <w:r>
        <w:rPr>
          <w:rFonts w:asciiTheme="minorHAnsi" w:hAnsiTheme="minorHAnsi" w:cs="Calibri"/>
          <w:noProof/>
        </w:rPr>
        <mc:AlternateContent>
          <mc:Choice Requires="wps">
            <w:drawing>
              <wp:anchor distT="0" distB="0" distL="114300" distR="114300" simplePos="0" relativeHeight="251625984" behindDoc="0" locked="0" layoutInCell="1" allowOverlap="1" wp14:anchorId="41A4CE85" wp14:editId="0F9B7061">
                <wp:simplePos x="0" y="0"/>
                <wp:positionH relativeFrom="column">
                  <wp:posOffset>3398520</wp:posOffset>
                </wp:positionH>
                <wp:positionV relativeFrom="paragraph">
                  <wp:posOffset>114300</wp:posOffset>
                </wp:positionV>
                <wp:extent cx="1489075" cy="495300"/>
                <wp:effectExtent l="0" t="0" r="0" b="0"/>
                <wp:wrapNone/>
                <wp:docPr id="241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495300"/>
                        </a:xfrm>
                        <a:prstGeom prst="rect">
                          <a:avLst/>
                        </a:prstGeom>
                        <a:noFill/>
                        <a:ln w="9525">
                          <a:noFill/>
                          <a:miter lim="800000"/>
                          <a:headEnd/>
                          <a:tailEnd/>
                        </a:ln>
                      </wps:spPr>
                      <wps:txbx>
                        <w:txbxContent>
                          <w:p w14:paraId="7A55571A" w14:textId="6CCD03E5"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Nevýhodně / nedostatečně zpracovaná smlouva nebo jiné podmínky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4CE85" id="_x0000_s1427" type="#_x0000_t202" style="position:absolute;left:0;text-align:left;margin-left:267.6pt;margin-top:9pt;width:117.25pt;height:39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8eGwIAAAQEAAAOAAAAZHJzL2Uyb0RvYy54bWysU9uO0zAQfUfiHyy/01xo2DZqulp2WYS0&#10;XKRdPsB1nMbC9hjbbVL+aL+DH2PstKWCN0QeLDvjOTPnzPHqetSK7IXzEkxDi1lOiTAcWmm2Df36&#10;dP9qQYkPzLRMgRENPQhPr9cvX6wGW4sSelCtcARBjK8H29A+BFtnmee90MzPwAqDwQ6cZgGPbpu1&#10;jg2IrlVW5vmbbADXWgdceI9/76YgXSf8rhM8fO46LwJRDcXeQlpdWjdxzdYrVm8ds73kxzbYP3Sh&#10;mTRY9Ax1xwIjOyf/gtKSO/DQhRkHnUHXSS4SB2RT5H+weeyZFYkLiuPtWSb//2D5p/0XR2Tb0HJe&#10;lAUlhmkc05MYA+x/PhMLSpAyyjRYX+PtR4v3w/gWRhx3ouztA/Bvnhi47ZnZihvnYOgFa7HNImZm&#10;F6kTjo8gm+EjtFiL7QIkoLFzOmqIqhBEx3EdziPCfgiPJeeLZX5VUcIxNl9Wr/M0w4zVp2zrfHgv&#10;QJO4aahDCyR0tn/wIXbD6tOVWMzAvVQq2UAZMjR0WZVVSriIaBnQpUrqhi7y+E2+iSTfmTYlBybV&#10;tMcCyhxZR6IT5TBuxqRzsaxOcm6gPaAQDiZb4jPCTQ/uByUDWrKh/vuOOUGJ+mBQzGUxn0cPp8O8&#10;uirx4C4jm8sIMxyhGhoomba3Ifl+In2Doncy6RGnM3VybBqtlmQ6Povo5ctzuvX78a5/AQAA//8D&#10;AFBLAwQUAAYACAAAACEAVCCj3t4AAAAJAQAADwAAAGRycy9kb3ducmV2LnhtbEyPy07DMBBF90j9&#10;B2sqsaM2haRNiFNVILaglofEzo2nSdR4HMVuE/6eYQXL0T26c26xmVwnLjiE1pOG24UCgVR521Kt&#10;4f3t+WYNIkRD1nSeUMM3BtiUs6vC5NaPtMPLPtaCSyjkRkMTY59LGaoGnQkL3yNxdvSDM5HPoZZ2&#10;MCOXu04ulUqlMy3xh8b0+NhgddqfnYaPl+PX5716rZ9c0o9+UpJcJrW+nk/bBxARp/gHw68+q0PJ&#10;Tgd/JhtEpyG5S5aMcrDmTQys0mwF4qAhSxXIspD/F5Q/AAAA//8DAFBLAQItABQABgAIAAAAIQC2&#10;gziS/gAAAOEBAAATAAAAAAAAAAAAAAAAAAAAAABbQ29udGVudF9UeXBlc10ueG1sUEsBAi0AFAAG&#10;AAgAAAAhADj9If/WAAAAlAEAAAsAAAAAAAAAAAAAAAAALwEAAF9yZWxzLy5yZWxzUEsBAi0AFAAG&#10;AAgAAAAhAPIKHx4bAgAABAQAAA4AAAAAAAAAAAAAAAAALgIAAGRycy9lMm9Eb2MueG1sUEsBAi0A&#10;FAAGAAgAAAAhAFQgo97eAAAACQEAAA8AAAAAAAAAAAAAAAAAdQQAAGRycy9kb3ducmV2LnhtbFBL&#10;BQYAAAAABAAEAPMAAACABQAAAAA=&#10;" filled="f" stroked="f">
                <v:textbox>
                  <w:txbxContent>
                    <w:p w14:paraId="7A55571A" w14:textId="6CCD03E5"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Nevýhodně / nedostatečně zpracovaná smlouva nebo jiné podmínky</w:t>
                      </w:r>
                    </w:p>
                  </w:txbxContent>
                </v:textbox>
              </v:shape>
            </w:pict>
          </mc:Fallback>
        </mc:AlternateContent>
      </w:r>
      <w:r w:rsidR="00D06113">
        <w:rPr>
          <w:rFonts w:asciiTheme="minorHAnsi" w:hAnsiTheme="minorHAnsi" w:cs="Calibri"/>
          <w:noProof/>
        </w:rPr>
        <mc:AlternateContent>
          <mc:Choice Requires="wps">
            <w:drawing>
              <wp:anchor distT="0" distB="0" distL="114300" distR="114300" simplePos="0" relativeHeight="251622912" behindDoc="0" locked="0" layoutInCell="1" allowOverlap="1" wp14:anchorId="46C734CF" wp14:editId="593300A5">
                <wp:simplePos x="0" y="0"/>
                <wp:positionH relativeFrom="column">
                  <wp:posOffset>548640</wp:posOffset>
                </wp:positionH>
                <wp:positionV relativeFrom="paragraph">
                  <wp:posOffset>144780</wp:posOffset>
                </wp:positionV>
                <wp:extent cx="793750" cy="353060"/>
                <wp:effectExtent l="0" t="0" r="0" b="0"/>
                <wp:wrapNone/>
                <wp:docPr id="241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353060"/>
                        </a:xfrm>
                        <a:prstGeom prst="rect">
                          <a:avLst/>
                        </a:prstGeom>
                        <a:noFill/>
                        <a:ln w="9525">
                          <a:noFill/>
                          <a:miter lim="800000"/>
                          <a:headEnd/>
                          <a:tailEnd/>
                        </a:ln>
                      </wps:spPr>
                      <wps:txbx>
                        <w:txbxContent>
                          <w:p w14:paraId="1E6BE7D9" w14:textId="37CBF562"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Nehledají se „méně práce“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734CF" id="_x0000_s1428" type="#_x0000_t202" style="position:absolute;left:0;text-align:left;margin-left:43.2pt;margin-top:11.4pt;width:62.5pt;height:27.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jwGwIAAAMEAAAOAAAAZHJzL2Uyb0RvYy54bWysU1tu2zAQ/C/QOxD8r/XwI7FgOUiTpiiQ&#10;PoCkB6ApyiJKclmStuTeKOfoxbqkbNdo/4rqg+BqucOd2eHqZtCK7IXzEkxNi0lOiTAcGmm2Nf36&#10;/PDmmhIfmGmYAiNqehCe3qxfv1r1thIldKAa4QiCGF/1tqZdCLbKMs87oZmfgBUGky04zQKGbps1&#10;jvWIrlVW5vki68E11gEX3uPf+zFJ1wm/bQUPn9vWi0BUTbG3kFaX1k1cs/WKVVvHbCf5sQ32D11o&#10;Jg1eeoa6Z4GRnZN/QWnJHXhow4SDzqBtJReJA7Ip8j/YPHXMisQFxfH2LJP/f7D80/6LI7KpaTkr&#10;ChyWYRrH9CyGAPufL8SCEqSMMvXWV3j6yeL5MLyFAcedKHv7CPybJwbuOma24tY56DvBGmyziJXZ&#10;RemI4yPIpv8IDd7FdgES0NA6HTVEVQii47gO5xFhP4Tjz6vl9GqOGY6p6XyaL9IIM1adiq3z4b0A&#10;TeKmpg4dkMDZ/tGH2AyrTkfiXQYepFLJBcqQvqbLeTlPBRcZLQOaVEld0+s8fqNtIsd3pknFgUk1&#10;7vECZY6kI8+RcRg2Q5K5WC5Oam6gOaAODkZX4ivCTQfuByU9OrKm/vuOOUGJ+mBQy2Uxm0ULp2A2&#10;vyoxcJeZzWWGGY5QNQ2UjNu7kGw/kr5FzVuZ9IjDGTs5No1OSzIdX0W08mWcTv1+u+tfAAAA//8D&#10;AFBLAwQUAAYACAAAACEAglaFSdwAAAAIAQAADwAAAGRycy9kb3ducmV2LnhtbEyPzU7DMBCE70i8&#10;g7VI3KidKJQQsqkQiCuI8iNxc5NtEhGvo9htwtuznOhxZ0az35SbxQ3qSFPoPSMkKwOKuPZNzy3C&#10;+9vTVQ4qRMuNHTwTwg8F2FTnZ6UtGj/zKx23sVVSwqGwCF2MY6F1qDtyNqz8SCze3k/ORjmnVjeT&#10;naXcDTo1Zq2d7Vk+dHakh47q7+3BIXw8778+M/PSPrrrcfaL0exuNeLlxXJ/ByrSEv/D8Icv6FAJ&#10;084fuAlqQMjXmSQR0lQWiJ8miQg7hJs8A12V+nRA9QsAAP//AwBQSwECLQAUAAYACAAAACEAtoM4&#10;kv4AAADhAQAAEwAAAAAAAAAAAAAAAAAAAAAAW0NvbnRlbnRfVHlwZXNdLnhtbFBLAQItABQABgAI&#10;AAAAIQA4/SH/1gAAAJQBAAALAAAAAAAAAAAAAAAAAC8BAABfcmVscy8ucmVsc1BLAQItABQABgAI&#10;AAAAIQAg4rjwGwIAAAMEAAAOAAAAAAAAAAAAAAAAAC4CAABkcnMvZTJvRG9jLnhtbFBLAQItABQA&#10;BgAIAAAAIQCCVoVJ3AAAAAgBAAAPAAAAAAAAAAAAAAAAAHUEAABkcnMvZG93bnJldi54bWxQSwUG&#10;AAAAAAQABADzAAAAfgUAAAAA&#10;" filled="f" stroked="f">
                <v:textbox>
                  <w:txbxContent>
                    <w:p w14:paraId="1E6BE7D9" w14:textId="37CBF562" w:rsidR="00511D9B" w:rsidRPr="006A0637" w:rsidRDefault="00511D9B" w:rsidP="00D06113">
                      <w:pPr>
                        <w:spacing w:line="192" w:lineRule="auto"/>
                        <w:ind w:left="-57" w:right="-57"/>
                        <w:rPr>
                          <w:rFonts w:asciiTheme="minorHAnsi" w:hAnsiTheme="minorHAnsi"/>
                          <w:sz w:val="18"/>
                          <w:szCs w:val="22"/>
                        </w:rPr>
                      </w:pPr>
                      <w:r>
                        <w:rPr>
                          <w:rFonts w:asciiTheme="minorHAnsi" w:hAnsiTheme="minorHAnsi"/>
                          <w:sz w:val="18"/>
                          <w:szCs w:val="22"/>
                        </w:rPr>
                        <w:t>Nehledají se „méně práce“</w:t>
                      </w:r>
                    </w:p>
                  </w:txbxContent>
                </v:textbox>
              </v:shape>
            </w:pict>
          </mc:Fallback>
        </mc:AlternateContent>
      </w:r>
    </w:p>
    <w:p w14:paraId="5EE1390C" w14:textId="4F8EF5B2" w:rsidR="003B3D24" w:rsidRDefault="00C348FD" w:rsidP="003B3D24">
      <w:pPr>
        <w:jc w:val="both"/>
        <w:rPr>
          <w:rFonts w:asciiTheme="minorHAnsi" w:hAnsiTheme="minorHAnsi" w:cstheme="minorHAnsi"/>
          <w:i/>
          <w:iCs/>
        </w:rPr>
      </w:pPr>
      <w:r>
        <w:rPr>
          <w:rFonts w:asciiTheme="minorHAnsi" w:hAnsiTheme="minorHAnsi" w:cs="Calibri"/>
          <w:noProof/>
        </w:rPr>
        <mc:AlternateContent>
          <mc:Choice Requires="wps">
            <w:drawing>
              <wp:anchor distT="0" distB="0" distL="114300" distR="114300" simplePos="0" relativeHeight="251627008" behindDoc="0" locked="0" layoutInCell="1" allowOverlap="1" wp14:anchorId="45D34B15" wp14:editId="14AC97C1">
                <wp:simplePos x="0" y="0"/>
                <wp:positionH relativeFrom="column">
                  <wp:posOffset>2316480</wp:posOffset>
                </wp:positionH>
                <wp:positionV relativeFrom="paragraph">
                  <wp:posOffset>109220</wp:posOffset>
                </wp:positionV>
                <wp:extent cx="870585" cy="345440"/>
                <wp:effectExtent l="0" t="0" r="0" b="0"/>
                <wp:wrapNone/>
                <wp:docPr id="241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345440"/>
                        </a:xfrm>
                        <a:prstGeom prst="rect">
                          <a:avLst/>
                        </a:prstGeom>
                        <a:noFill/>
                        <a:ln w="9525">
                          <a:noFill/>
                          <a:miter lim="800000"/>
                          <a:headEnd/>
                          <a:tailEnd/>
                        </a:ln>
                      </wps:spPr>
                      <wps:txbx>
                        <w:txbxContent>
                          <w:p w14:paraId="3EB83286" w14:textId="5756D868"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Špatná příprava, chyby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34B15" id="_x0000_s1429" type="#_x0000_t202" style="position:absolute;left:0;text-align:left;margin-left:182.4pt;margin-top:8.6pt;width:68.55pt;height:27.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6RjGgIAAAMEAAAOAAAAZHJzL2Uyb0RvYy54bWysU9uO0zAQfUfiHyy/01xo2DZqulp2WYS0&#10;XKRdPsB1nMbC9hjbbVL+aL+DH2PstKWCN0QeLDvjOTPnzPHqetSK7IXzEkxDi1lOiTAcWmm2Df36&#10;dP9qQYkPzLRMgRENPQhPr9cvX6wGW4sSelCtcARBjK8H29A+BFtnmee90MzPwAqDwQ6cZgGPbpu1&#10;jg2IrlVW5vmbbADXWgdceI9/76YgXSf8rhM8fO46LwJRDcXeQlpdWjdxzdYrVm8ds73kxzbYP3Sh&#10;mTRY9Ax1xwIjOyf/gtKSO/DQhRkHnUHXSS4SB2RT5H+weeyZFYkLiuPtWSb//2D5p/0XR2Tb0HJe&#10;lCUlhmkc05MYA+x/PhMLSpAyyjRYX+PtR4v3w/gWRhx3ouztA/Bvnhi47ZnZihvnYOgFa7HNImZm&#10;F6kTjo8gm+EjtFiL7QIkoLFzOmqIqhBEx3EdziPCfgjHn4urvFpUlHAMvZ5X83kaYcbqU7J1PrwX&#10;oEncNNShAxI42z/4EJth9elKrGXgXiqVXKAMGRq6rMoqJVxEtAxoUiU11s/jN9kmcnxn2pQcmFTT&#10;HgsocyQdeU6Mw7gZk8zF8uqk5gbaA+rgYHIlviLc9OB+UDKgIxvqv++YE5SoDwa1XBaRLQnpMK+u&#10;Sjy4y8jmMsIMR6iGBkqm7W1Itp9I36DmnUx6xOFMnRybRqclmY6vIlr58pxu/X67618AAAD//wMA&#10;UEsDBBQABgAIAAAAIQDazCt43gAAAAkBAAAPAAAAZHJzL2Rvd25yZXYueG1sTI/NTsMwEITvSLyD&#10;tUjcqJ3SpjTEqRCIK4j+SdzceJtExOsodpvw9t2e4Dia0cw3+Wp0rThjHxpPGpKJAoFUettQpWG7&#10;eX94AhGiIWtaT6jhFwOsitub3GTWD/SF53WsBJdQyIyGOsYukzKUNToTJr5DYu/oe2ciy76StjcD&#10;l7tWTpVKpTMN8UJtOnytsfxZn5yG3cfxez9Tn9Wbm3eDH5Ukt5Ra39+NL88gIo7xLwxXfEaHgpkO&#10;/kQ2iFbDYzpj9MjGYgqCA3OVLEEcNCySFGSRy/8PigsAAAD//wMAUEsBAi0AFAAGAAgAAAAhALaD&#10;OJL+AAAA4QEAABMAAAAAAAAAAAAAAAAAAAAAAFtDb250ZW50X1R5cGVzXS54bWxQSwECLQAUAAYA&#10;CAAAACEAOP0h/9YAAACUAQAACwAAAAAAAAAAAAAAAAAvAQAAX3JlbHMvLnJlbHNQSwECLQAUAAYA&#10;CAAAACEAETukYxoCAAADBAAADgAAAAAAAAAAAAAAAAAuAgAAZHJzL2Uyb0RvYy54bWxQSwECLQAU&#10;AAYACAAAACEA2swreN4AAAAJAQAADwAAAAAAAAAAAAAAAAB0BAAAZHJzL2Rvd25yZXYueG1sUEsF&#10;BgAAAAAEAAQA8wAAAH8FAAAAAA==&#10;" filled="f" stroked="f">
                <v:textbox>
                  <w:txbxContent>
                    <w:p w14:paraId="3EB83286" w14:textId="5756D868"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Špatná příprava, chyby</w:t>
                      </w:r>
                    </w:p>
                  </w:txbxContent>
                </v:textbox>
              </v:shape>
            </w:pict>
          </mc:Fallback>
        </mc:AlternateContent>
      </w:r>
      <w:r>
        <w:rPr>
          <w:rFonts w:asciiTheme="minorHAnsi" w:hAnsiTheme="minorHAnsi" w:cs="Calibri"/>
          <w:noProof/>
        </w:rPr>
        <mc:AlternateContent>
          <mc:Choice Requires="wps">
            <w:drawing>
              <wp:anchor distT="0" distB="0" distL="114300" distR="114300" simplePos="0" relativeHeight="251629056" behindDoc="0" locked="0" layoutInCell="1" allowOverlap="1" wp14:anchorId="5243D34E" wp14:editId="3C468A79">
                <wp:simplePos x="0" y="0"/>
                <wp:positionH relativeFrom="column">
                  <wp:posOffset>3278505</wp:posOffset>
                </wp:positionH>
                <wp:positionV relativeFrom="paragraph">
                  <wp:posOffset>233680</wp:posOffset>
                </wp:positionV>
                <wp:extent cx="610870" cy="0"/>
                <wp:effectExtent l="38100" t="76200" r="0" b="114300"/>
                <wp:wrapNone/>
                <wp:docPr id="24124"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76356DAA" id="Přímá spojnice 23716" o:spid="_x0000_s1026" style="position:absolute;flip:x y;z-index:251629056;visibility:visible;mso-wrap-style:square;mso-wrap-distance-left:9pt;mso-wrap-distance-top:0;mso-wrap-distance-right:9pt;mso-wrap-distance-bottom:0;mso-position-horizontal:absolute;mso-position-horizontal-relative:text;mso-position-vertical:absolute;mso-position-vertical-relative:text" from="258.15pt,18.4pt" to="306.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wkTQIAAG8EAAAOAAAAZHJzL2Uyb0RvYy54bWysVM1uEzEQviPxDpbvyf50k6arbCqUTeBQ&#10;IFILd8f2Zg1e27KdbCLEg3DkAXiKivfC46RpCxeEyMEZ2zPffDPzeafX+06iHbdOaFXhbJhixBXV&#10;TKhNhT/cLQcTjJwnihGpFa/wgTt8PXv5Ytqbkue61ZJxiwKIcmVvKtx6b8okcbTlHXFDbbgKl422&#10;HfFhazcJs6QP6J1M8jQdJ722zFhNuXPhtD5e4lnEbxpO/fumcdwjWeHAzcfVxnUNazKbknJjiWkF&#10;PdEg/8CiI0KFpGeomniCtlb8AdUJarXTjR9S3SW6aQTlsYZQTZb+Vs1tSwyPtYTmOHNuk/t/sPTd&#10;bmWRYBXOiywvMFKkC2Na/fx2/6O7/46c0Z9U4Ijyi8tsDO3qjStD1FytLBRM9+rW3Gj62SGl5y1R&#10;Gx5p3x1MwMkgInkWAhtnQtJ1/1az4EO2Xsfe7RvboUYK8wYCo/URLEgTOoX2cWyH89j43iMaDsdZ&#10;OrkMw6UPVwkpAQvijHX+NdcdAqPCUihoKCnJ7sZ54PboAsdKL4WUURRSob7CV6N8FAOcloLBJbg5&#10;u1nPpUU7ArKKv1houHnqZvVWsQjWcsIWJ9sTIYONfOwQsVb3GFJ1nGEkeXhGYB25SQXpQqGB7ck6&#10;yurLVXq1mCwmxaDIx4tBkdb14NVyXgzGy+xyVF/U83mdfQXmWVG2gjGugPyDxLPi7yR0emxHcZ5F&#10;fu5S8hw9tjOQffiPpOP0YeBH6aw1O6wsVAdCCKqOzqcXCM/m6T56PX4nZr8AAAD//wMAUEsDBBQA&#10;BgAIAAAAIQBxv3m83gAAAAkBAAAPAAAAZHJzL2Rvd25yZXYueG1sTI/BTsMwDIbvSLxDZCRuLO3G&#10;KlSaTjDGAaEdGNPOXmuaQuNUTbYVnh4jDnC0/en39xeL0XXqSENoPRtIJwko4srXLTcGtq+PVzeg&#10;QkSusfNMBj4pwKI8Pyswr/2JX+i4iY2SEA45GrAx9rnWobLkMEx8Tyy3Nz84jDIOja4HPEm46/Q0&#10;STLtsGX5YLGnpaXqY3NwBrRzu2S1e9+u0D4v/fr662m8fzDm8mK8uwUVaYx/MPzoizqU4rT3B66D&#10;6gzM02wmqIFZJhUEyNLpHNT+d6HLQv9vUH4DAAD//wMAUEsBAi0AFAAGAAgAAAAhALaDOJL+AAAA&#10;4QEAABMAAAAAAAAAAAAAAAAAAAAAAFtDb250ZW50X1R5cGVzXS54bWxQSwECLQAUAAYACAAAACEA&#10;OP0h/9YAAACUAQAACwAAAAAAAAAAAAAAAAAvAQAAX3JlbHMvLnJlbHNQSwECLQAUAAYACAAAACEA&#10;0hnMJE0CAABvBAAADgAAAAAAAAAAAAAAAAAuAgAAZHJzL2Uyb0RvYy54bWxQSwECLQAUAAYACAAA&#10;ACEAcb95vN4AAAAJAQAADwAAAAAAAAAAAAAAAACnBAAAZHJzL2Rvd25yZXYueG1sUEsFBgAAAAAE&#10;AAQA8wAAALIFAAAAAA==&#10;">
                <v:stroke endarrow="open"/>
              </v:line>
            </w:pict>
          </mc:Fallback>
        </mc:AlternateContent>
      </w:r>
      <w:r>
        <w:rPr>
          <w:rFonts w:asciiTheme="minorHAnsi" w:hAnsiTheme="minorHAnsi" w:cs="Calibri"/>
          <w:noProof/>
        </w:rPr>
        <mc:AlternateContent>
          <mc:Choice Requires="wps">
            <w:drawing>
              <wp:anchor distT="0" distB="0" distL="114300" distR="114300" simplePos="0" relativeHeight="251624960" behindDoc="0" locked="0" layoutInCell="1" allowOverlap="1" wp14:anchorId="49AD955A" wp14:editId="793B291B">
                <wp:simplePos x="0" y="0"/>
                <wp:positionH relativeFrom="column">
                  <wp:posOffset>1333500</wp:posOffset>
                </wp:positionH>
                <wp:positionV relativeFrom="paragraph">
                  <wp:posOffset>17780</wp:posOffset>
                </wp:positionV>
                <wp:extent cx="701040" cy="312420"/>
                <wp:effectExtent l="0" t="0" r="0" b="0"/>
                <wp:wrapNone/>
                <wp:docPr id="241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12420"/>
                        </a:xfrm>
                        <a:prstGeom prst="rect">
                          <a:avLst/>
                        </a:prstGeom>
                        <a:noFill/>
                        <a:ln w="9525">
                          <a:noFill/>
                          <a:miter lim="800000"/>
                          <a:headEnd/>
                          <a:tailEnd/>
                        </a:ln>
                      </wps:spPr>
                      <wps:txbx>
                        <w:txbxContent>
                          <w:p w14:paraId="5CA3D317" w14:textId="0B86A6C6"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Nedostatek materiálu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D955A" id="_x0000_s1430" type="#_x0000_t202" style="position:absolute;left:0;text-align:left;margin-left:105pt;margin-top:1.4pt;width:55.2pt;height:24.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0VGAIAAAMEAAAOAAAAZHJzL2Uyb0RvYy54bWysU9uO2yAQfa/Uf0C8N47dpJtYIavtbreq&#10;tL1Iu/0AgnGMCgwFEjv9o/2O/lgHnKRR+1bVDxYwM4dzzgyr68Fospc+KLCMlpMpJdIKaJTdMvr1&#10;6f7VgpIQuW24BisZPchAr9cvX6x6V8sKOtCN9ARBbKh7x2gXo6uLIohOGh4m4KTFYAve8Ihbvy0a&#10;z3tEN7qoptM3RQ++cR6EDAFP78YgXWf8tpUifm7bICPRjCK3mP8+/zfpX6xXvN567joljjT4P7Aw&#10;XFm89Ax1xyMnO6/+gjJKeAjQxokAU0DbKiGzBlRTTv9Q89hxJ7MWNCe4s03h/8GKT/svnqiG0WpW&#10;VuiQ5Qbb9CSHCPufz8SBlqRKNvUu1Jj96DA/Dm9hwHZnycE9gPgWiIXbjtutvPEe+k7yBmmWqbK4&#10;KB1xQgLZ9B+hwbv4LkIGGlpvkofoCkF0JHM4twj5EIGHV+jSDCMCQ6/LaoaU0w28PhU7H+J7CYak&#10;BaMeJyCD8/1DiGPqKSXdZeFeaY3nvNaW9Iwu59U8F1xEjIo4pFoZRhfT9I1jkzS+s00ujlzpcY1c&#10;tD2KTjpHxXHYDNnmcrk4ubmB5oA+eBinEl8RLjrwPyjpcSIZDd933EtK9AeLXi7LWVIe82Y2v0rd&#10;8peRzWWEW4FQjEZKxuVtzGM/ir5Bz1uV/UjNGZkcSeOkZUePryKN8uU+Z/1+u+tfAAAA//8DAFBL&#10;AwQUAAYACAAAACEAxnvgFNwAAAAIAQAADwAAAGRycy9kb3ducmV2LnhtbEyPwU7DMAyG70h7h8hI&#10;3Fiysk1Qmk4TiCuIMZC4eY3XVjRO1WRreXvMCW62fuv39xWbyXfqTENsA1tYzA0o4iq4lmsL+7en&#10;61tQMSE77AKThW+KsClnFwXmLoz8SuddqpWUcMzRQpNSn2sdq4Y8xnnoiSU7hsFjknWotRtwlHLf&#10;6cyYtfbYsnxosKeHhqqv3clbeH8+fn4szUv96Ff9GCaj2d9pa68up+09qERT+juGX3xBh1KYDuHE&#10;LqrOQrYw4pJkEAPJbzKzBHWwsMoM6LLQ/wXKHwAAAP//AwBQSwECLQAUAAYACAAAACEAtoM4kv4A&#10;AADhAQAAEwAAAAAAAAAAAAAAAAAAAAAAW0NvbnRlbnRfVHlwZXNdLnhtbFBLAQItABQABgAIAAAA&#10;IQA4/SH/1gAAAJQBAAALAAAAAAAAAAAAAAAAAC8BAABfcmVscy8ucmVsc1BLAQItABQABgAIAAAA&#10;IQAKlD0VGAIAAAMEAAAOAAAAAAAAAAAAAAAAAC4CAABkcnMvZTJvRG9jLnhtbFBLAQItABQABgAI&#10;AAAAIQDGe+AU3AAAAAgBAAAPAAAAAAAAAAAAAAAAAHIEAABkcnMvZG93bnJldi54bWxQSwUGAAAA&#10;AAQABADzAAAAewUAAAAA&#10;" filled="f" stroked="f">
                <v:textbox>
                  <w:txbxContent>
                    <w:p w14:paraId="5CA3D317" w14:textId="0B86A6C6" w:rsidR="00511D9B" w:rsidRPr="006A0637" w:rsidRDefault="00511D9B" w:rsidP="00C348FD">
                      <w:pPr>
                        <w:spacing w:line="192" w:lineRule="auto"/>
                        <w:ind w:left="-57" w:right="-57"/>
                        <w:rPr>
                          <w:rFonts w:asciiTheme="minorHAnsi" w:hAnsiTheme="minorHAnsi"/>
                          <w:sz w:val="18"/>
                          <w:szCs w:val="22"/>
                        </w:rPr>
                      </w:pPr>
                      <w:r>
                        <w:rPr>
                          <w:rFonts w:asciiTheme="minorHAnsi" w:hAnsiTheme="minorHAnsi"/>
                          <w:sz w:val="18"/>
                          <w:szCs w:val="22"/>
                        </w:rPr>
                        <w:t>Nedostatek materiálu</w:t>
                      </w:r>
                    </w:p>
                  </w:txbxContent>
                </v:textbox>
              </v:shape>
            </w:pict>
          </mc:Fallback>
        </mc:AlternateContent>
      </w:r>
      <w:r>
        <w:rPr>
          <w:rFonts w:asciiTheme="minorHAnsi" w:hAnsiTheme="minorHAnsi" w:cs="Calibri"/>
          <w:noProof/>
        </w:rPr>
        <mc:AlternateContent>
          <mc:Choice Requires="wps">
            <w:drawing>
              <wp:anchor distT="0" distB="0" distL="114300" distR="114300" simplePos="0" relativeHeight="251617792" behindDoc="0" locked="0" layoutInCell="1" allowOverlap="1" wp14:anchorId="262668B0" wp14:editId="6DA4F940">
                <wp:simplePos x="0" y="0"/>
                <wp:positionH relativeFrom="column">
                  <wp:posOffset>2125980</wp:posOffset>
                </wp:positionH>
                <wp:positionV relativeFrom="paragraph">
                  <wp:posOffset>109220</wp:posOffset>
                </wp:positionV>
                <wp:extent cx="610870" cy="0"/>
                <wp:effectExtent l="38100" t="76200" r="0" b="114300"/>
                <wp:wrapNone/>
                <wp:docPr id="24113"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123C6991" id="Přímá spojnice 23716" o:spid="_x0000_s1026" style="position:absolute;flip:x y;z-index:251617792;visibility:visible;mso-wrap-style:square;mso-wrap-distance-left:9pt;mso-wrap-distance-top:0;mso-wrap-distance-right:9pt;mso-wrap-distance-bottom:0;mso-position-horizontal:absolute;mso-position-horizontal-relative:text;mso-position-vertical:absolute;mso-position-vertical-relative:text" from="167.4pt,8.6pt" to="21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U0TQIAAG8EAAAOAAAAZHJzL2Uyb0RvYy54bWysVM2O0zAQviPxDpbvbZI2/dmo6Qo1LRwW&#10;qLQLd9d2GoNjW7bbtEI8CEcegKdY8V543G53Fy4I0YM7tme++Wbmc2bXh1aiPbdOaFXirJ9ixBXV&#10;TKhtiT/crXpTjJwnihGpFS/xkTt8PX/5YtaZgg90oyXjFgUQ5YrOlLjx3hRJ4mjDW+L62nAVLmtt&#10;W+LD1m4TZkkX0FuZDNJ0nHTaMmM15c6F0+p0iecRv6459e/r2nGPZIkDNx9XG9cNrMl8RoqtJaYR&#10;9EyD/AOLlggVkl6gKuIJ2lnxB1QrqNVO175PdZvouhaUxxpCNVn6WzW3DTE81hKa48ylTe7/wdJ3&#10;+7VFgpV4kGfZECNF2jCm9c9v9z/a++/IGf1JBY5oMJxkY2hXZ1wRohZqbaFgelC35kbTzw4pvWiI&#10;2vJI++5oAk4GEcmzENg4E5JuureaBR+y8zr27lDbFtVSmDcQGK2PYEGa0Cl0iGM7XsbGDx7RcDjO&#10;0ukkDJc+XCWkACyIM9b511y3CIwSS6GgoaQg+xvngdujCxwrvRJSRlFIhboSX40GoxjgtBQMLsHN&#10;2e1mIS3aE5BV/MVCw81TN6t3ikWwhhO2PNueCBls5GOHiLW6w5Cq5QwjycMzAuvETSpIFwoNbM/W&#10;SVZfrtKr5XQ5zXv5YLzs5WlV9V6tFnlvvMomo2pYLRZV9hWYZ3nRCMa4AvIPEs/yv5PQ+bGdxHkR&#10;+aVLyXP02M5A9uE/ko7Th4GfpLPR7Li2UB0IIag6Op9fIDybp/vo9fidmP8CAAD//wMAUEsDBBQA&#10;BgAIAAAAIQCNuFMJ3gAAAAkBAAAPAAAAZHJzL2Rvd25yZXYueG1sTI/BTsMwEETvSPyDtUjcqNMm&#10;girEqaCUA0IcaKuet8kSB+J1FLtt4OtZxAGOOzOafVMsRtepIw2h9WxgOklAEVe+brkxsN08Xs1B&#10;hYhcY+eZDHxSgEV5flZgXvsTv9JxHRslJRxyNGBj7HOtQ2XJYZj4nli8Nz84jHIOja4HPEm56/Qs&#10;Sa61w5blg8Welpaqj/XBGdDO7ZLV7n27Qvu89C/Z19N4/2DM5cV4dwsq0hj/wvCDL+hQCtPeH7gO&#10;qjOQppmgRzFuZqAkkKVTGbf/FXRZ6P8Lym8AAAD//wMAUEsBAi0AFAAGAAgAAAAhALaDOJL+AAAA&#10;4QEAABMAAAAAAAAAAAAAAAAAAAAAAFtDb250ZW50X1R5cGVzXS54bWxQSwECLQAUAAYACAAAACEA&#10;OP0h/9YAAACUAQAACwAAAAAAAAAAAAAAAAAvAQAAX3JlbHMvLnJlbHNQSwECLQAUAAYACAAAACEA&#10;RsUFNE0CAABvBAAADgAAAAAAAAAAAAAAAAAuAgAAZHJzL2Uyb0RvYy54bWxQSwECLQAUAAYACAAA&#10;ACEAjbhTCd4AAAAJAQAADwAAAAAAAAAAAAAAAACnBAAAZHJzL2Rvd25yZXYueG1sUEsFBgAAAAAE&#10;AAQA8wAAALIFAAAAAA==&#10;">
                <v:stroke endarrow="open"/>
              </v:line>
            </w:pict>
          </mc:Fallback>
        </mc:AlternateContent>
      </w:r>
      <w:r w:rsidR="00D06113">
        <w:rPr>
          <w:rFonts w:asciiTheme="minorHAnsi" w:hAnsiTheme="minorHAnsi" w:cs="Calibri"/>
          <w:noProof/>
        </w:rPr>
        <mc:AlternateContent>
          <mc:Choice Requires="wps">
            <w:drawing>
              <wp:anchor distT="0" distB="0" distL="114300" distR="114300" simplePos="0" relativeHeight="251619840" behindDoc="0" locked="0" layoutInCell="1" allowOverlap="1" wp14:anchorId="2522F32F" wp14:editId="6CFB039C">
                <wp:simplePos x="0" y="0"/>
                <wp:positionH relativeFrom="column">
                  <wp:posOffset>433070</wp:posOffset>
                </wp:positionH>
                <wp:positionV relativeFrom="paragraph">
                  <wp:posOffset>177800</wp:posOffset>
                </wp:positionV>
                <wp:extent cx="610870" cy="0"/>
                <wp:effectExtent l="38100" t="76200" r="0" b="114300"/>
                <wp:wrapNone/>
                <wp:docPr id="24115" name="Přímá spojnice 2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087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line w14:anchorId="13FAF38A" id="Přímá spojnice 23716" o:spid="_x0000_s1026" style="position:absolute;flip:x y;z-index:251619840;visibility:visible;mso-wrap-style:square;mso-wrap-distance-left:9pt;mso-wrap-distance-top:0;mso-wrap-distance-right:9pt;mso-wrap-distance-bottom:0;mso-position-horizontal:absolute;mso-position-horizontal-relative:text;mso-position-vertical:absolute;mso-position-vertical-relative:text" from="34.1pt,14pt" to="8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A5TQIAAG8EAAAOAAAAZHJzL2Uyb0RvYy54bWysVM2O0zAQviPxDpbvbZJu2m2jpivUtHBY&#10;oNIu3F3baQyObdlu0wrxIBx5AJ5ixXvhcX92Fy4I0YM7tme++Wbmc6Y3+1aiHbdOaFXirJ9ixBXV&#10;TKhNiT/cL3tjjJwnihGpFS/xgTt8M3v5YtqZgg90oyXjFgUQ5YrOlLjx3hRJ4mjDW+L62nAVLmtt&#10;W+LD1m4SZkkX0FuZDNJ0lHTaMmM15c6F0+p4iWcRv6459e/r2nGPZIkDNx9XG9c1rMlsSoqNJaYR&#10;9ESD/AOLlggVkl6gKuIJ2lrxB1QrqNVO175PdZvouhaUxxpCNVn6WzV3DTE81hKa48ylTe7/wdJ3&#10;u5VFgpV4kGfZECNF2jCm1c9vDz/ah+/IGf1JBY5ocHWdjaBdnXFFiJqrlYWC6V7dmVtNPzuk9Lwh&#10;asMj7fuDCTgZRCTPQmDjTEi67t5qFnzI1uvYu31tW1RLYd5AYLQ+ggVpQqfQPo7tcBkb33tEw+Eo&#10;S8fXYbj0fJWQArAgzljnX3PdIjBKLIWChpKC7G6dB26PLnCs9FJIGUUhFepKPBkOhjHAaSkYXIKb&#10;s5v1XFq0IyCr+IuFhpunblZvFYtgDSdscbI9ETLYyMcOEWt1hyFVyxlGkodnBNaRm1SQLhQa2J6s&#10;o6y+TNLJYrwY5718MFr08rSqeq+W87w3WmbXw+qqms+r7Cswz/KiEYxxBeTPEs/yv5PQ6bEdxXkR&#10;+aVLyXP02M5A9vwfScfpw8CP0llrdlhZqA6EEFQdnU8vEJ7N0330evxOzH4BAAD//wMAUEsDBBQA&#10;BgAIAAAAIQBFNgCu3QAAAAgBAAAPAAAAZHJzL2Rvd25yZXYueG1sTI/BTsMwEETvSPyDtUjcqEMU&#10;RVGIU5VSDghxoFQ9b+MlTonXUey2ga/HFYdy3JnR7JtqPtleHGn0nWMF97MEBHHjdMetgs3H810B&#10;wgdkjb1jUvBNHub19VWFpXYnfqfjOrQilrAvUYEJYSil9I0hi37mBuLofbrRYojn2Eo94imW216m&#10;SZJLix3HDwYHWhpqvtYHq0Bau01W2/1mheZ16d6yn5fp8Ump25tp8QAi0BQuYTjjR3SoI9POHVh7&#10;0SvIizQmFaRFnHT28ywDsfsTZF3J/wPqXwAAAP//AwBQSwECLQAUAAYACAAAACEAtoM4kv4AAADh&#10;AQAAEwAAAAAAAAAAAAAAAAAAAAAAW0NvbnRlbnRfVHlwZXNdLnhtbFBLAQItABQABgAIAAAAIQA4&#10;/SH/1gAAAJQBAAALAAAAAAAAAAAAAAAAAC8BAABfcmVscy8ucmVsc1BLAQItABQABgAIAAAAIQCe&#10;zPA5TQIAAG8EAAAOAAAAAAAAAAAAAAAAAC4CAABkcnMvZTJvRG9jLnhtbFBLAQItABQABgAIAAAA&#10;IQBFNgCu3QAAAAgBAAAPAAAAAAAAAAAAAAAAAKcEAABkcnMvZG93bnJldi54bWxQSwUGAAAAAAQA&#10;BADzAAAAsQUAAAAA&#10;">
                <v:stroke endarrow="open"/>
              </v:line>
            </w:pict>
          </mc:Fallback>
        </mc:AlternateContent>
      </w:r>
    </w:p>
    <w:p w14:paraId="633E8EAA" w14:textId="2375E31B" w:rsidR="003B3D24" w:rsidRDefault="00C348FD" w:rsidP="003B3D24">
      <w:pPr>
        <w:jc w:val="both"/>
        <w:rPr>
          <w:rFonts w:asciiTheme="minorHAnsi" w:hAnsiTheme="minorHAnsi" w:cstheme="minorHAnsi"/>
          <w:i/>
          <w:iCs/>
        </w:rPr>
      </w:pPr>
      <w:r>
        <w:rPr>
          <w:rFonts w:asciiTheme="minorHAnsi" w:hAnsiTheme="minorHAnsi" w:cs="Calibri"/>
          <w:noProof/>
        </w:rPr>
        <mc:AlternateContent>
          <mc:Choice Requires="wps">
            <w:drawing>
              <wp:anchor distT="0" distB="0" distL="114300" distR="114300" simplePos="0" relativeHeight="251612672" behindDoc="0" locked="0" layoutInCell="1" allowOverlap="1" wp14:anchorId="7D9DA01B" wp14:editId="74C65F25">
                <wp:simplePos x="0" y="0"/>
                <wp:positionH relativeFrom="column">
                  <wp:posOffset>2478405</wp:posOffset>
                </wp:positionH>
                <wp:positionV relativeFrom="paragraph">
                  <wp:posOffset>112395</wp:posOffset>
                </wp:positionV>
                <wp:extent cx="684000" cy="0"/>
                <wp:effectExtent l="0" t="76200" r="20955" b="114300"/>
                <wp:wrapNone/>
                <wp:docPr id="24108"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E1D4C6C" id="Přímá spojnice 59" o:spid="_x0000_s1026" style="position:absolute;flip:x y;z-index:25161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15pt,8.85pt" to="24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cGSwIAAGwEAAAOAAAAZHJzL2Uyb0RvYy54bWysVM2O0zAQviPxDpbv3SQlLW206Qo1LRwW&#10;qLQLdzd2GoNjW7a3aYV4EI48AE+x4r2YcX92Fy4I0YM79sx8/mbmcy6vdp0iW+G8NLqk2UVKidC1&#10;4VJvSvrhdjmYUOID05wpo0VJ98LTq9nzZ5e9LcTQtEZx4QiAaF/0tqRtCLZIEl+3omP+wlihwdkY&#10;17EAW7dJuGM9oHcqGabpOOmN49aZWngPp9XBSWcRv2lEHd43jReBqJICtxBXF9c1rsnskhUbx2wr&#10;6yMN9g8sOiY1XHqGqlhg5M7JP6A6WTvjTRMuatMlpmlkLWINUE2W/lbNTcusiLVAc7w9t8n/P9j6&#10;3XbliOQlHeZZCsPSrIMxrX5+u//R3X8n3ppPGjiS0RR71VtfQMpcrxxWW+/0jb029WdPtJm3TG9E&#10;5Hy7twCSYUbyJAU33sKN6/6t4RDD7oKJjds1riONkvYNJkbrI1p4DbSJ7OLM9ueZiV0gNRyOJ3ma&#10;wmTrkythBWJhnnU+vBamI2iUVEmN3WQF2177gNweQvBYm6VUKipCadKXdDoajmKCN0pydGKYd5v1&#10;XDmyZaip+IuFgudxmDN3mkewVjC+0JyE2BXmnOkpwneCU6IEvBu0YmhgUkHogZvSeB0UCmyP1kFT&#10;X6bpdDFZTPJBPhwvBnlaVYNXy3k+GC+zl6PqRTWfV9lXZJ7lRSs5FxrJn/Sd5X+nn+NLOyjzrPBz&#10;l5Kn6LGdQPb0H0nH6ePAD9JZG75fOawOhQCSjsHH54dv5vE+Rj18JGa/AAAA//8DAFBLAwQUAAYA&#10;CAAAACEAAAgdwd0AAAAJAQAADwAAAGRycy9kb3ducmV2LnhtbEyPQU+DQBCF7yb+h82YeLOL0tgW&#10;WZrGpImXJoocPE5hCgR2lrBLS/+9Yzzocd778ua9dDvbXp1p9K1jA4+LCBRx6aqWawPF5/5hDcoH&#10;5Ap7x2TgSh622e1NiknlLvxB5zzUSkLYJ2igCWFItPZlQxb9wg3E4p3caDHIOda6GvEi4bbXT1H0&#10;rC22LB8aHOi1obLLJ2vgEOvdW7fEUzwVe1t0X/nhvb0ac383715ABZrDHww/9aU6ZNLp6CauvOoN&#10;xJsoFlSM1QqUAMvNWsYdfwWdpfr/guwbAAD//wMAUEsBAi0AFAAGAAgAAAAhALaDOJL+AAAA4QEA&#10;ABMAAAAAAAAAAAAAAAAAAAAAAFtDb250ZW50X1R5cGVzXS54bWxQSwECLQAUAAYACAAAACEAOP0h&#10;/9YAAACUAQAACwAAAAAAAAAAAAAAAAAvAQAAX3JlbHMvLnJlbHNQSwECLQAUAAYACAAAACEAElk3&#10;BksCAABsBAAADgAAAAAAAAAAAAAAAAAuAgAAZHJzL2Uyb0RvYy54bWxQSwECLQAUAAYACAAAACEA&#10;AAgdwd0AAAAJAQAADwAAAAAAAAAAAAAAAAClBAAAZHJzL2Rvd25yZXYueG1sUEsFBgAAAAAEAAQA&#10;8wAAAK8FAAAAAA==&#10;">
                <v:stroke startarrow="open"/>
              </v:line>
            </w:pict>
          </mc:Fallback>
        </mc:AlternateContent>
      </w:r>
      <w:r>
        <w:rPr>
          <w:rFonts w:asciiTheme="minorHAnsi" w:hAnsiTheme="minorHAnsi" w:cs="Calibri"/>
          <w:noProof/>
        </w:rPr>
        <mc:AlternateContent>
          <mc:Choice Requires="wps">
            <w:drawing>
              <wp:anchor distT="0" distB="0" distL="114300" distR="114300" simplePos="0" relativeHeight="251613696" behindDoc="0" locked="0" layoutInCell="1" allowOverlap="1" wp14:anchorId="21724247" wp14:editId="793D08CC">
                <wp:simplePos x="0" y="0"/>
                <wp:positionH relativeFrom="column">
                  <wp:posOffset>1332663</wp:posOffset>
                </wp:positionH>
                <wp:positionV relativeFrom="paragraph">
                  <wp:posOffset>51435</wp:posOffset>
                </wp:positionV>
                <wp:extent cx="684000" cy="0"/>
                <wp:effectExtent l="0" t="76200" r="20955" b="114300"/>
                <wp:wrapNone/>
                <wp:docPr id="24109"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40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17BED3F" id="Přímá spojnice 59" o:spid="_x0000_s1026" style="position:absolute;flip:x y;z-index:25161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95pt,4.05pt" to="158.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V/SwIAAGwEAAAOAAAAZHJzL2Uyb0RvYy54bWysVM2O0zAQviPxDpbvbZKSljZqukJJC4cF&#10;Ku3C3bWdxuDYlu1tWiEehCMPwFOseC887s/uwgUhenDHnpnP38x8zvxq30m049YJrUqcDVOMuKKa&#10;CbUt8Yfb1WCKkfNEMSK14iU+cIevFs+fzXtT8JFutWTcogCiXNGbErfemyJJHG15R9xQG66Cs9G2&#10;Iz5s7TZhlvQBvZPJKE0nSa8tM1ZT7lw4rY9OvIj4TcOpf980jnskSxy4+bjauG5gTRZzUmwtMa2g&#10;JxrkH1h0RKhw6QWqJp6gOyv+gOoEtdrpxg+p7hLdNILyWEOoJkt/q+amJYbHWkJznLm0yf0/WPpu&#10;t7ZIsBKP8iydYaRIF8a0/vnt/kd3/x05oz+pwBGNZ9Cr3rgipFRqbaFaulc35lrTzw4pXbVEbXnk&#10;fHswASSDjORJCmycCTdu+reahRhy53Vs3L6xHWqkMG8gMVofwYJrQpvQPs7scJkZ33tEw+Fkmqdp&#10;mCw9uxJSABbkGev8a647BEaJpVDQTVKQ3bXzwO0hBI6VXgkpoyKkQn2JZ+PROCY4LQUDJ4Q5u91U&#10;0qIdAU3FXyw0eB6HWX2nWARrOWFLxZCPXSHW6h4DfMcZRpKHdwNWDPVEyBB65CYVXBcKDWxP1lFT&#10;X2bpbDldTvNBPposB3la14NXqyofTFbZy3H9oq6qOvsKzLO8aAVjXAH5s76z/O/0c3ppR2VeFH7p&#10;UvIUPbYzkD3/R9Jx+jDwo3Q2mh3WFqoDIQRJx+DT84M383gfox4+EotfAAAA//8DAFBLAwQUAAYA&#10;CAAAACEASwj8RtwAAAAHAQAADwAAAGRycy9kb3ducmV2LnhtbEyOwWqDQBRF94X+w/AK3TWjsaSJ&#10;dQyhEOgm0FoXXb44Lyo6b8QZE/P3nXbTLC/3cu7JtrPpxZlG11pWEC8iEMSV1S3XCsqv/dMahPPI&#10;GnvLpOBKDrb5/V2GqbYX/qRz4WsRIOxSVNB4P6RSuqohg25hB+LQnexo0Ic41lKPeAlw08tlFK2k&#10;wZbDQ4MDvTVUdcVkFBwSuXvvnvGUTOXelN13cfhor0o9Psy7VxCeZv8/hl/9oA55cDraibUTvYJl&#10;tNmEqYJ1DCL0SfyyAnH8yzLP5K1//gMAAP//AwBQSwECLQAUAAYACAAAACEAtoM4kv4AAADhAQAA&#10;EwAAAAAAAAAAAAAAAAAAAAAAW0NvbnRlbnRfVHlwZXNdLnhtbFBLAQItABQABgAIAAAAIQA4/SH/&#10;1gAAAJQBAAALAAAAAAAAAAAAAAAAAC8BAABfcmVscy8ucmVsc1BLAQItABQABgAIAAAAIQD5tgV/&#10;SwIAAGwEAAAOAAAAAAAAAAAAAAAAAC4CAABkcnMvZTJvRG9jLnhtbFBLAQItABQABgAIAAAAIQBL&#10;CPxG3AAAAAcBAAAPAAAAAAAAAAAAAAAAAKUEAABkcnMvZG93bnJldi54bWxQSwUGAAAAAAQABADz&#10;AAAArgUAAAAA&#10;">
                <v:stroke startarrow="open"/>
              </v:line>
            </w:pict>
          </mc:Fallback>
        </mc:AlternateContent>
      </w:r>
    </w:p>
    <w:p w14:paraId="0F28E4C9" w14:textId="6DA730A7" w:rsidR="003B3D24" w:rsidRPr="00783EDD" w:rsidRDefault="003B3D24" w:rsidP="003B3D24">
      <w:pPr>
        <w:jc w:val="both"/>
        <w:rPr>
          <w:rFonts w:asciiTheme="minorHAnsi" w:hAnsiTheme="minorHAnsi" w:cstheme="minorHAnsi"/>
          <w:i/>
          <w:iCs/>
        </w:rPr>
      </w:pPr>
      <w:r w:rsidRPr="00783EDD">
        <w:rPr>
          <w:rFonts w:asciiTheme="minorHAnsi" w:hAnsiTheme="minorHAnsi" w:cstheme="minorHAnsi"/>
          <w:i/>
          <w:iCs/>
        </w:rPr>
        <w:t>Zdroj: autoři</w:t>
      </w:r>
    </w:p>
    <w:p w14:paraId="6C521F3E" w14:textId="77777777" w:rsidR="00C7187C" w:rsidRDefault="00C7187C" w:rsidP="00CE6D02">
      <w:pPr>
        <w:pStyle w:val="A1-text"/>
        <w:spacing w:after="120"/>
        <w:rPr>
          <w:rFonts w:asciiTheme="minorHAnsi" w:hAnsiTheme="minorHAnsi" w:cstheme="minorHAnsi"/>
          <w:b/>
          <w:lang w:val="cs-CZ"/>
        </w:rPr>
      </w:pPr>
    </w:p>
    <w:p w14:paraId="265B3BDE" w14:textId="4F82E9DA" w:rsidR="00CE6D02" w:rsidRPr="005149E0" w:rsidRDefault="00CE6D02" w:rsidP="00CE6D02">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4EF0E13C" w14:textId="5A834B82" w:rsidR="006956DA" w:rsidRDefault="006956DA" w:rsidP="006956DA">
      <w:pPr>
        <w:pStyle w:val="Odstavecseseznamem"/>
        <w:numPr>
          <w:ilvl w:val="0"/>
          <w:numId w:val="22"/>
        </w:numPr>
        <w:jc w:val="both"/>
        <w:rPr>
          <w:rFonts w:asciiTheme="minorHAnsi" w:hAnsiTheme="minorHAnsi" w:cstheme="minorHAnsi"/>
        </w:rPr>
      </w:pPr>
      <w:r>
        <w:rPr>
          <w:rFonts w:asciiTheme="minorHAnsi" w:hAnsiTheme="minorHAnsi" w:cstheme="minorHAnsi"/>
        </w:rPr>
        <w:t>Jde o příklad pro inspiraci.</w:t>
      </w:r>
    </w:p>
    <w:p w14:paraId="5045CB2E" w14:textId="44E7B81B" w:rsidR="006956DA" w:rsidRPr="006956DA" w:rsidRDefault="006956DA" w:rsidP="006956DA">
      <w:pPr>
        <w:pStyle w:val="Odstavecseseznamem"/>
        <w:numPr>
          <w:ilvl w:val="0"/>
          <w:numId w:val="22"/>
        </w:numPr>
        <w:jc w:val="both"/>
        <w:rPr>
          <w:rFonts w:asciiTheme="minorHAnsi" w:hAnsiTheme="minorHAnsi" w:cstheme="minorHAnsi"/>
        </w:rPr>
      </w:pPr>
      <w:r w:rsidRPr="006956DA">
        <w:rPr>
          <w:rFonts w:asciiTheme="minorHAnsi" w:hAnsiTheme="minorHAnsi" w:cs="Calibri"/>
        </w:rPr>
        <w:lastRenderedPageBreak/>
        <w:t>Je třeba uvést, že do diagramu byly zobrazeny nejběžnější příčiny a nejběžnější pod</w:t>
      </w:r>
      <w:r>
        <w:rPr>
          <w:rFonts w:asciiTheme="minorHAnsi" w:hAnsiTheme="minorHAnsi" w:cs="Calibri"/>
        </w:rPr>
        <w:t xml:space="preserve"> </w:t>
      </w:r>
      <w:r w:rsidRPr="006956DA">
        <w:rPr>
          <w:rFonts w:asciiTheme="minorHAnsi" w:hAnsiTheme="minorHAnsi" w:cs="Calibri"/>
        </w:rPr>
        <w:t xml:space="preserve">příčiny. Seznámení se s nejčastějšími příčinami a pod </w:t>
      </w:r>
      <w:r>
        <w:rPr>
          <w:rFonts w:asciiTheme="minorHAnsi" w:hAnsiTheme="minorHAnsi" w:cs="Calibri"/>
        </w:rPr>
        <w:t>příčinami, může pomoci k tomu, že se zainteresovaní zaměstnanci naučí příčiny rozpoznat.</w:t>
      </w:r>
      <w:r w:rsidRPr="006956DA">
        <w:rPr>
          <w:rFonts w:asciiTheme="minorHAnsi" w:hAnsiTheme="minorHAnsi" w:cs="Calibri"/>
        </w:rPr>
        <w:t xml:space="preserve"> </w:t>
      </w:r>
    </w:p>
    <w:p w14:paraId="388E9D06" w14:textId="5FF4BE81" w:rsidR="006956DA" w:rsidRPr="00C7187C" w:rsidRDefault="006956DA" w:rsidP="006956DA">
      <w:pPr>
        <w:pStyle w:val="Odstavecseseznamem"/>
        <w:numPr>
          <w:ilvl w:val="0"/>
          <w:numId w:val="22"/>
        </w:numPr>
        <w:jc w:val="both"/>
        <w:rPr>
          <w:rFonts w:asciiTheme="minorHAnsi" w:hAnsiTheme="minorHAnsi" w:cstheme="minorHAnsi"/>
        </w:rPr>
      </w:pPr>
      <w:r w:rsidRPr="006956DA">
        <w:rPr>
          <w:rFonts w:asciiTheme="minorHAnsi" w:hAnsiTheme="minorHAnsi" w:cs="Calibri"/>
        </w:rPr>
        <w:t>V dalším kroku by pak byla přijímán</w:t>
      </w:r>
      <w:r>
        <w:rPr>
          <w:rFonts w:asciiTheme="minorHAnsi" w:hAnsiTheme="minorHAnsi" w:cs="Calibri"/>
        </w:rPr>
        <w:t>a opatření k vyřešení podpříčin</w:t>
      </w:r>
      <w:r w:rsidRPr="006956DA">
        <w:rPr>
          <w:rFonts w:asciiTheme="minorHAnsi" w:hAnsiTheme="minorHAnsi" w:cs="Calibri"/>
        </w:rPr>
        <w:t>.</w:t>
      </w:r>
    </w:p>
    <w:p w14:paraId="4B3D32C1" w14:textId="77777777" w:rsidR="00C7187C" w:rsidRPr="00C7187C" w:rsidRDefault="00C7187C" w:rsidP="00C7187C">
      <w:pPr>
        <w:jc w:val="both"/>
        <w:rPr>
          <w:rFonts w:asciiTheme="minorHAnsi" w:hAnsiTheme="minorHAnsi" w:cstheme="minorHAnsi"/>
        </w:rPr>
      </w:pPr>
    </w:p>
    <w:p w14:paraId="6FBF6CBD" w14:textId="6BBE8964" w:rsidR="00CE6D02" w:rsidRPr="00CE6D02" w:rsidRDefault="00CE6D02" w:rsidP="00CE6D02">
      <w:pPr>
        <w:pStyle w:val="Nadpis2"/>
        <w:spacing w:before="240" w:after="120"/>
        <w:ind w:left="578" w:hanging="578"/>
        <w:rPr>
          <w:rFonts w:asciiTheme="minorHAnsi" w:hAnsiTheme="minorHAnsi" w:cstheme="minorHAnsi"/>
          <w:color w:val="7493B0"/>
          <w:sz w:val="24"/>
          <w:szCs w:val="24"/>
          <w:lang w:val="cs-CZ"/>
        </w:rPr>
      </w:pPr>
      <w:bookmarkStart w:id="110" w:name="_Toc117270035"/>
      <w:r w:rsidRPr="00CE6D02">
        <w:rPr>
          <w:rFonts w:asciiTheme="minorHAnsi" w:hAnsiTheme="minorHAnsi" w:cstheme="minorHAnsi"/>
          <w:color w:val="7493B0"/>
          <w:sz w:val="24"/>
          <w:szCs w:val="24"/>
          <w:lang w:val="cs-CZ"/>
        </w:rPr>
        <w:t>Příklad indikátorů pomocí metody BSC</w:t>
      </w:r>
      <w:bookmarkEnd w:id="110"/>
    </w:p>
    <w:p w14:paraId="4B567AEF" w14:textId="3F59B69D" w:rsidR="00CE6D02" w:rsidRDefault="00CE6D02" w:rsidP="00CE6D02">
      <w:pPr>
        <w:spacing w:after="120"/>
        <w:jc w:val="both"/>
        <w:rPr>
          <w:rFonts w:asciiTheme="minorHAnsi" w:hAnsiTheme="minorHAnsi" w:cstheme="minorHAnsi"/>
        </w:rPr>
      </w:pPr>
      <w:r w:rsidRPr="006B6EA5">
        <w:rPr>
          <w:rFonts w:asciiTheme="minorHAnsi" w:hAnsiTheme="minorHAnsi" w:cstheme="minorHAnsi"/>
          <w:b/>
        </w:rPr>
        <w:t>Čeho se případová studie týká:</w:t>
      </w:r>
      <w:r>
        <w:rPr>
          <w:rFonts w:asciiTheme="minorHAnsi" w:hAnsiTheme="minorHAnsi" w:cstheme="minorHAnsi"/>
        </w:rPr>
        <w:t xml:space="preserve"> </w:t>
      </w:r>
    </w:p>
    <w:p w14:paraId="4FB704E8" w14:textId="47FBF2D4" w:rsidR="00CE6D02" w:rsidRDefault="007B1BC0" w:rsidP="00CE6D02">
      <w:pPr>
        <w:spacing w:after="120"/>
        <w:jc w:val="both"/>
        <w:rPr>
          <w:rFonts w:asciiTheme="minorHAnsi" w:hAnsiTheme="minorHAnsi" w:cstheme="minorHAnsi"/>
        </w:rPr>
      </w:pPr>
      <w:r>
        <w:rPr>
          <w:rFonts w:asciiTheme="minorHAnsi" w:hAnsiTheme="minorHAnsi" w:cstheme="minorHAnsi"/>
        </w:rPr>
        <w:t xml:space="preserve">V rámci finančního řízení je možné použít řízení podle cílů (metodu MBO, respektive model dělat správné věci správně) nebo využít metodu vyvážených ukazatelů </w:t>
      </w:r>
      <w:r w:rsidR="002D45BA">
        <w:rPr>
          <w:rFonts w:asciiTheme="minorHAnsi" w:hAnsiTheme="minorHAnsi" w:cstheme="minorHAnsi"/>
        </w:rPr>
        <w:t>(metoda BSC). Případová studie s</w:t>
      </w:r>
      <w:r>
        <w:rPr>
          <w:rFonts w:asciiTheme="minorHAnsi" w:hAnsiTheme="minorHAnsi" w:cstheme="minorHAnsi"/>
        </w:rPr>
        <w:t>e týká indikátorů BSC města.</w:t>
      </w:r>
    </w:p>
    <w:p w14:paraId="3B440934" w14:textId="77777777" w:rsidR="00CE6D02" w:rsidRPr="006B6EA5" w:rsidRDefault="00CE6D02" w:rsidP="00CE6D02">
      <w:pPr>
        <w:spacing w:after="120"/>
        <w:jc w:val="both"/>
        <w:rPr>
          <w:rFonts w:asciiTheme="minorHAnsi" w:hAnsiTheme="minorHAnsi" w:cstheme="minorHAnsi"/>
          <w:b/>
        </w:rPr>
      </w:pPr>
      <w:r w:rsidRPr="006B6EA5">
        <w:rPr>
          <w:rFonts w:asciiTheme="minorHAnsi" w:hAnsiTheme="minorHAnsi" w:cstheme="minorHAnsi"/>
          <w:b/>
        </w:rPr>
        <w:t>Popis případové studie:</w:t>
      </w:r>
    </w:p>
    <w:p w14:paraId="0BEA9EAD" w14:textId="50931ADD" w:rsidR="00E01446" w:rsidRPr="007B1BC0" w:rsidRDefault="007B1BC0" w:rsidP="007B1BC0">
      <w:pPr>
        <w:pStyle w:val="A1-text"/>
        <w:spacing w:after="0"/>
        <w:rPr>
          <w:rFonts w:asciiTheme="minorHAnsi" w:hAnsiTheme="minorHAnsi" w:cstheme="minorHAnsi"/>
          <w:lang w:val="cs-CZ"/>
        </w:rPr>
      </w:pPr>
      <w:r>
        <w:rPr>
          <w:rFonts w:asciiTheme="minorHAnsi" w:hAnsiTheme="minorHAnsi" w:cstheme="minorHAnsi"/>
          <w:lang w:val="cs-CZ"/>
        </w:rPr>
        <w:t xml:space="preserve">V následující tabulce je seznam indikátorů a strategických témat ve 4 perspektivách – metoda BSC pracuje se zákaznickou perspektivou (občan, klient), finanční perspektivou, perspektivou interních procesů a perspektivou učení se a růstu. </w:t>
      </w:r>
      <w:r w:rsidR="00E01446" w:rsidRPr="007B1BC0">
        <w:rPr>
          <w:rFonts w:asciiTheme="minorHAnsi" w:hAnsiTheme="minorHAnsi" w:cstheme="minorHAnsi"/>
        </w:rPr>
        <w:t>V levém sloupci jsou uvedena jednotlivá témata (přepsáno z jednotlivých „bublin“ strategické mapy. V pravém jsou názvy měřítek.</w:t>
      </w:r>
      <w:r>
        <w:rPr>
          <w:rFonts w:asciiTheme="minorHAnsi" w:hAnsiTheme="minorHAnsi" w:cstheme="minorHAnsi"/>
          <w:lang w:val="cs-CZ"/>
        </w:rPr>
        <w:t xml:space="preserve"> </w:t>
      </w:r>
      <w:r w:rsidRPr="002D45BA">
        <w:rPr>
          <w:rFonts w:asciiTheme="minorHAnsi" w:hAnsiTheme="minorHAnsi" w:cstheme="minorHAnsi"/>
          <w:lang w:val="cs-CZ"/>
        </w:rPr>
        <w:t>Více infor</w:t>
      </w:r>
      <w:r w:rsidR="002D45BA" w:rsidRPr="002D45BA">
        <w:rPr>
          <w:rFonts w:asciiTheme="minorHAnsi" w:hAnsiTheme="minorHAnsi" w:cstheme="minorHAnsi"/>
          <w:lang w:val="cs-CZ"/>
        </w:rPr>
        <w:t>mací je možné získat v Půček, Špaček (2014)</w:t>
      </w:r>
      <w:r w:rsidR="002D45BA" w:rsidRPr="002D45BA">
        <w:rPr>
          <w:rStyle w:val="Znakapoznpodarou"/>
          <w:rFonts w:asciiTheme="minorHAnsi" w:hAnsiTheme="minorHAnsi" w:cstheme="minorHAnsi"/>
          <w:lang w:val="cs-CZ"/>
        </w:rPr>
        <w:footnoteReference w:id="73"/>
      </w:r>
      <w:r w:rsidRPr="002D45BA">
        <w:rPr>
          <w:rFonts w:asciiTheme="minorHAnsi" w:hAnsiTheme="minorHAnsi" w:cstheme="minorHAnsi"/>
          <w:lang w:val="cs-CZ"/>
        </w:rPr>
        <w:t>.</w:t>
      </w:r>
    </w:p>
    <w:p w14:paraId="4174D0AD" w14:textId="6381A774" w:rsidR="00BA3647" w:rsidRPr="000F4EB7" w:rsidRDefault="00C92DFC" w:rsidP="000F4EB7">
      <w:pPr>
        <w:pStyle w:val="Titulek"/>
        <w:spacing w:line="360" w:lineRule="auto"/>
        <w:jc w:val="left"/>
        <w:rPr>
          <w:rFonts w:asciiTheme="minorHAnsi" w:hAnsiTheme="minorHAnsi" w:cstheme="minorHAnsi"/>
          <w:b w:val="0"/>
          <w:bCs w:val="0"/>
          <w:i/>
          <w:iCs/>
          <w:sz w:val="24"/>
          <w:szCs w:val="24"/>
        </w:rPr>
      </w:pPr>
      <w:bookmarkStart w:id="111" w:name="_Toc114389047"/>
      <w:bookmarkStart w:id="112" w:name="_Toc118514289"/>
      <w:r>
        <w:rPr>
          <w:rFonts w:asciiTheme="minorHAnsi" w:hAnsiTheme="minorHAnsi" w:cstheme="minorHAnsi"/>
          <w:b w:val="0"/>
          <w:bCs w:val="0"/>
          <w:i/>
          <w:iCs/>
          <w:sz w:val="24"/>
          <w:szCs w:val="24"/>
        </w:rPr>
        <w:t xml:space="preserve">Tab. </w:t>
      </w:r>
      <w:r w:rsidR="004F0E1D">
        <w:rPr>
          <w:rFonts w:asciiTheme="minorHAnsi" w:hAnsiTheme="minorHAnsi" w:cstheme="minorHAnsi"/>
          <w:b w:val="0"/>
          <w:bCs w:val="0"/>
          <w:i/>
          <w:iCs/>
          <w:sz w:val="24"/>
          <w:szCs w:val="24"/>
        </w:rPr>
        <w:t>4</w:t>
      </w:r>
      <w:r w:rsidR="007B193B">
        <w:rPr>
          <w:rFonts w:asciiTheme="minorHAnsi" w:hAnsiTheme="minorHAnsi" w:cstheme="minorHAnsi"/>
          <w:b w:val="0"/>
          <w:bCs w:val="0"/>
          <w:i/>
          <w:iCs/>
          <w:sz w:val="24"/>
          <w:szCs w:val="24"/>
        </w:rPr>
        <w:t>5</w:t>
      </w:r>
      <w:r w:rsidR="00BA3647" w:rsidRPr="000F4EB7">
        <w:rPr>
          <w:rFonts w:asciiTheme="minorHAnsi" w:hAnsiTheme="minorHAnsi" w:cstheme="minorHAnsi"/>
          <w:b w:val="0"/>
          <w:bCs w:val="0"/>
          <w:i/>
          <w:iCs/>
          <w:sz w:val="24"/>
          <w:szCs w:val="24"/>
        </w:rPr>
        <w:t xml:space="preserve"> Soubor měřítek strategických témat</w:t>
      </w:r>
      <w:bookmarkEnd w:id="111"/>
      <w:bookmarkEnd w:id="112"/>
      <w:r w:rsidR="00CE6D02">
        <w:rPr>
          <w:rFonts w:asciiTheme="minorHAnsi" w:hAnsiTheme="minorHAnsi" w:cstheme="minorHAnsi"/>
          <w:b w:val="0"/>
          <w:bCs w:val="0"/>
          <w:i/>
          <w:iCs/>
          <w:sz w:val="24"/>
          <w:szCs w:val="24"/>
        </w:rPr>
        <w:t xml:space="preserve"> BSC města</w:t>
      </w:r>
    </w:p>
    <w:tbl>
      <w:tblPr>
        <w:tblStyle w:val="Mkatabulky"/>
        <w:tblW w:w="9288" w:type="dxa"/>
        <w:tblLayout w:type="fixed"/>
        <w:tblLook w:val="04A0" w:firstRow="1" w:lastRow="0" w:firstColumn="1" w:lastColumn="0" w:noHBand="0" w:noVBand="1"/>
      </w:tblPr>
      <w:tblGrid>
        <w:gridCol w:w="1242"/>
        <w:gridCol w:w="1588"/>
        <w:gridCol w:w="680"/>
        <w:gridCol w:w="993"/>
        <w:gridCol w:w="820"/>
        <w:gridCol w:w="597"/>
        <w:gridCol w:w="738"/>
        <w:gridCol w:w="821"/>
        <w:gridCol w:w="1809"/>
      </w:tblGrid>
      <w:tr w:rsidR="00BA3647" w:rsidRPr="007B1BC0" w14:paraId="7F005C36" w14:textId="77777777" w:rsidTr="000F4EB7">
        <w:trPr>
          <w:trHeight w:val="183"/>
        </w:trPr>
        <w:tc>
          <w:tcPr>
            <w:tcW w:w="1242" w:type="dxa"/>
            <w:shd w:val="clear" w:color="auto" w:fill="E7E6E6" w:themeFill="background2"/>
            <w:vAlign w:val="center"/>
          </w:tcPr>
          <w:p w14:paraId="39764F0B" w14:textId="77777777" w:rsidR="00BA3647" w:rsidRPr="007B1BC0" w:rsidRDefault="00BA3647" w:rsidP="004F0E1D">
            <w:pPr>
              <w:spacing w:line="216" w:lineRule="auto"/>
              <w:ind w:left="-57" w:right="-57"/>
              <w:rPr>
                <w:rFonts w:asciiTheme="minorHAnsi" w:hAnsiTheme="minorHAnsi" w:cstheme="minorHAnsi"/>
                <w:b/>
                <w:sz w:val="22"/>
                <w:szCs w:val="20"/>
              </w:rPr>
            </w:pPr>
          </w:p>
        </w:tc>
        <w:tc>
          <w:tcPr>
            <w:tcW w:w="8046" w:type="dxa"/>
            <w:gridSpan w:val="8"/>
            <w:shd w:val="clear" w:color="auto" w:fill="E7E6E6" w:themeFill="background2"/>
            <w:vAlign w:val="center"/>
          </w:tcPr>
          <w:p w14:paraId="0AC33CCE" w14:textId="77777777" w:rsidR="00BA3647" w:rsidRPr="007B1BC0" w:rsidRDefault="00BA3647" w:rsidP="004F0E1D">
            <w:pPr>
              <w:spacing w:line="216" w:lineRule="auto"/>
              <w:ind w:left="-57" w:right="-57"/>
              <w:rPr>
                <w:rFonts w:asciiTheme="minorHAnsi" w:hAnsiTheme="minorHAnsi" w:cstheme="minorHAnsi"/>
                <w:b/>
                <w:sz w:val="22"/>
                <w:szCs w:val="20"/>
              </w:rPr>
            </w:pPr>
            <w:r w:rsidRPr="007B1BC0">
              <w:rPr>
                <w:rFonts w:asciiTheme="minorHAnsi" w:hAnsiTheme="minorHAnsi" w:cstheme="minorHAnsi"/>
                <w:b/>
                <w:sz w:val="22"/>
                <w:szCs w:val="20"/>
              </w:rPr>
              <w:t>Název tématu / název měřítka</w:t>
            </w:r>
          </w:p>
        </w:tc>
      </w:tr>
      <w:tr w:rsidR="00BA3647" w:rsidRPr="00CE6D02" w14:paraId="3A7A8D3A" w14:textId="77777777" w:rsidTr="00CE6D02">
        <w:tc>
          <w:tcPr>
            <w:tcW w:w="1242" w:type="dxa"/>
            <w:shd w:val="clear" w:color="auto" w:fill="E7E6E6" w:themeFill="background2"/>
            <w:vAlign w:val="center"/>
          </w:tcPr>
          <w:p w14:paraId="4BDE785B" w14:textId="77777777"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Vize</w:t>
            </w:r>
          </w:p>
        </w:tc>
        <w:tc>
          <w:tcPr>
            <w:tcW w:w="8046" w:type="dxa"/>
            <w:gridSpan w:val="8"/>
            <w:shd w:val="clear" w:color="auto" w:fill="E7E6E6" w:themeFill="background2"/>
            <w:vAlign w:val="center"/>
          </w:tcPr>
          <w:p w14:paraId="30BC14E6" w14:textId="77777777"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Vize – počet klíčových indikátorů: 3</w:t>
            </w:r>
          </w:p>
        </w:tc>
      </w:tr>
      <w:tr w:rsidR="00BA3647" w:rsidRPr="00BA3647" w14:paraId="62A9F2B4" w14:textId="77777777" w:rsidTr="000F4EB7">
        <w:trPr>
          <w:trHeight w:val="779"/>
        </w:trPr>
        <w:tc>
          <w:tcPr>
            <w:tcW w:w="1242" w:type="dxa"/>
            <w:shd w:val="clear" w:color="auto" w:fill="E7E6E6" w:themeFill="background2"/>
            <w:vAlign w:val="center"/>
          </w:tcPr>
          <w:p w14:paraId="0A88C377"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Číslo a název měřítka:</w:t>
            </w:r>
          </w:p>
        </w:tc>
        <w:tc>
          <w:tcPr>
            <w:tcW w:w="8046" w:type="dxa"/>
            <w:gridSpan w:val="8"/>
            <w:vAlign w:val="center"/>
          </w:tcPr>
          <w:p w14:paraId="3BBF5418"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0.1 Index spokojenosti občanů</w:t>
            </w:r>
          </w:p>
          <w:p w14:paraId="3609E879"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0.2 Ekologická stopa</w:t>
            </w:r>
          </w:p>
          <w:p w14:paraId="352835EF"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0.3 Počet obyvatel města</w:t>
            </w:r>
          </w:p>
        </w:tc>
      </w:tr>
      <w:tr w:rsidR="00BA3647" w:rsidRPr="00CE6D02" w14:paraId="6EBF18FA" w14:textId="77777777" w:rsidTr="000F4EB7">
        <w:tc>
          <w:tcPr>
            <w:tcW w:w="1242" w:type="dxa"/>
            <w:shd w:val="clear" w:color="auto" w:fill="E7E6E6" w:themeFill="background2"/>
            <w:vAlign w:val="center"/>
          </w:tcPr>
          <w:p w14:paraId="2CD0DE46" w14:textId="77777777"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Perspektiva:</w:t>
            </w:r>
          </w:p>
        </w:tc>
        <w:tc>
          <w:tcPr>
            <w:tcW w:w="8046" w:type="dxa"/>
            <w:gridSpan w:val="8"/>
            <w:shd w:val="clear" w:color="auto" w:fill="E7E6E6" w:themeFill="background2"/>
            <w:vAlign w:val="center"/>
          </w:tcPr>
          <w:p w14:paraId="63EBF912" w14:textId="4382A538"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Občan, klient – počet téma</w:t>
            </w:r>
            <w:r w:rsidR="004F0E1D">
              <w:rPr>
                <w:rFonts w:asciiTheme="minorHAnsi" w:hAnsiTheme="minorHAnsi" w:cstheme="minorHAnsi"/>
                <w:b/>
                <w:sz w:val="22"/>
                <w:szCs w:val="20"/>
              </w:rPr>
              <w:t>t</w:t>
            </w:r>
            <w:r w:rsidRPr="00CE6D02">
              <w:rPr>
                <w:rFonts w:asciiTheme="minorHAnsi" w:hAnsiTheme="minorHAnsi" w:cstheme="minorHAnsi"/>
                <w:b/>
                <w:sz w:val="22"/>
                <w:szCs w:val="20"/>
              </w:rPr>
              <w:t>: 5, počet indikátorů: 12</w:t>
            </w:r>
          </w:p>
        </w:tc>
      </w:tr>
      <w:tr w:rsidR="00BA3647" w:rsidRPr="00BA3647" w14:paraId="2D818CCF" w14:textId="77777777" w:rsidTr="000F4EB7">
        <w:tc>
          <w:tcPr>
            <w:tcW w:w="1242" w:type="dxa"/>
            <w:shd w:val="clear" w:color="auto" w:fill="E7E6E6" w:themeFill="background2"/>
            <w:vAlign w:val="center"/>
          </w:tcPr>
          <w:p w14:paraId="342E2F2C"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Téma:</w:t>
            </w:r>
          </w:p>
        </w:tc>
        <w:tc>
          <w:tcPr>
            <w:tcW w:w="1588" w:type="dxa"/>
            <w:vAlign w:val="center"/>
          </w:tcPr>
          <w:p w14:paraId="6AD48AAA"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 Motivující pracovní příležitost</w:t>
            </w:r>
          </w:p>
        </w:tc>
        <w:tc>
          <w:tcPr>
            <w:tcW w:w="1673" w:type="dxa"/>
            <w:gridSpan w:val="2"/>
            <w:vAlign w:val="center"/>
          </w:tcPr>
          <w:p w14:paraId="76D89A3C" w14:textId="670219A3"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2. Dostupné</w:t>
            </w:r>
            <w:r>
              <w:rPr>
                <w:rFonts w:asciiTheme="minorHAnsi" w:hAnsiTheme="minorHAnsi" w:cstheme="minorHAnsi"/>
                <w:sz w:val="20"/>
                <w:szCs w:val="20"/>
              </w:rPr>
              <w:t xml:space="preserve"> služby, péče, vzdělávání a mož</w:t>
            </w:r>
            <w:r w:rsidRPr="00BA3647">
              <w:rPr>
                <w:rFonts w:asciiTheme="minorHAnsi" w:hAnsiTheme="minorHAnsi" w:cstheme="minorHAnsi"/>
                <w:sz w:val="20"/>
                <w:szCs w:val="20"/>
              </w:rPr>
              <w:t>nosti spolk</w:t>
            </w:r>
            <w:r>
              <w:rPr>
                <w:rFonts w:asciiTheme="minorHAnsi" w:hAnsiTheme="minorHAnsi" w:cstheme="minorHAnsi"/>
                <w:sz w:val="20"/>
                <w:szCs w:val="20"/>
              </w:rPr>
              <w:t>ového, kulturního</w:t>
            </w:r>
            <w:r w:rsidRPr="00BA3647">
              <w:rPr>
                <w:rFonts w:asciiTheme="minorHAnsi" w:hAnsiTheme="minorHAnsi" w:cstheme="minorHAnsi"/>
                <w:sz w:val="20"/>
                <w:szCs w:val="20"/>
              </w:rPr>
              <w:t xml:space="preserve"> a duchovního života</w:t>
            </w:r>
          </w:p>
        </w:tc>
        <w:tc>
          <w:tcPr>
            <w:tcW w:w="1417" w:type="dxa"/>
            <w:gridSpan w:val="2"/>
            <w:vAlign w:val="center"/>
          </w:tcPr>
          <w:p w14:paraId="6EA1E103"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3. Možnosti pro zdravý životní styl a sportování</w:t>
            </w:r>
          </w:p>
        </w:tc>
        <w:tc>
          <w:tcPr>
            <w:tcW w:w="1559" w:type="dxa"/>
            <w:gridSpan w:val="2"/>
            <w:vAlign w:val="center"/>
          </w:tcPr>
          <w:p w14:paraId="53421B9C" w14:textId="7B4EF428"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4.</w:t>
            </w:r>
            <w:r>
              <w:rPr>
                <w:rFonts w:asciiTheme="minorHAnsi" w:hAnsiTheme="minorHAnsi" w:cstheme="minorHAnsi"/>
                <w:sz w:val="20"/>
                <w:szCs w:val="20"/>
              </w:rPr>
              <w:t xml:space="preserve"> </w:t>
            </w:r>
            <w:r w:rsidRPr="00BA3647">
              <w:rPr>
                <w:rFonts w:asciiTheme="minorHAnsi" w:hAnsiTheme="minorHAnsi" w:cstheme="minorHAnsi"/>
                <w:sz w:val="20"/>
                <w:szCs w:val="20"/>
              </w:rPr>
              <w:t>Odpovídající bydlení a upravené město</w:t>
            </w:r>
          </w:p>
        </w:tc>
        <w:tc>
          <w:tcPr>
            <w:tcW w:w="1809" w:type="dxa"/>
            <w:vAlign w:val="center"/>
          </w:tcPr>
          <w:p w14:paraId="2A2A22B0"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5. Prevence a bezpečnost</w:t>
            </w:r>
          </w:p>
        </w:tc>
      </w:tr>
      <w:tr w:rsidR="00BA3647" w:rsidRPr="00BA3647" w14:paraId="448880D9" w14:textId="77777777" w:rsidTr="000F4EB7">
        <w:trPr>
          <w:trHeight w:val="1932"/>
        </w:trPr>
        <w:tc>
          <w:tcPr>
            <w:tcW w:w="1242" w:type="dxa"/>
            <w:shd w:val="clear" w:color="auto" w:fill="E7E6E6" w:themeFill="background2"/>
            <w:vAlign w:val="center"/>
          </w:tcPr>
          <w:p w14:paraId="5E03B6FE"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Číslo a název měřítka:</w:t>
            </w:r>
          </w:p>
        </w:tc>
        <w:tc>
          <w:tcPr>
            <w:tcW w:w="1588" w:type="dxa"/>
            <w:vAlign w:val="center"/>
          </w:tcPr>
          <w:p w14:paraId="4F90074A"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1.1 Míra nezaměstnanosti</w:t>
            </w:r>
          </w:p>
          <w:p w14:paraId="637473A1"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1.2 Průměrný plat</w:t>
            </w:r>
          </w:p>
        </w:tc>
        <w:tc>
          <w:tcPr>
            <w:tcW w:w="1673" w:type="dxa"/>
            <w:gridSpan w:val="2"/>
            <w:vAlign w:val="center"/>
          </w:tcPr>
          <w:p w14:paraId="0584C7DA"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2.1 Dostupnost služeb a péče</w:t>
            </w:r>
          </w:p>
        </w:tc>
        <w:tc>
          <w:tcPr>
            <w:tcW w:w="1417" w:type="dxa"/>
            <w:gridSpan w:val="2"/>
            <w:vAlign w:val="center"/>
          </w:tcPr>
          <w:p w14:paraId="51F399EF"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3.1 Zdraví obyvatel</w:t>
            </w:r>
          </w:p>
          <w:p w14:paraId="09655851"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3.2 Možnosti pro zdravý životní styl</w:t>
            </w:r>
          </w:p>
        </w:tc>
        <w:tc>
          <w:tcPr>
            <w:tcW w:w="1559" w:type="dxa"/>
            <w:gridSpan w:val="2"/>
            <w:vAlign w:val="center"/>
          </w:tcPr>
          <w:p w14:paraId="0FF9E3E2"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4.1 Kvalita života na sídlišti</w:t>
            </w:r>
          </w:p>
          <w:p w14:paraId="00A82162" w14:textId="2D4DDA09"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4.2 Počet vybudovaných nových bytů a rod</w:t>
            </w:r>
            <w:r w:rsidR="00246B73">
              <w:rPr>
                <w:rFonts w:asciiTheme="minorHAnsi" w:hAnsiTheme="minorHAnsi" w:cstheme="minorHAnsi"/>
                <w:sz w:val="20"/>
                <w:szCs w:val="20"/>
              </w:rPr>
              <w:t>inných</w:t>
            </w:r>
            <w:r w:rsidRPr="00BA3647">
              <w:rPr>
                <w:rFonts w:asciiTheme="minorHAnsi" w:hAnsiTheme="minorHAnsi" w:cstheme="minorHAnsi"/>
                <w:sz w:val="20"/>
                <w:szCs w:val="20"/>
              </w:rPr>
              <w:t xml:space="preserve"> domků</w:t>
            </w:r>
          </w:p>
        </w:tc>
        <w:tc>
          <w:tcPr>
            <w:tcW w:w="1809" w:type="dxa"/>
            <w:vAlign w:val="center"/>
          </w:tcPr>
          <w:p w14:paraId="4D155CA1"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5.1 Pocit bezpečí</w:t>
            </w:r>
          </w:p>
          <w:p w14:paraId="478F76E3"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5.2 Akce k prevenci</w:t>
            </w:r>
          </w:p>
          <w:p w14:paraId="65D0C512"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5.3 Kriminalita ve městě</w:t>
            </w:r>
          </w:p>
          <w:p w14:paraId="15251EE1"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5.4 Dopravní nehodovost</w:t>
            </w:r>
          </w:p>
          <w:p w14:paraId="4C1E6153"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5.5 Bezpečnostní infrastruktura</w:t>
            </w:r>
          </w:p>
        </w:tc>
      </w:tr>
      <w:tr w:rsidR="00BA3647" w:rsidRPr="00CE6D02" w14:paraId="73369DEE" w14:textId="77777777" w:rsidTr="000F4EB7">
        <w:tc>
          <w:tcPr>
            <w:tcW w:w="1242" w:type="dxa"/>
            <w:shd w:val="clear" w:color="auto" w:fill="E7E6E6" w:themeFill="background2"/>
            <w:vAlign w:val="center"/>
          </w:tcPr>
          <w:p w14:paraId="43C3DA8D" w14:textId="77777777"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Perspektiva:</w:t>
            </w:r>
          </w:p>
        </w:tc>
        <w:tc>
          <w:tcPr>
            <w:tcW w:w="8046" w:type="dxa"/>
            <w:gridSpan w:val="8"/>
            <w:shd w:val="clear" w:color="auto" w:fill="E7E6E6" w:themeFill="background2"/>
            <w:vAlign w:val="center"/>
          </w:tcPr>
          <w:p w14:paraId="4BA42545" w14:textId="060937CE"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Hospodárnost a financování aktivit – počet téma</w:t>
            </w:r>
            <w:r w:rsidR="004F0E1D">
              <w:rPr>
                <w:rFonts w:asciiTheme="minorHAnsi" w:hAnsiTheme="minorHAnsi" w:cstheme="minorHAnsi"/>
                <w:b/>
                <w:sz w:val="22"/>
                <w:szCs w:val="20"/>
              </w:rPr>
              <w:t>t</w:t>
            </w:r>
            <w:r w:rsidRPr="00CE6D02">
              <w:rPr>
                <w:rFonts w:asciiTheme="minorHAnsi" w:hAnsiTheme="minorHAnsi" w:cstheme="minorHAnsi"/>
                <w:b/>
                <w:sz w:val="22"/>
                <w:szCs w:val="20"/>
              </w:rPr>
              <w:t>: 2, počet indikátorů: 7</w:t>
            </w:r>
          </w:p>
        </w:tc>
      </w:tr>
      <w:tr w:rsidR="00BA3647" w:rsidRPr="00BA3647" w14:paraId="2B0CA871" w14:textId="77777777" w:rsidTr="000F4EB7">
        <w:tc>
          <w:tcPr>
            <w:tcW w:w="1242" w:type="dxa"/>
            <w:shd w:val="clear" w:color="auto" w:fill="E7E6E6" w:themeFill="background2"/>
            <w:vAlign w:val="center"/>
          </w:tcPr>
          <w:p w14:paraId="1155B9CF"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lastRenderedPageBreak/>
              <w:t>Téma:</w:t>
            </w:r>
          </w:p>
        </w:tc>
        <w:tc>
          <w:tcPr>
            <w:tcW w:w="4081" w:type="dxa"/>
            <w:gridSpan w:val="4"/>
            <w:vAlign w:val="center"/>
          </w:tcPr>
          <w:p w14:paraId="20C607E7" w14:textId="5ECEBEEE"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6.</w:t>
            </w:r>
            <w:r>
              <w:rPr>
                <w:rFonts w:asciiTheme="minorHAnsi" w:hAnsiTheme="minorHAnsi" w:cstheme="minorHAnsi"/>
                <w:sz w:val="20"/>
                <w:szCs w:val="20"/>
              </w:rPr>
              <w:t xml:space="preserve"> </w:t>
            </w:r>
            <w:r w:rsidRPr="00BA3647">
              <w:rPr>
                <w:rFonts w:asciiTheme="minorHAnsi" w:hAnsiTheme="minorHAnsi" w:cstheme="minorHAnsi"/>
                <w:sz w:val="20"/>
                <w:szCs w:val="20"/>
              </w:rPr>
              <w:t>Zodpovědné financování a financování z různých zdrojů</w:t>
            </w:r>
          </w:p>
        </w:tc>
        <w:tc>
          <w:tcPr>
            <w:tcW w:w="3965" w:type="dxa"/>
            <w:gridSpan w:val="4"/>
            <w:vAlign w:val="center"/>
          </w:tcPr>
          <w:p w14:paraId="6829EA41" w14:textId="4681CF3E"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7.</w:t>
            </w:r>
            <w:r>
              <w:rPr>
                <w:rFonts w:asciiTheme="minorHAnsi" w:hAnsiTheme="minorHAnsi" w:cstheme="minorHAnsi"/>
                <w:sz w:val="20"/>
                <w:szCs w:val="20"/>
              </w:rPr>
              <w:t xml:space="preserve"> </w:t>
            </w:r>
            <w:r w:rsidRPr="00BA3647">
              <w:rPr>
                <w:rFonts w:asciiTheme="minorHAnsi" w:hAnsiTheme="minorHAnsi" w:cstheme="minorHAnsi"/>
                <w:sz w:val="20"/>
                <w:szCs w:val="20"/>
              </w:rPr>
              <w:t>Účelné hospodaření s prostředky a majetkem města</w:t>
            </w:r>
          </w:p>
        </w:tc>
      </w:tr>
      <w:tr w:rsidR="00BA3647" w:rsidRPr="00BA3647" w14:paraId="3515E166" w14:textId="77777777" w:rsidTr="000F4EB7">
        <w:trPr>
          <w:trHeight w:val="1065"/>
        </w:trPr>
        <w:tc>
          <w:tcPr>
            <w:tcW w:w="1242" w:type="dxa"/>
            <w:shd w:val="clear" w:color="auto" w:fill="E7E6E6" w:themeFill="background2"/>
            <w:vAlign w:val="center"/>
          </w:tcPr>
          <w:p w14:paraId="1FA6AEF3"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Číslo a název měřítka:</w:t>
            </w:r>
          </w:p>
        </w:tc>
        <w:tc>
          <w:tcPr>
            <w:tcW w:w="4081" w:type="dxa"/>
            <w:gridSpan w:val="4"/>
            <w:vAlign w:val="center"/>
          </w:tcPr>
          <w:p w14:paraId="58926715"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6.1 Zadluženost města</w:t>
            </w:r>
          </w:p>
          <w:p w14:paraId="0389836C"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6.2 Efektivita provozních nákladů (%)</w:t>
            </w:r>
          </w:p>
          <w:p w14:paraId="4D838433"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6.3 Získané dotace a granty</w:t>
            </w:r>
          </w:p>
          <w:p w14:paraId="49737AAF"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6.4 Investice jiných subjektů na území města</w:t>
            </w:r>
          </w:p>
        </w:tc>
        <w:tc>
          <w:tcPr>
            <w:tcW w:w="3965" w:type="dxa"/>
            <w:gridSpan w:val="4"/>
            <w:vAlign w:val="center"/>
          </w:tcPr>
          <w:p w14:paraId="6E366376"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lang w:val="nl-NL"/>
              </w:rPr>
              <w:t>7.1 Využívání majetku</w:t>
            </w:r>
          </w:p>
          <w:p w14:paraId="3792A88B" w14:textId="1B5C075E" w:rsidR="00BA3647" w:rsidRPr="00BA3647" w:rsidRDefault="00916C5E" w:rsidP="004F0E1D">
            <w:pPr>
              <w:spacing w:line="216" w:lineRule="auto"/>
              <w:ind w:left="-57" w:right="-57"/>
              <w:rPr>
                <w:rFonts w:asciiTheme="minorHAnsi" w:hAnsiTheme="minorHAnsi" w:cstheme="minorHAnsi"/>
                <w:sz w:val="20"/>
                <w:szCs w:val="20"/>
              </w:rPr>
            </w:pPr>
            <w:r>
              <w:rPr>
                <w:rFonts w:asciiTheme="minorHAnsi" w:hAnsiTheme="minorHAnsi" w:cstheme="minorHAnsi"/>
                <w:sz w:val="20"/>
                <w:szCs w:val="20"/>
                <w:lang w:val="pl-PL"/>
              </w:rPr>
              <w:t>7.2 Přírů</w:t>
            </w:r>
            <w:r w:rsidR="00BA3647" w:rsidRPr="00BA3647">
              <w:rPr>
                <w:rFonts w:asciiTheme="minorHAnsi" w:hAnsiTheme="minorHAnsi" w:cstheme="minorHAnsi"/>
                <w:sz w:val="20"/>
                <w:szCs w:val="20"/>
                <w:lang w:val="pl-PL"/>
              </w:rPr>
              <w:t>stek majetku města</w:t>
            </w:r>
          </w:p>
          <w:p w14:paraId="1058ADF2" w14:textId="46CAC42C"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lang w:val="pl-PL"/>
              </w:rPr>
              <w:t>7.3 Efekti</w:t>
            </w:r>
            <w:r w:rsidR="00916C5E">
              <w:rPr>
                <w:rFonts w:asciiTheme="minorHAnsi" w:hAnsiTheme="minorHAnsi" w:cstheme="minorHAnsi"/>
                <w:sz w:val="20"/>
                <w:szCs w:val="20"/>
                <w:lang w:val="pl-PL"/>
              </w:rPr>
              <w:t xml:space="preserve">vnost při hospodaření s finančními </w:t>
            </w:r>
            <w:r w:rsidRPr="00BA3647">
              <w:rPr>
                <w:rFonts w:asciiTheme="minorHAnsi" w:hAnsiTheme="minorHAnsi" w:cstheme="minorHAnsi"/>
                <w:sz w:val="20"/>
                <w:szCs w:val="20"/>
                <w:lang w:val="pl-PL"/>
              </w:rPr>
              <w:t>prostředky</w:t>
            </w:r>
          </w:p>
        </w:tc>
      </w:tr>
      <w:tr w:rsidR="00BA3647" w:rsidRPr="00CE6D02" w14:paraId="497F8B95" w14:textId="77777777" w:rsidTr="000F4EB7">
        <w:tc>
          <w:tcPr>
            <w:tcW w:w="1242" w:type="dxa"/>
            <w:shd w:val="clear" w:color="auto" w:fill="E7E6E6" w:themeFill="background2"/>
            <w:vAlign w:val="center"/>
          </w:tcPr>
          <w:p w14:paraId="2374E0A5" w14:textId="77777777"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Perspektiva:</w:t>
            </w:r>
          </w:p>
        </w:tc>
        <w:tc>
          <w:tcPr>
            <w:tcW w:w="8046" w:type="dxa"/>
            <w:gridSpan w:val="8"/>
            <w:shd w:val="clear" w:color="auto" w:fill="E7E6E6" w:themeFill="background2"/>
            <w:vAlign w:val="center"/>
          </w:tcPr>
          <w:p w14:paraId="55DAE492" w14:textId="2AAE80E0"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Interní procesy – počet téma</w:t>
            </w:r>
            <w:r w:rsidR="004F0E1D">
              <w:rPr>
                <w:rFonts w:asciiTheme="minorHAnsi" w:hAnsiTheme="minorHAnsi" w:cstheme="minorHAnsi"/>
                <w:b/>
                <w:sz w:val="22"/>
                <w:szCs w:val="20"/>
              </w:rPr>
              <w:t>t</w:t>
            </w:r>
            <w:r w:rsidRPr="00CE6D02">
              <w:rPr>
                <w:rFonts w:asciiTheme="minorHAnsi" w:hAnsiTheme="minorHAnsi" w:cstheme="minorHAnsi"/>
                <w:b/>
                <w:sz w:val="22"/>
                <w:szCs w:val="20"/>
              </w:rPr>
              <w:t>: 3, počet indikátorů: 6</w:t>
            </w:r>
          </w:p>
        </w:tc>
      </w:tr>
      <w:tr w:rsidR="00BA3647" w:rsidRPr="00BA3647" w14:paraId="5CB2C56C" w14:textId="77777777" w:rsidTr="000F4EB7">
        <w:tc>
          <w:tcPr>
            <w:tcW w:w="1242" w:type="dxa"/>
            <w:shd w:val="clear" w:color="auto" w:fill="E7E6E6" w:themeFill="background2"/>
            <w:vAlign w:val="center"/>
          </w:tcPr>
          <w:p w14:paraId="3D1AA51A"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Téma:</w:t>
            </w:r>
          </w:p>
        </w:tc>
        <w:tc>
          <w:tcPr>
            <w:tcW w:w="2268" w:type="dxa"/>
            <w:gridSpan w:val="2"/>
            <w:vAlign w:val="center"/>
          </w:tcPr>
          <w:p w14:paraId="2BA00513" w14:textId="20251EC8"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8.</w:t>
            </w:r>
            <w:r>
              <w:rPr>
                <w:rFonts w:asciiTheme="minorHAnsi" w:hAnsiTheme="minorHAnsi" w:cstheme="minorHAnsi"/>
                <w:sz w:val="20"/>
                <w:szCs w:val="20"/>
              </w:rPr>
              <w:t xml:space="preserve"> </w:t>
            </w:r>
            <w:r w:rsidRPr="00BA3647">
              <w:rPr>
                <w:rFonts w:asciiTheme="minorHAnsi" w:hAnsiTheme="minorHAnsi" w:cstheme="minorHAnsi"/>
                <w:sz w:val="20"/>
                <w:szCs w:val="20"/>
              </w:rPr>
              <w:t>Promyšlená příprava a realizace investičních akcí</w:t>
            </w:r>
          </w:p>
        </w:tc>
        <w:tc>
          <w:tcPr>
            <w:tcW w:w="3148" w:type="dxa"/>
            <w:gridSpan w:val="4"/>
            <w:vAlign w:val="center"/>
          </w:tcPr>
          <w:p w14:paraId="34EF7728" w14:textId="32EEA8FC"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9.</w:t>
            </w:r>
            <w:r>
              <w:rPr>
                <w:rFonts w:asciiTheme="minorHAnsi" w:hAnsiTheme="minorHAnsi" w:cstheme="minorHAnsi"/>
                <w:sz w:val="20"/>
                <w:szCs w:val="20"/>
              </w:rPr>
              <w:t xml:space="preserve"> </w:t>
            </w:r>
            <w:r w:rsidRPr="00BA3647">
              <w:rPr>
                <w:rFonts w:asciiTheme="minorHAnsi" w:hAnsiTheme="minorHAnsi" w:cstheme="minorHAnsi"/>
                <w:sz w:val="20"/>
                <w:szCs w:val="20"/>
              </w:rPr>
              <w:t>Kvalitní činnost radnice, městské policie, technických služeb, vlastních školských, kulturních, sport</w:t>
            </w:r>
            <w:r w:rsidR="00246B73">
              <w:rPr>
                <w:rFonts w:asciiTheme="minorHAnsi" w:hAnsiTheme="minorHAnsi" w:cstheme="minorHAnsi"/>
                <w:sz w:val="20"/>
                <w:szCs w:val="20"/>
              </w:rPr>
              <w:t>ovních</w:t>
            </w:r>
            <w:r w:rsidRPr="00BA3647">
              <w:rPr>
                <w:rFonts w:asciiTheme="minorHAnsi" w:hAnsiTheme="minorHAnsi" w:cstheme="minorHAnsi"/>
                <w:sz w:val="20"/>
                <w:szCs w:val="20"/>
              </w:rPr>
              <w:t xml:space="preserve"> a ostatních zařízení.</w:t>
            </w:r>
          </w:p>
        </w:tc>
        <w:tc>
          <w:tcPr>
            <w:tcW w:w="2630" w:type="dxa"/>
            <w:gridSpan w:val="2"/>
            <w:vAlign w:val="center"/>
          </w:tcPr>
          <w:p w14:paraId="61BAF76C" w14:textId="30AB8A65"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10.</w:t>
            </w:r>
            <w:r>
              <w:rPr>
                <w:rFonts w:asciiTheme="minorHAnsi" w:hAnsiTheme="minorHAnsi" w:cstheme="minorHAnsi"/>
                <w:sz w:val="20"/>
                <w:szCs w:val="20"/>
              </w:rPr>
              <w:t xml:space="preserve"> </w:t>
            </w:r>
            <w:r w:rsidRPr="00BA3647">
              <w:rPr>
                <w:rFonts w:asciiTheme="minorHAnsi" w:hAnsiTheme="minorHAnsi" w:cstheme="minorHAnsi"/>
                <w:sz w:val="20"/>
                <w:szCs w:val="20"/>
              </w:rPr>
              <w:t>Partnerství k realizaci záměrů, podnikání a vzdělanosti; podpora spolků a NNO</w:t>
            </w:r>
          </w:p>
        </w:tc>
      </w:tr>
      <w:tr w:rsidR="00BA3647" w:rsidRPr="00BA3647" w14:paraId="622644F1" w14:textId="77777777" w:rsidTr="000F4EB7">
        <w:trPr>
          <w:trHeight w:val="983"/>
        </w:trPr>
        <w:tc>
          <w:tcPr>
            <w:tcW w:w="1242" w:type="dxa"/>
            <w:shd w:val="clear" w:color="auto" w:fill="E7E6E6" w:themeFill="background2"/>
            <w:vAlign w:val="center"/>
          </w:tcPr>
          <w:p w14:paraId="514C9C3F"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Číslo a název měřítka:</w:t>
            </w:r>
          </w:p>
        </w:tc>
        <w:tc>
          <w:tcPr>
            <w:tcW w:w="2268" w:type="dxa"/>
            <w:gridSpan w:val="2"/>
            <w:vAlign w:val="center"/>
          </w:tcPr>
          <w:p w14:paraId="0312F8D4"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8.1 Průmyslové zóny a jejich využití</w:t>
            </w:r>
          </w:p>
          <w:p w14:paraId="09E08BA0"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8.2 Investice města</w:t>
            </w:r>
          </w:p>
        </w:tc>
        <w:tc>
          <w:tcPr>
            <w:tcW w:w="3148" w:type="dxa"/>
            <w:gridSpan w:val="4"/>
            <w:vAlign w:val="center"/>
          </w:tcPr>
          <w:p w14:paraId="06592BDC"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9.1 Kvalita a výkonnost úřadu – benchmarking</w:t>
            </w:r>
          </w:p>
          <w:p w14:paraId="25F439E8"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9.2 Kvalita a výkonnost úřadu dle metody CAF</w:t>
            </w:r>
          </w:p>
          <w:p w14:paraId="255E3D32"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9.3. Audit pracovišť včetně stížností</w:t>
            </w:r>
          </w:p>
        </w:tc>
        <w:tc>
          <w:tcPr>
            <w:tcW w:w="2630" w:type="dxa"/>
            <w:gridSpan w:val="2"/>
            <w:vAlign w:val="center"/>
          </w:tcPr>
          <w:p w14:paraId="2B5E77CA"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10.1 Plnění komunitního plánu zdraví a kvality života</w:t>
            </w:r>
          </w:p>
        </w:tc>
      </w:tr>
      <w:tr w:rsidR="00BA3647" w:rsidRPr="00CE6D02" w14:paraId="17BB8D35" w14:textId="77777777" w:rsidTr="00CE6D02">
        <w:tc>
          <w:tcPr>
            <w:tcW w:w="1242" w:type="dxa"/>
            <w:shd w:val="clear" w:color="auto" w:fill="E7E6E6" w:themeFill="background2"/>
            <w:vAlign w:val="center"/>
          </w:tcPr>
          <w:p w14:paraId="712FB31B" w14:textId="77777777"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Perspektiva:</w:t>
            </w:r>
          </w:p>
        </w:tc>
        <w:tc>
          <w:tcPr>
            <w:tcW w:w="8046" w:type="dxa"/>
            <w:gridSpan w:val="8"/>
            <w:shd w:val="clear" w:color="auto" w:fill="E7E6E6" w:themeFill="background2"/>
            <w:vAlign w:val="center"/>
          </w:tcPr>
          <w:p w14:paraId="4DF6FFAE" w14:textId="0392DD35" w:rsidR="00BA3647" w:rsidRPr="00CE6D02" w:rsidRDefault="00BA3647" w:rsidP="004F0E1D">
            <w:pPr>
              <w:spacing w:line="216" w:lineRule="auto"/>
              <w:ind w:left="-57" w:right="-57"/>
              <w:rPr>
                <w:rFonts w:asciiTheme="minorHAnsi" w:hAnsiTheme="minorHAnsi" w:cstheme="minorHAnsi"/>
                <w:b/>
                <w:sz w:val="22"/>
                <w:szCs w:val="20"/>
              </w:rPr>
            </w:pPr>
            <w:r w:rsidRPr="00CE6D02">
              <w:rPr>
                <w:rFonts w:asciiTheme="minorHAnsi" w:hAnsiTheme="minorHAnsi" w:cstheme="minorHAnsi"/>
                <w:b/>
                <w:sz w:val="22"/>
                <w:szCs w:val="20"/>
              </w:rPr>
              <w:t>Učení a růst – počet téma</w:t>
            </w:r>
            <w:r w:rsidR="004F0E1D">
              <w:rPr>
                <w:rFonts w:asciiTheme="minorHAnsi" w:hAnsiTheme="minorHAnsi" w:cstheme="minorHAnsi"/>
                <w:b/>
                <w:sz w:val="22"/>
                <w:szCs w:val="20"/>
              </w:rPr>
              <w:t>t</w:t>
            </w:r>
            <w:r w:rsidRPr="00CE6D02">
              <w:rPr>
                <w:rFonts w:asciiTheme="minorHAnsi" w:hAnsiTheme="minorHAnsi" w:cstheme="minorHAnsi"/>
                <w:b/>
                <w:sz w:val="22"/>
                <w:szCs w:val="20"/>
              </w:rPr>
              <w:t>: 3, počet indikátorů: 6</w:t>
            </w:r>
          </w:p>
        </w:tc>
      </w:tr>
      <w:tr w:rsidR="00BA3647" w:rsidRPr="00BA3647" w14:paraId="0A71EE99" w14:textId="77777777" w:rsidTr="000F4EB7">
        <w:trPr>
          <w:trHeight w:val="731"/>
        </w:trPr>
        <w:tc>
          <w:tcPr>
            <w:tcW w:w="1242" w:type="dxa"/>
            <w:shd w:val="clear" w:color="auto" w:fill="E7E6E6" w:themeFill="background2"/>
            <w:vAlign w:val="center"/>
          </w:tcPr>
          <w:p w14:paraId="1124D950" w14:textId="77777777"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Téma:</w:t>
            </w:r>
          </w:p>
        </w:tc>
        <w:tc>
          <w:tcPr>
            <w:tcW w:w="2268" w:type="dxa"/>
            <w:gridSpan w:val="2"/>
            <w:vAlign w:val="center"/>
          </w:tcPr>
          <w:p w14:paraId="4DB1883C" w14:textId="65DC7D75"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11.</w:t>
            </w:r>
            <w:r>
              <w:rPr>
                <w:rFonts w:asciiTheme="minorHAnsi" w:hAnsiTheme="minorHAnsi" w:cstheme="minorHAnsi"/>
                <w:sz w:val="20"/>
                <w:szCs w:val="20"/>
              </w:rPr>
              <w:t xml:space="preserve"> </w:t>
            </w:r>
            <w:r w:rsidRPr="00BA3647">
              <w:rPr>
                <w:rFonts w:asciiTheme="minorHAnsi" w:hAnsiTheme="minorHAnsi" w:cstheme="minorHAnsi"/>
                <w:sz w:val="20"/>
                <w:szCs w:val="20"/>
              </w:rPr>
              <w:t>Posilování prostředí spolupráce, důvěry a zodpovědnosti</w:t>
            </w:r>
          </w:p>
        </w:tc>
        <w:tc>
          <w:tcPr>
            <w:tcW w:w="3148" w:type="dxa"/>
            <w:gridSpan w:val="4"/>
            <w:vAlign w:val="center"/>
          </w:tcPr>
          <w:p w14:paraId="2EC44C26" w14:textId="25D8CDD6"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12.</w:t>
            </w:r>
            <w:r>
              <w:rPr>
                <w:rFonts w:asciiTheme="minorHAnsi" w:hAnsiTheme="minorHAnsi" w:cstheme="minorHAnsi"/>
                <w:sz w:val="20"/>
                <w:szCs w:val="20"/>
              </w:rPr>
              <w:t xml:space="preserve"> </w:t>
            </w:r>
            <w:r w:rsidRPr="00BA3647">
              <w:rPr>
                <w:rFonts w:asciiTheme="minorHAnsi" w:hAnsiTheme="minorHAnsi" w:cstheme="minorHAnsi"/>
                <w:sz w:val="20"/>
                <w:szCs w:val="20"/>
              </w:rPr>
              <w:t>Zdokonalování procesu komunitního plánování a projektového řízení</w:t>
            </w:r>
          </w:p>
        </w:tc>
        <w:tc>
          <w:tcPr>
            <w:tcW w:w="2630" w:type="dxa"/>
            <w:gridSpan w:val="2"/>
            <w:vAlign w:val="center"/>
          </w:tcPr>
          <w:p w14:paraId="3BAA2C4A" w14:textId="58207DE8" w:rsidR="00BA3647" w:rsidRPr="00BA3647" w:rsidRDefault="00BA3647" w:rsidP="004F0E1D">
            <w:pPr>
              <w:spacing w:line="216" w:lineRule="auto"/>
              <w:ind w:left="-57" w:right="-57"/>
              <w:rPr>
                <w:rFonts w:asciiTheme="minorHAnsi" w:hAnsiTheme="minorHAnsi" w:cstheme="minorHAnsi"/>
                <w:sz w:val="20"/>
                <w:szCs w:val="20"/>
              </w:rPr>
            </w:pPr>
            <w:r w:rsidRPr="00BA3647">
              <w:rPr>
                <w:rFonts w:asciiTheme="minorHAnsi" w:hAnsiTheme="minorHAnsi" w:cstheme="minorHAnsi"/>
                <w:sz w:val="20"/>
                <w:szCs w:val="20"/>
              </w:rPr>
              <w:t>13.</w:t>
            </w:r>
            <w:r>
              <w:rPr>
                <w:rFonts w:asciiTheme="minorHAnsi" w:hAnsiTheme="minorHAnsi" w:cstheme="minorHAnsi"/>
                <w:sz w:val="20"/>
                <w:szCs w:val="20"/>
              </w:rPr>
              <w:t xml:space="preserve"> </w:t>
            </w:r>
            <w:r w:rsidRPr="00BA3647">
              <w:rPr>
                <w:rFonts w:asciiTheme="minorHAnsi" w:hAnsiTheme="minorHAnsi" w:cstheme="minorHAnsi"/>
                <w:sz w:val="20"/>
                <w:szCs w:val="20"/>
              </w:rPr>
              <w:t>Rozvíjení dovedností a znalostí, zavádění nových metod a efektivních technologií</w:t>
            </w:r>
          </w:p>
        </w:tc>
      </w:tr>
      <w:tr w:rsidR="00B27797" w:rsidRPr="00B27797" w14:paraId="46A38BCB" w14:textId="77777777" w:rsidTr="00B27797">
        <w:trPr>
          <w:trHeight w:val="700"/>
        </w:trPr>
        <w:tc>
          <w:tcPr>
            <w:tcW w:w="1242" w:type="dxa"/>
            <w:shd w:val="clear" w:color="auto" w:fill="E7E6E6" w:themeFill="background2"/>
            <w:vAlign w:val="center"/>
          </w:tcPr>
          <w:p w14:paraId="7C452324" w14:textId="77777777"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Číslo a název měřítka:</w:t>
            </w:r>
          </w:p>
          <w:p w14:paraId="2738BD1E" w14:textId="77777777" w:rsidR="00B27797" w:rsidRPr="00B27797" w:rsidRDefault="00B27797" w:rsidP="004F0E1D">
            <w:pPr>
              <w:spacing w:line="216" w:lineRule="auto"/>
              <w:ind w:left="-57" w:right="-57"/>
              <w:rPr>
                <w:rFonts w:asciiTheme="minorHAnsi" w:hAnsiTheme="minorHAnsi" w:cstheme="minorHAnsi"/>
                <w:sz w:val="20"/>
                <w:szCs w:val="22"/>
              </w:rPr>
            </w:pPr>
          </w:p>
        </w:tc>
        <w:tc>
          <w:tcPr>
            <w:tcW w:w="2268" w:type="dxa"/>
            <w:gridSpan w:val="2"/>
            <w:vAlign w:val="center"/>
          </w:tcPr>
          <w:p w14:paraId="46BBE3FE" w14:textId="58C2D535"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11.1 Spokojenost zaměstnanců úřadu</w:t>
            </w:r>
          </w:p>
        </w:tc>
        <w:tc>
          <w:tcPr>
            <w:tcW w:w="3148" w:type="dxa"/>
            <w:gridSpan w:val="4"/>
            <w:vAlign w:val="center"/>
          </w:tcPr>
          <w:p w14:paraId="360C139A" w14:textId="77777777"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12.1 Počet projektů</w:t>
            </w:r>
          </w:p>
          <w:p w14:paraId="312654AD" w14:textId="0858C9D9"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12.2 Místní partnerství s veřejností – Agenda 21</w:t>
            </w:r>
          </w:p>
        </w:tc>
        <w:tc>
          <w:tcPr>
            <w:tcW w:w="2630" w:type="dxa"/>
            <w:gridSpan w:val="2"/>
            <w:vAlign w:val="center"/>
          </w:tcPr>
          <w:p w14:paraId="4FA2A70A" w14:textId="77777777"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13.1 Nové metody a technologie na úřadě</w:t>
            </w:r>
          </w:p>
          <w:p w14:paraId="4C8CBA92" w14:textId="77777777"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13.2 Kvalifikovanost personálu na úřadě</w:t>
            </w:r>
          </w:p>
          <w:p w14:paraId="268B3CAD" w14:textId="186CEA40" w:rsidR="00B27797" w:rsidRPr="00B27797" w:rsidRDefault="00B27797" w:rsidP="004F0E1D">
            <w:pPr>
              <w:spacing w:line="216" w:lineRule="auto"/>
              <w:ind w:left="-57" w:right="-57"/>
              <w:rPr>
                <w:rFonts w:asciiTheme="minorHAnsi" w:hAnsiTheme="minorHAnsi" w:cstheme="minorHAnsi"/>
                <w:sz w:val="20"/>
                <w:szCs w:val="22"/>
              </w:rPr>
            </w:pPr>
            <w:r w:rsidRPr="00B27797">
              <w:rPr>
                <w:rFonts w:asciiTheme="minorHAnsi" w:hAnsiTheme="minorHAnsi" w:cstheme="minorHAnsi"/>
                <w:sz w:val="20"/>
                <w:szCs w:val="22"/>
              </w:rPr>
              <w:t>13.3 Zlepšovací návrhy na úřadě</w:t>
            </w:r>
          </w:p>
        </w:tc>
      </w:tr>
      <w:tr w:rsidR="00B27797" w:rsidRPr="000F4EB7" w14:paraId="26463849" w14:textId="77777777" w:rsidTr="00CE6D02">
        <w:tc>
          <w:tcPr>
            <w:tcW w:w="1242" w:type="dxa"/>
            <w:shd w:val="clear" w:color="auto" w:fill="E7E6E6" w:themeFill="background2"/>
            <w:vAlign w:val="center"/>
          </w:tcPr>
          <w:p w14:paraId="4FDB23A5" w14:textId="77777777" w:rsidR="00B27797" w:rsidRPr="000F4EB7" w:rsidRDefault="00B27797" w:rsidP="004F0E1D">
            <w:pPr>
              <w:spacing w:line="216" w:lineRule="auto"/>
              <w:ind w:left="-57" w:right="-57"/>
              <w:rPr>
                <w:rFonts w:asciiTheme="minorHAnsi" w:hAnsiTheme="minorHAnsi" w:cstheme="minorHAnsi"/>
                <w:b/>
                <w:sz w:val="20"/>
                <w:szCs w:val="20"/>
              </w:rPr>
            </w:pPr>
            <w:r w:rsidRPr="00CE6D02">
              <w:rPr>
                <w:rFonts w:asciiTheme="minorHAnsi" w:hAnsiTheme="minorHAnsi" w:cstheme="minorHAnsi"/>
                <w:b/>
                <w:sz w:val="22"/>
                <w:szCs w:val="20"/>
              </w:rPr>
              <w:t>Celkem</w:t>
            </w:r>
          </w:p>
        </w:tc>
        <w:tc>
          <w:tcPr>
            <w:tcW w:w="8046" w:type="dxa"/>
            <w:gridSpan w:val="8"/>
            <w:shd w:val="clear" w:color="auto" w:fill="E7E6E6" w:themeFill="background2"/>
            <w:vAlign w:val="center"/>
          </w:tcPr>
          <w:p w14:paraId="24F35665" w14:textId="77777777" w:rsidR="00B27797" w:rsidRPr="00CE6D02" w:rsidRDefault="00B27797" w:rsidP="004F0E1D">
            <w:pPr>
              <w:spacing w:line="216" w:lineRule="auto"/>
              <w:ind w:left="-57" w:right="-57"/>
              <w:jc w:val="center"/>
              <w:rPr>
                <w:rFonts w:asciiTheme="minorHAnsi" w:hAnsiTheme="minorHAnsi" w:cstheme="minorHAnsi"/>
                <w:b/>
                <w:szCs w:val="20"/>
              </w:rPr>
            </w:pPr>
            <w:r w:rsidRPr="00CE6D02">
              <w:rPr>
                <w:rFonts w:asciiTheme="minorHAnsi" w:hAnsiTheme="minorHAnsi" w:cstheme="minorHAnsi"/>
                <w:b/>
                <w:szCs w:val="20"/>
              </w:rPr>
              <w:t>34 indikátorů</w:t>
            </w:r>
          </w:p>
        </w:tc>
      </w:tr>
    </w:tbl>
    <w:p w14:paraId="2FB604D5" w14:textId="0D13D845" w:rsidR="00BA3647" w:rsidRPr="00CE6D02" w:rsidRDefault="00D430EA" w:rsidP="002903CF">
      <w:pPr>
        <w:jc w:val="both"/>
        <w:rPr>
          <w:rFonts w:asciiTheme="minorHAnsi" w:hAnsiTheme="minorHAnsi" w:cstheme="minorHAnsi"/>
          <w:i/>
        </w:rPr>
      </w:pPr>
      <w:r w:rsidRPr="00CE6D02">
        <w:rPr>
          <w:rFonts w:asciiTheme="minorHAnsi" w:hAnsiTheme="minorHAnsi" w:cstheme="minorHAnsi"/>
          <w:i/>
        </w:rPr>
        <w:t>Zdroj: Půček, Špaček (2014)</w:t>
      </w:r>
    </w:p>
    <w:p w14:paraId="2E77029B" w14:textId="1B0973EF" w:rsidR="00B27797" w:rsidRPr="007B1BC0" w:rsidRDefault="00B27797" w:rsidP="00B27797">
      <w:pPr>
        <w:spacing w:before="100"/>
        <w:jc w:val="both"/>
        <w:rPr>
          <w:rFonts w:asciiTheme="minorHAnsi" w:hAnsiTheme="minorHAnsi" w:cstheme="minorHAnsi"/>
          <w:bCs/>
          <w:szCs w:val="28"/>
        </w:rPr>
      </w:pPr>
      <w:r w:rsidRPr="007B1BC0">
        <w:rPr>
          <w:rFonts w:asciiTheme="minorHAnsi" w:hAnsiTheme="minorHAnsi" w:cstheme="minorHAnsi"/>
          <w:bCs/>
          <w:szCs w:val="28"/>
        </w:rPr>
        <w:t>V uvedeném příkladu je vidět, že pro řízení na úrovni města je použito 34 měřítek. U každého měřítka je definována jasná metodika měření, cílová hodnota aktuálního roku, cílová hodnota za 5 let.</w:t>
      </w:r>
    </w:p>
    <w:p w14:paraId="59E0D16D" w14:textId="77777777" w:rsidR="00CE6D02" w:rsidRPr="005149E0" w:rsidRDefault="00CE6D02" w:rsidP="00CE6D02">
      <w:pPr>
        <w:pStyle w:val="A1-text"/>
        <w:spacing w:after="120"/>
        <w:rPr>
          <w:rFonts w:asciiTheme="minorHAnsi" w:hAnsiTheme="minorHAnsi" w:cstheme="minorHAnsi"/>
          <w:b/>
          <w:lang w:val="cs-CZ"/>
        </w:rPr>
      </w:pPr>
      <w:r w:rsidRPr="005149E0">
        <w:rPr>
          <w:rFonts w:asciiTheme="minorHAnsi" w:hAnsiTheme="minorHAnsi" w:cstheme="minorHAnsi"/>
          <w:b/>
          <w:lang w:val="cs-CZ"/>
        </w:rPr>
        <w:t xml:space="preserve">Závěr / </w:t>
      </w:r>
      <w:r>
        <w:rPr>
          <w:rFonts w:asciiTheme="minorHAnsi" w:hAnsiTheme="minorHAnsi" w:cstheme="minorHAnsi"/>
          <w:b/>
          <w:lang w:val="cs-CZ"/>
        </w:rPr>
        <w:t xml:space="preserve">omezení / zkušenost nebo </w:t>
      </w:r>
      <w:r w:rsidRPr="005149E0">
        <w:rPr>
          <w:rFonts w:asciiTheme="minorHAnsi" w:hAnsiTheme="minorHAnsi" w:cstheme="minorHAnsi"/>
          <w:b/>
          <w:lang w:val="cs-CZ"/>
        </w:rPr>
        <w:t>dobrá praxe ze studie plynoucí:</w:t>
      </w:r>
    </w:p>
    <w:p w14:paraId="20CF2189" w14:textId="57760BB1" w:rsidR="00CE6D02" w:rsidRDefault="007B1BC0" w:rsidP="00CE6D02">
      <w:pPr>
        <w:pStyle w:val="Odstavecseseznamem"/>
        <w:numPr>
          <w:ilvl w:val="0"/>
          <w:numId w:val="22"/>
        </w:numPr>
        <w:jc w:val="both"/>
        <w:rPr>
          <w:rFonts w:asciiTheme="minorHAnsi" w:hAnsiTheme="minorHAnsi" w:cstheme="minorHAnsi"/>
        </w:rPr>
      </w:pPr>
      <w:r>
        <w:rPr>
          <w:rFonts w:asciiTheme="minorHAnsi" w:hAnsiTheme="minorHAnsi" w:cstheme="minorHAnsi"/>
        </w:rPr>
        <w:t>Metoda BSC je vhodná v situacích, kdy se na finanční řízení města klade velký důraz. Podmínkou též je mít jasně vymezené procesy a mít plnění ukazatelů propojené s odměňováním.</w:t>
      </w:r>
    </w:p>
    <w:p w14:paraId="66AB5D1D" w14:textId="240F7CE5" w:rsidR="007B1BC0" w:rsidRDefault="007B1BC0" w:rsidP="00CE6D02">
      <w:pPr>
        <w:pStyle w:val="Odstavecseseznamem"/>
        <w:numPr>
          <w:ilvl w:val="0"/>
          <w:numId w:val="22"/>
        </w:numPr>
        <w:jc w:val="both"/>
        <w:rPr>
          <w:rFonts w:asciiTheme="minorHAnsi" w:hAnsiTheme="minorHAnsi" w:cstheme="minorHAnsi"/>
        </w:rPr>
      </w:pPr>
      <w:r>
        <w:rPr>
          <w:rFonts w:asciiTheme="minorHAnsi" w:hAnsiTheme="minorHAnsi" w:cstheme="minorHAnsi"/>
        </w:rPr>
        <w:t>Pro většinu měst je vhodnější používat obecnější metodu řízení podle cílů (MBO</w:t>
      </w:r>
      <w:r w:rsidR="00FD29BD">
        <w:rPr>
          <w:rFonts w:asciiTheme="minorHAnsi" w:hAnsiTheme="minorHAnsi" w:cstheme="minorHAnsi"/>
        </w:rPr>
        <w:t>, model Dělat správné věci správně</w:t>
      </w:r>
      <w:r w:rsidR="00FD29BD">
        <w:rPr>
          <w:rStyle w:val="Znakapoznpodarou"/>
          <w:rFonts w:asciiTheme="minorHAnsi" w:hAnsiTheme="minorHAnsi" w:cstheme="minorHAnsi"/>
        </w:rPr>
        <w:footnoteReference w:id="74"/>
      </w:r>
      <w:r>
        <w:rPr>
          <w:rFonts w:asciiTheme="minorHAnsi" w:hAnsiTheme="minorHAnsi" w:cstheme="minorHAnsi"/>
        </w:rPr>
        <w:t>)</w:t>
      </w:r>
    </w:p>
    <w:p w14:paraId="1577D394" w14:textId="77777777" w:rsidR="00CE6D02" w:rsidRDefault="00CE6D02" w:rsidP="002903CF">
      <w:pPr>
        <w:jc w:val="both"/>
        <w:rPr>
          <w:rFonts w:asciiTheme="minorHAnsi" w:hAnsiTheme="minorHAnsi" w:cstheme="minorHAnsi"/>
        </w:rPr>
      </w:pPr>
    </w:p>
    <w:p w14:paraId="024DDCA1" w14:textId="77777777" w:rsidR="00C71FA2" w:rsidRPr="00C71FA2" w:rsidRDefault="00C71FA2" w:rsidP="00C71FA2">
      <w:pPr>
        <w:jc w:val="both"/>
        <w:rPr>
          <w:rFonts w:asciiTheme="minorHAnsi" w:hAnsiTheme="minorHAnsi" w:cstheme="minorHAnsi"/>
        </w:rPr>
      </w:pPr>
    </w:p>
    <w:p w14:paraId="32241027" w14:textId="5E9679EB" w:rsidR="00A15B8E" w:rsidRDefault="00A15B8E" w:rsidP="00A15B8E">
      <w:pPr>
        <w:jc w:val="both"/>
        <w:rPr>
          <w:rFonts w:asciiTheme="minorHAnsi" w:hAnsiTheme="minorHAnsi" w:cstheme="minorHAnsi"/>
        </w:rPr>
      </w:pPr>
    </w:p>
    <w:p w14:paraId="28F62A76" w14:textId="77777777" w:rsidR="00A15B8E" w:rsidRDefault="00A15B8E">
      <w:pPr>
        <w:spacing w:after="160" w:line="259" w:lineRule="auto"/>
        <w:rPr>
          <w:rFonts w:ascii="Calibri" w:hAnsi="Calibri"/>
          <w:b/>
          <w:bCs/>
          <w:color w:val="7493B0"/>
          <w:sz w:val="32"/>
          <w:szCs w:val="28"/>
        </w:rPr>
      </w:pPr>
      <w:r>
        <w:rPr>
          <w:rFonts w:ascii="Calibri" w:hAnsi="Calibri"/>
          <w:color w:val="7493B0"/>
          <w:sz w:val="32"/>
        </w:rPr>
        <w:br w:type="page"/>
      </w:r>
    </w:p>
    <w:p w14:paraId="285187A4" w14:textId="27A4B326" w:rsidR="004E3500" w:rsidRDefault="00F332AB" w:rsidP="004E3500">
      <w:pPr>
        <w:pStyle w:val="Nadpis1"/>
        <w:spacing w:before="240" w:after="120"/>
        <w:ind w:left="431" w:hanging="431"/>
        <w:rPr>
          <w:rFonts w:ascii="Calibri" w:hAnsi="Calibri"/>
          <w:color w:val="7493B0"/>
          <w:sz w:val="32"/>
          <w:lang w:val="cs-CZ"/>
        </w:rPr>
      </w:pPr>
      <w:bookmarkStart w:id="113" w:name="_Toc117270036"/>
      <w:r>
        <w:rPr>
          <w:rFonts w:ascii="Calibri" w:hAnsi="Calibri"/>
          <w:color w:val="7493B0"/>
          <w:sz w:val="32"/>
          <w:lang w:val="cs-CZ"/>
        </w:rPr>
        <w:lastRenderedPageBreak/>
        <w:t xml:space="preserve">Vybraná doporučení / </w:t>
      </w:r>
      <w:r w:rsidR="004E3500">
        <w:rPr>
          <w:rFonts w:ascii="Calibri" w:hAnsi="Calibri"/>
          <w:color w:val="7493B0"/>
          <w:sz w:val="32"/>
          <w:lang w:val="cs-CZ"/>
        </w:rPr>
        <w:t>omezení</w:t>
      </w:r>
      <w:bookmarkEnd w:id="79"/>
      <w:bookmarkEnd w:id="113"/>
    </w:p>
    <w:p w14:paraId="22283C76" w14:textId="1C90A398" w:rsidR="00062378" w:rsidRDefault="00062378" w:rsidP="00062378">
      <w:pPr>
        <w:jc w:val="both"/>
        <w:rPr>
          <w:rFonts w:asciiTheme="minorHAnsi" w:hAnsiTheme="minorHAnsi" w:cstheme="minorHAnsi"/>
        </w:rPr>
      </w:pPr>
      <w:r w:rsidRPr="00F332AB">
        <w:rPr>
          <w:rFonts w:asciiTheme="minorHAnsi" w:hAnsiTheme="minorHAnsi" w:cstheme="minorHAnsi"/>
        </w:rPr>
        <w:t xml:space="preserve">Při práci s tímto </w:t>
      </w:r>
      <w:r w:rsidR="00F332AB">
        <w:rPr>
          <w:rFonts w:asciiTheme="minorHAnsi" w:hAnsiTheme="minorHAnsi" w:cstheme="minorHAnsi"/>
        </w:rPr>
        <w:t>textem</w:t>
      </w:r>
      <w:r w:rsidRPr="00F332AB">
        <w:rPr>
          <w:rFonts w:asciiTheme="minorHAnsi" w:hAnsiTheme="minorHAnsi" w:cstheme="minorHAnsi"/>
        </w:rPr>
        <w:t xml:space="preserve"> je třeba brát v úvahu, že vše, co je v tomto text</w:t>
      </w:r>
      <w:r w:rsidR="00F332AB">
        <w:rPr>
          <w:rFonts w:asciiTheme="minorHAnsi" w:hAnsiTheme="minorHAnsi" w:cstheme="minorHAnsi"/>
        </w:rPr>
        <w:t>u uvedeno, platí do určité míry. A to zejména s ohledem na to, že</w:t>
      </w:r>
      <w:r w:rsidRPr="00F332AB">
        <w:rPr>
          <w:rFonts w:asciiTheme="minorHAnsi" w:hAnsiTheme="minorHAnsi" w:cstheme="minorHAnsi"/>
        </w:rPr>
        <w:t xml:space="preserve"> vždy je třeba brát </w:t>
      </w:r>
      <w:r w:rsidR="007D63CC">
        <w:rPr>
          <w:rFonts w:asciiTheme="minorHAnsi" w:hAnsiTheme="minorHAnsi" w:cstheme="minorHAnsi"/>
        </w:rPr>
        <w:t xml:space="preserve">při strategické práci </w:t>
      </w:r>
      <w:r w:rsidRPr="00F332AB">
        <w:rPr>
          <w:rFonts w:asciiTheme="minorHAnsi" w:hAnsiTheme="minorHAnsi" w:cstheme="minorHAnsi"/>
        </w:rPr>
        <w:t xml:space="preserve">v úvahu konkrétní situaci a místní podmínky. </w:t>
      </w:r>
      <w:r w:rsidR="00F332AB">
        <w:rPr>
          <w:rFonts w:asciiTheme="minorHAnsi" w:hAnsiTheme="minorHAnsi" w:cstheme="minorHAnsi"/>
        </w:rPr>
        <w:t>Naučit se účinně uplatňovat znalosti rozpočtování, hospodaření nebo zdravého finančního řízení v rámci strategické práce</w:t>
      </w:r>
      <w:r w:rsidRPr="00F332AB">
        <w:rPr>
          <w:rFonts w:asciiTheme="minorHAnsi" w:hAnsiTheme="minorHAnsi" w:cstheme="minorHAnsi"/>
        </w:rPr>
        <w:t xml:space="preserve"> lze zejména</w:t>
      </w:r>
      <w:r w:rsidR="00F332AB">
        <w:rPr>
          <w:rFonts w:asciiTheme="minorHAnsi" w:hAnsiTheme="minorHAnsi" w:cstheme="minorHAnsi"/>
        </w:rPr>
        <w:t xml:space="preserve"> pomocí</w:t>
      </w:r>
      <w:r w:rsidRPr="00F332AB">
        <w:rPr>
          <w:rFonts w:asciiTheme="minorHAnsi" w:hAnsiTheme="minorHAnsi" w:cstheme="minorHAnsi"/>
        </w:rPr>
        <w:t xml:space="preserve"> „učením se praxí“ (je to třeba v praxi zkusit a učit se z vlastních chyb).</w:t>
      </w:r>
      <w:r w:rsidR="00F332AB">
        <w:rPr>
          <w:rFonts w:asciiTheme="minorHAnsi" w:hAnsiTheme="minorHAnsi" w:cstheme="minorHAnsi"/>
        </w:rPr>
        <w:t xml:space="preserve"> </w:t>
      </w:r>
      <w:r>
        <w:rPr>
          <w:rFonts w:asciiTheme="minorHAnsi" w:hAnsiTheme="minorHAnsi" w:cstheme="minorHAnsi"/>
        </w:rPr>
        <w:t>Je třeba brát též v úvahu:</w:t>
      </w:r>
    </w:p>
    <w:p w14:paraId="7890003C" w14:textId="2A9DDB33" w:rsidR="00A72098" w:rsidRPr="00397A20" w:rsidRDefault="004A5E66" w:rsidP="00B301B0">
      <w:pPr>
        <w:numPr>
          <w:ilvl w:val="0"/>
          <w:numId w:val="43"/>
        </w:numPr>
        <w:tabs>
          <w:tab w:val="num" w:pos="720"/>
        </w:tabs>
        <w:jc w:val="both"/>
        <w:rPr>
          <w:rFonts w:asciiTheme="minorHAnsi" w:hAnsiTheme="minorHAnsi" w:cstheme="minorHAnsi"/>
          <w:highlight w:val="yellow"/>
          <w:lang w:eastAsia="x-none"/>
        </w:rPr>
      </w:pPr>
      <w:r w:rsidRPr="00397A20">
        <w:rPr>
          <w:rFonts w:asciiTheme="minorHAnsi" w:hAnsiTheme="minorHAnsi" w:cstheme="minorHAnsi"/>
          <w:highlight w:val="yellow"/>
        </w:rPr>
        <w:t xml:space="preserve">V úvodu tohoto textu byl popsán vztah </w:t>
      </w:r>
      <w:r w:rsidR="00A72098" w:rsidRPr="00397A20">
        <w:rPr>
          <w:rFonts w:asciiTheme="minorHAnsi" w:hAnsiTheme="minorHAnsi" w:cstheme="minorHAnsi"/>
          <w:highlight w:val="yellow"/>
          <w:lang w:eastAsia="x-none"/>
        </w:rPr>
        <w:t>strategie a rozpočtu</w:t>
      </w:r>
      <w:r w:rsidRPr="00397A20">
        <w:rPr>
          <w:rFonts w:asciiTheme="minorHAnsi" w:hAnsiTheme="minorHAnsi" w:cstheme="minorHAnsi"/>
          <w:highlight w:val="yellow"/>
          <w:lang w:eastAsia="x-none"/>
        </w:rPr>
        <w:t xml:space="preserve"> – při tvorbě, realizaci nebo změnách strategie je nezbytné brát v úvahu </w:t>
      </w:r>
      <w:r w:rsidRPr="00397A20">
        <w:rPr>
          <w:rFonts w:asciiTheme="minorHAnsi" w:hAnsiTheme="minorHAnsi" w:cstheme="minorHAnsi"/>
          <w:b/>
          <w:highlight w:val="yellow"/>
          <w:lang w:eastAsia="x-none"/>
        </w:rPr>
        <w:t>omezení daná rozpočtem</w:t>
      </w:r>
      <w:r w:rsidRPr="00397A20">
        <w:rPr>
          <w:rFonts w:asciiTheme="minorHAnsi" w:hAnsiTheme="minorHAnsi" w:cstheme="minorHAnsi"/>
          <w:highlight w:val="yellow"/>
          <w:lang w:eastAsia="x-none"/>
        </w:rPr>
        <w:t xml:space="preserve">. Zdroje jsou a vždy budou omezené. Rozpočet </w:t>
      </w:r>
      <w:r w:rsidR="00A72098" w:rsidRPr="00397A20">
        <w:rPr>
          <w:rFonts w:asciiTheme="minorHAnsi" w:hAnsiTheme="minorHAnsi" w:cstheme="minorHAnsi"/>
          <w:highlight w:val="yellow"/>
          <w:lang w:eastAsia="x-none"/>
        </w:rPr>
        <w:t>na jedné straně omezuje strategii svou strukturou (</w:t>
      </w:r>
      <w:r w:rsidRPr="00397A20">
        <w:rPr>
          <w:rFonts w:asciiTheme="minorHAnsi" w:hAnsiTheme="minorHAnsi" w:cstheme="minorHAnsi"/>
          <w:highlight w:val="yellow"/>
          <w:lang w:eastAsia="x-none"/>
        </w:rPr>
        <w:t xml:space="preserve">zejména </w:t>
      </w:r>
      <w:r w:rsidR="00A72098" w:rsidRPr="00397A20">
        <w:rPr>
          <w:rFonts w:asciiTheme="minorHAnsi" w:hAnsiTheme="minorHAnsi" w:cstheme="minorHAnsi"/>
          <w:highlight w:val="yellow"/>
          <w:lang w:eastAsia="x-none"/>
        </w:rPr>
        <w:t>mandatorní výdaje, quazi mandatorní výdaje, příjmy) ale i dluhovým zatížením, na druhé straně strategie může vyvolat v rozpočtu potřebu jinak výdaje strukturovat</w:t>
      </w:r>
      <w:r w:rsidRPr="00397A20">
        <w:rPr>
          <w:rFonts w:asciiTheme="minorHAnsi" w:hAnsiTheme="minorHAnsi" w:cstheme="minorHAnsi"/>
          <w:highlight w:val="yellow"/>
          <w:lang w:eastAsia="x-none"/>
        </w:rPr>
        <w:t>,</w:t>
      </w:r>
      <w:r w:rsidR="00A72098" w:rsidRPr="00397A20">
        <w:rPr>
          <w:rFonts w:asciiTheme="minorHAnsi" w:hAnsiTheme="minorHAnsi" w:cstheme="minorHAnsi"/>
          <w:highlight w:val="yellow"/>
          <w:lang w:eastAsia="x-none"/>
        </w:rPr>
        <w:t xml:space="preserve"> získat dotace a půjčky (úvěry), popřípadě změnit nebo generovat nové příjmy.  </w:t>
      </w:r>
    </w:p>
    <w:p w14:paraId="030725F0" w14:textId="1CFA9955" w:rsidR="00F332AB" w:rsidRDefault="00F332AB" w:rsidP="0065698B">
      <w:pPr>
        <w:numPr>
          <w:ilvl w:val="0"/>
          <w:numId w:val="43"/>
        </w:numPr>
        <w:tabs>
          <w:tab w:val="num" w:pos="720"/>
        </w:tabs>
        <w:jc w:val="both"/>
        <w:rPr>
          <w:rFonts w:asciiTheme="minorHAnsi" w:hAnsiTheme="minorHAnsi" w:cstheme="minorHAnsi"/>
        </w:rPr>
      </w:pPr>
      <w:r>
        <w:rPr>
          <w:rFonts w:asciiTheme="minorHAnsi" w:hAnsiTheme="minorHAnsi" w:cstheme="minorHAnsi"/>
        </w:rPr>
        <w:t xml:space="preserve">Problematika </w:t>
      </w:r>
      <w:r w:rsidR="00E4037F">
        <w:rPr>
          <w:rFonts w:asciiTheme="minorHAnsi" w:hAnsiTheme="minorHAnsi" w:cstheme="minorHAnsi"/>
        </w:rPr>
        <w:t>zajištění zdravých a udržitelných veřejných financí je vymezena v zákon</w:t>
      </w:r>
      <w:r w:rsidR="00CE2912">
        <w:rPr>
          <w:rFonts w:asciiTheme="minorHAnsi" w:hAnsiTheme="minorHAnsi" w:cstheme="minorHAnsi"/>
        </w:rPr>
        <w:t>ě</w:t>
      </w:r>
      <w:r w:rsidR="00E4037F">
        <w:rPr>
          <w:rFonts w:asciiTheme="minorHAnsi" w:hAnsiTheme="minorHAnsi" w:cstheme="minorHAnsi"/>
        </w:rPr>
        <w:t xml:space="preserve"> </w:t>
      </w:r>
      <w:r w:rsidR="00E4037F" w:rsidRPr="006A669F">
        <w:rPr>
          <w:rFonts w:asciiTheme="minorHAnsi" w:hAnsiTheme="minorHAnsi" w:cstheme="minorHAnsi"/>
        </w:rPr>
        <w:t xml:space="preserve">č. 23/2017 Sb., o </w:t>
      </w:r>
      <w:r w:rsidR="00E4037F" w:rsidRPr="0009549F">
        <w:rPr>
          <w:rFonts w:asciiTheme="minorHAnsi" w:hAnsiTheme="minorHAnsi" w:cstheme="minorHAnsi"/>
          <w:b/>
        </w:rPr>
        <w:t>pravidlech rozpočtové odpovědnosti</w:t>
      </w:r>
      <w:r w:rsidR="00E4037F">
        <w:rPr>
          <w:rFonts w:asciiTheme="minorHAnsi" w:hAnsiTheme="minorHAnsi" w:cstheme="minorHAnsi"/>
        </w:rPr>
        <w:t xml:space="preserve">. Je řešena nejen povinnost hospodárného, efektivního a účelného vykonávání všech činností (to u každého nakládání s veřejnými prostředky vyžaduje zákon o finanční kontrole), ale také problematika zadlužování (dluhová brzda). </w:t>
      </w:r>
    </w:p>
    <w:p w14:paraId="2D4DE10E" w14:textId="0F6FCB4A" w:rsidR="00666B12" w:rsidRPr="00666B12" w:rsidRDefault="0009549F" w:rsidP="0065698B">
      <w:pPr>
        <w:pStyle w:val="Odstavecseseznamem"/>
        <w:numPr>
          <w:ilvl w:val="0"/>
          <w:numId w:val="43"/>
        </w:numPr>
        <w:jc w:val="both"/>
        <w:rPr>
          <w:rFonts w:asciiTheme="minorHAnsi" w:hAnsiTheme="minorHAnsi" w:cstheme="minorHAnsi"/>
        </w:rPr>
      </w:pPr>
      <w:r w:rsidRPr="00666B12">
        <w:rPr>
          <w:rFonts w:asciiTheme="minorHAnsi" w:hAnsiTheme="minorHAnsi" w:cstheme="minorHAnsi"/>
        </w:rPr>
        <w:t xml:space="preserve">Při nakládání s veřejnými prostředky, respektive při zdravém finančním řízení je kladen velký </w:t>
      </w:r>
      <w:r w:rsidRPr="00666B12">
        <w:rPr>
          <w:rFonts w:asciiTheme="minorHAnsi" w:hAnsiTheme="minorHAnsi" w:cstheme="minorHAnsi"/>
          <w:b/>
        </w:rPr>
        <w:t>důraz na morální aspekt</w:t>
      </w:r>
      <w:r w:rsidRPr="00666B12">
        <w:rPr>
          <w:rFonts w:asciiTheme="minorHAnsi" w:hAnsiTheme="minorHAnsi" w:cstheme="minorHAnsi"/>
        </w:rPr>
        <w:t>. Vyjasnění si toho, co člověk považuje za morální a co je dle jeho názoru nemorální</w:t>
      </w:r>
      <w:r w:rsidR="00CE2912">
        <w:rPr>
          <w:rFonts w:asciiTheme="minorHAnsi" w:hAnsiTheme="minorHAnsi" w:cstheme="minorHAnsi"/>
        </w:rPr>
        <w:t>,</w:t>
      </w:r>
      <w:r w:rsidRPr="00666B12">
        <w:rPr>
          <w:rFonts w:asciiTheme="minorHAnsi" w:hAnsiTheme="minorHAnsi" w:cstheme="minorHAnsi"/>
        </w:rPr>
        <w:t xml:space="preserve"> je naprosto zásadní. </w:t>
      </w:r>
      <w:r w:rsidR="00666B12" w:rsidRPr="00666B12">
        <w:rPr>
          <w:rFonts w:asciiTheme="minorHAnsi" w:hAnsiTheme="minorHAnsi" w:cstheme="minorHAnsi"/>
        </w:rPr>
        <w:t xml:space="preserve">Při zdravém finančním řízení vycházíme </w:t>
      </w:r>
      <w:r w:rsidR="00666B12" w:rsidRPr="00666B12">
        <w:rPr>
          <w:rFonts w:ascii="Calibri" w:hAnsi="Calibri"/>
        </w:rPr>
        <w:t>z minimálního doporučení</w:t>
      </w:r>
      <w:r w:rsidR="00666B12">
        <w:rPr>
          <w:rStyle w:val="Znakapoznpodarou"/>
          <w:rFonts w:asciiTheme="minorHAnsi" w:hAnsiTheme="minorHAnsi" w:cstheme="minorHAnsi"/>
        </w:rPr>
        <w:footnoteReference w:id="75"/>
      </w:r>
      <w:r w:rsidR="00666B12" w:rsidRPr="00666B12">
        <w:rPr>
          <w:rFonts w:ascii="Calibri" w:hAnsi="Calibri"/>
        </w:rPr>
        <w:t xml:space="preserve">, že morální je to, co splní současně následující 3 znaky: (1) </w:t>
      </w:r>
      <w:r w:rsidR="00666B12" w:rsidRPr="00666B12">
        <w:rPr>
          <w:rFonts w:asciiTheme="minorHAnsi" w:hAnsiTheme="minorHAnsi" w:cstheme="minorHAnsi"/>
        </w:rPr>
        <w:t>neměli bychom vědomě (úmyslně) škodit jiným lidem, společnosti či přírodě, (2) je třeba dodržovat platná (závazná) pravidla - zákony, interní směrnice, smluvní závazky a současně (3) neseme plnou odpovědnost za každé rozhodnutí nebo činnost, a to včetně případných nežádoucích negativních následků z nich plynoucích (včetně náhrady škody nebo trestně právní odpovědnosti).</w:t>
      </w:r>
      <w:r w:rsidR="00666B12">
        <w:rPr>
          <w:rFonts w:asciiTheme="minorHAnsi" w:hAnsiTheme="minorHAnsi" w:cstheme="minorHAnsi"/>
        </w:rPr>
        <w:t xml:space="preserve"> </w:t>
      </w:r>
      <w:r w:rsidRPr="00666B12">
        <w:rPr>
          <w:rFonts w:asciiTheme="minorHAnsi" w:hAnsiTheme="minorHAnsi" w:cstheme="minorHAnsi"/>
        </w:rPr>
        <w:t xml:space="preserve">Je třeba též uvést, že </w:t>
      </w:r>
      <w:r w:rsidR="00666B12">
        <w:rPr>
          <w:rFonts w:asciiTheme="minorHAnsi" w:hAnsiTheme="minorHAnsi" w:cstheme="minorHAnsi"/>
        </w:rPr>
        <w:t>problematika morálky je důležitá</w:t>
      </w:r>
      <w:r w:rsidRPr="00666B12">
        <w:rPr>
          <w:rFonts w:asciiTheme="minorHAnsi" w:hAnsiTheme="minorHAnsi" w:cstheme="minorHAnsi"/>
        </w:rPr>
        <w:t xml:space="preserve"> též z hlediska </w:t>
      </w:r>
      <w:r w:rsidRPr="00666B12">
        <w:rPr>
          <w:rFonts w:ascii="Calibri" w:hAnsi="Calibri"/>
        </w:rPr>
        <w:t>boje proti plýtvání nebo trestné činnosti</w:t>
      </w:r>
      <w:r w:rsidRPr="00666B12">
        <w:rPr>
          <w:rFonts w:ascii="Calibri" w:hAnsi="Calibri"/>
          <w:b/>
        </w:rPr>
        <w:t xml:space="preserve"> </w:t>
      </w:r>
      <w:r w:rsidRPr="00666B12">
        <w:rPr>
          <w:rFonts w:ascii="Calibri" w:hAnsi="Calibri"/>
        </w:rPr>
        <w:t xml:space="preserve">(například korupci, podvodům). </w:t>
      </w:r>
    </w:p>
    <w:p w14:paraId="00F9E478" w14:textId="0AA0E586" w:rsidR="00666B12" w:rsidRPr="00666B12" w:rsidRDefault="0009549F" w:rsidP="0065698B">
      <w:pPr>
        <w:pStyle w:val="Odstavecseseznamem"/>
        <w:numPr>
          <w:ilvl w:val="0"/>
          <w:numId w:val="43"/>
        </w:numPr>
        <w:jc w:val="both"/>
        <w:rPr>
          <w:rFonts w:asciiTheme="minorHAnsi" w:hAnsiTheme="minorHAnsi" w:cstheme="minorHAnsi"/>
        </w:rPr>
      </w:pPr>
      <w:r w:rsidRPr="00666B12">
        <w:rPr>
          <w:rFonts w:ascii="Calibri" w:hAnsi="Calibri"/>
        </w:rPr>
        <w:t xml:space="preserve">Lze říci, že na úrovni konkrétní instituce existují </w:t>
      </w:r>
      <w:r w:rsidRPr="00666B12">
        <w:rPr>
          <w:rFonts w:ascii="Calibri" w:hAnsi="Calibri"/>
          <w:b/>
        </w:rPr>
        <w:t>tři účinné nástroje boje proti plýtvání a trestné činnosti</w:t>
      </w:r>
      <w:r w:rsidRPr="00666B12">
        <w:rPr>
          <w:rFonts w:ascii="Calibri" w:hAnsi="Calibri"/>
        </w:rPr>
        <w:t xml:space="preserve">. Prvním je skutečně fungující systém finanční kontroly (zejména </w:t>
      </w:r>
      <w:r w:rsidRPr="00666B12">
        <w:rPr>
          <w:rFonts w:ascii="Calibri" w:hAnsi="Calibri"/>
        </w:rPr>
        <w:lastRenderedPageBreak/>
        <w:t xml:space="preserve">z hlediska účelnosti, efektivnosti a hospodárnosti). Druhým klíčovým opatřením je řízení rizik (a využívání příležitostí). </w:t>
      </w:r>
      <w:r w:rsidRPr="00666B12">
        <w:rPr>
          <w:rFonts w:ascii="Calibri" w:hAnsi="Calibri" w:cs="Calibri"/>
        </w:rPr>
        <w:t>Třetím nástrojem je morální chování všech zapojených lidí, respektive posilování morálních aspektů v prováděných činnostech (např. etické kodexy a jejich dodržování; vymezení toho</w:t>
      </w:r>
      <w:r w:rsidR="003A71CD">
        <w:rPr>
          <w:rFonts w:ascii="Calibri" w:hAnsi="Calibri" w:cs="Calibri"/>
        </w:rPr>
        <w:t>,</w:t>
      </w:r>
      <w:r w:rsidRPr="00666B12">
        <w:rPr>
          <w:rFonts w:ascii="Calibri" w:hAnsi="Calibri" w:cs="Calibri"/>
        </w:rPr>
        <w:t xml:space="preserve"> jak morálku chápat; vedoucí zaměstnanci jdou příkladem a podobně).</w:t>
      </w:r>
      <w:r w:rsidR="00666B12">
        <w:rPr>
          <w:rFonts w:ascii="Calibri" w:hAnsi="Calibri" w:cs="Calibri"/>
        </w:rPr>
        <w:t xml:space="preserve"> </w:t>
      </w:r>
    </w:p>
    <w:p w14:paraId="38C86869" w14:textId="77777777" w:rsidR="00666B12" w:rsidRDefault="00666B12" w:rsidP="0009549F">
      <w:pPr>
        <w:pStyle w:val="Zkladntext3"/>
        <w:spacing w:after="0" w:line="360" w:lineRule="auto"/>
        <w:ind w:firstLine="360"/>
        <w:jc w:val="both"/>
        <w:rPr>
          <w:rFonts w:asciiTheme="minorHAnsi" w:eastAsia="Calibri" w:hAnsiTheme="minorHAnsi" w:cstheme="minorHAnsi"/>
          <w:i/>
          <w:iCs/>
          <w:sz w:val="24"/>
          <w:szCs w:val="24"/>
        </w:rPr>
      </w:pPr>
    </w:p>
    <w:p w14:paraId="4AF24A07" w14:textId="59014894" w:rsidR="0009549F" w:rsidRPr="006E498E" w:rsidRDefault="0009549F" w:rsidP="0009549F">
      <w:pPr>
        <w:pStyle w:val="Zkladntext3"/>
        <w:spacing w:after="0" w:line="360" w:lineRule="auto"/>
        <w:ind w:firstLine="360"/>
        <w:jc w:val="both"/>
        <w:rPr>
          <w:rFonts w:asciiTheme="minorHAnsi" w:eastAsia="Calibri" w:hAnsiTheme="minorHAnsi" w:cstheme="minorHAnsi"/>
          <w:i/>
          <w:iCs/>
          <w:sz w:val="24"/>
          <w:szCs w:val="24"/>
        </w:rPr>
      </w:pPr>
      <w:r>
        <w:rPr>
          <w:rFonts w:ascii="Calibri" w:hAnsi="Calibri" w:cs="Calibri"/>
          <w:noProof/>
        </w:rPr>
        <mc:AlternateContent>
          <mc:Choice Requires="wpg">
            <w:drawing>
              <wp:anchor distT="0" distB="0" distL="114300" distR="114300" simplePos="0" relativeHeight="251570688" behindDoc="0" locked="0" layoutInCell="1" allowOverlap="1" wp14:anchorId="594508F8" wp14:editId="35876BC7">
                <wp:simplePos x="0" y="0"/>
                <wp:positionH relativeFrom="column">
                  <wp:posOffset>245110</wp:posOffset>
                </wp:positionH>
                <wp:positionV relativeFrom="paragraph">
                  <wp:posOffset>229023</wp:posOffset>
                </wp:positionV>
                <wp:extent cx="5492115" cy="1424305"/>
                <wp:effectExtent l="0" t="0" r="13335" b="23495"/>
                <wp:wrapNone/>
                <wp:docPr id="2" name="Skupina 2"/>
                <wp:cNvGraphicFramePr/>
                <a:graphic xmlns:a="http://schemas.openxmlformats.org/drawingml/2006/main">
                  <a:graphicData uri="http://schemas.microsoft.com/office/word/2010/wordprocessingGroup">
                    <wpg:wgp>
                      <wpg:cNvGrpSpPr/>
                      <wpg:grpSpPr>
                        <a:xfrm>
                          <a:off x="0" y="0"/>
                          <a:ext cx="5492115" cy="1424305"/>
                          <a:chOff x="0" y="0"/>
                          <a:chExt cx="5492327" cy="1424517"/>
                        </a:xfrm>
                      </wpg:grpSpPr>
                      <wps:wsp>
                        <wps:cNvPr id="5" name="Textové pole 2"/>
                        <wps:cNvSpPr txBox="1">
                          <a:spLocks noChangeArrowheads="1"/>
                        </wps:cNvSpPr>
                        <wps:spPr bwMode="auto">
                          <a:xfrm>
                            <a:off x="0" y="618067"/>
                            <a:ext cx="3651250" cy="806450"/>
                          </a:xfrm>
                          <a:prstGeom prst="rect">
                            <a:avLst/>
                          </a:prstGeom>
                          <a:noFill/>
                          <a:ln w="3175">
                            <a:solidFill>
                              <a:srgbClr val="0070C0"/>
                            </a:solidFill>
                            <a:prstDash val="dash"/>
                            <a:miter lim="800000"/>
                            <a:headEnd/>
                            <a:tailEnd/>
                          </a:ln>
                        </wps:spPr>
                        <wps:txbx>
                          <w:txbxContent>
                            <w:p w14:paraId="586B5796" w14:textId="77777777" w:rsidR="00511D9B" w:rsidRDefault="00511D9B" w:rsidP="0009549F">
                              <w:pPr>
                                <w:spacing w:line="180" w:lineRule="auto"/>
                                <w:jc w:val="center"/>
                                <w:rPr>
                                  <w:rFonts w:asciiTheme="minorHAnsi" w:hAnsiTheme="minorHAnsi" w:cstheme="minorHAnsi"/>
                                  <w:sz w:val="20"/>
                                </w:rPr>
                              </w:pPr>
                            </w:p>
                            <w:p w14:paraId="290BEAFD" w14:textId="77777777" w:rsidR="00511D9B" w:rsidRDefault="00511D9B" w:rsidP="0009549F">
                              <w:pPr>
                                <w:spacing w:line="180" w:lineRule="auto"/>
                                <w:jc w:val="center"/>
                                <w:rPr>
                                  <w:rFonts w:asciiTheme="minorHAnsi" w:hAnsiTheme="minorHAnsi" w:cstheme="minorHAnsi"/>
                                  <w:sz w:val="20"/>
                                </w:rPr>
                              </w:pPr>
                            </w:p>
                            <w:p w14:paraId="4942A90D" w14:textId="77777777" w:rsidR="00511D9B" w:rsidRDefault="00511D9B" w:rsidP="0009549F">
                              <w:pPr>
                                <w:spacing w:line="180" w:lineRule="auto"/>
                                <w:jc w:val="center"/>
                                <w:rPr>
                                  <w:rFonts w:asciiTheme="minorHAnsi" w:hAnsiTheme="minorHAnsi" w:cstheme="minorHAnsi"/>
                                  <w:sz w:val="20"/>
                                </w:rPr>
                              </w:pPr>
                            </w:p>
                            <w:p w14:paraId="1D5C39F5" w14:textId="77777777" w:rsidR="00511D9B" w:rsidRDefault="00511D9B" w:rsidP="0009549F">
                              <w:pPr>
                                <w:spacing w:line="180" w:lineRule="auto"/>
                                <w:jc w:val="center"/>
                                <w:rPr>
                                  <w:rFonts w:asciiTheme="minorHAnsi" w:hAnsiTheme="minorHAnsi" w:cstheme="minorHAnsi"/>
                                  <w:sz w:val="20"/>
                                </w:rPr>
                              </w:pPr>
                            </w:p>
                            <w:p w14:paraId="7628247F" w14:textId="77777777" w:rsidR="00511D9B" w:rsidRDefault="00511D9B" w:rsidP="0009549F">
                              <w:pPr>
                                <w:spacing w:line="180" w:lineRule="auto"/>
                                <w:jc w:val="center"/>
                                <w:rPr>
                                  <w:rFonts w:asciiTheme="minorHAnsi" w:hAnsiTheme="minorHAnsi" w:cstheme="minorHAnsi"/>
                                  <w:sz w:val="20"/>
                                </w:rPr>
                              </w:pPr>
                            </w:p>
                            <w:p w14:paraId="7D0D1AB0" w14:textId="77777777"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Účinný vnitřní kontrolní systém</w:t>
                              </w:r>
                            </w:p>
                            <w:p w14:paraId="7AC5CA32" w14:textId="77777777" w:rsidR="00511D9B" w:rsidRPr="00576CB4" w:rsidRDefault="00511D9B" w:rsidP="0009549F">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6" name="Textové pole 2"/>
                        <wps:cNvSpPr txBox="1">
                          <a:spLocks noChangeArrowheads="1"/>
                        </wps:cNvSpPr>
                        <wps:spPr bwMode="auto">
                          <a:xfrm>
                            <a:off x="1905000" y="0"/>
                            <a:ext cx="1699260" cy="365760"/>
                          </a:xfrm>
                          <a:prstGeom prst="rect">
                            <a:avLst/>
                          </a:prstGeom>
                          <a:noFill/>
                          <a:ln w="3175">
                            <a:solidFill>
                              <a:srgbClr val="0070C0"/>
                            </a:solidFill>
                            <a:prstDash val="solid"/>
                            <a:miter lim="800000"/>
                            <a:headEnd/>
                            <a:tailEnd/>
                          </a:ln>
                        </wps:spPr>
                        <wps:txbx>
                          <w:txbxContent>
                            <w:p w14:paraId="10EACE89" w14:textId="77777777" w:rsidR="00511D9B" w:rsidRPr="006E498E" w:rsidRDefault="00511D9B" w:rsidP="0009549F">
                              <w:pPr>
                                <w:spacing w:line="180" w:lineRule="auto"/>
                                <w:jc w:val="center"/>
                                <w:rPr>
                                  <w:rFonts w:asciiTheme="minorHAnsi" w:hAnsiTheme="minorHAnsi" w:cstheme="minorHAnsi"/>
                                  <w:b/>
                                  <w:sz w:val="20"/>
                                </w:rPr>
                              </w:pPr>
                              <w:r w:rsidRPr="006E498E">
                                <w:rPr>
                                  <w:rFonts w:asciiTheme="minorHAnsi" w:hAnsiTheme="minorHAnsi" w:cstheme="minorHAnsi"/>
                                  <w:b/>
                                  <w:sz w:val="20"/>
                                </w:rPr>
                                <w:t>3 účinné nástroje boje proti plýtvání a trestné činnosti</w:t>
                              </w:r>
                            </w:p>
                            <w:p w14:paraId="1B0226AD" w14:textId="77777777" w:rsidR="00511D9B" w:rsidRPr="00576CB4" w:rsidRDefault="00511D9B" w:rsidP="0009549F">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31" name="Textové pole 2"/>
                        <wps:cNvSpPr txBox="1">
                          <a:spLocks noChangeArrowheads="1"/>
                        </wps:cNvSpPr>
                        <wps:spPr bwMode="auto">
                          <a:xfrm>
                            <a:off x="33867" y="685800"/>
                            <a:ext cx="1699260" cy="464820"/>
                          </a:xfrm>
                          <a:prstGeom prst="rect">
                            <a:avLst/>
                          </a:prstGeom>
                          <a:noFill/>
                          <a:ln w="3175">
                            <a:solidFill>
                              <a:srgbClr val="0070C0"/>
                            </a:solidFill>
                            <a:prstDash val="solid"/>
                            <a:miter lim="800000"/>
                            <a:headEnd/>
                            <a:tailEnd/>
                          </a:ln>
                        </wps:spPr>
                        <wps:txbx>
                          <w:txbxContent>
                            <w:p w14:paraId="3C928A92" w14:textId="77777777"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Prověřování kritérií 3E (hospodárnosti, efektivnosti, účelnosti)</w:t>
                              </w:r>
                            </w:p>
                            <w:p w14:paraId="5CDAE711" w14:textId="77777777" w:rsidR="00511D9B" w:rsidRPr="00576CB4" w:rsidRDefault="00511D9B" w:rsidP="0009549F">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552" name="Textové pole 2"/>
                        <wps:cNvSpPr txBox="1">
                          <a:spLocks noChangeArrowheads="1"/>
                        </wps:cNvSpPr>
                        <wps:spPr bwMode="auto">
                          <a:xfrm>
                            <a:off x="1905000" y="677333"/>
                            <a:ext cx="1699260" cy="464820"/>
                          </a:xfrm>
                          <a:prstGeom prst="rect">
                            <a:avLst/>
                          </a:prstGeom>
                          <a:noFill/>
                          <a:ln w="3175">
                            <a:solidFill>
                              <a:srgbClr val="0070C0"/>
                            </a:solidFill>
                            <a:prstDash val="solid"/>
                            <a:miter lim="800000"/>
                            <a:headEnd/>
                            <a:tailEnd/>
                          </a:ln>
                        </wps:spPr>
                        <wps:txbx>
                          <w:txbxContent>
                            <w:p w14:paraId="54DF63D2" w14:textId="77777777" w:rsidR="00511D9B" w:rsidRDefault="00511D9B" w:rsidP="0009549F">
                              <w:pPr>
                                <w:spacing w:line="180" w:lineRule="auto"/>
                                <w:jc w:val="center"/>
                                <w:rPr>
                                  <w:rFonts w:asciiTheme="minorHAnsi" w:hAnsiTheme="minorHAnsi" w:cstheme="minorHAnsi"/>
                                  <w:sz w:val="20"/>
                                </w:rPr>
                              </w:pPr>
                            </w:p>
                            <w:p w14:paraId="190557AB" w14:textId="77777777"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Řízení rizik</w:t>
                              </w:r>
                            </w:p>
                            <w:p w14:paraId="7D00EF91" w14:textId="77777777" w:rsidR="00511D9B" w:rsidRPr="00576CB4" w:rsidRDefault="00511D9B" w:rsidP="0009549F">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553" name="Textové pole 2"/>
                        <wps:cNvSpPr txBox="1">
                          <a:spLocks noChangeArrowheads="1"/>
                        </wps:cNvSpPr>
                        <wps:spPr bwMode="auto">
                          <a:xfrm>
                            <a:off x="3793067" y="685800"/>
                            <a:ext cx="1699260" cy="457200"/>
                          </a:xfrm>
                          <a:prstGeom prst="rect">
                            <a:avLst/>
                          </a:prstGeom>
                          <a:noFill/>
                          <a:ln w="3175">
                            <a:solidFill>
                              <a:srgbClr val="0070C0"/>
                            </a:solidFill>
                            <a:prstDash val="solid"/>
                            <a:miter lim="800000"/>
                            <a:headEnd/>
                            <a:tailEnd/>
                          </a:ln>
                        </wps:spPr>
                        <wps:txbx>
                          <w:txbxContent>
                            <w:p w14:paraId="27F39393" w14:textId="77777777" w:rsidR="00511D9B" w:rsidRPr="00CB63BF" w:rsidRDefault="00511D9B" w:rsidP="0009549F">
                              <w:pPr>
                                <w:spacing w:line="180" w:lineRule="auto"/>
                                <w:jc w:val="center"/>
                                <w:rPr>
                                  <w:rFonts w:asciiTheme="minorHAnsi" w:hAnsiTheme="minorHAnsi" w:cstheme="minorHAnsi"/>
                                  <w:sz w:val="12"/>
                                </w:rPr>
                              </w:pPr>
                            </w:p>
                            <w:p w14:paraId="467138A8" w14:textId="5669C53B"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Posilování morálního chování</w:t>
                              </w:r>
                            </w:p>
                            <w:p w14:paraId="00975F19" w14:textId="77777777" w:rsidR="00511D9B" w:rsidRPr="00576CB4" w:rsidRDefault="00511D9B" w:rsidP="0009549F">
                              <w:pPr>
                                <w:spacing w:line="180" w:lineRule="auto"/>
                                <w:jc w:val="center"/>
                                <w:rPr>
                                  <w:rFonts w:asciiTheme="minorHAnsi" w:hAnsiTheme="minorHAnsi" w:cstheme="minorHAnsi"/>
                                  <w:b/>
                                  <w:sz w:val="20"/>
                                </w:rPr>
                              </w:pPr>
                            </w:p>
                          </w:txbxContent>
                        </wps:txbx>
                        <wps:bodyPr rot="0" vert="horz" wrap="square" lIns="91440" tIns="45720" rIns="91440" bIns="45720" anchor="t" anchorCtr="0">
                          <a:noAutofit/>
                        </wps:bodyPr>
                      </wps:wsp>
                      <wps:wsp>
                        <wps:cNvPr id="23554" name="Přímá spojnice se šipkou 23554"/>
                        <wps:cNvCnPr/>
                        <wps:spPr>
                          <a:xfrm flipH="1">
                            <a:off x="914400" y="372533"/>
                            <a:ext cx="1846580" cy="313690"/>
                          </a:xfrm>
                          <a:prstGeom prst="straightConnector1">
                            <a:avLst/>
                          </a:prstGeom>
                          <a:ln>
                            <a:headEnd type="oval" w="med" len="med"/>
                            <a:tailEnd type="arrow" w="med" len="med"/>
                          </a:ln>
                        </wps:spPr>
                        <wps:style>
                          <a:lnRef idx="1">
                            <a:schemeClr val="dk1"/>
                          </a:lnRef>
                          <a:fillRef idx="0">
                            <a:schemeClr val="dk1"/>
                          </a:fillRef>
                          <a:effectRef idx="0">
                            <a:schemeClr val="dk1"/>
                          </a:effectRef>
                          <a:fontRef idx="minor">
                            <a:schemeClr val="tx1"/>
                          </a:fontRef>
                        </wps:style>
                        <wps:bodyPr/>
                      </wps:wsp>
                      <wps:wsp>
                        <wps:cNvPr id="23555" name="Přímá spojnice se šipkou 23555"/>
                        <wps:cNvCnPr/>
                        <wps:spPr>
                          <a:xfrm>
                            <a:off x="2760134" y="372533"/>
                            <a:ext cx="71755" cy="304800"/>
                          </a:xfrm>
                          <a:prstGeom prst="straightConnector1">
                            <a:avLst/>
                          </a:prstGeom>
                          <a:ln>
                            <a:headEnd type="oval" w="med" len="med"/>
                            <a:tailEnd type="arrow" w="med" len="med"/>
                          </a:ln>
                        </wps:spPr>
                        <wps:style>
                          <a:lnRef idx="1">
                            <a:schemeClr val="dk1"/>
                          </a:lnRef>
                          <a:fillRef idx="0">
                            <a:schemeClr val="dk1"/>
                          </a:fillRef>
                          <a:effectRef idx="0">
                            <a:schemeClr val="dk1"/>
                          </a:effectRef>
                          <a:fontRef idx="minor">
                            <a:schemeClr val="tx1"/>
                          </a:fontRef>
                        </wps:style>
                        <wps:bodyPr/>
                      </wps:wsp>
                      <wps:wsp>
                        <wps:cNvPr id="23556" name="Přímá spojnice se šipkou 23556"/>
                        <wps:cNvCnPr/>
                        <wps:spPr>
                          <a:xfrm>
                            <a:off x="2760134" y="372533"/>
                            <a:ext cx="1609090" cy="304800"/>
                          </a:xfrm>
                          <a:prstGeom prst="straightConnector1">
                            <a:avLst/>
                          </a:prstGeom>
                          <a:ln>
                            <a:headEnd type="oval" w="med" len="med"/>
                            <a:tailEnd type="arrow" w="med" len="med"/>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94508F8" id="Skupina 2" o:spid="_x0000_s1431" style="position:absolute;left:0;text-align:left;margin-left:19.3pt;margin-top:18.05pt;width:432.45pt;height:112.15pt;z-index:251570688;mso-position-horizontal-relative:text;mso-position-vertical-relative:text" coordsize="54923,1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AV2ggQAAKAYAAAOAAAAZHJzL2Uyb0RvYy54bWzsWd1u2zYUvh+wdyB0v1j/soUoRee02YBu&#10;C5buAWiJsrRIpEbSkb032WUvd7GnCPpeO4eUZLdJkKLrhgxxAjiUeEgefvx4fL6T0xfbtiE3TKpa&#10;8MzxTlyHMJ6LoubrzPnl7etv5g5RmvKCNoKzzNkx5bw4+/qr075LmS8q0RRMEpiEq7TvMqfSuktn&#10;M5VXrKXqRHSMQ2cpZEs1PMr1rJC0h9nbZua7bjzrhSw6KXKmFLw9t53OmZm/LFmufypLxTRpMgd8&#10;0+ZTms8Vfs7OTmm6lrSr6nxwg36GFy2tOSw6TXVONSUbWd+Zqq1zKZQo9Uku2pkoyzpnZg+wG8/9&#10;aDcXUmw6s5d12q+7CSaA9iOcPnva/MebS0nqInN8h3DawhFdXW+6mlPiIzh9t07B5kJ2V92lHF6s&#10;7RPud1vKFv/CTsjWwLqbYGVbTXJ4GYUL3/Mih+TQ54V+GLiRBT6v4HTujMurVwcjAz/Zj4y8BEfO&#10;xoVn6N/kTt8BidQeJ/XPcLqqaMcM/AoxGHCCfVic3sL+xM3tn6QTDRvRMpYIFdHbbwVs3jO0UN0b&#10;kV8rwsWyonzNXkop+orRAlz0zI7Qd1gEhyLqKlU4yar/QRRwJnSjhZnoXrxjb+7GBhiajqAHceT5&#10;EVAeQYfuENqHyNG0k0pfMNESbGSOhLtilqA3b5S2pqMJnjAXr+umgfc0bTjpMyfwkshuTjR1gZ3Y&#10;p+R6tWwkuaF449zEXY7rqkMznPmcqsraFdCyjGhrDfGgqVt0Gn/sa4TqFS/M6prWjW0DDRoObBjh&#10;ssDp7WprGO0tFjgae1ei2AGcUtgAAAELGpWQvzukh8ufOeq3DZXMIc33HI5k4YUhRgvzEEaJDw/y&#10;sGd12EN5DlNljnaIbS61iTAWtZdwdGVtAN17MjgNZLX+/eusjZ8Sa72FG+HRkruxwosXCz8eaAsc&#10;TqBtuTgyf+TkE6CtYfSX5y18rx15O0TbwHtKxA2COcRZpG08jyA+2bMfQ+4H3A3jcA5h4/lx13yd&#10;7SPdM465fhBFU1b1FLKFw7gbJ0kQBEcCD9nWlDT47pD3HpMGBwkcPKn4mywCzHQ/LQJj3vYcI7C5&#10;1ccIjJoWCByOBL58/8ftX+3tO6I68SsH3U0UI+/f1d212BBrOagF0GFLPqhdK8QwlccElJRN3X03&#10;qrpB9Bq1YLPZIPGjO1F1HsaQLFglFnhBvHiElEpLWq8rvRScgygT0mrIB3QZKiCaDgKJ6F0HclGA&#10;+gJlkzktK0DTMCjNYAu2R9NBPg2WFIXo/ab3qyuldw3DeRr+MytBZ+01LtZs2KT9imsrbAdLHFKC&#10;RpwGuVY7PjRosMVhzNRxPnXgZG1WFFxPA9uaC3nfqno7ulpa+1FT2r3urxJmc/j03+k25OVUcXiU&#10;waasgg4+zGBEZeCtD+LKC+B+QD57H3ETEPhD1SZwwyHdnUovdwoIR9oCNkfa2mIi0HYqOTxK2xgj&#10;0xejrRe7C/gd4u2RuEOQ/t/HW1PrhTI4xOAP6uyHzyY+7/+xcPY3AAAA//8DAFBLAwQUAAYACAAA&#10;ACEACSrtNOEAAAAJAQAADwAAAGRycy9kb3ducmV2LnhtbEyPQUvDQBCF74L/YRnBm91NY0Mbsyml&#10;qKci2ArS2zaZJqHZ2ZDdJum/dzzp6TG8x3vfZOvJtmLA3jeONEQzBQKpcGVDlYavw9vTEoQPhkrT&#10;OkINN/Swzu/vMpOWbqRPHPahElxCPjUa6hC6VEpf1GiNn7kOib2z660JfPaVLHszcrlt5VypRFrT&#10;EC/UpsNtjcVlf7Ua3kczbuLoddhdztvb8bD4+N5FqPXjw7R5ARFwCn9h+MVndMiZ6eSuVHrRaoiX&#10;CSdZkwgE+ysVL0CcNMwT9Qwyz+T/D/IfAAAA//8DAFBLAQItABQABgAIAAAAIQC2gziS/gAAAOEB&#10;AAATAAAAAAAAAAAAAAAAAAAAAABbQ29udGVudF9UeXBlc10ueG1sUEsBAi0AFAAGAAgAAAAhADj9&#10;If/WAAAAlAEAAAsAAAAAAAAAAAAAAAAALwEAAF9yZWxzLy5yZWxzUEsBAi0AFAAGAAgAAAAhAHgI&#10;BXaCBAAAoBgAAA4AAAAAAAAAAAAAAAAALgIAAGRycy9lMm9Eb2MueG1sUEsBAi0AFAAGAAgAAAAh&#10;AAkq7TThAAAACQEAAA8AAAAAAAAAAAAAAAAA3AYAAGRycy9kb3ducmV2LnhtbFBLBQYAAAAABAAE&#10;APMAAADqBwAAAAA=&#10;">
                <v:shape id="_x0000_s1432" type="#_x0000_t202" style="position:absolute;top:6180;width:36512;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ULUwwAAANoAAAAPAAAAZHJzL2Rvd25yZXYueG1sRI9Ba8JA&#10;FITvBf/D8gRvdWOhpUZXEWml9KKJitdH9pmNZt+G7BrTf98tFDwOM/MNM1/2thYdtb5yrGAyTkAQ&#10;F05XXCo47D+f30H4gKyxdkwKfsjDcjF4mmOq3Z0z6vJQighhn6ICE0KTSukLQxb92DXE0Tu71mKI&#10;si2lbvEe4baWL0nyJi1WHBcMNrQ2VFzzm1VwNFleXLfT3aY/XHaYnbbfm49OqdGwX81ABOrDI/zf&#10;/tIKXuHvSrwBcvELAAD//wMAUEsBAi0AFAAGAAgAAAAhANvh9svuAAAAhQEAABMAAAAAAAAAAAAA&#10;AAAAAAAAAFtDb250ZW50X1R5cGVzXS54bWxQSwECLQAUAAYACAAAACEAWvQsW78AAAAVAQAACwAA&#10;AAAAAAAAAAAAAAAfAQAAX3JlbHMvLnJlbHNQSwECLQAUAAYACAAAACEAaIVC1MMAAADaAAAADwAA&#10;AAAAAAAAAAAAAAAHAgAAZHJzL2Rvd25yZXYueG1sUEsFBgAAAAADAAMAtwAAAPcCAAAAAA==&#10;" filled="f" strokecolor="#0070c0" strokeweight=".25pt">
                  <v:stroke dashstyle="dash"/>
                  <v:textbox>
                    <w:txbxContent>
                      <w:p w14:paraId="586B5796" w14:textId="77777777" w:rsidR="00511D9B" w:rsidRDefault="00511D9B" w:rsidP="0009549F">
                        <w:pPr>
                          <w:spacing w:line="180" w:lineRule="auto"/>
                          <w:jc w:val="center"/>
                          <w:rPr>
                            <w:rFonts w:asciiTheme="minorHAnsi" w:hAnsiTheme="minorHAnsi" w:cstheme="minorHAnsi"/>
                            <w:sz w:val="20"/>
                          </w:rPr>
                        </w:pPr>
                      </w:p>
                      <w:p w14:paraId="290BEAFD" w14:textId="77777777" w:rsidR="00511D9B" w:rsidRDefault="00511D9B" w:rsidP="0009549F">
                        <w:pPr>
                          <w:spacing w:line="180" w:lineRule="auto"/>
                          <w:jc w:val="center"/>
                          <w:rPr>
                            <w:rFonts w:asciiTheme="minorHAnsi" w:hAnsiTheme="minorHAnsi" w:cstheme="minorHAnsi"/>
                            <w:sz w:val="20"/>
                          </w:rPr>
                        </w:pPr>
                      </w:p>
                      <w:p w14:paraId="4942A90D" w14:textId="77777777" w:rsidR="00511D9B" w:rsidRDefault="00511D9B" w:rsidP="0009549F">
                        <w:pPr>
                          <w:spacing w:line="180" w:lineRule="auto"/>
                          <w:jc w:val="center"/>
                          <w:rPr>
                            <w:rFonts w:asciiTheme="minorHAnsi" w:hAnsiTheme="minorHAnsi" w:cstheme="minorHAnsi"/>
                            <w:sz w:val="20"/>
                          </w:rPr>
                        </w:pPr>
                      </w:p>
                      <w:p w14:paraId="1D5C39F5" w14:textId="77777777" w:rsidR="00511D9B" w:rsidRDefault="00511D9B" w:rsidP="0009549F">
                        <w:pPr>
                          <w:spacing w:line="180" w:lineRule="auto"/>
                          <w:jc w:val="center"/>
                          <w:rPr>
                            <w:rFonts w:asciiTheme="minorHAnsi" w:hAnsiTheme="minorHAnsi" w:cstheme="minorHAnsi"/>
                            <w:sz w:val="20"/>
                          </w:rPr>
                        </w:pPr>
                      </w:p>
                      <w:p w14:paraId="7628247F" w14:textId="77777777" w:rsidR="00511D9B" w:rsidRDefault="00511D9B" w:rsidP="0009549F">
                        <w:pPr>
                          <w:spacing w:line="180" w:lineRule="auto"/>
                          <w:jc w:val="center"/>
                          <w:rPr>
                            <w:rFonts w:asciiTheme="minorHAnsi" w:hAnsiTheme="minorHAnsi" w:cstheme="minorHAnsi"/>
                            <w:sz w:val="20"/>
                          </w:rPr>
                        </w:pPr>
                      </w:p>
                      <w:p w14:paraId="7D0D1AB0" w14:textId="77777777"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Účinný vnitřní kontrolní systém</w:t>
                        </w:r>
                      </w:p>
                      <w:p w14:paraId="7AC5CA32" w14:textId="77777777" w:rsidR="00511D9B" w:rsidRPr="00576CB4" w:rsidRDefault="00511D9B" w:rsidP="0009549F">
                        <w:pPr>
                          <w:spacing w:line="180" w:lineRule="auto"/>
                          <w:jc w:val="center"/>
                          <w:rPr>
                            <w:rFonts w:asciiTheme="minorHAnsi" w:hAnsiTheme="minorHAnsi" w:cstheme="minorHAnsi"/>
                            <w:b/>
                            <w:sz w:val="20"/>
                          </w:rPr>
                        </w:pPr>
                      </w:p>
                    </w:txbxContent>
                  </v:textbox>
                </v:shape>
                <v:shape id="_x0000_s1433" type="#_x0000_t202" style="position:absolute;left:19050;width:16992;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53IwwAAANoAAAAPAAAAZHJzL2Rvd25yZXYueG1sRI9Ba8JA&#10;FITvQv/D8oReSt2k1lDSbKRKC56KWsHrI/tMotm3Ibvq+u+7hYLHYWa+YYp5MJ240OBaywrSSQKC&#10;uLK65VrB7ufr+Q2E88gaO8uk4EYO5uXDqMBc2ytv6LL1tYgQdjkqaLzvcyld1ZBBN7E9cfQOdjDo&#10;oxxqqQe8Rrjp5EuSZNJgy3GhwZ6WDVWn7dkoWJ9nq1cKx/D5lHWV2S9S/T1NlXoch493EJ6Cv4f/&#10;2yutIIO/K/EGyPIXAAD//wMAUEsBAi0AFAAGAAgAAAAhANvh9svuAAAAhQEAABMAAAAAAAAAAAAA&#10;AAAAAAAAAFtDb250ZW50X1R5cGVzXS54bWxQSwECLQAUAAYACAAAACEAWvQsW78AAAAVAQAACwAA&#10;AAAAAAAAAAAAAAAfAQAAX3JlbHMvLnJlbHNQSwECLQAUAAYACAAAACEAtQedyMMAAADaAAAADwAA&#10;AAAAAAAAAAAAAAAHAgAAZHJzL2Rvd25yZXYueG1sUEsFBgAAAAADAAMAtwAAAPcCAAAAAA==&#10;" filled="f" strokecolor="#0070c0" strokeweight=".25pt">
                  <v:textbox>
                    <w:txbxContent>
                      <w:p w14:paraId="10EACE89" w14:textId="77777777" w:rsidR="00511D9B" w:rsidRPr="006E498E" w:rsidRDefault="00511D9B" w:rsidP="0009549F">
                        <w:pPr>
                          <w:spacing w:line="180" w:lineRule="auto"/>
                          <w:jc w:val="center"/>
                          <w:rPr>
                            <w:rFonts w:asciiTheme="minorHAnsi" w:hAnsiTheme="minorHAnsi" w:cstheme="minorHAnsi"/>
                            <w:b/>
                            <w:sz w:val="20"/>
                          </w:rPr>
                        </w:pPr>
                        <w:r w:rsidRPr="006E498E">
                          <w:rPr>
                            <w:rFonts w:asciiTheme="minorHAnsi" w:hAnsiTheme="minorHAnsi" w:cstheme="minorHAnsi"/>
                            <w:b/>
                            <w:sz w:val="20"/>
                          </w:rPr>
                          <w:t>3 účinné nástroje boje proti plýtvání a trestné činnosti</w:t>
                        </w:r>
                      </w:p>
                      <w:p w14:paraId="1B0226AD" w14:textId="77777777" w:rsidR="00511D9B" w:rsidRPr="00576CB4" w:rsidRDefault="00511D9B" w:rsidP="0009549F">
                        <w:pPr>
                          <w:spacing w:line="180" w:lineRule="auto"/>
                          <w:jc w:val="center"/>
                          <w:rPr>
                            <w:rFonts w:asciiTheme="minorHAnsi" w:hAnsiTheme="minorHAnsi" w:cstheme="minorHAnsi"/>
                            <w:b/>
                            <w:sz w:val="20"/>
                          </w:rPr>
                        </w:pPr>
                      </w:p>
                    </w:txbxContent>
                  </v:textbox>
                </v:shape>
                <v:shape id="_x0000_s1434" type="#_x0000_t202" style="position:absolute;left:338;top:6858;width:16993;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K/wwAAANsAAAAPAAAAZHJzL2Rvd25yZXYueG1sRI9Pi8Iw&#10;FMTvC36H8AQvi6bVVaQaRcUFT4v/wOujebbV5qU0UbPffrOwsMdhZn7DzJfB1OJJrassK0gHCQji&#10;3OqKCwXn02d/CsJ5ZI21ZVLwTQ6Wi87bHDNtX3yg59EXIkLYZaig9L7JpHR5SQbdwDbE0bva1qCP&#10;si2kbvEV4aaWwySZSIMVx4USG9qUlN+PD6Ng/xjvPijcwvZ9Uufmsk711yhVqtcNqxkIT8H/h//a&#10;O61glMLvl/gD5OIHAAD//wMAUEsBAi0AFAAGAAgAAAAhANvh9svuAAAAhQEAABMAAAAAAAAAAAAA&#10;AAAAAAAAAFtDb250ZW50X1R5cGVzXS54bWxQSwECLQAUAAYACAAAACEAWvQsW78AAAAVAQAACwAA&#10;AAAAAAAAAAAAAAAfAQAAX3JlbHMvLnJlbHNQSwECLQAUAAYACAAAACEAy71yv8MAAADbAAAADwAA&#10;AAAAAAAAAAAAAAAHAgAAZHJzL2Rvd25yZXYueG1sUEsFBgAAAAADAAMAtwAAAPcCAAAAAA==&#10;" filled="f" strokecolor="#0070c0" strokeweight=".25pt">
                  <v:textbox>
                    <w:txbxContent>
                      <w:p w14:paraId="3C928A92" w14:textId="77777777"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Prověřování kritérií 3E (hospodárnosti, efektivnosti, účelnosti)</w:t>
                        </w:r>
                      </w:p>
                      <w:p w14:paraId="5CDAE711" w14:textId="77777777" w:rsidR="00511D9B" w:rsidRPr="00576CB4" w:rsidRDefault="00511D9B" w:rsidP="0009549F">
                        <w:pPr>
                          <w:spacing w:line="180" w:lineRule="auto"/>
                          <w:jc w:val="center"/>
                          <w:rPr>
                            <w:rFonts w:asciiTheme="minorHAnsi" w:hAnsiTheme="minorHAnsi" w:cstheme="minorHAnsi"/>
                            <w:b/>
                            <w:sz w:val="20"/>
                          </w:rPr>
                        </w:pPr>
                      </w:p>
                    </w:txbxContent>
                  </v:textbox>
                </v:shape>
                <v:shape id="_x0000_s1435" type="#_x0000_t202" style="position:absolute;left:19050;top:6773;width:16992;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7gxgAAAN4AAAAPAAAAZHJzL2Rvd25yZXYueG1sRI9Ba8JA&#10;FITvhf6H5Qm9FN0kGpHoKlVa8CStCl4f2WcSzb4N2VW3/75bKPQ4zMw3zGIVTCvu1LvGsoJ0lIAg&#10;Lq1uuFJwPHwMZyCcR9bYWiYF3+RgtXx+WmCh7YO/6L73lYgQdgUqqL3vCildWZNBN7IdcfTOtjfo&#10;o+wrqXt8RLhpZZYkU2mw4bhQY0ebmsrr/mYUfN7y7YTCJby/TtvSnNap3o1TpV4G4W0OwlPw/+G/&#10;9lYryMZ5nsHvnXgF5PIHAAD//wMAUEsBAi0AFAAGAAgAAAAhANvh9svuAAAAhQEAABMAAAAAAAAA&#10;AAAAAAAAAAAAAFtDb250ZW50X1R5cGVzXS54bWxQSwECLQAUAAYACAAAACEAWvQsW78AAAAVAQAA&#10;CwAAAAAAAAAAAAAAAAAfAQAAX3JlbHMvLnJlbHNQSwECLQAUAAYACAAAACEAMf8u4MYAAADeAAAA&#10;DwAAAAAAAAAAAAAAAAAHAgAAZHJzL2Rvd25yZXYueG1sUEsFBgAAAAADAAMAtwAAAPoCAAAAAA==&#10;" filled="f" strokecolor="#0070c0" strokeweight=".25pt">
                  <v:textbox>
                    <w:txbxContent>
                      <w:p w14:paraId="54DF63D2" w14:textId="77777777" w:rsidR="00511D9B" w:rsidRDefault="00511D9B" w:rsidP="0009549F">
                        <w:pPr>
                          <w:spacing w:line="180" w:lineRule="auto"/>
                          <w:jc w:val="center"/>
                          <w:rPr>
                            <w:rFonts w:asciiTheme="minorHAnsi" w:hAnsiTheme="minorHAnsi" w:cstheme="minorHAnsi"/>
                            <w:sz w:val="20"/>
                          </w:rPr>
                        </w:pPr>
                      </w:p>
                      <w:p w14:paraId="190557AB" w14:textId="77777777"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Řízení rizik</w:t>
                        </w:r>
                      </w:p>
                      <w:p w14:paraId="7D00EF91" w14:textId="77777777" w:rsidR="00511D9B" w:rsidRPr="00576CB4" w:rsidRDefault="00511D9B" w:rsidP="0009549F">
                        <w:pPr>
                          <w:spacing w:line="180" w:lineRule="auto"/>
                          <w:jc w:val="center"/>
                          <w:rPr>
                            <w:rFonts w:asciiTheme="minorHAnsi" w:hAnsiTheme="minorHAnsi" w:cstheme="minorHAnsi"/>
                            <w:b/>
                            <w:sz w:val="20"/>
                          </w:rPr>
                        </w:pPr>
                      </w:p>
                    </w:txbxContent>
                  </v:textbox>
                </v:shape>
                <v:shape id="_x0000_s1436" type="#_x0000_t202" style="position:absolute;left:37930;top:6858;width:1699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4t7xwAAAN4AAAAPAAAAZHJzL2Rvd25yZXYueG1sRI9Pa8JA&#10;FMTvhX6H5Qm9iG5iGpHoKm1pwVPxH3h9ZJ9JNPs2ZFfdfvtuQehxmJnfMItVMK24Ue8aywrScQKC&#10;uLS64UrBYf81moFwHllja5kU/JCD1fL5aYGFtnfe0m3nKxEh7ApUUHvfFVK6siaDbmw74uidbG/Q&#10;R9lXUvd4j3DTykmSTKXBhuNCjR191FRedlejYHPN168UzuFzOG1Lc3xP9XeWKvUyCG9zEJ6C/w8/&#10;2mutYJLleQZ/d+IVkMtfAAAA//8DAFBLAQItABQABgAIAAAAIQDb4fbL7gAAAIUBAAATAAAAAAAA&#10;AAAAAAAAAAAAAABbQ29udGVudF9UeXBlc10ueG1sUEsBAi0AFAAGAAgAAAAhAFr0LFu/AAAAFQEA&#10;AAsAAAAAAAAAAAAAAAAAHwEAAF9yZWxzLy5yZWxzUEsBAi0AFAAGAAgAAAAhAF6zi3vHAAAA3gAA&#10;AA8AAAAAAAAAAAAAAAAABwIAAGRycy9kb3ducmV2LnhtbFBLBQYAAAAAAwADALcAAAD7AgAAAAA=&#10;" filled="f" strokecolor="#0070c0" strokeweight=".25pt">
                  <v:textbox>
                    <w:txbxContent>
                      <w:p w14:paraId="27F39393" w14:textId="77777777" w:rsidR="00511D9B" w:rsidRPr="00CB63BF" w:rsidRDefault="00511D9B" w:rsidP="0009549F">
                        <w:pPr>
                          <w:spacing w:line="180" w:lineRule="auto"/>
                          <w:jc w:val="center"/>
                          <w:rPr>
                            <w:rFonts w:asciiTheme="minorHAnsi" w:hAnsiTheme="minorHAnsi" w:cstheme="minorHAnsi"/>
                            <w:sz w:val="12"/>
                          </w:rPr>
                        </w:pPr>
                      </w:p>
                      <w:p w14:paraId="467138A8" w14:textId="5669C53B" w:rsidR="00511D9B" w:rsidRPr="00CB63BF" w:rsidRDefault="00511D9B" w:rsidP="0009549F">
                        <w:pPr>
                          <w:spacing w:line="180" w:lineRule="auto"/>
                          <w:jc w:val="center"/>
                          <w:rPr>
                            <w:rFonts w:asciiTheme="minorHAnsi" w:hAnsiTheme="minorHAnsi" w:cstheme="minorHAnsi"/>
                            <w:b/>
                            <w:sz w:val="20"/>
                          </w:rPr>
                        </w:pPr>
                        <w:r w:rsidRPr="00CB63BF">
                          <w:rPr>
                            <w:rFonts w:asciiTheme="minorHAnsi" w:hAnsiTheme="minorHAnsi" w:cstheme="minorHAnsi"/>
                            <w:b/>
                            <w:sz w:val="20"/>
                          </w:rPr>
                          <w:t>Posilování morálního chování</w:t>
                        </w:r>
                      </w:p>
                      <w:p w14:paraId="00975F19" w14:textId="77777777" w:rsidR="00511D9B" w:rsidRPr="00576CB4" w:rsidRDefault="00511D9B" w:rsidP="0009549F">
                        <w:pPr>
                          <w:spacing w:line="180" w:lineRule="auto"/>
                          <w:jc w:val="center"/>
                          <w:rPr>
                            <w:rFonts w:asciiTheme="minorHAnsi" w:hAnsiTheme="minorHAnsi" w:cstheme="minorHAnsi"/>
                            <w:b/>
                            <w:sz w:val="20"/>
                          </w:rPr>
                        </w:pPr>
                      </w:p>
                    </w:txbxContent>
                  </v:textbox>
                </v:shape>
                <v:shape id="Přímá spojnice se šipkou 23554" o:spid="_x0000_s1437" type="#_x0000_t32" style="position:absolute;left:9144;top:3725;width:18465;height:31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JCxgAAAN4AAAAPAAAAZHJzL2Rvd25yZXYueG1sRI/disIw&#10;FITvhX2HcBb2TtP1D7drlLUg6J1/D3BszrbF5qQ0sa0+vREEL4eZ+YaZLztTioZqV1hW8D2IQBCn&#10;VhecKTgd1/0ZCOeRNZaWScGNHCwXH705xtq2vKfm4DMRIOxiVJB7X8VSujQng25gK+Lg/dvaoA+y&#10;zqSusQ1wU8phFE2lwYLDQo4VJTmll8PVKFitLlHSXs8/99t4O2qrXTNNUqnU12f39wvCU+ff4Vd7&#10;oxUMR5PJGJ53whWQiwcAAAD//wMAUEsBAi0AFAAGAAgAAAAhANvh9svuAAAAhQEAABMAAAAAAAAA&#10;AAAAAAAAAAAAAFtDb250ZW50X1R5cGVzXS54bWxQSwECLQAUAAYACAAAACEAWvQsW78AAAAVAQAA&#10;CwAAAAAAAAAAAAAAAAAfAQAAX3JlbHMvLnJlbHNQSwECLQAUAAYACAAAACEAcH6yQsYAAADeAAAA&#10;DwAAAAAAAAAAAAAAAAAHAgAAZHJzL2Rvd25yZXYueG1sUEsFBgAAAAADAAMAtwAAAPoCAAAAAA==&#10;" strokecolor="black [3200]" strokeweight=".5pt">
                  <v:stroke startarrow="oval" endarrow="open" joinstyle="miter"/>
                </v:shape>
                <v:shape id="Přímá spojnice se šipkou 23555" o:spid="_x0000_s1438" type="#_x0000_t32" style="position:absolute;left:27601;top:3725;width:717;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3d4yAAAAN4AAAAPAAAAZHJzL2Rvd25yZXYueG1sRI9BS8NA&#10;FITvgv9heYIXaTemppTYbbGVaosgbVrvj+wzCWbfhuyarv/eFQoeh5n5hpkvg2nFQL1rLCu4Hycg&#10;iEurG64UnI6b0QyE88gaW8uk4IccLBfXV3PMtT3zgYbCVyJC2OWooPa+y6V0ZU0G3dh2xNH7tL1B&#10;H2VfSd3jOcJNK9MkmUqDDceFGjta11R+Fd9GwX41hOxusineXt8DPx+Sl4+HXarU7U14egThKfj/&#10;8KW91QrSSZZl8HcnXgG5+AUAAP//AwBQSwECLQAUAAYACAAAACEA2+H2y+4AAACFAQAAEwAAAAAA&#10;AAAAAAAAAAAAAAAAW0NvbnRlbnRfVHlwZXNdLnhtbFBLAQItABQABgAIAAAAIQBa9CxbvwAAABUB&#10;AAALAAAAAAAAAAAAAAAAAB8BAABfcmVscy8ucmVsc1BLAQItABQABgAIAAAAIQCUV3d4yAAAAN4A&#10;AAAPAAAAAAAAAAAAAAAAAAcCAABkcnMvZG93bnJldi54bWxQSwUGAAAAAAMAAwC3AAAA/AIAAAAA&#10;" strokecolor="black [3200]" strokeweight=".5pt">
                  <v:stroke startarrow="oval" endarrow="open" joinstyle="miter"/>
                </v:shape>
                <v:shape id="Přímá spojnice se šipkou 23556" o:spid="_x0000_s1439" type="#_x0000_t32" style="position:absolute;left:27601;top:3725;width:16091;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kPyQAAAN4AAAAPAAAAZHJzL2Rvd25yZXYueG1sRI/dSsNA&#10;FITvC77DcgRvit2YNqHEbos/tCqCtFHvD9ljEsyeDdk13b69Kwi9HGbmG2a1CaYTIw2utazgZpaA&#10;IK6sbrlW8PG+vV6CcB5ZY2eZFJzIwWZ9MVlhoe2RDzSWvhYRwq5ABY33fSGlqxoy6Ga2J47elx0M&#10;+iiHWuoBjxFuOpkmSS4NthwXGuzpoaHqu/wxCvb3Y8im8235+vQW+PGQ7D4XL6lSV5fh7haEp+DP&#10;4f/2s1aQzrMsh7878QrI9S8AAAD//wMAUEsBAi0AFAAGAAgAAAAhANvh9svuAAAAhQEAABMAAAAA&#10;AAAAAAAAAAAAAAAAAFtDb250ZW50X1R5cGVzXS54bWxQSwECLQAUAAYACAAAACEAWvQsW78AAAAV&#10;AQAACwAAAAAAAAAAAAAAAAAfAQAAX3JlbHMvLnJlbHNQSwECLQAUAAYACAAAACEAZIXpD8kAAADe&#10;AAAADwAAAAAAAAAAAAAAAAAHAgAAZHJzL2Rvd25yZXYueG1sUEsFBgAAAAADAAMAtwAAAP0CAAAA&#10;AA==&#10;" strokecolor="black [3200]" strokeweight=".5pt">
                  <v:stroke startarrow="oval" endarrow="open" joinstyle="miter"/>
                </v:shape>
              </v:group>
            </w:pict>
          </mc:Fallback>
        </mc:AlternateContent>
      </w:r>
      <w:r w:rsidRPr="006E498E">
        <w:rPr>
          <w:rFonts w:asciiTheme="minorHAnsi" w:eastAsia="Calibri" w:hAnsiTheme="minorHAnsi" w:cstheme="minorHAnsi"/>
          <w:i/>
          <w:iCs/>
          <w:sz w:val="24"/>
          <w:szCs w:val="24"/>
        </w:rPr>
        <w:t xml:space="preserve">Obr. </w:t>
      </w:r>
      <w:r w:rsidR="004F0E1D">
        <w:rPr>
          <w:rFonts w:asciiTheme="minorHAnsi" w:eastAsia="Calibri" w:hAnsiTheme="minorHAnsi" w:cstheme="minorHAnsi"/>
          <w:i/>
          <w:iCs/>
          <w:sz w:val="24"/>
          <w:szCs w:val="24"/>
        </w:rPr>
        <w:t>2</w:t>
      </w:r>
      <w:r w:rsidR="00257449">
        <w:rPr>
          <w:rFonts w:asciiTheme="minorHAnsi" w:eastAsia="Calibri" w:hAnsiTheme="minorHAnsi" w:cstheme="minorHAnsi"/>
          <w:i/>
          <w:iCs/>
          <w:sz w:val="24"/>
          <w:szCs w:val="24"/>
        </w:rPr>
        <w:t>8</w:t>
      </w:r>
      <w:r>
        <w:rPr>
          <w:rFonts w:asciiTheme="minorHAnsi" w:eastAsia="Calibri" w:hAnsiTheme="minorHAnsi" w:cstheme="minorHAnsi"/>
          <w:i/>
          <w:iCs/>
          <w:sz w:val="24"/>
          <w:szCs w:val="24"/>
        </w:rPr>
        <w:t xml:space="preserve"> </w:t>
      </w:r>
      <w:r w:rsidRPr="006E498E">
        <w:rPr>
          <w:rFonts w:asciiTheme="minorHAnsi" w:eastAsia="Calibri" w:hAnsiTheme="minorHAnsi" w:cstheme="minorHAnsi"/>
          <w:i/>
          <w:iCs/>
          <w:sz w:val="24"/>
          <w:szCs w:val="24"/>
        </w:rPr>
        <w:t>Tři účinné nástroje boje proti plýtvání a trestné činnosti</w:t>
      </w:r>
    </w:p>
    <w:p w14:paraId="4C0ECE13" w14:textId="77777777" w:rsidR="0009549F" w:rsidRDefault="0009549F" w:rsidP="0009549F">
      <w:pPr>
        <w:tabs>
          <w:tab w:val="num" w:pos="720"/>
        </w:tabs>
        <w:jc w:val="both"/>
        <w:rPr>
          <w:rFonts w:ascii="Calibri" w:hAnsi="Calibri" w:cs="Calibri"/>
        </w:rPr>
      </w:pPr>
    </w:p>
    <w:p w14:paraId="6F049F71" w14:textId="77777777" w:rsidR="0009549F" w:rsidRDefault="0009549F" w:rsidP="0009549F">
      <w:pPr>
        <w:tabs>
          <w:tab w:val="num" w:pos="720"/>
        </w:tabs>
        <w:jc w:val="both"/>
        <w:rPr>
          <w:rFonts w:ascii="Calibri" w:hAnsi="Calibri" w:cs="Calibri"/>
        </w:rPr>
      </w:pPr>
    </w:p>
    <w:p w14:paraId="1F65AB83" w14:textId="77777777" w:rsidR="0009549F" w:rsidRDefault="0009549F" w:rsidP="0009549F">
      <w:pPr>
        <w:tabs>
          <w:tab w:val="num" w:pos="720"/>
        </w:tabs>
        <w:jc w:val="both"/>
        <w:rPr>
          <w:rFonts w:ascii="Calibri" w:hAnsi="Calibri" w:cs="Calibri"/>
        </w:rPr>
      </w:pPr>
    </w:p>
    <w:p w14:paraId="1A718501" w14:textId="77777777" w:rsidR="0009549F" w:rsidRDefault="0009549F" w:rsidP="0009549F">
      <w:pPr>
        <w:tabs>
          <w:tab w:val="num" w:pos="720"/>
        </w:tabs>
        <w:jc w:val="both"/>
        <w:rPr>
          <w:rFonts w:asciiTheme="minorHAnsi" w:hAnsiTheme="minorHAnsi" w:cstheme="minorHAnsi"/>
        </w:rPr>
      </w:pPr>
    </w:p>
    <w:p w14:paraId="100824A0" w14:textId="77777777" w:rsidR="0009549F" w:rsidRDefault="0009549F" w:rsidP="0009549F">
      <w:pPr>
        <w:tabs>
          <w:tab w:val="num" w:pos="720"/>
        </w:tabs>
        <w:jc w:val="both"/>
        <w:rPr>
          <w:rFonts w:asciiTheme="minorHAnsi" w:hAnsiTheme="minorHAnsi" w:cstheme="minorHAnsi"/>
        </w:rPr>
      </w:pPr>
    </w:p>
    <w:p w14:paraId="2371B683" w14:textId="77777777" w:rsidR="0009549F" w:rsidRPr="00683CCF" w:rsidRDefault="0009549F" w:rsidP="0009549F">
      <w:pPr>
        <w:pStyle w:val="Zkladntext3"/>
        <w:spacing w:after="0" w:line="360" w:lineRule="auto"/>
        <w:ind w:left="66" w:firstLine="294"/>
        <w:jc w:val="both"/>
        <w:rPr>
          <w:rFonts w:asciiTheme="minorHAnsi" w:eastAsia="Calibri" w:hAnsiTheme="minorHAnsi" w:cstheme="minorHAnsi"/>
          <w:i/>
          <w:iCs/>
          <w:sz w:val="24"/>
          <w:szCs w:val="24"/>
        </w:rPr>
      </w:pPr>
      <w:r>
        <w:rPr>
          <w:rFonts w:asciiTheme="minorHAnsi" w:eastAsia="Calibri" w:hAnsiTheme="minorHAnsi" w:cstheme="minorHAnsi"/>
          <w:i/>
          <w:iCs/>
          <w:sz w:val="24"/>
          <w:szCs w:val="24"/>
        </w:rPr>
        <w:t>Zdroj: Půček, Páleníková (2022)</w:t>
      </w:r>
    </w:p>
    <w:p w14:paraId="11967564" w14:textId="77777777" w:rsidR="00666B12" w:rsidRDefault="00666B12" w:rsidP="0065698B">
      <w:pPr>
        <w:numPr>
          <w:ilvl w:val="0"/>
          <w:numId w:val="43"/>
        </w:numPr>
        <w:tabs>
          <w:tab w:val="num" w:pos="720"/>
        </w:tabs>
        <w:jc w:val="both"/>
        <w:rPr>
          <w:rFonts w:asciiTheme="minorHAnsi" w:hAnsiTheme="minorHAnsi" w:cstheme="minorHAnsi"/>
        </w:rPr>
      </w:pPr>
      <w:r>
        <w:rPr>
          <w:rFonts w:asciiTheme="minorHAnsi" w:hAnsiTheme="minorHAnsi" w:cstheme="minorHAnsi"/>
        </w:rPr>
        <w:t xml:space="preserve">Pro zajištění zdravých a udržitelných financí v konkrétní instituci je nezbytné přijímat </w:t>
      </w:r>
      <w:r w:rsidRPr="0009549F">
        <w:rPr>
          <w:rFonts w:asciiTheme="minorHAnsi" w:hAnsiTheme="minorHAnsi" w:cstheme="minorHAnsi"/>
          <w:b/>
        </w:rPr>
        <w:t>„správná“ rozhodnutí</w:t>
      </w:r>
      <w:r>
        <w:rPr>
          <w:rFonts w:asciiTheme="minorHAnsi" w:hAnsiTheme="minorHAnsi" w:cstheme="minorHAnsi"/>
        </w:rPr>
        <w:t xml:space="preserve">. </w:t>
      </w:r>
      <w:r w:rsidRPr="00E4037F">
        <w:rPr>
          <w:rFonts w:ascii="Calibri" w:hAnsi="Calibri"/>
        </w:rPr>
        <w:t>Každé (často i drobné) rozhodnutí ovlivňuje splnění cílů či plnění stanovených úkolů</w:t>
      </w:r>
      <w:r>
        <w:rPr>
          <w:rFonts w:ascii="Calibri" w:hAnsi="Calibri"/>
        </w:rPr>
        <w:t xml:space="preserve"> (včetně zajištění zdravého finančního řízení)</w:t>
      </w:r>
      <w:r w:rsidRPr="00E4037F">
        <w:rPr>
          <w:rFonts w:ascii="Calibri" w:hAnsi="Calibri"/>
        </w:rPr>
        <w:t xml:space="preserve">, a to buď kladně (je-li rozhodnutí částečně či zcela správné) nebo záporně (je-li částečně či zcela chybné). Najít (identifikovat, přijmout) správná rozhodnutí je v dnešní komplexní a složité době nesnadné – obvykle vybíráme z více variant, které se zdají srovnatelné (stejně špatné či stejně dobré). </w:t>
      </w:r>
      <w:r w:rsidRPr="00E4037F">
        <w:rPr>
          <w:rFonts w:asciiTheme="minorHAnsi" w:hAnsiTheme="minorHAnsi" w:cstheme="minorHAnsi"/>
        </w:rPr>
        <w:t>V případě rozhodování půjde tedy o řešení otázky: „Jak poznat v dané věci či situaci, co je správné rozhodnutí</w:t>
      </w:r>
      <w:r w:rsidRPr="0009549F">
        <w:rPr>
          <w:rFonts w:asciiTheme="minorHAnsi" w:hAnsiTheme="minorHAnsi" w:cstheme="minorHAnsi"/>
        </w:rPr>
        <w:t>?“ Můžeme říci, že správné rozhodnutí má následující 3 kritéria (znaky), která platí současně: (1) Je morální. (2) Je zákonné, je tedy v souladu s právními předpisy (zákony) a také v souladu s interními předpisy a pokyny nadřízených. Zákony mají přednost před vnitřními předpisy a pokyny nadřízených. Při rozhodování to znamená, že vyloučíme všechny varianty možného rozhodnutí, které bychom považovali za nezákonné nebo v rozporu s vnitřními předpisy. (3) Vede účinně k dosažení cílů nebo</w:t>
      </w:r>
      <w:r w:rsidRPr="00E4037F">
        <w:rPr>
          <w:rFonts w:asciiTheme="minorHAnsi" w:hAnsiTheme="minorHAnsi" w:cstheme="minorHAnsi"/>
        </w:rPr>
        <w:t xml:space="preserve"> ke splnění zadaného úkolu (správné rozhodnutí nás k cí</w:t>
      </w:r>
      <w:r>
        <w:rPr>
          <w:rFonts w:asciiTheme="minorHAnsi" w:hAnsiTheme="minorHAnsi" w:cstheme="minorHAnsi"/>
        </w:rPr>
        <w:t>li přibližuje, chybné vzdaluje)</w:t>
      </w:r>
      <w:r w:rsidRPr="00E4037F">
        <w:rPr>
          <w:rFonts w:asciiTheme="minorHAnsi" w:hAnsiTheme="minorHAnsi" w:cstheme="minorHAnsi"/>
        </w:rPr>
        <w:t xml:space="preserve">. </w:t>
      </w:r>
    </w:p>
    <w:p w14:paraId="42399355" w14:textId="612EDF07" w:rsidR="000F4283" w:rsidRPr="000F4283" w:rsidRDefault="00205BC5" w:rsidP="002D45BA">
      <w:pPr>
        <w:pStyle w:val="Odstavecseseznamem"/>
        <w:numPr>
          <w:ilvl w:val="0"/>
          <w:numId w:val="43"/>
        </w:numPr>
        <w:jc w:val="both"/>
        <w:rPr>
          <w:rFonts w:asciiTheme="minorHAnsi" w:hAnsiTheme="minorHAnsi" w:cstheme="minorHAnsi"/>
        </w:rPr>
      </w:pPr>
      <w:r w:rsidRPr="000F4283">
        <w:rPr>
          <w:rFonts w:asciiTheme="minorHAnsi" w:hAnsiTheme="minorHAnsi" w:cstheme="minorHAnsi"/>
        </w:rPr>
        <w:t>Zaměstnanci, kteří se zabývají strategickým řízením, pracují pod velkým tlakem. Připravit a zejména prosadit a realizovat kvalitní veřejnou strategii a na ni navazující klíčové projekty je velmi obtížné. Pro úspěšnou strategickou práci je vhodné porozumět pojmům manažerské selhání, morální hazard a morálka. Stejně tak je důležité porozumět příčinám, které k manažerskému selhání a morálnímu hazardu vedou.</w:t>
      </w:r>
      <w:r w:rsidR="00666B12" w:rsidRPr="000F4283">
        <w:rPr>
          <w:rFonts w:asciiTheme="minorHAnsi" w:hAnsiTheme="minorHAnsi" w:cstheme="minorHAnsi"/>
        </w:rPr>
        <w:t xml:space="preserve"> </w:t>
      </w:r>
      <w:r w:rsidRPr="000F4283">
        <w:rPr>
          <w:rFonts w:asciiTheme="minorHAnsi" w:hAnsiTheme="minorHAnsi" w:cstheme="minorHAnsi"/>
          <w:b/>
        </w:rPr>
        <w:t>Manažerské selhání</w:t>
      </w:r>
      <w:r w:rsidRPr="000F4283">
        <w:rPr>
          <w:rFonts w:asciiTheme="minorHAnsi" w:hAnsiTheme="minorHAnsi" w:cstheme="minorHAnsi"/>
        </w:rPr>
        <w:t xml:space="preserve"> lze </w:t>
      </w:r>
      <w:r w:rsidRPr="000F4283">
        <w:rPr>
          <w:rFonts w:asciiTheme="minorHAnsi" w:hAnsiTheme="minorHAnsi" w:cstheme="minorHAnsi"/>
        </w:rPr>
        <w:lastRenderedPageBreak/>
        <w:t xml:space="preserve">vymezit jako důsledek „nesprávného rozhodnutí“. Nesprávné (chybné) rozhodnutí je protikladem správného rozhodnutí. Nesprávné rozhodnutí je manažerským selháním. Je to takový výsledek rozhodnutí, kdy dosažený stav je horší nežli stav původní (resp. stav vyjádřený v cíli). </w:t>
      </w:r>
      <w:r w:rsidRPr="000F4283">
        <w:rPr>
          <w:rFonts w:asciiTheme="minorHAnsi" w:hAnsiTheme="minorHAnsi" w:cstheme="minorHAnsi"/>
          <w:b/>
          <w:szCs w:val="20"/>
        </w:rPr>
        <w:t>Morální hazard</w:t>
      </w:r>
      <w:r w:rsidRPr="000F4283">
        <w:rPr>
          <w:rFonts w:asciiTheme="minorHAnsi" w:hAnsiTheme="minorHAnsi" w:cstheme="minorHAnsi"/>
          <w:szCs w:val="20"/>
        </w:rPr>
        <w:t xml:space="preserve"> je takovým vědomým nesprávným rozhodnutím vedoucího či jiného zaměstnance, kdy negativní následky tohoto rozhodnutí dopadají na jiné aktéry nežli na tohoto zaměstnance. Morální hazard je tedy průvodním rysem „nesprávného rozhodnutí“, resp. morální stránkou manažerského selhání. Je třeba uvést, že každé manažerské selhání však není zároveň morálním selháním. </w:t>
      </w:r>
      <w:r w:rsidRPr="000F4283">
        <w:rPr>
          <w:rFonts w:asciiTheme="minorHAnsi" w:hAnsiTheme="minorHAnsi" w:cstheme="minorHAnsi"/>
        </w:rPr>
        <w:t xml:space="preserve">Příčiny (faktory) manažerského selhání </w:t>
      </w:r>
      <w:r w:rsidR="00666B12" w:rsidRPr="000F4283">
        <w:rPr>
          <w:rFonts w:asciiTheme="minorHAnsi" w:hAnsiTheme="minorHAnsi" w:cstheme="minorHAnsi"/>
        </w:rPr>
        <w:t>byly popsány v textové části nástroje „Rozhodování a strategický přístup“</w:t>
      </w:r>
      <w:r w:rsidR="00666B12">
        <w:rPr>
          <w:rStyle w:val="Znakapoznpodarou"/>
          <w:rFonts w:asciiTheme="minorHAnsi" w:hAnsiTheme="minorHAnsi" w:cstheme="minorHAnsi"/>
        </w:rPr>
        <w:footnoteReference w:id="76"/>
      </w:r>
      <w:r w:rsidR="00666B12" w:rsidRPr="000F4283">
        <w:rPr>
          <w:rFonts w:asciiTheme="minorHAnsi" w:hAnsiTheme="minorHAnsi" w:cstheme="minorHAnsi"/>
        </w:rPr>
        <w:t>.</w:t>
      </w:r>
      <w:r w:rsidR="000F4283" w:rsidRPr="000F4283">
        <w:rPr>
          <w:rFonts w:asciiTheme="minorHAnsi" w:hAnsiTheme="minorHAnsi" w:cstheme="minorHAnsi"/>
        </w:rPr>
        <w:t xml:space="preserve"> Je třeba uvést, že k morálnímu hazardu může docházet také z důvodu asymetrie informací. Podstata asymetrie informací je situace, kdy některá ze stran má více informací než druhá a využije je v neprospěch méně informovaného k </w:t>
      </w:r>
      <w:r w:rsidR="000F4283">
        <w:rPr>
          <w:rFonts w:asciiTheme="minorHAnsi" w:hAnsiTheme="minorHAnsi" w:cstheme="minorHAnsi"/>
        </w:rPr>
        <w:t>dodatečnému zisku nebo jiné výhodě.</w:t>
      </w:r>
    </w:p>
    <w:p w14:paraId="456B2D5D" w14:textId="6C6AC30A" w:rsidR="00666B12" w:rsidRPr="009F2C76" w:rsidRDefault="00666B12" w:rsidP="0065698B">
      <w:pPr>
        <w:numPr>
          <w:ilvl w:val="0"/>
          <w:numId w:val="43"/>
        </w:numPr>
        <w:tabs>
          <w:tab w:val="num" w:pos="720"/>
        </w:tabs>
        <w:jc w:val="both"/>
        <w:rPr>
          <w:rFonts w:asciiTheme="minorHAnsi" w:hAnsiTheme="minorHAnsi" w:cstheme="minorHAnsi"/>
        </w:rPr>
      </w:pPr>
      <w:r w:rsidRPr="009F2C76">
        <w:rPr>
          <w:rFonts w:asciiTheme="minorHAnsi" w:hAnsiTheme="minorHAnsi" w:cstheme="minorHAnsi"/>
        </w:rPr>
        <w:t xml:space="preserve">K důležitým schopnostem a dovednostem při </w:t>
      </w:r>
      <w:r w:rsidR="006810C7">
        <w:rPr>
          <w:rFonts w:asciiTheme="minorHAnsi" w:hAnsiTheme="minorHAnsi" w:cstheme="minorHAnsi"/>
        </w:rPr>
        <w:t>finančním řízení</w:t>
      </w:r>
      <w:r w:rsidRPr="009F2C76">
        <w:rPr>
          <w:rFonts w:asciiTheme="minorHAnsi" w:hAnsiTheme="minorHAnsi" w:cstheme="minorHAnsi"/>
        </w:rPr>
        <w:t xml:space="preserve"> patří </w:t>
      </w:r>
      <w:r w:rsidRPr="009F2C76">
        <w:rPr>
          <w:rFonts w:asciiTheme="minorHAnsi" w:hAnsiTheme="minorHAnsi" w:cstheme="minorHAnsi"/>
          <w:b/>
        </w:rPr>
        <w:t xml:space="preserve">uplatňování </w:t>
      </w:r>
      <w:r w:rsidRPr="009F2C76">
        <w:rPr>
          <w:rFonts w:asciiTheme="minorHAnsi" w:hAnsiTheme="minorHAnsi" w:cstheme="minorHAnsi"/>
        </w:rPr>
        <w:t>(a)</w:t>
      </w:r>
      <w:r w:rsidRPr="009F2C76">
        <w:rPr>
          <w:rFonts w:asciiTheme="minorHAnsi" w:hAnsiTheme="minorHAnsi" w:cstheme="minorHAnsi"/>
          <w:b/>
        </w:rPr>
        <w:t xml:space="preserve"> kritického myšlení</w:t>
      </w:r>
      <w:r w:rsidRPr="009F2C76">
        <w:rPr>
          <w:rFonts w:asciiTheme="minorHAnsi" w:hAnsiTheme="minorHAnsi" w:cstheme="minorHAnsi"/>
        </w:rPr>
        <w:t xml:space="preserve"> (b) </w:t>
      </w:r>
      <w:r w:rsidRPr="009F2C76">
        <w:rPr>
          <w:rFonts w:asciiTheme="minorHAnsi" w:hAnsiTheme="minorHAnsi" w:cstheme="minorHAnsi"/>
          <w:b/>
        </w:rPr>
        <w:t xml:space="preserve">tvůrčího myšlení </w:t>
      </w:r>
      <w:r w:rsidRPr="009F2C76">
        <w:rPr>
          <w:rFonts w:asciiTheme="minorHAnsi" w:hAnsiTheme="minorHAnsi" w:cstheme="minorHAnsi"/>
        </w:rPr>
        <w:t xml:space="preserve">(c) </w:t>
      </w:r>
      <w:r w:rsidRPr="009F2C76">
        <w:rPr>
          <w:rFonts w:asciiTheme="minorHAnsi" w:hAnsiTheme="minorHAnsi" w:cstheme="minorHAnsi"/>
          <w:b/>
        </w:rPr>
        <w:t>systémového myšlení</w:t>
      </w:r>
      <w:r w:rsidRPr="009F2C76">
        <w:rPr>
          <w:rFonts w:asciiTheme="minorHAnsi" w:hAnsiTheme="minorHAnsi" w:cstheme="minorHAnsi"/>
        </w:rPr>
        <w:t xml:space="preserve"> – viz následující tabulka.</w:t>
      </w:r>
    </w:p>
    <w:p w14:paraId="3BB81A3C" w14:textId="73DE5F59" w:rsidR="00666B12" w:rsidRPr="007C644D" w:rsidRDefault="00666B12" w:rsidP="00666B12">
      <w:pPr>
        <w:pStyle w:val="Zkladntext3"/>
        <w:spacing w:after="0" w:line="360" w:lineRule="auto"/>
        <w:ind w:left="360"/>
        <w:jc w:val="both"/>
        <w:rPr>
          <w:rFonts w:asciiTheme="minorHAnsi" w:eastAsia="Calibri" w:hAnsiTheme="minorHAnsi" w:cstheme="minorHAnsi"/>
          <w:i/>
          <w:iCs/>
          <w:sz w:val="24"/>
          <w:szCs w:val="24"/>
        </w:rPr>
      </w:pPr>
      <w:r w:rsidRPr="007C644D">
        <w:rPr>
          <w:rFonts w:asciiTheme="minorHAnsi" w:eastAsia="Calibri" w:hAnsiTheme="minorHAnsi" w:cstheme="minorHAnsi"/>
          <w:i/>
          <w:iCs/>
          <w:sz w:val="24"/>
          <w:szCs w:val="24"/>
        </w:rPr>
        <w:t xml:space="preserve">Tab. </w:t>
      </w:r>
      <w:r w:rsidR="004F0E1D">
        <w:rPr>
          <w:rFonts w:asciiTheme="minorHAnsi" w:eastAsia="Calibri" w:hAnsiTheme="minorHAnsi" w:cstheme="minorHAnsi"/>
          <w:i/>
          <w:iCs/>
          <w:sz w:val="24"/>
          <w:szCs w:val="24"/>
        </w:rPr>
        <w:t>4</w:t>
      </w:r>
      <w:r w:rsidR="007B193B">
        <w:rPr>
          <w:rFonts w:asciiTheme="minorHAnsi" w:eastAsia="Calibri" w:hAnsiTheme="minorHAnsi" w:cstheme="minorHAnsi"/>
          <w:i/>
          <w:iCs/>
          <w:sz w:val="24"/>
          <w:szCs w:val="24"/>
        </w:rPr>
        <w:t>6</w:t>
      </w:r>
      <w:r w:rsidR="004F0E1D">
        <w:rPr>
          <w:rFonts w:asciiTheme="minorHAnsi" w:eastAsia="Calibri" w:hAnsiTheme="minorHAnsi" w:cstheme="minorHAnsi"/>
          <w:i/>
          <w:iCs/>
          <w:sz w:val="24"/>
          <w:szCs w:val="24"/>
        </w:rPr>
        <w:t xml:space="preserve"> </w:t>
      </w:r>
      <w:r w:rsidRPr="007C644D">
        <w:rPr>
          <w:rFonts w:asciiTheme="minorHAnsi" w:eastAsia="Calibri" w:hAnsiTheme="minorHAnsi" w:cstheme="minorHAnsi"/>
          <w:i/>
          <w:iCs/>
          <w:sz w:val="24"/>
          <w:szCs w:val="24"/>
        </w:rPr>
        <w:t xml:space="preserve">Kritické, tvůrčí, systémové myšlení při </w:t>
      </w:r>
      <w:r w:rsidR="006810C7">
        <w:rPr>
          <w:rFonts w:asciiTheme="minorHAnsi" w:eastAsia="Calibri" w:hAnsiTheme="minorHAnsi" w:cstheme="minorHAnsi"/>
          <w:i/>
          <w:iCs/>
          <w:sz w:val="24"/>
          <w:szCs w:val="24"/>
        </w:rPr>
        <w:t>rozpočtování a finančním řízení</w:t>
      </w:r>
    </w:p>
    <w:tbl>
      <w:tblPr>
        <w:tblStyle w:val="Mkatabulky"/>
        <w:tblW w:w="0" w:type="auto"/>
        <w:tblInd w:w="360" w:type="dxa"/>
        <w:tblLook w:val="04A0" w:firstRow="1" w:lastRow="0" w:firstColumn="1" w:lastColumn="0" w:noHBand="0" w:noVBand="1"/>
      </w:tblPr>
      <w:tblGrid>
        <w:gridCol w:w="344"/>
        <w:gridCol w:w="1701"/>
        <w:gridCol w:w="6611"/>
      </w:tblGrid>
      <w:tr w:rsidR="00666B12" w:rsidRPr="00936CD7" w14:paraId="3538B9FF" w14:textId="77777777" w:rsidTr="009350E4">
        <w:tc>
          <w:tcPr>
            <w:tcW w:w="344" w:type="dxa"/>
            <w:shd w:val="clear" w:color="auto" w:fill="F2F2F2" w:themeFill="background1" w:themeFillShade="F2"/>
            <w:vAlign w:val="center"/>
          </w:tcPr>
          <w:p w14:paraId="20D33449" w14:textId="77777777" w:rsidR="00666B12" w:rsidRPr="00936CD7" w:rsidRDefault="00666B12" w:rsidP="009350E4">
            <w:pPr>
              <w:pStyle w:val="Odstavecseseznamem"/>
              <w:spacing w:line="240" w:lineRule="auto"/>
              <w:ind w:left="-57"/>
              <w:rPr>
                <w:rFonts w:asciiTheme="minorHAnsi" w:hAnsiTheme="minorHAnsi" w:cstheme="minorHAnsi"/>
                <w:b/>
                <w:sz w:val="20"/>
              </w:rPr>
            </w:pPr>
            <w:r w:rsidRPr="00936CD7">
              <w:rPr>
                <w:rFonts w:asciiTheme="minorHAnsi" w:hAnsiTheme="minorHAnsi" w:cstheme="minorHAnsi"/>
                <w:b/>
                <w:sz w:val="20"/>
              </w:rPr>
              <w:t>Č</w:t>
            </w:r>
          </w:p>
        </w:tc>
        <w:tc>
          <w:tcPr>
            <w:tcW w:w="1701" w:type="dxa"/>
            <w:shd w:val="clear" w:color="auto" w:fill="F2F2F2" w:themeFill="background1" w:themeFillShade="F2"/>
            <w:vAlign w:val="center"/>
          </w:tcPr>
          <w:p w14:paraId="618988BE" w14:textId="77777777" w:rsidR="00666B12" w:rsidRPr="00936CD7" w:rsidRDefault="00666B12" w:rsidP="009350E4">
            <w:pPr>
              <w:pStyle w:val="Odstavecseseznamem"/>
              <w:spacing w:line="240" w:lineRule="auto"/>
              <w:ind w:left="-57"/>
              <w:rPr>
                <w:rFonts w:asciiTheme="minorHAnsi" w:hAnsiTheme="minorHAnsi" w:cstheme="minorHAnsi"/>
                <w:b/>
                <w:sz w:val="20"/>
              </w:rPr>
            </w:pPr>
            <w:r w:rsidRPr="00936CD7">
              <w:rPr>
                <w:rFonts w:asciiTheme="minorHAnsi" w:hAnsiTheme="minorHAnsi" w:cstheme="minorHAnsi"/>
                <w:b/>
                <w:sz w:val="20"/>
              </w:rPr>
              <w:t>Způsob myšlení</w:t>
            </w:r>
          </w:p>
        </w:tc>
        <w:tc>
          <w:tcPr>
            <w:tcW w:w="6611" w:type="dxa"/>
            <w:shd w:val="clear" w:color="auto" w:fill="F2F2F2" w:themeFill="background1" w:themeFillShade="F2"/>
            <w:vAlign w:val="center"/>
          </w:tcPr>
          <w:p w14:paraId="744FD203" w14:textId="1E5BDC18" w:rsidR="00666B12" w:rsidRPr="00936CD7" w:rsidRDefault="00666B12" w:rsidP="006810C7">
            <w:pPr>
              <w:pStyle w:val="Odstavecseseznamem"/>
              <w:spacing w:line="240" w:lineRule="auto"/>
              <w:ind w:left="-57"/>
              <w:rPr>
                <w:rFonts w:asciiTheme="minorHAnsi" w:hAnsiTheme="minorHAnsi" w:cstheme="minorHAnsi"/>
                <w:b/>
                <w:sz w:val="20"/>
              </w:rPr>
            </w:pPr>
            <w:r w:rsidRPr="00936CD7">
              <w:rPr>
                <w:rFonts w:asciiTheme="minorHAnsi" w:hAnsiTheme="minorHAnsi" w:cstheme="minorHAnsi"/>
                <w:b/>
                <w:sz w:val="20"/>
              </w:rPr>
              <w:t xml:space="preserve">Využití při </w:t>
            </w:r>
            <w:r w:rsidR="006810C7">
              <w:rPr>
                <w:rFonts w:asciiTheme="minorHAnsi" w:hAnsiTheme="minorHAnsi" w:cstheme="minorHAnsi"/>
                <w:b/>
                <w:sz w:val="20"/>
              </w:rPr>
              <w:t>rozpočtování respektive při finančním řízení</w:t>
            </w:r>
          </w:p>
        </w:tc>
      </w:tr>
      <w:tr w:rsidR="00666B12" w:rsidRPr="00936CD7" w14:paraId="34F6B0AE" w14:textId="77777777" w:rsidTr="009350E4">
        <w:tc>
          <w:tcPr>
            <w:tcW w:w="344" w:type="dxa"/>
            <w:shd w:val="clear" w:color="auto" w:fill="F2F2F2" w:themeFill="background1" w:themeFillShade="F2"/>
            <w:vAlign w:val="center"/>
          </w:tcPr>
          <w:p w14:paraId="5C443DAF" w14:textId="77777777" w:rsidR="00666B12" w:rsidRPr="00936CD7" w:rsidRDefault="00666B12" w:rsidP="009350E4">
            <w:pPr>
              <w:pStyle w:val="Odstavecseseznamem"/>
              <w:spacing w:line="240" w:lineRule="auto"/>
              <w:ind w:left="-57"/>
              <w:rPr>
                <w:rFonts w:asciiTheme="minorHAnsi" w:hAnsiTheme="minorHAnsi" w:cstheme="minorHAnsi"/>
                <w:sz w:val="20"/>
              </w:rPr>
            </w:pPr>
            <w:r w:rsidRPr="00936CD7">
              <w:rPr>
                <w:rFonts w:asciiTheme="minorHAnsi" w:hAnsiTheme="minorHAnsi" w:cstheme="minorHAnsi"/>
                <w:sz w:val="20"/>
              </w:rPr>
              <w:t>1</w:t>
            </w:r>
          </w:p>
        </w:tc>
        <w:tc>
          <w:tcPr>
            <w:tcW w:w="1701" w:type="dxa"/>
            <w:vAlign w:val="center"/>
          </w:tcPr>
          <w:p w14:paraId="40FF3871" w14:textId="77777777" w:rsidR="00666B12" w:rsidRPr="00936CD7" w:rsidRDefault="00666B12" w:rsidP="009350E4">
            <w:pPr>
              <w:pStyle w:val="Odstavecseseznamem"/>
              <w:spacing w:line="240" w:lineRule="auto"/>
              <w:ind w:left="-57"/>
              <w:rPr>
                <w:rFonts w:asciiTheme="minorHAnsi" w:hAnsiTheme="minorHAnsi" w:cstheme="minorHAnsi"/>
                <w:sz w:val="20"/>
              </w:rPr>
            </w:pPr>
            <w:r w:rsidRPr="00936CD7">
              <w:rPr>
                <w:rFonts w:asciiTheme="minorHAnsi" w:hAnsiTheme="minorHAnsi" w:cstheme="minorHAnsi"/>
                <w:sz w:val="20"/>
              </w:rPr>
              <w:t>Kritické myšlení</w:t>
            </w:r>
          </w:p>
        </w:tc>
        <w:tc>
          <w:tcPr>
            <w:tcW w:w="6611" w:type="dxa"/>
            <w:vAlign w:val="center"/>
          </w:tcPr>
          <w:p w14:paraId="1A252709" w14:textId="36895D69" w:rsidR="00666B12" w:rsidRPr="00936CD7" w:rsidRDefault="00666B12" w:rsidP="006810C7">
            <w:pPr>
              <w:pStyle w:val="Odstavecseseznamem"/>
              <w:numPr>
                <w:ilvl w:val="0"/>
                <w:numId w:val="63"/>
              </w:numPr>
              <w:spacing w:line="240" w:lineRule="auto"/>
              <w:ind w:left="175" w:hanging="205"/>
              <w:jc w:val="both"/>
              <w:rPr>
                <w:rFonts w:asciiTheme="minorHAnsi" w:hAnsiTheme="minorHAnsi" w:cstheme="minorHAnsi"/>
                <w:sz w:val="20"/>
              </w:rPr>
            </w:pPr>
            <w:r w:rsidRPr="00936CD7">
              <w:rPr>
                <w:rFonts w:asciiTheme="minorHAnsi" w:hAnsiTheme="minorHAnsi" w:cstheme="minorHAnsi"/>
                <w:sz w:val="20"/>
              </w:rPr>
              <w:t xml:space="preserve">Pro ověřování relevantnosti či pravdivosti informací týkající se </w:t>
            </w:r>
            <w:r w:rsidR="006810C7">
              <w:rPr>
                <w:rFonts w:asciiTheme="minorHAnsi" w:hAnsiTheme="minorHAnsi" w:cstheme="minorHAnsi"/>
                <w:sz w:val="20"/>
              </w:rPr>
              <w:t>rozpočtování nebo zdravého finančního řízení.</w:t>
            </w:r>
            <w:r w:rsidRPr="00936CD7">
              <w:rPr>
                <w:rFonts w:asciiTheme="minorHAnsi" w:hAnsiTheme="minorHAnsi" w:cstheme="minorHAnsi"/>
                <w:sz w:val="20"/>
              </w:rPr>
              <w:t xml:space="preserve"> </w:t>
            </w:r>
          </w:p>
          <w:p w14:paraId="1E5751E6" w14:textId="0FC1F584" w:rsidR="00666B12" w:rsidRPr="00936CD7" w:rsidRDefault="006810C7" w:rsidP="006810C7">
            <w:pPr>
              <w:pStyle w:val="Odstavecseseznamem"/>
              <w:numPr>
                <w:ilvl w:val="0"/>
                <w:numId w:val="63"/>
              </w:numPr>
              <w:spacing w:line="240" w:lineRule="auto"/>
              <w:ind w:left="175" w:hanging="205"/>
              <w:jc w:val="both"/>
              <w:rPr>
                <w:rFonts w:asciiTheme="minorHAnsi" w:hAnsiTheme="minorHAnsi" w:cstheme="minorHAnsi"/>
                <w:sz w:val="20"/>
              </w:rPr>
            </w:pPr>
            <w:r>
              <w:rPr>
                <w:rFonts w:asciiTheme="minorHAnsi" w:hAnsiTheme="minorHAnsi" w:cstheme="minorHAnsi"/>
                <w:sz w:val="20"/>
              </w:rPr>
              <w:t>Pro jejich kritický rozbor.</w:t>
            </w:r>
          </w:p>
          <w:p w14:paraId="16ED9EED" w14:textId="5914D796" w:rsidR="00666B12" w:rsidRPr="00936CD7" w:rsidRDefault="006810C7" w:rsidP="006810C7">
            <w:pPr>
              <w:pStyle w:val="Odstavecseseznamem"/>
              <w:numPr>
                <w:ilvl w:val="0"/>
                <w:numId w:val="63"/>
              </w:numPr>
              <w:spacing w:line="240" w:lineRule="auto"/>
              <w:ind w:left="175" w:hanging="205"/>
              <w:jc w:val="both"/>
              <w:rPr>
                <w:rFonts w:asciiTheme="minorHAnsi" w:hAnsiTheme="minorHAnsi" w:cstheme="minorHAnsi"/>
                <w:sz w:val="20"/>
              </w:rPr>
            </w:pPr>
            <w:r>
              <w:rPr>
                <w:rFonts w:asciiTheme="minorHAnsi" w:hAnsiTheme="minorHAnsi" w:cstheme="minorHAnsi"/>
                <w:sz w:val="20"/>
              </w:rPr>
              <w:t>P</w:t>
            </w:r>
            <w:r w:rsidR="00666B12" w:rsidRPr="00936CD7">
              <w:rPr>
                <w:rFonts w:asciiTheme="minorHAnsi" w:hAnsiTheme="minorHAnsi" w:cstheme="minorHAnsi"/>
                <w:sz w:val="20"/>
              </w:rPr>
              <w:t>ro hledání vhodných argumentů pro a proti.</w:t>
            </w:r>
          </w:p>
        </w:tc>
      </w:tr>
      <w:tr w:rsidR="00666B12" w:rsidRPr="00936CD7" w14:paraId="0C2A6F3E" w14:textId="77777777" w:rsidTr="009350E4">
        <w:tc>
          <w:tcPr>
            <w:tcW w:w="344" w:type="dxa"/>
            <w:shd w:val="clear" w:color="auto" w:fill="F2F2F2" w:themeFill="background1" w:themeFillShade="F2"/>
            <w:vAlign w:val="center"/>
          </w:tcPr>
          <w:p w14:paraId="76E4E118" w14:textId="77777777" w:rsidR="00666B12" w:rsidRPr="00936CD7" w:rsidRDefault="00666B12" w:rsidP="009350E4">
            <w:pPr>
              <w:pStyle w:val="Odstavecseseznamem"/>
              <w:spacing w:line="240" w:lineRule="auto"/>
              <w:ind w:left="-57"/>
              <w:rPr>
                <w:rFonts w:asciiTheme="minorHAnsi" w:hAnsiTheme="minorHAnsi" w:cstheme="minorHAnsi"/>
                <w:sz w:val="20"/>
              </w:rPr>
            </w:pPr>
            <w:r w:rsidRPr="00936CD7">
              <w:rPr>
                <w:rFonts w:asciiTheme="minorHAnsi" w:hAnsiTheme="minorHAnsi" w:cstheme="minorHAnsi"/>
                <w:sz w:val="20"/>
              </w:rPr>
              <w:t>2</w:t>
            </w:r>
          </w:p>
        </w:tc>
        <w:tc>
          <w:tcPr>
            <w:tcW w:w="1701" w:type="dxa"/>
            <w:vAlign w:val="center"/>
          </w:tcPr>
          <w:p w14:paraId="459C4669" w14:textId="77777777" w:rsidR="00666B12" w:rsidRPr="00936CD7" w:rsidRDefault="00666B12" w:rsidP="009350E4">
            <w:pPr>
              <w:pStyle w:val="Odstavecseseznamem"/>
              <w:spacing w:line="240" w:lineRule="auto"/>
              <w:ind w:left="-57"/>
              <w:rPr>
                <w:rFonts w:asciiTheme="minorHAnsi" w:hAnsiTheme="minorHAnsi" w:cstheme="minorHAnsi"/>
                <w:sz w:val="20"/>
              </w:rPr>
            </w:pPr>
            <w:r w:rsidRPr="00936CD7">
              <w:rPr>
                <w:rFonts w:asciiTheme="minorHAnsi" w:hAnsiTheme="minorHAnsi" w:cstheme="minorHAnsi"/>
                <w:sz w:val="20"/>
              </w:rPr>
              <w:t>Tvůrčí myšlení (neboli</w:t>
            </w:r>
            <w:r w:rsidRPr="00936CD7">
              <w:rPr>
                <w:rFonts w:asciiTheme="minorHAnsi" w:hAnsiTheme="minorHAnsi" w:cstheme="minorHAnsi"/>
                <w:b/>
                <w:sz w:val="20"/>
              </w:rPr>
              <w:t xml:space="preserve"> </w:t>
            </w:r>
            <w:r w:rsidRPr="00936CD7">
              <w:rPr>
                <w:rFonts w:asciiTheme="minorHAnsi" w:hAnsiTheme="minorHAnsi" w:cstheme="minorHAnsi"/>
                <w:sz w:val="20"/>
              </w:rPr>
              <w:t>kreativita, intuice)</w:t>
            </w:r>
          </w:p>
        </w:tc>
        <w:tc>
          <w:tcPr>
            <w:tcW w:w="6611" w:type="dxa"/>
            <w:vAlign w:val="center"/>
          </w:tcPr>
          <w:p w14:paraId="17460B2E" w14:textId="7A7584E0" w:rsidR="00666B12" w:rsidRPr="006810C7" w:rsidRDefault="00666B12" w:rsidP="006810C7">
            <w:pPr>
              <w:pStyle w:val="Odstavecseseznamem"/>
              <w:numPr>
                <w:ilvl w:val="0"/>
                <w:numId w:val="63"/>
              </w:numPr>
              <w:spacing w:line="240" w:lineRule="auto"/>
              <w:ind w:left="175" w:hanging="205"/>
              <w:jc w:val="both"/>
              <w:rPr>
                <w:rFonts w:asciiTheme="minorHAnsi" w:hAnsiTheme="minorHAnsi" w:cstheme="minorHAnsi"/>
                <w:sz w:val="20"/>
              </w:rPr>
            </w:pPr>
            <w:r w:rsidRPr="006810C7">
              <w:rPr>
                <w:rFonts w:asciiTheme="minorHAnsi" w:hAnsiTheme="minorHAnsi" w:cstheme="minorHAnsi"/>
                <w:sz w:val="20"/>
              </w:rPr>
              <w:t xml:space="preserve">Pro hledání nových poznatků pro vytváření podmínek </w:t>
            </w:r>
            <w:r w:rsidR="006810C7">
              <w:rPr>
                <w:rFonts w:asciiTheme="minorHAnsi" w:hAnsiTheme="minorHAnsi" w:cstheme="minorHAnsi"/>
                <w:sz w:val="20"/>
              </w:rPr>
              <w:t>pro zdravé finanční řízení, respektive pro hospodárný</w:t>
            </w:r>
            <w:r w:rsidRPr="006810C7">
              <w:rPr>
                <w:rFonts w:asciiTheme="minorHAnsi" w:hAnsiTheme="minorHAnsi" w:cstheme="minorHAnsi"/>
                <w:sz w:val="20"/>
              </w:rPr>
              <w:t>, efektivní</w:t>
            </w:r>
            <w:r w:rsidR="006810C7">
              <w:rPr>
                <w:rFonts w:asciiTheme="minorHAnsi" w:hAnsiTheme="minorHAnsi" w:cstheme="minorHAnsi"/>
                <w:sz w:val="20"/>
              </w:rPr>
              <w:t xml:space="preserve"> a účelný výkon veřejné správy.</w:t>
            </w:r>
            <w:r w:rsidRPr="006810C7">
              <w:rPr>
                <w:rFonts w:asciiTheme="minorHAnsi" w:hAnsiTheme="minorHAnsi" w:cstheme="minorHAnsi"/>
                <w:sz w:val="20"/>
              </w:rPr>
              <w:t xml:space="preserve"> </w:t>
            </w:r>
          </w:p>
          <w:p w14:paraId="75279FCD" w14:textId="67D61E30" w:rsidR="00666B12" w:rsidRPr="00936CD7" w:rsidRDefault="006810C7" w:rsidP="006810C7">
            <w:pPr>
              <w:pStyle w:val="Odstavecseseznamem"/>
              <w:numPr>
                <w:ilvl w:val="0"/>
                <w:numId w:val="63"/>
              </w:numPr>
              <w:spacing w:line="240" w:lineRule="auto"/>
              <w:ind w:left="175" w:hanging="205"/>
              <w:jc w:val="both"/>
              <w:rPr>
                <w:rFonts w:asciiTheme="minorHAnsi" w:hAnsiTheme="minorHAnsi" w:cstheme="minorHAnsi"/>
                <w:sz w:val="20"/>
              </w:rPr>
            </w:pPr>
            <w:r>
              <w:rPr>
                <w:rFonts w:asciiTheme="minorHAnsi" w:hAnsiTheme="minorHAnsi" w:cstheme="minorHAnsi"/>
                <w:sz w:val="20"/>
              </w:rPr>
              <w:t>P</w:t>
            </w:r>
            <w:r w:rsidR="00666B12" w:rsidRPr="006810C7">
              <w:rPr>
                <w:rFonts w:asciiTheme="minorHAnsi" w:hAnsiTheme="minorHAnsi" w:cstheme="minorHAnsi"/>
                <w:sz w:val="20"/>
              </w:rPr>
              <w:t xml:space="preserve">ro generování nápadů pro přijímání opatření nebo řešení problémů </w:t>
            </w:r>
            <w:r>
              <w:rPr>
                <w:rFonts w:asciiTheme="minorHAnsi" w:hAnsiTheme="minorHAnsi" w:cstheme="minorHAnsi"/>
                <w:sz w:val="20"/>
              </w:rPr>
              <w:t>při rozpočtování, zdravém finančním řízení.</w:t>
            </w:r>
          </w:p>
        </w:tc>
      </w:tr>
      <w:tr w:rsidR="00666B12" w:rsidRPr="00936CD7" w14:paraId="76485567" w14:textId="77777777" w:rsidTr="009350E4">
        <w:tc>
          <w:tcPr>
            <w:tcW w:w="344" w:type="dxa"/>
            <w:shd w:val="clear" w:color="auto" w:fill="F2F2F2" w:themeFill="background1" w:themeFillShade="F2"/>
            <w:vAlign w:val="center"/>
          </w:tcPr>
          <w:p w14:paraId="52FA4310" w14:textId="77777777" w:rsidR="00666B12" w:rsidRPr="00936CD7" w:rsidRDefault="00666B12" w:rsidP="009350E4">
            <w:pPr>
              <w:pStyle w:val="Odstavecseseznamem"/>
              <w:spacing w:line="240" w:lineRule="auto"/>
              <w:ind w:left="-57"/>
              <w:rPr>
                <w:rFonts w:asciiTheme="minorHAnsi" w:hAnsiTheme="minorHAnsi" w:cstheme="minorHAnsi"/>
                <w:sz w:val="20"/>
              </w:rPr>
            </w:pPr>
            <w:r w:rsidRPr="00936CD7">
              <w:rPr>
                <w:rFonts w:asciiTheme="minorHAnsi" w:hAnsiTheme="minorHAnsi" w:cstheme="minorHAnsi"/>
                <w:sz w:val="20"/>
              </w:rPr>
              <w:t>3</w:t>
            </w:r>
          </w:p>
        </w:tc>
        <w:tc>
          <w:tcPr>
            <w:tcW w:w="1701" w:type="dxa"/>
            <w:vAlign w:val="center"/>
          </w:tcPr>
          <w:p w14:paraId="65EB96B9" w14:textId="77777777" w:rsidR="00666B12" w:rsidRPr="00936CD7" w:rsidRDefault="00666B12" w:rsidP="009350E4">
            <w:pPr>
              <w:pStyle w:val="Odstavecseseznamem"/>
              <w:spacing w:line="240" w:lineRule="auto"/>
              <w:ind w:left="-57"/>
              <w:rPr>
                <w:rFonts w:asciiTheme="minorHAnsi" w:hAnsiTheme="minorHAnsi" w:cstheme="minorHAnsi"/>
                <w:sz w:val="20"/>
              </w:rPr>
            </w:pPr>
            <w:r w:rsidRPr="00936CD7">
              <w:rPr>
                <w:rFonts w:asciiTheme="minorHAnsi" w:hAnsiTheme="minorHAnsi" w:cstheme="minorHAnsi"/>
                <w:sz w:val="20"/>
              </w:rPr>
              <w:t>Systémové myšlení</w:t>
            </w:r>
          </w:p>
        </w:tc>
        <w:tc>
          <w:tcPr>
            <w:tcW w:w="6611" w:type="dxa"/>
            <w:vAlign w:val="center"/>
          </w:tcPr>
          <w:p w14:paraId="1A023637" w14:textId="3DECD96D" w:rsidR="00666B12" w:rsidRPr="00936CD7" w:rsidRDefault="00666B12" w:rsidP="006810C7">
            <w:pPr>
              <w:pStyle w:val="Odstavecseseznamem"/>
              <w:numPr>
                <w:ilvl w:val="0"/>
                <w:numId w:val="63"/>
              </w:numPr>
              <w:spacing w:line="240" w:lineRule="auto"/>
              <w:ind w:left="175" w:hanging="205"/>
              <w:jc w:val="both"/>
              <w:rPr>
                <w:rFonts w:asciiTheme="minorHAnsi" w:hAnsiTheme="minorHAnsi" w:cstheme="minorHAnsi"/>
                <w:sz w:val="20"/>
              </w:rPr>
            </w:pPr>
            <w:r w:rsidRPr="00936CD7">
              <w:rPr>
                <w:rFonts w:asciiTheme="minorHAnsi" w:hAnsiTheme="minorHAnsi" w:cstheme="minorHAnsi"/>
                <w:sz w:val="20"/>
              </w:rPr>
              <w:t xml:space="preserve">Pro pochopení situace nebo okolností týkající se </w:t>
            </w:r>
            <w:r w:rsidR="006810C7">
              <w:rPr>
                <w:rFonts w:asciiTheme="minorHAnsi" w:hAnsiTheme="minorHAnsi" w:cstheme="minorHAnsi"/>
                <w:sz w:val="20"/>
              </w:rPr>
              <w:t xml:space="preserve">zdravého finančního řízení, zvládání rizik, při </w:t>
            </w:r>
            <w:r w:rsidRPr="00936CD7">
              <w:rPr>
                <w:rFonts w:asciiTheme="minorHAnsi" w:hAnsiTheme="minorHAnsi" w:cstheme="minorHAnsi"/>
                <w:sz w:val="20"/>
              </w:rPr>
              <w:t>prověřování kritérií 3E v potřebných souvislostech (chápat kontext)</w:t>
            </w:r>
            <w:r w:rsidR="004F0E1D">
              <w:rPr>
                <w:rFonts w:asciiTheme="minorHAnsi" w:hAnsiTheme="minorHAnsi" w:cstheme="minorHAnsi"/>
                <w:sz w:val="20"/>
              </w:rPr>
              <w:t>.</w:t>
            </w:r>
          </w:p>
          <w:p w14:paraId="61E68AE2" w14:textId="0D653FC2" w:rsidR="00666B12" w:rsidRPr="00936CD7" w:rsidRDefault="009A4EF3" w:rsidP="006810C7">
            <w:pPr>
              <w:pStyle w:val="Odstavecseseznamem"/>
              <w:numPr>
                <w:ilvl w:val="0"/>
                <w:numId w:val="63"/>
              </w:numPr>
              <w:spacing w:line="240" w:lineRule="auto"/>
              <w:ind w:left="175" w:hanging="205"/>
              <w:jc w:val="both"/>
              <w:rPr>
                <w:rFonts w:asciiTheme="minorHAnsi" w:hAnsiTheme="minorHAnsi" w:cstheme="minorHAnsi"/>
                <w:sz w:val="20"/>
              </w:rPr>
            </w:pPr>
            <w:r>
              <w:rPr>
                <w:rFonts w:asciiTheme="minorHAnsi" w:hAnsiTheme="minorHAnsi" w:cstheme="minorHAnsi"/>
                <w:sz w:val="20"/>
              </w:rPr>
              <w:t>P</w:t>
            </w:r>
            <w:r w:rsidR="00666B12" w:rsidRPr="00936CD7">
              <w:rPr>
                <w:rFonts w:asciiTheme="minorHAnsi" w:hAnsiTheme="minorHAnsi" w:cstheme="minorHAnsi"/>
                <w:sz w:val="20"/>
              </w:rPr>
              <w:t>ro porozumění</w:t>
            </w:r>
            <w:r w:rsidR="00666B12">
              <w:rPr>
                <w:rFonts w:asciiTheme="minorHAnsi" w:hAnsiTheme="minorHAnsi" w:cstheme="minorHAnsi"/>
                <w:sz w:val="20"/>
              </w:rPr>
              <w:t xml:space="preserve"> vzorců</w:t>
            </w:r>
            <w:r w:rsidR="00666B12" w:rsidRPr="00936CD7">
              <w:rPr>
                <w:rFonts w:asciiTheme="minorHAnsi" w:hAnsiTheme="minorHAnsi" w:cstheme="minorHAnsi"/>
                <w:sz w:val="20"/>
              </w:rPr>
              <w:t xml:space="preserve"> chování lidí</w:t>
            </w:r>
            <w:r w:rsidR="004F0E1D">
              <w:rPr>
                <w:rFonts w:asciiTheme="minorHAnsi" w:hAnsiTheme="minorHAnsi" w:cstheme="minorHAnsi"/>
                <w:sz w:val="20"/>
              </w:rPr>
              <w:t>.</w:t>
            </w:r>
          </w:p>
          <w:p w14:paraId="646AF510" w14:textId="752C467E" w:rsidR="00666B12" w:rsidRPr="00936CD7" w:rsidRDefault="009A4EF3" w:rsidP="006810C7">
            <w:pPr>
              <w:pStyle w:val="Odstavecseseznamem"/>
              <w:numPr>
                <w:ilvl w:val="0"/>
                <w:numId w:val="63"/>
              </w:numPr>
              <w:spacing w:line="240" w:lineRule="auto"/>
              <w:ind w:left="175" w:hanging="205"/>
              <w:jc w:val="both"/>
              <w:rPr>
                <w:rFonts w:asciiTheme="minorHAnsi" w:hAnsiTheme="minorHAnsi" w:cstheme="minorHAnsi"/>
                <w:sz w:val="20"/>
              </w:rPr>
            </w:pPr>
            <w:r>
              <w:rPr>
                <w:rFonts w:asciiTheme="minorHAnsi" w:hAnsiTheme="minorHAnsi" w:cstheme="minorHAnsi"/>
                <w:sz w:val="20"/>
              </w:rPr>
              <w:t>P</w:t>
            </w:r>
            <w:r w:rsidR="00666B12" w:rsidRPr="00936CD7">
              <w:rPr>
                <w:rFonts w:asciiTheme="minorHAnsi" w:hAnsiTheme="minorHAnsi" w:cstheme="minorHAnsi"/>
                <w:sz w:val="20"/>
              </w:rPr>
              <w:t>řípadně pro matematické modelování, je-li to účelné.</w:t>
            </w:r>
          </w:p>
        </w:tc>
      </w:tr>
    </w:tbl>
    <w:p w14:paraId="50015484" w14:textId="04C92B0A" w:rsidR="00666B12" w:rsidRPr="007C644D" w:rsidRDefault="00666B12" w:rsidP="00666B12">
      <w:pPr>
        <w:pStyle w:val="Zkladntext3"/>
        <w:spacing w:after="0" w:line="360" w:lineRule="auto"/>
        <w:ind w:left="360"/>
        <w:jc w:val="both"/>
        <w:rPr>
          <w:rFonts w:asciiTheme="minorHAnsi" w:eastAsia="Calibri" w:hAnsiTheme="minorHAnsi" w:cstheme="minorHAnsi"/>
          <w:i/>
          <w:iCs/>
          <w:sz w:val="24"/>
          <w:szCs w:val="24"/>
        </w:rPr>
      </w:pPr>
      <w:r w:rsidRPr="007C644D">
        <w:rPr>
          <w:rFonts w:asciiTheme="minorHAnsi" w:eastAsia="Calibri" w:hAnsiTheme="minorHAnsi" w:cstheme="minorHAnsi"/>
          <w:i/>
          <w:iCs/>
          <w:sz w:val="24"/>
          <w:szCs w:val="24"/>
        </w:rPr>
        <w:t xml:space="preserve">Zdroj: </w:t>
      </w:r>
      <w:r w:rsidR="009A4EF3">
        <w:rPr>
          <w:rFonts w:asciiTheme="minorHAnsi" w:eastAsia="Calibri" w:hAnsiTheme="minorHAnsi" w:cstheme="minorHAnsi"/>
          <w:i/>
          <w:iCs/>
          <w:sz w:val="24"/>
          <w:szCs w:val="24"/>
        </w:rPr>
        <w:t>autoři</w:t>
      </w:r>
    </w:p>
    <w:p w14:paraId="7BB6DF37" w14:textId="77777777" w:rsidR="00932C81" w:rsidRDefault="00932C81">
      <w:pPr>
        <w:spacing w:after="160" w:line="259" w:lineRule="auto"/>
        <w:rPr>
          <w:rFonts w:ascii="Calibri" w:hAnsi="Calibri"/>
          <w:b/>
          <w:bCs/>
          <w:color w:val="7493B0"/>
          <w:sz w:val="32"/>
          <w:szCs w:val="28"/>
        </w:rPr>
      </w:pPr>
      <w:r>
        <w:rPr>
          <w:rFonts w:ascii="Calibri" w:hAnsi="Calibri"/>
          <w:color w:val="7493B0"/>
          <w:sz w:val="32"/>
        </w:rPr>
        <w:br w:type="page"/>
      </w:r>
    </w:p>
    <w:p w14:paraId="09EC25E0" w14:textId="52C7BB76" w:rsidR="000A4999" w:rsidRPr="00004C5C" w:rsidRDefault="000A4999" w:rsidP="00004C5C">
      <w:pPr>
        <w:pStyle w:val="Nadpis1"/>
        <w:spacing w:before="240" w:after="120"/>
        <w:ind w:left="431" w:hanging="431"/>
        <w:rPr>
          <w:rFonts w:ascii="Calibri" w:hAnsi="Calibri"/>
          <w:color w:val="7493B0"/>
          <w:sz w:val="32"/>
          <w:lang w:val="cs-CZ"/>
        </w:rPr>
      </w:pPr>
      <w:bookmarkStart w:id="114" w:name="_Toc43552755"/>
      <w:bookmarkStart w:id="115" w:name="_Toc117270037"/>
      <w:r w:rsidRPr="00004C5C">
        <w:rPr>
          <w:rFonts w:ascii="Calibri" w:hAnsi="Calibri"/>
          <w:color w:val="7493B0"/>
          <w:sz w:val="32"/>
          <w:lang w:val="cs-CZ"/>
        </w:rPr>
        <w:lastRenderedPageBreak/>
        <w:t>Závěr</w:t>
      </w:r>
      <w:bookmarkEnd w:id="114"/>
      <w:bookmarkEnd w:id="115"/>
    </w:p>
    <w:p w14:paraId="2825AF8B" w14:textId="7735BC8C" w:rsidR="00F92C4C" w:rsidRPr="00024FF5" w:rsidRDefault="001E3E3A" w:rsidP="00A066A6">
      <w:pPr>
        <w:pStyle w:val="Zkladntext3"/>
        <w:spacing w:after="0" w:line="360" w:lineRule="auto"/>
        <w:jc w:val="both"/>
        <w:rPr>
          <w:rFonts w:asciiTheme="minorHAnsi" w:eastAsia="Calibri" w:hAnsiTheme="minorHAnsi" w:cstheme="minorHAnsi"/>
          <w:sz w:val="24"/>
          <w:szCs w:val="24"/>
        </w:rPr>
      </w:pPr>
      <w:r w:rsidRPr="00024FF5">
        <w:rPr>
          <w:rFonts w:asciiTheme="minorHAnsi" w:eastAsia="Calibri" w:hAnsiTheme="minorHAnsi" w:cstheme="minorHAnsi"/>
          <w:sz w:val="24"/>
          <w:szCs w:val="24"/>
        </w:rPr>
        <w:t>Rozvoj a prosperita se odvíjí od schopnosti analyzovat problémy a rozhodovat s uvážením všech rizik v dlouhodobém časovém horizontu. Tyto činnosti mohou být usnadněny využitím koncepčních strategických dokumentů, a to ať na úrovni nadnárodní, národní či lokální.</w:t>
      </w:r>
      <w:r w:rsidR="00FA0E46" w:rsidRPr="00024FF5">
        <w:rPr>
          <w:rFonts w:asciiTheme="minorHAnsi" w:eastAsia="Calibri" w:hAnsiTheme="minorHAnsi" w:cstheme="minorHAnsi"/>
          <w:sz w:val="24"/>
          <w:szCs w:val="24"/>
        </w:rPr>
        <w:t xml:space="preserve"> </w:t>
      </w:r>
      <w:r w:rsidR="007F5731">
        <w:rPr>
          <w:rFonts w:asciiTheme="minorHAnsi" w:eastAsia="Calibri" w:hAnsiTheme="minorHAnsi" w:cstheme="minorHAnsi"/>
          <w:sz w:val="24"/>
          <w:szCs w:val="24"/>
        </w:rPr>
        <w:t xml:space="preserve">Veřejné strategie </w:t>
      </w:r>
      <w:r w:rsidR="00FA0E46" w:rsidRPr="00024FF5">
        <w:rPr>
          <w:rFonts w:asciiTheme="minorHAnsi" w:eastAsia="Calibri" w:hAnsiTheme="minorHAnsi" w:cstheme="minorHAnsi"/>
          <w:sz w:val="24"/>
          <w:szCs w:val="24"/>
        </w:rPr>
        <w:t xml:space="preserve"> jsou realizovány z důvodu důkladné analýzy zkoumaného stavu, utřídění priorit a návrhu řešení, což v uceleném pohledu vytvoří jasný koncepční materiál do budoucnosti.</w:t>
      </w:r>
      <w:r w:rsidR="00FE7FEC">
        <w:rPr>
          <w:rFonts w:asciiTheme="minorHAnsi" w:eastAsia="Calibri" w:hAnsiTheme="minorHAnsi" w:cstheme="minorHAnsi"/>
          <w:sz w:val="24"/>
          <w:szCs w:val="24"/>
        </w:rPr>
        <w:t xml:space="preserve"> V tomto smyslu je strategická práce velmi důležitá a má úzké vazby na zdravé finanční řízení.</w:t>
      </w:r>
      <w:r w:rsidR="00FA2629">
        <w:rPr>
          <w:rFonts w:asciiTheme="minorHAnsi" w:eastAsia="Calibri" w:hAnsiTheme="minorHAnsi" w:cstheme="minorHAnsi"/>
          <w:sz w:val="24"/>
          <w:szCs w:val="24"/>
        </w:rPr>
        <w:t xml:space="preserve"> </w:t>
      </w:r>
      <w:r w:rsidR="00D8433F">
        <w:rPr>
          <w:rFonts w:asciiTheme="minorHAnsi" w:eastAsia="Calibri" w:hAnsiTheme="minorHAnsi" w:cstheme="minorHAnsi"/>
          <w:sz w:val="24"/>
          <w:szCs w:val="24"/>
        </w:rPr>
        <w:t>Strategie</w:t>
      </w:r>
      <w:r w:rsidR="00FA2629">
        <w:rPr>
          <w:rFonts w:asciiTheme="minorHAnsi" w:eastAsia="Calibri" w:hAnsiTheme="minorHAnsi" w:cstheme="minorHAnsi"/>
          <w:sz w:val="24"/>
          <w:szCs w:val="24"/>
        </w:rPr>
        <w:t xml:space="preserve"> by neměl</w:t>
      </w:r>
      <w:r w:rsidR="00D8433F">
        <w:rPr>
          <w:rFonts w:asciiTheme="minorHAnsi" w:eastAsia="Calibri" w:hAnsiTheme="minorHAnsi" w:cstheme="minorHAnsi"/>
          <w:sz w:val="24"/>
          <w:szCs w:val="24"/>
        </w:rPr>
        <w:t>a</w:t>
      </w:r>
      <w:r w:rsidR="00FA2629">
        <w:rPr>
          <w:rFonts w:asciiTheme="minorHAnsi" w:eastAsia="Calibri" w:hAnsiTheme="minorHAnsi" w:cstheme="minorHAnsi"/>
          <w:sz w:val="24"/>
          <w:szCs w:val="24"/>
        </w:rPr>
        <w:t xml:space="preserve"> být souborem toho, „co by se udělat mohlo“, ale toho, co vyžaduje společenská potřeba a současně je z hlediska dostupných zdrojů finančně </w:t>
      </w:r>
      <w:r w:rsidR="007D6377">
        <w:rPr>
          <w:rFonts w:asciiTheme="minorHAnsi" w:eastAsia="Calibri" w:hAnsiTheme="minorHAnsi" w:cstheme="minorHAnsi"/>
          <w:sz w:val="24"/>
          <w:szCs w:val="24"/>
        </w:rPr>
        <w:t xml:space="preserve">zvládnutelné a </w:t>
      </w:r>
      <w:r w:rsidR="00FA2629">
        <w:rPr>
          <w:rFonts w:asciiTheme="minorHAnsi" w:eastAsia="Calibri" w:hAnsiTheme="minorHAnsi" w:cstheme="minorHAnsi"/>
          <w:sz w:val="24"/>
          <w:szCs w:val="24"/>
        </w:rPr>
        <w:t>udržitelné.</w:t>
      </w:r>
      <w:r w:rsidR="007D6377">
        <w:rPr>
          <w:rFonts w:asciiTheme="minorHAnsi" w:eastAsia="Calibri" w:hAnsiTheme="minorHAnsi" w:cstheme="minorHAnsi"/>
          <w:sz w:val="24"/>
          <w:szCs w:val="24"/>
        </w:rPr>
        <w:t xml:space="preserve"> </w:t>
      </w:r>
      <w:r w:rsidR="00FA2629">
        <w:rPr>
          <w:rFonts w:asciiTheme="minorHAnsi" w:eastAsia="Calibri" w:hAnsiTheme="minorHAnsi" w:cstheme="minorHAnsi"/>
          <w:sz w:val="24"/>
          <w:szCs w:val="24"/>
        </w:rPr>
        <w:t>Důležitý</w:t>
      </w:r>
      <w:r w:rsidR="00FA0E46" w:rsidRPr="00024FF5">
        <w:rPr>
          <w:rFonts w:asciiTheme="minorHAnsi" w:eastAsia="Calibri" w:hAnsiTheme="minorHAnsi" w:cstheme="minorHAnsi"/>
          <w:sz w:val="24"/>
          <w:szCs w:val="24"/>
        </w:rPr>
        <w:t xml:space="preserve"> je ekonomický zájem</w:t>
      </w:r>
      <w:r w:rsidR="00BD17BC" w:rsidRPr="00024FF5">
        <w:rPr>
          <w:rFonts w:asciiTheme="minorHAnsi" w:eastAsia="Calibri" w:hAnsiTheme="minorHAnsi" w:cstheme="minorHAnsi"/>
          <w:sz w:val="24"/>
          <w:szCs w:val="24"/>
        </w:rPr>
        <w:t xml:space="preserve"> </w:t>
      </w:r>
      <w:r w:rsidR="00FE7FEC">
        <w:rPr>
          <w:rFonts w:asciiTheme="minorHAnsi" w:eastAsia="Calibri" w:hAnsiTheme="minorHAnsi" w:cstheme="minorHAnsi"/>
          <w:sz w:val="24"/>
          <w:szCs w:val="24"/>
        </w:rPr>
        <w:t>dané</w:t>
      </w:r>
      <w:r w:rsidR="00FA0E46" w:rsidRPr="00024FF5">
        <w:rPr>
          <w:rFonts w:asciiTheme="minorHAnsi" w:eastAsia="Calibri" w:hAnsiTheme="minorHAnsi" w:cstheme="minorHAnsi"/>
          <w:sz w:val="24"/>
          <w:szCs w:val="24"/>
        </w:rPr>
        <w:t xml:space="preserve"> </w:t>
      </w:r>
      <w:r w:rsidR="00FE7FEC">
        <w:rPr>
          <w:rFonts w:asciiTheme="minorHAnsi" w:eastAsia="Calibri" w:hAnsiTheme="minorHAnsi" w:cstheme="minorHAnsi"/>
          <w:sz w:val="24"/>
          <w:szCs w:val="24"/>
        </w:rPr>
        <w:t>instituce (z hlediska zaměření tohoto materiálu například obce)</w:t>
      </w:r>
      <w:r w:rsidR="00FA0E46" w:rsidRPr="00024FF5">
        <w:rPr>
          <w:rFonts w:asciiTheme="minorHAnsi" w:eastAsia="Calibri" w:hAnsiTheme="minorHAnsi" w:cstheme="minorHAnsi"/>
          <w:sz w:val="24"/>
          <w:szCs w:val="24"/>
        </w:rPr>
        <w:t xml:space="preserve">, </w:t>
      </w:r>
      <w:r w:rsidR="00BD17BC" w:rsidRPr="00024FF5">
        <w:rPr>
          <w:rFonts w:asciiTheme="minorHAnsi" w:eastAsia="Calibri" w:hAnsiTheme="minorHAnsi" w:cstheme="minorHAnsi"/>
          <w:sz w:val="24"/>
          <w:szCs w:val="24"/>
        </w:rPr>
        <w:t xml:space="preserve">který předpokládá efektivní využívání finančních prostředků, jimiž disponuje. Aby však byl tento předpoklad naplněn, musí dojít k efektivnímu provázání strategických aktivit a finančních možností </w:t>
      </w:r>
      <w:r w:rsidR="00FE7FEC">
        <w:rPr>
          <w:rFonts w:asciiTheme="minorHAnsi" w:eastAsia="Calibri" w:hAnsiTheme="minorHAnsi" w:cstheme="minorHAnsi"/>
          <w:sz w:val="24"/>
          <w:szCs w:val="24"/>
        </w:rPr>
        <w:t>instituce</w:t>
      </w:r>
      <w:r w:rsidR="00BD17BC" w:rsidRPr="00024FF5">
        <w:rPr>
          <w:rFonts w:asciiTheme="minorHAnsi" w:eastAsia="Calibri" w:hAnsiTheme="minorHAnsi" w:cstheme="minorHAnsi"/>
          <w:sz w:val="24"/>
          <w:szCs w:val="24"/>
        </w:rPr>
        <w:t xml:space="preserve"> tak, aby bylo </w:t>
      </w:r>
      <w:r w:rsidR="00E12387" w:rsidRPr="00024FF5">
        <w:rPr>
          <w:rFonts w:asciiTheme="minorHAnsi" w:eastAsia="Calibri" w:hAnsiTheme="minorHAnsi" w:cstheme="minorHAnsi"/>
          <w:sz w:val="24"/>
          <w:szCs w:val="24"/>
        </w:rPr>
        <w:t>předem definováno</w:t>
      </w:r>
      <w:r w:rsidR="00BD17BC" w:rsidRPr="00024FF5">
        <w:rPr>
          <w:rFonts w:asciiTheme="minorHAnsi" w:eastAsia="Calibri" w:hAnsiTheme="minorHAnsi" w:cstheme="minorHAnsi"/>
          <w:sz w:val="24"/>
          <w:szCs w:val="24"/>
        </w:rPr>
        <w:t xml:space="preserve">, jaký mají jednotlivé plánované aktivity alokovaný objem prostředků, jaký je </w:t>
      </w:r>
      <w:r w:rsidR="00E12387" w:rsidRPr="00024FF5">
        <w:rPr>
          <w:rFonts w:asciiTheme="minorHAnsi" w:eastAsia="Calibri" w:hAnsiTheme="minorHAnsi" w:cstheme="minorHAnsi"/>
          <w:sz w:val="24"/>
          <w:szCs w:val="24"/>
        </w:rPr>
        <w:t>jejich zdroj, časový rám</w:t>
      </w:r>
      <w:r w:rsidR="00262014" w:rsidRPr="00024FF5">
        <w:rPr>
          <w:rFonts w:asciiTheme="minorHAnsi" w:eastAsia="Calibri" w:hAnsiTheme="minorHAnsi" w:cstheme="minorHAnsi"/>
          <w:sz w:val="24"/>
          <w:szCs w:val="24"/>
        </w:rPr>
        <w:t>ec</w:t>
      </w:r>
      <w:r w:rsidR="000946E6">
        <w:rPr>
          <w:rFonts w:asciiTheme="minorHAnsi" w:eastAsia="Calibri" w:hAnsiTheme="minorHAnsi" w:cstheme="minorHAnsi"/>
          <w:sz w:val="24"/>
          <w:szCs w:val="24"/>
        </w:rPr>
        <w:t xml:space="preserve"> čerpání a podobně. </w:t>
      </w:r>
      <w:r w:rsidR="003D0B86" w:rsidRPr="00024FF5">
        <w:rPr>
          <w:rFonts w:asciiTheme="minorHAnsi" w:eastAsia="Calibri" w:hAnsiTheme="minorHAnsi" w:cstheme="minorHAnsi"/>
          <w:sz w:val="24"/>
          <w:szCs w:val="24"/>
        </w:rPr>
        <w:t>P</w:t>
      </w:r>
      <w:r w:rsidR="00F92C4C" w:rsidRPr="00024FF5">
        <w:rPr>
          <w:rFonts w:asciiTheme="minorHAnsi" w:eastAsia="Calibri" w:hAnsiTheme="minorHAnsi" w:cstheme="minorHAnsi"/>
          <w:sz w:val="24"/>
          <w:szCs w:val="24"/>
        </w:rPr>
        <w:t xml:space="preserve">rovázání strategických dokumentů s rozpočtem </w:t>
      </w:r>
      <w:r w:rsidR="003D0B86" w:rsidRPr="00024FF5">
        <w:rPr>
          <w:rFonts w:asciiTheme="minorHAnsi" w:eastAsia="Calibri" w:hAnsiTheme="minorHAnsi" w:cstheme="minorHAnsi"/>
          <w:sz w:val="24"/>
          <w:szCs w:val="24"/>
        </w:rPr>
        <w:t xml:space="preserve">je v prostředí České republiky </w:t>
      </w:r>
      <w:r w:rsidR="00F92C4C" w:rsidRPr="00024FF5">
        <w:rPr>
          <w:rFonts w:asciiTheme="minorHAnsi" w:eastAsia="Calibri" w:hAnsiTheme="minorHAnsi" w:cstheme="minorHAnsi"/>
          <w:sz w:val="24"/>
          <w:szCs w:val="24"/>
        </w:rPr>
        <w:t>problematickou oblastí. Před</w:t>
      </w:r>
      <w:r w:rsidR="0034111B" w:rsidRPr="00024FF5">
        <w:rPr>
          <w:rFonts w:asciiTheme="minorHAnsi" w:eastAsia="Calibri" w:hAnsiTheme="minorHAnsi" w:cstheme="minorHAnsi"/>
          <w:sz w:val="24"/>
          <w:szCs w:val="24"/>
        </w:rPr>
        <w:t>kládan</w:t>
      </w:r>
      <w:r w:rsidR="004F0E1D">
        <w:rPr>
          <w:rFonts w:asciiTheme="minorHAnsi" w:eastAsia="Calibri" w:hAnsiTheme="minorHAnsi" w:cstheme="minorHAnsi"/>
          <w:sz w:val="24"/>
          <w:szCs w:val="24"/>
        </w:rPr>
        <w:t>ý</w:t>
      </w:r>
      <w:r w:rsidR="00F92C4C" w:rsidRPr="00024FF5">
        <w:rPr>
          <w:rFonts w:asciiTheme="minorHAnsi" w:eastAsia="Calibri" w:hAnsiTheme="minorHAnsi" w:cstheme="minorHAnsi"/>
          <w:sz w:val="24"/>
          <w:szCs w:val="24"/>
        </w:rPr>
        <w:t xml:space="preserve"> </w:t>
      </w:r>
      <w:r w:rsidR="000946E6">
        <w:rPr>
          <w:rFonts w:asciiTheme="minorHAnsi" w:eastAsia="Calibri" w:hAnsiTheme="minorHAnsi" w:cstheme="minorHAnsi"/>
          <w:sz w:val="24"/>
          <w:szCs w:val="24"/>
        </w:rPr>
        <w:t>odborn</w:t>
      </w:r>
      <w:r w:rsidR="004F0E1D">
        <w:rPr>
          <w:rFonts w:asciiTheme="minorHAnsi" w:eastAsia="Calibri" w:hAnsiTheme="minorHAnsi" w:cstheme="minorHAnsi"/>
          <w:sz w:val="24"/>
          <w:szCs w:val="24"/>
        </w:rPr>
        <w:t>ý</w:t>
      </w:r>
      <w:r w:rsidR="000946E6">
        <w:rPr>
          <w:rFonts w:asciiTheme="minorHAnsi" w:eastAsia="Calibri" w:hAnsiTheme="minorHAnsi" w:cstheme="minorHAnsi"/>
          <w:sz w:val="24"/>
          <w:szCs w:val="24"/>
        </w:rPr>
        <w:t xml:space="preserve"> </w:t>
      </w:r>
      <w:r w:rsidR="004F0E1D">
        <w:rPr>
          <w:rFonts w:asciiTheme="minorHAnsi" w:eastAsia="Calibri" w:hAnsiTheme="minorHAnsi" w:cstheme="minorHAnsi"/>
          <w:sz w:val="24"/>
          <w:szCs w:val="24"/>
        </w:rPr>
        <w:t>text</w:t>
      </w:r>
      <w:r w:rsidR="0034111B" w:rsidRPr="00024FF5">
        <w:rPr>
          <w:rFonts w:asciiTheme="minorHAnsi" w:eastAsia="Calibri" w:hAnsiTheme="minorHAnsi" w:cstheme="minorHAnsi"/>
          <w:sz w:val="24"/>
          <w:szCs w:val="24"/>
        </w:rPr>
        <w:t xml:space="preserve"> je analytickým dokumentem, jehož cílem je identifikovat hlavní bariéry v této oblasti a s využitím </w:t>
      </w:r>
      <w:r w:rsidR="00F92C4C" w:rsidRPr="00024FF5">
        <w:rPr>
          <w:rFonts w:asciiTheme="minorHAnsi" w:eastAsia="Calibri" w:hAnsiTheme="minorHAnsi" w:cstheme="minorHAnsi"/>
          <w:sz w:val="24"/>
          <w:szCs w:val="24"/>
        </w:rPr>
        <w:t>praktických příkladů, případových studií a metodických doporučení</w:t>
      </w:r>
      <w:r w:rsidR="00FE7FEC">
        <w:rPr>
          <w:rFonts w:asciiTheme="minorHAnsi" w:eastAsia="Calibri" w:hAnsiTheme="minorHAnsi" w:cstheme="minorHAnsi"/>
          <w:sz w:val="24"/>
          <w:szCs w:val="24"/>
        </w:rPr>
        <w:t>. Též</w:t>
      </w:r>
      <w:r w:rsidR="00F92C4C" w:rsidRPr="00024FF5">
        <w:rPr>
          <w:rFonts w:asciiTheme="minorHAnsi" w:eastAsia="Calibri" w:hAnsiTheme="minorHAnsi" w:cstheme="minorHAnsi"/>
          <w:sz w:val="24"/>
          <w:szCs w:val="24"/>
        </w:rPr>
        <w:t xml:space="preserve"> si klade </w:t>
      </w:r>
      <w:r w:rsidR="00262014" w:rsidRPr="00024FF5">
        <w:rPr>
          <w:rFonts w:asciiTheme="minorHAnsi" w:eastAsia="Calibri" w:hAnsiTheme="minorHAnsi" w:cstheme="minorHAnsi"/>
          <w:sz w:val="24"/>
          <w:szCs w:val="24"/>
        </w:rPr>
        <w:t xml:space="preserve">za cíl </w:t>
      </w:r>
      <w:r w:rsidR="0034111B" w:rsidRPr="00024FF5">
        <w:rPr>
          <w:rFonts w:asciiTheme="minorHAnsi" w:eastAsia="Calibri" w:hAnsiTheme="minorHAnsi" w:cstheme="minorHAnsi"/>
          <w:sz w:val="24"/>
          <w:szCs w:val="24"/>
        </w:rPr>
        <w:t xml:space="preserve">zefektivnit </w:t>
      </w:r>
      <w:r w:rsidR="00F92C4C" w:rsidRPr="00024FF5">
        <w:rPr>
          <w:rFonts w:asciiTheme="minorHAnsi" w:eastAsia="Calibri" w:hAnsiTheme="minorHAnsi" w:cstheme="minorHAnsi"/>
          <w:sz w:val="24"/>
          <w:szCs w:val="24"/>
        </w:rPr>
        <w:t>finanční řízení ve vazbě na strategickou práci</w:t>
      </w:r>
      <w:r w:rsidR="00262014" w:rsidRPr="00024FF5">
        <w:rPr>
          <w:rFonts w:asciiTheme="minorHAnsi" w:eastAsia="Calibri" w:hAnsiTheme="minorHAnsi" w:cstheme="minorHAnsi"/>
          <w:sz w:val="24"/>
          <w:szCs w:val="24"/>
        </w:rPr>
        <w:t>.</w:t>
      </w:r>
    </w:p>
    <w:p w14:paraId="1EE60B3D" w14:textId="77777777" w:rsidR="00024FF5" w:rsidRDefault="00024FF5" w:rsidP="004E3B20">
      <w:pPr>
        <w:pStyle w:val="A1-text"/>
        <w:spacing w:after="0"/>
        <w:rPr>
          <w:rFonts w:ascii="Calibri" w:hAnsi="Calibri" w:cs="Calibri"/>
        </w:rPr>
      </w:pPr>
    </w:p>
    <w:p w14:paraId="438CAAC7" w14:textId="311E2A5C" w:rsidR="004E3B20" w:rsidRPr="00735B78" w:rsidRDefault="004E3B20" w:rsidP="004E3B20">
      <w:pPr>
        <w:pStyle w:val="A1-text"/>
        <w:rPr>
          <w:lang w:val="cs-CZ" w:eastAsia="cs-CZ"/>
        </w:rPr>
      </w:pPr>
      <w:r w:rsidRPr="00D85AC5">
        <w:rPr>
          <w:rFonts w:ascii="Calibri" w:hAnsi="Calibri" w:cs="Calibri"/>
        </w:rPr>
        <w:t xml:space="preserve">Nástroj (tento text </w:t>
      </w:r>
      <w:r w:rsidR="00D7440D">
        <w:rPr>
          <w:rFonts w:ascii="Calibri" w:hAnsi="Calibri" w:cs="Calibri"/>
          <w:lang w:val="cs-CZ"/>
        </w:rPr>
        <w:t xml:space="preserve">a </w:t>
      </w:r>
      <w:r w:rsidRPr="00D85AC5">
        <w:rPr>
          <w:rFonts w:ascii="Calibri" w:hAnsi="Calibri" w:cs="Calibri"/>
        </w:rPr>
        <w:t>video přednášk</w:t>
      </w:r>
      <w:r w:rsidR="00D7440D">
        <w:rPr>
          <w:rFonts w:ascii="Calibri" w:hAnsi="Calibri" w:cs="Calibri"/>
          <w:lang w:val="cs-CZ"/>
        </w:rPr>
        <w:t>a</w:t>
      </w:r>
      <w:r w:rsidRPr="00D85AC5">
        <w:rPr>
          <w:rFonts w:ascii="Calibri" w:hAnsi="Calibri" w:cs="Calibri"/>
        </w:rPr>
        <w:t>) je dostupný na stránkách projektu „Podpora strategického řízení a plánování ve veřejné správě ČR s důrazem na rozšiřování metod, nástrojů, inovací, znalostí a zkušeností v praxi“</w:t>
      </w:r>
      <w:r w:rsidRPr="00D85AC5">
        <w:rPr>
          <w:rStyle w:val="Znakapoznpodarou"/>
          <w:rFonts w:ascii="Calibri" w:hAnsi="Calibri" w:cs="Calibri"/>
        </w:rPr>
        <w:footnoteReference w:id="77"/>
      </w:r>
      <w:r w:rsidRPr="00D85AC5">
        <w:rPr>
          <w:rFonts w:ascii="Calibri" w:hAnsi="Calibri" w:cs="Calibri"/>
        </w:rPr>
        <w:t xml:space="preserve">. Na těchto stránkách jsou k dispozici také další nástroje pro strategickou práci zpracované v rámci metodické podpory a poradenství (například </w:t>
      </w:r>
      <w:r w:rsidR="00D7440D">
        <w:rPr>
          <w:rFonts w:ascii="Calibri" w:hAnsi="Calibri" w:cs="Calibri"/>
          <w:lang w:val="cs-CZ"/>
        </w:rPr>
        <w:t xml:space="preserve">SWOT, </w:t>
      </w:r>
      <w:r w:rsidRPr="00D85AC5">
        <w:rPr>
          <w:rFonts w:ascii="Calibri" w:hAnsi="Calibri" w:cs="Calibri"/>
        </w:rPr>
        <w:t xml:space="preserve">analýza rizik, </w:t>
      </w:r>
      <w:r w:rsidR="00D7440D">
        <w:rPr>
          <w:rFonts w:ascii="Calibri" w:hAnsi="Calibri" w:cs="Calibri"/>
          <w:lang w:val="cs-CZ"/>
        </w:rPr>
        <w:t xml:space="preserve">využívání příležitostí, </w:t>
      </w:r>
      <w:r w:rsidRPr="00D85AC5">
        <w:rPr>
          <w:rFonts w:ascii="Calibri" w:hAnsi="Calibri" w:cs="Calibri"/>
        </w:rPr>
        <w:t>komunikace a marketing</w:t>
      </w:r>
      <w:r w:rsidR="00D95809">
        <w:rPr>
          <w:rFonts w:ascii="Calibri" w:hAnsi="Calibri" w:cs="Calibri"/>
          <w:lang w:val="cs-CZ"/>
        </w:rPr>
        <w:t>, rozhodování a strategický přístup</w:t>
      </w:r>
      <w:r w:rsidRPr="00D85AC5">
        <w:rPr>
          <w:rFonts w:ascii="Calibri" w:hAnsi="Calibri" w:cs="Calibri"/>
        </w:rPr>
        <w:t>).</w:t>
      </w:r>
    </w:p>
    <w:p w14:paraId="562BC1DC" w14:textId="7DFD8A51" w:rsidR="00F57742" w:rsidRDefault="00F57742" w:rsidP="000A4999">
      <w:pPr>
        <w:tabs>
          <w:tab w:val="num" w:pos="720"/>
        </w:tabs>
        <w:spacing w:after="120"/>
        <w:jc w:val="both"/>
        <w:rPr>
          <w:rFonts w:ascii="Calibri" w:hAnsi="Calibri" w:cs="Calibri"/>
        </w:rPr>
      </w:pPr>
    </w:p>
    <w:p w14:paraId="49BBBA70" w14:textId="77777777" w:rsidR="00FD1F08" w:rsidRDefault="00FD1F08">
      <w:pPr>
        <w:spacing w:after="160" w:line="259" w:lineRule="auto"/>
        <w:rPr>
          <w:rFonts w:ascii="Calibri" w:hAnsi="Calibri" w:cs="Calibri"/>
          <w:b/>
          <w:bCs/>
          <w:caps/>
          <w:color w:val="7493B0"/>
          <w:sz w:val="32"/>
          <w:szCs w:val="32"/>
        </w:rPr>
      </w:pPr>
      <w:bookmarkStart w:id="116" w:name="_Toc42889323"/>
      <w:r>
        <w:rPr>
          <w:rFonts w:ascii="Calibri" w:hAnsi="Calibri" w:cs="Calibri"/>
          <w:caps/>
          <w:color w:val="7493B0"/>
          <w:sz w:val="32"/>
          <w:szCs w:val="32"/>
        </w:rPr>
        <w:br w:type="page"/>
      </w:r>
    </w:p>
    <w:p w14:paraId="01E77AF1" w14:textId="1D25AF1D" w:rsidR="00D03F2C" w:rsidRPr="00D03F2C" w:rsidRDefault="00D03F2C" w:rsidP="00D03F2C">
      <w:pPr>
        <w:pStyle w:val="Nadpis1"/>
        <w:numPr>
          <w:ilvl w:val="0"/>
          <w:numId w:val="0"/>
        </w:numPr>
        <w:ind w:left="432" w:hanging="432"/>
        <w:rPr>
          <w:rFonts w:ascii="Calibri" w:hAnsi="Calibri" w:cs="Calibri"/>
          <w:caps/>
          <w:color w:val="7493B0"/>
          <w:sz w:val="32"/>
          <w:szCs w:val="32"/>
          <w:lang w:val="cs-CZ"/>
        </w:rPr>
      </w:pPr>
      <w:bookmarkStart w:id="117" w:name="_Toc117270038"/>
      <w:r w:rsidRPr="00D03F2C">
        <w:rPr>
          <w:rFonts w:ascii="Calibri" w:hAnsi="Calibri" w:cs="Calibri"/>
          <w:caps/>
          <w:color w:val="7493B0"/>
          <w:sz w:val="32"/>
          <w:szCs w:val="32"/>
          <w:lang w:val="cs-CZ"/>
        </w:rPr>
        <w:lastRenderedPageBreak/>
        <w:t>Přílohy</w:t>
      </w:r>
      <w:bookmarkEnd w:id="116"/>
      <w:bookmarkEnd w:id="117"/>
      <w:r w:rsidRPr="00D03F2C">
        <w:rPr>
          <w:rFonts w:ascii="Calibri" w:hAnsi="Calibri" w:cs="Calibri"/>
          <w:caps/>
          <w:color w:val="7493B0"/>
          <w:sz w:val="32"/>
          <w:szCs w:val="32"/>
          <w:lang w:val="cs-CZ"/>
        </w:rPr>
        <w:t xml:space="preserve"> </w:t>
      </w:r>
    </w:p>
    <w:p w14:paraId="3686FDC6" w14:textId="5ACB9915" w:rsidR="00212428" w:rsidRPr="00212428" w:rsidRDefault="00D03F2C" w:rsidP="00212428">
      <w:pPr>
        <w:pStyle w:val="Nadpis2"/>
        <w:numPr>
          <w:ilvl w:val="0"/>
          <w:numId w:val="0"/>
        </w:numPr>
        <w:spacing w:before="120" w:after="240"/>
        <w:rPr>
          <w:rFonts w:asciiTheme="minorHAnsi" w:hAnsiTheme="minorHAnsi" w:cstheme="minorHAnsi"/>
          <w:color w:val="7493B0"/>
          <w:sz w:val="24"/>
          <w:szCs w:val="24"/>
          <w:lang w:val="cs-CZ"/>
        </w:rPr>
      </w:pPr>
      <w:bookmarkStart w:id="118" w:name="_Toc42889324"/>
      <w:bookmarkStart w:id="119" w:name="_Toc117270039"/>
      <w:r w:rsidRPr="00F57742">
        <w:rPr>
          <w:rFonts w:asciiTheme="minorHAnsi" w:hAnsiTheme="minorHAnsi" w:cstheme="minorHAnsi"/>
          <w:color w:val="7493B0"/>
          <w:sz w:val="24"/>
          <w:szCs w:val="24"/>
          <w:lang w:val="cs-CZ"/>
        </w:rPr>
        <w:t>Příloha č. 1</w:t>
      </w:r>
      <w:bookmarkEnd w:id="118"/>
      <w:r w:rsidR="007A409F">
        <w:rPr>
          <w:rFonts w:asciiTheme="minorHAnsi" w:hAnsiTheme="minorHAnsi" w:cstheme="minorHAnsi"/>
          <w:color w:val="7493B0"/>
          <w:sz w:val="24"/>
          <w:szCs w:val="24"/>
          <w:lang w:val="cs-CZ"/>
        </w:rPr>
        <w:t xml:space="preserve">: </w:t>
      </w:r>
      <w:r w:rsidRPr="007A409F">
        <w:rPr>
          <w:rFonts w:asciiTheme="minorHAnsi" w:hAnsiTheme="minorHAnsi" w:cstheme="minorHAnsi"/>
          <w:color w:val="7493B0"/>
          <w:sz w:val="24"/>
          <w:szCs w:val="24"/>
          <w:lang w:val="cs-CZ"/>
        </w:rPr>
        <w:t xml:space="preserve">Prezentace: </w:t>
      </w:r>
      <w:r w:rsidR="00212428" w:rsidRPr="00212428">
        <w:rPr>
          <w:rFonts w:asciiTheme="minorHAnsi" w:hAnsiTheme="minorHAnsi" w:cstheme="minorHAnsi"/>
          <w:color w:val="7493B0"/>
          <w:sz w:val="24"/>
          <w:szCs w:val="24"/>
          <w:lang w:val="cs-CZ"/>
        </w:rPr>
        <w:t xml:space="preserve">Zdravé finanční řízení </w:t>
      </w:r>
      <w:r w:rsidR="00B709F5">
        <w:rPr>
          <w:rFonts w:asciiTheme="minorHAnsi" w:hAnsiTheme="minorHAnsi" w:cstheme="minorHAnsi"/>
          <w:color w:val="7493B0"/>
          <w:sz w:val="24"/>
          <w:szCs w:val="24"/>
          <w:lang w:val="cs-CZ"/>
        </w:rPr>
        <w:t xml:space="preserve">ve </w:t>
      </w:r>
      <w:r w:rsidR="00212428" w:rsidRPr="00212428">
        <w:rPr>
          <w:rFonts w:asciiTheme="minorHAnsi" w:hAnsiTheme="minorHAnsi" w:cstheme="minorHAnsi"/>
          <w:color w:val="7493B0"/>
          <w:sz w:val="24"/>
          <w:szCs w:val="24"/>
          <w:lang w:val="cs-CZ"/>
        </w:rPr>
        <w:t>vazbě na strategickou práci</w:t>
      </w:r>
      <w:bookmarkEnd w:id="119"/>
    </w:p>
    <w:p w14:paraId="0952F454" w14:textId="1DB83ACF" w:rsidR="00212428" w:rsidRPr="00212428" w:rsidRDefault="00D03F2C" w:rsidP="00212428">
      <w:pPr>
        <w:pStyle w:val="Nadpis2"/>
        <w:numPr>
          <w:ilvl w:val="0"/>
          <w:numId w:val="0"/>
        </w:numPr>
        <w:spacing w:before="120" w:after="240"/>
        <w:rPr>
          <w:rFonts w:asciiTheme="minorHAnsi" w:hAnsiTheme="minorHAnsi" w:cstheme="minorHAnsi"/>
          <w:color w:val="7493B0"/>
          <w:sz w:val="24"/>
          <w:szCs w:val="24"/>
          <w:lang w:val="cs-CZ"/>
        </w:rPr>
      </w:pPr>
      <w:bookmarkStart w:id="120" w:name="_Toc42889325"/>
      <w:bookmarkStart w:id="121" w:name="_Toc117270040"/>
      <w:r w:rsidRPr="00F57742">
        <w:rPr>
          <w:rFonts w:asciiTheme="minorHAnsi" w:hAnsiTheme="minorHAnsi" w:cstheme="minorHAnsi"/>
          <w:color w:val="7493B0"/>
          <w:sz w:val="24"/>
          <w:szCs w:val="24"/>
          <w:lang w:val="cs-CZ"/>
        </w:rPr>
        <w:t>Příloha č. 2</w:t>
      </w:r>
      <w:bookmarkEnd w:id="120"/>
      <w:r w:rsidR="007A409F">
        <w:rPr>
          <w:rFonts w:asciiTheme="minorHAnsi" w:hAnsiTheme="minorHAnsi" w:cstheme="minorHAnsi"/>
          <w:color w:val="7493B0"/>
          <w:sz w:val="24"/>
          <w:szCs w:val="24"/>
          <w:lang w:val="cs-CZ"/>
        </w:rPr>
        <w:t xml:space="preserve">: </w:t>
      </w:r>
      <w:r w:rsidRPr="007A409F">
        <w:rPr>
          <w:rFonts w:asciiTheme="minorHAnsi" w:hAnsiTheme="minorHAnsi" w:cstheme="minorHAnsi"/>
          <w:color w:val="7493B0"/>
          <w:sz w:val="24"/>
          <w:szCs w:val="24"/>
          <w:lang w:val="cs-CZ"/>
        </w:rPr>
        <w:t xml:space="preserve">Video </w:t>
      </w:r>
      <w:r w:rsidR="00304DE6">
        <w:rPr>
          <w:rFonts w:asciiTheme="minorHAnsi" w:hAnsiTheme="minorHAnsi" w:cstheme="minorHAnsi"/>
          <w:color w:val="7493B0"/>
          <w:sz w:val="24"/>
          <w:szCs w:val="24"/>
          <w:lang w:val="cs-CZ"/>
        </w:rPr>
        <w:t>přednáška</w:t>
      </w:r>
      <w:r w:rsidRPr="007A409F">
        <w:rPr>
          <w:rFonts w:asciiTheme="minorHAnsi" w:hAnsiTheme="minorHAnsi" w:cstheme="minorHAnsi"/>
          <w:color w:val="7493B0"/>
          <w:sz w:val="24"/>
          <w:szCs w:val="24"/>
          <w:lang w:val="cs-CZ"/>
        </w:rPr>
        <w:t xml:space="preserve">: </w:t>
      </w:r>
      <w:r w:rsidR="00212428" w:rsidRPr="00212428">
        <w:rPr>
          <w:rFonts w:asciiTheme="minorHAnsi" w:hAnsiTheme="minorHAnsi" w:cstheme="minorHAnsi"/>
          <w:color w:val="7493B0"/>
          <w:sz w:val="24"/>
          <w:szCs w:val="24"/>
          <w:lang w:val="cs-CZ"/>
        </w:rPr>
        <w:t xml:space="preserve">Zdravé finanční řízení </w:t>
      </w:r>
      <w:r w:rsidR="00B709F5">
        <w:rPr>
          <w:rFonts w:asciiTheme="minorHAnsi" w:hAnsiTheme="minorHAnsi" w:cstheme="minorHAnsi"/>
          <w:color w:val="7493B0"/>
          <w:sz w:val="24"/>
          <w:szCs w:val="24"/>
          <w:lang w:val="cs-CZ"/>
        </w:rPr>
        <w:t xml:space="preserve">ve </w:t>
      </w:r>
      <w:r w:rsidR="00212428" w:rsidRPr="00212428">
        <w:rPr>
          <w:rFonts w:asciiTheme="minorHAnsi" w:hAnsiTheme="minorHAnsi" w:cstheme="minorHAnsi"/>
          <w:color w:val="7493B0"/>
          <w:sz w:val="24"/>
          <w:szCs w:val="24"/>
          <w:lang w:val="cs-CZ"/>
        </w:rPr>
        <w:t>vazbě na strategickou práci</w:t>
      </w:r>
      <w:bookmarkEnd w:id="121"/>
    </w:p>
    <w:p w14:paraId="5006B040" w14:textId="77777777" w:rsidR="00CA09E7" w:rsidRDefault="00CA09E7" w:rsidP="00CA09E7"/>
    <w:p w14:paraId="74EE6B1D" w14:textId="306868DB" w:rsidR="000A4999" w:rsidRPr="00401649" w:rsidRDefault="000A4999" w:rsidP="000A4999">
      <w:pPr>
        <w:pStyle w:val="Nadpis1"/>
        <w:numPr>
          <w:ilvl w:val="0"/>
          <w:numId w:val="0"/>
        </w:numPr>
        <w:ind w:left="432" w:hanging="432"/>
        <w:rPr>
          <w:rFonts w:ascii="Calibri" w:hAnsi="Calibri" w:cs="Calibri"/>
          <w:caps/>
          <w:color w:val="7493B0"/>
          <w:sz w:val="32"/>
          <w:szCs w:val="32"/>
          <w:lang w:val="cs-CZ"/>
        </w:rPr>
      </w:pPr>
      <w:bookmarkStart w:id="122" w:name="_Toc43552756"/>
      <w:bookmarkStart w:id="123" w:name="_Toc117270041"/>
      <w:r w:rsidRPr="00401649">
        <w:rPr>
          <w:rFonts w:ascii="Calibri" w:hAnsi="Calibri" w:cs="Calibri"/>
          <w:caps/>
          <w:color w:val="7493B0"/>
          <w:sz w:val="32"/>
          <w:szCs w:val="32"/>
          <w:lang w:val="cs-CZ"/>
        </w:rPr>
        <w:t>Použitá literatura</w:t>
      </w:r>
      <w:bookmarkEnd w:id="122"/>
      <w:bookmarkEnd w:id="123"/>
    </w:p>
    <w:p w14:paraId="6F3883A6"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shd w:val="clear" w:color="auto" w:fill="FFFFFF"/>
        </w:rPr>
        <w:t>ARMSTRONG, M. (2008). </w:t>
      </w:r>
      <w:r w:rsidRPr="006E5E03">
        <w:rPr>
          <w:rFonts w:asciiTheme="minorHAnsi" w:hAnsiTheme="minorHAnsi" w:cstheme="minorHAnsi"/>
          <w:i/>
          <w:iCs/>
          <w:sz w:val="20"/>
          <w:szCs w:val="20"/>
          <w:shd w:val="clear" w:color="auto" w:fill="FFFFFF"/>
        </w:rPr>
        <w:t>Management a leadership</w:t>
      </w:r>
      <w:r w:rsidRPr="006E5E03">
        <w:rPr>
          <w:rFonts w:asciiTheme="minorHAnsi" w:hAnsiTheme="minorHAnsi" w:cstheme="minorHAnsi"/>
          <w:sz w:val="20"/>
          <w:szCs w:val="20"/>
          <w:shd w:val="clear" w:color="auto" w:fill="FFFFFF"/>
        </w:rPr>
        <w:t>. Grada Publishing as.</w:t>
      </w:r>
    </w:p>
    <w:p w14:paraId="661F78B4" w14:textId="77777777" w:rsidR="00A02618" w:rsidRPr="006E5E03" w:rsidRDefault="00A02618" w:rsidP="00A02618">
      <w:pPr>
        <w:spacing w:after="80" w:line="240" w:lineRule="auto"/>
        <w:jc w:val="both"/>
        <w:rPr>
          <w:rFonts w:asciiTheme="minorHAnsi" w:hAnsiTheme="minorHAnsi" w:cstheme="minorHAnsi"/>
          <w:sz w:val="20"/>
          <w:szCs w:val="20"/>
          <w:shd w:val="clear" w:color="auto" w:fill="FFFFFF"/>
        </w:rPr>
      </w:pPr>
      <w:r w:rsidRPr="006E5E03">
        <w:rPr>
          <w:rFonts w:asciiTheme="minorHAnsi" w:hAnsiTheme="minorHAnsi" w:cstheme="minorHAnsi"/>
          <w:sz w:val="20"/>
          <w:szCs w:val="20"/>
          <w:shd w:val="clear" w:color="auto" w:fill="FFFFFF"/>
        </w:rPr>
        <w:t>ARMSTRONG, M. (2012). </w:t>
      </w:r>
      <w:r w:rsidRPr="006E5E03">
        <w:rPr>
          <w:rFonts w:asciiTheme="minorHAnsi" w:hAnsiTheme="minorHAnsi" w:cstheme="minorHAnsi"/>
          <w:i/>
          <w:iCs/>
          <w:sz w:val="20"/>
          <w:szCs w:val="20"/>
          <w:shd w:val="clear" w:color="auto" w:fill="FFFFFF"/>
        </w:rPr>
        <w:t>Armstrong's handbook of management and leadership: developing effective people skills for better leadership and management</w:t>
      </w:r>
      <w:r w:rsidRPr="006E5E03">
        <w:rPr>
          <w:rFonts w:asciiTheme="minorHAnsi" w:hAnsiTheme="minorHAnsi" w:cstheme="minorHAnsi"/>
          <w:sz w:val="20"/>
          <w:szCs w:val="20"/>
          <w:shd w:val="clear" w:color="auto" w:fill="FFFFFF"/>
        </w:rPr>
        <w:t>. Kogan Page Publishers.</w:t>
      </w:r>
    </w:p>
    <w:p w14:paraId="606685E7" w14:textId="77777777" w:rsidR="00A02618" w:rsidRPr="006E5E03" w:rsidRDefault="00A02618" w:rsidP="00A02618">
      <w:pPr>
        <w:spacing w:after="80" w:line="240" w:lineRule="auto"/>
        <w:rPr>
          <w:rFonts w:asciiTheme="minorHAnsi" w:hAnsiTheme="minorHAnsi" w:cstheme="minorHAnsi"/>
          <w:sz w:val="20"/>
          <w:szCs w:val="20"/>
        </w:rPr>
      </w:pPr>
      <w:r w:rsidRPr="006E5E03">
        <w:rPr>
          <w:rFonts w:asciiTheme="minorHAnsi" w:hAnsiTheme="minorHAnsi" w:cstheme="minorHAnsi"/>
          <w:sz w:val="20"/>
          <w:szCs w:val="20"/>
        </w:rPr>
        <w:t>ARMSTRONG, M. (2017). </w:t>
      </w:r>
      <w:r w:rsidRPr="006E5E03">
        <w:rPr>
          <w:rFonts w:asciiTheme="minorHAnsi" w:hAnsiTheme="minorHAnsi" w:cstheme="minorHAnsi"/>
          <w:i/>
          <w:sz w:val="20"/>
          <w:szCs w:val="20"/>
        </w:rPr>
        <w:t>Armstrong on reinventing performance management: Building a culture of continuous improvement.</w:t>
      </w:r>
      <w:r w:rsidRPr="006E5E03">
        <w:rPr>
          <w:rFonts w:asciiTheme="minorHAnsi" w:hAnsiTheme="minorHAnsi" w:cstheme="minorHAnsi"/>
          <w:sz w:val="20"/>
          <w:szCs w:val="20"/>
        </w:rPr>
        <w:t xml:space="preserve"> Kogan Page Publishers.</w:t>
      </w:r>
    </w:p>
    <w:p w14:paraId="582BDA10"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Bartušek, D., Bouchal, P., Janský, P., (2022) </w:t>
      </w:r>
      <w:r w:rsidRPr="006E5E03">
        <w:rPr>
          <w:rFonts w:asciiTheme="minorHAnsi" w:hAnsiTheme="minorHAnsi" w:cstheme="minorHAnsi"/>
          <w:i/>
          <w:iCs/>
          <w:shd w:val="clear" w:color="auto" w:fill="FFFFFF"/>
        </w:rPr>
        <w:t>Státní zaměstnanci a úředníci: kde pracují a za kolik?.</w:t>
      </w:r>
      <w:r w:rsidRPr="006E5E03">
        <w:rPr>
          <w:rFonts w:asciiTheme="minorHAnsi" w:hAnsiTheme="minorHAnsi" w:cstheme="minorHAnsi"/>
          <w:shd w:val="clear" w:color="auto" w:fill="FFFFFF"/>
        </w:rPr>
        <w:t xml:space="preserve"> Praha: Národohospodářský ústav AV ČR.</w:t>
      </w:r>
    </w:p>
    <w:p w14:paraId="25598E47" w14:textId="77777777" w:rsidR="00A02618" w:rsidRPr="006E5E03" w:rsidRDefault="00A02618" w:rsidP="00A02618">
      <w:pPr>
        <w:pStyle w:val="Zkladntext"/>
        <w:shd w:val="clear" w:color="auto" w:fill="FFFFFF"/>
        <w:spacing w:after="80" w:line="240" w:lineRule="auto"/>
        <w:jc w:val="left"/>
        <w:textAlignment w:val="baseline"/>
        <w:rPr>
          <w:rFonts w:asciiTheme="minorHAnsi" w:hAnsiTheme="minorHAnsi" w:cstheme="minorHAnsi"/>
          <w:sz w:val="20"/>
          <w:szCs w:val="16"/>
          <w:lang w:val="cs-CZ"/>
        </w:rPr>
      </w:pPr>
      <w:r w:rsidRPr="006E5E03">
        <w:rPr>
          <w:rFonts w:asciiTheme="minorHAnsi" w:hAnsiTheme="minorHAnsi" w:cstheme="minorHAnsi"/>
          <w:sz w:val="20"/>
          <w:szCs w:val="16"/>
          <w:lang w:val="cs-CZ"/>
        </w:rPr>
        <w:t xml:space="preserve">BERNHARD, O. E. (1990) </w:t>
      </w:r>
      <w:r w:rsidRPr="006E5E03">
        <w:rPr>
          <w:rFonts w:asciiTheme="minorHAnsi" w:hAnsiTheme="minorHAnsi" w:cstheme="minorHAnsi"/>
          <w:i/>
          <w:sz w:val="20"/>
          <w:szCs w:val="16"/>
          <w:lang w:val="cs-CZ"/>
        </w:rPr>
        <w:t>In the Light of Truth</w:t>
      </w:r>
      <w:r w:rsidRPr="006E5E03">
        <w:rPr>
          <w:rFonts w:asciiTheme="minorHAnsi" w:hAnsiTheme="minorHAnsi" w:cstheme="minorHAnsi"/>
          <w:sz w:val="20"/>
          <w:szCs w:val="16"/>
          <w:lang w:val="cs-CZ"/>
        </w:rPr>
        <w:t>. Stuttgart: Stiftung Gralsbotschaft</w:t>
      </w:r>
    </w:p>
    <w:p w14:paraId="77B3F3EF" w14:textId="77777777" w:rsidR="00A02618" w:rsidRPr="006E5E03" w:rsidRDefault="00A02618" w:rsidP="00A02618">
      <w:pPr>
        <w:pStyle w:val="Textpoznpodarou"/>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BOGUSZAK, J., ČAPEK, J., &amp; GERLOCH, A. (2003). </w:t>
      </w:r>
      <w:r w:rsidRPr="006E5E03">
        <w:rPr>
          <w:rFonts w:asciiTheme="minorHAnsi" w:hAnsiTheme="minorHAnsi" w:cstheme="minorHAnsi"/>
          <w:i/>
          <w:shd w:val="clear" w:color="auto" w:fill="FFFFFF"/>
        </w:rPr>
        <w:t>Teorie práva</w:t>
      </w:r>
      <w:r w:rsidRPr="006E5E03">
        <w:rPr>
          <w:rFonts w:asciiTheme="minorHAnsi" w:hAnsiTheme="minorHAnsi" w:cstheme="minorHAnsi"/>
          <w:shd w:val="clear" w:color="auto" w:fill="FFFFFF"/>
        </w:rPr>
        <w:t>. Praha: ASPI Publishing</w:t>
      </w:r>
    </w:p>
    <w:p w14:paraId="4DA2163A" w14:textId="77777777" w:rsidR="00A02618" w:rsidRPr="006E5E03" w:rsidRDefault="00A02618" w:rsidP="00A02618">
      <w:pPr>
        <w:widowControl w:val="0"/>
        <w:autoSpaceDE w:val="0"/>
        <w:autoSpaceDN w:val="0"/>
        <w:adjustRightInd w:val="0"/>
        <w:spacing w:after="80" w:line="240" w:lineRule="auto"/>
        <w:rPr>
          <w:rFonts w:asciiTheme="minorHAnsi" w:hAnsiTheme="minorHAnsi" w:cstheme="minorHAnsi"/>
          <w:sz w:val="20"/>
          <w:szCs w:val="20"/>
        </w:rPr>
      </w:pPr>
      <w:r w:rsidRPr="006E5E03">
        <w:rPr>
          <w:rFonts w:asciiTheme="minorHAnsi" w:hAnsiTheme="minorHAnsi" w:cstheme="minorHAnsi"/>
          <w:sz w:val="20"/>
          <w:szCs w:val="20"/>
        </w:rPr>
        <w:t xml:space="preserve">COVEY, S. R. (1989) </w:t>
      </w:r>
      <w:r w:rsidRPr="006E5E03">
        <w:rPr>
          <w:rFonts w:asciiTheme="minorHAnsi" w:hAnsiTheme="minorHAnsi" w:cstheme="minorHAnsi"/>
          <w:i/>
          <w:sz w:val="20"/>
          <w:szCs w:val="20"/>
        </w:rPr>
        <w:t>7 návyků vůdčích osobností pro úspěšný a harmonický život</w:t>
      </w:r>
      <w:r w:rsidRPr="006E5E03">
        <w:rPr>
          <w:rFonts w:asciiTheme="minorHAnsi" w:hAnsiTheme="minorHAnsi" w:cstheme="minorHAnsi"/>
          <w:sz w:val="20"/>
          <w:szCs w:val="20"/>
        </w:rPr>
        <w:t xml:space="preserve">. Praha: Pragma </w:t>
      </w:r>
    </w:p>
    <w:p w14:paraId="5E3B9964" w14:textId="77777777" w:rsidR="00A02618" w:rsidRPr="006E5E03" w:rsidRDefault="00A02618" w:rsidP="00A02618">
      <w:pPr>
        <w:widowControl w:val="0"/>
        <w:autoSpaceDE w:val="0"/>
        <w:autoSpaceDN w:val="0"/>
        <w:adjustRightInd w:val="0"/>
        <w:spacing w:after="80" w:line="240" w:lineRule="auto"/>
        <w:rPr>
          <w:rFonts w:asciiTheme="minorHAnsi" w:hAnsiTheme="minorHAnsi" w:cstheme="minorHAnsi"/>
          <w:sz w:val="19"/>
          <w:szCs w:val="19"/>
        </w:rPr>
      </w:pPr>
      <w:r w:rsidRPr="006E5E03">
        <w:rPr>
          <w:rFonts w:asciiTheme="minorHAnsi" w:hAnsiTheme="minorHAnsi" w:cstheme="minorHAnsi"/>
          <w:sz w:val="19"/>
          <w:szCs w:val="19"/>
        </w:rPr>
        <w:t xml:space="preserve">COVEY, S. R. (2005) </w:t>
      </w:r>
      <w:r w:rsidRPr="006E5E03">
        <w:rPr>
          <w:rFonts w:asciiTheme="minorHAnsi" w:hAnsiTheme="minorHAnsi" w:cstheme="minorHAnsi"/>
          <w:i/>
          <w:sz w:val="19"/>
          <w:szCs w:val="19"/>
        </w:rPr>
        <w:t>8. návyk. Od efektivnosti k výjimečnosti</w:t>
      </w:r>
      <w:r w:rsidRPr="006E5E03">
        <w:rPr>
          <w:rFonts w:asciiTheme="minorHAnsi" w:hAnsiTheme="minorHAnsi" w:cstheme="minorHAnsi"/>
          <w:sz w:val="19"/>
          <w:szCs w:val="19"/>
        </w:rPr>
        <w:t>. Praha: Management Press</w:t>
      </w:r>
    </w:p>
    <w:p w14:paraId="2F7887DE" w14:textId="77777777" w:rsidR="00A02618" w:rsidRPr="00A563D4" w:rsidRDefault="00A02618" w:rsidP="00A02618">
      <w:pPr>
        <w:spacing w:after="80" w:line="240" w:lineRule="auto"/>
        <w:jc w:val="both"/>
        <w:rPr>
          <w:rStyle w:val="Hypertextovodkaz"/>
        </w:rPr>
      </w:pPr>
      <w:r w:rsidRPr="006E5E03">
        <w:rPr>
          <w:rFonts w:asciiTheme="minorHAnsi" w:hAnsiTheme="minorHAnsi" w:cstheme="minorHAnsi"/>
          <w:sz w:val="20"/>
          <w:szCs w:val="20"/>
        </w:rPr>
        <w:t>Databáze strategií. Dostupné z:</w:t>
      </w:r>
      <w:r w:rsidRPr="006E5E03">
        <w:t xml:space="preserve"> </w:t>
      </w:r>
      <w:hyperlink r:id="rId48" w:history="1">
        <w:r w:rsidRPr="00A563D4">
          <w:rPr>
            <w:rStyle w:val="Hypertextovodkaz"/>
            <w:rFonts w:asciiTheme="minorHAnsi" w:hAnsiTheme="minorHAnsi" w:cstheme="minorHAnsi"/>
            <w:sz w:val="20"/>
            <w:szCs w:val="20"/>
          </w:rPr>
          <w:t>https://www.databaze-strategie.cz/cz/md/strategie/dopravni-politika-ceske-republiky-2021-2027</w:t>
        </w:r>
      </w:hyperlink>
    </w:p>
    <w:p w14:paraId="3E0110C3" w14:textId="77777777" w:rsidR="00A02618" w:rsidRPr="006E5E03" w:rsidRDefault="00A02618" w:rsidP="00A02618">
      <w:pPr>
        <w:autoSpaceDE w:val="0"/>
        <w:spacing w:after="80" w:line="240" w:lineRule="auto"/>
        <w:rPr>
          <w:rFonts w:asciiTheme="minorHAnsi" w:hAnsiTheme="minorHAnsi" w:cstheme="minorHAnsi"/>
          <w:sz w:val="20"/>
          <w:szCs w:val="20"/>
          <w:lang w:eastAsia="x-none"/>
        </w:rPr>
      </w:pPr>
      <w:r w:rsidRPr="006E5E03">
        <w:rPr>
          <w:rFonts w:asciiTheme="minorHAnsi" w:hAnsiTheme="minorHAnsi" w:cstheme="minorHAnsi"/>
          <w:sz w:val="20"/>
          <w:szCs w:val="20"/>
          <w:lang w:eastAsia="x-none"/>
        </w:rPr>
        <w:t>DOLEŽAL, J., LACKO B. A kol. (2009) Projektový management podle IPMA. Praha: Grada Publishing a.s., 2009</w:t>
      </w:r>
    </w:p>
    <w:p w14:paraId="49ECDCC2" w14:textId="77777777" w:rsidR="00A02618" w:rsidRPr="006E5E03" w:rsidRDefault="00A02618" w:rsidP="00A02618">
      <w:pPr>
        <w:spacing w:after="80" w:line="240" w:lineRule="auto"/>
        <w:rPr>
          <w:rFonts w:asciiTheme="minorHAnsi" w:hAnsiTheme="minorHAnsi" w:cstheme="minorHAnsi"/>
          <w:sz w:val="20"/>
          <w:szCs w:val="20"/>
        </w:rPr>
      </w:pPr>
      <w:r w:rsidRPr="006E5E03">
        <w:rPr>
          <w:rFonts w:asciiTheme="minorHAnsi" w:hAnsiTheme="minorHAnsi" w:cstheme="minorHAnsi"/>
          <w:sz w:val="20"/>
          <w:szCs w:val="20"/>
        </w:rPr>
        <w:t xml:space="preserve">DRUCKER, P. F. (2008) </w:t>
      </w:r>
      <w:r w:rsidRPr="006E5E03">
        <w:rPr>
          <w:rFonts w:asciiTheme="minorHAnsi" w:hAnsiTheme="minorHAnsi" w:cstheme="minorHAnsi"/>
          <w:i/>
          <w:sz w:val="20"/>
          <w:szCs w:val="20"/>
        </w:rPr>
        <w:t>Efektivní vedoucí</w:t>
      </w:r>
      <w:r w:rsidRPr="006E5E03">
        <w:rPr>
          <w:rFonts w:asciiTheme="minorHAnsi" w:hAnsiTheme="minorHAnsi" w:cstheme="minorHAnsi"/>
          <w:sz w:val="20"/>
          <w:szCs w:val="20"/>
        </w:rPr>
        <w:t>. Praha: Management Press</w:t>
      </w:r>
    </w:p>
    <w:p w14:paraId="1EDDE91A" w14:textId="77777777" w:rsidR="00A02618" w:rsidRPr="006E5E03" w:rsidRDefault="00A02618" w:rsidP="00A02618">
      <w:pPr>
        <w:pStyle w:val="Textpoznpodarou"/>
        <w:spacing w:after="80"/>
        <w:jc w:val="both"/>
        <w:rPr>
          <w:rFonts w:asciiTheme="minorHAnsi" w:hAnsiTheme="minorHAnsi" w:cstheme="minorHAnsi"/>
        </w:rPr>
      </w:pPr>
      <w:r w:rsidRPr="006E5E03">
        <w:rPr>
          <w:rFonts w:asciiTheme="minorHAnsi" w:hAnsiTheme="minorHAnsi" w:cstheme="minorHAnsi"/>
        </w:rPr>
        <w:t xml:space="preserve">DRUCKER, P. F., MACIARIELLO, J. A. (2006) </w:t>
      </w:r>
      <w:r w:rsidRPr="006E5E03">
        <w:rPr>
          <w:rFonts w:asciiTheme="minorHAnsi" w:hAnsiTheme="minorHAnsi" w:cstheme="minorHAnsi"/>
          <w:i/>
          <w:iCs/>
        </w:rPr>
        <w:t>Drucker na každý den: 366 zamyšlení a podnětů, jak dělat správné věci</w:t>
      </w:r>
      <w:r w:rsidRPr="006E5E03">
        <w:rPr>
          <w:rFonts w:asciiTheme="minorHAnsi" w:hAnsiTheme="minorHAnsi" w:cstheme="minorHAnsi"/>
        </w:rPr>
        <w:t>. Management Press</w:t>
      </w:r>
    </w:p>
    <w:p w14:paraId="42445021"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shd w:val="clear" w:color="auto" w:fill="FFFFFF"/>
        </w:rPr>
        <w:t>GOLDRATT, E. M. (1999). </w:t>
      </w:r>
      <w:r w:rsidRPr="006E5E03">
        <w:rPr>
          <w:rFonts w:asciiTheme="minorHAnsi" w:hAnsiTheme="minorHAnsi" w:cstheme="minorHAnsi"/>
          <w:i/>
          <w:iCs/>
          <w:sz w:val="20"/>
          <w:szCs w:val="20"/>
          <w:shd w:val="clear" w:color="auto" w:fill="FFFFFF"/>
        </w:rPr>
        <w:t>Kritický řetěz</w:t>
      </w:r>
      <w:r w:rsidRPr="006E5E03">
        <w:rPr>
          <w:rFonts w:asciiTheme="minorHAnsi" w:hAnsiTheme="minorHAnsi" w:cstheme="minorHAnsi"/>
          <w:sz w:val="20"/>
          <w:szCs w:val="20"/>
          <w:shd w:val="clear" w:color="auto" w:fill="FFFFFF"/>
        </w:rPr>
        <w:t>. Praha: InterQuality</w:t>
      </w:r>
    </w:p>
    <w:p w14:paraId="51C2D8FB"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shd w:val="clear" w:color="auto" w:fill="FFFFFF"/>
        </w:rPr>
        <w:t>GOLDRATT, E. M., COX J. (2001) Cíl: proces trvalého zlepšování, Praha: InterQuality.</w:t>
      </w:r>
    </w:p>
    <w:p w14:paraId="3B0AEA9A" w14:textId="77777777" w:rsidR="00A02618" w:rsidRPr="006E5E03" w:rsidRDefault="00A02618" w:rsidP="00A02618">
      <w:pPr>
        <w:pStyle w:val="Textpoznpodarou"/>
        <w:spacing w:after="80"/>
        <w:jc w:val="both"/>
        <w:rPr>
          <w:rFonts w:asciiTheme="minorHAnsi" w:hAnsiTheme="minorHAnsi" w:cstheme="minorHAnsi"/>
          <w:shd w:val="clear" w:color="auto" w:fill="FFFFFF"/>
        </w:rPr>
      </w:pPr>
      <w:r w:rsidRPr="006E5E03">
        <w:rPr>
          <w:rFonts w:asciiTheme="minorHAnsi" w:hAnsiTheme="minorHAnsi" w:cstheme="minorHAnsi"/>
        </w:rPr>
        <w:t>HAVRÁNEK</w:t>
      </w:r>
      <w:r w:rsidRPr="006E5E03">
        <w:rPr>
          <w:rFonts w:asciiTheme="minorHAnsi" w:hAnsiTheme="minorHAnsi" w:cstheme="minorHAnsi"/>
          <w:shd w:val="clear" w:color="auto" w:fill="FFFFFF"/>
        </w:rPr>
        <w:t xml:space="preserve"> J. a kol. (2008) </w:t>
      </w:r>
      <w:r w:rsidRPr="006E5E03">
        <w:rPr>
          <w:rFonts w:asciiTheme="minorHAnsi" w:hAnsiTheme="minorHAnsi" w:cstheme="minorHAnsi"/>
          <w:i/>
          <w:shd w:val="clear" w:color="auto" w:fill="FFFFFF"/>
        </w:rPr>
        <w:t>Teorie práva</w:t>
      </w:r>
      <w:r w:rsidRPr="006E5E03">
        <w:rPr>
          <w:rFonts w:asciiTheme="minorHAnsi" w:hAnsiTheme="minorHAnsi" w:cstheme="minorHAnsi"/>
          <w:shd w:val="clear" w:color="auto" w:fill="FFFFFF"/>
        </w:rPr>
        <w:t>. Plzeň: Vydavatelství a nakladatelství Aleš Čeněk s.r.o.</w:t>
      </w:r>
    </w:p>
    <w:p w14:paraId="2CD6F27C" w14:textId="77777777" w:rsidR="00A02618" w:rsidRPr="00A563D4" w:rsidRDefault="00A02618" w:rsidP="00A02618">
      <w:pPr>
        <w:pStyle w:val="Textpoznpodarou"/>
        <w:spacing w:after="80"/>
        <w:jc w:val="both"/>
        <w:rPr>
          <w:rStyle w:val="Hypertextovodkaz"/>
        </w:rPr>
      </w:pPr>
      <w:r w:rsidRPr="006E5E03">
        <w:rPr>
          <w:rFonts w:asciiTheme="minorHAnsi" w:hAnsiTheme="minorHAnsi" w:cstheme="minorHAnsi"/>
        </w:rPr>
        <w:t xml:space="preserve">HRUŠKA, L. a kol. </w:t>
      </w:r>
      <w:r w:rsidRPr="006E5E03">
        <w:rPr>
          <w:rFonts w:asciiTheme="minorHAnsi" w:hAnsiTheme="minorHAnsi" w:cstheme="minorHAnsi"/>
          <w:shd w:val="clear" w:color="auto" w:fill="FFFFFF"/>
        </w:rPr>
        <w:t xml:space="preserve">(2022a) A1. </w:t>
      </w:r>
      <w:r w:rsidRPr="006E5E03">
        <w:rPr>
          <w:rFonts w:asciiTheme="minorHAnsi" w:hAnsiTheme="minorHAnsi" w:cstheme="minorHAnsi"/>
          <w:i/>
          <w:shd w:val="clear" w:color="auto" w:fill="FFFFFF"/>
        </w:rPr>
        <w:t xml:space="preserve">Analýza propojení strategických dokumentů s finančními zdroji. </w:t>
      </w:r>
      <w:r w:rsidRPr="006E5E03">
        <w:rPr>
          <w:rFonts w:asciiTheme="minorHAnsi" w:hAnsiTheme="minorHAnsi" w:cstheme="minorHAnsi"/>
        </w:rPr>
        <w:t xml:space="preserve">Ostrava: PROCES – Centrum pro rozvoj obcí a regionů. Dostupný na: </w:t>
      </w:r>
      <w:hyperlink r:id="rId49" w:history="1">
        <w:r w:rsidRPr="00A563D4">
          <w:rPr>
            <w:rStyle w:val="Hypertextovodkaz"/>
            <w:rFonts w:asciiTheme="minorHAnsi" w:hAnsiTheme="minorHAnsi" w:cstheme="minorHAnsi"/>
          </w:rPr>
          <w:t>https://mmr.cz/cs/microsites/portal-strategicke-prace-v-ceske-republice/nastroje-a-metodicka-podpora/podpora-strategickeho-rizeni-a-planovani-ve-verejn/financni-rizeni-a-strategicke-planovani</w:t>
        </w:r>
      </w:hyperlink>
    </w:p>
    <w:p w14:paraId="4D213F09" w14:textId="77777777" w:rsidR="00A02618" w:rsidRPr="00A563D4" w:rsidRDefault="00A02618" w:rsidP="00A02618">
      <w:pPr>
        <w:pStyle w:val="Textpoznpodarou"/>
        <w:spacing w:after="80"/>
        <w:jc w:val="both"/>
        <w:rPr>
          <w:rStyle w:val="Hypertextovodkaz"/>
        </w:rPr>
      </w:pPr>
      <w:r w:rsidRPr="00A563D4">
        <w:rPr>
          <w:rFonts w:asciiTheme="minorHAnsi" w:hAnsiTheme="minorHAnsi" w:cstheme="minorHAnsi"/>
        </w:rPr>
        <w:t>HRUŠKA, L. a kol.</w:t>
      </w:r>
      <w:r w:rsidRPr="00A563D4">
        <w:rPr>
          <w:rFonts w:asciiTheme="minorHAnsi" w:hAnsiTheme="minorHAnsi" w:cstheme="minorHAnsi"/>
          <w:shd w:val="clear" w:color="auto" w:fill="FFFFFF"/>
        </w:rPr>
        <w:t xml:space="preserve"> (2022b) </w:t>
      </w:r>
      <w:r w:rsidRPr="00A563D4">
        <w:rPr>
          <w:rFonts w:asciiTheme="minorHAnsi" w:hAnsiTheme="minorHAnsi" w:cstheme="minorHAnsi"/>
          <w:i/>
          <w:shd w:val="clear" w:color="auto" w:fill="FFFFFF"/>
        </w:rPr>
        <w:t xml:space="preserve">Analýza propojení strategických dokumentů s finančními zdroji: A.2  Popis příkladů dobré praxe. </w:t>
      </w:r>
      <w:r w:rsidRPr="00A563D4">
        <w:rPr>
          <w:rFonts w:asciiTheme="minorHAnsi" w:hAnsiTheme="minorHAnsi" w:cstheme="minorHAnsi"/>
        </w:rPr>
        <w:t xml:space="preserve">Ostrava: PROCES – Centrum pro rozvoj obcí a regionů. Dostupný na: </w:t>
      </w:r>
      <w:hyperlink r:id="rId50" w:history="1">
        <w:r w:rsidRPr="00A563D4">
          <w:rPr>
            <w:rStyle w:val="Hypertextovodkaz"/>
            <w:rFonts w:asciiTheme="minorHAnsi" w:hAnsiTheme="minorHAnsi" w:cstheme="minorHAnsi"/>
          </w:rPr>
          <w:t>https://mmr.cz/cs/microsites/portal-strategicke-prace-v-ceske-republice/nastroje-a-metodicka-podpora/podpora-strategickeho-rizeni-a-planovani-ve-verejn/financni-rizeni-a-strategicke-planovani</w:t>
        </w:r>
      </w:hyperlink>
    </w:p>
    <w:p w14:paraId="0F7C1AC2" w14:textId="77777777" w:rsidR="00A02618" w:rsidRPr="00A563D4" w:rsidRDefault="00A02618" w:rsidP="00A02618">
      <w:pPr>
        <w:pStyle w:val="Textpoznpodarou"/>
        <w:spacing w:after="80"/>
        <w:jc w:val="both"/>
        <w:rPr>
          <w:rStyle w:val="Hypertextovodkaz"/>
        </w:rPr>
      </w:pPr>
      <w:r w:rsidRPr="006E5E03">
        <w:rPr>
          <w:rFonts w:asciiTheme="minorHAnsi" w:hAnsiTheme="minorHAnsi" w:cstheme="minorHAnsi"/>
        </w:rPr>
        <w:t xml:space="preserve">HRUŠKA, L. a kol. (2022c). Analýza propojení strategických dokumentů s finančními zdroji. A.3  Metodické doporučení. Ostrava: PROCES – Centrum pro rozvoj obcí a regionů. Dostupný na: </w:t>
      </w:r>
      <w:hyperlink r:id="rId51" w:history="1">
        <w:r w:rsidRPr="00A563D4">
          <w:rPr>
            <w:rStyle w:val="Hypertextovodkaz"/>
            <w:rFonts w:asciiTheme="minorHAnsi" w:hAnsiTheme="minorHAnsi" w:cstheme="minorHAnsi"/>
          </w:rPr>
          <w:t>https://mmr.cz/cs/microsites/portal-strategicke-prace-v-ceske-republice/nastroje-a-metodicka-podpora/podpora-strategickeho-rizeni-a-planovani-ve-verejn/financni-rizeni-a-strategicke-planovani</w:t>
        </w:r>
      </w:hyperlink>
    </w:p>
    <w:p w14:paraId="271B39D4" w14:textId="77777777" w:rsidR="00A02618" w:rsidRPr="00A563D4" w:rsidRDefault="00A02618" w:rsidP="00A02618">
      <w:pPr>
        <w:widowControl w:val="0"/>
        <w:autoSpaceDE w:val="0"/>
        <w:autoSpaceDN w:val="0"/>
        <w:adjustRightInd w:val="0"/>
        <w:spacing w:after="80" w:line="240" w:lineRule="auto"/>
        <w:rPr>
          <w:rFonts w:asciiTheme="minorHAnsi" w:hAnsiTheme="minorHAnsi" w:cstheme="minorHAnsi"/>
          <w:sz w:val="18"/>
          <w:szCs w:val="20"/>
        </w:rPr>
      </w:pPr>
      <w:r w:rsidRPr="006E5E03">
        <w:rPr>
          <w:rFonts w:asciiTheme="minorHAnsi" w:hAnsiTheme="minorHAnsi" w:cstheme="minorHAnsi"/>
          <w:sz w:val="20"/>
          <w:szCs w:val="20"/>
        </w:rPr>
        <w:t xml:space="preserve">HUŠEK, Z., ŠUSTA M., PŮČEK, M. a kol. (2006) </w:t>
      </w:r>
      <w:r w:rsidRPr="006E5E03">
        <w:rPr>
          <w:rFonts w:asciiTheme="minorHAnsi" w:hAnsiTheme="minorHAnsi" w:cstheme="minorHAnsi"/>
          <w:i/>
          <w:sz w:val="20"/>
          <w:szCs w:val="20"/>
        </w:rPr>
        <w:t>Aplikace metody Balance Scorecard (BSC) ve veřejném sektoru. Informační středisko podpory jakosti</w:t>
      </w:r>
      <w:r w:rsidRPr="006E5E03">
        <w:rPr>
          <w:rFonts w:asciiTheme="minorHAnsi" w:hAnsiTheme="minorHAnsi" w:cstheme="minorHAnsi"/>
          <w:sz w:val="20"/>
          <w:szCs w:val="20"/>
        </w:rPr>
        <w:t xml:space="preserve">, Praha. Dostupné: </w:t>
      </w:r>
      <w:hyperlink r:id="rId52" w:history="1">
        <w:r w:rsidRPr="00A563D4">
          <w:rPr>
            <w:rStyle w:val="Hypertextovodkaz"/>
            <w:rFonts w:asciiTheme="minorHAnsi" w:hAnsiTheme="minorHAnsi" w:cstheme="minorHAnsi"/>
            <w:sz w:val="18"/>
            <w:szCs w:val="20"/>
          </w:rPr>
          <w:t>http://www.npj.cz/informacni-centrum/nabidka-publikaci/</w:t>
        </w:r>
      </w:hyperlink>
    </w:p>
    <w:p w14:paraId="5A863A14" w14:textId="77777777" w:rsidR="00A02618" w:rsidRPr="006E5E03" w:rsidRDefault="00A02618" w:rsidP="00A02618">
      <w:pPr>
        <w:shd w:val="clear" w:color="auto" w:fill="FFFFFF"/>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rPr>
        <w:t xml:space="preserve">ISO 9004 (2015) </w:t>
      </w:r>
      <w:r w:rsidRPr="006E5E03">
        <w:rPr>
          <w:rFonts w:asciiTheme="minorHAnsi" w:hAnsiTheme="minorHAnsi" w:cstheme="minorHAnsi"/>
          <w:i/>
          <w:sz w:val="20"/>
          <w:szCs w:val="20"/>
        </w:rPr>
        <w:t>Systémy managementu jakosti – Směrnice pro zlepšování výkonnosti</w:t>
      </w:r>
      <w:r w:rsidRPr="006E5E03">
        <w:rPr>
          <w:rFonts w:asciiTheme="minorHAnsi" w:hAnsiTheme="minorHAnsi" w:cstheme="minorHAnsi"/>
          <w:sz w:val="20"/>
          <w:szCs w:val="20"/>
        </w:rPr>
        <w:t>. Praha: Český normalizační institut</w:t>
      </w:r>
    </w:p>
    <w:p w14:paraId="6A6EF6B7" w14:textId="77777777" w:rsidR="00A02618" w:rsidRPr="006E5E03" w:rsidRDefault="00A02618" w:rsidP="00A02618">
      <w:pPr>
        <w:widowControl w:val="0"/>
        <w:autoSpaceDE w:val="0"/>
        <w:autoSpaceDN w:val="0"/>
        <w:adjustRightInd w:val="0"/>
        <w:spacing w:after="80" w:line="240" w:lineRule="auto"/>
        <w:rPr>
          <w:rFonts w:asciiTheme="minorHAnsi" w:hAnsiTheme="minorHAnsi" w:cstheme="minorHAnsi"/>
          <w:sz w:val="20"/>
          <w:szCs w:val="20"/>
        </w:rPr>
      </w:pPr>
      <w:r w:rsidRPr="006E5E03">
        <w:rPr>
          <w:rFonts w:asciiTheme="minorHAnsi" w:hAnsiTheme="minorHAnsi" w:cstheme="minorHAnsi"/>
          <w:sz w:val="20"/>
          <w:szCs w:val="20"/>
        </w:rPr>
        <w:t xml:space="preserve">KAPLAN, N., NORTON, D. P. (2006) </w:t>
      </w:r>
      <w:r w:rsidRPr="006E5E03">
        <w:rPr>
          <w:rFonts w:asciiTheme="minorHAnsi" w:hAnsiTheme="minorHAnsi" w:cstheme="minorHAnsi"/>
          <w:i/>
          <w:sz w:val="20"/>
          <w:szCs w:val="20"/>
        </w:rPr>
        <w:t>Alignment – Systémové vyladění organizace</w:t>
      </w:r>
      <w:r w:rsidRPr="006E5E03">
        <w:rPr>
          <w:rFonts w:asciiTheme="minorHAnsi" w:hAnsiTheme="minorHAnsi" w:cstheme="minorHAnsi"/>
          <w:sz w:val="20"/>
          <w:szCs w:val="20"/>
        </w:rPr>
        <w:t xml:space="preserve">. Praha Management Press </w:t>
      </w:r>
    </w:p>
    <w:p w14:paraId="3DFBC86F" w14:textId="77777777" w:rsidR="00A02618" w:rsidRPr="006E5E03" w:rsidRDefault="00A02618" w:rsidP="00A02618">
      <w:pPr>
        <w:spacing w:after="80" w:line="240" w:lineRule="auto"/>
        <w:rPr>
          <w:rFonts w:asciiTheme="minorHAnsi" w:hAnsiTheme="minorHAnsi" w:cstheme="minorHAnsi"/>
          <w:sz w:val="20"/>
          <w:szCs w:val="20"/>
        </w:rPr>
      </w:pPr>
      <w:r w:rsidRPr="006E5E03">
        <w:rPr>
          <w:rFonts w:asciiTheme="minorHAnsi" w:hAnsiTheme="minorHAnsi" w:cstheme="minorHAnsi"/>
          <w:sz w:val="20"/>
          <w:szCs w:val="20"/>
        </w:rPr>
        <w:lastRenderedPageBreak/>
        <w:t xml:space="preserve">KOTTER, J. P. (2000) </w:t>
      </w:r>
      <w:r w:rsidRPr="006E5E03">
        <w:rPr>
          <w:rFonts w:asciiTheme="minorHAnsi" w:hAnsiTheme="minorHAnsi" w:cstheme="minorHAnsi"/>
          <w:i/>
          <w:sz w:val="20"/>
          <w:szCs w:val="20"/>
        </w:rPr>
        <w:t>Vedení procesu změny. Osm kroků úspěšné transformace podniku v turbulentní ekonomice</w:t>
      </w:r>
      <w:r w:rsidRPr="006E5E03">
        <w:rPr>
          <w:rFonts w:asciiTheme="minorHAnsi" w:hAnsiTheme="minorHAnsi" w:cstheme="minorHAnsi"/>
          <w:sz w:val="20"/>
          <w:szCs w:val="20"/>
        </w:rPr>
        <w:t>. Praha: Management Press.</w:t>
      </w:r>
    </w:p>
    <w:p w14:paraId="7F45311F"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shd w:val="clear" w:color="auto" w:fill="FFFFFF"/>
        </w:rPr>
        <w:t>LIKER, J. K. (2007). </w:t>
      </w:r>
      <w:r w:rsidRPr="006E5E03">
        <w:rPr>
          <w:rFonts w:asciiTheme="minorHAnsi" w:hAnsiTheme="minorHAnsi" w:cstheme="minorHAnsi"/>
          <w:i/>
          <w:iCs/>
          <w:sz w:val="20"/>
          <w:szCs w:val="20"/>
          <w:shd w:val="clear" w:color="auto" w:fill="FFFFFF"/>
        </w:rPr>
        <w:t>Tak to dělá Toyota: 14 zásad řízení největšího světového výrobce</w:t>
      </w:r>
      <w:r w:rsidRPr="006E5E03">
        <w:rPr>
          <w:rFonts w:asciiTheme="minorHAnsi" w:hAnsiTheme="minorHAnsi" w:cstheme="minorHAnsi"/>
          <w:sz w:val="20"/>
          <w:szCs w:val="20"/>
          <w:shd w:val="clear" w:color="auto" w:fill="FFFFFF"/>
        </w:rPr>
        <w:t>. Management press</w:t>
      </w:r>
    </w:p>
    <w:p w14:paraId="1C7A7A8F" w14:textId="77777777" w:rsidR="00A02618" w:rsidRPr="006E5E03" w:rsidRDefault="00A02618" w:rsidP="00A02618">
      <w:pPr>
        <w:spacing w:after="80" w:line="240" w:lineRule="auto"/>
        <w:jc w:val="both"/>
        <w:rPr>
          <w:rFonts w:asciiTheme="minorHAnsi" w:hAnsiTheme="minorHAnsi" w:cstheme="minorHAnsi"/>
          <w:sz w:val="20"/>
          <w:szCs w:val="20"/>
          <w:shd w:val="clear" w:color="auto" w:fill="FFFFFF"/>
        </w:rPr>
      </w:pPr>
      <w:r w:rsidRPr="006E5E03">
        <w:rPr>
          <w:rFonts w:asciiTheme="minorHAnsi" w:hAnsiTheme="minorHAnsi" w:cstheme="minorHAnsi"/>
          <w:sz w:val="20"/>
          <w:szCs w:val="20"/>
          <w:shd w:val="clear" w:color="auto" w:fill="FFFFFF"/>
        </w:rPr>
        <w:t>MEIER, D. P., &amp; LIKER, J. K. (2005). </w:t>
      </w:r>
      <w:r w:rsidRPr="006E5E03">
        <w:rPr>
          <w:rFonts w:asciiTheme="minorHAnsi" w:hAnsiTheme="minorHAnsi" w:cstheme="minorHAnsi"/>
          <w:i/>
          <w:iCs/>
          <w:sz w:val="20"/>
          <w:szCs w:val="20"/>
          <w:shd w:val="clear" w:color="auto" w:fill="FFFFFF"/>
        </w:rPr>
        <w:t>Toyota talent</w:t>
      </w:r>
      <w:r w:rsidRPr="006E5E03">
        <w:rPr>
          <w:rFonts w:asciiTheme="minorHAnsi" w:hAnsiTheme="minorHAnsi" w:cstheme="minorHAnsi"/>
          <w:sz w:val="20"/>
          <w:szCs w:val="20"/>
          <w:shd w:val="clear" w:color="auto" w:fill="FFFFFF"/>
        </w:rPr>
        <w:t>. McGraw-Hill, New York</w:t>
      </w:r>
    </w:p>
    <w:p w14:paraId="21BC8303" w14:textId="77777777" w:rsidR="00A02618" w:rsidRPr="00A563D4" w:rsidRDefault="00A02618" w:rsidP="00A02618">
      <w:pPr>
        <w:spacing w:after="80" w:line="240" w:lineRule="auto"/>
        <w:jc w:val="both"/>
        <w:rPr>
          <w:rStyle w:val="Hypertextovodkaz"/>
          <w:sz w:val="17"/>
          <w:szCs w:val="17"/>
        </w:rPr>
      </w:pPr>
      <w:r w:rsidRPr="006E5E03">
        <w:rPr>
          <w:rFonts w:asciiTheme="minorHAnsi" w:hAnsiTheme="minorHAnsi" w:cstheme="minorHAnsi"/>
          <w:sz w:val="20"/>
          <w:szCs w:val="20"/>
          <w:shd w:val="clear" w:color="auto" w:fill="FFFFFF"/>
        </w:rPr>
        <w:t xml:space="preserve">MĚSTO VALAŠSKÉ MEZIŘÍČÍ: </w:t>
      </w:r>
      <w:r w:rsidRPr="006E5E03">
        <w:rPr>
          <w:rFonts w:asciiTheme="minorHAnsi" w:hAnsiTheme="minorHAnsi" w:cstheme="minorHAnsi"/>
          <w:i/>
          <w:sz w:val="20"/>
          <w:szCs w:val="20"/>
          <w:shd w:val="clear" w:color="auto" w:fill="FFFFFF"/>
        </w:rPr>
        <w:t>Nákladově užitkové metody</w:t>
      </w:r>
      <w:r w:rsidRPr="006E5E03">
        <w:rPr>
          <w:rFonts w:asciiTheme="minorHAnsi" w:hAnsiTheme="minorHAnsi" w:cstheme="minorHAnsi"/>
          <w:sz w:val="20"/>
          <w:szCs w:val="20"/>
          <w:shd w:val="clear" w:color="auto" w:fill="FFFFFF"/>
        </w:rPr>
        <w:t xml:space="preserve">. </w:t>
      </w:r>
      <w:r w:rsidRPr="006E5E03">
        <w:rPr>
          <w:rFonts w:asciiTheme="minorHAnsi" w:hAnsiTheme="minorHAnsi" w:cstheme="minorHAnsi"/>
          <w:sz w:val="20"/>
          <w:szCs w:val="20"/>
        </w:rPr>
        <w:t xml:space="preserve">Dostupné na: </w:t>
      </w:r>
      <w:hyperlink r:id="rId53" w:history="1">
        <w:r w:rsidRPr="00A563D4">
          <w:rPr>
            <w:rStyle w:val="Hypertextovodkaz"/>
            <w:rFonts w:asciiTheme="minorHAnsi" w:hAnsiTheme="minorHAnsi" w:cstheme="minorHAnsi"/>
            <w:sz w:val="17"/>
            <w:szCs w:val="17"/>
          </w:rPr>
          <w:t>https://www.kyjovske-slovacko.com/sites/default/files/informace-soubory/2017/05/prirucka_nakladove_uzitkove_metody_skripta_7b15b693.pdf</w:t>
        </w:r>
      </w:hyperlink>
    </w:p>
    <w:p w14:paraId="57FAD35E"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MFČR (2022) </w:t>
      </w:r>
      <w:r w:rsidRPr="006E5E03">
        <w:rPr>
          <w:rFonts w:asciiTheme="minorHAnsi" w:hAnsiTheme="minorHAnsi" w:cstheme="minorHAnsi"/>
          <w:i/>
          <w:iCs/>
          <w:shd w:val="clear" w:color="auto" w:fill="FFFFFF"/>
        </w:rPr>
        <w:t xml:space="preserve">Státní rozpočet 2022 v kostce. </w:t>
      </w:r>
      <w:r w:rsidRPr="006E5E03">
        <w:rPr>
          <w:rFonts w:asciiTheme="minorHAnsi" w:hAnsiTheme="minorHAnsi" w:cstheme="minorHAnsi"/>
          <w:shd w:val="clear" w:color="auto" w:fill="FFFFFF"/>
        </w:rPr>
        <w:t>Praha: MFČR.</w:t>
      </w:r>
    </w:p>
    <w:p w14:paraId="4C8BAFB7" w14:textId="77777777" w:rsidR="00A02618" w:rsidRPr="006E5E03" w:rsidRDefault="00A02618" w:rsidP="00A02618">
      <w:pPr>
        <w:spacing w:after="80" w:line="240" w:lineRule="auto"/>
        <w:jc w:val="both"/>
        <w:rPr>
          <w:rFonts w:asciiTheme="minorHAnsi" w:hAnsiTheme="minorHAnsi" w:cstheme="minorHAnsi"/>
          <w:sz w:val="20"/>
          <w:szCs w:val="20"/>
          <w:shd w:val="clear" w:color="auto" w:fill="FFFFFF"/>
        </w:rPr>
      </w:pPr>
      <w:r w:rsidRPr="006E5E03">
        <w:rPr>
          <w:rFonts w:asciiTheme="minorHAnsi" w:hAnsiTheme="minorHAnsi" w:cstheme="minorHAnsi"/>
          <w:sz w:val="20"/>
          <w:szCs w:val="20"/>
          <w:shd w:val="clear" w:color="auto" w:fill="FFFFFF"/>
        </w:rPr>
        <w:t>MIKE, R. (2017). </w:t>
      </w:r>
      <w:r w:rsidRPr="006E5E03">
        <w:rPr>
          <w:rFonts w:asciiTheme="minorHAnsi" w:hAnsiTheme="minorHAnsi" w:cstheme="minorHAnsi"/>
          <w:i/>
          <w:iCs/>
          <w:sz w:val="20"/>
          <w:szCs w:val="20"/>
          <w:shd w:val="clear" w:color="auto" w:fill="FFFFFF"/>
        </w:rPr>
        <w:t>Toyota kata: systematickým vedením lidí k výjimečným výsledkům</w:t>
      </w:r>
      <w:r w:rsidRPr="006E5E03">
        <w:rPr>
          <w:rFonts w:asciiTheme="minorHAnsi" w:hAnsiTheme="minorHAnsi" w:cstheme="minorHAnsi"/>
          <w:sz w:val="20"/>
          <w:szCs w:val="20"/>
          <w:shd w:val="clear" w:color="auto" w:fill="FFFFFF"/>
        </w:rPr>
        <w:t>. Grada Publishing as.</w:t>
      </w:r>
    </w:p>
    <w:p w14:paraId="25E0CEE8" w14:textId="77777777" w:rsidR="00A02618" w:rsidRPr="00A563D4" w:rsidRDefault="00A02618" w:rsidP="00A02618">
      <w:pPr>
        <w:spacing w:after="80" w:line="240" w:lineRule="auto"/>
        <w:jc w:val="both"/>
        <w:rPr>
          <w:rStyle w:val="Hypertextovodkaz"/>
          <w:sz w:val="20"/>
        </w:rPr>
      </w:pPr>
      <w:r w:rsidRPr="006E5E03">
        <w:rPr>
          <w:rFonts w:asciiTheme="minorHAnsi" w:hAnsiTheme="minorHAnsi" w:cstheme="minorHAnsi"/>
          <w:sz w:val="20"/>
          <w:szCs w:val="20"/>
        </w:rPr>
        <w:t xml:space="preserve">MMR (2018) </w:t>
      </w:r>
      <w:r w:rsidRPr="006E5E03">
        <w:rPr>
          <w:rFonts w:asciiTheme="minorHAnsi" w:hAnsiTheme="minorHAnsi" w:cstheme="minorHAnsi"/>
          <w:i/>
          <w:sz w:val="20"/>
          <w:szCs w:val="20"/>
        </w:rPr>
        <w:t>Metodika přípravy veřejných strategií</w:t>
      </w:r>
      <w:r w:rsidRPr="006E5E03">
        <w:rPr>
          <w:rFonts w:asciiTheme="minorHAnsi" w:hAnsiTheme="minorHAnsi" w:cstheme="minorHAnsi"/>
          <w:sz w:val="20"/>
          <w:szCs w:val="20"/>
        </w:rPr>
        <w:t xml:space="preserve">. Praha: MMR, 2018. Dostupná z: </w:t>
      </w:r>
      <w:hyperlink r:id="rId54" w:history="1">
        <w:r w:rsidRPr="00A563D4">
          <w:rPr>
            <w:rStyle w:val="Hypertextovodkaz"/>
            <w:rFonts w:asciiTheme="minorHAnsi" w:hAnsiTheme="minorHAnsi" w:cstheme="minorHAnsi"/>
            <w:sz w:val="20"/>
            <w:szCs w:val="20"/>
          </w:rPr>
          <w:t>https://www.mmr.cz/getmedia/70d00bf5-cec5-4ddd-9309-a3f54c216ea8/Metodika-pripravy-verejnych-strategii-plna-verze_1.pdf.aspx?ext=.pdf</w:t>
        </w:r>
      </w:hyperlink>
    </w:p>
    <w:p w14:paraId="3C6E6270"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rPr>
        <w:t>MVČR (2020) Model CAF verze 2020. Praha: Ministerstvo vnitra ČR</w:t>
      </w:r>
    </w:p>
    <w:p w14:paraId="71C33974" w14:textId="77777777" w:rsidR="00A02618" w:rsidRPr="006E5E03" w:rsidRDefault="00A02618" w:rsidP="00A02618">
      <w:pPr>
        <w:shd w:val="clear" w:color="auto" w:fill="FFFFFF"/>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rPr>
        <w:t xml:space="preserve">NÁRODNÍ STŘEDISKO PODPORY KVALITY (2016): Příručka CSR pro veřejnou správu aneb jak se chovat společensky odpovědně. Praha. NSPK 36 s. </w:t>
      </w:r>
      <w:hyperlink r:id="rId55" w:history="1">
        <w:r w:rsidRPr="006E5E03">
          <w:rPr>
            <w:rStyle w:val="Hypertextovodkaz"/>
            <w:rFonts w:asciiTheme="minorHAnsi" w:hAnsiTheme="minorHAnsi" w:cstheme="minorHAnsi"/>
            <w:color w:val="auto"/>
            <w:sz w:val="20"/>
            <w:szCs w:val="20"/>
          </w:rPr>
          <w:t>http://www.npj.cz/images/soubory/publikace/101.pdf</w:t>
        </w:r>
      </w:hyperlink>
    </w:p>
    <w:p w14:paraId="697FFE04" w14:textId="77777777" w:rsidR="00A02618" w:rsidRPr="006E5E03" w:rsidRDefault="00A02618" w:rsidP="00A02618">
      <w:pPr>
        <w:pStyle w:val="Textpoznpodarou"/>
        <w:spacing w:after="80"/>
        <w:jc w:val="both"/>
        <w:rPr>
          <w:rFonts w:asciiTheme="minorHAnsi" w:hAnsiTheme="minorHAnsi" w:cstheme="minorHAnsi"/>
        </w:rPr>
      </w:pPr>
      <w:r w:rsidRPr="006E5E03">
        <w:rPr>
          <w:rFonts w:asciiTheme="minorHAnsi" w:hAnsiTheme="minorHAnsi" w:cstheme="minorHAnsi"/>
        </w:rPr>
        <w:t xml:space="preserve">NEMEC, J., PLAČEK, M., PŮČEK, M. J., OCHRANA, F. (2020) </w:t>
      </w:r>
      <w:r w:rsidRPr="006E5E03">
        <w:rPr>
          <w:rFonts w:asciiTheme="minorHAnsi" w:hAnsiTheme="minorHAnsi" w:cstheme="minorHAnsi"/>
          <w:i/>
        </w:rPr>
        <w:t>Budgeting and Public Finance</w:t>
      </w:r>
      <w:r w:rsidRPr="006E5E03">
        <w:rPr>
          <w:rFonts w:asciiTheme="minorHAnsi" w:hAnsiTheme="minorHAnsi" w:cstheme="minorHAnsi"/>
        </w:rPr>
        <w:t>. In Farazmand A.. Global Encyclopedia of Public Administration, Public Policy, and Governance, 2020.</w:t>
      </w:r>
    </w:p>
    <w:p w14:paraId="6E40C86D"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NENADÁL, J. (2011). </w:t>
      </w:r>
      <w:r w:rsidRPr="006E5E03">
        <w:rPr>
          <w:rFonts w:asciiTheme="minorHAnsi" w:hAnsiTheme="minorHAnsi" w:cstheme="minorHAnsi"/>
          <w:i/>
          <w:iCs/>
          <w:shd w:val="clear" w:color="auto" w:fill="FFFFFF"/>
        </w:rPr>
        <w:t>Benchmarking v sociálních službách</w:t>
      </w:r>
      <w:r w:rsidRPr="006E5E03">
        <w:rPr>
          <w:rFonts w:asciiTheme="minorHAnsi" w:hAnsiTheme="minorHAnsi" w:cstheme="minorHAnsi"/>
          <w:shd w:val="clear" w:color="auto" w:fill="FFFFFF"/>
        </w:rPr>
        <w:t>. INOVÁCIE, PLÁNOVANIE A KVALITA SOCIÁLNYCH SLUŽIEB V KOMUNITE, 8. Zborník príspevkov z 1. ročníka medzinárodnej vedeckej konferencie.</w:t>
      </w:r>
    </w:p>
    <w:p w14:paraId="4655E9CB"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NESHYBOVÁ, J. (2011): Nástroje kvality veřejné správy a jejich vztah k rozpočtům územních samosprávných celků. Disertační práce. Masarykova Universita, Ekonomicko správní fakulta</w:t>
      </w:r>
    </w:p>
    <w:p w14:paraId="68F6F5AC"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rPr>
        <w:t xml:space="preserve">NOVÝ ZÁKON (1991) </w:t>
      </w:r>
      <w:r w:rsidRPr="006E5E03">
        <w:rPr>
          <w:rFonts w:asciiTheme="minorHAnsi" w:hAnsiTheme="minorHAnsi" w:cstheme="minorHAnsi"/>
          <w:i/>
          <w:sz w:val="20"/>
          <w:szCs w:val="20"/>
        </w:rPr>
        <w:t>Nový zákon s výkladovými poznámkami</w:t>
      </w:r>
      <w:r w:rsidRPr="006E5E03">
        <w:rPr>
          <w:rFonts w:asciiTheme="minorHAnsi" w:hAnsiTheme="minorHAnsi" w:cstheme="minorHAnsi"/>
          <w:sz w:val="20"/>
          <w:szCs w:val="20"/>
        </w:rPr>
        <w:t>. Praha: Česká biblická společnost</w:t>
      </w:r>
    </w:p>
    <w:p w14:paraId="653BBB06" w14:textId="77777777" w:rsidR="00A02618" w:rsidRPr="006E5E03" w:rsidRDefault="00A02618" w:rsidP="00A02618">
      <w:pPr>
        <w:pStyle w:val="Textpoznpodarou"/>
        <w:spacing w:after="80"/>
        <w:jc w:val="both"/>
        <w:rPr>
          <w:rFonts w:asciiTheme="minorHAnsi" w:hAnsiTheme="minorHAnsi" w:cstheme="minorHAnsi"/>
          <w:lang w:eastAsia="x-none"/>
        </w:rPr>
      </w:pPr>
      <w:r w:rsidRPr="006E5E03">
        <w:rPr>
          <w:rFonts w:asciiTheme="minorHAnsi" w:hAnsiTheme="minorHAnsi" w:cstheme="minorHAnsi"/>
          <w:lang w:eastAsia="x-none"/>
        </w:rPr>
        <w:t xml:space="preserve">OCHRANA, F, PŮČEK, M. (2012) </w:t>
      </w:r>
      <w:r w:rsidRPr="006E5E03">
        <w:rPr>
          <w:rFonts w:asciiTheme="minorHAnsi" w:hAnsiTheme="minorHAnsi" w:cstheme="minorHAnsi"/>
          <w:i/>
          <w:lang w:eastAsia="x-none"/>
        </w:rPr>
        <w:t>Dosahování úspor a odstraňování plýtvání ve veřejné správě</w:t>
      </w:r>
      <w:r w:rsidRPr="006E5E03">
        <w:rPr>
          <w:rFonts w:asciiTheme="minorHAnsi" w:hAnsiTheme="minorHAnsi" w:cstheme="minorHAnsi"/>
          <w:lang w:eastAsia="x-none"/>
        </w:rPr>
        <w:t>. Praha: Wolters Kluwer.</w:t>
      </w:r>
    </w:p>
    <w:p w14:paraId="3F82B277"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OCHRANA, F., (2004)</w:t>
      </w:r>
      <w:r w:rsidRPr="006E5E03">
        <w:t xml:space="preserve"> </w:t>
      </w:r>
      <w:r>
        <w:rPr>
          <w:rFonts w:asciiTheme="minorHAnsi" w:hAnsiTheme="minorHAnsi" w:cstheme="minorHAnsi"/>
          <w:shd w:val="clear" w:color="auto" w:fill="FFFFFF"/>
        </w:rPr>
        <w:t>Veřejné Zakázky: Metody a metodika efektivního hodnocení a v</w:t>
      </w:r>
      <w:r w:rsidRPr="006E5E03">
        <w:rPr>
          <w:rFonts w:asciiTheme="minorHAnsi" w:hAnsiTheme="minorHAnsi" w:cstheme="minorHAnsi"/>
          <w:shd w:val="clear" w:color="auto" w:fill="FFFFFF"/>
        </w:rPr>
        <w:t>ýběru. Praha: Ekopress.</w:t>
      </w:r>
    </w:p>
    <w:p w14:paraId="14055E8B" w14:textId="77777777" w:rsidR="00A02618" w:rsidRPr="006E5E03" w:rsidRDefault="00A02618" w:rsidP="00A02618">
      <w:pPr>
        <w:autoSpaceDE w:val="0"/>
        <w:spacing w:after="80" w:line="240" w:lineRule="auto"/>
        <w:jc w:val="both"/>
        <w:rPr>
          <w:rFonts w:asciiTheme="minorHAnsi" w:hAnsiTheme="minorHAnsi" w:cstheme="minorHAnsi"/>
          <w:sz w:val="20"/>
          <w:szCs w:val="20"/>
          <w:lang w:eastAsia="x-none"/>
        </w:rPr>
      </w:pPr>
      <w:r w:rsidRPr="006E5E03">
        <w:rPr>
          <w:rFonts w:asciiTheme="minorHAnsi" w:hAnsiTheme="minorHAnsi" w:cstheme="minorHAnsi"/>
          <w:sz w:val="20"/>
          <w:szCs w:val="20"/>
          <w:lang w:eastAsia="x-none"/>
        </w:rPr>
        <w:t xml:space="preserve">OCHRANA, F., PŮČEK, M. (2011) </w:t>
      </w:r>
      <w:r w:rsidRPr="006E5E03">
        <w:rPr>
          <w:rFonts w:asciiTheme="minorHAnsi" w:hAnsiTheme="minorHAnsi" w:cstheme="minorHAnsi"/>
          <w:i/>
          <w:sz w:val="20"/>
          <w:szCs w:val="20"/>
          <w:lang w:eastAsia="x-none"/>
        </w:rPr>
        <w:t>Efektivní zavádění a řízení změn. Smart Administration.</w:t>
      </w:r>
      <w:r w:rsidRPr="006E5E03">
        <w:rPr>
          <w:rFonts w:asciiTheme="minorHAnsi" w:hAnsiTheme="minorHAnsi" w:cstheme="minorHAnsi"/>
          <w:sz w:val="20"/>
          <w:szCs w:val="20"/>
          <w:lang w:eastAsia="x-none"/>
        </w:rPr>
        <w:t xml:space="preserve"> Praha: Wolters Kluwer</w:t>
      </w:r>
    </w:p>
    <w:p w14:paraId="2D08AFC6" w14:textId="77777777" w:rsidR="00A02618" w:rsidRPr="006E5E03" w:rsidRDefault="00A02618" w:rsidP="00A02618">
      <w:pPr>
        <w:autoSpaceDE w:val="0"/>
        <w:spacing w:after="80" w:line="240" w:lineRule="auto"/>
        <w:jc w:val="both"/>
        <w:rPr>
          <w:rFonts w:asciiTheme="minorHAnsi" w:hAnsiTheme="minorHAnsi" w:cstheme="minorHAnsi"/>
          <w:sz w:val="20"/>
          <w:szCs w:val="20"/>
          <w:lang w:eastAsia="x-none"/>
        </w:rPr>
      </w:pPr>
      <w:r w:rsidRPr="006E5E03">
        <w:rPr>
          <w:rFonts w:asciiTheme="minorHAnsi" w:hAnsiTheme="minorHAnsi" w:cstheme="minorHAnsi"/>
          <w:sz w:val="20"/>
          <w:szCs w:val="20"/>
          <w:lang w:eastAsia="x-none"/>
        </w:rPr>
        <w:t>OCHRANA, F., PŮČEK, M. J. a D. ŠPAČEK.</w:t>
      </w:r>
      <w:r w:rsidRPr="006E5E03">
        <w:rPr>
          <w:rFonts w:asciiTheme="minorHAnsi" w:hAnsiTheme="minorHAnsi" w:cstheme="minorHAnsi"/>
          <w:sz w:val="20"/>
          <w:szCs w:val="20"/>
        </w:rPr>
        <w:t xml:space="preserve"> </w:t>
      </w:r>
      <w:r w:rsidRPr="006E5E03">
        <w:rPr>
          <w:rFonts w:asciiTheme="minorHAnsi" w:hAnsiTheme="minorHAnsi" w:cstheme="minorHAnsi"/>
          <w:i/>
          <w:sz w:val="20"/>
          <w:szCs w:val="20"/>
        </w:rPr>
        <w:t>Veřejná správa</w:t>
      </w:r>
      <w:r w:rsidRPr="006E5E03">
        <w:rPr>
          <w:rFonts w:asciiTheme="minorHAnsi" w:hAnsiTheme="minorHAnsi" w:cstheme="minorHAnsi"/>
          <w:sz w:val="20"/>
          <w:szCs w:val="20"/>
        </w:rPr>
        <w:t>.  (2015) Brno: ESF, Masarykova universita</w:t>
      </w:r>
    </w:p>
    <w:p w14:paraId="414BF806" w14:textId="77777777" w:rsidR="00A02618" w:rsidRPr="006E5E03" w:rsidRDefault="00A02618" w:rsidP="00A02618">
      <w:pPr>
        <w:spacing w:line="240" w:lineRule="auto"/>
        <w:jc w:val="both"/>
        <w:rPr>
          <w:rFonts w:asciiTheme="minorHAnsi" w:hAnsiTheme="minorHAnsi" w:cstheme="minorHAnsi"/>
          <w:sz w:val="20"/>
          <w:szCs w:val="20"/>
          <w:lang w:eastAsia="x-none"/>
        </w:rPr>
      </w:pPr>
      <w:r w:rsidRPr="006E5E03">
        <w:rPr>
          <w:rFonts w:asciiTheme="minorHAnsi" w:hAnsiTheme="minorHAnsi" w:cstheme="minorHAnsi"/>
          <w:sz w:val="20"/>
          <w:szCs w:val="20"/>
          <w:lang w:eastAsia="x-none"/>
        </w:rPr>
        <w:t xml:space="preserve">OCHRANA, F., PŮČEK, M. J., PLAČEK, (2017) </w:t>
      </w:r>
      <w:r w:rsidRPr="006E5E03">
        <w:rPr>
          <w:rFonts w:asciiTheme="minorHAnsi" w:hAnsiTheme="minorHAnsi" w:cstheme="minorHAnsi"/>
          <w:i/>
          <w:sz w:val="20"/>
          <w:szCs w:val="20"/>
          <w:lang w:eastAsia="x-none"/>
        </w:rPr>
        <w:t>Detecting and reducing corruption risk and fraud in the public sector</w:t>
      </w:r>
      <w:r w:rsidRPr="006E5E03">
        <w:rPr>
          <w:rFonts w:asciiTheme="minorHAnsi" w:hAnsiTheme="minorHAnsi" w:cstheme="minorHAnsi"/>
          <w:sz w:val="20"/>
          <w:szCs w:val="20"/>
          <w:lang w:eastAsia="x-none"/>
        </w:rPr>
        <w:t>. Praha: Nakladatelství Karolinum</w:t>
      </w:r>
    </w:p>
    <w:p w14:paraId="1A76E7C2"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OCHRANA, F., PŮČEK, M., (2011) </w:t>
      </w:r>
      <w:r w:rsidRPr="006E5E03">
        <w:rPr>
          <w:rFonts w:asciiTheme="minorHAnsi" w:hAnsiTheme="minorHAnsi" w:cstheme="minorHAnsi"/>
          <w:i/>
          <w:iCs/>
          <w:shd w:val="clear" w:color="auto" w:fill="FFFFFF"/>
        </w:rPr>
        <w:t>Efektivní zavádění a řízení změn ve veřejné správě: Smart Administration</w:t>
      </w:r>
      <w:r w:rsidRPr="006E5E03">
        <w:rPr>
          <w:rFonts w:asciiTheme="minorHAnsi" w:hAnsiTheme="minorHAnsi" w:cstheme="minorHAnsi"/>
          <w:shd w:val="clear" w:color="auto" w:fill="FFFFFF"/>
        </w:rPr>
        <w:t>. Praha: Walters Kluwer.</w:t>
      </w:r>
    </w:p>
    <w:p w14:paraId="5EA5AE54"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OCHRANA, F., ŠUMPÍKOVÁ, a kol. (2007). </w:t>
      </w:r>
      <w:r w:rsidRPr="006E5E03">
        <w:rPr>
          <w:rFonts w:asciiTheme="minorHAnsi" w:hAnsiTheme="minorHAnsi" w:cstheme="minorHAnsi"/>
          <w:i/>
          <w:iCs/>
          <w:shd w:val="clear" w:color="auto" w:fill="FFFFFF"/>
        </w:rPr>
        <w:t>Efektivnost zabezpečování vybraných veřejných služeb na úrovni obcí</w:t>
      </w:r>
      <w:r w:rsidRPr="006E5E03">
        <w:rPr>
          <w:rFonts w:asciiTheme="minorHAnsi" w:hAnsiTheme="minorHAnsi" w:cstheme="minorHAnsi"/>
          <w:shd w:val="clear" w:color="auto" w:fill="FFFFFF"/>
        </w:rPr>
        <w:t>. Praha: Oeconomica, 149.</w:t>
      </w:r>
    </w:p>
    <w:p w14:paraId="151DB6D8"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PLACEK, M., PUCEK, M., SIMCÍKOVÁ, A. (2013). </w:t>
      </w:r>
      <w:r w:rsidRPr="006E5E03">
        <w:rPr>
          <w:rFonts w:asciiTheme="minorHAnsi" w:hAnsiTheme="minorHAnsi" w:cstheme="minorHAnsi"/>
          <w:i/>
          <w:iCs/>
          <w:shd w:val="clear" w:color="auto" w:fill="FFFFFF"/>
        </w:rPr>
        <w:t>The Utilization of Benchmarking for Strategic and Project</w:t>
      </w:r>
      <w:r w:rsidRPr="006E5E03">
        <w:rPr>
          <w:rFonts w:asciiTheme="minorHAnsi" w:hAnsiTheme="minorHAnsi" w:cstheme="minorHAnsi"/>
          <w:shd w:val="clear" w:color="auto" w:fill="FFFFFF"/>
        </w:rPr>
        <w:t xml:space="preserve"> Management of Municipalities in the Czech Republic. International Journal of Business and Social Science, 4(16).</w:t>
      </w:r>
    </w:p>
    <w:p w14:paraId="2FFC2648"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PLAČEK, M.(2013). The Utilization of Benchmarking in the Production and Analysis of Municipal Budgets. In Proceedings of the 17th. International Conference.Current Trends in Public Sector Research. Brno: Masarykova Universita</w:t>
      </w:r>
    </w:p>
    <w:p w14:paraId="77555944"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shd w:val="clear" w:color="auto" w:fill="FFFFFF"/>
        </w:rPr>
        <w:t>PLAČEK, M., OCHRANA, F., PŮČEK, M. J., NEMEC, J. (2020). </w:t>
      </w:r>
      <w:r w:rsidRPr="006E5E03">
        <w:rPr>
          <w:rFonts w:asciiTheme="minorHAnsi" w:hAnsiTheme="minorHAnsi" w:cstheme="minorHAnsi"/>
          <w:i/>
          <w:iCs/>
          <w:sz w:val="20"/>
          <w:szCs w:val="20"/>
          <w:shd w:val="clear" w:color="auto" w:fill="FFFFFF"/>
        </w:rPr>
        <w:t>Fiscal decentralization reforms: The impact on the efficiency of local governments in Central and Eastern Europe</w:t>
      </w:r>
      <w:r w:rsidRPr="006E5E03">
        <w:rPr>
          <w:rFonts w:asciiTheme="minorHAnsi" w:hAnsiTheme="minorHAnsi" w:cstheme="minorHAnsi"/>
          <w:sz w:val="20"/>
          <w:szCs w:val="20"/>
          <w:shd w:val="clear" w:color="auto" w:fill="FFFFFF"/>
        </w:rPr>
        <w:t>. Springer Nature.</w:t>
      </w:r>
    </w:p>
    <w:p w14:paraId="204E7FFD"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PLAČEK, M., PŮČEK, M., &amp; JETMAR, M. (2014). </w:t>
      </w:r>
      <w:r w:rsidRPr="006E5E03">
        <w:rPr>
          <w:rFonts w:asciiTheme="minorHAnsi" w:hAnsiTheme="minorHAnsi" w:cstheme="minorHAnsi"/>
          <w:i/>
          <w:iCs/>
          <w:shd w:val="clear" w:color="auto" w:fill="FFFFFF"/>
        </w:rPr>
        <w:t>Collaborative benchmarking of municipalities in the Czech Republic: Present experience.</w:t>
      </w:r>
      <w:r w:rsidRPr="006E5E03">
        <w:rPr>
          <w:rFonts w:asciiTheme="minorHAnsi" w:hAnsiTheme="minorHAnsi" w:cstheme="minorHAnsi"/>
          <w:shd w:val="clear" w:color="auto" w:fill="FFFFFF"/>
        </w:rPr>
        <w:t xml:space="preserve"> The NISPAcee Journal of Public Administration and Policy, 7(1), 63-83.</w:t>
      </w:r>
    </w:p>
    <w:p w14:paraId="7E90D12B"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POSPĚCH, P. (2013) Exkluze v privatizovaném městském prostoru: případová studie nákupního centra. </w:t>
      </w:r>
      <w:r w:rsidRPr="006E5E03">
        <w:rPr>
          <w:rFonts w:asciiTheme="minorHAnsi" w:hAnsiTheme="minorHAnsi" w:cstheme="minorHAnsi"/>
          <w:i/>
          <w:iCs/>
          <w:shd w:val="clear" w:color="auto" w:fill="FFFFFF"/>
        </w:rPr>
        <w:t>Sociologický časopis/Czech Sociological Review</w:t>
      </w:r>
      <w:r w:rsidRPr="006E5E03">
        <w:rPr>
          <w:rFonts w:asciiTheme="minorHAnsi" w:hAnsiTheme="minorHAnsi" w:cstheme="minorHAnsi"/>
          <w:shd w:val="clear" w:color="auto" w:fill="FFFFFF"/>
        </w:rPr>
        <w:t> 49.05 (2013): 751-779.</w:t>
      </w:r>
    </w:p>
    <w:p w14:paraId="14B54AAC"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PROVAZNÍKOVÁ, R. (2007). Financování měst, obcí a regionů, teorie a praxe. Praha: GRADA Publishing.</w:t>
      </w:r>
    </w:p>
    <w:p w14:paraId="09FE5944" w14:textId="77777777" w:rsidR="00A02618" w:rsidRPr="00A563D4" w:rsidRDefault="00A02618" w:rsidP="00A02618">
      <w:pPr>
        <w:pStyle w:val="Textkomente"/>
        <w:spacing w:after="80"/>
        <w:jc w:val="both"/>
        <w:rPr>
          <w:rStyle w:val="Hypertextovodkaz"/>
        </w:rPr>
      </w:pPr>
      <w:r w:rsidRPr="006E5E03">
        <w:rPr>
          <w:rFonts w:asciiTheme="minorHAnsi" w:hAnsiTheme="minorHAnsi" w:cstheme="minorHAnsi"/>
        </w:rPr>
        <w:t xml:space="preserve">PŮČEK M, ŠPAČEK D., (2014) Strategic public management – selected experiences with bsc implementation. </w:t>
      </w:r>
      <w:r w:rsidRPr="006E5E03">
        <w:rPr>
          <w:rFonts w:asciiTheme="minorHAnsi" w:hAnsiTheme="minorHAnsi" w:cstheme="minorHAnsi"/>
          <w:i/>
        </w:rPr>
        <w:t>Transylvanian Review of Administrative Sciences</w:t>
      </w:r>
      <w:r w:rsidRPr="006E5E03">
        <w:rPr>
          <w:rFonts w:asciiTheme="minorHAnsi" w:hAnsiTheme="minorHAnsi" w:cstheme="minorHAnsi"/>
        </w:rPr>
        <w:t xml:space="preserve">, No. 41 E/2014, pp. 146-169 Dostupné na: </w:t>
      </w:r>
      <w:hyperlink r:id="rId56" w:history="1">
        <w:r w:rsidRPr="00A563D4">
          <w:rPr>
            <w:rStyle w:val="Hypertextovodkaz"/>
            <w:rFonts w:asciiTheme="minorHAnsi" w:hAnsiTheme="minorHAnsi" w:cstheme="minorHAnsi"/>
          </w:rPr>
          <w:t>https://rtsa.ro/tras/index.php/tras/article/view/161/157</w:t>
        </w:r>
      </w:hyperlink>
      <w:r w:rsidRPr="00A563D4">
        <w:rPr>
          <w:rStyle w:val="Hypertextovodkaz"/>
        </w:rPr>
        <w:t xml:space="preserve"> </w:t>
      </w:r>
    </w:p>
    <w:p w14:paraId="7DB342B1" w14:textId="77777777" w:rsidR="00A02618" w:rsidRPr="00A563D4" w:rsidRDefault="00A02618" w:rsidP="00A02618">
      <w:pPr>
        <w:spacing w:after="80" w:line="240" w:lineRule="auto"/>
        <w:rPr>
          <w:rStyle w:val="Hypertextovodkaz"/>
        </w:rPr>
      </w:pPr>
      <w:r w:rsidRPr="006E5E03">
        <w:rPr>
          <w:rFonts w:asciiTheme="minorHAnsi" w:hAnsiTheme="minorHAnsi" w:cstheme="minorHAnsi"/>
          <w:sz w:val="20"/>
          <w:szCs w:val="20"/>
        </w:rPr>
        <w:t xml:space="preserve">PŮČEK M. J.  (2022) </w:t>
      </w:r>
      <w:r w:rsidRPr="006E5E03">
        <w:rPr>
          <w:rFonts w:asciiTheme="minorHAnsi" w:hAnsiTheme="minorHAnsi" w:cstheme="minorHAnsi"/>
          <w:i/>
          <w:sz w:val="20"/>
          <w:szCs w:val="20"/>
        </w:rPr>
        <w:t>Rozhodování a strategický přístup.</w:t>
      </w:r>
      <w:r w:rsidRPr="006E5E03">
        <w:rPr>
          <w:rFonts w:asciiTheme="minorHAnsi" w:hAnsiTheme="minorHAnsi" w:cstheme="minorHAnsi"/>
          <w:sz w:val="20"/>
          <w:szCs w:val="20"/>
        </w:rPr>
        <w:t xml:space="preserve"> Praha: Ministerst</w:t>
      </w:r>
      <w:r>
        <w:rPr>
          <w:rFonts w:asciiTheme="minorHAnsi" w:hAnsiTheme="minorHAnsi" w:cstheme="minorHAnsi"/>
          <w:sz w:val="20"/>
          <w:szCs w:val="20"/>
        </w:rPr>
        <w:t>vo pro místní rozvoj. Dostupné z</w:t>
      </w:r>
      <w:r w:rsidRPr="006E5E03">
        <w:rPr>
          <w:rFonts w:asciiTheme="minorHAnsi" w:hAnsiTheme="minorHAnsi" w:cstheme="minorHAnsi"/>
          <w:sz w:val="20"/>
          <w:szCs w:val="20"/>
        </w:rPr>
        <w:t xml:space="preserve"> </w:t>
      </w:r>
      <w:hyperlink r:id="rId57" w:history="1">
        <w:r w:rsidRPr="00A563D4">
          <w:rPr>
            <w:rStyle w:val="Hypertextovodkaz"/>
            <w:rFonts w:asciiTheme="minorHAnsi" w:hAnsiTheme="minorHAnsi" w:cstheme="minorHAnsi"/>
            <w:sz w:val="20"/>
            <w:szCs w:val="20"/>
          </w:rPr>
          <w:t>https://mmr.cz/cs/microsites/portal-strategicke-prace-v-ceske-republice/nastroje-a-metodicka-podpora/nastroje-pro-strategickou-praci</w:t>
        </w:r>
      </w:hyperlink>
    </w:p>
    <w:p w14:paraId="61127AF5" w14:textId="77777777" w:rsidR="00A02618" w:rsidRPr="00A563D4" w:rsidRDefault="00A02618" w:rsidP="00A02618">
      <w:pPr>
        <w:widowControl w:val="0"/>
        <w:autoSpaceDE w:val="0"/>
        <w:autoSpaceDN w:val="0"/>
        <w:adjustRightInd w:val="0"/>
        <w:spacing w:after="80" w:line="240" w:lineRule="auto"/>
        <w:rPr>
          <w:rStyle w:val="Hypertextovodkaz"/>
        </w:rPr>
      </w:pPr>
      <w:r w:rsidRPr="006E5E03">
        <w:rPr>
          <w:rFonts w:asciiTheme="minorHAnsi" w:hAnsiTheme="minorHAnsi" w:cstheme="minorHAnsi"/>
          <w:sz w:val="20"/>
          <w:szCs w:val="20"/>
        </w:rPr>
        <w:lastRenderedPageBreak/>
        <w:t xml:space="preserve">PŮČEK M. J., KŘÁPEK M., (2021) </w:t>
      </w:r>
      <w:r w:rsidRPr="006E5E03">
        <w:rPr>
          <w:rFonts w:asciiTheme="minorHAnsi" w:hAnsiTheme="minorHAnsi" w:cstheme="minorHAnsi"/>
          <w:i/>
          <w:sz w:val="20"/>
          <w:szCs w:val="20"/>
        </w:rPr>
        <w:t xml:space="preserve">Analýza, řízení a registr rizik v rámci veřejné strategie. </w:t>
      </w:r>
      <w:r w:rsidRPr="006E5E03">
        <w:rPr>
          <w:rFonts w:asciiTheme="minorHAnsi" w:hAnsiTheme="minorHAnsi" w:cstheme="minorHAnsi"/>
          <w:sz w:val="20"/>
          <w:szCs w:val="20"/>
        </w:rPr>
        <w:t xml:space="preserve"> Praha: Ministerstvo pro místní rozvoj. Dostupné z </w:t>
      </w:r>
      <w:hyperlink r:id="rId58" w:history="1">
        <w:r w:rsidRPr="00A563D4">
          <w:rPr>
            <w:rStyle w:val="Hypertextovodkaz"/>
            <w:rFonts w:asciiTheme="minorHAnsi" w:hAnsiTheme="minorHAnsi" w:cstheme="minorHAnsi"/>
            <w:sz w:val="20"/>
            <w:szCs w:val="20"/>
          </w:rPr>
          <w:t>https://mmr.cz/cs/microsites/portal-strategicke-prace-v-ceske-republice/nastroje-a-metodicka-podpora/nastroje-pro-strategickou-praci/</w:t>
        </w:r>
      </w:hyperlink>
    </w:p>
    <w:p w14:paraId="1D03F02F" w14:textId="77777777" w:rsidR="00A02618" w:rsidRPr="00A563D4" w:rsidRDefault="00A02618" w:rsidP="00A02618">
      <w:pPr>
        <w:spacing w:after="80" w:line="240" w:lineRule="auto"/>
        <w:jc w:val="both"/>
        <w:rPr>
          <w:rStyle w:val="Hypertextovodkaz"/>
        </w:rPr>
      </w:pPr>
      <w:r w:rsidRPr="006E5E03">
        <w:rPr>
          <w:rFonts w:asciiTheme="minorHAnsi" w:hAnsiTheme="minorHAnsi" w:cstheme="minorHAnsi"/>
          <w:sz w:val="20"/>
          <w:szCs w:val="20"/>
        </w:rPr>
        <w:t xml:space="preserve">PŮČEK M. J., KŘÁPEK M., (2022) </w:t>
      </w:r>
      <w:r w:rsidRPr="006E5E03">
        <w:rPr>
          <w:rFonts w:asciiTheme="minorHAnsi" w:hAnsiTheme="minorHAnsi" w:cstheme="minorHAnsi"/>
          <w:i/>
          <w:sz w:val="20"/>
          <w:szCs w:val="20"/>
        </w:rPr>
        <w:t>Využívání příležitostí ve vazbě na strategickou práci.</w:t>
      </w:r>
      <w:r w:rsidRPr="006E5E03">
        <w:rPr>
          <w:rFonts w:asciiTheme="minorHAnsi" w:hAnsiTheme="minorHAnsi" w:cstheme="minorHAnsi"/>
          <w:sz w:val="20"/>
          <w:szCs w:val="20"/>
        </w:rPr>
        <w:t xml:space="preserve"> Praha: Ministerstvo pro místní rozvoj. Dostupné z </w:t>
      </w:r>
      <w:hyperlink r:id="rId59" w:history="1">
        <w:r w:rsidRPr="00A563D4">
          <w:rPr>
            <w:rStyle w:val="Hypertextovodkaz"/>
            <w:rFonts w:asciiTheme="minorHAnsi" w:hAnsiTheme="minorHAnsi" w:cstheme="minorHAnsi"/>
            <w:sz w:val="20"/>
            <w:szCs w:val="20"/>
          </w:rPr>
          <w:t>https://mmr.cz/cs/microsites/portal-strategicke-prace-v-ceske-republice/nastroje-a-metodicka-podpora/nastroje-pro-strategickou-praci</w:t>
        </w:r>
      </w:hyperlink>
    </w:p>
    <w:p w14:paraId="3B21F31F" w14:textId="77777777" w:rsidR="00A02618" w:rsidRPr="006E5E03"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rPr>
        <w:t xml:space="preserve">PŮČEK M. J., STRNADEL Š., MISIAČEK R., (2022) </w:t>
      </w:r>
      <w:r w:rsidRPr="006E5E03">
        <w:rPr>
          <w:rFonts w:asciiTheme="minorHAnsi" w:hAnsiTheme="minorHAnsi" w:cstheme="minorHAnsi"/>
          <w:i/>
          <w:sz w:val="20"/>
          <w:szCs w:val="20"/>
        </w:rPr>
        <w:t>Plánování a řízení času v rámci strategické práce.</w:t>
      </w:r>
      <w:r w:rsidRPr="006E5E03">
        <w:rPr>
          <w:rFonts w:asciiTheme="minorHAnsi" w:hAnsiTheme="minorHAnsi" w:cstheme="minorHAnsi"/>
          <w:sz w:val="20"/>
          <w:szCs w:val="20"/>
        </w:rPr>
        <w:t xml:space="preserve"> Praha: Ministerstvo pro místní rozvoj</w:t>
      </w:r>
    </w:p>
    <w:p w14:paraId="2078C102" w14:textId="77777777" w:rsidR="00A02618" w:rsidRPr="00A563D4" w:rsidRDefault="00A02618" w:rsidP="00A02618">
      <w:pPr>
        <w:pStyle w:val="Textkomente"/>
        <w:spacing w:after="80"/>
        <w:jc w:val="both"/>
        <w:rPr>
          <w:rStyle w:val="Hypertextovodkaz"/>
          <w:sz w:val="18"/>
        </w:rPr>
      </w:pPr>
      <w:r w:rsidRPr="006E5E03">
        <w:rPr>
          <w:rFonts w:asciiTheme="minorHAnsi" w:hAnsiTheme="minorHAnsi" w:cstheme="minorHAnsi"/>
        </w:rPr>
        <w:t xml:space="preserve">PŮČEK, M. (2014): Vedou vyšší výdaje na úředníka k nižšímu riziku korupce? Analýza českých krajů. </w:t>
      </w:r>
      <w:r w:rsidRPr="006E5E03">
        <w:rPr>
          <w:rFonts w:asciiTheme="minorHAnsi" w:hAnsiTheme="minorHAnsi" w:cstheme="minorHAnsi"/>
          <w:i/>
        </w:rPr>
        <w:t>Ekonomický časopis</w:t>
      </w:r>
      <w:r w:rsidRPr="006E5E03">
        <w:rPr>
          <w:rFonts w:asciiTheme="minorHAnsi" w:hAnsiTheme="minorHAnsi" w:cstheme="minorHAnsi"/>
        </w:rPr>
        <w:t>. No 2, 62</w:t>
      </w:r>
      <w:r>
        <w:rPr>
          <w:rFonts w:asciiTheme="minorHAnsi" w:hAnsiTheme="minorHAnsi" w:cstheme="minorHAnsi"/>
        </w:rPr>
        <w:t>/2014, pp. 150-166.</w:t>
      </w:r>
      <w:r w:rsidRPr="006E5E03">
        <w:rPr>
          <w:rFonts w:asciiTheme="minorHAnsi" w:hAnsiTheme="minorHAnsi" w:cstheme="minorHAnsi"/>
        </w:rPr>
        <w:t xml:space="preserve"> </w:t>
      </w:r>
      <w:hyperlink r:id="rId60" w:history="1">
        <w:r w:rsidRPr="00A563D4">
          <w:rPr>
            <w:rStyle w:val="Hypertextovodkaz"/>
            <w:rFonts w:asciiTheme="minorHAnsi" w:hAnsiTheme="minorHAnsi" w:cstheme="minorHAnsi"/>
            <w:sz w:val="18"/>
          </w:rPr>
          <w:t>https://www.sav.sk/journals/uploads/0620133702%2014%20Pucek+RS1.PDF</w:t>
        </w:r>
      </w:hyperlink>
    </w:p>
    <w:p w14:paraId="53912DE9" w14:textId="77777777" w:rsidR="00A02618" w:rsidRPr="00A563D4" w:rsidRDefault="00A02618" w:rsidP="00A02618">
      <w:pPr>
        <w:autoSpaceDE w:val="0"/>
        <w:spacing w:after="80" w:line="240" w:lineRule="auto"/>
        <w:rPr>
          <w:rStyle w:val="Hypertextovodkaz"/>
          <w:sz w:val="19"/>
          <w:szCs w:val="19"/>
        </w:rPr>
      </w:pPr>
      <w:r w:rsidRPr="006E5E03">
        <w:rPr>
          <w:rFonts w:asciiTheme="minorHAnsi" w:hAnsiTheme="minorHAnsi" w:cstheme="minorHAnsi"/>
          <w:sz w:val="20"/>
          <w:szCs w:val="20"/>
        </w:rPr>
        <w:t>PŮČEK, M. J.,</w:t>
      </w:r>
      <w:r w:rsidRPr="006E5E03">
        <w:rPr>
          <w:rFonts w:asciiTheme="minorHAnsi" w:hAnsiTheme="minorHAnsi" w:cstheme="minorHAnsi"/>
          <w:sz w:val="20"/>
          <w:szCs w:val="20"/>
          <w:lang w:eastAsia="x-none"/>
        </w:rPr>
        <w:t xml:space="preserve"> (2015) </w:t>
      </w:r>
      <w:r w:rsidRPr="006E5E03">
        <w:rPr>
          <w:rFonts w:asciiTheme="minorHAnsi" w:hAnsiTheme="minorHAnsi" w:cstheme="minorHAnsi"/>
          <w:i/>
          <w:sz w:val="20"/>
          <w:szCs w:val="20"/>
          <w:lang w:eastAsia="x-none"/>
        </w:rPr>
        <w:t>Udržitelné finanční řízení</w:t>
      </w:r>
      <w:r w:rsidRPr="006E5E03">
        <w:rPr>
          <w:rFonts w:asciiTheme="minorHAnsi" w:hAnsiTheme="minorHAnsi" w:cstheme="minorHAnsi"/>
          <w:sz w:val="20"/>
          <w:szCs w:val="20"/>
          <w:lang w:eastAsia="x-none"/>
        </w:rPr>
        <w:t xml:space="preserve">. Praha: NSZM. Dostupné na: </w:t>
      </w:r>
      <w:hyperlink r:id="rId61" w:history="1">
        <w:r w:rsidRPr="00A563D4">
          <w:rPr>
            <w:rStyle w:val="Hypertextovodkaz"/>
            <w:rFonts w:asciiTheme="minorHAnsi" w:hAnsiTheme="minorHAnsi" w:cstheme="minorHAnsi"/>
            <w:sz w:val="19"/>
            <w:szCs w:val="19"/>
          </w:rPr>
          <w:t>https://www.dataplan.info/img_upload/f96fc5d7def29509aeffc6784e61f65b/publikace_pucek_udrz.fin.rizeni.pdf</w:t>
        </w:r>
      </w:hyperlink>
    </w:p>
    <w:p w14:paraId="039B28BA" w14:textId="77777777" w:rsidR="00A02618" w:rsidRPr="00A563D4" w:rsidRDefault="00A02618" w:rsidP="00A02618">
      <w:pPr>
        <w:spacing w:after="80" w:line="240" w:lineRule="auto"/>
        <w:jc w:val="both"/>
        <w:rPr>
          <w:rStyle w:val="Hypertextovodkaz"/>
          <w:rFonts w:asciiTheme="minorHAnsi" w:hAnsiTheme="minorHAnsi" w:cstheme="minorHAnsi"/>
          <w:sz w:val="20"/>
          <w:szCs w:val="20"/>
        </w:rPr>
      </w:pPr>
      <w:r w:rsidRPr="006E5E03">
        <w:rPr>
          <w:rFonts w:asciiTheme="minorHAnsi" w:hAnsiTheme="minorHAnsi" w:cstheme="minorHAnsi"/>
          <w:sz w:val="20"/>
          <w:szCs w:val="20"/>
        </w:rPr>
        <w:t xml:space="preserve">PŮČEK, M. J., (2020) </w:t>
      </w:r>
      <w:r w:rsidRPr="006E5E03">
        <w:rPr>
          <w:rFonts w:asciiTheme="minorHAnsi" w:hAnsiTheme="minorHAnsi" w:cstheme="minorHAnsi"/>
          <w:i/>
          <w:sz w:val="20"/>
          <w:szCs w:val="20"/>
        </w:rPr>
        <w:t>Techniky efektivního řízení měst a obcí - část „Analýza rizik“ (metodika).</w:t>
      </w:r>
      <w:r w:rsidRPr="006E5E03">
        <w:rPr>
          <w:rFonts w:asciiTheme="minorHAnsi" w:hAnsiTheme="minorHAnsi" w:cstheme="minorHAnsi"/>
          <w:sz w:val="20"/>
          <w:szCs w:val="20"/>
        </w:rPr>
        <w:t xml:space="preserve"> Praha: NSZM, 2020. Dostupné z </w:t>
      </w:r>
      <w:hyperlink r:id="rId62" w:history="1">
        <w:r w:rsidRPr="00A563D4">
          <w:rPr>
            <w:rStyle w:val="Hypertextovodkaz"/>
            <w:rFonts w:asciiTheme="minorHAnsi" w:hAnsiTheme="minorHAnsi" w:cstheme="minorHAnsi"/>
            <w:sz w:val="20"/>
            <w:szCs w:val="20"/>
          </w:rPr>
          <w:t>https://dobrapraxe.cz/cz/video/nszm-videokurz-analyza-rizik</w:t>
        </w:r>
      </w:hyperlink>
    </w:p>
    <w:p w14:paraId="72761C51" w14:textId="77777777" w:rsidR="00A02618" w:rsidRPr="00A563D4" w:rsidRDefault="00A02618" w:rsidP="00A02618">
      <w:pPr>
        <w:autoSpaceDE w:val="0"/>
        <w:spacing w:after="80" w:line="240" w:lineRule="auto"/>
        <w:jc w:val="both"/>
        <w:rPr>
          <w:rStyle w:val="Hypertextovodkaz"/>
          <w:sz w:val="18"/>
          <w:szCs w:val="18"/>
        </w:rPr>
      </w:pPr>
      <w:r w:rsidRPr="006E5E03">
        <w:rPr>
          <w:rFonts w:asciiTheme="minorHAnsi" w:hAnsiTheme="minorHAnsi" w:cstheme="minorHAnsi"/>
          <w:sz w:val="20"/>
          <w:szCs w:val="20"/>
          <w:lang w:eastAsia="x-none"/>
        </w:rPr>
        <w:t xml:space="preserve">PŮČEK, M. J., KOPPITZ, D., (2012) </w:t>
      </w:r>
      <w:r w:rsidRPr="006E5E03">
        <w:rPr>
          <w:rFonts w:asciiTheme="minorHAnsi" w:hAnsiTheme="minorHAnsi" w:cstheme="minorHAnsi"/>
          <w:i/>
          <w:sz w:val="20"/>
          <w:szCs w:val="20"/>
          <w:lang w:eastAsia="x-none"/>
        </w:rPr>
        <w:t>Strategické řízení a plánování pro obce, města a regiony</w:t>
      </w:r>
      <w:r w:rsidRPr="006E5E03">
        <w:rPr>
          <w:rFonts w:asciiTheme="minorHAnsi" w:hAnsiTheme="minorHAnsi" w:cstheme="minorHAnsi"/>
          <w:sz w:val="20"/>
          <w:szCs w:val="20"/>
          <w:lang w:eastAsia="x-none"/>
        </w:rPr>
        <w:t xml:space="preserve">. Praha: NSZM. Dostupné na: </w:t>
      </w:r>
      <w:hyperlink r:id="rId63" w:history="1">
        <w:r w:rsidRPr="00A563D4">
          <w:rPr>
            <w:rStyle w:val="Hypertextovodkaz"/>
            <w:rFonts w:asciiTheme="minorHAnsi" w:hAnsiTheme="minorHAnsi" w:cstheme="minorHAnsi"/>
            <w:sz w:val="18"/>
            <w:szCs w:val="18"/>
          </w:rPr>
          <w:t>https://www.dataplan.info/img_upload/f96fc5d7def29509aeffc6784e61f65b/publikace-nszm-el_2.pdf</w:t>
        </w:r>
      </w:hyperlink>
    </w:p>
    <w:p w14:paraId="38294AD5" w14:textId="77777777" w:rsidR="00A02618" w:rsidRPr="00A563D4" w:rsidRDefault="00A02618" w:rsidP="00A02618">
      <w:pPr>
        <w:widowControl w:val="0"/>
        <w:autoSpaceDE w:val="0"/>
        <w:autoSpaceDN w:val="0"/>
        <w:adjustRightInd w:val="0"/>
        <w:spacing w:after="80" w:line="240" w:lineRule="auto"/>
        <w:rPr>
          <w:rStyle w:val="Hypertextovodkaz"/>
        </w:rPr>
      </w:pPr>
      <w:r w:rsidRPr="006E5E03">
        <w:rPr>
          <w:rFonts w:asciiTheme="minorHAnsi" w:hAnsiTheme="minorHAnsi" w:cstheme="minorHAnsi"/>
          <w:sz w:val="20"/>
          <w:szCs w:val="20"/>
        </w:rPr>
        <w:t xml:space="preserve">PŮČEK, M. J., KŘÁPEK, M., MISIAČEK R., (2022) </w:t>
      </w:r>
      <w:r w:rsidRPr="006E5E03">
        <w:rPr>
          <w:rFonts w:asciiTheme="minorHAnsi" w:hAnsiTheme="minorHAnsi" w:cstheme="minorHAnsi"/>
          <w:i/>
          <w:sz w:val="20"/>
          <w:szCs w:val="20"/>
        </w:rPr>
        <w:t>SWOT analýza v rámci veřejné strategie.</w:t>
      </w:r>
      <w:r w:rsidRPr="006E5E03">
        <w:rPr>
          <w:rFonts w:asciiTheme="minorHAnsi" w:hAnsiTheme="minorHAnsi" w:cstheme="minorHAnsi"/>
          <w:sz w:val="20"/>
          <w:szCs w:val="20"/>
        </w:rPr>
        <w:t xml:space="preserve"> Praha: Ministerstvo pro místní rozvoj. </w:t>
      </w:r>
      <w:bookmarkStart w:id="124" w:name="_Hlk115703351"/>
      <w:r w:rsidRPr="006E5E03">
        <w:rPr>
          <w:rFonts w:asciiTheme="minorHAnsi" w:hAnsiTheme="minorHAnsi" w:cstheme="minorHAnsi"/>
          <w:sz w:val="20"/>
          <w:szCs w:val="20"/>
          <w:lang w:eastAsia="x-none"/>
        </w:rPr>
        <w:t xml:space="preserve">Dostupné na: </w:t>
      </w:r>
      <w:bookmarkEnd w:id="124"/>
      <w:r>
        <w:fldChar w:fldCharType="begin"/>
      </w:r>
      <w:r>
        <w:instrText xml:space="preserve"> HYPERLINK "https://mmr.cz/cs/microsites/portal-strategicke-prace-v-ceske-republice/nastroje-a-metodicka-podpora/nastroje-pro-strategickou-praci/" </w:instrText>
      </w:r>
      <w:r>
        <w:fldChar w:fldCharType="separate"/>
      </w:r>
      <w:r w:rsidRPr="00A563D4">
        <w:rPr>
          <w:rStyle w:val="Hypertextovodkaz"/>
          <w:rFonts w:asciiTheme="minorHAnsi" w:hAnsiTheme="minorHAnsi" w:cstheme="minorHAnsi"/>
          <w:sz w:val="20"/>
          <w:szCs w:val="20"/>
        </w:rPr>
        <w:t>https://mmr.cz/cs/microsites/portal-strategicke-prace-v-ceske-republice/nastroje-a-metodicka-podpora/nastroje-pro-strategickou-praci/</w:t>
      </w:r>
      <w:r>
        <w:rPr>
          <w:rStyle w:val="Hypertextovodkaz"/>
          <w:rFonts w:asciiTheme="minorHAnsi" w:hAnsiTheme="minorHAnsi" w:cstheme="minorHAnsi"/>
          <w:sz w:val="20"/>
          <w:szCs w:val="20"/>
        </w:rPr>
        <w:fldChar w:fldCharType="end"/>
      </w:r>
    </w:p>
    <w:p w14:paraId="2328AD84" w14:textId="77777777" w:rsidR="00A02618" w:rsidRPr="006E5E03" w:rsidRDefault="00A02618" w:rsidP="00A02618">
      <w:pPr>
        <w:spacing w:after="80" w:line="240" w:lineRule="auto"/>
        <w:jc w:val="both"/>
        <w:rPr>
          <w:rFonts w:asciiTheme="minorHAnsi" w:hAnsiTheme="minorHAnsi" w:cstheme="minorHAnsi"/>
          <w:sz w:val="20"/>
          <w:szCs w:val="20"/>
          <w:lang w:eastAsia="x-none"/>
        </w:rPr>
      </w:pPr>
      <w:r w:rsidRPr="006E5E03">
        <w:rPr>
          <w:rFonts w:asciiTheme="minorHAnsi" w:hAnsiTheme="minorHAnsi" w:cstheme="minorHAnsi"/>
          <w:sz w:val="20"/>
          <w:szCs w:val="20"/>
        </w:rPr>
        <w:t>PŮČEK, M. J.</w:t>
      </w:r>
      <w:r w:rsidRPr="006E5E03">
        <w:rPr>
          <w:rFonts w:asciiTheme="minorHAnsi" w:hAnsiTheme="minorHAnsi" w:cstheme="minorHAnsi"/>
          <w:sz w:val="20"/>
          <w:szCs w:val="20"/>
          <w:lang w:eastAsia="x-none"/>
        </w:rPr>
        <w:t xml:space="preserve">, OCHRANA, F., PLAČEK, M. (2021) </w:t>
      </w:r>
      <w:r w:rsidRPr="006E5E03">
        <w:rPr>
          <w:rFonts w:asciiTheme="minorHAnsi" w:hAnsiTheme="minorHAnsi" w:cstheme="minorHAnsi"/>
          <w:i/>
          <w:sz w:val="20"/>
          <w:szCs w:val="20"/>
          <w:lang w:eastAsia="x-none"/>
        </w:rPr>
        <w:t>Museum Management. Opportunities and Threats for Successful Museums</w:t>
      </w:r>
      <w:r w:rsidRPr="006E5E03">
        <w:rPr>
          <w:rFonts w:asciiTheme="minorHAnsi" w:hAnsiTheme="minorHAnsi" w:cstheme="minorHAnsi"/>
          <w:sz w:val="20"/>
          <w:szCs w:val="20"/>
          <w:lang w:eastAsia="x-none"/>
        </w:rPr>
        <w:t>. Springer Nature</w:t>
      </w:r>
    </w:p>
    <w:p w14:paraId="6A955626" w14:textId="77777777" w:rsidR="00A02618" w:rsidRPr="006E5E03" w:rsidRDefault="00A02618" w:rsidP="00A02618">
      <w:pPr>
        <w:pStyle w:val="Textkomente"/>
        <w:spacing w:after="80"/>
        <w:jc w:val="both"/>
        <w:rPr>
          <w:rFonts w:asciiTheme="minorHAnsi" w:hAnsiTheme="minorHAnsi" w:cstheme="minorHAnsi"/>
        </w:rPr>
      </w:pPr>
      <w:r w:rsidRPr="006E5E03">
        <w:rPr>
          <w:rFonts w:asciiTheme="minorHAnsi" w:hAnsiTheme="minorHAnsi" w:cstheme="minorHAnsi"/>
        </w:rPr>
        <w:t xml:space="preserve">PŮČEK, M. J., PÁLENÍKOVÁ, M., (2022) </w:t>
      </w:r>
      <w:r w:rsidRPr="006E5E03">
        <w:rPr>
          <w:rFonts w:asciiTheme="minorHAnsi" w:hAnsiTheme="minorHAnsi" w:cstheme="minorHAnsi"/>
          <w:i/>
        </w:rPr>
        <w:t xml:space="preserve">Řízení rizik a využívání příležitostí jako nástroj pro zlepšení řízení a kontroly veřejných financí. </w:t>
      </w:r>
      <w:r w:rsidRPr="006E5E03">
        <w:rPr>
          <w:rFonts w:asciiTheme="minorHAnsi" w:hAnsiTheme="minorHAnsi" w:cstheme="minorHAnsi"/>
        </w:rPr>
        <w:t>Brno: Masarykova univerzita, Ekonomicko-správní fakulta</w:t>
      </w:r>
    </w:p>
    <w:p w14:paraId="7E16EEA8" w14:textId="77777777" w:rsidR="00A02618" w:rsidRPr="00A563D4" w:rsidRDefault="00A02618" w:rsidP="00A02618">
      <w:pPr>
        <w:spacing w:after="80" w:line="240" w:lineRule="auto"/>
        <w:jc w:val="both"/>
        <w:rPr>
          <w:rFonts w:asciiTheme="minorHAnsi" w:hAnsiTheme="minorHAnsi" w:cstheme="minorHAnsi"/>
          <w:sz w:val="20"/>
          <w:szCs w:val="20"/>
        </w:rPr>
      </w:pPr>
      <w:r w:rsidRPr="006E5E03">
        <w:rPr>
          <w:rFonts w:asciiTheme="minorHAnsi" w:hAnsiTheme="minorHAnsi" w:cstheme="minorHAnsi"/>
          <w:sz w:val="20"/>
          <w:szCs w:val="20"/>
        </w:rPr>
        <w:t xml:space="preserve">PŮČEK, M., J., PÁLENÍKOVÁ, M., (2022) </w:t>
      </w:r>
      <w:r w:rsidRPr="006E5E03">
        <w:rPr>
          <w:rFonts w:asciiTheme="minorHAnsi" w:hAnsiTheme="minorHAnsi" w:cstheme="minorHAnsi"/>
          <w:i/>
          <w:sz w:val="20"/>
          <w:szCs w:val="20"/>
        </w:rPr>
        <w:t xml:space="preserve">Hospodárnost, efektivnost, účelnost (jako nástroj </w:t>
      </w:r>
      <w:r w:rsidRPr="00A563D4">
        <w:rPr>
          <w:rFonts w:asciiTheme="minorHAnsi" w:hAnsiTheme="minorHAnsi" w:cstheme="minorHAnsi"/>
          <w:i/>
          <w:sz w:val="20"/>
          <w:szCs w:val="20"/>
        </w:rPr>
        <w:t>pro zlepšení řízení a kontroly veřejných financí).</w:t>
      </w:r>
      <w:r w:rsidRPr="00A563D4">
        <w:rPr>
          <w:rFonts w:asciiTheme="minorHAnsi" w:hAnsiTheme="minorHAnsi" w:cstheme="minorHAnsi"/>
          <w:sz w:val="20"/>
          <w:szCs w:val="20"/>
        </w:rPr>
        <w:t xml:space="preserve"> Brno: Masarykova universita, Ekonomicko-správní fakulta</w:t>
      </w:r>
    </w:p>
    <w:p w14:paraId="50CE90BA"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PŮČEK, M., MATOCHOVÁ, J., (2007) </w:t>
      </w:r>
      <w:r w:rsidRPr="006E5E03">
        <w:rPr>
          <w:rFonts w:asciiTheme="minorHAnsi" w:hAnsiTheme="minorHAnsi" w:cstheme="minorHAnsi"/>
          <w:i/>
          <w:iCs/>
          <w:shd w:val="clear" w:color="auto" w:fill="FFFFFF"/>
        </w:rPr>
        <w:t>Řízení rizik a financí</w:t>
      </w:r>
      <w:r w:rsidRPr="006E5E03">
        <w:rPr>
          <w:rFonts w:asciiTheme="minorHAnsi" w:hAnsiTheme="minorHAnsi" w:cstheme="minorHAnsi"/>
          <w:shd w:val="clear" w:color="auto" w:fill="FFFFFF"/>
        </w:rPr>
        <w:t>. Praha: MEPCO.</w:t>
      </w:r>
    </w:p>
    <w:p w14:paraId="1F93066A"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PŮČEK, M., OCHRANA, F. (2009) </w:t>
      </w:r>
      <w:r w:rsidRPr="006E5E03">
        <w:rPr>
          <w:rFonts w:asciiTheme="minorHAnsi" w:hAnsiTheme="minorHAnsi" w:cstheme="minorHAnsi"/>
          <w:i/>
          <w:iCs/>
          <w:shd w:val="clear" w:color="auto" w:fill="FFFFFF"/>
        </w:rPr>
        <w:t xml:space="preserve">Chytrá veřejná správa. </w:t>
      </w:r>
      <w:r w:rsidRPr="006E5E03">
        <w:rPr>
          <w:rFonts w:asciiTheme="minorHAnsi" w:hAnsiTheme="minorHAnsi" w:cstheme="minorHAnsi"/>
          <w:shd w:val="clear" w:color="auto" w:fill="FFFFFF"/>
        </w:rPr>
        <w:t>Praha: MMR.</w:t>
      </w:r>
    </w:p>
    <w:p w14:paraId="6669D7FD" w14:textId="77777777" w:rsidR="00A02618" w:rsidRDefault="00A02618" w:rsidP="00A02618">
      <w:pPr>
        <w:autoSpaceDE w:val="0"/>
        <w:autoSpaceDN w:val="0"/>
        <w:adjustRightInd w:val="0"/>
        <w:spacing w:after="80" w:line="240" w:lineRule="auto"/>
        <w:rPr>
          <w:rFonts w:asciiTheme="minorHAnsi" w:eastAsia="Calibri" w:hAnsiTheme="minorHAnsi" w:cstheme="minorHAnsi"/>
          <w:sz w:val="20"/>
          <w:szCs w:val="20"/>
        </w:rPr>
      </w:pPr>
      <w:r w:rsidRPr="006E5E03">
        <w:rPr>
          <w:rFonts w:asciiTheme="minorHAnsi" w:eastAsia="Calibri" w:hAnsiTheme="minorHAnsi" w:cstheme="minorHAnsi"/>
          <w:sz w:val="20"/>
          <w:szCs w:val="20"/>
        </w:rPr>
        <w:t xml:space="preserve">SENGE, P. M. (2009) </w:t>
      </w:r>
      <w:r w:rsidRPr="006E5E03">
        <w:rPr>
          <w:rFonts w:asciiTheme="minorHAnsi" w:eastAsia="Calibri" w:hAnsiTheme="minorHAnsi" w:cstheme="minorHAnsi"/>
          <w:i/>
          <w:iCs/>
          <w:sz w:val="20"/>
          <w:szCs w:val="20"/>
        </w:rPr>
        <w:t>Pátá disciplína. Teorie a praxe učící se organizace</w:t>
      </w:r>
      <w:r w:rsidRPr="006E5E03">
        <w:rPr>
          <w:rFonts w:asciiTheme="minorHAnsi" w:eastAsia="Calibri" w:hAnsiTheme="minorHAnsi" w:cstheme="minorHAnsi"/>
          <w:sz w:val="20"/>
          <w:szCs w:val="20"/>
        </w:rPr>
        <w:t>. Praha: Management Press</w:t>
      </w:r>
    </w:p>
    <w:p w14:paraId="058FE9B1" w14:textId="77777777" w:rsidR="00A02618" w:rsidRPr="001A4342" w:rsidRDefault="00A02618" w:rsidP="00A02618">
      <w:pPr>
        <w:autoSpaceDE w:val="0"/>
        <w:autoSpaceDN w:val="0"/>
        <w:adjustRightInd w:val="0"/>
        <w:spacing w:after="80" w:line="240" w:lineRule="auto"/>
        <w:rPr>
          <w:rStyle w:val="Hypertextovodkaz"/>
        </w:rPr>
      </w:pPr>
      <w:r>
        <w:rPr>
          <w:rFonts w:asciiTheme="minorHAnsi" w:eastAsia="Calibri" w:hAnsiTheme="minorHAnsi" w:cstheme="minorHAnsi"/>
          <w:sz w:val="20"/>
          <w:szCs w:val="20"/>
        </w:rPr>
        <w:t xml:space="preserve">SOUKUPOVÁ, J. (2006) </w:t>
      </w:r>
      <w:r w:rsidRPr="001A4342">
        <w:rPr>
          <w:rFonts w:asciiTheme="minorHAnsi" w:eastAsia="Calibri" w:hAnsiTheme="minorHAnsi" w:cstheme="minorHAnsi"/>
          <w:i/>
          <w:iCs/>
          <w:sz w:val="20"/>
          <w:szCs w:val="20"/>
        </w:rPr>
        <w:t>Metody hodnocení veřejných projektů</w:t>
      </w:r>
      <w:r>
        <w:rPr>
          <w:rFonts w:asciiTheme="minorHAnsi" w:eastAsia="Calibri" w:hAnsiTheme="minorHAnsi" w:cstheme="minorHAnsi"/>
          <w:i/>
          <w:iCs/>
          <w:sz w:val="20"/>
          <w:szCs w:val="20"/>
        </w:rPr>
        <w:t xml:space="preserve">. </w:t>
      </w:r>
      <w:r w:rsidRPr="00D4496E">
        <w:rPr>
          <w:rFonts w:asciiTheme="minorHAnsi" w:eastAsia="Calibri" w:hAnsiTheme="minorHAnsi" w:cstheme="minorHAnsi"/>
          <w:sz w:val="20"/>
          <w:szCs w:val="20"/>
        </w:rPr>
        <w:t>Brno: MUNI</w:t>
      </w:r>
      <w:r>
        <w:rPr>
          <w:rFonts w:asciiTheme="minorHAnsi" w:eastAsia="Calibri" w:hAnsiTheme="minorHAnsi" w:cstheme="minorHAnsi"/>
          <w:i/>
          <w:iCs/>
          <w:sz w:val="20"/>
          <w:szCs w:val="20"/>
        </w:rPr>
        <w:t xml:space="preserve">, </w:t>
      </w:r>
      <w:r w:rsidRPr="006E5E03">
        <w:rPr>
          <w:rFonts w:asciiTheme="minorHAnsi" w:hAnsiTheme="minorHAnsi" w:cstheme="minorHAnsi"/>
          <w:sz w:val="20"/>
          <w:szCs w:val="20"/>
          <w:lang w:eastAsia="x-none"/>
        </w:rPr>
        <w:t xml:space="preserve">Dostupné na: </w:t>
      </w:r>
      <w:r w:rsidRPr="00D334AF">
        <w:rPr>
          <w:rStyle w:val="Hypertextovodkaz"/>
          <w:rFonts w:asciiTheme="minorHAnsi" w:hAnsiTheme="minorHAnsi" w:cstheme="minorHAnsi"/>
          <w:sz w:val="20"/>
          <w:szCs w:val="20"/>
        </w:rPr>
        <w:t>https://is.muni.cz/el/1456/podzim2008/PVMHVP/um/Studijni_text_MHVP_on-line.pdf</w:t>
      </w:r>
    </w:p>
    <w:p w14:paraId="7D04EA89"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 xml:space="preserve">ŠIROKÝ, J., a kol. (2006) </w:t>
      </w:r>
      <w:r w:rsidRPr="006E5E03">
        <w:rPr>
          <w:rFonts w:asciiTheme="minorHAnsi" w:hAnsiTheme="minorHAnsi" w:cstheme="minorHAnsi"/>
          <w:i/>
          <w:iCs/>
          <w:shd w:val="clear" w:color="auto" w:fill="FFFFFF"/>
        </w:rPr>
        <w:t xml:space="preserve">Benchmarking ve veřejné správě. </w:t>
      </w:r>
      <w:r w:rsidRPr="006E5E03">
        <w:rPr>
          <w:rFonts w:asciiTheme="minorHAnsi" w:hAnsiTheme="minorHAnsi" w:cstheme="minorHAnsi"/>
          <w:shd w:val="clear" w:color="auto" w:fill="FFFFFF"/>
        </w:rPr>
        <w:t>Praha: MVČR.</w:t>
      </w:r>
    </w:p>
    <w:p w14:paraId="40A695A9"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VODÁČEK, L. a O. VODÁČKOVÁ. (2013) Moderní management v teorii a praxi. 3. rozšířené vyd. Praha: Management Press</w:t>
      </w:r>
    </w:p>
    <w:p w14:paraId="51C85307" w14:textId="77777777" w:rsidR="00A02618" w:rsidRPr="006E5E03" w:rsidRDefault="00A02618" w:rsidP="00A02618">
      <w:pPr>
        <w:pStyle w:val="Textkomente"/>
        <w:spacing w:after="80"/>
        <w:jc w:val="both"/>
        <w:rPr>
          <w:rFonts w:asciiTheme="minorHAnsi" w:hAnsiTheme="minorHAnsi" w:cstheme="minorHAnsi"/>
          <w:shd w:val="clear" w:color="auto" w:fill="FFFFFF"/>
        </w:rPr>
      </w:pPr>
      <w:r w:rsidRPr="006E5E03">
        <w:rPr>
          <w:rFonts w:asciiTheme="minorHAnsi" w:hAnsiTheme="minorHAnsi" w:cstheme="minorHAnsi"/>
          <w:shd w:val="clear" w:color="auto" w:fill="FFFFFF"/>
        </w:rPr>
        <w:t>VRABKOVÁ, I. (2012). Benchmarking a jeho vliv na výkonnost úřadů obcí s rozšířenou působností. Ekonomická revue. Volume 15: 41–50 (2012).</w:t>
      </w:r>
    </w:p>
    <w:p w14:paraId="0D261D32" w14:textId="77777777" w:rsidR="00A02618" w:rsidRPr="00F032A2" w:rsidRDefault="00A02618" w:rsidP="00A02618">
      <w:pPr>
        <w:spacing w:after="80" w:line="240" w:lineRule="auto"/>
        <w:jc w:val="both"/>
        <w:rPr>
          <w:rFonts w:asciiTheme="minorHAnsi" w:hAnsiTheme="minorHAnsi" w:cstheme="minorHAnsi"/>
          <w:sz w:val="20"/>
          <w:szCs w:val="20"/>
        </w:rPr>
      </w:pPr>
      <w:r w:rsidRPr="00752417">
        <w:rPr>
          <w:rFonts w:asciiTheme="minorHAnsi" w:hAnsiTheme="minorHAnsi" w:cstheme="minorHAnsi"/>
          <w:sz w:val="20"/>
          <w:szCs w:val="20"/>
        </w:rPr>
        <w:t>Zákony: Zákon o finanční kontrole</w:t>
      </w:r>
      <w:r>
        <w:rPr>
          <w:rFonts w:asciiTheme="minorHAnsi" w:hAnsiTheme="minorHAnsi" w:cstheme="minorHAnsi"/>
          <w:sz w:val="20"/>
          <w:szCs w:val="20"/>
        </w:rPr>
        <w:t>;</w:t>
      </w:r>
      <w:r w:rsidRPr="00752417">
        <w:rPr>
          <w:rFonts w:asciiTheme="minorHAnsi" w:hAnsiTheme="minorHAnsi" w:cstheme="minorHAnsi"/>
          <w:sz w:val="20"/>
          <w:szCs w:val="20"/>
        </w:rPr>
        <w:t xml:space="preserve"> Trestní zákon</w:t>
      </w:r>
      <w:r>
        <w:rPr>
          <w:rFonts w:asciiTheme="minorHAnsi" w:hAnsiTheme="minorHAnsi" w:cstheme="minorHAnsi"/>
          <w:sz w:val="20"/>
          <w:szCs w:val="20"/>
        </w:rPr>
        <w:t>ík; Zákon o veřejných zakázkách; Z</w:t>
      </w:r>
      <w:r w:rsidRPr="00F032A2">
        <w:rPr>
          <w:rFonts w:asciiTheme="minorHAnsi" w:hAnsiTheme="minorHAnsi" w:cstheme="minorHAnsi"/>
          <w:sz w:val="20"/>
          <w:szCs w:val="20"/>
        </w:rPr>
        <w:t>ákon o rozpočtových pravidlech</w:t>
      </w:r>
      <w:r>
        <w:rPr>
          <w:rFonts w:asciiTheme="minorHAnsi" w:hAnsiTheme="minorHAnsi" w:cstheme="minorHAnsi"/>
          <w:sz w:val="20"/>
          <w:szCs w:val="20"/>
        </w:rPr>
        <w:t>; Z</w:t>
      </w:r>
      <w:r w:rsidRPr="00F032A2">
        <w:rPr>
          <w:rFonts w:asciiTheme="minorHAnsi" w:hAnsiTheme="minorHAnsi" w:cstheme="minorHAnsi"/>
          <w:sz w:val="20"/>
          <w:szCs w:val="20"/>
        </w:rPr>
        <w:t>ákon o rozpočtových pravidlech územních rozpočtů</w:t>
      </w:r>
      <w:r>
        <w:rPr>
          <w:rFonts w:asciiTheme="minorHAnsi" w:hAnsiTheme="minorHAnsi" w:cstheme="minorHAnsi"/>
          <w:sz w:val="20"/>
          <w:szCs w:val="20"/>
        </w:rPr>
        <w:t>; Z</w:t>
      </w:r>
      <w:r w:rsidRPr="00F032A2">
        <w:rPr>
          <w:rFonts w:asciiTheme="minorHAnsi" w:hAnsiTheme="minorHAnsi" w:cstheme="minorHAnsi"/>
          <w:sz w:val="20"/>
          <w:szCs w:val="20"/>
        </w:rPr>
        <w:t>ákon o majetku ČR a jejím vystupování v právních vztazích</w:t>
      </w:r>
      <w:r>
        <w:rPr>
          <w:rFonts w:asciiTheme="minorHAnsi" w:hAnsiTheme="minorHAnsi" w:cstheme="minorHAnsi"/>
          <w:sz w:val="20"/>
          <w:szCs w:val="20"/>
        </w:rPr>
        <w:t>; Z</w:t>
      </w:r>
      <w:r w:rsidRPr="00F032A2">
        <w:rPr>
          <w:rFonts w:asciiTheme="minorHAnsi" w:hAnsiTheme="minorHAnsi" w:cstheme="minorHAnsi"/>
          <w:sz w:val="20"/>
          <w:szCs w:val="20"/>
        </w:rPr>
        <w:t>ákon o pravidlech rozpočtové odpovědnosti</w:t>
      </w:r>
      <w:r>
        <w:rPr>
          <w:rFonts w:asciiTheme="minorHAnsi" w:hAnsiTheme="minorHAnsi" w:cstheme="minorHAnsi"/>
          <w:sz w:val="20"/>
          <w:szCs w:val="20"/>
        </w:rPr>
        <w:t>; Z</w:t>
      </w:r>
      <w:r w:rsidRPr="00F032A2">
        <w:rPr>
          <w:rFonts w:asciiTheme="minorHAnsi" w:hAnsiTheme="minorHAnsi" w:cstheme="minorHAnsi"/>
          <w:sz w:val="20"/>
          <w:szCs w:val="20"/>
        </w:rPr>
        <w:t>ákon o obcích</w:t>
      </w:r>
      <w:r>
        <w:rPr>
          <w:rFonts w:asciiTheme="minorHAnsi" w:hAnsiTheme="minorHAnsi" w:cstheme="minorHAnsi"/>
          <w:sz w:val="20"/>
          <w:szCs w:val="20"/>
        </w:rPr>
        <w:t>;</w:t>
      </w:r>
      <w:r w:rsidRPr="00F032A2">
        <w:rPr>
          <w:rFonts w:asciiTheme="minorHAnsi" w:hAnsiTheme="minorHAnsi" w:cstheme="minorHAnsi"/>
          <w:sz w:val="20"/>
          <w:szCs w:val="20"/>
        </w:rPr>
        <w:t xml:space="preserve"> </w:t>
      </w:r>
      <w:r>
        <w:rPr>
          <w:rFonts w:asciiTheme="minorHAnsi" w:hAnsiTheme="minorHAnsi" w:cstheme="minorHAnsi"/>
          <w:sz w:val="20"/>
          <w:szCs w:val="20"/>
        </w:rPr>
        <w:t>Z</w:t>
      </w:r>
      <w:r w:rsidRPr="00F032A2">
        <w:rPr>
          <w:rFonts w:asciiTheme="minorHAnsi" w:hAnsiTheme="minorHAnsi" w:cstheme="minorHAnsi"/>
          <w:sz w:val="20"/>
          <w:szCs w:val="20"/>
        </w:rPr>
        <w:t>ákon o Hlavním městě Praha</w:t>
      </w:r>
      <w:r>
        <w:rPr>
          <w:rFonts w:asciiTheme="minorHAnsi" w:hAnsiTheme="minorHAnsi" w:cstheme="minorHAnsi"/>
          <w:sz w:val="20"/>
          <w:szCs w:val="20"/>
        </w:rPr>
        <w:t>; Z</w:t>
      </w:r>
      <w:r w:rsidRPr="00F032A2">
        <w:rPr>
          <w:rFonts w:asciiTheme="minorHAnsi" w:hAnsiTheme="minorHAnsi" w:cstheme="minorHAnsi"/>
          <w:sz w:val="20"/>
          <w:szCs w:val="20"/>
        </w:rPr>
        <w:t>ákon o krajích</w:t>
      </w:r>
      <w:r>
        <w:rPr>
          <w:rFonts w:asciiTheme="minorHAnsi" w:hAnsiTheme="minorHAnsi" w:cstheme="minorHAnsi"/>
          <w:sz w:val="20"/>
          <w:szCs w:val="20"/>
        </w:rPr>
        <w:t>; Z</w:t>
      </w:r>
      <w:r w:rsidRPr="00F032A2">
        <w:rPr>
          <w:rFonts w:asciiTheme="minorHAnsi" w:hAnsiTheme="minorHAnsi" w:cstheme="minorHAnsi"/>
          <w:sz w:val="20"/>
          <w:szCs w:val="20"/>
        </w:rPr>
        <w:t>ákon o rozpočtovém určení daní</w:t>
      </w:r>
      <w:r>
        <w:rPr>
          <w:rFonts w:asciiTheme="minorHAnsi" w:hAnsiTheme="minorHAnsi" w:cstheme="minorHAnsi"/>
          <w:sz w:val="20"/>
          <w:szCs w:val="20"/>
        </w:rPr>
        <w:t>; Z</w:t>
      </w:r>
      <w:r w:rsidRPr="00F032A2">
        <w:rPr>
          <w:rFonts w:asciiTheme="minorHAnsi" w:hAnsiTheme="minorHAnsi" w:cstheme="minorHAnsi"/>
          <w:sz w:val="20"/>
          <w:szCs w:val="20"/>
        </w:rPr>
        <w:t>ákon o účetnictví</w:t>
      </w:r>
      <w:r>
        <w:rPr>
          <w:rFonts w:asciiTheme="minorHAnsi" w:hAnsiTheme="minorHAnsi" w:cstheme="minorHAnsi"/>
          <w:sz w:val="20"/>
          <w:szCs w:val="20"/>
        </w:rPr>
        <w:t xml:space="preserve">; </w:t>
      </w:r>
      <w:r w:rsidRPr="00F032A2">
        <w:rPr>
          <w:rFonts w:asciiTheme="minorHAnsi" w:hAnsiTheme="minorHAnsi" w:cstheme="minorHAnsi"/>
          <w:sz w:val="20"/>
          <w:szCs w:val="20"/>
        </w:rPr>
        <w:t>daňové zákony</w:t>
      </w:r>
      <w:r>
        <w:rPr>
          <w:rFonts w:asciiTheme="minorHAnsi" w:hAnsiTheme="minorHAnsi" w:cstheme="minorHAnsi"/>
          <w:sz w:val="20"/>
          <w:szCs w:val="20"/>
        </w:rPr>
        <w:t>;</w:t>
      </w:r>
      <w:r w:rsidRPr="00752417">
        <w:rPr>
          <w:rFonts w:asciiTheme="minorHAnsi" w:hAnsiTheme="minorHAnsi" w:cstheme="minorHAnsi"/>
          <w:sz w:val="20"/>
          <w:szCs w:val="20"/>
        </w:rPr>
        <w:t xml:space="preserve"> </w:t>
      </w:r>
      <w:r>
        <w:rPr>
          <w:rFonts w:asciiTheme="minorHAnsi" w:hAnsiTheme="minorHAnsi" w:cstheme="minorHAnsi"/>
          <w:sz w:val="20"/>
          <w:szCs w:val="20"/>
        </w:rPr>
        <w:t>P</w:t>
      </w:r>
      <w:r w:rsidRPr="00752417">
        <w:rPr>
          <w:rFonts w:asciiTheme="minorHAnsi" w:hAnsiTheme="minorHAnsi" w:cstheme="minorHAnsi"/>
          <w:sz w:val="20"/>
          <w:szCs w:val="20"/>
        </w:rPr>
        <w:t>rováděcí vyhláška k zákonu o finanční kontrole č. 416/2004 Sb.</w:t>
      </w:r>
    </w:p>
    <w:p w14:paraId="0A3ABEFD" w14:textId="77777777" w:rsidR="00A02618" w:rsidRPr="00752417" w:rsidRDefault="00A02618" w:rsidP="00A02618">
      <w:pPr>
        <w:spacing w:after="80" w:line="240" w:lineRule="auto"/>
        <w:jc w:val="both"/>
        <w:rPr>
          <w:rFonts w:asciiTheme="minorHAnsi" w:hAnsiTheme="minorHAnsi" w:cstheme="minorHAnsi"/>
          <w:sz w:val="20"/>
          <w:szCs w:val="20"/>
        </w:rPr>
      </w:pPr>
      <w:r w:rsidRPr="00752417">
        <w:rPr>
          <w:rFonts w:asciiTheme="minorHAnsi" w:hAnsiTheme="minorHAnsi" w:cstheme="minorHAnsi"/>
          <w:sz w:val="20"/>
          <w:szCs w:val="20"/>
        </w:rPr>
        <w:t>Závěrečné práce studentů Ambis k problematice řízení rizik nebo příležitostí (diplomové nebo bakalářské – zejména Jančovičová, Jirasová a dále Bartoš, Bělohlávková, Brošová, Jandová, Heijting, Chumlenová, Juhászová, Kohut, Menčíková, Nováková, Pagáčová, Sedlmajerová, Šimíček, Špirka, Uhrová, Valdová, Zamrzlová, Zigová a další), u kterých byl školitelem M. J. Půček. Seminární práce studentů Ambis. Projekty SIGA Ambis.</w:t>
      </w:r>
    </w:p>
    <w:p w14:paraId="10A28463" w14:textId="79D52DEA" w:rsidR="00752417" w:rsidRDefault="00752417" w:rsidP="00A02618">
      <w:pPr>
        <w:spacing w:after="80" w:line="240" w:lineRule="auto"/>
        <w:jc w:val="both"/>
        <w:rPr>
          <w:rFonts w:asciiTheme="minorHAnsi" w:hAnsiTheme="minorHAnsi" w:cstheme="minorHAnsi"/>
          <w:sz w:val="20"/>
          <w:szCs w:val="20"/>
        </w:rPr>
      </w:pPr>
    </w:p>
    <w:p w14:paraId="024F6E0A" w14:textId="29D1F24F" w:rsidR="00BF08D4" w:rsidRDefault="00BF08D4" w:rsidP="00A02618">
      <w:pPr>
        <w:spacing w:after="80" w:line="240" w:lineRule="auto"/>
        <w:jc w:val="both"/>
        <w:rPr>
          <w:rFonts w:asciiTheme="minorHAnsi" w:hAnsiTheme="minorHAnsi" w:cstheme="minorHAnsi"/>
          <w:sz w:val="20"/>
          <w:szCs w:val="20"/>
        </w:rPr>
      </w:pPr>
    </w:p>
    <w:p w14:paraId="764985A1" w14:textId="0AE92DF6" w:rsidR="00BF08D4" w:rsidRDefault="00BF08D4" w:rsidP="00A02618">
      <w:pPr>
        <w:spacing w:after="80" w:line="240" w:lineRule="auto"/>
        <w:jc w:val="both"/>
        <w:rPr>
          <w:rFonts w:asciiTheme="minorHAnsi" w:hAnsiTheme="minorHAnsi" w:cstheme="minorHAnsi"/>
          <w:sz w:val="20"/>
          <w:szCs w:val="20"/>
        </w:rPr>
      </w:pPr>
    </w:p>
    <w:p w14:paraId="2E94FC34" w14:textId="6BA11A0D" w:rsidR="00BF08D4" w:rsidRDefault="00BF08D4" w:rsidP="00A02618">
      <w:pPr>
        <w:spacing w:after="80" w:line="240" w:lineRule="auto"/>
        <w:jc w:val="both"/>
        <w:rPr>
          <w:rFonts w:asciiTheme="minorHAnsi" w:hAnsiTheme="minorHAnsi" w:cstheme="minorHAnsi"/>
          <w:sz w:val="20"/>
          <w:szCs w:val="20"/>
        </w:rPr>
      </w:pPr>
    </w:p>
    <w:p w14:paraId="1E71442F" w14:textId="6BC8BCD1" w:rsidR="00BF08D4" w:rsidRDefault="00BF08D4" w:rsidP="00A02618">
      <w:pPr>
        <w:spacing w:after="80" w:line="240" w:lineRule="auto"/>
        <w:jc w:val="both"/>
        <w:rPr>
          <w:rFonts w:asciiTheme="minorHAnsi" w:hAnsiTheme="minorHAnsi" w:cstheme="minorHAnsi"/>
          <w:sz w:val="20"/>
          <w:szCs w:val="20"/>
        </w:rPr>
      </w:pPr>
    </w:p>
    <w:p w14:paraId="0F00961D" w14:textId="4DBE9E91" w:rsidR="00BF08D4" w:rsidRDefault="00BF08D4" w:rsidP="00A02618">
      <w:pPr>
        <w:spacing w:after="80" w:line="240" w:lineRule="auto"/>
        <w:jc w:val="both"/>
        <w:rPr>
          <w:rFonts w:asciiTheme="minorHAnsi" w:hAnsiTheme="minorHAnsi" w:cstheme="minorHAnsi"/>
          <w:sz w:val="20"/>
          <w:szCs w:val="20"/>
        </w:rPr>
      </w:pPr>
    </w:p>
    <w:p w14:paraId="61C0085F" w14:textId="77777777" w:rsidR="00BF08D4" w:rsidRDefault="00BF08D4" w:rsidP="00BF08D4">
      <w:pPr>
        <w:spacing w:after="120" w:line="240" w:lineRule="auto"/>
        <w:jc w:val="both"/>
        <w:rPr>
          <w:rFonts w:ascii="Calibri" w:hAnsi="Calibri" w:cs="Calibri"/>
        </w:rPr>
      </w:pPr>
    </w:p>
    <w:p w14:paraId="71D9FD79" w14:textId="77777777" w:rsidR="00BF08D4" w:rsidRDefault="00BF08D4" w:rsidP="00BF08D4">
      <w:pPr>
        <w:spacing w:after="120" w:line="240" w:lineRule="auto"/>
        <w:jc w:val="both"/>
        <w:rPr>
          <w:rFonts w:ascii="Calibri" w:hAnsi="Calibri" w:cs="Calibri"/>
        </w:rPr>
      </w:pPr>
    </w:p>
    <w:p w14:paraId="4280BBEA" w14:textId="77777777" w:rsidR="00BF08D4" w:rsidRDefault="00BF08D4" w:rsidP="00BF08D4">
      <w:pPr>
        <w:spacing w:after="120" w:line="240" w:lineRule="auto"/>
        <w:jc w:val="both"/>
        <w:rPr>
          <w:rFonts w:ascii="Calibri" w:hAnsi="Calibri" w:cs="Calibri"/>
        </w:rPr>
      </w:pPr>
    </w:p>
    <w:p w14:paraId="4D7E9269" w14:textId="77777777" w:rsidR="00BF08D4" w:rsidRDefault="00BF08D4" w:rsidP="00BF08D4">
      <w:pPr>
        <w:spacing w:after="120" w:line="240" w:lineRule="auto"/>
        <w:jc w:val="both"/>
        <w:rPr>
          <w:rFonts w:ascii="Calibri" w:hAnsi="Calibri" w:cs="Calibri"/>
        </w:rPr>
      </w:pPr>
    </w:p>
    <w:p w14:paraId="1CA81D0D" w14:textId="77777777" w:rsidR="00BF08D4" w:rsidRDefault="00BF08D4" w:rsidP="00BF08D4">
      <w:pPr>
        <w:spacing w:after="120" w:line="240" w:lineRule="auto"/>
        <w:jc w:val="both"/>
        <w:rPr>
          <w:rFonts w:ascii="Calibri" w:hAnsi="Calibri" w:cs="Calibri"/>
        </w:rPr>
      </w:pPr>
    </w:p>
    <w:p w14:paraId="5634B022" w14:textId="77777777" w:rsidR="00BF08D4" w:rsidRDefault="00BF08D4" w:rsidP="00BF08D4">
      <w:pPr>
        <w:spacing w:after="120" w:line="240" w:lineRule="auto"/>
        <w:jc w:val="both"/>
        <w:rPr>
          <w:rFonts w:ascii="Calibri" w:hAnsi="Calibri" w:cs="Calibri"/>
        </w:rPr>
      </w:pPr>
    </w:p>
    <w:p w14:paraId="5150B1B4" w14:textId="77777777" w:rsidR="00BF08D4" w:rsidRDefault="00BF08D4" w:rsidP="00BF08D4">
      <w:pPr>
        <w:spacing w:after="120" w:line="240" w:lineRule="auto"/>
        <w:jc w:val="both"/>
        <w:rPr>
          <w:rFonts w:ascii="Calibri" w:hAnsi="Calibri" w:cs="Calibri"/>
        </w:rPr>
      </w:pPr>
    </w:p>
    <w:p w14:paraId="04AB987B" w14:textId="77777777" w:rsidR="00BF08D4" w:rsidRDefault="00BF08D4" w:rsidP="00BF08D4">
      <w:pPr>
        <w:spacing w:after="120" w:line="240" w:lineRule="auto"/>
        <w:jc w:val="both"/>
        <w:rPr>
          <w:rFonts w:ascii="Calibri" w:hAnsi="Calibri" w:cs="Calibri"/>
        </w:rPr>
      </w:pPr>
    </w:p>
    <w:p w14:paraId="48CB558A" w14:textId="77777777" w:rsidR="00BF08D4" w:rsidRDefault="00BF08D4" w:rsidP="00BF08D4">
      <w:pPr>
        <w:spacing w:after="120" w:line="240" w:lineRule="auto"/>
        <w:jc w:val="both"/>
        <w:rPr>
          <w:rFonts w:ascii="Calibri" w:hAnsi="Calibri" w:cs="Calibri"/>
        </w:rPr>
      </w:pPr>
    </w:p>
    <w:p w14:paraId="09B07E7F" w14:textId="77777777" w:rsidR="00BF08D4" w:rsidRDefault="00BF08D4" w:rsidP="00BF08D4">
      <w:pPr>
        <w:spacing w:after="120" w:line="240" w:lineRule="auto"/>
        <w:jc w:val="both"/>
        <w:rPr>
          <w:rFonts w:ascii="Calibri" w:hAnsi="Calibri" w:cs="Calibri"/>
        </w:rPr>
      </w:pPr>
    </w:p>
    <w:p w14:paraId="34E5EDA0" w14:textId="77777777" w:rsidR="00BF08D4" w:rsidRDefault="00BF08D4" w:rsidP="00BF08D4">
      <w:pPr>
        <w:spacing w:after="120" w:line="240" w:lineRule="auto"/>
        <w:jc w:val="both"/>
        <w:rPr>
          <w:rFonts w:ascii="Calibri" w:hAnsi="Calibri" w:cs="Calibri"/>
        </w:rPr>
      </w:pPr>
    </w:p>
    <w:p w14:paraId="04E6FCDB" w14:textId="77777777" w:rsidR="00BF08D4" w:rsidRDefault="00BF08D4" w:rsidP="00BF08D4">
      <w:pPr>
        <w:spacing w:after="120" w:line="240" w:lineRule="auto"/>
        <w:jc w:val="both"/>
        <w:rPr>
          <w:rFonts w:ascii="Calibri" w:hAnsi="Calibri" w:cs="Calibri"/>
        </w:rPr>
      </w:pPr>
    </w:p>
    <w:p w14:paraId="7BE0069C" w14:textId="77777777" w:rsidR="00BF08D4" w:rsidRDefault="00BF08D4" w:rsidP="00BF08D4">
      <w:pPr>
        <w:spacing w:after="120" w:line="240" w:lineRule="auto"/>
        <w:jc w:val="both"/>
        <w:rPr>
          <w:rFonts w:ascii="Calibri" w:hAnsi="Calibri" w:cs="Calibri"/>
        </w:rPr>
      </w:pPr>
    </w:p>
    <w:p w14:paraId="21687D87" w14:textId="77777777" w:rsidR="00BF08D4" w:rsidRDefault="00BF08D4" w:rsidP="00BF08D4">
      <w:pPr>
        <w:spacing w:after="120" w:line="240" w:lineRule="auto"/>
        <w:jc w:val="both"/>
        <w:rPr>
          <w:rFonts w:ascii="Calibri" w:hAnsi="Calibri" w:cs="Calibri"/>
        </w:rPr>
      </w:pPr>
    </w:p>
    <w:p w14:paraId="26386550" w14:textId="77777777" w:rsidR="00BF08D4" w:rsidRDefault="00BF08D4" w:rsidP="00BF08D4">
      <w:pPr>
        <w:spacing w:after="120" w:line="240" w:lineRule="auto"/>
        <w:jc w:val="both"/>
        <w:rPr>
          <w:rFonts w:ascii="Calibri" w:hAnsi="Calibri" w:cs="Calibri"/>
        </w:rPr>
      </w:pPr>
    </w:p>
    <w:p w14:paraId="6B611603" w14:textId="77777777" w:rsidR="00BF08D4" w:rsidRDefault="00BF08D4" w:rsidP="00BF08D4">
      <w:pPr>
        <w:spacing w:after="120" w:line="240" w:lineRule="auto"/>
        <w:jc w:val="both"/>
        <w:rPr>
          <w:rFonts w:ascii="Calibri" w:hAnsi="Calibri" w:cs="Calibri"/>
        </w:rPr>
      </w:pPr>
    </w:p>
    <w:p w14:paraId="4BA702DD" w14:textId="77777777" w:rsidR="00BF08D4" w:rsidRDefault="00BF08D4" w:rsidP="00BF08D4">
      <w:pPr>
        <w:spacing w:after="120" w:line="240" w:lineRule="auto"/>
        <w:jc w:val="both"/>
        <w:rPr>
          <w:rFonts w:ascii="Calibri" w:hAnsi="Calibri" w:cs="Calibri"/>
        </w:rPr>
      </w:pPr>
    </w:p>
    <w:p w14:paraId="0C952C55" w14:textId="77777777" w:rsidR="00BF08D4" w:rsidRDefault="00BF08D4" w:rsidP="00BF08D4">
      <w:pPr>
        <w:spacing w:after="120" w:line="240" w:lineRule="auto"/>
        <w:jc w:val="both"/>
        <w:rPr>
          <w:rFonts w:ascii="Calibri" w:hAnsi="Calibri" w:cs="Calibri"/>
        </w:rPr>
      </w:pPr>
    </w:p>
    <w:p w14:paraId="6337138D" w14:textId="77777777" w:rsidR="00BF08D4" w:rsidRDefault="00BF08D4" w:rsidP="00BF08D4">
      <w:pPr>
        <w:spacing w:after="120" w:line="240" w:lineRule="auto"/>
        <w:jc w:val="both"/>
        <w:rPr>
          <w:rFonts w:ascii="Calibri" w:hAnsi="Calibri" w:cs="Calibri"/>
        </w:rPr>
      </w:pPr>
    </w:p>
    <w:p w14:paraId="339F70E9" w14:textId="1F6EF6B9" w:rsidR="00BF08D4" w:rsidRDefault="00F1769F" w:rsidP="00F1769F">
      <w:pPr>
        <w:tabs>
          <w:tab w:val="left" w:pos="5904"/>
        </w:tabs>
        <w:spacing w:after="120" w:line="240" w:lineRule="auto"/>
        <w:jc w:val="both"/>
        <w:rPr>
          <w:rFonts w:ascii="Calibri" w:hAnsi="Calibri" w:cs="Calibri"/>
        </w:rPr>
      </w:pPr>
      <w:r>
        <w:rPr>
          <w:rFonts w:ascii="Calibri" w:hAnsi="Calibri" w:cs="Calibri"/>
        </w:rPr>
        <w:tab/>
      </w:r>
    </w:p>
    <w:p w14:paraId="3DCF800A" w14:textId="77777777" w:rsidR="00BF08D4" w:rsidRDefault="00BF08D4" w:rsidP="00BF08D4">
      <w:pPr>
        <w:spacing w:after="120" w:line="240" w:lineRule="auto"/>
        <w:jc w:val="both"/>
        <w:rPr>
          <w:rFonts w:ascii="Calibri" w:hAnsi="Calibri" w:cs="Calibri"/>
        </w:rPr>
      </w:pPr>
    </w:p>
    <w:p w14:paraId="3EB84F24" w14:textId="77777777" w:rsidR="00BF08D4" w:rsidRDefault="00BF08D4" w:rsidP="00BF08D4">
      <w:pPr>
        <w:spacing w:after="120" w:line="240" w:lineRule="auto"/>
        <w:jc w:val="both"/>
        <w:rPr>
          <w:rFonts w:ascii="Calibri" w:hAnsi="Calibri" w:cs="Calibri"/>
        </w:rPr>
      </w:pPr>
    </w:p>
    <w:p w14:paraId="444A516D" w14:textId="77777777" w:rsidR="00BF08D4" w:rsidRDefault="00BF08D4" w:rsidP="00BF08D4">
      <w:pPr>
        <w:spacing w:after="120" w:line="240" w:lineRule="auto"/>
        <w:jc w:val="both"/>
        <w:rPr>
          <w:rFonts w:ascii="Calibri" w:hAnsi="Calibri" w:cs="Calibri"/>
        </w:rPr>
      </w:pPr>
    </w:p>
    <w:p w14:paraId="7E8F9D3C" w14:textId="77777777" w:rsidR="00BF08D4" w:rsidRDefault="00BF08D4" w:rsidP="00BF08D4">
      <w:pPr>
        <w:spacing w:after="120" w:line="240" w:lineRule="auto"/>
        <w:jc w:val="both"/>
        <w:rPr>
          <w:rFonts w:ascii="Calibri" w:hAnsi="Calibri" w:cs="Calibri"/>
        </w:rPr>
      </w:pPr>
    </w:p>
    <w:p w14:paraId="133CDE83" w14:textId="77777777" w:rsidR="00BF08D4" w:rsidRDefault="00BF08D4" w:rsidP="00BF08D4">
      <w:pPr>
        <w:spacing w:after="120" w:line="240" w:lineRule="auto"/>
        <w:jc w:val="both"/>
        <w:rPr>
          <w:rFonts w:ascii="Calibri" w:hAnsi="Calibri" w:cs="Calibri"/>
        </w:rPr>
      </w:pPr>
    </w:p>
    <w:p w14:paraId="1DBD171F" w14:textId="77777777" w:rsidR="00BF08D4" w:rsidRDefault="00BF08D4" w:rsidP="00BF08D4">
      <w:pPr>
        <w:spacing w:after="120" w:line="240" w:lineRule="auto"/>
        <w:jc w:val="both"/>
        <w:rPr>
          <w:rFonts w:ascii="Calibri" w:hAnsi="Calibri" w:cs="Calibri"/>
        </w:rPr>
      </w:pPr>
    </w:p>
    <w:p w14:paraId="4A72BE54" w14:textId="77777777" w:rsidR="00BF08D4" w:rsidRDefault="00BF08D4" w:rsidP="00BF08D4">
      <w:pPr>
        <w:spacing w:after="120" w:line="240" w:lineRule="auto"/>
        <w:jc w:val="both"/>
        <w:rPr>
          <w:rFonts w:ascii="Calibri" w:hAnsi="Calibri" w:cs="Calibri"/>
        </w:rPr>
      </w:pPr>
    </w:p>
    <w:p w14:paraId="0D407D5A" w14:textId="77777777" w:rsidR="00BF08D4" w:rsidRDefault="00BF08D4" w:rsidP="00BF08D4">
      <w:pPr>
        <w:spacing w:after="120" w:line="240" w:lineRule="auto"/>
        <w:jc w:val="both"/>
        <w:rPr>
          <w:rFonts w:ascii="Calibri" w:hAnsi="Calibri" w:cs="Calibri"/>
        </w:rPr>
      </w:pPr>
    </w:p>
    <w:p w14:paraId="5B2683D2" w14:textId="75F32E34" w:rsidR="00BF08D4" w:rsidRPr="00712DDB" w:rsidRDefault="00BF08D4" w:rsidP="00BF08D4">
      <w:pPr>
        <w:spacing w:after="120" w:line="240" w:lineRule="auto"/>
        <w:jc w:val="both"/>
        <w:rPr>
          <w:rFonts w:ascii="Calibri" w:hAnsi="Calibri" w:cs="Calibri"/>
        </w:rPr>
      </w:pPr>
      <w:r w:rsidRPr="0082348B">
        <w:rPr>
          <w:rFonts w:ascii="Calibri" w:hAnsi="Calibri" w:cs="Calibri"/>
        </w:rPr>
        <w:t xml:space="preserve">Název: </w:t>
      </w:r>
      <w:r w:rsidRPr="00712DDB">
        <w:rPr>
          <w:rFonts w:ascii="Calibri" w:hAnsi="Calibri" w:cs="Calibri"/>
        </w:rPr>
        <w:t>Zdravé finanční řízení</w:t>
      </w:r>
      <w:r>
        <w:rPr>
          <w:rFonts w:ascii="Calibri" w:hAnsi="Calibri" w:cs="Calibri"/>
        </w:rPr>
        <w:t xml:space="preserve"> ve </w:t>
      </w:r>
      <w:r w:rsidRPr="00712DDB">
        <w:rPr>
          <w:rFonts w:ascii="Calibri" w:hAnsi="Calibri" w:cs="Calibri"/>
        </w:rPr>
        <w:t>vazbě na strategickou práci</w:t>
      </w:r>
    </w:p>
    <w:p w14:paraId="6F9BFD35" w14:textId="77777777" w:rsidR="00BF08D4" w:rsidRPr="0082348B" w:rsidRDefault="00BF08D4" w:rsidP="00BF08D4">
      <w:pPr>
        <w:spacing w:after="120" w:line="240" w:lineRule="auto"/>
        <w:rPr>
          <w:rFonts w:ascii="Calibri" w:hAnsi="Calibri" w:cs="Calibri"/>
        </w:rPr>
      </w:pPr>
      <w:r w:rsidRPr="0082348B">
        <w:rPr>
          <w:rFonts w:ascii="Calibri" w:hAnsi="Calibri" w:cs="Calibri"/>
        </w:rPr>
        <w:t>Autoři</w:t>
      </w:r>
      <w:r>
        <w:rPr>
          <w:rFonts w:ascii="Calibri" w:hAnsi="Calibri" w:cs="Calibri"/>
        </w:rPr>
        <w:t xml:space="preserve">: Milan Jan Půček, </w:t>
      </w:r>
      <w:r w:rsidRPr="00797828">
        <w:rPr>
          <w:rFonts w:ascii="Calibri" w:hAnsi="Calibri" w:cs="Calibri"/>
        </w:rPr>
        <w:t>Veronika Linhartová</w:t>
      </w:r>
    </w:p>
    <w:p w14:paraId="4E4DC600" w14:textId="77777777" w:rsidR="00BF08D4" w:rsidRPr="004E7AA8" w:rsidRDefault="00BF08D4" w:rsidP="00BF08D4">
      <w:pPr>
        <w:spacing w:after="120" w:line="240" w:lineRule="auto"/>
        <w:rPr>
          <w:rFonts w:ascii="Calibri" w:hAnsi="Calibri" w:cs="Calibri"/>
        </w:rPr>
      </w:pPr>
      <w:r>
        <w:rPr>
          <w:rFonts w:ascii="Calibri" w:hAnsi="Calibri" w:cs="Calibri"/>
        </w:rPr>
        <w:t xml:space="preserve">Recenzenti: </w:t>
      </w:r>
      <w:r w:rsidRPr="004E7AA8">
        <w:rPr>
          <w:rFonts w:ascii="Calibri" w:hAnsi="Calibri" w:cs="Calibri"/>
        </w:rPr>
        <w:t xml:space="preserve">Petr Valenta, </w:t>
      </w:r>
      <w:r>
        <w:rPr>
          <w:rFonts w:ascii="Calibri" w:hAnsi="Calibri" w:cs="Calibri"/>
        </w:rPr>
        <w:t>Radim Misiaček, Igor Hartmann</w:t>
      </w:r>
    </w:p>
    <w:p w14:paraId="18B1CFA2" w14:textId="48CA8610" w:rsidR="00BF08D4" w:rsidRDefault="00BF08D4" w:rsidP="00BF08D4">
      <w:pPr>
        <w:spacing w:after="120" w:line="240" w:lineRule="auto"/>
        <w:jc w:val="both"/>
        <w:rPr>
          <w:rFonts w:ascii="Calibri" w:hAnsi="Calibri" w:cs="Calibri"/>
        </w:rPr>
      </w:pPr>
      <w:r w:rsidRPr="00BA5CAD">
        <w:rPr>
          <w:rFonts w:ascii="Calibri" w:hAnsi="Calibri" w:cs="Calibri"/>
        </w:rPr>
        <w:t xml:space="preserve">Počet stran: </w:t>
      </w:r>
      <w:r w:rsidR="00601388">
        <w:rPr>
          <w:rFonts w:ascii="Calibri" w:hAnsi="Calibri" w:cs="Calibri"/>
        </w:rPr>
        <w:t>133</w:t>
      </w:r>
    </w:p>
    <w:p w14:paraId="78774753" w14:textId="278B114A" w:rsidR="00BF08D4" w:rsidRDefault="00BF08D4" w:rsidP="00BF08D4">
      <w:pPr>
        <w:spacing w:after="120" w:line="240" w:lineRule="auto"/>
        <w:jc w:val="both"/>
        <w:rPr>
          <w:rFonts w:ascii="Calibri" w:hAnsi="Calibri" w:cs="Calibri"/>
        </w:rPr>
      </w:pPr>
      <w:r>
        <w:rPr>
          <w:rFonts w:ascii="Calibri" w:hAnsi="Calibri" w:cs="Calibri"/>
        </w:rPr>
        <w:t>Praha: Ministerstvo pro místní rozvoj, 2022, vydání první</w:t>
      </w:r>
    </w:p>
    <w:p w14:paraId="12F83451" w14:textId="30E7DF22" w:rsidR="00BF08D4" w:rsidRPr="0082348B" w:rsidRDefault="00BF08D4" w:rsidP="00BF08D4">
      <w:pPr>
        <w:spacing w:after="120" w:line="240" w:lineRule="auto"/>
        <w:jc w:val="both"/>
        <w:rPr>
          <w:rFonts w:ascii="Calibri" w:hAnsi="Calibri" w:cs="Calibri"/>
        </w:rPr>
      </w:pPr>
      <w:r w:rsidRPr="00F1769F">
        <w:rPr>
          <w:rFonts w:ascii="Calibri" w:hAnsi="Calibri" w:cs="Calibri"/>
          <w:highlight w:val="yellow"/>
        </w:rPr>
        <w:t>ISBN:                              (pdf)</w:t>
      </w:r>
    </w:p>
    <w:p w14:paraId="24D5F8F1" w14:textId="77777777" w:rsidR="00BF08D4" w:rsidRPr="00752417" w:rsidRDefault="00BF08D4" w:rsidP="00A02618">
      <w:pPr>
        <w:spacing w:after="80" w:line="240" w:lineRule="auto"/>
        <w:jc w:val="both"/>
        <w:rPr>
          <w:rFonts w:asciiTheme="minorHAnsi" w:hAnsiTheme="minorHAnsi" w:cstheme="minorHAnsi"/>
          <w:sz w:val="20"/>
          <w:szCs w:val="20"/>
        </w:rPr>
      </w:pPr>
    </w:p>
    <w:sectPr w:rsidR="00BF08D4" w:rsidRPr="00752417" w:rsidSect="00B266E6">
      <w:pgSz w:w="11906" w:h="16838"/>
      <w:pgMar w:top="1440" w:right="1440" w:bottom="851" w:left="144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2B47E" w14:textId="77777777" w:rsidR="006B18F0" w:rsidRDefault="006B18F0" w:rsidP="00167AF3">
      <w:pPr>
        <w:spacing w:line="240" w:lineRule="auto"/>
      </w:pPr>
      <w:r>
        <w:separator/>
      </w:r>
    </w:p>
  </w:endnote>
  <w:endnote w:type="continuationSeparator" w:id="0">
    <w:p w14:paraId="33564AE5" w14:textId="77777777" w:rsidR="006B18F0" w:rsidRDefault="006B18F0" w:rsidP="00167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0F12" w14:textId="4271AC09" w:rsidR="00511D9B" w:rsidRPr="00FC675F" w:rsidRDefault="00511D9B">
    <w:pPr>
      <w:pStyle w:val="Zpat"/>
      <w:jc w:val="center"/>
      <w:rPr>
        <w:rFonts w:asciiTheme="majorHAnsi" w:hAnsiTheme="majorHAnsi" w:cstheme="majorHAnsi"/>
        <w:sz w:val="20"/>
        <w:szCs w:val="20"/>
      </w:rPr>
    </w:pPr>
    <w:r w:rsidRPr="00FC675F">
      <w:rPr>
        <w:rFonts w:asciiTheme="majorHAnsi" w:hAnsiTheme="majorHAnsi" w:cstheme="majorHAnsi"/>
        <w:sz w:val="20"/>
        <w:szCs w:val="20"/>
      </w:rPr>
      <w:fldChar w:fldCharType="begin"/>
    </w:r>
    <w:r w:rsidRPr="00FC675F">
      <w:rPr>
        <w:rFonts w:asciiTheme="majorHAnsi" w:hAnsiTheme="majorHAnsi" w:cstheme="majorHAnsi"/>
        <w:sz w:val="20"/>
        <w:szCs w:val="20"/>
      </w:rPr>
      <w:instrText>PAGE   \* MERGEFORMAT</w:instrText>
    </w:r>
    <w:r w:rsidRPr="00FC675F">
      <w:rPr>
        <w:rFonts w:asciiTheme="majorHAnsi" w:hAnsiTheme="majorHAnsi" w:cstheme="majorHAnsi"/>
        <w:sz w:val="20"/>
        <w:szCs w:val="20"/>
      </w:rPr>
      <w:fldChar w:fldCharType="separate"/>
    </w:r>
    <w:r w:rsidR="001B3968" w:rsidRPr="001B3968">
      <w:rPr>
        <w:rFonts w:asciiTheme="majorHAnsi" w:hAnsiTheme="majorHAnsi" w:cstheme="majorHAnsi"/>
        <w:noProof/>
        <w:sz w:val="20"/>
        <w:szCs w:val="20"/>
        <w:lang w:val="cs-CZ"/>
      </w:rPr>
      <w:t>50</w:t>
    </w:r>
    <w:r w:rsidRPr="00FC675F">
      <w:rPr>
        <w:rFonts w:asciiTheme="majorHAnsi" w:hAnsiTheme="majorHAnsi" w:cstheme="majorHAnsi"/>
        <w:sz w:val="20"/>
        <w:szCs w:val="20"/>
      </w:rPr>
      <w:fldChar w:fldCharType="end"/>
    </w:r>
  </w:p>
  <w:p w14:paraId="79F6E6CC" w14:textId="77777777" w:rsidR="00511D9B" w:rsidRDefault="00511D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248D7" w14:textId="77777777" w:rsidR="006B18F0" w:rsidRDefault="006B18F0" w:rsidP="00167AF3">
      <w:pPr>
        <w:spacing w:line="240" w:lineRule="auto"/>
      </w:pPr>
      <w:r>
        <w:separator/>
      </w:r>
    </w:p>
  </w:footnote>
  <w:footnote w:type="continuationSeparator" w:id="0">
    <w:p w14:paraId="69A6DE4F" w14:textId="77777777" w:rsidR="006B18F0" w:rsidRDefault="006B18F0" w:rsidP="00167AF3">
      <w:pPr>
        <w:spacing w:line="240" w:lineRule="auto"/>
      </w:pPr>
      <w:r>
        <w:continuationSeparator/>
      </w:r>
    </w:p>
  </w:footnote>
  <w:footnote w:id="1">
    <w:p w14:paraId="751FB8CD" w14:textId="3B270813" w:rsidR="00511D9B" w:rsidRPr="001D6ECB" w:rsidRDefault="00511D9B" w:rsidP="001D6ECB">
      <w:pPr>
        <w:pStyle w:val="Textpoznpodarou"/>
        <w:jc w:val="both"/>
        <w:rPr>
          <w:rFonts w:asciiTheme="minorHAnsi" w:hAnsiTheme="minorHAnsi" w:cstheme="minorHAnsi"/>
        </w:rPr>
      </w:pPr>
      <w:r w:rsidRPr="001D6ECB">
        <w:rPr>
          <w:rStyle w:val="Znakapoznpodarou"/>
          <w:rFonts w:asciiTheme="minorHAnsi" w:hAnsiTheme="minorHAnsi" w:cstheme="minorHAnsi"/>
        </w:rPr>
        <w:footnoteRef/>
      </w:r>
      <w:r w:rsidRPr="001D6ECB">
        <w:rPr>
          <w:rFonts w:asciiTheme="minorHAnsi" w:hAnsiTheme="minorHAnsi" w:cstheme="minorHAnsi"/>
        </w:rPr>
        <w:t xml:space="preserve"> Dostupná na odkazu: </w:t>
      </w:r>
      <w:hyperlink r:id="rId1" w:history="1">
        <w:r w:rsidRPr="001D6ECB">
          <w:rPr>
            <w:rStyle w:val="Hypertextovodkaz"/>
            <w:rFonts w:asciiTheme="minorHAnsi" w:hAnsiTheme="minorHAnsi" w:cstheme="minorHAnsi"/>
          </w:rPr>
          <w:t>https://www.mmr.cz/cs/microsites/portal-strategicke-prace-v-ceske-republice/nastroje-a-metodicka-podpora/vystupy-projektu</w:t>
        </w:r>
      </w:hyperlink>
    </w:p>
  </w:footnote>
  <w:footnote w:id="2">
    <w:p w14:paraId="741F8926" w14:textId="0CD5C4EE" w:rsidR="00511D9B" w:rsidRPr="00AD3744" w:rsidRDefault="00511D9B" w:rsidP="00AD3744">
      <w:pPr>
        <w:tabs>
          <w:tab w:val="num" w:pos="720"/>
        </w:tabs>
        <w:spacing w:line="240" w:lineRule="auto"/>
        <w:jc w:val="both"/>
        <w:rPr>
          <w:rFonts w:asciiTheme="minorHAnsi" w:hAnsiTheme="minorHAnsi" w:cstheme="minorHAnsi"/>
          <w:sz w:val="20"/>
          <w:szCs w:val="20"/>
        </w:rPr>
      </w:pPr>
      <w:r w:rsidRPr="00AD3744">
        <w:rPr>
          <w:rStyle w:val="Znakapoznpodarou"/>
          <w:rFonts w:asciiTheme="minorHAnsi" w:hAnsiTheme="minorHAnsi" w:cstheme="minorHAnsi"/>
          <w:sz w:val="20"/>
          <w:szCs w:val="20"/>
        </w:rPr>
        <w:footnoteRef/>
      </w:r>
      <w:r>
        <w:rPr>
          <w:rFonts w:asciiTheme="minorHAnsi" w:hAnsiTheme="minorHAnsi" w:cstheme="minorHAnsi"/>
          <w:sz w:val="20"/>
          <w:szCs w:val="20"/>
        </w:rPr>
        <w:t xml:space="preserve"> Při </w:t>
      </w:r>
      <w:r w:rsidRPr="00AD3744">
        <w:rPr>
          <w:rFonts w:asciiTheme="minorHAnsi" w:hAnsiTheme="minorHAnsi" w:cstheme="minorHAnsi"/>
          <w:sz w:val="20"/>
          <w:szCs w:val="20"/>
        </w:rPr>
        <w:t xml:space="preserve">zpracování byl použit mix normativní a nenormativní metodologie. Nenormativní byla použita při popisu problému. Normativní </w:t>
      </w:r>
      <w:r>
        <w:rPr>
          <w:rFonts w:asciiTheme="minorHAnsi" w:hAnsiTheme="minorHAnsi" w:cstheme="minorHAnsi"/>
          <w:sz w:val="20"/>
          <w:szCs w:val="20"/>
        </w:rPr>
        <w:t xml:space="preserve">metodologie </w:t>
      </w:r>
      <w:r w:rsidRPr="00AD3744">
        <w:rPr>
          <w:rFonts w:asciiTheme="minorHAnsi" w:hAnsiTheme="minorHAnsi" w:cstheme="minorHAnsi"/>
          <w:sz w:val="20"/>
          <w:szCs w:val="20"/>
        </w:rPr>
        <w:t xml:space="preserve">při zkoumání evaluačních aspektů dosažených výsledků. </w:t>
      </w:r>
      <w:r>
        <w:rPr>
          <w:rFonts w:asciiTheme="minorHAnsi" w:hAnsiTheme="minorHAnsi" w:cstheme="minorHAnsi"/>
          <w:sz w:val="20"/>
          <w:szCs w:val="20"/>
        </w:rPr>
        <w:t>Kromě rešerše, analýzy zdrojů, analýzy strategických a dalších dokumentů, metody případové studie, metody rozhovorů a metody expertního odhadu b</w:t>
      </w:r>
      <w:r w:rsidRPr="00AD3744">
        <w:rPr>
          <w:rFonts w:asciiTheme="minorHAnsi" w:hAnsiTheme="minorHAnsi" w:cstheme="minorHAnsi"/>
          <w:sz w:val="20"/>
          <w:szCs w:val="20"/>
        </w:rPr>
        <w:t xml:space="preserve">yly využity </w:t>
      </w:r>
      <w:r>
        <w:rPr>
          <w:rFonts w:asciiTheme="minorHAnsi" w:hAnsiTheme="minorHAnsi" w:cstheme="minorHAnsi"/>
          <w:sz w:val="20"/>
          <w:szCs w:val="20"/>
        </w:rPr>
        <w:t>obecně vědní metody -</w:t>
      </w:r>
      <w:r w:rsidRPr="00AD3744">
        <w:rPr>
          <w:rFonts w:asciiTheme="minorHAnsi" w:hAnsiTheme="minorHAnsi" w:cstheme="minorHAnsi"/>
          <w:sz w:val="20"/>
          <w:szCs w:val="20"/>
        </w:rPr>
        <w:t xml:space="preserve"> analýza, syntéza, analogie, specifikace a </w:t>
      </w:r>
      <w:r w:rsidRPr="00961270">
        <w:rPr>
          <w:rFonts w:asciiTheme="minorHAnsi" w:hAnsiTheme="minorHAnsi" w:cstheme="minorHAnsi"/>
          <w:sz w:val="20"/>
          <w:szCs w:val="20"/>
        </w:rPr>
        <w:t xml:space="preserve">generalizace. Nové poznatky se týkají </w:t>
      </w:r>
      <w:r w:rsidRPr="00684C9F">
        <w:rPr>
          <w:rFonts w:asciiTheme="minorHAnsi" w:hAnsiTheme="minorHAnsi" w:cstheme="minorHAnsi"/>
          <w:sz w:val="20"/>
          <w:szCs w:val="20"/>
        </w:rPr>
        <w:t>zejména problematiky z</w:t>
      </w:r>
      <w:r>
        <w:rPr>
          <w:rFonts w:asciiTheme="minorHAnsi" w:hAnsiTheme="minorHAnsi" w:cstheme="minorHAnsi"/>
          <w:sz w:val="20"/>
          <w:szCs w:val="20"/>
        </w:rPr>
        <w:t>ásad zdravého finančního řízení a identifikovaných</w:t>
      </w:r>
      <w:r w:rsidRPr="00684C9F">
        <w:rPr>
          <w:rFonts w:asciiTheme="minorHAnsi" w:hAnsiTheme="minorHAnsi" w:cstheme="minorHAnsi"/>
          <w:sz w:val="20"/>
          <w:szCs w:val="20"/>
        </w:rPr>
        <w:t xml:space="preserve"> případových studií. Byly též využity poznatky identi</w:t>
      </w:r>
      <w:r>
        <w:rPr>
          <w:rFonts w:asciiTheme="minorHAnsi" w:hAnsiTheme="minorHAnsi" w:cstheme="minorHAnsi"/>
          <w:sz w:val="20"/>
          <w:szCs w:val="20"/>
        </w:rPr>
        <w:t>fikované ve spolupráci se studenty v rámci projektů SIGA – Ambis, závěrečných a seminárních prací. Cílem výzkumu bylo identifikovat v této oblasti nové poznatky, vyhodnotit je v kontextu existujících poznatků a prezentovat je v nové formě pomocí zvoleného nástroje (audio vizuální tvorba).</w:t>
      </w:r>
    </w:p>
  </w:footnote>
  <w:footnote w:id="3">
    <w:p w14:paraId="03E692C9" w14:textId="22074C7B" w:rsidR="00511D9B" w:rsidRPr="00C447CF" w:rsidRDefault="00511D9B">
      <w:pPr>
        <w:pStyle w:val="Textpoznpodarou"/>
        <w:rPr>
          <w:rFonts w:asciiTheme="minorHAnsi" w:hAnsiTheme="minorHAnsi" w:cstheme="minorHAnsi"/>
        </w:rPr>
      </w:pPr>
      <w:r w:rsidRPr="00C447CF">
        <w:rPr>
          <w:rStyle w:val="Znakapoznpodarou"/>
          <w:rFonts w:asciiTheme="minorHAnsi" w:hAnsiTheme="minorHAnsi" w:cstheme="minorHAnsi"/>
        </w:rPr>
        <w:footnoteRef/>
      </w:r>
      <w:r w:rsidRPr="00C447CF">
        <w:rPr>
          <w:rFonts w:asciiTheme="minorHAnsi" w:hAnsiTheme="minorHAnsi" w:cstheme="minorHAnsi"/>
        </w:rPr>
        <w:t xml:space="preserve"> Dostupný na: </w:t>
      </w:r>
      <w:hyperlink r:id="rId2" w:history="1">
        <w:r w:rsidRPr="00C447CF">
          <w:rPr>
            <w:rStyle w:val="Hypertextovodkaz"/>
            <w:rFonts w:asciiTheme="minorHAnsi" w:hAnsiTheme="minorHAnsi" w:cstheme="minorHAnsi"/>
          </w:rPr>
          <w:t>https://mmr.cz/cs/microsites/portal-strategicke-prace-v-ceske-republice/nastroje-a-metodicka-podpora/podpora-strategickeho-rizeni-a-planovani-ve-verejn/financni-rizeni-a-strategicke-planovani</w:t>
        </w:r>
      </w:hyperlink>
    </w:p>
  </w:footnote>
  <w:footnote w:id="4">
    <w:p w14:paraId="71C4CC86" w14:textId="6F33DCCF" w:rsidR="00511D9B" w:rsidRPr="00432729" w:rsidRDefault="00511D9B" w:rsidP="00A6583A">
      <w:pPr>
        <w:spacing w:line="240" w:lineRule="auto"/>
        <w:contextualSpacing/>
        <w:jc w:val="both"/>
        <w:rPr>
          <w:rFonts w:asciiTheme="minorHAnsi" w:hAnsiTheme="minorHAnsi" w:cstheme="minorHAnsi"/>
          <w:sz w:val="20"/>
          <w:szCs w:val="20"/>
        </w:rPr>
      </w:pPr>
      <w:r w:rsidRPr="006A669F">
        <w:rPr>
          <w:rStyle w:val="Znakapoznpodarou"/>
          <w:rFonts w:asciiTheme="minorHAnsi" w:hAnsiTheme="minorHAnsi" w:cstheme="minorHAnsi"/>
          <w:sz w:val="20"/>
          <w:szCs w:val="20"/>
        </w:rPr>
        <w:footnoteRef/>
      </w:r>
      <w:r w:rsidRPr="006A669F">
        <w:rPr>
          <w:rFonts w:asciiTheme="minorHAnsi" w:hAnsiTheme="minorHAnsi" w:cstheme="minorHAnsi"/>
          <w:sz w:val="20"/>
          <w:szCs w:val="20"/>
        </w:rPr>
        <w:t xml:space="preserve"> </w:t>
      </w:r>
      <w:r w:rsidRPr="00432729">
        <w:rPr>
          <w:rFonts w:asciiTheme="minorHAnsi" w:hAnsiTheme="minorHAnsi" w:cstheme="minorHAnsi"/>
          <w:sz w:val="20"/>
          <w:szCs w:val="20"/>
        </w:rPr>
        <w:t>Zákon vychází ze směrnice Rady EU 2011/85/EU, o požadavcích na rozpočtové rámce členských států.</w:t>
      </w:r>
    </w:p>
  </w:footnote>
  <w:footnote w:id="5">
    <w:p w14:paraId="0265AD9D" w14:textId="59C04720" w:rsidR="00511D9B" w:rsidRPr="00E92C53" w:rsidRDefault="00511D9B">
      <w:pPr>
        <w:pStyle w:val="Textpoznpodarou"/>
        <w:rPr>
          <w:rFonts w:asciiTheme="minorHAnsi" w:hAnsiTheme="minorHAnsi" w:cstheme="minorHAnsi"/>
        </w:rPr>
      </w:pPr>
      <w:r w:rsidRPr="00432729">
        <w:rPr>
          <w:rStyle w:val="Znakapoznpodarou"/>
          <w:rFonts w:asciiTheme="minorHAnsi" w:hAnsiTheme="minorHAnsi"/>
        </w:rPr>
        <w:footnoteRef/>
      </w:r>
      <w:r w:rsidRPr="00432729">
        <w:rPr>
          <w:rFonts w:asciiTheme="minorHAnsi" w:hAnsiTheme="minorHAnsi"/>
        </w:rPr>
        <w:t xml:space="preserve"> </w:t>
      </w:r>
      <w:r w:rsidRPr="009F4924">
        <w:rPr>
          <w:rFonts w:asciiTheme="minorHAnsi" w:hAnsiTheme="minorHAnsi"/>
          <w:b/>
        </w:rPr>
        <w:t>Makroekonomickou predikci</w:t>
      </w:r>
      <w:r w:rsidRPr="00432729">
        <w:rPr>
          <w:rFonts w:asciiTheme="minorHAnsi" w:hAnsiTheme="minorHAnsi"/>
        </w:rPr>
        <w:t xml:space="preserve"> z</w:t>
      </w:r>
      <w:r w:rsidRPr="00432729">
        <w:rPr>
          <w:rFonts w:asciiTheme="minorHAnsi" w:hAnsiTheme="minorHAnsi" w:cs="Arial"/>
          <w:color w:val="000000"/>
        </w:rPr>
        <w:t xml:space="preserve">pracovává </w:t>
      </w:r>
      <w:r>
        <w:rPr>
          <w:rFonts w:asciiTheme="minorHAnsi" w:hAnsiTheme="minorHAnsi" w:cs="Arial"/>
          <w:color w:val="000000"/>
        </w:rPr>
        <w:t>MF</w:t>
      </w:r>
      <w:r w:rsidRPr="00432729">
        <w:rPr>
          <w:rFonts w:asciiTheme="minorHAnsi" w:hAnsiTheme="minorHAnsi" w:cs="Arial"/>
          <w:color w:val="000000"/>
        </w:rPr>
        <w:t xml:space="preserve"> a </w:t>
      </w:r>
      <w:r w:rsidRPr="00E92C53">
        <w:rPr>
          <w:rFonts w:asciiTheme="minorHAnsi" w:hAnsiTheme="minorHAnsi" w:cstheme="minorHAnsi"/>
          <w:color w:val="000000"/>
        </w:rPr>
        <w:t xml:space="preserve">je dostupná na: </w:t>
      </w:r>
      <w:hyperlink r:id="rId3" w:history="1">
        <w:r w:rsidRPr="00E92C53">
          <w:rPr>
            <w:rStyle w:val="Hypertextovodkaz"/>
            <w:rFonts w:asciiTheme="minorHAnsi" w:hAnsiTheme="minorHAnsi" w:cstheme="minorHAnsi"/>
          </w:rPr>
          <w:t>https://www.mfcr.cz/cs/verejny-sektor/makroekonomika/makroekonomicka-predikce/2022/makroekonomicka-predikce-duben-2022-47117</w:t>
        </w:r>
      </w:hyperlink>
    </w:p>
  </w:footnote>
  <w:footnote w:id="6">
    <w:p w14:paraId="0A1F8154" w14:textId="67C026E0" w:rsidR="00511D9B" w:rsidRPr="00E92C53" w:rsidRDefault="00511D9B">
      <w:pPr>
        <w:pStyle w:val="Textpoznpodarou"/>
        <w:rPr>
          <w:rFonts w:asciiTheme="minorHAnsi" w:hAnsiTheme="minorHAnsi" w:cstheme="minorHAnsi"/>
        </w:rPr>
      </w:pPr>
      <w:r w:rsidRPr="00E92C53">
        <w:rPr>
          <w:rStyle w:val="Znakapoznpodarou"/>
          <w:rFonts w:asciiTheme="minorHAnsi" w:hAnsiTheme="minorHAnsi" w:cstheme="minorHAnsi"/>
        </w:rPr>
        <w:footnoteRef/>
      </w:r>
      <w:r w:rsidRPr="00E92C53">
        <w:rPr>
          <w:rFonts w:asciiTheme="minorHAnsi" w:hAnsiTheme="minorHAnsi" w:cstheme="minorHAnsi"/>
        </w:rPr>
        <w:t xml:space="preserve"> </w:t>
      </w:r>
      <w:r w:rsidRPr="00E92C53">
        <w:rPr>
          <w:rFonts w:asciiTheme="minorHAnsi" w:hAnsiTheme="minorHAnsi" w:cstheme="minorHAnsi"/>
          <w:b/>
        </w:rPr>
        <w:t>Fiskální výhled</w:t>
      </w:r>
      <w:r w:rsidRPr="00E92C53">
        <w:rPr>
          <w:rFonts w:asciiTheme="minorHAnsi" w:hAnsiTheme="minorHAnsi" w:cstheme="minorHAnsi"/>
        </w:rPr>
        <w:t xml:space="preserve"> z</w:t>
      </w:r>
      <w:r w:rsidRPr="00E92C53">
        <w:rPr>
          <w:rFonts w:asciiTheme="minorHAnsi" w:hAnsiTheme="minorHAnsi" w:cstheme="minorHAnsi"/>
          <w:color w:val="000000"/>
        </w:rPr>
        <w:t xml:space="preserve">pracovává MF a je dostupný na: </w:t>
      </w:r>
      <w:hyperlink r:id="rId4" w:history="1">
        <w:r w:rsidRPr="00E92C53">
          <w:rPr>
            <w:rStyle w:val="Hypertextovodkaz"/>
            <w:rFonts w:asciiTheme="minorHAnsi" w:hAnsiTheme="minorHAnsi" w:cstheme="minorHAnsi"/>
          </w:rPr>
          <w:t>https://www.mfcr.cz/cs/verejny-sektor/makroekonomika/fiskalni-vyhled</w:t>
        </w:r>
      </w:hyperlink>
    </w:p>
  </w:footnote>
  <w:footnote w:id="7">
    <w:p w14:paraId="7C391BAF" w14:textId="019223DF" w:rsidR="00511D9B" w:rsidRPr="00E92C53" w:rsidRDefault="00511D9B" w:rsidP="007D424A">
      <w:pPr>
        <w:pStyle w:val="Textpoznpodarou"/>
        <w:jc w:val="both"/>
        <w:rPr>
          <w:rFonts w:asciiTheme="minorHAnsi" w:hAnsiTheme="minorHAnsi" w:cstheme="minorHAnsi"/>
        </w:rPr>
      </w:pPr>
      <w:r w:rsidRPr="00E92C53">
        <w:rPr>
          <w:rStyle w:val="Znakapoznpodarou"/>
          <w:rFonts w:asciiTheme="minorHAnsi" w:hAnsiTheme="minorHAnsi" w:cstheme="minorHAnsi"/>
        </w:rPr>
        <w:footnoteRef/>
      </w:r>
      <w:r w:rsidRPr="00E92C53">
        <w:rPr>
          <w:rFonts w:asciiTheme="minorHAnsi" w:hAnsiTheme="minorHAnsi" w:cstheme="minorHAnsi"/>
        </w:rPr>
        <w:t xml:space="preserve"> </w:t>
      </w:r>
      <w:r w:rsidRPr="00E92C53">
        <w:rPr>
          <w:rFonts w:asciiTheme="minorHAnsi" w:hAnsiTheme="minorHAnsi" w:cstheme="minorHAnsi"/>
          <w:b/>
          <w:color w:val="000000"/>
        </w:rPr>
        <w:t>Konvergenční program</w:t>
      </w:r>
      <w:r w:rsidRPr="00E92C53">
        <w:rPr>
          <w:rFonts w:asciiTheme="minorHAnsi" w:hAnsiTheme="minorHAnsi" w:cstheme="minorHAnsi"/>
          <w:color w:val="000000"/>
        </w:rPr>
        <w:t xml:space="preserve"> uvádí souhrnné fiskální údaje a klíčová připravovaná opatření s rozpočtovým dopadem. Zpracovává je Ministerstvo financí a je dostupný na: </w:t>
      </w:r>
      <w:hyperlink r:id="rId5" w:history="1">
        <w:r w:rsidRPr="00E92C53">
          <w:rPr>
            <w:rStyle w:val="Hypertextovodkaz"/>
            <w:rFonts w:asciiTheme="minorHAnsi" w:hAnsiTheme="minorHAnsi" w:cstheme="minorHAnsi"/>
          </w:rPr>
          <w:t>https://www.mfcr.cz/cs/zahranicni-sektor/pristoupeni-cr-k-eurozone/konvergencni-program/2022/konvergencni-program-ceske-republiky-dub-47355/</w:t>
        </w:r>
      </w:hyperlink>
    </w:p>
  </w:footnote>
  <w:footnote w:id="8">
    <w:p w14:paraId="113640A2" w14:textId="6DABFB41" w:rsidR="00511D9B" w:rsidRPr="00E92C53" w:rsidRDefault="00511D9B">
      <w:pPr>
        <w:pStyle w:val="Textpoznpodarou"/>
        <w:rPr>
          <w:rFonts w:asciiTheme="minorHAnsi" w:hAnsiTheme="minorHAnsi" w:cstheme="minorHAnsi"/>
        </w:rPr>
      </w:pPr>
      <w:r w:rsidRPr="00E92C53">
        <w:rPr>
          <w:rStyle w:val="Znakapoznpodarou"/>
          <w:rFonts w:asciiTheme="minorHAnsi" w:hAnsiTheme="minorHAnsi" w:cstheme="minorHAnsi"/>
        </w:rPr>
        <w:footnoteRef/>
      </w:r>
      <w:r w:rsidRPr="00E92C53">
        <w:rPr>
          <w:rFonts w:asciiTheme="minorHAnsi" w:hAnsiTheme="minorHAnsi" w:cstheme="minorHAnsi"/>
        </w:rPr>
        <w:t xml:space="preserve"> </w:t>
      </w:r>
      <w:r w:rsidRPr="00E92C53">
        <w:rPr>
          <w:rFonts w:asciiTheme="minorHAnsi" w:hAnsiTheme="minorHAnsi" w:cstheme="minorHAnsi"/>
          <w:b/>
        </w:rPr>
        <w:t>Rozpočtová strategie sektoru veřejných institucí</w:t>
      </w:r>
      <w:r w:rsidRPr="00E92C53">
        <w:rPr>
          <w:rFonts w:asciiTheme="minorHAnsi" w:hAnsiTheme="minorHAnsi" w:cstheme="minorHAnsi"/>
        </w:rPr>
        <w:t xml:space="preserve"> je dostupná na: </w:t>
      </w:r>
      <w:hyperlink r:id="rId6" w:history="1">
        <w:r w:rsidRPr="00E92C53">
          <w:rPr>
            <w:rStyle w:val="Hypertextovodkaz"/>
            <w:rFonts w:asciiTheme="minorHAnsi" w:hAnsiTheme="minorHAnsi" w:cstheme="minorHAnsi"/>
          </w:rPr>
          <w:t>https://www.mfcr.cz/cs/verejny-sektor/statni-rozpocet/rozpoctova-strategie/2022/rozpoctova-strategie-sektoru-verejnych-i-47360/</w:t>
        </w:r>
      </w:hyperlink>
    </w:p>
  </w:footnote>
  <w:footnote w:id="9">
    <w:p w14:paraId="7E45CF1F" w14:textId="1C4DEA8C" w:rsidR="00511D9B" w:rsidRPr="00E92C53" w:rsidRDefault="00511D9B" w:rsidP="00132074">
      <w:pPr>
        <w:pStyle w:val="Textpoznpodarou"/>
        <w:jc w:val="both"/>
        <w:rPr>
          <w:rFonts w:asciiTheme="minorHAnsi" w:hAnsiTheme="minorHAnsi" w:cstheme="minorHAnsi"/>
        </w:rPr>
      </w:pPr>
      <w:r w:rsidRPr="00E92C53">
        <w:rPr>
          <w:rStyle w:val="Znakapoznpodarou"/>
          <w:rFonts w:asciiTheme="minorHAnsi" w:hAnsiTheme="minorHAnsi" w:cstheme="minorHAnsi"/>
        </w:rPr>
        <w:footnoteRef/>
      </w:r>
      <w:r w:rsidRPr="00E92C53">
        <w:rPr>
          <w:rFonts w:asciiTheme="minorHAnsi" w:hAnsiTheme="minorHAnsi" w:cstheme="minorHAnsi"/>
        </w:rPr>
        <w:t xml:space="preserve"> Veřejn</w:t>
      </w:r>
      <w:r>
        <w:rPr>
          <w:rFonts w:asciiTheme="minorHAnsi" w:hAnsiTheme="minorHAnsi" w:cstheme="minorHAnsi"/>
        </w:rPr>
        <w:t>é</w:t>
      </w:r>
      <w:r w:rsidRPr="00E92C53">
        <w:rPr>
          <w:rFonts w:asciiTheme="minorHAnsi" w:hAnsiTheme="minorHAnsi" w:cstheme="minorHAnsi"/>
        </w:rPr>
        <w:t xml:space="preserve"> prostředky</w:t>
      </w:r>
      <w:r w:rsidRPr="00E92C53">
        <w:rPr>
          <w:rFonts w:asciiTheme="minorHAnsi" w:hAnsiTheme="minorHAnsi" w:cstheme="minorHAnsi"/>
          <w:b/>
        </w:rPr>
        <w:t xml:space="preserve"> </w:t>
      </w:r>
      <w:r w:rsidRPr="00E92C53">
        <w:rPr>
          <w:rFonts w:asciiTheme="minorHAnsi" w:hAnsiTheme="minorHAnsi" w:cstheme="minorHAnsi"/>
        </w:rPr>
        <w:t>zahrnují dle zákona o finanční kontrole:</w:t>
      </w:r>
      <w:r w:rsidRPr="00E92C53">
        <w:rPr>
          <w:rFonts w:asciiTheme="minorHAnsi" w:hAnsiTheme="minorHAnsi" w:cstheme="minorHAnsi"/>
          <w:b/>
        </w:rPr>
        <w:t xml:space="preserve"> </w:t>
      </w:r>
      <w:r w:rsidRPr="00E92C53">
        <w:rPr>
          <w:rFonts w:asciiTheme="minorHAnsi" w:hAnsiTheme="minorHAnsi" w:cstheme="minorHAnsi"/>
        </w:rPr>
        <w:t>veřejné finance (příjmy a výdaje), věci, majetková práva a jiné majetkové hodnoty.</w:t>
      </w:r>
    </w:p>
  </w:footnote>
  <w:footnote w:id="10">
    <w:p w14:paraId="37D8258B" w14:textId="32D532E0" w:rsidR="00511D9B" w:rsidRDefault="00511D9B" w:rsidP="00992918">
      <w:pPr>
        <w:pStyle w:val="Textpoznpodarou"/>
        <w:jc w:val="both"/>
      </w:pPr>
      <w:r>
        <w:rPr>
          <w:rStyle w:val="Znakapoznpodarou"/>
        </w:rPr>
        <w:footnoteRef/>
      </w:r>
      <w:r>
        <w:t xml:space="preserve"> </w:t>
      </w:r>
      <w:r>
        <w:rPr>
          <w:rFonts w:ascii="Calibri" w:hAnsi="Calibri"/>
        </w:rPr>
        <w:t>Obvykle jde o statutárního zástupce - například u obce je to starosta, u příspěvkové organizace ředitel, ale u kraje je zákonem určen ředitel krajského úřadu.</w:t>
      </w:r>
    </w:p>
  </w:footnote>
  <w:footnote w:id="11">
    <w:p w14:paraId="64B40833" w14:textId="64092418" w:rsidR="00511D9B" w:rsidRPr="007A3880" w:rsidRDefault="00511D9B" w:rsidP="00CB5962">
      <w:pPr>
        <w:pStyle w:val="Textpoznpodarou"/>
        <w:jc w:val="both"/>
        <w:rPr>
          <w:rFonts w:asciiTheme="minorHAnsi" w:hAnsiTheme="minorHAnsi"/>
        </w:rPr>
      </w:pPr>
      <w:r w:rsidRPr="007A3880">
        <w:rPr>
          <w:rStyle w:val="Znakapoznpodarou"/>
          <w:rFonts w:asciiTheme="minorHAnsi" w:hAnsiTheme="minorHAnsi"/>
        </w:rPr>
        <w:footnoteRef/>
      </w:r>
      <w:r w:rsidRPr="007A3880">
        <w:rPr>
          <w:rFonts w:asciiTheme="minorHAnsi" w:hAnsiTheme="minorHAnsi"/>
        </w:rPr>
        <w:t xml:space="preserve"> Zákon vyžaduje provádět předběžnou kontrolu nejen pro připravované operace, ale také pro plán</w:t>
      </w:r>
      <w:r>
        <w:rPr>
          <w:rFonts w:asciiTheme="minorHAnsi" w:hAnsiTheme="minorHAnsi"/>
        </w:rPr>
        <w:t>ované operace</w:t>
      </w:r>
      <w:r w:rsidRPr="007A3880">
        <w:rPr>
          <w:rFonts w:asciiTheme="minorHAnsi" w:hAnsiTheme="minorHAnsi"/>
        </w:rPr>
        <w:t>.</w:t>
      </w:r>
    </w:p>
  </w:footnote>
  <w:footnote w:id="12">
    <w:p w14:paraId="7994BE80" w14:textId="37E7108D" w:rsidR="00511D9B" w:rsidRDefault="00511D9B">
      <w:pPr>
        <w:pStyle w:val="Textpoznpodarou"/>
      </w:pPr>
      <w:r>
        <w:rPr>
          <w:rStyle w:val="Znakapoznpodarou"/>
        </w:rPr>
        <w:footnoteRef/>
      </w:r>
      <w:r>
        <w:t xml:space="preserve"> </w:t>
      </w:r>
      <w:r w:rsidRPr="002B46BD">
        <w:rPr>
          <w:rFonts w:asciiTheme="minorHAnsi" w:hAnsiTheme="minorHAnsi" w:cstheme="minorHAnsi"/>
          <w:lang w:eastAsia="x-none"/>
        </w:rPr>
        <w:t xml:space="preserve">Dostupné na: </w:t>
      </w:r>
      <w:hyperlink r:id="rId7" w:history="1">
        <w:r w:rsidRPr="002B46BD">
          <w:rPr>
            <w:rStyle w:val="Hypertextovodkaz"/>
            <w:rFonts w:asciiTheme="minorHAnsi" w:hAnsiTheme="minorHAnsi" w:cstheme="minorHAnsi"/>
          </w:rPr>
          <w:t>https://mmr.cz/cs/microsites/portal-strategicke-prace-v-ceske-republice/nastroje-a-metodicka-podpora/nastroje-pro-strategickou-praci/</w:t>
        </w:r>
      </w:hyperlink>
    </w:p>
  </w:footnote>
  <w:footnote w:id="13">
    <w:p w14:paraId="79DB45D7" w14:textId="6338D532" w:rsidR="00511D9B" w:rsidRDefault="00511D9B" w:rsidP="00874F70">
      <w:pPr>
        <w:shd w:val="clear" w:color="auto" w:fill="FFFFFF"/>
        <w:spacing w:line="240" w:lineRule="auto"/>
        <w:jc w:val="both"/>
        <w:rPr>
          <w:rFonts w:asciiTheme="minorHAnsi" w:hAnsiTheme="minorHAnsi"/>
          <w:sz w:val="20"/>
          <w:szCs w:val="20"/>
        </w:rPr>
      </w:pPr>
      <w:r w:rsidRPr="007D2CAB">
        <w:rPr>
          <w:rStyle w:val="Znakapoznpodarou"/>
          <w:rFonts w:asciiTheme="minorHAnsi" w:hAnsiTheme="minorHAnsi"/>
          <w:sz w:val="20"/>
          <w:szCs w:val="20"/>
        </w:rPr>
        <w:footnoteRef/>
      </w:r>
      <w:r w:rsidRPr="007D2CAB">
        <w:rPr>
          <w:rFonts w:asciiTheme="minorHAnsi" w:hAnsiTheme="minorHAnsi"/>
          <w:sz w:val="20"/>
          <w:szCs w:val="20"/>
        </w:rPr>
        <w:t xml:space="preserve"> </w:t>
      </w:r>
      <w:r w:rsidRPr="007D2CAB">
        <w:rPr>
          <w:rFonts w:asciiTheme="minorHAnsi" w:hAnsiTheme="minorHAnsi"/>
          <w:b/>
          <w:sz w:val="20"/>
          <w:szCs w:val="20"/>
        </w:rPr>
        <w:t xml:space="preserve">Trestní zákoník, </w:t>
      </w:r>
      <w:hyperlink r:id="rId8" w:history="1">
        <w:r w:rsidRPr="007D2CAB">
          <w:rPr>
            <w:rFonts w:asciiTheme="minorHAnsi" w:hAnsiTheme="minorHAnsi"/>
            <w:b/>
            <w:sz w:val="20"/>
            <w:szCs w:val="20"/>
          </w:rPr>
          <w:t>§ 220 Porušení povinnosti při správě cizího majetku</w:t>
        </w:r>
      </w:hyperlink>
      <w:r>
        <w:rPr>
          <w:rFonts w:asciiTheme="minorHAnsi" w:hAnsiTheme="minorHAnsi"/>
          <w:b/>
          <w:sz w:val="20"/>
          <w:szCs w:val="20"/>
        </w:rPr>
        <w:t xml:space="preserve"> </w:t>
      </w:r>
      <w:r w:rsidRPr="007D2CAB">
        <w:rPr>
          <w:rFonts w:asciiTheme="minorHAnsi" w:hAnsiTheme="minorHAnsi"/>
          <w:bCs/>
          <w:sz w:val="20"/>
          <w:szCs w:val="20"/>
        </w:rPr>
        <w:t>(1)</w:t>
      </w:r>
      <w:r w:rsidRPr="007D2CAB">
        <w:rPr>
          <w:rFonts w:asciiTheme="minorHAnsi" w:hAnsiTheme="minorHAnsi"/>
          <w:sz w:val="20"/>
          <w:szCs w:val="20"/>
        </w:rPr>
        <w:t xml:space="preserve"> Kdo poruší podle zákona mu uloženou nebo smluvně převzatou povinnost opatrovat nebo spravovat cizí majetek, a tím jinému </w:t>
      </w:r>
      <w:r w:rsidRPr="00785111">
        <w:rPr>
          <w:rFonts w:asciiTheme="minorHAnsi" w:hAnsiTheme="minorHAnsi"/>
          <w:b/>
          <w:sz w:val="20"/>
          <w:szCs w:val="20"/>
        </w:rPr>
        <w:t>způsobí škodu nikoli malou</w:t>
      </w:r>
      <w:r w:rsidRPr="007D2CAB">
        <w:rPr>
          <w:rFonts w:asciiTheme="minorHAnsi" w:hAnsiTheme="minorHAnsi"/>
          <w:sz w:val="20"/>
          <w:szCs w:val="20"/>
        </w:rPr>
        <w:t>, bude potrestán odnětím svobody až na dvě léta nebo zákazem činnosti.</w:t>
      </w:r>
      <w:r>
        <w:rPr>
          <w:rFonts w:asciiTheme="minorHAnsi" w:hAnsiTheme="minorHAnsi"/>
          <w:sz w:val="20"/>
          <w:szCs w:val="20"/>
        </w:rPr>
        <w:t xml:space="preserve"> </w:t>
      </w:r>
      <w:r w:rsidRPr="007D2CAB">
        <w:rPr>
          <w:rFonts w:asciiTheme="minorHAnsi" w:hAnsiTheme="minorHAnsi"/>
          <w:sz w:val="20"/>
          <w:szCs w:val="20"/>
        </w:rPr>
        <w:t>(2) Odnětím svobody na šest měsíců až pět let nebo peněžitým trestem bude pachatel potrestán,</w:t>
      </w:r>
      <w:r>
        <w:rPr>
          <w:rFonts w:asciiTheme="minorHAnsi" w:hAnsiTheme="minorHAnsi"/>
          <w:sz w:val="20"/>
          <w:szCs w:val="20"/>
        </w:rPr>
        <w:t xml:space="preserve"> </w:t>
      </w:r>
      <w:r w:rsidRPr="007D2CAB">
        <w:rPr>
          <w:rFonts w:asciiTheme="minorHAnsi" w:hAnsiTheme="minorHAnsi"/>
          <w:bCs/>
          <w:sz w:val="20"/>
          <w:szCs w:val="20"/>
        </w:rPr>
        <w:t>a)</w:t>
      </w:r>
      <w:r w:rsidRPr="007D2CAB">
        <w:rPr>
          <w:rFonts w:asciiTheme="minorHAnsi" w:hAnsiTheme="minorHAnsi"/>
          <w:sz w:val="20"/>
          <w:szCs w:val="20"/>
        </w:rPr>
        <w:t> spáchá-li čin uvedený v odstavci 1 jako osoba, která má zvlášť uloženou povinnost hájit zájmy poškozeného, nebo</w:t>
      </w:r>
      <w:r>
        <w:rPr>
          <w:rFonts w:asciiTheme="minorHAnsi" w:hAnsiTheme="minorHAnsi"/>
          <w:sz w:val="20"/>
          <w:szCs w:val="20"/>
        </w:rPr>
        <w:t xml:space="preserve"> </w:t>
      </w:r>
      <w:r w:rsidRPr="007D2CAB">
        <w:rPr>
          <w:rFonts w:asciiTheme="minorHAnsi" w:hAnsiTheme="minorHAnsi"/>
          <w:bCs/>
          <w:sz w:val="20"/>
          <w:szCs w:val="20"/>
        </w:rPr>
        <w:t>b)</w:t>
      </w:r>
      <w:r w:rsidRPr="007D2CAB">
        <w:rPr>
          <w:rFonts w:asciiTheme="minorHAnsi" w:hAnsiTheme="minorHAnsi"/>
          <w:sz w:val="20"/>
          <w:szCs w:val="20"/>
        </w:rPr>
        <w:t xml:space="preserve"> způsobí-li takovým činem </w:t>
      </w:r>
      <w:r w:rsidRPr="00785111">
        <w:rPr>
          <w:rFonts w:asciiTheme="minorHAnsi" w:hAnsiTheme="minorHAnsi"/>
          <w:b/>
          <w:sz w:val="20"/>
          <w:szCs w:val="20"/>
        </w:rPr>
        <w:t>značnou škodu</w:t>
      </w:r>
      <w:r w:rsidRPr="007D2CAB">
        <w:rPr>
          <w:rFonts w:asciiTheme="minorHAnsi" w:hAnsiTheme="minorHAnsi"/>
          <w:sz w:val="20"/>
          <w:szCs w:val="20"/>
        </w:rPr>
        <w:t>.</w:t>
      </w:r>
      <w:r>
        <w:rPr>
          <w:rFonts w:asciiTheme="minorHAnsi" w:hAnsiTheme="minorHAnsi"/>
          <w:sz w:val="20"/>
          <w:szCs w:val="20"/>
        </w:rPr>
        <w:t xml:space="preserve"> </w:t>
      </w:r>
      <w:r w:rsidRPr="007D2CAB">
        <w:rPr>
          <w:rFonts w:asciiTheme="minorHAnsi" w:hAnsiTheme="minorHAnsi"/>
          <w:bCs/>
          <w:sz w:val="20"/>
          <w:szCs w:val="20"/>
        </w:rPr>
        <w:t>(3)</w:t>
      </w:r>
      <w:r w:rsidRPr="007D2CAB">
        <w:rPr>
          <w:rFonts w:asciiTheme="minorHAnsi" w:hAnsiTheme="minorHAnsi"/>
          <w:sz w:val="20"/>
          <w:szCs w:val="20"/>
        </w:rPr>
        <w:t xml:space="preserve"> Odnětím svobody na dvě léta až osm let bude pachatel potrestán, způsobí-li činem uvedeným v odstavci 1 </w:t>
      </w:r>
      <w:r w:rsidRPr="00785111">
        <w:rPr>
          <w:rFonts w:asciiTheme="minorHAnsi" w:hAnsiTheme="minorHAnsi"/>
          <w:b/>
          <w:sz w:val="20"/>
          <w:szCs w:val="20"/>
        </w:rPr>
        <w:t>škodu velkého rozsahu</w:t>
      </w:r>
      <w:r w:rsidRPr="007D2CAB">
        <w:rPr>
          <w:rFonts w:asciiTheme="minorHAnsi" w:hAnsiTheme="minorHAnsi"/>
          <w:sz w:val="20"/>
          <w:szCs w:val="20"/>
        </w:rPr>
        <w:t>.</w:t>
      </w:r>
    </w:p>
    <w:p w14:paraId="6C1334B3" w14:textId="77777777" w:rsidR="00511D9B" w:rsidRPr="007D2CAB" w:rsidRDefault="00511D9B" w:rsidP="00874F70">
      <w:pPr>
        <w:shd w:val="clear" w:color="auto" w:fill="FFFFFF"/>
        <w:spacing w:line="240" w:lineRule="auto"/>
        <w:jc w:val="both"/>
        <w:rPr>
          <w:rFonts w:asciiTheme="minorHAnsi" w:hAnsiTheme="minorHAnsi"/>
          <w:sz w:val="20"/>
          <w:szCs w:val="20"/>
        </w:rPr>
      </w:pPr>
      <w:r w:rsidRPr="00785111">
        <w:rPr>
          <w:rFonts w:asciiTheme="minorHAnsi" w:hAnsiTheme="minorHAnsi"/>
          <w:b/>
          <w:sz w:val="20"/>
          <w:szCs w:val="20"/>
        </w:rPr>
        <w:t>Poznámka:</w:t>
      </w:r>
      <w:r>
        <w:rPr>
          <w:rFonts w:asciiTheme="minorHAnsi" w:hAnsiTheme="minorHAnsi"/>
          <w:sz w:val="20"/>
          <w:szCs w:val="20"/>
        </w:rPr>
        <w:t xml:space="preserve"> </w:t>
      </w:r>
      <w:r w:rsidRPr="007D2CAB">
        <w:rPr>
          <w:rFonts w:asciiTheme="minorHAnsi" w:hAnsiTheme="minorHAnsi"/>
          <w:sz w:val="20"/>
          <w:szCs w:val="20"/>
        </w:rPr>
        <w:t xml:space="preserve">škoda nikoli malá – nejméně 50 </w:t>
      </w:r>
      <w:r>
        <w:rPr>
          <w:rFonts w:asciiTheme="minorHAnsi" w:hAnsiTheme="minorHAnsi"/>
          <w:sz w:val="20"/>
          <w:szCs w:val="20"/>
        </w:rPr>
        <w:t>tis.</w:t>
      </w:r>
      <w:r w:rsidRPr="007D2CAB">
        <w:rPr>
          <w:rFonts w:asciiTheme="minorHAnsi" w:hAnsiTheme="minorHAnsi"/>
          <w:sz w:val="20"/>
          <w:szCs w:val="20"/>
        </w:rPr>
        <w:t xml:space="preserve"> Kč, škoda značná – nejméně 1 </w:t>
      </w:r>
      <w:r>
        <w:rPr>
          <w:rFonts w:asciiTheme="minorHAnsi" w:hAnsiTheme="minorHAnsi"/>
          <w:sz w:val="20"/>
          <w:szCs w:val="20"/>
        </w:rPr>
        <w:t>mil.</w:t>
      </w:r>
      <w:r w:rsidRPr="007D2CAB">
        <w:rPr>
          <w:rFonts w:asciiTheme="minorHAnsi" w:hAnsiTheme="minorHAnsi"/>
          <w:sz w:val="20"/>
          <w:szCs w:val="20"/>
        </w:rPr>
        <w:t xml:space="preserve"> Kč, škoda velkého rozsahu – nejméně 10 </w:t>
      </w:r>
      <w:r>
        <w:rPr>
          <w:rFonts w:asciiTheme="minorHAnsi" w:hAnsiTheme="minorHAnsi"/>
          <w:sz w:val="20"/>
          <w:szCs w:val="20"/>
        </w:rPr>
        <w:t>mil.</w:t>
      </w:r>
      <w:r w:rsidRPr="007D2CAB">
        <w:rPr>
          <w:rFonts w:asciiTheme="minorHAnsi" w:hAnsiTheme="minorHAnsi"/>
          <w:sz w:val="20"/>
          <w:szCs w:val="20"/>
        </w:rPr>
        <w:t xml:space="preserve"> Kč.</w:t>
      </w:r>
    </w:p>
    <w:p w14:paraId="3565AF0B" w14:textId="1BEF35AF" w:rsidR="00511D9B" w:rsidRPr="00C37978" w:rsidRDefault="00511D9B" w:rsidP="00874F70">
      <w:pPr>
        <w:shd w:val="clear" w:color="auto" w:fill="FFFFFF"/>
        <w:spacing w:line="240" w:lineRule="auto"/>
        <w:jc w:val="both"/>
        <w:rPr>
          <w:rFonts w:asciiTheme="minorHAnsi" w:hAnsiTheme="minorHAnsi"/>
          <w:sz w:val="20"/>
          <w:szCs w:val="20"/>
        </w:rPr>
      </w:pPr>
      <w:r w:rsidRPr="007D2CAB">
        <w:rPr>
          <w:rFonts w:asciiTheme="minorHAnsi" w:hAnsiTheme="minorHAnsi"/>
          <w:b/>
          <w:sz w:val="20"/>
          <w:szCs w:val="20"/>
        </w:rPr>
        <w:t xml:space="preserve">Trestní zákoník, </w:t>
      </w:r>
      <w:hyperlink r:id="rId9" w:history="1">
        <w:r w:rsidRPr="007D2CAB">
          <w:rPr>
            <w:rFonts w:asciiTheme="minorHAnsi" w:hAnsiTheme="minorHAnsi"/>
            <w:b/>
            <w:sz w:val="20"/>
            <w:szCs w:val="20"/>
          </w:rPr>
          <w:t>§ 221 Porušení povinnosti při správě cizího majetku z nedbalosti</w:t>
        </w:r>
      </w:hyperlink>
      <w:r>
        <w:rPr>
          <w:rFonts w:asciiTheme="minorHAnsi" w:hAnsiTheme="minorHAnsi"/>
          <w:b/>
          <w:sz w:val="20"/>
          <w:szCs w:val="20"/>
        </w:rPr>
        <w:t xml:space="preserve"> </w:t>
      </w:r>
      <w:r w:rsidRPr="007D2CAB">
        <w:rPr>
          <w:rFonts w:asciiTheme="minorHAnsi" w:hAnsiTheme="minorHAnsi"/>
          <w:bCs/>
          <w:sz w:val="20"/>
          <w:szCs w:val="20"/>
        </w:rPr>
        <w:t>(1)</w:t>
      </w:r>
      <w:r w:rsidRPr="007D2CAB">
        <w:rPr>
          <w:rFonts w:asciiTheme="minorHAnsi" w:hAnsiTheme="minorHAnsi"/>
          <w:sz w:val="20"/>
          <w:szCs w:val="20"/>
        </w:rPr>
        <w:t xml:space="preserve"> Kdo </w:t>
      </w:r>
      <w:r w:rsidRPr="00785111">
        <w:rPr>
          <w:rFonts w:asciiTheme="minorHAnsi" w:hAnsiTheme="minorHAnsi"/>
          <w:b/>
          <w:sz w:val="20"/>
          <w:szCs w:val="20"/>
        </w:rPr>
        <w:t>z hrubé nedbalosti</w:t>
      </w:r>
      <w:r w:rsidRPr="007D2CAB">
        <w:rPr>
          <w:rFonts w:asciiTheme="minorHAnsi" w:hAnsiTheme="minorHAnsi"/>
          <w:sz w:val="20"/>
          <w:szCs w:val="20"/>
        </w:rPr>
        <w:t xml:space="preserve"> poruší podle zákona mu uloženou nebo smluvně převzatou důležitou povinnost při opatrování nebo správě cizího majetku, a tím jinému </w:t>
      </w:r>
      <w:r w:rsidRPr="00785111">
        <w:rPr>
          <w:rFonts w:asciiTheme="minorHAnsi" w:hAnsiTheme="minorHAnsi"/>
          <w:b/>
          <w:sz w:val="20"/>
          <w:szCs w:val="20"/>
        </w:rPr>
        <w:t>způsobí značnou škodu</w:t>
      </w:r>
      <w:r w:rsidRPr="007D2CAB">
        <w:rPr>
          <w:rFonts w:asciiTheme="minorHAnsi" w:hAnsiTheme="minorHAnsi"/>
          <w:sz w:val="20"/>
          <w:szCs w:val="20"/>
        </w:rPr>
        <w:t>, bude potrestán odnětím svobody až na šest měsíců nebo zákazem činnosti.</w:t>
      </w:r>
      <w:r>
        <w:rPr>
          <w:rFonts w:asciiTheme="minorHAnsi" w:hAnsiTheme="minorHAnsi"/>
          <w:sz w:val="20"/>
          <w:szCs w:val="20"/>
        </w:rPr>
        <w:t xml:space="preserve"> </w:t>
      </w:r>
      <w:r w:rsidRPr="007D2CAB">
        <w:rPr>
          <w:rFonts w:asciiTheme="minorHAnsi" w:hAnsiTheme="minorHAnsi"/>
          <w:sz w:val="20"/>
          <w:szCs w:val="20"/>
        </w:rPr>
        <w:t>(2) Odnětím svobody až na tři léta bude pachatel potrestán,</w:t>
      </w:r>
      <w:r>
        <w:rPr>
          <w:rFonts w:asciiTheme="minorHAnsi" w:hAnsiTheme="minorHAnsi"/>
          <w:sz w:val="20"/>
          <w:szCs w:val="20"/>
        </w:rPr>
        <w:t xml:space="preserve"> </w:t>
      </w:r>
      <w:r w:rsidRPr="007D2CAB">
        <w:rPr>
          <w:rFonts w:asciiTheme="minorHAnsi" w:hAnsiTheme="minorHAnsi"/>
          <w:bCs/>
          <w:sz w:val="20"/>
          <w:szCs w:val="20"/>
        </w:rPr>
        <w:t>a)</w:t>
      </w:r>
      <w:r w:rsidRPr="007D2CAB">
        <w:rPr>
          <w:rFonts w:asciiTheme="minorHAnsi" w:hAnsiTheme="minorHAnsi"/>
          <w:sz w:val="20"/>
          <w:szCs w:val="20"/>
        </w:rPr>
        <w:t> spáchá-li čin uvedený v odstavci 1 jako osoba, která má zvlášť uloženou povinnost hájit zájmy poškozeného, nebo</w:t>
      </w:r>
      <w:r>
        <w:rPr>
          <w:rFonts w:asciiTheme="minorHAnsi" w:hAnsiTheme="minorHAnsi"/>
          <w:sz w:val="20"/>
          <w:szCs w:val="20"/>
        </w:rPr>
        <w:t xml:space="preserve"> </w:t>
      </w:r>
      <w:r w:rsidRPr="007D2CAB">
        <w:rPr>
          <w:rFonts w:asciiTheme="minorHAnsi" w:hAnsiTheme="minorHAnsi"/>
          <w:bCs/>
          <w:sz w:val="20"/>
          <w:szCs w:val="20"/>
        </w:rPr>
        <w:t>b)</w:t>
      </w:r>
      <w:r w:rsidRPr="007D2CAB">
        <w:rPr>
          <w:rFonts w:asciiTheme="minorHAnsi" w:hAnsiTheme="minorHAnsi"/>
          <w:sz w:val="20"/>
          <w:szCs w:val="20"/>
        </w:rPr>
        <w:t xml:space="preserve"> způsobí-li takovým činem </w:t>
      </w:r>
      <w:r w:rsidRPr="00785111">
        <w:rPr>
          <w:rFonts w:asciiTheme="minorHAnsi" w:hAnsiTheme="minorHAnsi"/>
          <w:b/>
          <w:sz w:val="20"/>
          <w:szCs w:val="20"/>
        </w:rPr>
        <w:t>škodu velkého rozsahu</w:t>
      </w:r>
      <w:r w:rsidRPr="007D2CAB">
        <w:rPr>
          <w:rFonts w:asciiTheme="minorHAnsi" w:hAnsiTheme="minorHAnsi"/>
          <w:sz w:val="20"/>
          <w:szCs w:val="20"/>
        </w:rPr>
        <w:t>.</w:t>
      </w:r>
    </w:p>
  </w:footnote>
  <w:footnote w:id="14">
    <w:p w14:paraId="18F91A41" w14:textId="77777777" w:rsidR="00511D9B" w:rsidRDefault="00511D9B" w:rsidP="002C31FD">
      <w:pPr>
        <w:pStyle w:val="l5"/>
        <w:shd w:val="clear" w:color="auto" w:fill="FFFFFF"/>
        <w:spacing w:before="0" w:beforeAutospacing="0" w:after="0" w:afterAutospacing="0"/>
        <w:jc w:val="both"/>
      </w:pPr>
      <w:r w:rsidRPr="002C31FD">
        <w:rPr>
          <w:rStyle w:val="Znakapoznpodarou"/>
          <w:rFonts w:asciiTheme="minorHAnsi" w:hAnsiTheme="minorHAnsi" w:cstheme="minorHAnsi"/>
          <w:sz w:val="20"/>
          <w:szCs w:val="20"/>
        </w:rPr>
        <w:footnoteRef/>
      </w:r>
      <w:r w:rsidRPr="002C31FD">
        <w:rPr>
          <w:rFonts w:asciiTheme="minorHAnsi" w:hAnsiTheme="minorHAnsi" w:cstheme="minorHAnsi"/>
          <w:sz w:val="20"/>
          <w:szCs w:val="20"/>
        </w:rPr>
        <w:t xml:space="preserve"> </w:t>
      </w:r>
      <w:r w:rsidRPr="002C31FD">
        <w:rPr>
          <w:rFonts w:asciiTheme="minorHAnsi" w:hAnsiTheme="minorHAnsi" w:cstheme="minorHAnsi"/>
          <w:b/>
          <w:sz w:val="20"/>
          <w:szCs w:val="20"/>
        </w:rPr>
        <w:t>Trestný čin</w:t>
      </w:r>
      <w:r w:rsidRPr="002C31FD">
        <w:rPr>
          <w:rFonts w:asciiTheme="minorHAnsi" w:hAnsiTheme="minorHAnsi" w:cstheme="minorHAnsi"/>
          <w:sz w:val="20"/>
          <w:szCs w:val="20"/>
        </w:rPr>
        <w:t xml:space="preserve"> může být </w:t>
      </w:r>
      <w:r w:rsidRPr="002C31FD">
        <w:rPr>
          <w:rFonts w:asciiTheme="minorHAnsi" w:hAnsiTheme="minorHAnsi" w:cstheme="minorHAnsi"/>
          <w:b/>
          <w:sz w:val="20"/>
          <w:szCs w:val="20"/>
        </w:rPr>
        <w:t>ve vztahu k veřejným zakázkám</w:t>
      </w:r>
      <w:r w:rsidRPr="002C31FD">
        <w:rPr>
          <w:rFonts w:asciiTheme="minorHAnsi" w:hAnsiTheme="minorHAnsi" w:cstheme="minorHAnsi"/>
          <w:sz w:val="20"/>
          <w:szCs w:val="20"/>
        </w:rPr>
        <w:t xml:space="preserve"> (§ 256 Zjednání výhody při zadání veřejné zakázky, při</w:t>
      </w:r>
      <w:r w:rsidRPr="005A5FC3">
        <w:rPr>
          <w:rFonts w:asciiTheme="minorHAnsi" w:hAnsiTheme="minorHAnsi"/>
          <w:sz w:val="20"/>
          <w:szCs w:val="20"/>
        </w:rPr>
        <w:t xml:space="preserve"> veřejné soutěži; § 257 Pletichy při zadání veřejné zakázky a při veřejné soutěži) nebo </w:t>
      </w:r>
      <w:r w:rsidRPr="005A5FC3">
        <w:rPr>
          <w:rFonts w:asciiTheme="minorHAnsi" w:hAnsiTheme="minorHAnsi"/>
          <w:b/>
          <w:sz w:val="20"/>
          <w:szCs w:val="20"/>
        </w:rPr>
        <w:t>při čerpání dotací</w:t>
      </w:r>
      <w:r w:rsidRPr="005A5FC3">
        <w:rPr>
          <w:rFonts w:asciiTheme="minorHAnsi" w:hAnsiTheme="minorHAnsi"/>
          <w:sz w:val="20"/>
          <w:szCs w:val="20"/>
        </w:rPr>
        <w:t xml:space="preserve"> ze zdrojů EU (§ 260 Poškození finančních zájmů Evropské unie) a podobně.</w:t>
      </w:r>
    </w:p>
  </w:footnote>
  <w:footnote w:id="15">
    <w:p w14:paraId="3E0FDE02" w14:textId="537745CE" w:rsidR="00511D9B" w:rsidRDefault="00511D9B">
      <w:pPr>
        <w:pStyle w:val="Textpoznpodarou"/>
      </w:pPr>
      <w:r>
        <w:rPr>
          <w:rStyle w:val="Znakapoznpodarou"/>
        </w:rPr>
        <w:footnoteRef/>
      </w:r>
      <w:r>
        <w:t xml:space="preserve"> </w:t>
      </w:r>
      <w:r w:rsidRPr="002B46BD">
        <w:rPr>
          <w:rFonts w:asciiTheme="minorHAnsi" w:hAnsiTheme="minorHAnsi" w:cstheme="minorHAnsi"/>
          <w:lang w:eastAsia="x-none"/>
        </w:rPr>
        <w:t xml:space="preserve">Dostupné na: </w:t>
      </w:r>
      <w:hyperlink r:id="rId10" w:history="1">
        <w:r w:rsidRPr="002B46BD">
          <w:rPr>
            <w:rStyle w:val="Hypertextovodkaz"/>
            <w:rFonts w:asciiTheme="minorHAnsi" w:hAnsiTheme="minorHAnsi" w:cstheme="minorHAnsi"/>
          </w:rPr>
          <w:t>https://mmr.cz/cs/microsites/portal-strategicke-prace-v-ceske-republice/nastroje-a-metodicka-podpora/nastroje-pro-strategickou-praci/</w:t>
        </w:r>
      </w:hyperlink>
    </w:p>
  </w:footnote>
  <w:footnote w:id="16">
    <w:p w14:paraId="2771009D" w14:textId="77777777" w:rsidR="00511D9B" w:rsidRPr="00CD68F7" w:rsidRDefault="00511D9B" w:rsidP="00874F70">
      <w:pPr>
        <w:pStyle w:val="Textpoznpodarou"/>
        <w:jc w:val="both"/>
        <w:rPr>
          <w:rFonts w:asciiTheme="minorHAnsi" w:hAnsiTheme="minorHAnsi" w:cstheme="minorHAnsi"/>
        </w:rPr>
      </w:pPr>
      <w:r w:rsidRPr="00373852">
        <w:rPr>
          <w:rStyle w:val="Znakapoznpodarou"/>
          <w:rFonts w:asciiTheme="minorHAnsi" w:hAnsiTheme="minorHAnsi" w:cstheme="minorHAnsi"/>
        </w:rPr>
        <w:footnoteRef/>
      </w:r>
      <w:r w:rsidRPr="00373852">
        <w:rPr>
          <w:rFonts w:asciiTheme="minorHAnsi" w:hAnsiTheme="minorHAnsi" w:cstheme="minorHAnsi"/>
        </w:rPr>
        <w:t xml:space="preserve"> Řízení rizik má preventivní charakter, v tomto smyslu vyžaduje pozornost (= opatrnost, bdělost). Řízení rizik se nesmí zaměňovat s nedůvěrou. Nedůvěra je negativní emoce. Pokud umíme řídit rizika a děláme adekvátní kontrolu, můžeme svému okolí (například spolupracovníkům</w:t>
      </w:r>
      <w:r>
        <w:rPr>
          <w:rFonts w:asciiTheme="minorHAnsi" w:hAnsiTheme="minorHAnsi" w:cstheme="minorHAnsi"/>
        </w:rPr>
        <w:t>, jiným aktérům</w:t>
      </w:r>
      <w:r w:rsidRPr="00373852">
        <w:rPr>
          <w:rFonts w:asciiTheme="minorHAnsi" w:hAnsiTheme="minorHAnsi" w:cstheme="minorHAnsi"/>
        </w:rPr>
        <w:t>) důvěřovat – mimo jiné i proto, že víme, že mohou selhat a jsme na to připraveni. Řada lidí v ČR neumí řídit rizika a nahrazuje je (zcela nesprávně) nedůvěrou. Nedůvěra ničí vztahy mezi lidmi, brání dosahování cílů. Špatný člověk posuzuje vždy podle sebe – tedy každého považuje za špatného a je velmi nedůvěřivý. Abychom mohli dávat lidem důvěru, musíme se naučit správně řídit rizika a kontrolovat.</w:t>
      </w:r>
    </w:p>
  </w:footnote>
  <w:footnote w:id="17">
    <w:p w14:paraId="47DEEE5C" w14:textId="03BB9944" w:rsidR="00511D9B" w:rsidRPr="000B2BBE" w:rsidRDefault="00511D9B">
      <w:pPr>
        <w:pStyle w:val="Textpoznpodarou"/>
        <w:rPr>
          <w:rFonts w:asciiTheme="minorHAnsi" w:hAnsiTheme="minorHAnsi" w:cstheme="minorHAnsi"/>
        </w:rPr>
      </w:pPr>
      <w:r w:rsidRPr="000B2BBE">
        <w:rPr>
          <w:rStyle w:val="Znakapoznpodarou"/>
          <w:rFonts w:asciiTheme="minorHAnsi" w:hAnsiTheme="minorHAnsi" w:cstheme="minorHAnsi"/>
        </w:rPr>
        <w:footnoteRef/>
      </w:r>
      <w:r w:rsidRPr="000B2BBE">
        <w:rPr>
          <w:rFonts w:asciiTheme="minorHAnsi" w:hAnsiTheme="minorHAnsi" w:cstheme="minorHAnsi"/>
        </w:rPr>
        <w:t xml:space="preserve"> Koncepce je dostupná na </w:t>
      </w:r>
      <w:hyperlink r:id="rId11" w:history="1">
        <w:r w:rsidRPr="000B2BBE">
          <w:rPr>
            <w:rStyle w:val="Hypertextovodkaz"/>
            <w:rFonts w:asciiTheme="minorHAnsi" w:hAnsiTheme="minorHAnsi" w:cstheme="minorHAnsi"/>
          </w:rPr>
          <w:t>https://mmr.cz/cs/microsites/sc/metodiky/koncepce-smart-cities</w:t>
        </w:r>
      </w:hyperlink>
    </w:p>
  </w:footnote>
  <w:footnote w:id="18">
    <w:p w14:paraId="4EF97512" w14:textId="4DA65894" w:rsidR="00511D9B" w:rsidRPr="00ED30E3" w:rsidRDefault="00511D9B">
      <w:pPr>
        <w:pStyle w:val="Textpoznpodarou"/>
        <w:rPr>
          <w:rFonts w:asciiTheme="minorHAnsi" w:hAnsiTheme="minorHAnsi" w:cstheme="minorHAnsi"/>
        </w:rPr>
      </w:pPr>
      <w:r w:rsidRPr="00ED30E3">
        <w:rPr>
          <w:rStyle w:val="Znakapoznpodarou"/>
          <w:rFonts w:asciiTheme="minorHAnsi" w:hAnsiTheme="minorHAnsi" w:cstheme="minorHAnsi"/>
        </w:rPr>
        <w:footnoteRef/>
      </w:r>
      <w:r w:rsidRPr="00ED30E3">
        <w:rPr>
          <w:rFonts w:asciiTheme="minorHAnsi" w:hAnsiTheme="minorHAnsi" w:cstheme="minorHAnsi"/>
        </w:rPr>
        <w:t xml:space="preserve"> Více informací </w:t>
      </w:r>
      <w:r>
        <w:rPr>
          <w:rFonts w:asciiTheme="minorHAnsi" w:hAnsiTheme="minorHAnsi" w:cstheme="minorHAnsi"/>
        </w:rPr>
        <w:t xml:space="preserve">k řízení a integraci rizik </w:t>
      </w:r>
      <w:r w:rsidRPr="00ED30E3">
        <w:rPr>
          <w:rFonts w:asciiTheme="minorHAnsi" w:hAnsiTheme="minorHAnsi" w:cstheme="minorHAnsi"/>
        </w:rPr>
        <w:t>například Půček, Páleníková (2022</w:t>
      </w:r>
      <w:r>
        <w:rPr>
          <w:rFonts w:asciiTheme="minorHAnsi" w:hAnsiTheme="minorHAnsi" w:cstheme="minorHAnsi"/>
        </w:rPr>
        <w:t>b</w:t>
      </w:r>
      <w:r w:rsidRPr="00ED30E3">
        <w:rPr>
          <w:rFonts w:asciiTheme="minorHAnsi" w:hAnsiTheme="minorHAnsi" w:cstheme="minorHAnsi"/>
        </w:rPr>
        <w:t>))</w:t>
      </w:r>
    </w:p>
  </w:footnote>
  <w:footnote w:id="19">
    <w:p w14:paraId="4D658634" w14:textId="3C6CEABC" w:rsidR="00511D9B" w:rsidRPr="00256E99" w:rsidRDefault="00511D9B" w:rsidP="00E16037">
      <w:pPr>
        <w:autoSpaceDE w:val="0"/>
        <w:autoSpaceDN w:val="0"/>
        <w:adjustRightInd w:val="0"/>
        <w:spacing w:line="240" w:lineRule="auto"/>
        <w:jc w:val="both"/>
        <w:rPr>
          <w:rFonts w:asciiTheme="minorHAnsi" w:hAnsiTheme="minorHAnsi"/>
        </w:rPr>
      </w:pPr>
      <w:r w:rsidRPr="00256E99">
        <w:rPr>
          <w:rStyle w:val="Znakapoznpodarou"/>
          <w:rFonts w:asciiTheme="minorHAnsi" w:hAnsiTheme="minorHAnsi"/>
          <w:sz w:val="20"/>
        </w:rPr>
        <w:footnoteRef/>
      </w:r>
      <w:r w:rsidRPr="00256E99">
        <w:rPr>
          <w:rFonts w:asciiTheme="minorHAnsi" w:hAnsiTheme="minorHAnsi"/>
          <w:sz w:val="20"/>
        </w:rPr>
        <w:t xml:space="preserve"> U </w:t>
      </w:r>
      <w:r>
        <w:rPr>
          <w:rFonts w:asciiTheme="minorHAnsi" w:hAnsiTheme="minorHAnsi"/>
          <w:sz w:val="20"/>
        </w:rPr>
        <w:t>schodkového rozpočtu vzniká tak zvaná</w:t>
      </w:r>
      <w:r w:rsidRPr="00256E99">
        <w:rPr>
          <w:rFonts w:asciiTheme="minorHAnsi" w:hAnsiTheme="minorHAnsi"/>
          <w:sz w:val="20"/>
        </w:rPr>
        <w:t xml:space="preserve"> „</w:t>
      </w:r>
      <w:r w:rsidRPr="001F2497">
        <w:rPr>
          <w:rFonts w:asciiTheme="minorHAnsi" w:hAnsiTheme="minorHAnsi"/>
          <w:sz w:val="20"/>
        </w:rPr>
        <w:t>fiskální nerovnováha</w:t>
      </w:r>
      <w:r w:rsidRPr="00256E99">
        <w:rPr>
          <w:rFonts w:asciiTheme="minorHAnsi" w:hAnsiTheme="minorHAnsi"/>
          <w:sz w:val="20"/>
        </w:rPr>
        <w:t xml:space="preserve">“. </w:t>
      </w:r>
      <w:r>
        <w:rPr>
          <w:rFonts w:asciiTheme="minorHAnsi" w:hAnsiTheme="minorHAnsi"/>
          <w:sz w:val="20"/>
        </w:rPr>
        <w:t>Důsledkem k</w:t>
      </w:r>
      <w:r>
        <w:rPr>
          <w:rFonts w:asciiTheme="minorHAnsi" w:eastAsia="Calibri" w:hAnsiTheme="minorHAnsi" w:cstheme="minorHAnsi"/>
          <w:sz w:val="20"/>
        </w:rPr>
        <w:t>rátkodobé fiskální nerovnováhy je, že v konkrétním rozpočtu je schodek. Důsledkem dlouhodobé</w:t>
      </w:r>
      <w:r w:rsidRPr="00256E99">
        <w:rPr>
          <w:rFonts w:asciiTheme="minorHAnsi" w:eastAsia="Calibri" w:hAnsiTheme="minorHAnsi" w:cstheme="minorHAnsi"/>
          <w:sz w:val="20"/>
        </w:rPr>
        <w:t xml:space="preserve"> fiskální nerovnováh</w:t>
      </w:r>
      <w:r>
        <w:rPr>
          <w:rFonts w:asciiTheme="minorHAnsi" w:eastAsia="Calibri" w:hAnsiTheme="minorHAnsi" w:cstheme="minorHAnsi"/>
          <w:sz w:val="20"/>
        </w:rPr>
        <w:t>y je rostoucí  veřejný dluh</w:t>
      </w:r>
      <w:r w:rsidRPr="00256E99">
        <w:rPr>
          <w:rFonts w:asciiTheme="minorHAnsi" w:eastAsia="Calibri" w:hAnsiTheme="minorHAnsi" w:cstheme="minorHAnsi"/>
          <w:sz w:val="20"/>
        </w:rPr>
        <w:t>.</w:t>
      </w:r>
    </w:p>
  </w:footnote>
  <w:footnote w:id="20">
    <w:p w14:paraId="74DE3852" w14:textId="7C09D234" w:rsidR="00511D9B" w:rsidRPr="002E6C86" w:rsidRDefault="00511D9B" w:rsidP="002E6C86">
      <w:pPr>
        <w:pStyle w:val="Textpoznpodarou"/>
        <w:jc w:val="both"/>
        <w:rPr>
          <w:rFonts w:asciiTheme="minorHAnsi" w:hAnsiTheme="minorHAnsi" w:cstheme="minorHAnsi"/>
        </w:rPr>
      </w:pPr>
      <w:r w:rsidRPr="002E6C86">
        <w:rPr>
          <w:rStyle w:val="Znakapoznpodarou"/>
          <w:rFonts w:asciiTheme="minorHAnsi" w:hAnsiTheme="minorHAnsi" w:cstheme="minorHAnsi"/>
        </w:rPr>
        <w:footnoteRef/>
      </w:r>
      <w:r w:rsidRPr="002E6C86">
        <w:rPr>
          <w:rFonts w:asciiTheme="minorHAnsi" w:hAnsiTheme="minorHAnsi" w:cstheme="minorHAnsi"/>
        </w:rPr>
        <w:t xml:space="preserve"> Informace k územním rozpočtům a platné legislativě lze najít na: </w:t>
      </w:r>
      <w:hyperlink r:id="rId12" w:history="1">
        <w:r w:rsidRPr="002E6C86">
          <w:rPr>
            <w:rStyle w:val="Hypertextovodkaz"/>
            <w:rFonts w:asciiTheme="minorHAnsi" w:hAnsiTheme="minorHAnsi" w:cstheme="minorHAnsi"/>
          </w:rPr>
          <w:t>https://www.mfcr.cz/cs/verejny-sektor/uzemni-rozpocty</w:t>
        </w:r>
      </w:hyperlink>
    </w:p>
  </w:footnote>
  <w:footnote w:id="21">
    <w:p w14:paraId="0E672F9D" w14:textId="5B3EF147" w:rsidR="00511D9B" w:rsidRPr="002E6C86" w:rsidRDefault="00511D9B" w:rsidP="002E6C86">
      <w:pPr>
        <w:pStyle w:val="Textpoznpodarou"/>
        <w:jc w:val="both"/>
        <w:rPr>
          <w:rFonts w:asciiTheme="minorHAnsi" w:hAnsiTheme="minorHAnsi" w:cstheme="minorHAnsi"/>
        </w:rPr>
      </w:pPr>
      <w:r w:rsidRPr="002E6C86">
        <w:rPr>
          <w:rStyle w:val="Znakapoznpodarou"/>
          <w:rFonts w:asciiTheme="minorHAnsi" w:hAnsiTheme="minorHAnsi" w:cstheme="minorHAnsi"/>
        </w:rPr>
        <w:footnoteRef/>
      </w:r>
      <w:r w:rsidRPr="002E6C86">
        <w:rPr>
          <w:rFonts w:asciiTheme="minorHAnsi" w:hAnsiTheme="minorHAnsi" w:cstheme="minorHAnsi"/>
        </w:rPr>
        <w:t xml:space="preserve"> Informace ke státnímu rozpočtu a platné legislativě lze najít na: </w:t>
      </w:r>
      <w:hyperlink r:id="rId13" w:history="1">
        <w:r w:rsidRPr="002E6C86">
          <w:rPr>
            <w:rStyle w:val="Hypertextovodkaz"/>
            <w:rFonts w:asciiTheme="minorHAnsi" w:hAnsiTheme="minorHAnsi" w:cstheme="minorHAnsi"/>
          </w:rPr>
          <w:t>https://www.mfcr.cz/cs/verejny-sektor/statni-rozpocet</w:t>
        </w:r>
      </w:hyperlink>
      <w:r w:rsidRPr="002E6C86">
        <w:rPr>
          <w:rFonts w:asciiTheme="minorHAnsi" w:hAnsiTheme="minorHAnsi" w:cstheme="minorHAnsi"/>
        </w:rPr>
        <w:t xml:space="preserve"> </w:t>
      </w:r>
    </w:p>
  </w:footnote>
  <w:footnote w:id="22">
    <w:p w14:paraId="14C0B0DE" w14:textId="32937B54" w:rsidR="00511D9B" w:rsidRPr="002E6C86" w:rsidRDefault="00511D9B" w:rsidP="002E6C86">
      <w:pPr>
        <w:pStyle w:val="Textpoznpodarou"/>
        <w:jc w:val="both"/>
        <w:rPr>
          <w:rFonts w:asciiTheme="minorHAnsi" w:hAnsiTheme="minorHAnsi" w:cstheme="minorHAnsi"/>
          <w:color w:val="000000"/>
        </w:rPr>
      </w:pPr>
      <w:r w:rsidRPr="002E6C86">
        <w:rPr>
          <w:rStyle w:val="Znakapoznpodarou"/>
          <w:rFonts w:asciiTheme="minorHAnsi" w:hAnsiTheme="minorHAnsi" w:cstheme="minorHAnsi"/>
        </w:rPr>
        <w:footnoteRef/>
      </w:r>
      <w:r w:rsidRPr="002E6C86">
        <w:rPr>
          <w:rFonts w:asciiTheme="minorHAnsi" w:hAnsiTheme="minorHAnsi" w:cstheme="minorHAnsi"/>
        </w:rPr>
        <w:t xml:space="preserve"> </w:t>
      </w:r>
      <w:r w:rsidRPr="002E6C86">
        <w:rPr>
          <w:rFonts w:asciiTheme="minorHAnsi" w:hAnsiTheme="minorHAnsi" w:cstheme="minorHAnsi"/>
          <w:b/>
          <w:bCs/>
          <w:color w:val="000000"/>
        </w:rPr>
        <w:t>Programové financování</w:t>
      </w:r>
      <w:r w:rsidRPr="002E6C86">
        <w:rPr>
          <w:rFonts w:asciiTheme="minorHAnsi" w:hAnsiTheme="minorHAnsi" w:cstheme="minorHAnsi"/>
          <w:color w:val="000000"/>
        </w:rPr>
        <w:t> je nástrojem pro činnosti nezbytné při přípravě a řízení investic, které jsou spolufinancovány nebo plně hrazeny z finančních prostředků státního rozpočtu. Potřebné informace lze najít na:</w:t>
      </w:r>
    </w:p>
    <w:p w14:paraId="7DCC6604" w14:textId="64EB8E64" w:rsidR="00511D9B" w:rsidRPr="00691099" w:rsidRDefault="006B18F0" w:rsidP="002E6C86">
      <w:pPr>
        <w:pStyle w:val="Textpoznpodarou"/>
        <w:jc w:val="both"/>
        <w:rPr>
          <w:rFonts w:asciiTheme="minorHAnsi" w:hAnsiTheme="minorHAnsi" w:cstheme="minorHAnsi"/>
        </w:rPr>
      </w:pPr>
      <w:hyperlink r:id="rId14" w:history="1">
        <w:r w:rsidR="00511D9B" w:rsidRPr="002E6C86">
          <w:rPr>
            <w:rStyle w:val="Hypertextovodkaz"/>
            <w:rFonts w:asciiTheme="minorHAnsi" w:hAnsiTheme="minorHAnsi" w:cstheme="minorHAnsi"/>
          </w:rPr>
          <w:t>https://www.mfcr.cz/cs/o-ministerstvu/informacni-systemy/programove-financovani</w:t>
        </w:r>
      </w:hyperlink>
    </w:p>
  </w:footnote>
  <w:footnote w:id="23">
    <w:p w14:paraId="599ECCE3" w14:textId="6197AC5C" w:rsidR="00511D9B" w:rsidRPr="00F77DE2" w:rsidRDefault="00511D9B">
      <w:pPr>
        <w:pStyle w:val="Textpoznpodarou"/>
        <w:rPr>
          <w:rFonts w:asciiTheme="minorHAnsi" w:hAnsiTheme="minorHAnsi" w:cstheme="minorHAnsi"/>
        </w:rPr>
      </w:pPr>
      <w:r w:rsidRPr="00F77DE2">
        <w:rPr>
          <w:rStyle w:val="Znakapoznpodarou"/>
          <w:rFonts w:asciiTheme="minorHAnsi" w:hAnsiTheme="minorHAnsi" w:cstheme="minorHAnsi"/>
        </w:rPr>
        <w:footnoteRef/>
      </w:r>
      <w:r w:rsidRPr="00F77DE2">
        <w:rPr>
          <w:rFonts w:asciiTheme="minorHAnsi" w:hAnsiTheme="minorHAnsi" w:cstheme="minorHAnsi"/>
        </w:rPr>
        <w:t xml:space="preserve"> Více informací na: </w:t>
      </w:r>
      <w:hyperlink r:id="rId15" w:history="1">
        <w:r w:rsidRPr="00F77DE2">
          <w:rPr>
            <w:rStyle w:val="Hypertextovodkaz"/>
            <w:rFonts w:asciiTheme="minorHAnsi" w:hAnsiTheme="minorHAnsi" w:cstheme="minorHAnsi"/>
          </w:rPr>
          <w:t>https://isprofin.mfcr.cz/rispf/Home/About</w:t>
        </w:r>
      </w:hyperlink>
    </w:p>
  </w:footnote>
  <w:footnote w:id="24">
    <w:p w14:paraId="2047A017" w14:textId="77777777" w:rsidR="00511D9B" w:rsidRPr="00F77DE2" w:rsidRDefault="00511D9B" w:rsidP="0050111B">
      <w:pPr>
        <w:pStyle w:val="Textpoznpodarou"/>
        <w:rPr>
          <w:rFonts w:asciiTheme="minorHAnsi" w:hAnsiTheme="minorHAnsi" w:cstheme="minorHAnsi"/>
        </w:rPr>
      </w:pPr>
      <w:r w:rsidRPr="00F77DE2">
        <w:rPr>
          <w:rStyle w:val="Znakapoznpodarou"/>
          <w:rFonts w:asciiTheme="minorHAnsi" w:hAnsiTheme="minorHAnsi" w:cstheme="minorHAnsi"/>
        </w:rPr>
        <w:footnoteRef/>
      </w:r>
      <w:r w:rsidRPr="00F77DE2">
        <w:rPr>
          <w:rFonts w:asciiTheme="minorHAnsi" w:hAnsiTheme="minorHAnsi" w:cstheme="minorHAnsi"/>
        </w:rPr>
        <w:t xml:space="preserve"> Dostupná na odkazu: </w:t>
      </w:r>
      <w:hyperlink r:id="rId16" w:history="1">
        <w:r w:rsidRPr="00F77DE2">
          <w:rPr>
            <w:rStyle w:val="Hypertextovodkaz"/>
            <w:rFonts w:asciiTheme="minorHAnsi" w:hAnsiTheme="minorHAnsi" w:cstheme="minorHAnsi"/>
          </w:rPr>
          <w:t>https://www.mfcr.cz/assets/cs/media/Vyh_2021-412_o-rozpoctove-skladbe.pdf</w:t>
        </w:r>
      </w:hyperlink>
    </w:p>
  </w:footnote>
  <w:footnote w:id="25">
    <w:p w14:paraId="281149D1" w14:textId="12AD227F" w:rsidR="00511D9B" w:rsidRPr="0019775D" w:rsidRDefault="00511D9B">
      <w:pPr>
        <w:pStyle w:val="Textpoznpodarou"/>
      </w:pPr>
      <w:r w:rsidRPr="00F77DE2">
        <w:rPr>
          <w:rStyle w:val="Znakapoznpodarou"/>
          <w:rFonts w:asciiTheme="minorHAnsi" w:hAnsiTheme="minorHAnsi" w:cstheme="minorHAnsi"/>
        </w:rPr>
        <w:footnoteRef/>
      </w:r>
      <w:r w:rsidRPr="00F77DE2">
        <w:rPr>
          <w:rFonts w:asciiTheme="minorHAnsi" w:hAnsiTheme="minorHAnsi" w:cstheme="minorHAnsi"/>
        </w:rPr>
        <w:t xml:space="preserve"> Dostupné na: </w:t>
      </w:r>
      <w:hyperlink r:id="rId17" w:history="1">
        <w:r w:rsidRPr="00F77DE2">
          <w:rPr>
            <w:rStyle w:val="Hypertextovodkaz"/>
            <w:rFonts w:asciiTheme="minorHAnsi" w:hAnsiTheme="minorHAnsi" w:cstheme="minorHAnsi"/>
          </w:rPr>
          <w:t>https://monitor.statnipokladna.cz/statni-sprava/rozpocet/</w:t>
        </w:r>
      </w:hyperlink>
      <w:r>
        <w:rPr>
          <w:rStyle w:val="Hypertextovodkaz"/>
          <w:rFonts w:asciiTheme="minorHAnsi" w:hAnsiTheme="minorHAnsi" w:cstheme="minorHAnsi"/>
          <w:u w:val="none"/>
        </w:rPr>
        <w:t xml:space="preserve"> </w:t>
      </w:r>
    </w:p>
  </w:footnote>
  <w:footnote w:id="26">
    <w:p w14:paraId="1C7094B6" w14:textId="71AE8F34" w:rsidR="00511D9B" w:rsidRPr="001D6ECB" w:rsidRDefault="00511D9B" w:rsidP="0019775D">
      <w:pPr>
        <w:pStyle w:val="Textpoznpodarou"/>
        <w:jc w:val="both"/>
        <w:rPr>
          <w:rFonts w:asciiTheme="minorHAnsi" w:hAnsiTheme="minorHAnsi" w:cstheme="minorHAnsi"/>
        </w:rPr>
      </w:pPr>
      <w:r w:rsidRPr="001D6ECB">
        <w:rPr>
          <w:rStyle w:val="Znakapoznpodarou"/>
          <w:rFonts w:asciiTheme="minorHAnsi" w:hAnsiTheme="minorHAnsi" w:cstheme="minorHAnsi"/>
        </w:rPr>
        <w:footnoteRef/>
      </w:r>
      <w:r>
        <w:rPr>
          <w:rFonts w:asciiTheme="minorHAnsi" w:hAnsiTheme="minorHAnsi" w:cstheme="minorHAnsi"/>
        </w:rPr>
        <w:t xml:space="preserve"> Dostupná na</w:t>
      </w:r>
      <w:r w:rsidRPr="001D6ECB">
        <w:rPr>
          <w:rFonts w:asciiTheme="minorHAnsi" w:hAnsiTheme="minorHAnsi" w:cstheme="minorHAnsi"/>
        </w:rPr>
        <w:t xml:space="preserve">: </w:t>
      </w:r>
      <w:hyperlink r:id="rId18" w:history="1">
        <w:r w:rsidRPr="001D6ECB">
          <w:rPr>
            <w:rStyle w:val="Hypertextovodkaz"/>
            <w:rFonts w:asciiTheme="minorHAnsi" w:hAnsiTheme="minorHAnsi" w:cstheme="minorHAnsi"/>
          </w:rPr>
          <w:t>https://www.mmr.cz/cs/microsites/portal-strategicke-prace-v-ceske-republice/nastroje-a-metodicka-podpora/vystupy-projektu</w:t>
        </w:r>
      </w:hyperlink>
    </w:p>
  </w:footnote>
  <w:footnote w:id="27">
    <w:p w14:paraId="2C513A29" w14:textId="46539C7A" w:rsidR="00511D9B" w:rsidRPr="003118F6" w:rsidRDefault="00511D9B" w:rsidP="003118F6">
      <w:pPr>
        <w:pStyle w:val="Textpoznpodarou"/>
        <w:jc w:val="both"/>
        <w:rPr>
          <w:rFonts w:asciiTheme="minorHAnsi" w:hAnsiTheme="minorHAnsi" w:cstheme="minorHAnsi"/>
        </w:rPr>
      </w:pPr>
      <w:r w:rsidRPr="003118F6">
        <w:rPr>
          <w:rStyle w:val="Znakapoznpodarou"/>
          <w:rFonts w:asciiTheme="minorHAnsi" w:hAnsiTheme="minorHAnsi" w:cstheme="minorHAnsi"/>
        </w:rPr>
        <w:footnoteRef/>
      </w:r>
      <w:r w:rsidRPr="003118F6">
        <w:rPr>
          <w:rFonts w:asciiTheme="minorHAnsi" w:hAnsiTheme="minorHAnsi" w:cstheme="minorHAnsi"/>
        </w:rPr>
        <w:t xml:space="preserve"> I úkol může být dlouhodobý, ale obvykle mají úkoly spíše operativní (každodenní, rutinní) povahu. V tomto smyslu je úkol možné chápat jako určitou aktivitu nebo kus práce, něco konkrétního, co má být vykonáno. Samozřejmě se úkoly vykonávají za určitým účelem, tedy </w:t>
      </w:r>
      <w:r>
        <w:rPr>
          <w:rFonts w:asciiTheme="minorHAnsi" w:hAnsiTheme="minorHAnsi" w:cstheme="minorHAnsi"/>
        </w:rPr>
        <w:t xml:space="preserve">proč má být </w:t>
      </w:r>
      <w:r w:rsidRPr="003118F6">
        <w:rPr>
          <w:rFonts w:asciiTheme="minorHAnsi" w:hAnsiTheme="minorHAnsi" w:cstheme="minorHAnsi"/>
        </w:rPr>
        <w:t>úkol splněn. Úkoly mohou být rutinní (dané například popisem práce, plynoucí z organizačního řádu dané instituce) nebo mohou být jednorázové (zadané například na poradě) nebo mohou být součástí konkrétního projektu.</w:t>
      </w:r>
    </w:p>
  </w:footnote>
  <w:footnote w:id="28">
    <w:p w14:paraId="1479A169" w14:textId="46A36FED" w:rsidR="00511D9B" w:rsidRPr="003326DB" w:rsidRDefault="00511D9B" w:rsidP="00D02813">
      <w:pPr>
        <w:pStyle w:val="Textpoznpodarou"/>
        <w:jc w:val="both"/>
        <w:rPr>
          <w:rFonts w:asciiTheme="minorHAnsi" w:hAnsiTheme="minorHAnsi" w:cstheme="minorHAnsi"/>
        </w:rPr>
      </w:pPr>
      <w:r w:rsidRPr="003326DB">
        <w:rPr>
          <w:rStyle w:val="Znakapoznpodarou"/>
          <w:rFonts w:asciiTheme="minorHAnsi" w:hAnsiTheme="minorHAnsi" w:cstheme="minorHAnsi"/>
        </w:rPr>
        <w:footnoteRef/>
      </w:r>
      <w:r w:rsidRPr="003326DB">
        <w:rPr>
          <w:rFonts w:asciiTheme="minorHAnsi" w:hAnsiTheme="minorHAnsi" w:cstheme="minorHAnsi"/>
        </w:rPr>
        <w:t xml:space="preserve"> (1) jasně definované (Specific), tedy jasně vymezené a srozumitelné pro ty, kterých se týkají; (2) součástí toho je též jejich měřitelnost (Measurable), cíl by tak měl mít jasně určen měřitelný ukazatel (či ukazatele), dle kterého se pozná, zda byl či nebyl cíl dosažen; (3) k tomu patří též to, že cíle jsou stanoveny tak, aby </w:t>
      </w:r>
      <w:r w:rsidRPr="00DC588A">
        <w:rPr>
          <w:rFonts w:asciiTheme="minorHAnsi" w:hAnsiTheme="minorHAnsi" w:cstheme="minorHAnsi"/>
        </w:rPr>
        <w:t xml:space="preserve">byly dosažitelné s přiměřenými </w:t>
      </w:r>
      <w:r w:rsidRPr="0098506D">
        <w:rPr>
          <w:rFonts w:asciiTheme="minorHAnsi" w:hAnsiTheme="minorHAnsi" w:cstheme="minorHAnsi"/>
        </w:rPr>
        <w:t>nároky na zdroje a s úměrnými náklady</w:t>
      </w:r>
      <w:r>
        <w:rPr>
          <w:rFonts w:asciiTheme="minorHAnsi" w:hAnsiTheme="minorHAnsi" w:cstheme="minorHAnsi"/>
        </w:rPr>
        <w:t xml:space="preserve"> </w:t>
      </w:r>
      <w:r w:rsidRPr="003326DB">
        <w:rPr>
          <w:rFonts w:asciiTheme="minorHAnsi" w:hAnsiTheme="minorHAnsi" w:cstheme="minorHAnsi"/>
        </w:rPr>
        <w:t>(</w:t>
      </w:r>
      <w:r w:rsidRPr="0098506D">
        <w:rPr>
          <w:rFonts w:asciiTheme="minorHAnsi" w:hAnsiTheme="minorHAnsi" w:cstheme="minorHAnsi"/>
        </w:rPr>
        <w:t>Achievable</w:t>
      </w:r>
      <w:r>
        <w:rPr>
          <w:rFonts w:asciiTheme="minorHAnsi" w:hAnsiTheme="minorHAnsi" w:cstheme="minorHAnsi"/>
        </w:rPr>
        <w:t>)</w:t>
      </w:r>
      <w:r w:rsidRPr="003326DB">
        <w:rPr>
          <w:rFonts w:asciiTheme="minorHAnsi" w:hAnsiTheme="minorHAnsi" w:cstheme="minorHAnsi"/>
        </w:rPr>
        <w:t>; (4) dále mají být cíle (úkoly) současně realistické či splnitelné, ale také ambiciózní (Realis</w:t>
      </w:r>
      <w:r>
        <w:rPr>
          <w:rFonts w:asciiTheme="minorHAnsi" w:hAnsiTheme="minorHAnsi" w:cstheme="minorHAnsi"/>
        </w:rPr>
        <w:t xml:space="preserve">tic), (5) a to vše v daném čase, respektive </w:t>
      </w:r>
      <w:r w:rsidRPr="00DC588A">
        <w:rPr>
          <w:rFonts w:asciiTheme="minorHAnsi" w:hAnsiTheme="minorHAnsi" w:cstheme="minorHAnsi"/>
        </w:rPr>
        <w:t xml:space="preserve">cíle by měly být naplněny </w:t>
      </w:r>
      <w:r>
        <w:rPr>
          <w:rFonts w:asciiTheme="minorHAnsi" w:hAnsiTheme="minorHAnsi" w:cstheme="minorHAnsi"/>
        </w:rPr>
        <w:t>v omezeních daných časem (</w:t>
      </w:r>
      <w:r w:rsidRPr="00DC588A">
        <w:rPr>
          <w:rFonts w:asciiTheme="minorHAnsi" w:hAnsiTheme="minorHAnsi" w:cstheme="minorHAnsi"/>
        </w:rPr>
        <w:t>Time-bound)</w:t>
      </w:r>
      <w:r w:rsidRPr="003326DB">
        <w:rPr>
          <w:rFonts w:asciiTheme="minorHAnsi" w:hAnsiTheme="minorHAnsi" w:cstheme="minorHAnsi"/>
        </w:rPr>
        <w:t>.</w:t>
      </w:r>
    </w:p>
  </w:footnote>
  <w:footnote w:id="29">
    <w:p w14:paraId="6220E54E" w14:textId="3F954812" w:rsidR="00511D9B" w:rsidRPr="0025279F" w:rsidRDefault="00511D9B">
      <w:pPr>
        <w:pStyle w:val="Textpoznpodarou"/>
        <w:rPr>
          <w:rFonts w:asciiTheme="minorHAnsi" w:hAnsiTheme="minorHAnsi" w:cstheme="minorHAnsi"/>
        </w:rPr>
      </w:pPr>
      <w:r w:rsidRPr="0025279F">
        <w:rPr>
          <w:rStyle w:val="Znakapoznpodarou"/>
          <w:rFonts w:asciiTheme="minorHAnsi" w:hAnsiTheme="minorHAnsi" w:cstheme="minorHAnsi"/>
        </w:rPr>
        <w:footnoteRef/>
      </w:r>
      <w:r w:rsidRPr="0025279F">
        <w:rPr>
          <w:rFonts w:asciiTheme="minorHAnsi" w:hAnsiTheme="minorHAnsi" w:cstheme="minorHAnsi"/>
        </w:rPr>
        <w:t xml:space="preserve"> Materiál o rozhodování a strategickém přístupu je k dispozici </w:t>
      </w:r>
      <w:r>
        <w:rPr>
          <w:rFonts w:asciiTheme="minorHAnsi" w:hAnsiTheme="minorHAnsi" w:cstheme="minorHAnsi"/>
        </w:rPr>
        <w:t>na „Portálu strategické práce v ČR“</w:t>
      </w:r>
      <w:r w:rsidRPr="0025279F">
        <w:rPr>
          <w:rFonts w:asciiTheme="minorHAnsi" w:hAnsiTheme="minorHAnsi" w:cstheme="minorHAnsi"/>
        </w:rPr>
        <w:t>.</w:t>
      </w:r>
    </w:p>
  </w:footnote>
  <w:footnote w:id="30">
    <w:p w14:paraId="74D6AB24" w14:textId="77777777" w:rsidR="00511D9B" w:rsidRPr="00631EAE" w:rsidRDefault="00511D9B" w:rsidP="00CC7234">
      <w:pPr>
        <w:pStyle w:val="Textpoznpodarou"/>
        <w:rPr>
          <w:rFonts w:asciiTheme="minorHAnsi" w:hAnsiTheme="minorHAnsi" w:cstheme="minorHAnsi"/>
        </w:rPr>
      </w:pPr>
      <w:r w:rsidRPr="00631EAE">
        <w:rPr>
          <w:rStyle w:val="Znakapoznpodarou"/>
          <w:rFonts w:asciiTheme="minorHAnsi" w:hAnsiTheme="minorHAnsi" w:cstheme="minorHAnsi"/>
        </w:rPr>
        <w:footnoteRef/>
      </w:r>
      <w:r w:rsidRPr="00631EAE">
        <w:rPr>
          <w:rFonts w:asciiTheme="minorHAnsi" w:hAnsiTheme="minorHAnsi" w:cstheme="minorHAnsi"/>
        </w:rPr>
        <w:t xml:space="preserve"> Podle § 119 odst. 2 písm. b.) zákona o obcích</w:t>
      </w:r>
    </w:p>
  </w:footnote>
  <w:footnote w:id="31">
    <w:p w14:paraId="3D28454C" w14:textId="7DE4EC60" w:rsidR="00511D9B" w:rsidRDefault="00511D9B">
      <w:pPr>
        <w:pStyle w:val="Textpoznpodarou"/>
      </w:pPr>
      <w:r w:rsidRPr="00631EAE">
        <w:rPr>
          <w:rStyle w:val="Znakapoznpodarou"/>
          <w:rFonts w:asciiTheme="minorHAnsi" w:hAnsiTheme="minorHAnsi" w:cstheme="minorHAnsi"/>
        </w:rPr>
        <w:footnoteRef/>
      </w:r>
      <w:r w:rsidRPr="00631EAE">
        <w:rPr>
          <w:rFonts w:asciiTheme="minorHAnsi" w:hAnsiTheme="minorHAnsi" w:cstheme="minorHAnsi"/>
        </w:rPr>
        <w:t xml:space="preserve"> Dostupné na: </w:t>
      </w:r>
      <w:hyperlink r:id="rId19" w:history="1">
        <w:r w:rsidRPr="00631EAE">
          <w:rPr>
            <w:rStyle w:val="Hypertextovodkaz"/>
            <w:rFonts w:asciiTheme="minorHAnsi" w:hAnsiTheme="minorHAnsi" w:cstheme="minorHAnsi"/>
          </w:rPr>
          <w:t>https://mmr.cz/cs/microsites/portal-strategicke-prace-v-ceske-republice/nastroje-a-metodicka-podpora/nastroje-pro-strategickou-praci</w:t>
        </w:r>
      </w:hyperlink>
    </w:p>
  </w:footnote>
  <w:footnote w:id="32">
    <w:p w14:paraId="2F6CB720" w14:textId="77777777" w:rsidR="00511D9B" w:rsidRPr="000C6955" w:rsidRDefault="00511D9B" w:rsidP="00CE121B">
      <w:pPr>
        <w:pStyle w:val="Textpoznpodarou"/>
        <w:rPr>
          <w:rFonts w:asciiTheme="minorHAnsi" w:hAnsiTheme="minorHAnsi" w:cstheme="minorHAnsi"/>
        </w:rPr>
      </w:pPr>
      <w:r w:rsidRPr="000C6955">
        <w:rPr>
          <w:rStyle w:val="Znakapoznpodarou"/>
          <w:rFonts w:asciiTheme="minorHAnsi" w:hAnsiTheme="minorHAnsi" w:cstheme="minorHAnsi"/>
        </w:rPr>
        <w:footnoteRef/>
      </w:r>
      <w:r w:rsidRPr="000C6955">
        <w:rPr>
          <w:rFonts w:asciiTheme="minorHAnsi" w:hAnsiTheme="minorHAnsi" w:cstheme="minorHAnsi"/>
        </w:rPr>
        <w:t xml:space="preserve"> Dostupná na odkazu: </w:t>
      </w:r>
      <w:hyperlink r:id="rId20" w:history="1">
        <w:r w:rsidRPr="000C6955">
          <w:rPr>
            <w:rStyle w:val="Hypertextovodkaz"/>
            <w:rFonts w:asciiTheme="minorHAnsi" w:hAnsiTheme="minorHAnsi" w:cstheme="minorHAnsi"/>
          </w:rPr>
          <w:t>https://www.mfcr.cz/assets/cs/media/Vyh_2021-412_o-rozpoctove-skladbe.pdf</w:t>
        </w:r>
      </w:hyperlink>
    </w:p>
  </w:footnote>
  <w:footnote w:id="33">
    <w:p w14:paraId="78B59D09" w14:textId="0DB4025A" w:rsidR="00511D9B" w:rsidRPr="002348FA" w:rsidRDefault="00511D9B" w:rsidP="00C52C8F">
      <w:pPr>
        <w:pStyle w:val="Textpoznpodarou"/>
        <w:jc w:val="both"/>
        <w:rPr>
          <w:rFonts w:asciiTheme="minorHAnsi" w:hAnsiTheme="minorHAnsi"/>
        </w:rPr>
      </w:pPr>
      <w:r w:rsidRPr="002348FA">
        <w:rPr>
          <w:rStyle w:val="Znakapoznpodarou"/>
          <w:rFonts w:asciiTheme="minorHAnsi" w:hAnsiTheme="minorHAnsi"/>
        </w:rPr>
        <w:footnoteRef/>
      </w:r>
      <w:r w:rsidRPr="002348FA">
        <w:rPr>
          <w:rFonts w:asciiTheme="minorHAnsi" w:hAnsiTheme="minorHAnsi"/>
        </w:rPr>
        <w:t xml:space="preserve"> Například Nenadál (2011, s. 15) uvádí, že benchmarking můžeme chápat jako systematický, nepřetržitý a plánovaný proces vykonávaný za účelem měření, porovnání a posouzení procesů, výrobků, služeb či parametrů výkonnosti s vybranými organizacemi, partnery nebo konkurenty, které ve vybraných parametrech můžeme považovat za lepší za účelem definování příležitostí pro vlastní zlepšování. Široký </w:t>
      </w:r>
      <w:r>
        <w:rPr>
          <w:rFonts w:asciiTheme="minorHAnsi" w:hAnsiTheme="minorHAnsi"/>
        </w:rPr>
        <w:t xml:space="preserve">a kol. </w:t>
      </w:r>
      <w:r w:rsidRPr="002348FA">
        <w:rPr>
          <w:rFonts w:asciiTheme="minorHAnsi" w:hAnsiTheme="minorHAnsi"/>
        </w:rPr>
        <w:t>(2006)</w:t>
      </w:r>
      <w:r>
        <w:rPr>
          <w:rFonts w:asciiTheme="minorHAnsi" w:hAnsiTheme="minorHAnsi"/>
        </w:rPr>
        <w:t xml:space="preserve"> b</w:t>
      </w:r>
      <w:r w:rsidRPr="002348FA">
        <w:rPr>
          <w:rFonts w:asciiTheme="minorHAnsi" w:hAnsiTheme="minorHAnsi"/>
        </w:rPr>
        <w:t>enchmarking definuje jako metodu zlepšování učením se od druhých. Podobnou definici používá též Ochrana</w:t>
      </w:r>
      <w:r>
        <w:rPr>
          <w:rFonts w:asciiTheme="minorHAnsi" w:hAnsiTheme="minorHAnsi"/>
        </w:rPr>
        <w:t xml:space="preserve"> a kol.</w:t>
      </w:r>
      <w:r w:rsidRPr="002348FA">
        <w:rPr>
          <w:rFonts w:asciiTheme="minorHAnsi" w:hAnsiTheme="minorHAnsi"/>
        </w:rPr>
        <w:t xml:space="preserve"> (2011, s. 88), kde benchmarking/benchlearning je porovnávání své organizace s jinými za účelem nalezení dobré praxe; benchmarking se více orientuje na porovnávání se v konkrétních procesech či aktivitách, benchlearning se více zaměřuje při porovnávání na učení se od druhých. V obou případech je to metoda zlepšování pomocí učení se od druhých. Plaček (2013) pracuje s pojmem „kolaborativní benchmarking“, který definuje jako strukturované srovnávání za účelem hodnocení vlastní výkonnosti a zlepšení sledovaných procesů prostřednictvím vzájemného učení, kdy kolaborativní benchmarking je založen na principech dobrovolnosti a spolupráce.</w:t>
      </w:r>
    </w:p>
  </w:footnote>
  <w:footnote w:id="34">
    <w:p w14:paraId="6A5653EF" w14:textId="77777777" w:rsidR="00511D9B" w:rsidRPr="00622159" w:rsidRDefault="00511D9B" w:rsidP="00C52C8F">
      <w:pPr>
        <w:jc w:val="both"/>
        <w:rPr>
          <w:rFonts w:asciiTheme="minorHAnsi" w:hAnsiTheme="minorHAnsi" w:cstheme="minorHAnsi"/>
          <w:sz w:val="20"/>
          <w:szCs w:val="20"/>
        </w:rPr>
      </w:pPr>
      <w:r w:rsidRPr="00622159">
        <w:rPr>
          <w:rStyle w:val="Znakapoznpodarou"/>
          <w:rFonts w:asciiTheme="minorHAnsi" w:hAnsiTheme="minorHAnsi" w:cstheme="minorHAnsi"/>
          <w:sz w:val="20"/>
          <w:szCs w:val="20"/>
        </w:rPr>
        <w:footnoteRef/>
      </w:r>
      <w:r w:rsidRPr="00622159">
        <w:rPr>
          <w:rFonts w:asciiTheme="minorHAnsi" w:hAnsiTheme="minorHAnsi" w:cstheme="minorHAnsi"/>
          <w:sz w:val="20"/>
          <w:szCs w:val="20"/>
        </w:rPr>
        <w:t xml:space="preserve"> Např. Široký 2006; Ochrana, Šumpíková a kol. 2007; Vrabková 2012; Neshybová 2011; Plaček 2013, 2014</w:t>
      </w:r>
    </w:p>
  </w:footnote>
  <w:footnote w:id="35">
    <w:p w14:paraId="31DA8457" w14:textId="39BD2CBD" w:rsidR="00511D9B" w:rsidRDefault="00511D9B" w:rsidP="0052240C">
      <w:pPr>
        <w:pStyle w:val="Textpoznpodarou"/>
        <w:jc w:val="both"/>
      </w:pPr>
      <w:r>
        <w:rPr>
          <w:rStyle w:val="Znakapoznpodarou"/>
        </w:rPr>
        <w:footnoteRef/>
      </w:r>
      <w:r>
        <w:t xml:space="preserve"> </w:t>
      </w:r>
      <w:r w:rsidRPr="004601FF">
        <w:rPr>
          <w:rFonts w:asciiTheme="minorHAnsi" w:hAnsiTheme="minorHAnsi" w:cstheme="minorHAnsi"/>
        </w:rPr>
        <w:t xml:space="preserve">Postup výpočtu pro investice lze najít </w:t>
      </w:r>
      <w:r>
        <w:rPr>
          <w:rFonts w:asciiTheme="minorHAnsi" w:hAnsiTheme="minorHAnsi" w:cstheme="minorHAnsi"/>
        </w:rPr>
        <w:t xml:space="preserve">například na odkazu: </w:t>
      </w:r>
      <w:hyperlink r:id="rId21" w:history="1">
        <w:r w:rsidRPr="00CF0E50">
          <w:rPr>
            <w:rStyle w:val="Hypertextovodkaz"/>
            <w:rFonts w:asciiTheme="minorHAnsi" w:hAnsiTheme="minorHAnsi" w:cstheme="minorHAnsi"/>
          </w:rPr>
          <w:t>https://stavba.tzb-info.cz/2786-vypoctova-pomucka-ekonomicka-efektivnost-investic-ii</w:t>
        </w:r>
      </w:hyperlink>
      <w:r>
        <w:rPr>
          <w:rFonts w:asciiTheme="minorHAnsi" w:hAnsiTheme="minorHAnsi" w:cstheme="minorHAnsi"/>
        </w:rPr>
        <w:t xml:space="preserve"> Respektive kalkulátor pro výpočet na: </w:t>
      </w:r>
      <w:hyperlink r:id="rId22" w:history="1">
        <w:r w:rsidRPr="00A20CE4">
          <w:rPr>
            <w:rStyle w:val="Hypertextovodkaz"/>
            <w:rFonts w:asciiTheme="minorHAnsi" w:hAnsiTheme="minorHAnsi" w:cstheme="minorHAnsi"/>
          </w:rPr>
          <w:t>https://stavba.tzb-info.cz/tabulky-a-vypocty/110-financni-kalkulator-pro-hodnoceni-ekonomicke-efektivnosti-investic</w:t>
        </w:r>
      </w:hyperlink>
    </w:p>
  </w:footnote>
  <w:footnote w:id="36">
    <w:p w14:paraId="1AD003EA" w14:textId="77777777" w:rsidR="00511D9B" w:rsidRPr="00AD0EB3" w:rsidRDefault="00511D9B" w:rsidP="00A5396C">
      <w:pPr>
        <w:pStyle w:val="Textpoznpodarou"/>
        <w:jc w:val="both"/>
        <w:rPr>
          <w:rFonts w:asciiTheme="minorHAnsi" w:hAnsiTheme="minorHAnsi" w:cstheme="minorHAnsi"/>
        </w:rPr>
      </w:pPr>
      <w:r w:rsidRPr="00AD0EB3">
        <w:rPr>
          <w:rStyle w:val="Znakapoznpodarou"/>
          <w:rFonts w:asciiTheme="minorHAnsi" w:hAnsiTheme="minorHAnsi" w:cstheme="minorHAnsi"/>
        </w:rPr>
        <w:footnoteRef/>
      </w:r>
      <w:r w:rsidRPr="00AD0EB3">
        <w:rPr>
          <w:rFonts w:asciiTheme="minorHAnsi" w:hAnsiTheme="minorHAnsi" w:cstheme="minorHAnsi"/>
        </w:rPr>
        <w:t xml:space="preserve"> </w:t>
      </w:r>
      <w:r>
        <w:rPr>
          <w:rFonts w:asciiTheme="minorHAnsi" w:hAnsiTheme="minorHAnsi" w:cstheme="minorHAnsi"/>
        </w:rPr>
        <w:t xml:space="preserve">Viz Plánování a řízení času při strategické práci. </w:t>
      </w:r>
      <w:r w:rsidRPr="00AD0EB3">
        <w:rPr>
          <w:rFonts w:asciiTheme="minorHAnsi" w:hAnsiTheme="minorHAnsi" w:cstheme="minorHAnsi"/>
          <w:lang w:eastAsia="x-none"/>
        </w:rPr>
        <w:t xml:space="preserve">Dostupné na: </w:t>
      </w:r>
      <w:hyperlink r:id="rId23" w:history="1">
        <w:r w:rsidRPr="00AD0EB3">
          <w:rPr>
            <w:rStyle w:val="Hypertextovodkaz"/>
            <w:rFonts w:asciiTheme="minorHAnsi" w:hAnsiTheme="minorHAnsi" w:cstheme="minorHAnsi"/>
          </w:rPr>
          <w:t>https://mmr.cz/cs/microsites/portal-strategicke-prace-v-ceske-republice/nastroje-a-metodicka-podpora/nastroje-pro-strategickou-praci/</w:t>
        </w:r>
      </w:hyperlink>
    </w:p>
  </w:footnote>
  <w:footnote w:id="37">
    <w:p w14:paraId="24B18386" w14:textId="77777777" w:rsidR="00511D9B" w:rsidRPr="00AD0EB3" w:rsidRDefault="00511D9B" w:rsidP="00AD0EB3">
      <w:pPr>
        <w:pStyle w:val="Textpoznpodarou"/>
        <w:rPr>
          <w:rFonts w:asciiTheme="minorHAnsi" w:hAnsiTheme="minorHAnsi" w:cstheme="minorHAnsi"/>
        </w:rPr>
      </w:pPr>
      <w:r w:rsidRPr="00AD0EB3">
        <w:rPr>
          <w:rStyle w:val="Znakapoznpodarou"/>
          <w:rFonts w:asciiTheme="minorHAnsi" w:hAnsiTheme="minorHAnsi" w:cstheme="minorHAnsi"/>
        </w:rPr>
        <w:footnoteRef/>
      </w:r>
      <w:r w:rsidRPr="00AD0EB3">
        <w:rPr>
          <w:rFonts w:asciiTheme="minorHAnsi" w:hAnsiTheme="minorHAnsi" w:cstheme="minorHAnsi"/>
        </w:rPr>
        <w:t xml:space="preserve"> Problematice plánování a řízení času se věnuje samostatný materiál dostupný na: </w:t>
      </w:r>
      <w:hyperlink r:id="rId24" w:history="1">
        <w:r w:rsidRPr="00AD0EB3">
          <w:rPr>
            <w:rStyle w:val="Hypertextovodkaz"/>
            <w:rFonts w:asciiTheme="minorHAnsi" w:hAnsiTheme="minorHAnsi" w:cstheme="minorHAnsi"/>
          </w:rPr>
          <w:t>https://mmr.cz/cs/microsites/portal-strategicke-prace-v-ceske-republice/nastroje-a-metodicka-podpora/nastroje-pro-strategickou-praci/</w:t>
        </w:r>
      </w:hyperlink>
    </w:p>
    <w:p w14:paraId="5CFB4610" w14:textId="75B10A2B" w:rsidR="00511D9B" w:rsidRDefault="00511D9B">
      <w:pPr>
        <w:pStyle w:val="Textpoznpodarou"/>
      </w:pPr>
    </w:p>
  </w:footnote>
  <w:footnote w:id="38">
    <w:p w14:paraId="66C2E6A2" w14:textId="77777777" w:rsidR="00511D9B" w:rsidRPr="000E2BA1" w:rsidRDefault="00511D9B" w:rsidP="008A2762">
      <w:pPr>
        <w:pStyle w:val="Textpoznpodarou"/>
        <w:jc w:val="both"/>
        <w:rPr>
          <w:rFonts w:asciiTheme="minorHAnsi" w:hAnsiTheme="minorHAnsi" w:cstheme="minorHAnsi"/>
        </w:rPr>
      </w:pPr>
      <w:r w:rsidRPr="000E2BA1">
        <w:rPr>
          <w:rStyle w:val="Znakapoznpodarou"/>
          <w:rFonts w:asciiTheme="minorHAnsi" w:hAnsiTheme="minorHAnsi" w:cstheme="minorHAnsi"/>
        </w:rPr>
        <w:footnoteRef/>
      </w:r>
      <w:r w:rsidRPr="000E2BA1">
        <w:rPr>
          <w:rFonts w:asciiTheme="minorHAnsi" w:hAnsiTheme="minorHAnsi" w:cstheme="minorHAnsi"/>
        </w:rPr>
        <w:t xml:space="preserve"> Hospodaření ve veřejné správě chápeme obecně jako ekonomicko-správní činnosti (respektive souhrn těchto činností), k nimž řadíme zejména: (1) rozpočtování, finanční analýzy a plánování, (2) účetní, daňové či další podobné správně-ekonomické činnosti (například evidence smluv, personální agenda atd.), (3) správa, opravy, údržba majetku či investování do majetku, (4) </w:t>
      </w:r>
      <w:r>
        <w:rPr>
          <w:rFonts w:asciiTheme="minorHAnsi" w:hAnsiTheme="minorHAnsi" w:cstheme="minorHAnsi"/>
        </w:rPr>
        <w:t>ekonomickou přípravu a realizaci veřejných projektů, veřejných</w:t>
      </w:r>
      <w:r w:rsidRPr="000E2BA1">
        <w:rPr>
          <w:rFonts w:asciiTheme="minorHAnsi" w:hAnsiTheme="minorHAnsi" w:cstheme="minorHAnsi"/>
        </w:rPr>
        <w:t xml:space="preserve"> zakáz</w:t>
      </w:r>
      <w:r>
        <w:rPr>
          <w:rFonts w:asciiTheme="minorHAnsi" w:hAnsiTheme="minorHAnsi" w:cstheme="minorHAnsi"/>
        </w:rPr>
        <w:t>e</w:t>
      </w:r>
      <w:r w:rsidRPr="000E2BA1">
        <w:rPr>
          <w:rFonts w:asciiTheme="minorHAnsi" w:hAnsiTheme="minorHAnsi" w:cstheme="minorHAnsi"/>
        </w:rPr>
        <w:t>k</w:t>
      </w:r>
      <w:r>
        <w:rPr>
          <w:rFonts w:asciiTheme="minorHAnsi" w:hAnsiTheme="minorHAnsi" w:cstheme="minorHAnsi"/>
        </w:rPr>
        <w:t xml:space="preserve">, </w:t>
      </w:r>
      <w:r w:rsidRPr="000E2BA1">
        <w:rPr>
          <w:rFonts w:asciiTheme="minorHAnsi" w:hAnsiTheme="minorHAnsi" w:cstheme="minorHAnsi"/>
        </w:rPr>
        <w:t xml:space="preserve">veřejných služeb nebo statků, (5) také veškeré </w:t>
      </w:r>
      <w:r>
        <w:rPr>
          <w:rFonts w:asciiTheme="minorHAnsi" w:hAnsiTheme="minorHAnsi" w:cstheme="minorHAnsi"/>
        </w:rPr>
        <w:t xml:space="preserve">další </w:t>
      </w:r>
      <w:r w:rsidRPr="000E2BA1">
        <w:rPr>
          <w:rFonts w:asciiTheme="minorHAnsi" w:hAnsiTheme="minorHAnsi" w:cstheme="minorHAnsi"/>
        </w:rPr>
        <w:t xml:space="preserve">nakládaní </w:t>
      </w:r>
      <w:r>
        <w:rPr>
          <w:rFonts w:asciiTheme="minorHAnsi" w:hAnsiTheme="minorHAnsi" w:cstheme="minorHAnsi"/>
        </w:rPr>
        <w:t xml:space="preserve">s </w:t>
      </w:r>
      <w:r w:rsidRPr="000E2BA1">
        <w:rPr>
          <w:rFonts w:asciiTheme="minorHAnsi" w:hAnsiTheme="minorHAnsi" w:cstheme="minorHAnsi"/>
        </w:rPr>
        <w:t>veřejnými prostředky, dostupnými zdroji (finanč</w:t>
      </w:r>
      <w:r>
        <w:rPr>
          <w:rFonts w:asciiTheme="minorHAnsi" w:hAnsiTheme="minorHAnsi" w:cstheme="minorHAnsi"/>
        </w:rPr>
        <w:t>ními, lidskými atd.) a majetkem</w:t>
      </w:r>
      <w:r w:rsidRPr="000E2BA1">
        <w:rPr>
          <w:rFonts w:asciiTheme="minorHAnsi" w:hAnsiTheme="minorHAnsi" w:cstheme="minorHAnsi"/>
        </w:rPr>
        <w:t xml:space="preserve"> </w:t>
      </w:r>
      <w:r>
        <w:rPr>
          <w:rFonts w:asciiTheme="minorHAnsi" w:hAnsiTheme="minorHAnsi" w:cstheme="minorHAnsi"/>
        </w:rPr>
        <w:t xml:space="preserve">(například v obslužných činnostech </w:t>
      </w:r>
      <w:r w:rsidRPr="000E2BA1">
        <w:rPr>
          <w:rFonts w:asciiTheme="minorHAnsi" w:hAnsiTheme="minorHAnsi" w:cstheme="minorHAnsi"/>
        </w:rPr>
        <w:t>jako je IT služby, právní služby, ostraha, úklid atd.). Zjednodušeně lze říci, že</w:t>
      </w:r>
      <w:r w:rsidRPr="000E2BA1">
        <w:rPr>
          <w:rFonts w:asciiTheme="minorHAnsi" w:hAnsiTheme="minorHAnsi" w:cstheme="minorHAnsi"/>
          <w:b/>
        </w:rPr>
        <w:t xml:space="preserve"> </w:t>
      </w:r>
      <w:r w:rsidRPr="000E2BA1">
        <w:rPr>
          <w:rFonts w:asciiTheme="minorHAnsi" w:hAnsiTheme="minorHAnsi" w:cstheme="minorHAnsi"/>
        </w:rPr>
        <w:t>hospodaření ve veřejné správě souvisí s nakládáním s veřejnými prostředky (včetně majetku) dle schváleného rozpočtu a s prováděním dalších ekonomicko-správních činností (včetně rozpočtování, vedení účetnictví a daňových věcí).</w:t>
      </w:r>
    </w:p>
  </w:footnote>
  <w:footnote w:id="39">
    <w:p w14:paraId="2DD0179A" w14:textId="77777777" w:rsidR="00511D9B" w:rsidRPr="00EC6105" w:rsidRDefault="00511D9B" w:rsidP="00EC6105">
      <w:pPr>
        <w:pStyle w:val="A1-text"/>
        <w:spacing w:after="0" w:line="240" w:lineRule="auto"/>
        <w:rPr>
          <w:rFonts w:asciiTheme="minorHAnsi" w:hAnsiTheme="minorHAnsi"/>
          <w:sz w:val="20"/>
          <w:lang w:val="cs-CZ"/>
        </w:rPr>
      </w:pPr>
      <w:r w:rsidRPr="00EC6105">
        <w:rPr>
          <w:rStyle w:val="Znakapoznpodarou"/>
          <w:rFonts w:asciiTheme="minorHAnsi" w:hAnsiTheme="minorHAnsi"/>
          <w:sz w:val="20"/>
        </w:rPr>
        <w:footnoteRef/>
      </w:r>
      <w:r w:rsidRPr="00EC6105">
        <w:rPr>
          <w:rFonts w:asciiTheme="minorHAnsi" w:hAnsiTheme="minorHAnsi"/>
          <w:sz w:val="20"/>
        </w:rPr>
        <w:t xml:space="preserve"> Dostupná na odkazu: </w:t>
      </w:r>
      <w:hyperlink r:id="rId25" w:history="1">
        <w:r w:rsidRPr="00EC6105">
          <w:rPr>
            <w:rStyle w:val="Hypertextovodkaz"/>
            <w:rFonts w:asciiTheme="minorHAnsi" w:hAnsiTheme="minorHAnsi"/>
            <w:sz w:val="20"/>
            <w:lang w:val="cs-CZ"/>
          </w:rPr>
          <w:t>https://idea.cerge-ei.cz/studies/statni-zamestnanci-a-urednici-kde-pracuji-a-za-kolik-2</w:t>
        </w:r>
      </w:hyperlink>
    </w:p>
    <w:p w14:paraId="08E47506" w14:textId="00A3AEDC" w:rsidR="00511D9B" w:rsidRDefault="00511D9B">
      <w:pPr>
        <w:pStyle w:val="Textpoznpodarou"/>
      </w:pPr>
    </w:p>
  </w:footnote>
  <w:footnote w:id="40">
    <w:p w14:paraId="11CD8CA9" w14:textId="42662AF0" w:rsidR="00511D9B" w:rsidRDefault="00511D9B" w:rsidP="00C47A75">
      <w:pPr>
        <w:pStyle w:val="A1-text"/>
        <w:spacing w:after="0" w:line="240" w:lineRule="auto"/>
      </w:pPr>
      <w:r w:rsidRPr="00111DB6">
        <w:rPr>
          <w:rStyle w:val="Znakapoznpodarou"/>
          <w:rFonts w:asciiTheme="minorHAnsi" w:hAnsiTheme="minorHAnsi" w:cstheme="minorHAnsi"/>
          <w:sz w:val="20"/>
          <w:szCs w:val="20"/>
        </w:rPr>
        <w:footnoteRef/>
      </w:r>
      <w:r w:rsidRPr="00111DB6">
        <w:rPr>
          <w:rFonts w:asciiTheme="minorHAnsi" w:hAnsiTheme="minorHAnsi" w:cstheme="minorHAnsi"/>
          <w:sz w:val="20"/>
          <w:szCs w:val="20"/>
        </w:rPr>
        <w:t xml:space="preserve"> Transparentnost z hlediska dosahování úspor v oblasti majetku nezačíná deklarací, ale poctivou inventurou, která je podkladem pro identifikování nadbytečného majetku</w:t>
      </w:r>
      <w:r w:rsidRPr="00111DB6">
        <w:rPr>
          <w:rFonts w:asciiTheme="minorHAnsi" w:hAnsiTheme="minorHAnsi" w:cstheme="minorHAnsi"/>
          <w:sz w:val="20"/>
          <w:szCs w:val="20"/>
          <w:lang w:val="cs-CZ"/>
        </w:rPr>
        <w:t>.</w:t>
      </w:r>
      <w:r w:rsidRPr="00111DB6">
        <w:rPr>
          <w:rFonts w:asciiTheme="minorHAnsi" w:hAnsiTheme="minorHAnsi" w:cstheme="minorHAnsi"/>
          <w:sz w:val="20"/>
          <w:szCs w:val="20"/>
        </w:rPr>
        <w:t xml:space="preserve"> Je obtížné říci, kolik majetku patří do kategorie „neúčelný majetek“. Liší se to od typu organizace a jednotlivých sektorů.</w:t>
      </w:r>
    </w:p>
  </w:footnote>
  <w:footnote w:id="41">
    <w:p w14:paraId="57EED755" w14:textId="2FD33667" w:rsidR="00511D9B" w:rsidRPr="005C7664" w:rsidRDefault="00511D9B" w:rsidP="005C7664">
      <w:pPr>
        <w:pStyle w:val="Textpoznpodarou"/>
        <w:jc w:val="both"/>
        <w:rPr>
          <w:rFonts w:asciiTheme="minorHAnsi" w:hAnsiTheme="minorHAnsi" w:cstheme="minorHAnsi"/>
        </w:rPr>
      </w:pPr>
      <w:r w:rsidRPr="005C7664">
        <w:rPr>
          <w:rStyle w:val="Znakapoznpodarou"/>
          <w:rFonts w:asciiTheme="minorHAnsi" w:hAnsiTheme="minorHAnsi" w:cstheme="minorHAnsi"/>
        </w:rPr>
        <w:footnoteRef/>
      </w:r>
      <w:r w:rsidRPr="005C7664">
        <w:rPr>
          <w:rFonts w:asciiTheme="minorHAnsi" w:hAnsiTheme="minorHAnsi" w:cstheme="minorHAnsi"/>
        </w:rPr>
        <w:t xml:space="preserve"> Udržované, čisté (krásné) prostředí je důležité nejen z estetického hlediska a proto, že se v takovém prostředí lidé cítí lépe, ale také dle teorie „rozbitých oken“ (Broken windows theory) může nepěkné, zanedbané okolí, nepořádek atd. vést k dalšímu protispolečenskému jednání, k ničení majetku</w:t>
      </w:r>
      <w:r>
        <w:rPr>
          <w:rFonts w:asciiTheme="minorHAnsi" w:hAnsiTheme="minorHAnsi" w:cstheme="minorHAnsi"/>
        </w:rPr>
        <w:t>, ke kriminalitě (Pospěch, 2013).</w:t>
      </w:r>
    </w:p>
  </w:footnote>
  <w:footnote w:id="42">
    <w:p w14:paraId="02CE31E5" w14:textId="77777777" w:rsidR="00511D9B" w:rsidRPr="009141E7" w:rsidRDefault="00511D9B" w:rsidP="009141E7">
      <w:pPr>
        <w:pStyle w:val="Textpoznpodarou"/>
        <w:jc w:val="both"/>
        <w:rPr>
          <w:rFonts w:asciiTheme="minorHAnsi" w:hAnsiTheme="minorHAnsi" w:cstheme="minorHAnsi"/>
          <w:color w:val="000000"/>
        </w:rPr>
      </w:pPr>
      <w:r w:rsidRPr="009141E7">
        <w:rPr>
          <w:rStyle w:val="Znakapoznpodarou"/>
          <w:rFonts w:asciiTheme="minorHAnsi" w:hAnsiTheme="minorHAnsi" w:cstheme="minorHAnsi"/>
        </w:rPr>
        <w:footnoteRef/>
      </w:r>
      <w:r w:rsidRPr="009141E7">
        <w:rPr>
          <w:rFonts w:asciiTheme="minorHAnsi" w:hAnsiTheme="minorHAnsi" w:cstheme="minorHAnsi"/>
        </w:rPr>
        <w:t xml:space="preserve"> </w:t>
      </w:r>
      <w:r w:rsidRPr="009141E7">
        <w:rPr>
          <w:rFonts w:asciiTheme="minorHAnsi" w:hAnsiTheme="minorHAnsi" w:cstheme="minorHAnsi"/>
          <w:b/>
          <w:bCs/>
          <w:color w:val="000000"/>
        </w:rPr>
        <w:t>Programové financování</w:t>
      </w:r>
      <w:r w:rsidRPr="009141E7">
        <w:rPr>
          <w:rFonts w:asciiTheme="minorHAnsi" w:hAnsiTheme="minorHAnsi" w:cstheme="minorHAnsi"/>
          <w:color w:val="000000"/>
        </w:rPr>
        <w:t> je nástrojem pro činnosti nezbytné při přípravě a řízení investic, které jsou spolufinancovány nebo plně hrazeny z finančních prostředků státního rozpočtu. Potřebné informace lze najít na:</w:t>
      </w:r>
    </w:p>
    <w:p w14:paraId="3B5CCA40" w14:textId="77777777" w:rsidR="00511D9B" w:rsidRPr="009141E7" w:rsidRDefault="006B18F0" w:rsidP="009141E7">
      <w:pPr>
        <w:pStyle w:val="Textpoznpodarou"/>
        <w:jc w:val="both"/>
        <w:rPr>
          <w:rFonts w:asciiTheme="minorHAnsi" w:hAnsiTheme="minorHAnsi" w:cstheme="minorHAnsi"/>
        </w:rPr>
      </w:pPr>
      <w:hyperlink r:id="rId26" w:history="1">
        <w:r w:rsidR="00511D9B" w:rsidRPr="009141E7">
          <w:rPr>
            <w:rStyle w:val="Hypertextovodkaz"/>
            <w:rFonts w:asciiTheme="minorHAnsi" w:hAnsiTheme="minorHAnsi" w:cstheme="minorHAnsi"/>
          </w:rPr>
          <w:t>https://www.mfcr.cz/cs/o-ministerstvu/informacni-systemy/programove-financovani</w:t>
        </w:r>
      </w:hyperlink>
    </w:p>
  </w:footnote>
  <w:footnote w:id="43">
    <w:p w14:paraId="6F8F1BDF" w14:textId="0AF319A6" w:rsidR="00511D9B" w:rsidRDefault="00511D9B" w:rsidP="009141E7">
      <w:pPr>
        <w:spacing w:line="192" w:lineRule="auto"/>
        <w:jc w:val="both"/>
      </w:pPr>
      <w:r w:rsidRPr="009141E7">
        <w:rPr>
          <w:rStyle w:val="Znakapoznpodarou"/>
          <w:rFonts w:asciiTheme="minorHAnsi" w:hAnsiTheme="minorHAnsi"/>
          <w:sz w:val="20"/>
          <w:szCs w:val="20"/>
        </w:rPr>
        <w:footnoteRef/>
      </w:r>
      <w:r w:rsidRPr="009141E7">
        <w:rPr>
          <w:rFonts w:asciiTheme="minorHAnsi" w:hAnsiTheme="minorHAnsi"/>
          <w:sz w:val="20"/>
          <w:szCs w:val="20"/>
        </w:rPr>
        <w:t xml:space="preserve"> Index se vypočítá jako podíl provozního přebytku (rozdíl běžných příjmů a běžných výdajů) a běžných příjmů. Výše tohoto ukazatele by neměla klesnout pod 10 %. Ideální hodnota se nachází v intervalu 20 – 25 %. Dodržování nejméně 10</w:t>
      </w:r>
      <w:r>
        <w:rPr>
          <w:rFonts w:asciiTheme="minorHAnsi" w:hAnsiTheme="minorHAnsi"/>
          <w:sz w:val="20"/>
          <w:szCs w:val="20"/>
        </w:rPr>
        <w:t xml:space="preserve"> </w:t>
      </w:r>
      <w:r w:rsidRPr="009141E7">
        <w:rPr>
          <w:rFonts w:asciiTheme="minorHAnsi" w:hAnsiTheme="minorHAnsi"/>
          <w:sz w:val="20"/>
          <w:szCs w:val="20"/>
        </w:rPr>
        <w:t>% je považováno u samospráv za jednu ze zásad zdravého finančního řízení.</w:t>
      </w:r>
    </w:p>
  </w:footnote>
  <w:footnote w:id="44">
    <w:p w14:paraId="66F82FC8" w14:textId="7F8E910E" w:rsidR="00511D9B" w:rsidRPr="00D04396" w:rsidRDefault="00511D9B" w:rsidP="006214BC">
      <w:pPr>
        <w:pStyle w:val="Textpoznpodarou"/>
        <w:jc w:val="both"/>
        <w:rPr>
          <w:rFonts w:asciiTheme="minorHAnsi" w:hAnsiTheme="minorHAnsi" w:cstheme="minorHAnsi"/>
        </w:rPr>
      </w:pPr>
      <w:r w:rsidRPr="00D04396">
        <w:rPr>
          <w:rStyle w:val="Znakapoznpodarou"/>
          <w:rFonts w:asciiTheme="minorHAnsi" w:hAnsiTheme="minorHAnsi" w:cstheme="minorHAnsi"/>
        </w:rPr>
        <w:footnoteRef/>
      </w:r>
      <w:r w:rsidRPr="00D04396">
        <w:rPr>
          <w:rFonts w:asciiTheme="minorHAnsi" w:hAnsiTheme="minorHAnsi" w:cstheme="minorHAnsi"/>
        </w:rPr>
        <w:t xml:space="preserve"> Stát, státní instituce, samosprávy by se měly z hlediska investic (šířeji také z hlediska všech výdajů) řídit „zdravým selským rozumem“</w:t>
      </w:r>
      <w:r>
        <w:rPr>
          <w:rFonts w:asciiTheme="minorHAnsi" w:hAnsiTheme="minorHAnsi" w:cstheme="minorHAnsi"/>
        </w:rPr>
        <w:t>,</w:t>
      </w:r>
      <w:r w:rsidRPr="00D04396">
        <w:rPr>
          <w:rFonts w:asciiTheme="minorHAnsi" w:hAnsiTheme="minorHAnsi" w:cstheme="minorHAnsi"/>
        </w:rPr>
        <w:t xml:space="preserve"> </w:t>
      </w:r>
      <w:r>
        <w:rPr>
          <w:rFonts w:asciiTheme="minorHAnsi" w:hAnsiTheme="minorHAnsi" w:cstheme="minorHAnsi"/>
        </w:rPr>
        <w:t>respektive</w:t>
      </w:r>
      <w:r w:rsidRPr="00D04396">
        <w:rPr>
          <w:rFonts w:asciiTheme="minorHAnsi" w:hAnsiTheme="minorHAnsi" w:cstheme="minorHAnsi"/>
        </w:rPr>
        <w:t xml:space="preserve"> umírněně. </w:t>
      </w:r>
      <w:r>
        <w:rPr>
          <w:rFonts w:asciiTheme="minorHAnsi" w:hAnsiTheme="minorHAnsi" w:cstheme="minorHAnsi"/>
        </w:rPr>
        <w:t>Nejprve bychom měli dobře analyzovat, zda to, co máme k dispozici, je či není z hlediska společenské potřeby dostatečné. Zároveň  bychom měli veškerý majetek účelně a efektivně využít a teprve pokud je zřejmé, že to z hlediska potřeb společnosti nestačí, vynakládat prostředky na nové investice či aktivity.</w:t>
      </w:r>
    </w:p>
  </w:footnote>
  <w:footnote w:id="45">
    <w:p w14:paraId="466A0921" w14:textId="6EE4499E" w:rsidR="00511D9B" w:rsidRPr="00BD33A0" w:rsidRDefault="00511D9B" w:rsidP="00875923">
      <w:pPr>
        <w:pStyle w:val="A1-text"/>
        <w:spacing w:after="0" w:line="240" w:lineRule="auto"/>
        <w:rPr>
          <w:rFonts w:asciiTheme="minorHAnsi" w:hAnsiTheme="minorHAnsi" w:cstheme="minorHAnsi"/>
        </w:rPr>
      </w:pPr>
      <w:r w:rsidRPr="00BD33A0">
        <w:rPr>
          <w:rStyle w:val="Znakapoznpodarou"/>
          <w:rFonts w:asciiTheme="minorHAnsi" w:hAnsiTheme="minorHAnsi" w:cstheme="minorHAnsi"/>
          <w:sz w:val="20"/>
        </w:rPr>
        <w:footnoteRef/>
      </w:r>
      <w:r w:rsidRPr="00BD33A0">
        <w:rPr>
          <w:rFonts w:asciiTheme="minorHAnsi" w:hAnsiTheme="minorHAnsi" w:cstheme="minorHAnsi"/>
          <w:sz w:val="20"/>
        </w:rPr>
        <w:t xml:space="preserve"> </w:t>
      </w:r>
      <w:r>
        <w:rPr>
          <w:rFonts w:asciiTheme="minorHAnsi" w:hAnsiTheme="minorHAnsi" w:cstheme="minorHAnsi"/>
          <w:color w:val="000000"/>
          <w:sz w:val="20"/>
          <w:lang w:val="cs-CZ"/>
        </w:rPr>
        <w:t xml:space="preserve">Relativně </w:t>
      </w:r>
      <w:r w:rsidRPr="00BD33A0">
        <w:rPr>
          <w:rFonts w:asciiTheme="minorHAnsi" w:hAnsiTheme="minorHAnsi" w:cstheme="minorHAnsi"/>
          <w:color w:val="000000"/>
          <w:sz w:val="20"/>
        </w:rPr>
        <w:t xml:space="preserve">snadno lze </w:t>
      </w:r>
      <w:r>
        <w:rPr>
          <w:rFonts w:asciiTheme="minorHAnsi" w:hAnsiTheme="minorHAnsi" w:cstheme="minorHAnsi"/>
          <w:color w:val="000000"/>
          <w:sz w:val="20"/>
          <w:lang w:val="cs-CZ"/>
        </w:rPr>
        <w:t>poznat</w:t>
      </w:r>
      <w:r w:rsidRPr="00BD33A0">
        <w:rPr>
          <w:rFonts w:asciiTheme="minorHAnsi" w:hAnsiTheme="minorHAnsi" w:cstheme="minorHAnsi"/>
          <w:color w:val="000000"/>
          <w:sz w:val="20"/>
        </w:rPr>
        <w:t xml:space="preserve">, zda ve vaší obci může docházet k plýtvání. Stačí se starosty zeptat, zda zavedl systém finanční kontroly dle zákona o finanční kontrole (zejména ověřování účelnosti, efektivnosti a hospodárnosti), zda jej pravidelně prověřuje a je plně funkční. Obvykle uslyšíte, že tomu tak je. </w:t>
      </w:r>
      <w:r>
        <w:rPr>
          <w:rFonts w:asciiTheme="minorHAnsi" w:hAnsiTheme="minorHAnsi" w:cstheme="minorHAnsi"/>
          <w:color w:val="000000"/>
          <w:sz w:val="20"/>
          <w:lang w:val="cs-CZ"/>
        </w:rPr>
        <w:t xml:space="preserve">Většina </w:t>
      </w:r>
      <w:r w:rsidRPr="00BD33A0">
        <w:rPr>
          <w:rFonts w:asciiTheme="minorHAnsi" w:hAnsiTheme="minorHAnsi" w:cstheme="minorHAnsi"/>
          <w:color w:val="000000"/>
          <w:sz w:val="20"/>
        </w:rPr>
        <w:t>těchto systémů v ČR (dle praktických zkušeností autora z let 2001, kdy zákon vešel v</w:t>
      </w:r>
      <w:r>
        <w:rPr>
          <w:rFonts w:asciiTheme="minorHAnsi" w:hAnsiTheme="minorHAnsi" w:cstheme="minorHAnsi"/>
          <w:color w:val="000000"/>
          <w:sz w:val="20"/>
        </w:rPr>
        <w:t> </w:t>
      </w:r>
      <w:r w:rsidRPr="00BD33A0">
        <w:rPr>
          <w:rFonts w:asciiTheme="minorHAnsi" w:hAnsiTheme="minorHAnsi" w:cstheme="minorHAnsi"/>
          <w:color w:val="000000"/>
          <w:sz w:val="20"/>
        </w:rPr>
        <w:t>platnost</w:t>
      </w:r>
      <w:r>
        <w:rPr>
          <w:rFonts w:asciiTheme="minorHAnsi" w:hAnsiTheme="minorHAnsi" w:cstheme="minorHAnsi"/>
          <w:color w:val="000000"/>
          <w:sz w:val="20"/>
          <w:lang w:val="cs-CZ"/>
        </w:rPr>
        <w:t>,</w:t>
      </w:r>
      <w:r>
        <w:rPr>
          <w:rFonts w:asciiTheme="minorHAnsi" w:hAnsiTheme="minorHAnsi" w:cstheme="minorHAnsi"/>
          <w:color w:val="000000"/>
          <w:sz w:val="20"/>
        </w:rPr>
        <w:t xml:space="preserve"> až po současnost</w:t>
      </w:r>
      <w:r w:rsidRPr="00BD33A0">
        <w:rPr>
          <w:rFonts w:asciiTheme="minorHAnsi" w:hAnsiTheme="minorHAnsi" w:cstheme="minorHAnsi"/>
          <w:color w:val="000000"/>
          <w:sz w:val="20"/>
        </w:rPr>
        <w:t>) však umí pracovat s hospodárností a částečně s efektivností, ne však s účelností. Účelnost je vázána na stanovení cílů</w:t>
      </w:r>
      <w:r>
        <w:rPr>
          <w:rFonts w:asciiTheme="minorHAnsi" w:hAnsiTheme="minorHAnsi" w:cstheme="minorHAnsi"/>
          <w:color w:val="000000"/>
          <w:sz w:val="20"/>
          <w:lang w:val="cs-CZ"/>
        </w:rPr>
        <w:t xml:space="preserve"> </w:t>
      </w:r>
      <w:r w:rsidRPr="00BD33A0">
        <w:rPr>
          <w:rFonts w:asciiTheme="minorHAnsi" w:hAnsiTheme="minorHAnsi" w:cstheme="minorHAnsi"/>
          <w:color w:val="000000"/>
          <w:sz w:val="20"/>
        </w:rPr>
        <w:t xml:space="preserve">– s tím však má většina samospráv velký problém. Pokud už cíle jsou (například ve strategickém </w:t>
      </w:r>
      <w:r>
        <w:rPr>
          <w:rFonts w:asciiTheme="minorHAnsi" w:hAnsiTheme="minorHAnsi" w:cstheme="minorHAnsi"/>
          <w:color w:val="000000"/>
          <w:sz w:val="20"/>
          <w:lang w:val="cs-CZ"/>
        </w:rPr>
        <w:t xml:space="preserve"> dokumentu</w:t>
      </w:r>
      <w:r w:rsidRPr="00BD33A0">
        <w:rPr>
          <w:rFonts w:asciiTheme="minorHAnsi" w:hAnsiTheme="minorHAnsi" w:cstheme="minorHAnsi"/>
          <w:color w:val="000000"/>
          <w:sz w:val="20"/>
        </w:rPr>
        <w:t xml:space="preserve">), nejsou měřitelné – nemají definovány ukazatele. Účelnost investic nebo obecněji výdajů obce tak nelze ověřit, systém tedy nefunguje správně – existuje značné riziko, že dochází k plýtvání. </w:t>
      </w:r>
    </w:p>
  </w:footnote>
  <w:footnote w:id="46">
    <w:p w14:paraId="5DE76789" w14:textId="1C0AD15D" w:rsidR="00511D9B" w:rsidRPr="004B37F1" w:rsidRDefault="00511D9B" w:rsidP="001B4BBD">
      <w:pPr>
        <w:pStyle w:val="Textpoznpodarou"/>
        <w:jc w:val="both"/>
        <w:rPr>
          <w:rFonts w:asciiTheme="minorHAnsi" w:hAnsiTheme="minorHAnsi"/>
        </w:rPr>
      </w:pPr>
      <w:r w:rsidRPr="004B37F1">
        <w:rPr>
          <w:rStyle w:val="Znakapoznpodarou"/>
          <w:rFonts w:asciiTheme="minorHAnsi" w:hAnsiTheme="minorHAnsi"/>
        </w:rPr>
        <w:footnoteRef/>
      </w:r>
      <w:r w:rsidRPr="004B37F1">
        <w:rPr>
          <w:rFonts w:asciiTheme="minorHAnsi" w:hAnsiTheme="minorHAnsi"/>
        </w:rPr>
        <w:t xml:space="preserve"> Vice viz připravované materiály</w:t>
      </w:r>
      <w:r>
        <w:rPr>
          <w:rFonts w:asciiTheme="minorHAnsi" w:hAnsiTheme="minorHAnsi"/>
        </w:rPr>
        <w:t xml:space="preserve"> k</w:t>
      </w:r>
      <w:r w:rsidRPr="004B37F1">
        <w:rPr>
          <w:rFonts w:asciiTheme="minorHAnsi" w:hAnsiTheme="minorHAnsi"/>
        </w:rPr>
        <w:t xml:space="preserve"> procesnímu řízení a k projektovému řízení, které budou k dispozici </w:t>
      </w:r>
      <w:r>
        <w:rPr>
          <w:rFonts w:asciiTheme="minorHAnsi" w:hAnsiTheme="minorHAnsi"/>
        </w:rPr>
        <w:t>na „Portálu strategické práce v ČR“</w:t>
      </w:r>
      <w:r w:rsidRPr="004B37F1">
        <w:rPr>
          <w:rFonts w:asciiTheme="minorHAnsi" w:hAnsiTheme="minorHAnsi"/>
        </w:rPr>
        <w:t>.</w:t>
      </w:r>
    </w:p>
  </w:footnote>
  <w:footnote w:id="47">
    <w:p w14:paraId="0A0D7E73" w14:textId="17475B8E" w:rsidR="00511D9B" w:rsidRDefault="00511D9B" w:rsidP="00E9181F">
      <w:pPr>
        <w:spacing w:line="240" w:lineRule="auto"/>
        <w:jc w:val="both"/>
        <w:rPr>
          <w:rFonts w:asciiTheme="minorHAnsi" w:hAnsiTheme="minorHAnsi" w:cstheme="minorHAnsi"/>
          <w:sz w:val="20"/>
          <w:szCs w:val="20"/>
        </w:rPr>
      </w:pPr>
      <w:r w:rsidRPr="00E9181F">
        <w:rPr>
          <w:rStyle w:val="Znakapoznpodarou"/>
          <w:rFonts w:asciiTheme="minorHAnsi" w:hAnsiTheme="minorHAnsi" w:cstheme="minorHAnsi"/>
          <w:sz w:val="20"/>
          <w:szCs w:val="20"/>
        </w:rPr>
        <w:footnoteRef/>
      </w:r>
      <w:r w:rsidRPr="00E9181F">
        <w:rPr>
          <w:rFonts w:asciiTheme="minorHAnsi" w:hAnsiTheme="minorHAnsi" w:cstheme="minorHAnsi"/>
          <w:sz w:val="20"/>
          <w:szCs w:val="20"/>
        </w:rPr>
        <w:t xml:space="preserve"> Více lze najít v publikaci „Měření spokojenosti v organizacích veřejné správy – soubor příkladů“, odkaz:</w:t>
      </w:r>
      <w:r>
        <w:rPr>
          <w:rFonts w:asciiTheme="minorHAnsi" w:hAnsiTheme="minorHAnsi" w:cstheme="minorHAnsi"/>
          <w:sz w:val="20"/>
          <w:szCs w:val="20"/>
        </w:rPr>
        <w:t xml:space="preserve"> </w:t>
      </w:r>
    </w:p>
    <w:p w14:paraId="4DAE59A2" w14:textId="42B8BA20" w:rsidR="00511D9B" w:rsidRPr="00E9181F" w:rsidRDefault="006B18F0" w:rsidP="00E9181F">
      <w:pPr>
        <w:pStyle w:val="Textpoznpodarou"/>
        <w:rPr>
          <w:rFonts w:asciiTheme="minorHAnsi" w:hAnsiTheme="minorHAnsi" w:cstheme="minorHAnsi"/>
        </w:rPr>
      </w:pPr>
      <w:hyperlink r:id="rId27" w:history="1">
        <w:r w:rsidR="00511D9B" w:rsidRPr="00E9181F">
          <w:rPr>
            <w:rStyle w:val="Hypertextovodkaz"/>
            <w:rFonts w:asciiTheme="minorHAnsi" w:hAnsiTheme="minorHAnsi" w:cstheme="minorHAnsi"/>
          </w:rPr>
          <w:t>https://www.researchgate.net/publication/40356457_Mereni_spokojenosti_v_organizacich_verejne_spravy_soubor_prikladu</w:t>
        </w:r>
      </w:hyperlink>
    </w:p>
  </w:footnote>
  <w:footnote w:id="48">
    <w:p w14:paraId="1108273E" w14:textId="0F3B2E7F" w:rsidR="00511D9B" w:rsidRPr="00D90FCD" w:rsidRDefault="00511D9B" w:rsidP="002531BE">
      <w:pPr>
        <w:pStyle w:val="Textpoznpodarou"/>
        <w:rPr>
          <w:rFonts w:asciiTheme="minorHAnsi" w:hAnsiTheme="minorHAnsi" w:cstheme="minorHAnsi"/>
        </w:rPr>
      </w:pPr>
      <w:r w:rsidRPr="00D90FCD">
        <w:rPr>
          <w:rStyle w:val="Znakapoznpodarou"/>
          <w:rFonts w:asciiTheme="minorHAnsi" w:hAnsiTheme="minorHAnsi" w:cstheme="minorHAnsi"/>
        </w:rPr>
        <w:footnoteRef/>
      </w:r>
      <w:r w:rsidRPr="00D90FCD">
        <w:rPr>
          <w:rFonts w:asciiTheme="minorHAnsi" w:hAnsiTheme="minorHAnsi" w:cstheme="minorHAnsi"/>
        </w:rPr>
        <w:t xml:space="preserve"> V řadě případů velmi účinně, ale někdy také </w:t>
      </w:r>
      <w:r>
        <w:rPr>
          <w:rFonts w:asciiTheme="minorHAnsi" w:hAnsiTheme="minorHAnsi" w:cstheme="minorHAnsi"/>
        </w:rPr>
        <w:t>neefektivně</w:t>
      </w:r>
      <w:r w:rsidRPr="00D90FCD">
        <w:rPr>
          <w:rFonts w:asciiTheme="minorHAnsi" w:hAnsiTheme="minorHAnsi" w:cstheme="minorHAnsi"/>
        </w:rPr>
        <w:t xml:space="preserve"> – projekty se v některých případech dělají jen „pro projekty“, tedy nejsou v území požadovány a realizují se jen proto, že jsou na ně peníze.</w:t>
      </w:r>
    </w:p>
  </w:footnote>
  <w:footnote w:id="49">
    <w:p w14:paraId="5E62F5E7" w14:textId="2EDEDEB7" w:rsidR="00511D9B" w:rsidRPr="00757323" w:rsidRDefault="00511D9B" w:rsidP="00E1525D">
      <w:pPr>
        <w:spacing w:line="240" w:lineRule="auto"/>
        <w:jc w:val="both"/>
        <w:rPr>
          <w:rFonts w:asciiTheme="minorHAnsi" w:hAnsiTheme="minorHAnsi" w:cstheme="minorHAnsi"/>
          <w:sz w:val="20"/>
          <w:szCs w:val="20"/>
        </w:rPr>
      </w:pPr>
      <w:r w:rsidRPr="00757323">
        <w:rPr>
          <w:rStyle w:val="Znakapoznpodarou"/>
          <w:rFonts w:asciiTheme="minorHAnsi" w:hAnsiTheme="minorHAnsi" w:cstheme="minorHAnsi"/>
          <w:sz w:val="20"/>
          <w:szCs w:val="20"/>
        </w:rPr>
        <w:footnoteRef/>
      </w:r>
      <w:r w:rsidRPr="00757323">
        <w:rPr>
          <w:rFonts w:asciiTheme="minorHAnsi" w:hAnsiTheme="minorHAnsi" w:cstheme="minorHAnsi"/>
          <w:sz w:val="20"/>
          <w:szCs w:val="20"/>
        </w:rPr>
        <w:t xml:space="preserve"> </w:t>
      </w:r>
      <w:r w:rsidRPr="00220B50">
        <w:rPr>
          <w:rFonts w:asciiTheme="minorHAnsi" w:hAnsiTheme="minorHAnsi" w:cstheme="minorHAnsi"/>
          <w:sz w:val="20"/>
          <w:szCs w:val="20"/>
        </w:rPr>
        <w:t>Třetí fáze je realizační, tedy řízení a kontrola postupu projektu</w:t>
      </w:r>
      <w:r w:rsidRPr="00757323">
        <w:rPr>
          <w:rFonts w:asciiTheme="minorHAnsi" w:hAnsiTheme="minorHAnsi" w:cstheme="minorHAnsi"/>
          <w:sz w:val="20"/>
          <w:szCs w:val="20"/>
        </w:rPr>
        <w:t>.</w:t>
      </w:r>
      <w:r w:rsidRPr="00757323">
        <w:rPr>
          <w:rFonts w:asciiTheme="minorHAnsi" w:hAnsiTheme="minorHAnsi" w:cstheme="minorHAnsi"/>
          <w:b/>
          <w:sz w:val="20"/>
          <w:szCs w:val="20"/>
        </w:rPr>
        <w:t xml:space="preserve"> </w:t>
      </w:r>
      <w:r w:rsidRPr="00757323">
        <w:rPr>
          <w:rFonts w:asciiTheme="minorHAnsi" w:hAnsiTheme="minorHAnsi" w:cstheme="minorHAnsi"/>
          <w:sz w:val="20"/>
          <w:szCs w:val="20"/>
        </w:rPr>
        <w:t>V rámci této fáze je třeba: (1) hlídat termíny (dodržet harmonogram), (2) sledovat náklady (dodržet rozpočet, obvykle zabezpečit oddělené účtování o projektu). (3) To všechno by bylo úplně k ničemu, pokud by projekt nesplnil stanovené cíle.  Projekt je tedy úspěšný, když jej realizujeme včas, za stanovené (nebo nižší) náklady a dosáhneme cíle projektu. To často bývá kamenem úrazu – když stanovíme nesmyslné cíle, dosáhneme nesmyslných výsledků. Když špatně stanovíme náklady, tak se projekt neúměrně prodražuje</w:t>
      </w:r>
      <w:r>
        <w:rPr>
          <w:rFonts w:asciiTheme="minorHAnsi" w:hAnsiTheme="minorHAnsi" w:cstheme="minorHAnsi"/>
          <w:sz w:val="20"/>
          <w:szCs w:val="20"/>
        </w:rPr>
        <w:t>.</w:t>
      </w:r>
      <w:r w:rsidRPr="00757323">
        <w:rPr>
          <w:rFonts w:asciiTheme="minorHAnsi" w:hAnsiTheme="minorHAnsi" w:cstheme="minorHAnsi"/>
          <w:sz w:val="20"/>
          <w:szCs w:val="20"/>
        </w:rPr>
        <w:t xml:space="preserve"> Nereálný harmonogram nebo jeho špatné načasování může vést k neplnění termínů nebo monitorovacích parametrů nebo k prodražení projektu (případně až k vrácení dotace). Abychom se těmto problémům vyhnuli, musíme projekt řídit a nastavit si kontrolní mechanismy. Pokud je při projektovém řízení cokoli ohroženo, je třeba okamžitě přijímat opatření.</w:t>
      </w:r>
    </w:p>
  </w:footnote>
  <w:footnote w:id="50">
    <w:p w14:paraId="3A4ED3CB" w14:textId="0E5C048B" w:rsidR="00511D9B" w:rsidRPr="000065EA" w:rsidRDefault="00511D9B" w:rsidP="000065EA">
      <w:pPr>
        <w:pStyle w:val="Textpoznpodarou"/>
        <w:jc w:val="both"/>
        <w:rPr>
          <w:rFonts w:asciiTheme="minorHAnsi" w:hAnsiTheme="minorHAnsi" w:cstheme="minorHAnsi"/>
        </w:rPr>
      </w:pPr>
      <w:r w:rsidRPr="000065EA">
        <w:rPr>
          <w:rStyle w:val="Znakapoznpodarou"/>
          <w:rFonts w:asciiTheme="minorHAnsi" w:hAnsiTheme="minorHAnsi" w:cstheme="minorHAnsi"/>
        </w:rPr>
        <w:footnoteRef/>
      </w:r>
      <w:r w:rsidRPr="000065EA">
        <w:rPr>
          <w:rFonts w:asciiTheme="minorHAnsi" w:hAnsiTheme="minorHAnsi" w:cstheme="minorHAnsi"/>
        </w:rPr>
        <w:t xml:space="preserve"> Dokumenty ke státnímu závěrečnému účtu za rok 2021 jsou dostupné na odkaze:</w:t>
      </w:r>
    </w:p>
    <w:p w14:paraId="57445E44" w14:textId="1C36FC36" w:rsidR="00511D9B" w:rsidRDefault="006B18F0" w:rsidP="000065EA">
      <w:pPr>
        <w:pStyle w:val="Textpoznpodarou"/>
        <w:jc w:val="both"/>
      </w:pPr>
      <w:hyperlink r:id="rId28" w:history="1">
        <w:r w:rsidR="00511D9B" w:rsidRPr="000065EA">
          <w:rPr>
            <w:rStyle w:val="Hypertextovodkaz"/>
            <w:rFonts w:asciiTheme="minorHAnsi" w:hAnsiTheme="minorHAnsi" w:cstheme="minorHAnsi"/>
          </w:rPr>
          <w:t>https://www.mfcr.cz/cs/verejny-sektor/statni-rozpocet/plneni-statniho-rozpoctu/2021/statni-zaverecny-ucet-za-rok-2021-47400</w:t>
        </w:r>
      </w:hyperlink>
    </w:p>
  </w:footnote>
  <w:footnote w:id="51">
    <w:p w14:paraId="6B1BAE0E" w14:textId="46492945" w:rsidR="00511D9B" w:rsidRDefault="00511D9B">
      <w:pPr>
        <w:pStyle w:val="Textpoznpodarou"/>
        <w:rPr>
          <w:rFonts w:asciiTheme="minorHAnsi" w:hAnsiTheme="minorHAnsi" w:cstheme="minorHAnsi"/>
        </w:rPr>
      </w:pPr>
      <w:r w:rsidRPr="00550951">
        <w:rPr>
          <w:rStyle w:val="Znakapoznpodarou"/>
          <w:rFonts w:asciiTheme="minorHAnsi" w:hAnsiTheme="minorHAnsi" w:cstheme="minorHAnsi"/>
        </w:rPr>
        <w:footnoteRef/>
      </w:r>
      <w:r w:rsidRPr="00550951">
        <w:rPr>
          <w:rFonts w:asciiTheme="minorHAnsi" w:hAnsiTheme="minorHAnsi" w:cstheme="minorHAnsi"/>
        </w:rPr>
        <w:t xml:space="preserve"> Dostupné na: </w:t>
      </w:r>
      <w:hyperlink r:id="rId29" w:history="1">
        <w:r w:rsidRPr="00550951">
          <w:rPr>
            <w:rStyle w:val="Hypertextovodkaz"/>
            <w:rFonts w:asciiTheme="minorHAnsi" w:hAnsiTheme="minorHAnsi" w:cstheme="minorHAnsi"/>
          </w:rPr>
          <w:t>https://www.mvcr.cz/clanek/kvalitni-verejna-sprava.aspx?q=Y2hudW09Ng%3d%3d</w:t>
        </w:r>
      </w:hyperlink>
      <w:r>
        <w:rPr>
          <w:rFonts w:asciiTheme="minorHAnsi" w:hAnsiTheme="minorHAnsi" w:cstheme="minorHAnsi"/>
        </w:rPr>
        <w:t xml:space="preserve"> Případně lze srovnat se zásadami uvedených v publikaci Strategické řízení a plánování obce (MVČR, 2020).</w:t>
      </w:r>
    </w:p>
    <w:p w14:paraId="7DB1C918" w14:textId="0C0D08EA" w:rsidR="00511D9B" w:rsidRPr="00550951" w:rsidRDefault="00511D9B">
      <w:pPr>
        <w:pStyle w:val="Textpoznpodarou"/>
        <w:rPr>
          <w:rFonts w:asciiTheme="minorHAnsi" w:hAnsiTheme="minorHAnsi" w:cstheme="minorHAnsi"/>
        </w:rPr>
      </w:pPr>
      <w:r w:rsidRPr="00550951">
        <w:rPr>
          <w:rFonts w:asciiTheme="minorHAnsi" w:hAnsiTheme="minorHAnsi" w:cstheme="minorHAnsi"/>
        </w:rPr>
        <w:t xml:space="preserve"> </w:t>
      </w:r>
      <w:hyperlink r:id="rId30" w:history="1">
        <w:r w:rsidRPr="00550951">
          <w:rPr>
            <w:rStyle w:val="Hypertextovodkaz"/>
            <w:rFonts w:asciiTheme="minorHAnsi" w:hAnsiTheme="minorHAnsi" w:cstheme="minorHAnsi"/>
          </w:rPr>
          <w:t>https://www.mvcr.cz/clanek/kvalitni-verejna-sprava.aspx?q=Y2hudW09Ng%3d%3d</w:t>
        </w:r>
      </w:hyperlink>
    </w:p>
  </w:footnote>
  <w:footnote w:id="52">
    <w:p w14:paraId="51BFFED8" w14:textId="16E42294" w:rsidR="00511D9B" w:rsidRPr="004735D1" w:rsidRDefault="00511D9B" w:rsidP="008A60AC">
      <w:pPr>
        <w:pStyle w:val="A1-text"/>
        <w:spacing w:after="0" w:line="240" w:lineRule="auto"/>
        <w:rPr>
          <w:rFonts w:asciiTheme="minorHAnsi" w:hAnsiTheme="minorHAnsi" w:cstheme="minorHAnsi"/>
        </w:rPr>
      </w:pPr>
      <w:r w:rsidRPr="004735D1">
        <w:rPr>
          <w:rStyle w:val="Znakapoznpodarou"/>
          <w:rFonts w:asciiTheme="minorHAnsi" w:hAnsiTheme="minorHAnsi" w:cstheme="minorHAnsi"/>
          <w:sz w:val="20"/>
          <w:szCs w:val="20"/>
        </w:rPr>
        <w:footnoteRef/>
      </w:r>
      <w:r w:rsidRPr="004735D1">
        <w:rPr>
          <w:rFonts w:asciiTheme="minorHAnsi" w:hAnsiTheme="minorHAnsi" w:cstheme="minorHAnsi"/>
          <w:sz w:val="20"/>
          <w:szCs w:val="20"/>
        </w:rPr>
        <w:t xml:space="preserve"> Jde o podíl dluhové služby </w:t>
      </w:r>
      <w:r w:rsidRPr="004735D1">
        <w:rPr>
          <w:rFonts w:asciiTheme="minorHAnsi" w:hAnsiTheme="minorHAnsi" w:cstheme="minorHAnsi"/>
          <w:sz w:val="20"/>
          <w:szCs w:val="20"/>
          <w:lang w:val="cs-CZ"/>
        </w:rPr>
        <w:t xml:space="preserve">(je tvořena </w:t>
      </w:r>
      <w:r w:rsidRPr="004735D1">
        <w:rPr>
          <w:rFonts w:asciiTheme="minorHAnsi" w:hAnsiTheme="minorHAnsi" w:cstheme="minorHAnsi"/>
          <w:sz w:val="20"/>
          <w:szCs w:val="20"/>
        </w:rPr>
        <w:t>součt</w:t>
      </w:r>
      <w:r w:rsidRPr="004735D1">
        <w:rPr>
          <w:rFonts w:asciiTheme="minorHAnsi" w:hAnsiTheme="minorHAnsi" w:cstheme="minorHAnsi"/>
          <w:sz w:val="20"/>
          <w:szCs w:val="20"/>
          <w:lang w:val="cs-CZ"/>
        </w:rPr>
        <w:t>em</w:t>
      </w:r>
      <w:r w:rsidRPr="004735D1">
        <w:rPr>
          <w:rFonts w:asciiTheme="minorHAnsi" w:hAnsiTheme="minorHAnsi" w:cstheme="minorHAnsi"/>
          <w:sz w:val="20"/>
          <w:szCs w:val="20"/>
        </w:rPr>
        <w:t xml:space="preserve"> splátek úroků a splátek jistin</w:t>
      </w:r>
      <w:r w:rsidRPr="004735D1">
        <w:rPr>
          <w:rFonts w:asciiTheme="minorHAnsi" w:hAnsiTheme="minorHAnsi" w:cstheme="minorHAnsi"/>
          <w:sz w:val="20"/>
          <w:szCs w:val="20"/>
          <w:lang w:val="cs-CZ"/>
        </w:rPr>
        <w:t xml:space="preserve">) </w:t>
      </w:r>
      <w:r w:rsidRPr="004735D1">
        <w:rPr>
          <w:rFonts w:asciiTheme="minorHAnsi" w:hAnsiTheme="minorHAnsi" w:cstheme="minorHAnsi"/>
          <w:sz w:val="20"/>
          <w:szCs w:val="20"/>
        </w:rPr>
        <w:t xml:space="preserve"> a dluhové základny</w:t>
      </w:r>
      <w:r w:rsidRPr="004735D1">
        <w:rPr>
          <w:rFonts w:asciiTheme="minorHAnsi" w:hAnsiTheme="minorHAnsi" w:cstheme="minorHAnsi"/>
          <w:sz w:val="20"/>
          <w:szCs w:val="20"/>
          <w:lang w:val="cs-CZ"/>
        </w:rPr>
        <w:t xml:space="preserve"> (jde o </w:t>
      </w:r>
      <w:r w:rsidRPr="004735D1">
        <w:rPr>
          <w:rFonts w:asciiTheme="minorHAnsi" w:hAnsiTheme="minorHAnsi" w:cstheme="minorHAnsi"/>
          <w:sz w:val="20"/>
          <w:szCs w:val="20"/>
        </w:rPr>
        <w:t xml:space="preserve">celkové příjmy </w:t>
      </w:r>
      <w:r w:rsidRPr="004735D1">
        <w:rPr>
          <w:rFonts w:asciiTheme="minorHAnsi" w:hAnsiTheme="minorHAnsi" w:cstheme="minorHAnsi"/>
          <w:sz w:val="20"/>
          <w:szCs w:val="20"/>
          <w:lang w:val="cs-CZ"/>
        </w:rPr>
        <w:t xml:space="preserve">obce </w:t>
      </w:r>
      <w:r w:rsidRPr="004735D1">
        <w:rPr>
          <w:rFonts w:asciiTheme="minorHAnsi" w:hAnsiTheme="minorHAnsi" w:cstheme="minorHAnsi"/>
          <w:sz w:val="20"/>
          <w:szCs w:val="20"/>
        </w:rPr>
        <w:t>po konsolidaci</w:t>
      </w:r>
      <w:r w:rsidRPr="004735D1">
        <w:rPr>
          <w:rFonts w:asciiTheme="minorHAnsi" w:hAnsiTheme="minorHAnsi" w:cstheme="minorHAnsi"/>
          <w:sz w:val="20"/>
          <w:szCs w:val="20"/>
          <w:lang w:val="cs-CZ"/>
        </w:rPr>
        <w:t>)</w:t>
      </w:r>
      <w:r w:rsidRPr="004735D1">
        <w:rPr>
          <w:rFonts w:asciiTheme="minorHAnsi" w:hAnsiTheme="minorHAnsi" w:cstheme="minorHAnsi"/>
          <w:sz w:val="20"/>
          <w:szCs w:val="20"/>
        </w:rPr>
        <w:t xml:space="preserve">. Jeho hodnota by neměla přesáhnout </w:t>
      </w:r>
      <w:r>
        <w:rPr>
          <w:rFonts w:asciiTheme="minorHAnsi" w:hAnsiTheme="minorHAnsi" w:cstheme="minorHAnsi"/>
          <w:sz w:val="20"/>
          <w:szCs w:val="20"/>
          <w:lang w:val="cs-CZ"/>
        </w:rPr>
        <w:t>30</w:t>
      </w:r>
      <w:r w:rsidRPr="004735D1">
        <w:rPr>
          <w:rFonts w:asciiTheme="minorHAnsi" w:hAnsiTheme="minorHAnsi" w:cstheme="minorHAnsi"/>
          <w:sz w:val="20"/>
          <w:szCs w:val="20"/>
        </w:rPr>
        <w:t xml:space="preserve"> %</w:t>
      </w:r>
      <w:r w:rsidRPr="004735D1">
        <w:rPr>
          <w:rFonts w:asciiTheme="minorHAnsi" w:hAnsiTheme="minorHAnsi" w:cstheme="minorHAnsi"/>
          <w:sz w:val="20"/>
          <w:szCs w:val="20"/>
          <w:lang w:val="cs-CZ"/>
        </w:rPr>
        <w:t xml:space="preserve"> (</w:t>
      </w:r>
      <w:r>
        <w:rPr>
          <w:rFonts w:asciiTheme="minorHAnsi" w:hAnsiTheme="minorHAnsi" w:cstheme="minorHAnsi"/>
          <w:sz w:val="20"/>
          <w:szCs w:val="20"/>
          <w:lang w:val="cs-CZ"/>
        </w:rPr>
        <w:t>MVČR, 2020</w:t>
      </w:r>
      <w:r w:rsidRPr="004735D1">
        <w:rPr>
          <w:rFonts w:asciiTheme="minorHAnsi" w:hAnsiTheme="minorHAnsi" w:cstheme="minorHAnsi"/>
          <w:sz w:val="20"/>
          <w:szCs w:val="20"/>
          <w:lang w:val="cs-CZ"/>
        </w:rPr>
        <w:t>).</w:t>
      </w:r>
    </w:p>
  </w:footnote>
  <w:footnote w:id="53">
    <w:p w14:paraId="4DA078D6" w14:textId="77777777" w:rsidR="00511D9B" w:rsidRPr="004735D1" w:rsidRDefault="00511D9B" w:rsidP="008A60AC">
      <w:pPr>
        <w:pStyle w:val="Textpoznpodarou"/>
        <w:rPr>
          <w:rFonts w:asciiTheme="minorHAnsi" w:hAnsiTheme="minorHAnsi" w:cstheme="minorHAnsi"/>
        </w:rPr>
      </w:pPr>
      <w:r w:rsidRPr="004735D1">
        <w:rPr>
          <w:rStyle w:val="Znakapoznpodarou"/>
          <w:rFonts w:asciiTheme="minorHAnsi" w:hAnsiTheme="minorHAnsi" w:cstheme="minorHAnsi"/>
        </w:rPr>
        <w:footnoteRef/>
      </w:r>
      <w:r w:rsidRPr="004735D1">
        <w:rPr>
          <w:rFonts w:asciiTheme="minorHAnsi" w:hAnsiTheme="minorHAnsi" w:cstheme="minorHAnsi"/>
        </w:rPr>
        <w:t xml:space="preserve"> Též se užívá název: saldo provozního rozpočtu.</w:t>
      </w:r>
    </w:p>
  </w:footnote>
  <w:footnote w:id="54">
    <w:p w14:paraId="204897D0" w14:textId="77777777" w:rsidR="00511D9B" w:rsidRPr="00423280" w:rsidRDefault="00511D9B" w:rsidP="00683E30">
      <w:pPr>
        <w:widowControl w:val="0"/>
        <w:autoSpaceDE w:val="0"/>
        <w:autoSpaceDN w:val="0"/>
        <w:adjustRightInd w:val="0"/>
        <w:spacing w:line="240" w:lineRule="auto"/>
        <w:jc w:val="both"/>
        <w:rPr>
          <w:rFonts w:asciiTheme="minorHAnsi" w:hAnsiTheme="minorHAnsi" w:cstheme="minorHAnsi"/>
          <w:sz w:val="20"/>
          <w:szCs w:val="20"/>
        </w:rPr>
      </w:pPr>
      <w:r w:rsidRPr="00423280">
        <w:rPr>
          <w:rStyle w:val="Znakapoznpodarou"/>
          <w:rFonts w:asciiTheme="minorHAnsi" w:hAnsiTheme="minorHAnsi" w:cstheme="minorHAnsi"/>
          <w:sz w:val="20"/>
          <w:szCs w:val="20"/>
        </w:rPr>
        <w:footnoteRef/>
      </w:r>
      <w:r w:rsidRPr="00423280">
        <w:rPr>
          <w:rFonts w:asciiTheme="minorHAnsi" w:hAnsiTheme="minorHAnsi" w:cstheme="minorHAnsi"/>
          <w:sz w:val="20"/>
          <w:szCs w:val="20"/>
        </w:rPr>
        <w:t xml:space="preserve"> Půček, Ochrana 2009, s.</w:t>
      </w:r>
      <w:r>
        <w:rPr>
          <w:rFonts w:asciiTheme="minorHAnsi" w:hAnsiTheme="minorHAnsi" w:cstheme="minorHAnsi"/>
          <w:sz w:val="20"/>
          <w:szCs w:val="20"/>
        </w:rPr>
        <w:t xml:space="preserve"> </w:t>
      </w:r>
      <w:r w:rsidRPr="00423280">
        <w:rPr>
          <w:rFonts w:asciiTheme="minorHAnsi" w:hAnsiTheme="minorHAnsi" w:cstheme="minorHAnsi"/>
          <w:sz w:val="20"/>
          <w:szCs w:val="20"/>
        </w:rPr>
        <w:t>73: Soběstačné regiony jsou schopny zabezpečit klíčové potřeby regionu. Plýtvání si obvykle nemohou dovolit. Soběstačnost regionu může být založena na jednom nebo kombinaci několika následujících uvedených faktorů: (1) na promyšleném využití přírodního bohatství či jiných zdrojů, (2) na lidském kapitálu, konkurenceschopnosti, znalostech, inovacích, soudržnosti, (3) na dlouholeté řádné správě území a promyšleném rozvoji území, využívajících regionální silné stránky a eliminujících slabé stránky a rizika, využívání všech příležitostí, (4) na jiné komparativní výhodě (např. geografická poloha).</w:t>
      </w:r>
    </w:p>
    <w:p w14:paraId="1BF4D9E3" w14:textId="77777777" w:rsidR="00511D9B" w:rsidRDefault="00511D9B" w:rsidP="008A60AC">
      <w:pPr>
        <w:pStyle w:val="Textpoznpodarou"/>
        <w:jc w:val="both"/>
      </w:pPr>
      <w:r w:rsidRPr="00423280">
        <w:rPr>
          <w:rFonts w:asciiTheme="minorHAnsi" w:hAnsiTheme="minorHAnsi" w:cstheme="minorHAnsi"/>
        </w:rPr>
        <w:t>Naopak plýtvající regiony toho nejsou schopny. Věřme, že se většina evropských regionů bude schopna změnit v dohledné době z plýtvajících na soběstačné regiony. Kohezní politika, řádná správa a promyšlený rozvoj území mohou k tomu významně přispět.</w:t>
      </w:r>
    </w:p>
  </w:footnote>
  <w:footnote w:id="55">
    <w:p w14:paraId="5D179046" w14:textId="1838B6C2" w:rsidR="00511D9B" w:rsidRPr="008068E2" w:rsidRDefault="00511D9B" w:rsidP="008068E2">
      <w:pPr>
        <w:pStyle w:val="Textpoznpodarou"/>
        <w:jc w:val="both"/>
        <w:rPr>
          <w:rFonts w:asciiTheme="minorHAnsi" w:hAnsiTheme="minorHAnsi" w:cstheme="minorHAnsi"/>
        </w:rPr>
      </w:pPr>
      <w:r w:rsidRPr="008068E2">
        <w:rPr>
          <w:rStyle w:val="Znakapoznpodarou"/>
          <w:rFonts w:asciiTheme="minorHAnsi" w:hAnsiTheme="minorHAnsi" w:cstheme="minorHAnsi"/>
        </w:rPr>
        <w:footnoteRef/>
      </w:r>
      <w:r w:rsidRPr="008068E2">
        <w:rPr>
          <w:rFonts w:asciiTheme="minorHAnsi" w:hAnsiTheme="minorHAnsi" w:cstheme="minorHAnsi"/>
        </w:rPr>
        <w:t xml:space="preserve"> </w:t>
      </w:r>
      <w:r>
        <w:rPr>
          <w:rFonts w:asciiTheme="minorHAnsi" w:hAnsiTheme="minorHAnsi" w:cstheme="minorHAnsi"/>
        </w:rPr>
        <w:t>Provedená a</w:t>
      </w:r>
      <w:r w:rsidRPr="008068E2">
        <w:rPr>
          <w:rFonts w:asciiTheme="minorHAnsi" w:hAnsiTheme="minorHAnsi" w:cstheme="minorHAnsi"/>
        </w:rPr>
        <w:t>nalýza</w:t>
      </w:r>
      <w:r>
        <w:rPr>
          <w:rFonts w:asciiTheme="minorHAnsi" w:hAnsiTheme="minorHAnsi" w:cstheme="minorHAnsi"/>
        </w:rPr>
        <w:t xml:space="preserve"> 25 strategií</w:t>
      </w:r>
      <w:r w:rsidRPr="008068E2">
        <w:rPr>
          <w:rFonts w:asciiTheme="minorHAnsi" w:hAnsiTheme="minorHAnsi" w:cstheme="minorHAnsi"/>
        </w:rPr>
        <w:t>, příklady dobré praxe a metodická doporučení jsou dostupné na:</w:t>
      </w:r>
      <w:r>
        <w:rPr>
          <w:rFonts w:asciiTheme="minorHAnsi" w:hAnsiTheme="minorHAnsi" w:cstheme="minorHAnsi"/>
        </w:rPr>
        <w:t xml:space="preserve"> </w:t>
      </w:r>
      <w:hyperlink r:id="rId31" w:history="1">
        <w:r w:rsidRPr="008068E2">
          <w:rPr>
            <w:rStyle w:val="Hypertextovodkaz"/>
            <w:rFonts w:asciiTheme="minorHAnsi" w:hAnsiTheme="minorHAnsi" w:cstheme="minorHAnsi"/>
          </w:rPr>
          <w:t>https://mmr.cz/cs/microsites/portal-strategicke-prace-v-ceske-republice/nastroje-a-metodicka-podpora/podpora-strategickeho-rizeni-a-planovani-ve-verejn/financni-rizeni-a-strategicke-planovani</w:t>
        </w:r>
      </w:hyperlink>
    </w:p>
  </w:footnote>
  <w:footnote w:id="56">
    <w:p w14:paraId="0D7337D8" w14:textId="77777777" w:rsidR="00511D9B" w:rsidRPr="00E628CC" w:rsidRDefault="00511D9B" w:rsidP="004E793F">
      <w:pPr>
        <w:pStyle w:val="Textpoznpodarou"/>
        <w:rPr>
          <w:rFonts w:asciiTheme="minorHAnsi" w:hAnsiTheme="minorHAnsi" w:cstheme="minorHAnsi"/>
        </w:rPr>
      </w:pPr>
      <w:r w:rsidRPr="00E628CC">
        <w:rPr>
          <w:rStyle w:val="Znakapoznpodarou"/>
          <w:rFonts w:asciiTheme="minorHAnsi" w:hAnsiTheme="minorHAnsi" w:cstheme="minorHAnsi"/>
        </w:rPr>
        <w:footnoteRef/>
      </w:r>
      <w:r w:rsidRPr="00E628CC">
        <w:rPr>
          <w:rFonts w:asciiTheme="minorHAnsi" w:hAnsiTheme="minorHAnsi" w:cstheme="minorHAnsi"/>
        </w:rPr>
        <w:t xml:space="preserve"> </w:t>
      </w:r>
      <w:r w:rsidRPr="00E628CC">
        <w:rPr>
          <w:rFonts w:asciiTheme="minorHAnsi" w:hAnsiTheme="minorHAnsi" w:cstheme="minorHAnsi"/>
          <w:color w:val="000000"/>
        </w:rPr>
        <w:t>§ 11, odst. 2 z.č. 320/2001 Sb., o finanční kontrole</w:t>
      </w:r>
    </w:p>
  </w:footnote>
  <w:footnote w:id="57">
    <w:p w14:paraId="18321125" w14:textId="2615FA5F" w:rsidR="00511D9B" w:rsidRPr="006D1111" w:rsidRDefault="00511D9B" w:rsidP="004E793F">
      <w:pPr>
        <w:pStyle w:val="Textpoznpodarou"/>
        <w:rPr>
          <w:rFonts w:asciiTheme="minorHAnsi" w:hAnsiTheme="minorHAnsi" w:cstheme="minorHAnsi"/>
        </w:rPr>
      </w:pPr>
      <w:r w:rsidRPr="006D1111">
        <w:rPr>
          <w:rStyle w:val="Znakapoznpodarou"/>
          <w:rFonts w:asciiTheme="minorHAnsi" w:hAnsiTheme="minorHAnsi" w:cstheme="minorHAnsi"/>
        </w:rPr>
        <w:footnoteRef/>
      </w:r>
      <w:r>
        <w:rPr>
          <w:rFonts w:asciiTheme="minorHAnsi" w:hAnsiTheme="minorHAnsi" w:cstheme="minorHAnsi"/>
        </w:rPr>
        <w:t xml:space="preserve"> §11, odstavec </w:t>
      </w:r>
      <w:r w:rsidRPr="006D1111">
        <w:rPr>
          <w:rFonts w:asciiTheme="minorHAnsi" w:hAnsiTheme="minorHAnsi" w:cstheme="minorHAnsi"/>
        </w:rPr>
        <w:t>3, z</w:t>
      </w:r>
      <w:r>
        <w:rPr>
          <w:rFonts w:asciiTheme="minorHAnsi" w:hAnsiTheme="minorHAnsi" w:cstheme="minorHAnsi"/>
        </w:rPr>
        <w:t xml:space="preserve">ákona </w:t>
      </w:r>
      <w:r w:rsidRPr="006D1111">
        <w:rPr>
          <w:rFonts w:asciiTheme="minorHAnsi" w:hAnsiTheme="minorHAnsi" w:cstheme="minorHAnsi"/>
        </w:rPr>
        <w:t>č. 250/2000 Sb., o rozpočtových pravidlech územních rozpočtů</w:t>
      </w:r>
    </w:p>
  </w:footnote>
  <w:footnote w:id="58">
    <w:p w14:paraId="7F1A957A" w14:textId="7DBB0989" w:rsidR="00511D9B" w:rsidRPr="0020762C" w:rsidRDefault="00511D9B" w:rsidP="0020762C">
      <w:pPr>
        <w:pStyle w:val="A1-text"/>
        <w:spacing w:after="0" w:line="240" w:lineRule="auto"/>
        <w:jc w:val="left"/>
        <w:rPr>
          <w:rFonts w:asciiTheme="minorHAnsi" w:hAnsiTheme="minorHAnsi" w:cstheme="minorHAnsi"/>
          <w:sz w:val="20"/>
          <w:szCs w:val="20"/>
        </w:rPr>
      </w:pPr>
      <w:r w:rsidRPr="0020762C">
        <w:rPr>
          <w:rStyle w:val="Znakapoznpodarou"/>
          <w:rFonts w:asciiTheme="minorHAnsi" w:hAnsiTheme="minorHAnsi" w:cstheme="minorHAnsi"/>
          <w:sz w:val="20"/>
          <w:szCs w:val="20"/>
        </w:rPr>
        <w:footnoteRef/>
      </w:r>
      <w:r w:rsidRPr="0020762C">
        <w:rPr>
          <w:rFonts w:asciiTheme="minorHAnsi" w:hAnsiTheme="minorHAnsi" w:cstheme="minorHAnsi"/>
          <w:sz w:val="20"/>
          <w:szCs w:val="20"/>
        </w:rPr>
        <w:t xml:space="preserve"> O</w:t>
      </w:r>
      <w:r>
        <w:rPr>
          <w:rFonts w:asciiTheme="minorHAnsi" w:hAnsiTheme="minorHAnsi" w:cstheme="minorHAnsi"/>
          <w:sz w:val="20"/>
          <w:szCs w:val="20"/>
        </w:rPr>
        <w:t xml:space="preserve">dkaz na </w:t>
      </w:r>
      <w:r w:rsidRPr="0020762C">
        <w:rPr>
          <w:rFonts w:asciiTheme="minorHAnsi" w:hAnsiTheme="minorHAnsi" w:cstheme="minorHAnsi"/>
          <w:sz w:val="20"/>
          <w:szCs w:val="20"/>
        </w:rPr>
        <w:t>výsledky auditu udržitelného rozvoje města Chrudim – viz auditní otázka č. 1.2.2 Existují přiměřená vnitřní pravidla pro zadlužování města a jsou tato pravidla dodržována?</w:t>
      </w:r>
    </w:p>
    <w:p w14:paraId="6666F1EB" w14:textId="7C321B0D" w:rsidR="00511D9B" w:rsidRPr="0020762C" w:rsidRDefault="006B18F0" w:rsidP="0020762C">
      <w:pPr>
        <w:pStyle w:val="A1-text"/>
        <w:spacing w:after="0" w:line="240" w:lineRule="auto"/>
        <w:jc w:val="left"/>
        <w:rPr>
          <w:rFonts w:asciiTheme="minorHAnsi" w:hAnsiTheme="minorHAnsi" w:cstheme="minorHAnsi"/>
          <w:sz w:val="20"/>
          <w:szCs w:val="20"/>
        </w:rPr>
      </w:pPr>
      <w:hyperlink r:id="rId32" w:history="1">
        <w:r w:rsidR="00511D9B" w:rsidRPr="0020762C">
          <w:rPr>
            <w:rStyle w:val="Hypertextovodkaz"/>
            <w:rFonts w:asciiTheme="minorHAnsi" w:hAnsiTheme="minorHAnsi" w:cstheme="minorHAnsi"/>
            <w:sz w:val="20"/>
            <w:szCs w:val="20"/>
          </w:rPr>
          <w:t>https://www.zdravamesta.cz/cz/chrudim/mereni-uspechu/audit-udrzitelneho-rozvoje/audit-chrudim-2019</w:t>
        </w:r>
      </w:hyperlink>
    </w:p>
  </w:footnote>
  <w:footnote w:id="59">
    <w:p w14:paraId="634B4A18" w14:textId="77777777" w:rsidR="00511D9B" w:rsidRPr="00E82897" w:rsidRDefault="00511D9B" w:rsidP="00C10416">
      <w:pPr>
        <w:pStyle w:val="Zkladntext3"/>
        <w:spacing w:after="0"/>
        <w:jc w:val="both"/>
        <w:rPr>
          <w:rFonts w:asciiTheme="minorHAnsi" w:hAnsiTheme="minorHAnsi"/>
        </w:rPr>
      </w:pPr>
      <w:r w:rsidRPr="00E82897">
        <w:rPr>
          <w:rStyle w:val="Znakapoznpodarou"/>
          <w:rFonts w:asciiTheme="minorHAnsi" w:hAnsiTheme="minorHAnsi"/>
          <w:sz w:val="20"/>
        </w:rPr>
        <w:footnoteRef/>
      </w:r>
      <w:r w:rsidRPr="00E82897">
        <w:rPr>
          <w:rFonts w:asciiTheme="minorHAnsi" w:hAnsiTheme="minorHAnsi"/>
          <w:sz w:val="20"/>
        </w:rPr>
        <w:t xml:space="preserve"> Dle </w:t>
      </w:r>
      <w:r>
        <w:rPr>
          <w:rFonts w:asciiTheme="minorHAnsi" w:hAnsiTheme="minorHAnsi"/>
          <w:sz w:val="20"/>
        </w:rPr>
        <w:t>§ 11, odst. 2 prováděcí v</w:t>
      </w:r>
      <w:r w:rsidRPr="00E82897">
        <w:rPr>
          <w:rFonts w:asciiTheme="minorHAnsi" w:hAnsiTheme="minorHAnsi"/>
          <w:sz w:val="20"/>
        </w:rPr>
        <w:t>yhlášky</w:t>
      </w:r>
      <w:r>
        <w:rPr>
          <w:rFonts w:asciiTheme="minorHAnsi" w:hAnsiTheme="minorHAnsi"/>
          <w:sz w:val="20"/>
        </w:rPr>
        <w:t xml:space="preserve"> MFČR</w:t>
      </w:r>
      <w:r w:rsidRPr="00E82897">
        <w:rPr>
          <w:rFonts w:asciiTheme="minorHAnsi" w:hAnsiTheme="minorHAnsi"/>
          <w:sz w:val="20"/>
        </w:rPr>
        <w:t xml:space="preserve">: </w:t>
      </w:r>
      <w:r w:rsidRPr="00E82897">
        <w:rPr>
          <w:rFonts w:asciiTheme="minorHAnsi" w:hAnsiTheme="minorHAnsi"/>
          <w:i/>
          <w:sz w:val="20"/>
        </w:rPr>
        <w:t xml:space="preserve">„Schvalovacím postupem příkazce operace se prověří a) soulad připravované operace se stanovenými úkoly a schválenými záměry a cíli orgánu veřejné správy, b) správnost operace [§ 2 písm. l) zákona] zejména ve vztahu k 1. dodržení právních předpisů a opatření přijatých orgány veřejné správy v mezích těchto právních předpisů, 2. </w:t>
      </w:r>
      <w:r w:rsidRPr="00E82897">
        <w:rPr>
          <w:rFonts w:asciiTheme="minorHAnsi" w:hAnsiTheme="minorHAnsi"/>
          <w:b/>
          <w:i/>
          <w:sz w:val="20"/>
        </w:rPr>
        <w:t>dodržení kritérií stanovených pro hospodárný, efektivní a</w:t>
      </w:r>
      <w:r w:rsidRPr="00E82897">
        <w:rPr>
          <w:rFonts w:asciiTheme="minorHAnsi" w:hAnsiTheme="minorHAnsi"/>
          <w:i/>
          <w:sz w:val="20"/>
        </w:rPr>
        <w:t xml:space="preserve"> </w:t>
      </w:r>
      <w:r w:rsidRPr="00E82897">
        <w:rPr>
          <w:rFonts w:asciiTheme="minorHAnsi" w:hAnsiTheme="minorHAnsi"/>
          <w:b/>
          <w:i/>
          <w:sz w:val="20"/>
        </w:rPr>
        <w:t>účelný výkon veřejné správy</w:t>
      </w:r>
      <w:r w:rsidRPr="00E82897">
        <w:rPr>
          <w:rFonts w:asciiTheme="minorHAnsi" w:hAnsiTheme="minorHAnsi"/>
          <w:i/>
          <w:sz w:val="20"/>
        </w:rPr>
        <w:t>, c) přijetí opatření k vyloučení nebo zmírnění provozních, finančních, právních a jiných rizik, která se při uskutečňování připravované operace mohou vyskytnout, d) doložení připravované operace věcně správnými a úplnými podklady.“</w:t>
      </w:r>
    </w:p>
  </w:footnote>
  <w:footnote w:id="60">
    <w:p w14:paraId="0BCBED77" w14:textId="0B623A0B" w:rsidR="00511D9B" w:rsidRPr="0001259F" w:rsidRDefault="00511D9B" w:rsidP="000729B5">
      <w:pPr>
        <w:pStyle w:val="Textpoznpodarou"/>
        <w:rPr>
          <w:rFonts w:asciiTheme="minorHAnsi" w:hAnsiTheme="minorHAnsi" w:cstheme="minorHAnsi"/>
        </w:rPr>
      </w:pPr>
      <w:r w:rsidRPr="0001259F">
        <w:rPr>
          <w:rStyle w:val="Znakapoznpodarou"/>
          <w:rFonts w:asciiTheme="minorHAnsi" w:hAnsiTheme="minorHAnsi" w:cstheme="minorHAnsi"/>
        </w:rPr>
        <w:footnoteRef/>
      </w:r>
      <w:r w:rsidRPr="0001259F">
        <w:rPr>
          <w:rFonts w:asciiTheme="minorHAnsi" w:hAnsiTheme="minorHAnsi" w:cstheme="minorHAnsi"/>
        </w:rPr>
        <w:t xml:space="preserve"> Nástroj k řízení rizik je dostupný </w:t>
      </w:r>
      <w:r>
        <w:rPr>
          <w:rFonts w:asciiTheme="minorHAnsi" w:hAnsiTheme="minorHAnsi" w:cstheme="minorHAnsi"/>
        </w:rPr>
        <w:t>na „Portálu strategické práce v ČR“</w:t>
      </w:r>
      <w:r w:rsidRPr="0001259F">
        <w:rPr>
          <w:rFonts w:asciiTheme="minorHAnsi" w:hAnsiTheme="minorHAnsi" w:cstheme="minorHAnsi"/>
        </w:rPr>
        <w:t xml:space="preserve">: </w:t>
      </w:r>
      <w:hyperlink r:id="rId33" w:history="1">
        <w:r w:rsidRPr="002B46BD">
          <w:rPr>
            <w:rStyle w:val="Hypertextovodkaz"/>
            <w:rFonts w:asciiTheme="minorHAnsi" w:hAnsiTheme="minorHAnsi" w:cstheme="minorHAnsi"/>
          </w:rPr>
          <w:t>https://mmr.cz/cs/microsites/portal-strategicke-prace-v-ceske-republice/nastroje-a-metodicka-podpora/nastroje-pro-strategickou-praci/</w:t>
        </w:r>
      </w:hyperlink>
    </w:p>
  </w:footnote>
  <w:footnote w:id="61">
    <w:p w14:paraId="2961AE4C" w14:textId="77777777" w:rsidR="00511D9B" w:rsidRPr="008D5F42" w:rsidRDefault="00511D9B" w:rsidP="000729B5">
      <w:pPr>
        <w:pStyle w:val="Textpoznpodarou"/>
        <w:rPr>
          <w:rFonts w:asciiTheme="minorHAnsi" w:hAnsiTheme="minorHAnsi" w:cstheme="minorHAnsi"/>
        </w:rPr>
      </w:pPr>
      <w:r w:rsidRPr="008D5F42">
        <w:rPr>
          <w:rStyle w:val="Znakapoznpodarou"/>
          <w:rFonts w:asciiTheme="minorHAnsi" w:hAnsiTheme="minorHAnsi" w:cstheme="minorHAnsi"/>
        </w:rPr>
        <w:footnoteRef/>
      </w:r>
      <w:r w:rsidRPr="008D5F42">
        <w:rPr>
          <w:rFonts w:asciiTheme="minorHAnsi" w:hAnsiTheme="minorHAnsi" w:cstheme="minorHAnsi"/>
        </w:rPr>
        <w:t xml:space="preserve"> Dostupná na </w:t>
      </w:r>
      <w:hyperlink r:id="rId34" w:history="1">
        <w:r w:rsidRPr="008D5F42">
          <w:rPr>
            <w:rStyle w:val="Hypertextovodkaz"/>
            <w:rFonts w:asciiTheme="minorHAnsi" w:eastAsia="Calibri" w:hAnsiTheme="minorHAnsi" w:cstheme="minorHAnsi"/>
          </w:rPr>
          <w:t>https://www.usti-nad-labem.cz/files/strategie-tistena-verze.pdf</w:t>
        </w:r>
      </w:hyperlink>
      <w:r w:rsidRPr="008D5F42">
        <w:rPr>
          <w:rFonts w:asciiTheme="minorHAnsi" w:eastAsia="Calibri" w:hAnsiTheme="minorHAnsi" w:cstheme="minorHAnsi"/>
        </w:rPr>
        <w:t>, str. 74- 76</w:t>
      </w:r>
    </w:p>
  </w:footnote>
  <w:footnote w:id="62">
    <w:p w14:paraId="669CB372" w14:textId="5FC00C3A" w:rsidR="00511D9B" w:rsidRPr="0001259F" w:rsidRDefault="00511D9B" w:rsidP="000729B5">
      <w:pPr>
        <w:pStyle w:val="Textpoznpodarou"/>
        <w:rPr>
          <w:rFonts w:asciiTheme="minorHAnsi" w:hAnsiTheme="minorHAnsi" w:cstheme="minorHAnsi"/>
        </w:rPr>
      </w:pPr>
      <w:r w:rsidRPr="0001259F">
        <w:rPr>
          <w:rStyle w:val="Znakapoznpodarou"/>
          <w:rFonts w:asciiTheme="minorHAnsi" w:hAnsiTheme="minorHAnsi" w:cstheme="minorHAnsi"/>
        </w:rPr>
        <w:footnoteRef/>
      </w:r>
      <w:r w:rsidRPr="0001259F">
        <w:rPr>
          <w:rFonts w:asciiTheme="minorHAnsi" w:hAnsiTheme="minorHAnsi" w:cstheme="minorHAnsi"/>
        </w:rPr>
        <w:t xml:space="preserve"> Nástroj k řízení rizik je dostupný </w:t>
      </w:r>
      <w:r>
        <w:rPr>
          <w:rFonts w:asciiTheme="minorHAnsi" w:hAnsiTheme="minorHAnsi" w:cstheme="minorHAnsi"/>
        </w:rPr>
        <w:t>na „Portálu strategické práce v ČR“</w:t>
      </w:r>
      <w:r w:rsidRPr="0001259F">
        <w:rPr>
          <w:rFonts w:asciiTheme="minorHAnsi" w:hAnsiTheme="minorHAnsi" w:cstheme="minorHAnsi"/>
        </w:rPr>
        <w:t xml:space="preserve">: </w:t>
      </w:r>
      <w:hyperlink r:id="rId35" w:history="1">
        <w:r w:rsidRPr="002B46BD">
          <w:rPr>
            <w:rStyle w:val="Hypertextovodkaz"/>
            <w:rFonts w:asciiTheme="minorHAnsi" w:hAnsiTheme="minorHAnsi" w:cstheme="minorHAnsi"/>
          </w:rPr>
          <w:t>https://mmr.cz/cs/microsites/portal-strategicke-prace-v-ceske-republice/nastroje-a-metodicka-podpora/nastroje-pro-strategickou-praci/</w:t>
        </w:r>
      </w:hyperlink>
    </w:p>
  </w:footnote>
  <w:footnote w:id="63">
    <w:p w14:paraId="33CD0417" w14:textId="77777777" w:rsidR="00511D9B" w:rsidRPr="001455AD" w:rsidRDefault="00511D9B" w:rsidP="000729B5">
      <w:pPr>
        <w:spacing w:line="240" w:lineRule="auto"/>
        <w:jc w:val="both"/>
        <w:rPr>
          <w:rFonts w:asciiTheme="minorHAnsi" w:hAnsiTheme="minorHAnsi" w:cstheme="minorHAnsi"/>
          <w:sz w:val="20"/>
          <w:szCs w:val="20"/>
          <w:lang w:eastAsia="x-none"/>
        </w:rPr>
      </w:pPr>
      <w:r w:rsidRPr="001455AD">
        <w:rPr>
          <w:rStyle w:val="Znakapoznpodarou"/>
          <w:rFonts w:asciiTheme="minorHAnsi" w:hAnsiTheme="minorHAnsi" w:cstheme="minorHAnsi"/>
          <w:sz w:val="20"/>
          <w:szCs w:val="20"/>
        </w:rPr>
        <w:footnoteRef/>
      </w:r>
      <w:r w:rsidRPr="001455AD">
        <w:rPr>
          <w:rFonts w:asciiTheme="minorHAnsi" w:hAnsiTheme="minorHAnsi" w:cstheme="minorHAnsi"/>
          <w:sz w:val="20"/>
          <w:szCs w:val="20"/>
        </w:rPr>
        <w:t xml:space="preserve"> Viz odborná kniha</w:t>
      </w:r>
      <w:r>
        <w:rPr>
          <w:rFonts w:asciiTheme="minorHAnsi" w:hAnsiTheme="minorHAnsi" w:cstheme="minorHAnsi"/>
          <w:sz w:val="20"/>
          <w:szCs w:val="20"/>
        </w:rPr>
        <w:t>:</w:t>
      </w:r>
      <w:r w:rsidRPr="001455AD">
        <w:rPr>
          <w:rFonts w:asciiTheme="minorHAnsi" w:hAnsiTheme="minorHAnsi" w:cstheme="minorHAnsi"/>
          <w:sz w:val="20"/>
          <w:szCs w:val="20"/>
        </w:rPr>
        <w:t xml:space="preserve"> </w:t>
      </w:r>
      <w:r w:rsidRPr="001455AD">
        <w:rPr>
          <w:rFonts w:asciiTheme="minorHAnsi" w:hAnsiTheme="minorHAnsi" w:cstheme="minorHAnsi"/>
          <w:sz w:val="20"/>
          <w:szCs w:val="20"/>
          <w:lang w:eastAsia="x-none"/>
        </w:rPr>
        <w:t xml:space="preserve">OCHRANA, F., PŮČEK, M. J., PLAČEK, (2017) </w:t>
      </w:r>
      <w:r w:rsidRPr="001455AD">
        <w:rPr>
          <w:rFonts w:asciiTheme="minorHAnsi" w:hAnsiTheme="minorHAnsi" w:cstheme="minorHAnsi"/>
          <w:i/>
          <w:sz w:val="20"/>
          <w:szCs w:val="20"/>
          <w:lang w:eastAsia="x-none"/>
        </w:rPr>
        <w:t>Detecting and reducing corruption risk and fraud in the public sector</w:t>
      </w:r>
      <w:r w:rsidRPr="001455AD">
        <w:rPr>
          <w:rFonts w:asciiTheme="minorHAnsi" w:hAnsiTheme="minorHAnsi" w:cstheme="minorHAnsi"/>
          <w:sz w:val="20"/>
          <w:szCs w:val="20"/>
          <w:lang w:eastAsia="x-none"/>
        </w:rPr>
        <w:t>. Praha: Nakladatelství Karolinum</w:t>
      </w:r>
    </w:p>
    <w:p w14:paraId="5B22BE52" w14:textId="77777777" w:rsidR="00511D9B" w:rsidRPr="001455AD" w:rsidRDefault="00511D9B" w:rsidP="000729B5">
      <w:pPr>
        <w:spacing w:line="240" w:lineRule="auto"/>
        <w:jc w:val="both"/>
        <w:rPr>
          <w:rFonts w:asciiTheme="minorHAnsi" w:hAnsiTheme="minorHAnsi" w:cstheme="minorHAnsi"/>
          <w:sz w:val="20"/>
          <w:szCs w:val="20"/>
        </w:rPr>
      </w:pPr>
      <w:r w:rsidRPr="001455AD">
        <w:rPr>
          <w:rFonts w:asciiTheme="minorHAnsi" w:hAnsiTheme="minorHAnsi" w:cstheme="minorHAnsi"/>
          <w:sz w:val="20"/>
          <w:szCs w:val="20"/>
          <w:lang w:eastAsia="x-none"/>
        </w:rPr>
        <w:t xml:space="preserve">Nebo viz článek: </w:t>
      </w:r>
      <w:r w:rsidRPr="001455AD">
        <w:rPr>
          <w:rFonts w:asciiTheme="minorHAnsi" w:hAnsiTheme="minorHAnsi" w:cstheme="minorHAnsi"/>
          <w:sz w:val="20"/>
          <w:szCs w:val="20"/>
        </w:rPr>
        <w:t xml:space="preserve">Půček, M. (2014): Vedou vyšší výdaje na úředníka k nižšímu riziku korupce? Analýza českých krajů. </w:t>
      </w:r>
      <w:r w:rsidRPr="001455AD">
        <w:rPr>
          <w:rFonts w:asciiTheme="minorHAnsi" w:hAnsiTheme="minorHAnsi" w:cstheme="minorHAnsi"/>
          <w:i/>
          <w:sz w:val="20"/>
          <w:szCs w:val="20"/>
        </w:rPr>
        <w:t>Ekonomický časopis</w:t>
      </w:r>
      <w:r w:rsidRPr="001455AD">
        <w:rPr>
          <w:rFonts w:asciiTheme="minorHAnsi" w:hAnsiTheme="minorHAnsi" w:cstheme="minorHAnsi"/>
          <w:sz w:val="20"/>
          <w:szCs w:val="20"/>
        </w:rPr>
        <w:t xml:space="preserve">. No 2, 62/2014, pp. 150-166. Dostupný na: </w:t>
      </w:r>
    </w:p>
    <w:p w14:paraId="5EEC4174" w14:textId="77777777" w:rsidR="00511D9B" w:rsidRPr="001455AD" w:rsidRDefault="006B18F0" w:rsidP="000729B5">
      <w:pPr>
        <w:spacing w:line="240" w:lineRule="auto"/>
        <w:jc w:val="both"/>
        <w:rPr>
          <w:rFonts w:asciiTheme="minorHAnsi" w:hAnsiTheme="minorHAnsi" w:cstheme="minorHAnsi"/>
          <w:sz w:val="20"/>
          <w:szCs w:val="20"/>
        </w:rPr>
      </w:pPr>
      <w:hyperlink r:id="rId36" w:history="1">
        <w:r w:rsidR="00511D9B" w:rsidRPr="001455AD">
          <w:rPr>
            <w:rStyle w:val="Hypertextovodkaz"/>
            <w:rFonts w:asciiTheme="minorHAnsi" w:hAnsiTheme="minorHAnsi" w:cstheme="minorHAnsi"/>
            <w:sz w:val="20"/>
            <w:szCs w:val="20"/>
          </w:rPr>
          <w:t>https://www.sav.sk/journals/uploads/0620133702%2014%20Pucek+RS1.PDF</w:t>
        </w:r>
      </w:hyperlink>
    </w:p>
  </w:footnote>
  <w:footnote w:id="64">
    <w:p w14:paraId="2897EE09" w14:textId="77777777" w:rsidR="00511D9B" w:rsidRDefault="00511D9B" w:rsidP="000729B5">
      <w:pPr>
        <w:pStyle w:val="Textpoznpodarou"/>
      </w:pPr>
      <w:r w:rsidRPr="001455AD">
        <w:rPr>
          <w:rStyle w:val="Znakapoznpodarou"/>
          <w:rFonts w:asciiTheme="minorHAnsi" w:hAnsiTheme="minorHAnsi" w:cstheme="minorHAnsi"/>
        </w:rPr>
        <w:footnoteRef/>
      </w:r>
      <w:r w:rsidRPr="001455AD">
        <w:rPr>
          <w:rFonts w:asciiTheme="minorHAnsi" w:hAnsiTheme="minorHAnsi" w:cstheme="minorHAnsi"/>
        </w:rPr>
        <w:t xml:space="preserve"> </w:t>
      </w:r>
      <w:r>
        <w:rPr>
          <w:rFonts w:asciiTheme="minorHAnsi" w:hAnsiTheme="minorHAnsi" w:cstheme="minorHAnsi"/>
        </w:rPr>
        <w:t xml:space="preserve">Anglicky - </w:t>
      </w:r>
      <w:r w:rsidRPr="001455AD">
        <w:rPr>
          <w:rFonts w:asciiTheme="minorHAnsi" w:hAnsiTheme="minorHAnsi" w:cstheme="minorHAnsi"/>
        </w:rPr>
        <w:t xml:space="preserve">Fault Mode and Effect Analysis, v češtině se někdy též používá název </w:t>
      </w:r>
      <w:r>
        <w:rPr>
          <w:rFonts w:asciiTheme="minorHAnsi" w:hAnsiTheme="minorHAnsi" w:cstheme="minorHAnsi"/>
        </w:rPr>
        <w:t>„</w:t>
      </w:r>
      <w:r w:rsidRPr="001455AD">
        <w:rPr>
          <w:rFonts w:asciiTheme="minorHAnsi" w:hAnsiTheme="minorHAnsi" w:cstheme="minorHAnsi"/>
        </w:rPr>
        <w:t>Analýza možnosti vzniku vad a jejich následků</w:t>
      </w:r>
      <w:r>
        <w:rPr>
          <w:rFonts w:asciiTheme="minorHAnsi" w:hAnsiTheme="minorHAnsi" w:cstheme="minorHAnsi"/>
        </w:rPr>
        <w:t>“.</w:t>
      </w:r>
    </w:p>
  </w:footnote>
  <w:footnote w:id="65">
    <w:p w14:paraId="630AFCAC" w14:textId="12C1E0AD" w:rsidR="00511D9B" w:rsidRPr="0001259F" w:rsidRDefault="00511D9B" w:rsidP="00C43AEF">
      <w:pPr>
        <w:pStyle w:val="Textpoznpodarou"/>
        <w:rPr>
          <w:rFonts w:asciiTheme="minorHAnsi" w:hAnsiTheme="minorHAnsi" w:cstheme="minorHAnsi"/>
        </w:rPr>
      </w:pPr>
      <w:r w:rsidRPr="0001259F">
        <w:rPr>
          <w:rStyle w:val="Znakapoznpodarou"/>
          <w:rFonts w:asciiTheme="minorHAnsi" w:hAnsiTheme="minorHAnsi" w:cstheme="minorHAnsi"/>
        </w:rPr>
        <w:footnoteRef/>
      </w:r>
      <w:r w:rsidRPr="0001259F">
        <w:rPr>
          <w:rFonts w:asciiTheme="minorHAnsi" w:hAnsiTheme="minorHAnsi" w:cstheme="minorHAnsi"/>
        </w:rPr>
        <w:t xml:space="preserve"> Nástroj k řízení </w:t>
      </w:r>
      <w:r>
        <w:rPr>
          <w:rFonts w:asciiTheme="minorHAnsi" w:hAnsiTheme="minorHAnsi" w:cstheme="minorHAnsi"/>
        </w:rPr>
        <w:t>příležitostí</w:t>
      </w:r>
      <w:r w:rsidRPr="0001259F">
        <w:rPr>
          <w:rFonts w:asciiTheme="minorHAnsi" w:hAnsiTheme="minorHAnsi" w:cstheme="minorHAnsi"/>
        </w:rPr>
        <w:t xml:space="preserve"> je dostupný </w:t>
      </w:r>
      <w:r>
        <w:rPr>
          <w:rFonts w:asciiTheme="minorHAnsi" w:hAnsiTheme="minorHAnsi" w:cstheme="minorHAnsi"/>
        </w:rPr>
        <w:t>na „Portálu strategické práce v ČR“</w:t>
      </w:r>
      <w:r w:rsidRPr="0001259F">
        <w:rPr>
          <w:rFonts w:asciiTheme="minorHAnsi" w:hAnsiTheme="minorHAnsi" w:cstheme="minorHAnsi"/>
        </w:rPr>
        <w:t xml:space="preserve">: </w:t>
      </w:r>
      <w:hyperlink r:id="rId37" w:history="1">
        <w:r w:rsidRPr="002B46BD">
          <w:rPr>
            <w:rStyle w:val="Hypertextovodkaz"/>
            <w:rFonts w:asciiTheme="minorHAnsi" w:hAnsiTheme="minorHAnsi" w:cstheme="minorHAnsi"/>
          </w:rPr>
          <w:t>https://mmr.cz/cs/microsites/portal-strategicke-prace-v-ceske-republice/nastroje-a-metodicka-podpora/nastroje-pro-strategickou-praci/</w:t>
        </w:r>
      </w:hyperlink>
    </w:p>
  </w:footnote>
  <w:footnote w:id="66">
    <w:p w14:paraId="1442692C" w14:textId="77777777" w:rsidR="00511D9B" w:rsidRPr="00795859" w:rsidRDefault="00511D9B" w:rsidP="009C5354">
      <w:pPr>
        <w:pStyle w:val="Textpoznpodarou"/>
        <w:jc w:val="both"/>
        <w:rPr>
          <w:rFonts w:asciiTheme="minorHAnsi" w:hAnsiTheme="minorHAnsi" w:cstheme="minorHAnsi"/>
          <w:color w:val="0000FF"/>
          <w:u w:val="single"/>
        </w:rPr>
      </w:pPr>
      <w:r w:rsidRPr="004601FF">
        <w:rPr>
          <w:rStyle w:val="Znakapoznpodarou"/>
          <w:rFonts w:asciiTheme="minorHAnsi" w:hAnsiTheme="minorHAnsi" w:cstheme="minorHAnsi"/>
        </w:rPr>
        <w:footnoteRef/>
      </w:r>
      <w:r w:rsidRPr="004601FF">
        <w:rPr>
          <w:rFonts w:asciiTheme="minorHAnsi" w:hAnsiTheme="minorHAnsi" w:cstheme="minorHAnsi"/>
        </w:rPr>
        <w:t xml:space="preserve"> Postup výpočtu pro investice lze najít </w:t>
      </w:r>
      <w:r>
        <w:rPr>
          <w:rFonts w:asciiTheme="minorHAnsi" w:hAnsiTheme="minorHAnsi" w:cstheme="minorHAnsi"/>
        </w:rPr>
        <w:t xml:space="preserve">například na odkazu: </w:t>
      </w:r>
      <w:hyperlink r:id="rId38" w:history="1">
        <w:r w:rsidRPr="00CF0E50">
          <w:rPr>
            <w:rStyle w:val="Hypertextovodkaz"/>
            <w:rFonts w:asciiTheme="minorHAnsi" w:hAnsiTheme="minorHAnsi" w:cstheme="minorHAnsi"/>
          </w:rPr>
          <w:t>https://stavba.tzb-info.cz/2786-vypoctova-pomucka-ekonomicka-efektivnost-investic-ii</w:t>
        </w:r>
      </w:hyperlink>
      <w:r>
        <w:rPr>
          <w:rFonts w:asciiTheme="minorHAnsi" w:hAnsiTheme="minorHAnsi" w:cstheme="minorHAnsi"/>
        </w:rPr>
        <w:t xml:space="preserve"> Respektive kalkulátor pro výpočet na: </w:t>
      </w:r>
      <w:hyperlink r:id="rId39" w:history="1">
        <w:r w:rsidRPr="00A20CE4">
          <w:rPr>
            <w:rStyle w:val="Hypertextovodkaz"/>
            <w:rFonts w:asciiTheme="minorHAnsi" w:hAnsiTheme="minorHAnsi" w:cstheme="minorHAnsi"/>
          </w:rPr>
          <w:t>https://stavba.tzb-info.cz/tabulky-a-vypocty/110-financni-kalkulator-pro-hodnoceni-ekonomicke-efektivnosti-investic</w:t>
        </w:r>
      </w:hyperlink>
    </w:p>
    <w:p w14:paraId="52C96931" w14:textId="77777777" w:rsidR="00511D9B" w:rsidRPr="004601FF" w:rsidRDefault="00511D9B" w:rsidP="009C5354">
      <w:pPr>
        <w:pStyle w:val="Textpoznpodarou"/>
        <w:jc w:val="both"/>
        <w:rPr>
          <w:rFonts w:asciiTheme="minorHAnsi" w:hAnsiTheme="minorHAnsi" w:cstheme="minorHAnsi"/>
        </w:rPr>
      </w:pPr>
    </w:p>
  </w:footnote>
  <w:footnote w:id="67">
    <w:p w14:paraId="0E23D6E7" w14:textId="1BD02A93" w:rsidR="00511D9B" w:rsidRDefault="00511D9B" w:rsidP="00A13F1E">
      <w:pPr>
        <w:pStyle w:val="A1-text"/>
        <w:spacing w:after="120"/>
        <w:rPr>
          <w:rFonts w:asciiTheme="minorHAnsi" w:hAnsiTheme="minorHAnsi" w:cstheme="minorHAnsi"/>
          <w:lang w:val="cs-CZ"/>
        </w:rPr>
      </w:pPr>
      <w:r>
        <w:rPr>
          <w:rStyle w:val="Znakapoznpodarou"/>
        </w:rPr>
        <w:footnoteRef/>
      </w:r>
      <w:r>
        <w:t xml:space="preserve"> </w:t>
      </w:r>
      <w:r w:rsidRPr="00F15A11">
        <w:rPr>
          <w:rFonts w:asciiTheme="minorHAnsi" w:hAnsiTheme="minorHAnsi" w:cstheme="minorHAnsi"/>
          <w:sz w:val="20"/>
          <w:szCs w:val="20"/>
        </w:rPr>
        <w:t xml:space="preserve">Dostupná na odkazu: </w:t>
      </w:r>
      <w:hyperlink r:id="rId40" w:history="1">
        <w:r w:rsidRPr="00F15A11">
          <w:rPr>
            <w:rStyle w:val="Hypertextovodkaz"/>
            <w:rFonts w:asciiTheme="minorHAnsi" w:hAnsiTheme="minorHAnsi" w:cstheme="minorHAnsi"/>
            <w:sz w:val="20"/>
            <w:szCs w:val="20"/>
            <w:lang w:val="cs-CZ"/>
          </w:rPr>
          <w:t>https://www.uspornabudova.cz/cs/fond-uspor-energie-v-litomericich-1</w:t>
        </w:r>
      </w:hyperlink>
    </w:p>
    <w:p w14:paraId="7219E232" w14:textId="0FF80F8C" w:rsidR="00511D9B" w:rsidRDefault="00511D9B">
      <w:pPr>
        <w:pStyle w:val="Textpoznpodarou"/>
      </w:pPr>
    </w:p>
  </w:footnote>
  <w:footnote w:id="68">
    <w:p w14:paraId="3E5CCB2F" w14:textId="714087D1" w:rsidR="00511D9B" w:rsidRPr="00DB59BA" w:rsidRDefault="00511D9B">
      <w:pPr>
        <w:pStyle w:val="Textpoznpodarou"/>
        <w:rPr>
          <w:rFonts w:asciiTheme="minorHAnsi" w:hAnsiTheme="minorHAnsi" w:cstheme="minorHAnsi"/>
        </w:rPr>
      </w:pPr>
      <w:r w:rsidRPr="00DB59BA">
        <w:rPr>
          <w:rStyle w:val="Znakapoznpodarou"/>
          <w:rFonts w:asciiTheme="minorHAnsi" w:hAnsiTheme="minorHAnsi" w:cstheme="minorHAnsi"/>
        </w:rPr>
        <w:footnoteRef/>
      </w:r>
      <w:r w:rsidRPr="00DB59BA">
        <w:rPr>
          <w:rFonts w:asciiTheme="minorHAnsi" w:hAnsiTheme="minorHAnsi" w:cstheme="minorHAnsi"/>
        </w:rPr>
        <w:t xml:space="preserve"> Dostupná na odkazu: </w:t>
      </w:r>
      <w:hyperlink r:id="rId41" w:history="1">
        <w:r w:rsidRPr="00DB59BA">
          <w:rPr>
            <w:rStyle w:val="Hypertextovodkaz"/>
            <w:rFonts w:asciiTheme="minorHAnsi" w:hAnsiTheme="minorHAnsi" w:cstheme="minorHAnsi"/>
          </w:rPr>
          <w:t>https://www.databaze-strategie.cz/</w:t>
        </w:r>
      </w:hyperlink>
    </w:p>
  </w:footnote>
  <w:footnote w:id="69">
    <w:p w14:paraId="4EDE2BF7" w14:textId="63513A59" w:rsidR="00511D9B" w:rsidRPr="00160B9E" w:rsidRDefault="00511D9B">
      <w:pPr>
        <w:pStyle w:val="Textpoznpodarou"/>
        <w:rPr>
          <w:rFonts w:asciiTheme="minorHAnsi" w:hAnsiTheme="minorHAnsi" w:cstheme="minorHAnsi"/>
        </w:rPr>
      </w:pPr>
      <w:r w:rsidRPr="00160B9E">
        <w:rPr>
          <w:rStyle w:val="Znakapoznpodarou"/>
          <w:rFonts w:asciiTheme="minorHAnsi" w:hAnsiTheme="minorHAnsi" w:cstheme="minorHAnsi"/>
        </w:rPr>
        <w:footnoteRef/>
      </w:r>
      <w:r w:rsidRPr="00160B9E">
        <w:rPr>
          <w:rFonts w:asciiTheme="minorHAnsi" w:hAnsiTheme="minorHAnsi" w:cstheme="minorHAnsi"/>
        </w:rPr>
        <w:t xml:space="preserve"> Dostupné na odkazu: </w:t>
      </w:r>
      <w:hyperlink r:id="rId42" w:history="1">
        <w:r w:rsidRPr="00160B9E">
          <w:rPr>
            <w:rStyle w:val="Hypertextovodkaz"/>
            <w:rFonts w:asciiTheme="minorHAnsi" w:hAnsiTheme="minorHAnsi" w:cstheme="minorHAnsi"/>
          </w:rPr>
          <w:t>https://www.databaze-strategie.cz/cz/strategicke-mapy-ministerstva</w:t>
        </w:r>
      </w:hyperlink>
    </w:p>
  </w:footnote>
  <w:footnote w:id="70">
    <w:p w14:paraId="4EBA047F" w14:textId="392E2681" w:rsidR="00511D9B" w:rsidRDefault="00511D9B">
      <w:pPr>
        <w:pStyle w:val="Textpoznpodarou"/>
      </w:pPr>
      <w:r w:rsidRPr="00160B9E">
        <w:rPr>
          <w:rStyle w:val="Znakapoznpodarou"/>
          <w:rFonts w:asciiTheme="minorHAnsi" w:hAnsiTheme="minorHAnsi" w:cstheme="minorHAnsi"/>
        </w:rPr>
        <w:footnoteRef/>
      </w:r>
      <w:r>
        <w:rPr>
          <w:rFonts w:asciiTheme="minorHAnsi" w:hAnsiTheme="minorHAnsi" w:cstheme="minorHAnsi"/>
        </w:rPr>
        <w:t xml:space="preserve"> Dostupné</w:t>
      </w:r>
      <w:r w:rsidRPr="00160B9E">
        <w:rPr>
          <w:rFonts w:asciiTheme="minorHAnsi" w:hAnsiTheme="minorHAnsi" w:cstheme="minorHAnsi"/>
        </w:rPr>
        <w:t xml:space="preserve">: </w:t>
      </w:r>
      <w:hyperlink r:id="rId43" w:history="1">
        <w:r w:rsidRPr="00160B9E">
          <w:rPr>
            <w:rStyle w:val="Hypertextovodkaz"/>
            <w:rFonts w:asciiTheme="minorHAnsi" w:hAnsiTheme="minorHAnsi" w:cstheme="minorHAnsi"/>
          </w:rPr>
          <w:t>https://www.databaze-strategie.cz/cz/md/strategie/dopravni-politika-ceske-republiky-2021-2027</w:t>
        </w:r>
      </w:hyperlink>
      <w:r>
        <w:t xml:space="preserve"> </w:t>
      </w:r>
    </w:p>
  </w:footnote>
  <w:footnote w:id="71">
    <w:p w14:paraId="27B39BC2" w14:textId="2516E5C8" w:rsidR="00511D9B" w:rsidRPr="0067454A" w:rsidRDefault="00511D9B">
      <w:pPr>
        <w:pStyle w:val="Textpoznpodarou"/>
        <w:rPr>
          <w:rFonts w:asciiTheme="minorHAnsi" w:hAnsiTheme="minorHAnsi" w:cstheme="minorHAnsi"/>
        </w:rPr>
      </w:pPr>
      <w:r w:rsidRPr="0067454A">
        <w:rPr>
          <w:rStyle w:val="Znakapoznpodarou"/>
          <w:rFonts w:asciiTheme="minorHAnsi" w:hAnsiTheme="minorHAnsi" w:cstheme="minorHAnsi"/>
        </w:rPr>
        <w:footnoteRef/>
      </w:r>
      <w:r w:rsidRPr="0067454A">
        <w:rPr>
          <w:rFonts w:asciiTheme="minorHAnsi" w:hAnsiTheme="minorHAnsi" w:cstheme="minorHAnsi"/>
        </w:rPr>
        <w:t xml:space="preserve"> Dostupné na odkazu: </w:t>
      </w:r>
      <w:hyperlink r:id="rId44" w:history="1">
        <w:r w:rsidRPr="0067454A">
          <w:rPr>
            <w:rStyle w:val="Hypertextovodkaz"/>
            <w:rFonts w:asciiTheme="minorHAnsi" w:hAnsiTheme="minorHAnsi" w:cstheme="minorHAnsi"/>
          </w:rPr>
          <w:t>https://www.databaze-strategie.cz/cz/emetodika-pripravy-verejnych-strategii</w:t>
        </w:r>
      </w:hyperlink>
    </w:p>
  </w:footnote>
  <w:footnote w:id="72">
    <w:p w14:paraId="29F17AB6" w14:textId="565F1A46" w:rsidR="00511D9B" w:rsidRPr="001340BC" w:rsidRDefault="00511D9B" w:rsidP="002903CF">
      <w:pPr>
        <w:pStyle w:val="Textpoznpodarou"/>
        <w:jc w:val="both"/>
        <w:rPr>
          <w:rFonts w:asciiTheme="minorHAnsi" w:hAnsiTheme="minorHAnsi" w:cstheme="minorHAnsi"/>
        </w:rPr>
      </w:pPr>
      <w:r w:rsidRPr="001340BC">
        <w:rPr>
          <w:rStyle w:val="Znakapoznpodarou"/>
          <w:rFonts w:asciiTheme="minorHAnsi" w:hAnsiTheme="minorHAnsi" w:cstheme="minorHAnsi"/>
        </w:rPr>
        <w:footnoteRef/>
      </w:r>
      <w:r w:rsidRPr="001340BC">
        <w:rPr>
          <w:rFonts w:asciiTheme="minorHAnsi" w:hAnsiTheme="minorHAnsi" w:cstheme="minorHAnsi"/>
        </w:rPr>
        <w:t xml:space="preserve"> Používá se jako nástroj pro hledání příčin problémů, v našem případě je za „problém“ považováno nedodržování termínů při strategické práci. Diagram je též označován jako diagram „rybí kost“. Vychází z principu „co zaseješ, to sklidíš!“. Jeho podstatou je grafická kauzální analýza zkoumaného problému, kdy hledáme jeho východiska (příčiny).</w:t>
      </w:r>
    </w:p>
  </w:footnote>
  <w:footnote w:id="73">
    <w:p w14:paraId="367A6122" w14:textId="592AB769" w:rsidR="00511D9B" w:rsidRDefault="00511D9B" w:rsidP="002D45BA">
      <w:pPr>
        <w:pStyle w:val="Textkomente"/>
        <w:spacing w:after="80"/>
        <w:jc w:val="both"/>
      </w:pPr>
      <w:r>
        <w:rPr>
          <w:rStyle w:val="Znakapoznpodarou"/>
        </w:rPr>
        <w:footnoteRef/>
      </w:r>
      <w:r>
        <w:t xml:space="preserve"> </w:t>
      </w:r>
      <w:r w:rsidRPr="002D45BA">
        <w:rPr>
          <w:rFonts w:asciiTheme="minorHAnsi" w:hAnsiTheme="minorHAnsi" w:cstheme="minorHAnsi"/>
        </w:rPr>
        <w:t xml:space="preserve">Dostupné na: </w:t>
      </w:r>
      <w:hyperlink r:id="rId45" w:history="1">
        <w:r w:rsidRPr="002D45BA">
          <w:rPr>
            <w:rStyle w:val="Hypertextovodkaz"/>
            <w:rFonts w:asciiTheme="minorHAnsi" w:hAnsiTheme="minorHAnsi" w:cstheme="minorHAnsi"/>
          </w:rPr>
          <w:t>https://rtsa.ro/tras/index.php/tras/article/view/161/157</w:t>
        </w:r>
      </w:hyperlink>
      <w:r w:rsidRPr="002D45BA">
        <w:rPr>
          <w:rFonts w:asciiTheme="minorHAnsi" w:hAnsiTheme="minorHAnsi" w:cstheme="minorHAnsi"/>
        </w:rPr>
        <w:t xml:space="preserve"> </w:t>
      </w:r>
    </w:p>
  </w:footnote>
  <w:footnote w:id="74">
    <w:p w14:paraId="77D528B7" w14:textId="7E948585" w:rsidR="00511D9B" w:rsidRDefault="00511D9B" w:rsidP="002D45BA">
      <w:pPr>
        <w:autoSpaceDE w:val="0"/>
        <w:spacing w:line="240" w:lineRule="auto"/>
        <w:jc w:val="both"/>
        <w:rPr>
          <w:rFonts w:asciiTheme="minorHAnsi" w:hAnsiTheme="minorHAnsi" w:cstheme="minorHAnsi"/>
          <w:sz w:val="20"/>
          <w:szCs w:val="20"/>
        </w:rPr>
      </w:pPr>
      <w:r w:rsidRPr="002D45BA">
        <w:rPr>
          <w:rStyle w:val="Znakapoznpodarou"/>
          <w:rFonts w:asciiTheme="minorHAnsi" w:hAnsiTheme="minorHAnsi" w:cstheme="minorHAnsi"/>
          <w:sz w:val="20"/>
          <w:szCs w:val="20"/>
        </w:rPr>
        <w:footnoteRef/>
      </w:r>
      <w:r w:rsidRPr="002D45BA">
        <w:rPr>
          <w:rFonts w:asciiTheme="minorHAnsi" w:hAnsiTheme="minorHAnsi" w:cstheme="minorHAnsi"/>
          <w:sz w:val="20"/>
          <w:szCs w:val="20"/>
        </w:rPr>
        <w:t xml:space="preserve"> Více informací Půček, Koppitz (2012, s. </w:t>
      </w:r>
      <w:r>
        <w:rPr>
          <w:rFonts w:asciiTheme="minorHAnsi" w:hAnsiTheme="minorHAnsi" w:cstheme="minorHAnsi"/>
          <w:sz w:val="20"/>
          <w:szCs w:val="20"/>
        </w:rPr>
        <w:t>10 – 12), dostupné na:</w:t>
      </w:r>
    </w:p>
    <w:p w14:paraId="7365B5BD" w14:textId="4CBCCFDC" w:rsidR="00511D9B" w:rsidRPr="002D45BA" w:rsidRDefault="006B18F0" w:rsidP="002D45BA">
      <w:pPr>
        <w:autoSpaceDE w:val="0"/>
        <w:spacing w:line="240" w:lineRule="auto"/>
        <w:jc w:val="both"/>
        <w:rPr>
          <w:rFonts w:asciiTheme="minorHAnsi" w:hAnsiTheme="minorHAnsi" w:cstheme="minorHAnsi"/>
          <w:sz w:val="20"/>
          <w:szCs w:val="20"/>
          <w:lang w:eastAsia="x-none"/>
        </w:rPr>
      </w:pPr>
      <w:hyperlink r:id="rId46" w:history="1">
        <w:r w:rsidR="00511D9B" w:rsidRPr="002D45BA">
          <w:rPr>
            <w:rStyle w:val="Hypertextovodkaz"/>
            <w:rFonts w:asciiTheme="minorHAnsi" w:hAnsiTheme="minorHAnsi" w:cstheme="minorHAnsi"/>
            <w:sz w:val="20"/>
            <w:szCs w:val="20"/>
            <w:lang w:eastAsia="x-none"/>
          </w:rPr>
          <w:t>https://www.dataplan.info/img_upload/f96fc5d7def29509aeffc6784e61f65b/publikace-nszm-el_2.pdf</w:t>
        </w:r>
      </w:hyperlink>
    </w:p>
    <w:p w14:paraId="013718EA" w14:textId="5AE5A8E4" w:rsidR="00511D9B" w:rsidRPr="002D45BA" w:rsidRDefault="00511D9B">
      <w:pPr>
        <w:pStyle w:val="Textpoznpodarou"/>
        <w:rPr>
          <w:rFonts w:asciiTheme="minorHAnsi" w:hAnsiTheme="minorHAnsi" w:cstheme="minorHAnsi"/>
        </w:rPr>
      </w:pPr>
    </w:p>
  </w:footnote>
  <w:footnote w:id="75">
    <w:p w14:paraId="374D3701" w14:textId="77777777" w:rsidR="00511D9B" w:rsidRPr="000E19E2" w:rsidRDefault="00511D9B" w:rsidP="00666B12">
      <w:pPr>
        <w:spacing w:line="240" w:lineRule="auto"/>
        <w:jc w:val="both"/>
        <w:rPr>
          <w:rFonts w:asciiTheme="minorHAnsi" w:hAnsiTheme="minorHAnsi" w:cstheme="minorHAnsi"/>
          <w:sz w:val="20"/>
          <w:szCs w:val="20"/>
        </w:rPr>
      </w:pPr>
      <w:r w:rsidRPr="00D63DD6">
        <w:rPr>
          <w:rStyle w:val="Znakapoznpodarou"/>
          <w:rFonts w:asciiTheme="minorHAnsi" w:hAnsiTheme="minorHAnsi" w:cstheme="minorHAnsi"/>
          <w:sz w:val="20"/>
        </w:rPr>
        <w:footnoteRef/>
      </w:r>
      <w:r w:rsidRPr="00D63DD6">
        <w:rPr>
          <w:rFonts w:asciiTheme="minorHAnsi" w:hAnsiTheme="minorHAnsi" w:cstheme="minorHAnsi"/>
          <w:sz w:val="20"/>
        </w:rPr>
        <w:t xml:space="preserve"> Samozřejmě je možné uplatňovat komplexnější přístupy –</w:t>
      </w:r>
      <w:r>
        <w:rPr>
          <w:rFonts w:asciiTheme="minorHAnsi" w:hAnsiTheme="minorHAnsi" w:cstheme="minorHAnsi"/>
          <w:sz w:val="20"/>
        </w:rPr>
        <w:t xml:space="preserve"> například křesťanské Desatero, pokud člověk věří v</w:t>
      </w:r>
      <w:r w:rsidRPr="000E19E2">
        <w:rPr>
          <w:rFonts w:asciiTheme="minorHAnsi" w:hAnsiTheme="minorHAnsi" w:cstheme="minorHAnsi"/>
          <w:sz w:val="20"/>
          <w:szCs w:val="20"/>
        </w:rPr>
        <w:t> Boha.</w:t>
      </w:r>
    </w:p>
  </w:footnote>
  <w:footnote w:id="76">
    <w:p w14:paraId="10452A71" w14:textId="32C4A771" w:rsidR="00511D9B" w:rsidRPr="00CE7894" w:rsidRDefault="00511D9B">
      <w:pPr>
        <w:pStyle w:val="Textpoznpodarou"/>
        <w:rPr>
          <w:rFonts w:asciiTheme="minorHAnsi" w:hAnsiTheme="minorHAnsi" w:cstheme="minorHAnsi"/>
        </w:rPr>
      </w:pPr>
      <w:r w:rsidRPr="00CE7894">
        <w:rPr>
          <w:rStyle w:val="Znakapoznpodarou"/>
          <w:rFonts w:asciiTheme="minorHAnsi" w:hAnsiTheme="minorHAnsi" w:cstheme="minorHAnsi"/>
        </w:rPr>
        <w:footnoteRef/>
      </w:r>
      <w:r w:rsidRPr="00CE7894">
        <w:rPr>
          <w:rFonts w:asciiTheme="minorHAnsi" w:hAnsiTheme="minorHAnsi" w:cstheme="minorHAnsi"/>
        </w:rPr>
        <w:t xml:space="preserve"> Text je dostupný </w:t>
      </w:r>
      <w:r>
        <w:rPr>
          <w:rFonts w:asciiTheme="minorHAnsi" w:hAnsiTheme="minorHAnsi" w:cstheme="minorHAnsi"/>
        </w:rPr>
        <w:t>na „Portálu strategické práce v ČR“</w:t>
      </w:r>
      <w:r w:rsidRPr="00CE7894">
        <w:rPr>
          <w:rFonts w:asciiTheme="minorHAnsi" w:hAnsiTheme="minorHAnsi" w:cstheme="minorHAnsi"/>
        </w:rPr>
        <w:t xml:space="preserve"> na odkaze: </w:t>
      </w:r>
      <w:hyperlink r:id="rId47" w:history="1">
        <w:r w:rsidRPr="00CE7894">
          <w:rPr>
            <w:rStyle w:val="Hypertextovodkaz"/>
            <w:rFonts w:asciiTheme="minorHAnsi" w:hAnsiTheme="minorHAnsi" w:cstheme="minorHAnsi"/>
          </w:rPr>
          <w:t>https://mmr.cz/cs/microsites/portal-strategicke-prace-v-ceske-republice/nastroje-a-metodicka-podpora/nastroje-pro-strategickou-praci/</w:t>
        </w:r>
      </w:hyperlink>
    </w:p>
  </w:footnote>
  <w:footnote w:id="77">
    <w:p w14:paraId="21756BB1" w14:textId="7044D2CF" w:rsidR="00511D9B" w:rsidRDefault="00511D9B" w:rsidP="004E3B20">
      <w:pPr>
        <w:spacing w:line="240" w:lineRule="auto"/>
        <w:jc w:val="both"/>
      </w:pPr>
      <w:r w:rsidRPr="00077EE6">
        <w:rPr>
          <w:rStyle w:val="Znakapoznpodarou"/>
          <w:rFonts w:asciiTheme="minorHAnsi" w:hAnsiTheme="minorHAnsi" w:cstheme="minorHAnsi"/>
          <w:sz w:val="20"/>
          <w:szCs w:val="20"/>
        </w:rPr>
        <w:footnoteRef/>
      </w:r>
      <w:r w:rsidRPr="00077EE6">
        <w:rPr>
          <w:rFonts w:asciiTheme="minorHAnsi" w:hAnsiTheme="minorHAnsi" w:cstheme="minorHAnsi"/>
          <w:sz w:val="20"/>
          <w:szCs w:val="20"/>
        </w:rPr>
        <w:t xml:space="preserve"> Odkaz na projekt:</w:t>
      </w:r>
      <w:r>
        <w:rPr>
          <w:rFonts w:asciiTheme="minorHAnsi" w:hAnsiTheme="minorHAnsi" w:cstheme="minorHAnsi"/>
          <w:sz w:val="20"/>
          <w:szCs w:val="20"/>
        </w:rPr>
        <w:t xml:space="preserve"> </w:t>
      </w:r>
      <w:hyperlink r:id="rId48" w:history="1">
        <w:r w:rsidRPr="00D54963">
          <w:rPr>
            <w:rStyle w:val="Hypertextovodkaz"/>
            <w:rFonts w:asciiTheme="minorHAnsi" w:hAnsiTheme="minorHAnsi" w:cstheme="minorHAnsi"/>
            <w:sz w:val="20"/>
            <w:szCs w:val="20"/>
          </w:rPr>
          <w:t>https://mmr.cz/cs/microsites/portal-strategicke-prace-v-ceske-republice/nastroje-a-metodicka-podpora/nastroje-pro-strategickou-praci</w:t>
        </w:r>
      </w:hyperlink>
      <w:r w:rsidRPr="00077EE6">
        <w:rPr>
          <w:rStyle w:val="Hypertextovodkaz"/>
          <w:rFonts w:asciiTheme="minorHAnsi" w:hAnsiTheme="minorHAnsi" w:cstheme="min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87B44" w14:textId="4CFA6F9F" w:rsidR="00511D9B" w:rsidRPr="00C90FBA" w:rsidRDefault="00511D9B" w:rsidP="00712DDB">
    <w:pPr>
      <w:spacing w:line="240" w:lineRule="auto"/>
      <w:jc w:val="right"/>
    </w:pPr>
    <w:r w:rsidRPr="00712DDB">
      <w:rPr>
        <w:rFonts w:asciiTheme="majorHAnsi" w:hAnsiTheme="majorHAnsi" w:cstheme="majorHAnsi"/>
        <w:i/>
        <w:iCs/>
        <w:sz w:val="20"/>
      </w:rPr>
      <w:t xml:space="preserve">Zdravé finanční řízení </w:t>
    </w:r>
    <w:r>
      <w:rPr>
        <w:rFonts w:asciiTheme="majorHAnsi" w:hAnsiTheme="majorHAnsi" w:cstheme="majorHAnsi"/>
        <w:i/>
        <w:iCs/>
        <w:sz w:val="20"/>
      </w:rPr>
      <w:t xml:space="preserve">ve </w:t>
    </w:r>
    <w:r w:rsidRPr="00712DDB">
      <w:rPr>
        <w:rFonts w:asciiTheme="majorHAnsi" w:hAnsiTheme="majorHAnsi" w:cstheme="majorHAnsi"/>
        <w:i/>
        <w:iCs/>
        <w:sz w:val="20"/>
      </w:rPr>
      <w:t>vazbě na strategickou práci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F06EDC4"/>
    <w:lvl w:ilvl="0">
      <w:start w:val="1"/>
      <w:numFmt w:val="decimal"/>
      <w:pStyle w:val="slovanseznam3"/>
      <w:lvlText w:val="%1."/>
      <w:lvlJc w:val="left"/>
      <w:pPr>
        <w:tabs>
          <w:tab w:val="num" w:pos="1209"/>
        </w:tabs>
        <w:ind w:left="1209" w:hanging="360"/>
      </w:pPr>
      <w:rPr>
        <w:rFonts w:cs="Times New Roman"/>
      </w:rPr>
    </w:lvl>
  </w:abstractNum>
  <w:abstractNum w:abstractNumId="1" w15:restartNumberingAfterBreak="0">
    <w:nsid w:val="0000000A"/>
    <w:multiLevelType w:val="singleLevel"/>
    <w:tmpl w:val="0000000A"/>
    <w:name w:val="WW8Num9"/>
    <w:lvl w:ilvl="0">
      <w:numFmt w:val="bullet"/>
      <w:lvlText w:val="-"/>
      <w:lvlJc w:val="left"/>
      <w:pPr>
        <w:tabs>
          <w:tab w:val="num" w:pos="360"/>
        </w:tabs>
        <w:ind w:left="360" w:hanging="360"/>
      </w:pPr>
      <w:rPr>
        <w:rFonts w:ascii="Times New Roman" w:hAnsi="Times New Roman"/>
      </w:rPr>
    </w:lvl>
  </w:abstractNum>
  <w:abstractNum w:abstractNumId="2" w15:restartNumberingAfterBreak="0">
    <w:nsid w:val="04DD378C"/>
    <w:multiLevelType w:val="hybridMultilevel"/>
    <w:tmpl w:val="7FC2B8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703F9E"/>
    <w:multiLevelType w:val="hybridMultilevel"/>
    <w:tmpl w:val="9A30A294"/>
    <w:lvl w:ilvl="0" w:tplc="C86420B4">
      <w:start w:val="1"/>
      <w:numFmt w:val="bullet"/>
      <w:lvlText w:val="-"/>
      <w:lvlJc w:val="left"/>
      <w:pPr>
        <w:ind w:left="644" w:hanging="360"/>
      </w:pPr>
      <w:rPr>
        <w:rFonts w:ascii="Calibri" w:hAnsi="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08891718"/>
    <w:multiLevelType w:val="hybridMultilevel"/>
    <w:tmpl w:val="6EC266D0"/>
    <w:lvl w:ilvl="0" w:tplc="720A46B2">
      <w:numFmt w:val="bullet"/>
      <w:lvlText w:val="-"/>
      <w:lvlJc w:val="left"/>
      <w:pPr>
        <w:ind w:left="1071" w:hanging="360"/>
      </w:pPr>
      <w:rPr>
        <w:rFonts w:ascii="Calibri" w:eastAsia="Times New Roman" w:hAnsi="Calibri" w:cs="Calibri" w:hint="default"/>
      </w:rPr>
    </w:lvl>
    <w:lvl w:ilvl="1" w:tplc="04050003" w:tentative="1">
      <w:start w:val="1"/>
      <w:numFmt w:val="bullet"/>
      <w:lvlText w:val="o"/>
      <w:lvlJc w:val="left"/>
      <w:pPr>
        <w:ind w:left="1791" w:hanging="360"/>
      </w:pPr>
      <w:rPr>
        <w:rFonts w:ascii="Courier New" w:hAnsi="Courier New" w:cs="Courier New" w:hint="default"/>
      </w:rPr>
    </w:lvl>
    <w:lvl w:ilvl="2" w:tplc="04050005" w:tentative="1">
      <w:start w:val="1"/>
      <w:numFmt w:val="bullet"/>
      <w:lvlText w:val=""/>
      <w:lvlJc w:val="left"/>
      <w:pPr>
        <w:ind w:left="2511" w:hanging="360"/>
      </w:pPr>
      <w:rPr>
        <w:rFonts w:ascii="Wingdings" w:hAnsi="Wingdings" w:hint="default"/>
      </w:rPr>
    </w:lvl>
    <w:lvl w:ilvl="3" w:tplc="04050001" w:tentative="1">
      <w:start w:val="1"/>
      <w:numFmt w:val="bullet"/>
      <w:lvlText w:val=""/>
      <w:lvlJc w:val="left"/>
      <w:pPr>
        <w:ind w:left="3231" w:hanging="360"/>
      </w:pPr>
      <w:rPr>
        <w:rFonts w:ascii="Symbol" w:hAnsi="Symbol" w:hint="default"/>
      </w:rPr>
    </w:lvl>
    <w:lvl w:ilvl="4" w:tplc="04050003" w:tentative="1">
      <w:start w:val="1"/>
      <w:numFmt w:val="bullet"/>
      <w:lvlText w:val="o"/>
      <w:lvlJc w:val="left"/>
      <w:pPr>
        <w:ind w:left="3951" w:hanging="360"/>
      </w:pPr>
      <w:rPr>
        <w:rFonts w:ascii="Courier New" w:hAnsi="Courier New" w:cs="Courier New" w:hint="default"/>
      </w:rPr>
    </w:lvl>
    <w:lvl w:ilvl="5" w:tplc="04050005" w:tentative="1">
      <w:start w:val="1"/>
      <w:numFmt w:val="bullet"/>
      <w:lvlText w:val=""/>
      <w:lvlJc w:val="left"/>
      <w:pPr>
        <w:ind w:left="4671" w:hanging="360"/>
      </w:pPr>
      <w:rPr>
        <w:rFonts w:ascii="Wingdings" w:hAnsi="Wingdings" w:hint="default"/>
      </w:rPr>
    </w:lvl>
    <w:lvl w:ilvl="6" w:tplc="04050001" w:tentative="1">
      <w:start w:val="1"/>
      <w:numFmt w:val="bullet"/>
      <w:lvlText w:val=""/>
      <w:lvlJc w:val="left"/>
      <w:pPr>
        <w:ind w:left="5391" w:hanging="360"/>
      </w:pPr>
      <w:rPr>
        <w:rFonts w:ascii="Symbol" w:hAnsi="Symbol" w:hint="default"/>
      </w:rPr>
    </w:lvl>
    <w:lvl w:ilvl="7" w:tplc="04050003" w:tentative="1">
      <w:start w:val="1"/>
      <w:numFmt w:val="bullet"/>
      <w:lvlText w:val="o"/>
      <w:lvlJc w:val="left"/>
      <w:pPr>
        <w:ind w:left="6111" w:hanging="360"/>
      </w:pPr>
      <w:rPr>
        <w:rFonts w:ascii="Courier New" w:hAnsi="Courier New" w:cs="Courier New" w:hint="default"/>
      </w:rPr>
    </w:lvl>
    <w:lvl w:ilvl="8" w:tplc="04050005" w:tentative="1">
      <w:start w:val="1"/>
      <w:numFmt w:val="bullet"/>
      <w:lvlText w:val=""/>
      <w:lvlJc w:val="left"/>
      <w:pPr>
        <w:ind w:left="6831" w:hanging="360"/>
      </w:pPr>
      <w:rPr>
        <w:rFonts w:ascii="Wingdings" w:hAnsi="Wingdings" w:hint="default"/>
      </w:rPr>
    </w:lvl>
  </w:abstractNum>
  <w:abstractNum w:abstractNumId="5" w15:restartNumberingAfterBreak="0">
    <w:nsid w:val="09EA1826"/>
    <w:multiLevelType w:val="hybridMultilevel"/>
    <w:tmpl w:val="5E02E6B0"/>
    <w:lvl w:ilvl="0" w:tplc="6F5A6E56">
      <w:start w:val="1"/>
      <w:numFmt w:val="lowerLetter"/>
      <w:lvlText w:val="%1)"/>
      <w:lvlJc w:val="left"/>
      <w:pPr>
        <w:tabs>
          <w:tab w:val="num" w:pos="720"/>
        </w:tabs>
        <w:ind w:left="720" w:hanging="360"/>
      </w:pPr>
    </w:lvl>
    <w:lvl w:ilvl="1" w:tplc="427CE54A" w:tentative="1">
      <w:start w:val="1"/>
      <w:numFmt w:val="lowerLetter"/>
      <w:lvlText w:val="%2)"/>
      <w:lvlJc w:val="left"/>
      <w:pPr>
        <w:tabs>
          <w:tab w:val="num" w:pos="1440"/>
        </w:tabs>
        <w:ind w:left="1440" w:hanging="360"/>
      </w:pPr>
    </w:lvl>
    <w:lvl w:ilvl="2" w:tplc="FC84EB9C" w:tentative="1">
      <w:start w:val="1"/>
      <w:numFmt w:val="lowerLetter"/>
      <w:lvlText w:val="%3)"/>
      <w:lvlJc w:val="left"/>
      <w:pPr>
        <w:tabs>
          <w:tab w:val="num" w:pos="2160"/>
        </w:tabs>
        <w:ind w:left="2160" w:hanging="360"/>
      </w:pPr>
    </w:lvl>
    <w:lvl w:ilvl="3" w:tplc="4818574E" w:tentative="1">
      <w:start w:val="1"/>
      <w:numFmt w:val="lowerLetter"/>
      <w:lvlText w:val="%4)"/>
      <w:lvlJc w:val="left"/>
      <w:pPr>
        <w:tabs>
          <w:tab w:val="num" w:pos="2880"/>
        </w:tabs>
        <w:ind w:left="2880" w:hanging="360"/>
      </w:pPr>
    </w:lvl>
    <w:lvl w:ilvl="4" w:tplc="D81EA954" w:tentative="1">
      <w:start w:val="1"/>
      <w:numFmt w:val="lowerLetter"/>
      <w:lvlText w:val="%5)"/>
      <w:lvlJc w:val="left"/>
      <w:pPr>
        <w:tabs>
          <w:tab w:val="num" w:pos="3600"/>
        </w:tabs>
        <w:ind w:left="3600" w:hanging="360"/>
      </w:pPr>
    </w:lvl>
    <w:lvl w:ilvl="5" w:tplc="A672F910" w:tentative="1">
      <w:start w:val="1"/>
      <w:numFmt w:val="lowerLetter"/>
      <w:lvlText w:val="%6)"/>
      <w:lvlJc w:val="left"/>
      <w:pPr>
        <w:tabs>
          <w:tab w:val="num" w:pos="4320"/>
        </w:tabs>
        <w:ind w:left="4320" w:hanging="360"/>
      </w:pPr>
    </w:lvl>
    <w:lvl w:ilvl="6" w:tplc="6B6686C8" w:tentative="1">
      <w:start w:val="1"/>
      <w:numFmt w:val="lowerLetter"/>
      <w:lvlText w:val="%7)"/>
      <w:lvlJc w:val="left"/>
      <w:pPr>
        <w:tabs>
          <w:tab w:val="num" w:pos="5040"/>
        </w:tabs>
        <w:ind w:left="5040" w:hanging="360"/>
      </w:pPr>
    </w:lvl>
    <w:lvl w:ilvl="7" w:tplc="3A763696" w:tentative="1">
      <w:start w:val="1"/>
      <w:numFmt w:val="lowerLetter"/>
      <w:lvlText w:val="%8)"/>
      <w:lvlJc w:val="left"/>
      <w:pPr>
        <w:tabs>
          <w:tab w:val="num" w:pos="5760"/>
        </w:tabs>
        <w:ind w:left="5760" w:hanging="360"/>
      </w:pPr>
    </w:lvl>
    <w:lvl w:ilvl="8" w:tplc="85BE40BE" w:tentative="1">
      <w:start w:val="1"/>
      <w:numFmt w:val="lowerLetter"/>
      <w:lvlText w:val="%9)"/>
      <w:lvlJc w:val="left"/>
      <w:pPr>
        <w:tabs>
          <w:tab w:val="num" w:pos="6480"/>
        </w:tabs>
        <w:ind w:left="6480" w:hanging="360"/>
      </w:pPr>
    </w:lvl>
  </w:abstractNum>
  <w:abstractNum w:abstractNumId="6" w15:restartNumberingAfterBreak="0">
    <w:nsid w:val="0BFA2AF3"/>
    <w:multiLevelType w:val="hybridMultilevel"/>
    <w:tmpl w:val="E1DE8DC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E143ED0"/>
    <w:multiLevelType w:val="hybridMultilevel"/>
    <w:tmpl w:val="E7DA566C"/>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05F4F09"/>
    <w:multiLevelType w:val="hybridMultilevel"/>
    <w:tmpl w:val="850CB996"/>
    <w:lvl w:ilvl="0" w:tplc="491071BE">
      <w:numFmt w:val="bullet"/>
      <w:lvlText w:val="-"/>
      <w:lvlJc w:val="left"/>
      <w:pPr>
        <w:ind w:left="663" w:hanging="360"/>
      </w:pPr>
      <w:rPr>
        <w:rFonts w:ascii="Calibri" w:eastAsia="Times New Roman" w:hAnsi="Calibri" w:cs="Calibri" w:hint="default"/>
      </w:rPr>
    </w:lvl>
    <w:lvl w:ilvl="1" w:tplc="04050003" w:tentative="1">
      <w:start w:val="1"/>
      <w:numFmt w:val="bullet"/>
      <w:lvlText w:val="o"/>
      <w:lvlJc w:val="left"/>
      <w:pPr>
        <w:ind w:left="1383" w:hanging="360"/>
      </w:pPr>
      <w:rPr>
        <w:rFonts w:ascii="Courier New" w:hAnsi="Courier New" w:cs="Courier New" w:hint="default"/>
      </w:rPr>
    </w:lvl>
    <w:lvl w:ilvl="2" w:tplc="04050005" w:tentative="1">
      <w:start w:val="1"/>
      <w:numFmt w:val="bullet"/>
      <w:lvlText w:val=""/>
      <w:lvlJc w:val="left"/>
      <w:pPr>
        <w:ind w:left="2103" w:hanging="360"/>
      </w:pPr>
      <w:rPr>
        <w:rFonts w:ascii="Wingdings" w:hAnsi="Wingdings" w:hint="default"/>
      </w:rPr>
    </w:lvl>
    <w:lvl w:ilvl="3" w:tplc="04050001" w:tentative="1">
      <w:start w:val="1"/>
      <w:numFmt w:val="bullet"/>
      <w:lvlText w:val=""/>
      <w:lvlJc w:val="left"/>
      <w:pPr>
        <w:ind w:left="2823" w:hanging="360"/>
      </w:pPr>
      <w:rPr>
        <w:rFonts w:ascii="Symbol" w:hAnsi="Symbol" w:hint="default"/>
      </w:rPr>
    </w:lvl>
    <w:lvl w:ilvl="4" w:tplc="04050003" w:tentative="1">
      <w:start w:val="1"/>
      <w:numFmt w:val="bullet"/>
      <w:lvlText w:val="o"/>
      <w:lvlJc w:val="left"/>
      <w:pPr>
        <w:ind w:left="3543" w:hanging="360"/>
      </w:pPr>
      <w:rPr>
        <w:rFonts w:ascii="Courier New" w:hAnsi="Courier New" w:cs="Courier New" w:hint="default"/>
      </w:rPr>
    </w:lvl>
    <w:lvl w:ilvl="5" w:tplc="04050005" w:tentative="1">
      <w:start w:val="1"/>
      <w:numFmt w:val="bullet"/>
      <w:lvlText w:val=""/>
      <w:lvlJc w:val="left"/>
      <w:pPr>
        <w:ind w:left="4263" w:hanging="360"/>
      </w:pPr>
      <w:rPr>
        <w:rFonts w:ascii="Wingdings" w:hAnsi="Wingdings" w:hint="default"/>
      </w:rPr>
    </w:lvl>
    <w:lvl w:ilvl="6" w:tplc="04050001" w:tentative="1">
      <w:start w:val="1"/>
      <w:numFmt w:val="bullet"/>
      <w:lvlText w:val=""/>
      <w:lvlJc w:val="left"/>
      <w:pPr>
        <w:ind w:left="4983" w:hanging="360"/>
      </w:pPr>
      <w:rPr>
        <w:rFonts w:ascii="Symbol" w:hAnsi="Symbol" w:hint="default"/>
      </w:rPr>
    </w:lvl>
    <w:lvl w:ilvl="7" w:tplc="04050003" w:tentative="1">
      <w:start w:val="1"/>
      <w:numFmt w:val="bullet"/>
      <w:lvlText w:val="o"/>
      <w:lvlJc w:val="left"/>
      <w:pPr>
        <w:ind w:left="5703" w:hanging="360"/>
      </w:pPr>
      <w:rPr>
        <w:rFonts w:ascii="Courier New" w:hAnsi="Courier New" w:cs="Courier New" w:hint="default"/>
      </w:rPr>
    </w:lvl>
    <w:lvl w:ilvl="8" w:tplc="04050005" w:tentative="1">
      <w:start w:val="1"/>
      <w:numFmt w:val="bullet"/>
      <w:lvlText w:val=""/>
      <w:lvlJc w:val="left"/>
      <w:pPr>
        <w:ind w:left="6423" w:hanging="360"/>
      </w:pPr>
      <w:rPr>
        <w:rFonts w:ascii="Wingdings" w:hAnsi="Wingdings" w:hint="default"/>
      </w:rPr>
    </w:lvl>
  </w:abstractNum>
  <w:abstractNum w:abstractNumId="9" w15:restartNumberingAfterBreak="0">
    <w:nsid w:val="17430778"/>
    <w:multiLevelType w:val="hybridMultilevel"/>
    <w:tmpl w:val="4D3A242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7526A35"/>
    <w:multiLevelType w:val="hybridMultilevel"/>
    <w:tmpl w:val="76924C70"/>
    <w:lvl w:ilvl="0" w:tplc="04050005">
      <w:start w:val="1"/>
      <w:numFmt w:val="bullet"/>
      <w:lvlText w:val=""/>
      <w:lvlJc w:val="left"/>
      <w:pPr>
        <w:ind w:left="663" w:hanging="360"/>
      </w:pPr>
      <w:rPr>
        <w:rFonts w:ascii="Wingdings" w:hAnsi="Wingdings" w:hint="default"/>
      </w:rPr>
    </w:lvl>
    <w:lvl w:ilvl="1" w:tplc="C86420B4">
      <w:start w:val="1"/>
      <w:numFmt w:val="bullet"/>
      <w:lvlText w:val="-"/>
      <w:lvlJc w:val="left"/>
      <w:pPr>
        <w:ind w:left="1383" w:hanging="360"/>
      </w:pPr>
      <w:rPr>
        <w:rFonts w:ascii="Calibri" w:hAnsi="Calibri" w:hint="default"/>
      </w:rPr>
    </w:lvl>
    <w:lvl w:ilvl="2" w:tplc="04050005" w:tentative="1">
      <w:start w:val="1"/>
      <w:numFmt w:val="bullet"/>
      <w:lvlText w:val=""/>
      <w:lvlJc w:val="left"/>
      <w:pPr>
        <w:ind w:left="2103" w:hanging="360"/>
      </w:pPr>
      <w:rPr>
        <w:rFonts w:ascii="Wingdings" w:hAnsi="Wingdings" w:hint="default"/>
      </w:rPr>
    </w:lvl>
    <w:lvl w:ilvl="3" w:tplc="04050001" w:tentative="1">
      <w:start w:val="1"/>
      <w:numFmt w:val="bullet"/>
      <w:lvlText w:val=""/>
      <w:lvlJc w:val="left"/>
      <w:pPr>
        <w:ind w:left="2823" w:hanging="360"/>
      </w:pPr>
      <w:rPr>
        <w:rFonts w:ascii="Symbol" w:hAnsi="Symbol" w:hint="default"/>
      </w:rPr>
    </w:lvl>
    <w:lvl w:ilvl="4" w:tplc="04050003" w:tentative="1">
      <w:start w:val="1"/>
      <w:numFmt w:val="bullet"/>
      <w:lvlText w:val="o"/>
      <w:lvlJc w:val="left"/>
      <w:pPr>
        <w:ind w:left="3543" w:hanging="360"/>
      </w:pPr>
      <w:rPr>
        <w:rFonts w:ascii="Courier New" w:hAnsi="Courier New" w:cs="Courier New" w:hint="default"/>
      </w:rPr>
    </w:lvl>
    <w:lvl w:ilvl="5" w:tplc="04050005" w:tentative="1">
      <w:start w:val="1"/>
      <w:numFmt w:val="bullet"/>
      <w:lvlText w:val=""/>
      <w:lvlJc w:val="left"/>
      <w:pPr>
        <w:ind w:left="4263" w:hanging="360"/>
      </w:pPr>
      <w:rPr>
        <w:rFonts w:ascii="Wingdings" w:hAnsi="Wingdings" w:hint="default"/>
      </w:rPr>
    </w:lvl>
    <w:lvl w:ilvl="6" w:tplc="04050001" w:tentative="1">
      <w:start w:val="1"/>
      <w:numFmt w:val="bullet"/>
      <w:lvlText w:val=""/>
      <w:lvlJc w:val="left"/>
      <w:pPr>
        <w:ind w:left="4983" w:hanging="360"/>
      </w:pPr>
      <w:rPr>
        <w:rFonts w:ascii="Symbol" w:hAnsi="Symbol" w:hint="default"/>
      </w:rPr>
    </w:lvl>
    <w:lvl w:ilvl="7" w:tplc="04050003" w:tentative="1">
      <w:start w:val="1"/>
      <w:numFmt w:val="bullet"/>
      <w:lvlText w:val="o"/>
      <w:lvlJc w:val="left"/>
      <w:pPr>
        <w:ind w:left="5703" w:hanging="360"/>
      </w:pPr>
      <w:rPr>
        <w:rFonts w:ascii="Courier New" w:hAnsi="Courier New" w:cs="Courier New" w:hint="default"/>
      </w:rPr>
    </w:lvl>
    <w:lvl w:ilvl="8" w:tplc="04050005" w:tentative="1">
      <w:start w:val="1"/>
      <w:numFmt w:val="bullet"/>
      <w:lvlText w:val=""/>
      <w:lvlJc w:val="left"/>
      <w:pPr>
        <w:ind w:left="6423" w:hanging="360"/>
      </w:pPr>
      <w:rPr>
        <w:rFonts w:ascii="Wingdings" w:hAnsi="Wingdings" w:hint="default"/>
      </w:rPr>
    </w:lvl>
  </w:abstractNum>
  <w:abstractNum w:abstractNumId="11" w15:restartNumberingAfterBreak="0">
    <w:nsid w:val="19D12A74"/>
    <w:multiLevelType w:val="hybridMultilevel"/>
    <w:tmpl w:val="A0DA4C3A"/>
    <w:lvl w:ilvl="0" w:tplc="CD9A1C9A">
      <w:start w:val="1"/>
      <w:numFmt w:val="decimal"/>
      <w:lvlText w:val="(%1)"/>
      <w:lvlJc w:val="left"/>
      <w:pPr>
        <w:ind w:left="720" w:hanging="360"/>
      </w:pPr>
      <w:rPr>
        <w:rFonts w:asciiTheme="minorHAnsi" w:eastAsia="Times New Roman" w:hAnsiTheme="minorHAnsi"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816BBB"/>
    <w:multiLevelType w:val="hybridMultilevel"/>
    <w:tmpl w:val="36224280"/>
    <w:lvl w:ilvl="0" w:tplc="0FF0C296">
      <w:start w:val="1"/>
      <w:numFmt w:val="decimal"/>
      <w:lvlText w:val="(%1)"/>
      <w:lvlJc w:val="left"/>
      <w:pPr>
        <w:ind w:left="720" w:hanging="360"/>
      </w:pPr>
      <w:rPr>
        <w:rFonts w:hint="default"/>
      </w:rPr>
    </w:lvl>
    <w:lvl w:ilvl="1" w:tplc="04050005">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904D72"/>
    <w:multiLevelType w:val="hybridMultilevel"/>
    <w:tmpl w:val="BAA4D266"/>
    <w:lvl w:ilvl="0" w:tplc="40BE39AC">
      <w:start w:val="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1B0133CA"/>
    <w:multiLevelType w:val="hybridMultilevel"/>
    <w:tmpl w:val="F6107600"/>
    <w:lvl w:ilvl="0" w:tplc="4A58696C">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1C36759B"/>
    <w:multiLevelType w:val="hybridMultilevel"/>
    <w:tmpl w:val="E0024B9C"/>
    <w:lvl w:ilvl="0" w:tplc="04050005">
      <w:start w:val="1"/>
      <w:numFmt w:val="bullet"/>
      <w:lvlText w:val=""/>
      <w:lvlJc w:val="left"/>
      <w:pPr>
        <w:ind w:left="720" w:hanging="360"/>
      </w:pPr>
      <w:rPr>
        <w:rFonts w:ascii="Wingdings" w:hAnsi="Wingdings" w:hint="default"/>
      </w:rPr>
    </w:lvl>
    <w:lvl w:ilvl="1" w:tplc="C86420B4">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F606C69"/>
    <w:multiLevelType w:val="hybridMultilevel"/>
    <w:tmpl w:val="9A7612C2"/>
    <w:lvl w:ilvl="0" w:tplc="04050011">
      <w:start w:val="1"/>
      <w:numFmt w:val="decimal"/>
      <w:lvlText w:val="%1)"/>
      <w:lvlJc w:val="left"/>
      <w:pPr>
        <w:ind w:left="720" w:hanging="360"/>
      </w:pPr>
    </w:lvl>
    <w:lvl w:ilvl="1" w:tplc="04050005">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FD616F6"/>
    <w:multiLevelType w:val="hybridMultilevel"/>
    <w:tmpl w:val="8E26EA9C"/>
    <w:lvl w:ilvl="0" w:tplc="6B225692">
      <w:start w:val="1"/>
      <w:numFmt w:val="decimal"/>
      <w:lvlText w:val="(%1)"/>
      <w:lvlJc w:val="left"/>
      <w:pPr>
        <w:ind w:left="303" w:hanging="360"/>
      </w:pPr>
      <w:rPr>
        <w:rFonts w:hint="default"/>
      </w:rPr>
    </w:lvl>
    <w:lvl w:ilvl="1" w:tplc="04050019">
      <w:start w:val="1"/>
      <w:numFmt w:val="lowerLetter"/>
      <w:lvlText w:val="%2."/>
      <w:lvlJc w:val="left"/>
      <w:pPr>
        <w:ind w:left="1023" w:hanging="360"/>
      </w:pPr>
    </w:lvl>
    <w:lvl w:ilvl="2" w:tplc="0405001B" w:tentative="1">
      <w:start w:val="1"/>
      <w:numFmt w:val="lowerRoman"/>
      <w:lvlText w:val="%3."/>
      <w:lvlJc w:val="right"/>
      <w:pPr>
        <w:ind w:left="1743" w:hanging="180"/>
      </w:pPr>
    </w:lvl>
    <w:lvl w:ilvl="3" w:tplc="0405000F" w:tentative="1">
      <w:start w:val="1"/>
      <w:numFmt w:val="decimal"/>
      <w:lvlText w:val="%4."/>
      <w:lvlJc w:val="left"/>
      <w:pPr>
        <w:ind w:left="2463" w:hanging="360"/>
      </w:pPr>
    </w:lvl>
    <w:lvl w:ilvl="4" w:tplc="04050019" w:tentative="1">
      <w:start w:val="1"/>
      <w:numFmt w:val="lowerLetter"/>
      <w:lvlText w:val="%5."/>
      <w:lvlJc w:val="left"/>
      <w:pPr>
        <w:ind w:left="3183" w:hanging="360"/>
      </w:pPr>
    </w:lvl>
    <w:lvl w:ilvl="5" w:tplc="0405001B" w:tentative="1">
      <w:start w:val="1"/>
      <w:numFmt w:val="lowerRoman"/>
      <w:lvlText w:val="%6."/>
      <w:lvlJc w:val="right"/>
      <w:pPr>
        <w:ind w:left="3903" w:hanging="180"/>
      </w:pPr>
    </w:lvl>
    <w:lvl w:ilvl="6" w:tplc="0405000F" w:tentative="1">
      <w:start w:val="1"/>
      <w:numFmt w:val="decimal"/>
      <w:lvlText w:val="%7."/>
      <w:lvlJc w:val="left"/>
      <w:pPr>
        <w:ind w:left="4623" w:hanging="360"/>
      </w:pPr>
    </w:lvl>
    <w:lvl w:ilvl="7" w:tplc="04050019" w:tentative="1">
      <w:start w:val="1"/>
      <w:numFmt w:val="lowerLetter"/>
      <w:lvlText w:val="%8."/>
      <w:lvlJc w:val="left"/>
      <w:pPr>
        <w:ind w:left="5343" w:hanging="360"/>
      </w:pPr>
    </w:lvl>
    <w:lvl w:ilvl="8" w:tplc="0405001B" w:tentative="1">
      <w:start w:val="1"/>
      <w:numFmt w:val="lowerRoman"/>
      <w:lvlText w:val="%9."/>
      <w:lvlJc w:val="right"/>
      <w:pPr>
        <w:ind w:left="6063" w:hanging="180"/>
      </w:pPr>
    </w:lvl>
  </w:abstractNum>
  <w:abstractNum w:abstractNumId="18" w15:restartNumberingAfterBreak="0">
    <w:nsid w:val="20CA211C"/>
    <w:multiLevelType w:val="hybridMultilevel"/>
    <w:tmpl w:val="E44E498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9" w15:restartNumberingAfterBreak="0">
    <w:nsid w:val="242D152A"/>
    <w:multiLevelType w:val="hybridMultilevel"/>
    <w:tmpl w:val="5686AE36"/>
    <w:lvl w:ilvl="0" w:tplc="4A58696C">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55574F8"/>
    <w:multiLevelType w:val="hybridMultilevel"/>
    <w:tmpl w:val="1BAC0F90"/>
    <w:lvl w:ilvl="0" w:tplc="63AC52DC">
      <w:start w:val="2"/>
      <w:numFmt w:val="bullet"/>
      <w:lvlText w:val="-"/>
      <w:lvlJc w:val="left"/>
      <w:pPr>
        <w:ind w:left="360" w:hanging="360"/>
      </w:pPr>
      <w:rPr>
        <w:rFonts w:ascii="Times New Roman" w:eastAsia="Times New Roman" w:hAnsi="Times New Roman"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273B4EC1"/>
    <w:multiLevelType w:val="multilevel"/>
    <w:tmpl w:val="2824386C"/>
    <w:lvl w:ilvl="0">
      <w:start w:val="1"/>
      <w:numFmt w:val="decimal"/>
      <w:pStyle w:val="Nadpis1"/>
      <w:lvlText w:val="%1"/>
      <w:lvlJc w:val="left"/>
      <w:pPr>
        <w:ind w:left="432" w:hanging="432"/>
      </w:pPr>
      <w:rPr>
        <w:rFonts w:asciiTheme="minorHAnsi" w:hAnsiTheme="minorHAnsi" w:cstheme="minorHAnsi" w:hint="default"/>
      </w:rPr>
    </w:lvl>
    <w:lvl w:ilvl="1">
      <w:start w:val="1"/>
      <w:numFmt w:val="decimal"/>
      <w:pStyle w:val="Nadpis2"/>
      <w:lvlText w:val="%1.%2"/>
      <w:lvlJc w:val="left"/>
      <w:pPr>
        <w:ind w:left="860" w:hanging="576"/>
      </w:pPr>
    </w:lvl>
    <w:lvl w:ilvl="2">
      <w:start w:val="1"/>
      <w:numFmt w:val="decimal"/>
      <w:pStyle w:val="Nadpis3"/>
      <w:lvlText w:val="%1.%2.%3"/>
      <w:lvlJc w:val="left"/>
      <w:pPr>
        <w:ind w:left="3981" w:hanging="720"/>
      </w:pPr>
    </w:lvl>
    <w:lvl w:ilvl="3">
      <w:start w:val="1"/>
      <w:numFmt w:val="decimal"/>
      <w:pStyle w:val="Nadpis4"/>
      <w:lvlText w:val="%1.%2.%3.%4"/>
      <w:lvlJc w:val="left"/>
      <w:pPr>
        <w:ind w:left="1857"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2287"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2" w15:restartNumberingAfterBreak="0">
    <w:nsid w:val="299E437A"/>
    <w:multiLevelType w:val="hybridMultilevel"/>
    <w:tmpl w:val="BE7C52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B3954E1"/>
    <w:multiLevelType w:val="hybridMultilevel"/>
    <w:tmpl w:val="0C86C6F2"/>
    <w:lvl w:ilvl="0" w:tplc="0405000F">
      <w:start w:val="1"/>
      <w:numFmt w:val="decimal"/>
      <w:lvlText w:val="%1."/>
      <w:lvlJc w:val="left"/>
      <w:pPr>
        <w:ind w:left="53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B4B2A2F"/>
    <w:multiLevelType w:val="hybridMultilevel"/>
    <w:tmpl w:val="D6F28B42"/>
    <w:lvl w:ilvl="0" w:tplc="1FB02ED0">
      <w:start w:val="1"/>
      <w:numFmt w:val="decimal"/>
      <w:lvlText w:val="%1."/>
      <w:lvlJc w:val="left"/>
      <w:pPr>
        <w:tabs>
          <w:tab w:val="num" w:pos="360"/>
        </w:tabs>
        <w:ind w:left="360" w:hanging="360"/>
      </w:pPr>
    </w:lvl>
    <w:lvl w:ilvl="1" w:tplc="04050005">
      <w:start w:val="1"/>
      <w:numFmt w:val="bullet"/>
      <w:lvlText w:val=""/>
      <w:lvlJc w:val="left"/>
      <w:pPr>
        <w:tabs>
          <w:tab w:val="num" w:pos="1080"/>
        </w:tabs>
        <w:ind w:left="1080" w:hanging="360"/>
      </w:pPr>
      <w:rPr>
        <w:rFonts w:ascii="Wingdings" w:hAnsi="Wingdings" w:hint="default"/>
      </w:rPr>
    </w:lvl>
    <w:lvl w:ilvl="2" w:tplc="CC28C65C">
      <w:start w:val="125"/>
      <w:numFmt w:val="bullet"/>
      <w:lvlText w:val=""/>
      <w:lvlJc w:val="left"/>
      <w:pPr>
        <w:tabs>
          <w:tab w:val="num" w:pos="1800"/>
        </w:tabs>
        <w:ind w:left="1800" w:hanging="360"/>
      </w:pPr>
      <w:rPr>
        <w:rFonts w:ascii="Wingdings" w:hAnsi="Wingdings" w:hint="default"/>
      </w:rPr>
    </w:lvl>
    <w:lvl w:ilvl="3" w:tplc="44783CA6" w:tentative="1">
      <w:start w:val="1"/>
      <w:numFmt w:val="decimal"/>
      <w:lvlText w:val="%4."/>
      <w:lvlJc w:val="left"/>
      <w:pPr>
        <w:tabs>
          <w:tab w:val="num" w:pos="2520"/>
        </w:tabs>
        <w:ind w:left="2520" w:hanging="360"/>
      </w:pPr>
    </w:lvl>
    <w:lvl w:ilvl="4" w:tplc="3CEC8618" w:tentative="1">
      <w:start w:val="1"/>
      <w:numFmt w:val="decimal"/>
      <w:lvlText w:val="%5."/>
      <w:lvlJc w:val="left"/>
      <w:pPr>
        <w:tabs>
          <w:tab w:val="num" w:pos="3240"/>
        </w:tabs>
        <w:ind w:left="3240" w:hanging="360"/>
      </w:pPr>
    </w:lvl>
    <w:lvl w:ilvl="5" w:tplc="DC5C4C88" w:tentative="1">
      <w:start w:val="1"/>
      <w:numFmt w:val="decimal"/>
      <w:lvlText w:val="%6."/>
      <w:lvlJc w:val="left"/>
      <w:pPr>
        <w:tabs>
          <w:tab w:val="num" w:pos="3960"/>
        </w:tabs>
        <w:ind w:left="3960" w:hanging="360"/>
      </w:pPr>
    </w:lvl>
    <w:lvl w:ilvl="6" w:tplc="75640F46" w:tentative="1">
      <w:start w:val="1"/>
      <w:numFmt w:val="decimal"/>
      <w:lvlText w:val="%7."/>
      <w:lvlJc w:val="left"/>
      <w:pPr>
        <w:tabs>
          <w:tab w:val="num" w:pos="4680"/>
        </w:tabs>
        <w:ind w:left="4680" w:hanging="360"/>
      </w:pPr>
    </w:lvl>
    <w:lvl w:ilvl="7" w:tplc="4B381B8A" w:tentative="1">
      <w:start w:val="1"/>
      <w:numFmt w:val="decimal"/>
      <w:lvlText w:val="%8."/>
      <w:lvlJc w:val="left"/>
      <w:pPr>
        <w:tabs>
          <w:tab w:val="num" w:pos="5400"/>
        </w:tabs>
        <w:ind w:left="5400" w:hanging="360"/>
      </w:pPr>
    </w:lvl>
    <w:lvl w:ilvl="8" w:tplc="F496E24E" w:tentative="1">
      <w:start w:val="1"/>
      <w:numFmt w:val="decimal"/>
      <w:lvlText w:val="%9."/>
      <w:lvlJc w:val="left"/>
      <w:pPr>
        <w:tabs>
          <w:tab w:val="num" w:pos="6120"/>
        </w:tabs>
        <w:ind w:left="6120" w:hanging="360"/>
      </w:pPr>
    </w:lvl>
  </w:abstractNum>
  <w:abstractNum w:abstractNumId="25" w15:restartNumberingAfterBreak="0">
    <w:nsid w:val="2D79475C"/>
    <w:multiLevelType w:val="hybridMultilevel"/>
    <w:tmpl w:val="CF0461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2E6338F8"/>
    <w:multiLevelType w:val="hybridMultilevel"/>
    <w:tmpl w:val="540CA5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38681A9B"/>
    <w:multiLevelType w:val="hybridMultilevel"/>
    <w:tmpl w:val="DE02796A"/>
    <w:lvl w:ilvl="0" w:tplc="04050011">
      <w:start w:val="1"/>
      <w:numFmt w:val="decimal"/>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8" w15:restartNumberingAfterBreak="0">
    <w:nsid w:val="39372C64"/>
    <w:multiLevelType w:val="hybridMultilevel"/>
    <w:tmpl w:val="8B269D04"/>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3F1F3CF4"/>
    <w:multiLevelType w:val="hybridMultilevel"/>
    <w:tmpl w:val="39421D26"/>
    <w:lvl w:ilvl="0" w:tplc="BB4E3A8C">
      <w:start w:val="1"/>
      <w:numFmt w:val="bullet"/>
      <w:lvlText w:val="•"/>
      <w:lvlJc w:val="left"/>
      <w:pPr>
        <w:tabs>
          <w:tab w:val="num" w:pos="720"/>
        </w:tabs>
        <w:ind w:left="720" w:hanging="360"/>
      </w:pPr>
      <w:rPr>
        <w:rFonts w:ascii="Arial" w:hAnsi="Arial" w:hint="default"/>
      </w:rPr>
    </w:lvl>
    <w:lvl w:ilvl="1" w:tplc="6DEA1EA6" w:tentative="1">
      <w:start w:val="1"/>
      <w:numFmt w:val="bullet"/>
      <w:lvlText w:val="•"/>
      <w:lvlJc w:val="left"/>
      <w:pPr>
        <w:tabs>
          <w:tab w:val="num" w:pos="1440"/>
        </w:tabs>
        <w:ind w:left="1440" w:hanging="360"/>
      </w:pPr>
      <w:rPr>
        <w:rFonts w:ascii="Arial" w:hAnsi="Arial" w:hint="default"/>
      </w:rPr>
    </w:lvl>
    <w:lvl w:ilvl="2" w:tplc="1418250A" w:tentative="1">
      <w:start w:val="1"/>
      <w:numFmt w:val="bullet"/>
      <w:lvlText w:val="•"/>
      <w:lvlJc w:val="left"/>
      <w:pPr>
        <w:tabs>
          <w:tab w:val="num" w:pos="2160"/>
        </w:tabs>
        <w:ind w:left="2160" w:hanging="360"/>
      </w:pPr>
      <w:rPr>
        <w:rFonts w:ascii="Arial" w:hAnsi="Arial" w:hint="default"/>
      </w:rPr>
    </w:lvl>
    <w:lvl w:ilvl="3" w:tplc="425E6A50">
      <w:start w:val="1"/>
      <w:numFmt w:val="bullet"/>
      <w:lvlText w:val="•"/>
      <w:lvlJc w:val="left"/>
      <w:pPr>
        <w:tabs>
          <w:tab w:val="num" w:pos="2880"/>
        </w:tabs>
        <w:ind w:left="2880" w:hanging="360"/>
      </w:pPr>
      <w:rPr>
        <w:rFonts w:ascii="Arial" w:hAnsi="Arial" w:hint="default"/>
      </w:rPr>
    </w:lvl>
    <w:lvl w:ilvl="4" w:tplc="081A4120" w:tentative="1">
      <w:start w:val="1"/>
      <w:numFmt w:val="bullet"/>
      <w:lvlText w:val="•"/>
      <w:lvlJc w:val="left"/>
      <w:pPr>
        <w:tabs>
          <w:tab w:val="num" w:pos="3600"/>
        </w:tabs>
        <w:ind w:left="3600" w:hanging="360"/>
      </w:pPr>
      <w:rPr>
        <w:rFonts w:ascii="Arial" w:hAnsi="Arial" w:hint="default"/>
      </w:rPr>
    </w:lvl>
    <w:lvl w:ilvl="5" w:tplc="E68C4188" w:tentative="1">
      <w:start w:val="1"/>
      <w:numFmt w:val="bullet"/>
      <w:lvlText w:val="•"/>
      <w:lvlJc w:val="left"/>
      <w:pPr>
        <w:tabs>
          <w:tab w:val="num" w:pos="4320"/>
        </w:tabs>
        <w:ind w:left="4320" w:hanging="360"/>
      </w:pPr>
      <w:rPr>
        <w:rFonts w:ascii="Arial" w:hAnsi="Arial" w:hint="default"/>
      </w:rPr>
    </w:lvl>
    <w:lvl w:ilvl="6" w:tplc="9288D64E" w:tentative="1">
      <w:start w:val="1"/>
      <w:numFmt w:val="bullet"/>
      <w:lvlText w:val="•"/>
      <w:lvlJc w:val="left"/>
      <w:pPr>
        <w:tabs>
          <w:tab w:val="num" w:pos="5040"/>
        </w:tabs>
        <w:ind w:left="5040" w:hanging="360"/>
      </w:pPr>
      <w:rPr>
        <w:rFonts w:ascii="Arial" w:hAnsi="Arial" w:hint="default"/>
      </w:rPr>
    </w:lvl>
    <w:lvl w:ilvl="7" w:tplc="09D0EE14" w:tentative="1">
      <w:start w:val="1"/>
      <w:numFmt w:val="bullet"/>
      <w:lvlText w:val="•"/>
      <w:lvlJc w:val="left"/>
      <w:pPr>
        <w:tabs>
          <w:tab w:val="num" w:pos="5760"/>
        </w:tabs>
        <w:ind w:left="5760" w:hanging="360"/>
      </w:pPr>
      <w:rPr>
        <w:rFonts w:ascii="Arial" w:hAnsi="Arial" w:hint="default"/>
      </w:rPr>
    </w:lvl>
    <w:lvl w:ilvl="8" w:tplc="1DC8C85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F6C63A0"/>
    <w:multiLevelType w:val="hybridMultilevel"/>
    <w:tmpl w:val="F6D6F254"/>
    <w:lvl w:ilvl="0" w:tplc="EA5A4734">
      <w:start w:val="1"/>
      <w:numFmt w:val="bullet"/>
      <w:lvlText w:val="-"/>
      <w:lvlJc w:val="left"/>
      <w:pPr>
        <w:ind w:left="303" w:hanging="360"/>
      </w:pPr>
      <w:rPr>
        <w:rFonts w:ascii="Calibri" w:eastAsia="Times New Roman" w:hAnsi="Calibri" w:cs="Calibri" w:hint="default"/>
        <w:b/>
      </w:rPr>
    </w:lvl>
    <w:lvl w:ilvl="1" w:tplc="04050003" w:tentative="1">
      <w:start w:val="1"/>
      <w:numFmt w:val="bullet"/>
      <w:lvlText w:val="o"/>
      <w:lvlJc w:val="left"/>
      <w:pPr>
        <w:ind w:left="1023" w:hanging="360"/>
      </w:pPr>
      <w:rPr>
        <w:rFonts w:ascii="Courier New" w:hAnsi="Courier New" w:cs="Courier New" w:hint="default"/>
      </w:rPr>
    </w:lvl>
    <w:lvl w:ilvl="2" w:tplc="04050005" w:tentative="1">
      <w:start w:val="1"/>
      <w:numFmt w:val="bullet"/>
      <w:lvlText w:val=""/>
      <w:lvlJc w:val="left"/>
      <w:pPr>
        <w:ind w:left="1743" w:hanging="360"/>
      </w:pPr>
      <w:rPr>
        <w:rFonts w:ascii="Wingdings" w:hAnsi="Wingdings" w:hint="default"/>
      </w:rPr>
    </w:lvl>
    <w:lvl w:ilvl="3" w:tplc="04050001" w:tentative="1">
      <w:start w:val="1"/>
      <w:numFmt w:val="bullet"/>
      <w:lvlText w:val=""/>
      <w:lvlJc w:val="left"/>
      <w:pPr>
        <w:ind w:left="2463" w:hanging="360"/>
      </w:pPr>
      <w:rPr>
        <w:rFonts w:ascii="Symbol" w:hAnsi="Symbol" w:hint="default"/>
      </w:rPr>
    </w:lvl>
    <w:lvl w:ilvl="4" w:tplc="04050003" w:tentative="1">
      <w:start w:val="1"/>
      <w:numFmt w:val="bullet"/>
      <w:lvlText w:val="o"/>
      <w:lvlJc w:val="left"/>
      <w:pPr>
        <w:ind w:left="3183" w:hanging="360"/>
      </w:pPr>
      <w:rPr>
        <w:rFonts w:ascii="Courier New" w:hAnsi="Courier New" w:cs="Courier New" w:hint="default"/>
      </w:rPr>
    </w:lvl>
    <w:lvl w:ilvl="5" w:tplc="04050005" w:tentative="1">
      <w:start w:val="1"/>
      <w:numFmt w:val="bullet"/>
      <w:lvlText w:val=""/>
      <w:lvlJc w:val="left"/>
      <w:pPr>
        <w:ind w:left="3903" w:hanging="360"/>
      </w:pPr>
      <w:rPr>
        <w:rFonts w:ascii="Wingdings" w:hAnsi="Wingdings" w:hint="default"/>
      </w:rPr>
    </w:lvl>
    <w:lvl w:ilvl="6" w:tplc="04050001" w:tentative="1">
      <w:start w:val="1"/>
      <w:numFmt w:val="bullet"/>
      <w:lvlText w:val=""/>
      <w:lvlJc w:val="left"/>
      <w:pPr>
        <w:ind w:left="4623" w:hanging="360"/>
      </w:pPr>
      <w:rPr>
        <w:rFonts w:ascii="Symbol" w:hAnsi="Symbol" w:hint="default"/>
      </w:rPr>
    </w:lvl>
    <w:lvl w:ilvl="7" w:tplc="04050003" w:tentative="1">
      <w:start w:val="1"/>
      <w:numFmt w:val="bullet"/>
      <w:lvlText w:val="o"/>
      <w:lvlJc w:val="left"/>
      <w:pPr>
        <w:ind w:left="5343" w:hanging="360"/>
      </w:pPr>
      <w:rPr>
        <w:rFonts w:ascii="Courier New" w:hAnsi="Courier New" w:cs="Courier New" w:hint="default"/>
      </w:rPr>
    </w:lvl>
    <w:lvl w:ilvl="8" w:tplc="04050005" w:tentative="1">
      <w:start w:val="1"/>
      <w:numFmt w:val="bullet"/>
      <w:lvlText w:val=""/>
      <w:lvlJc w:val="left"/>
      <w:pPr>
        <w:ind w:left="6063" w:hanging="360"/>
      </w:pPr>
      <w:rPr>
        <w:rFonts w:ascii="Wingdings" w:hAnsi="Wingdings" w:hint="default"/>
      </w:rPr>
    </w:lvl>
  </w:abstractNum>
  <w:abstractNum w:abstractNumId="31" w15:restartNumberingAfterBreak="0">
    <w:nsid w:val="428826A2"/>
    <w:multiLevelType w:val="hybridMultilevel"/>
    <w:tmpl w:val="827C48D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4DB5370"/>
    <w:multiLevelType w:val="hybridMultilevel"/>
    <w:tmpl w:val="83D876AC"/>
    <w:lvl w:ilvl="0" w:tplc="2098B3F2">
      <w:start w:val="1"/>
      <w:numFmt w:val="decimal"/>
      <w:lvlText w:val="%1)"/>
      <w:lvlJc w:val="left"/>
      <w:pPr>
        <w:tabs>
          <w:tab w:val="num" w:pos="720"/>
        </w:tabs>
        <w:ind w:left="720" w:hanging="360"/>
      </w:pPr>
    </w:lvl>
    <w:lvl w:ilvl="1" w:tplc="E768430A" w:tentative="1">
      <w:start w:val="1"/>
      <w:numFmt w:val="decimal"/>
      <w:lvlText w:val="%2)"/>
      <w:lvlJc w:val="left"/>
      <w:pPr>
        <w:tabs>
          <w:tab w:val="num" w:pos="1440"/>
        </w:tabs>
        <w:ind w:left="1440" w:hanging="360"/>
      </w:pPr>
    </w:lvl>
    <w:lvl w:ilvl="2" w:tplc="680C1392" w:tentative="1">
      <w:start w:val="1"/>
      <w:numFmt w:val="decimal"/>
      <w:lvlText w:val="%3)"/>
      <w:lvlJc w:val="left"/>
      <w:pPr>
        <w:tabs>
          <w:tab w:val="num" w:pos="2160"/>
        </w:tabs>
        <w:ind w:left="2160" w:hanging="360"/>
      </w:pPr>
    </w:lvl>
    <w:lvl w:ilvl="3" w:tplc="3A5C262A" w:tentative="1">
      <w:start w:val="1"/>
      <w:numFmt w:val="decimal"/>
      <w:lvlText w:val="%4)"/>
      <w:lvlJc w:val="left"/>
      <w:pPr>
        <w:tabs>
          <w:tab w:val="num" w:pos="2880"/>
        </w:tabs>
        <w:ind w:left="2880" w:hanging="360"/>
      </w:pPr>
    </w:lvl>
    <w:lvl w:ilvl="4" w:tplc="5CE8A7DA" w:tentative="1">
      <w:start w:val="1"/>
      <w:numFmt w:val="decimal"/>
      <w:lvlText w:val="%5)"/>
      <w:lvlJc w:val="left"/>
      <w:pPr>
        <w:tabs>
          <w:tab w:val="num" w:pos="3600"/>
        </w:tabs>
        <w:ind w:left="3600" w:hanging="360"/>
      </w:pPr>
    </w:lvl>
    <w:lvl w:ilvl="5" w:tplc="DA186BFC" w:tentative="1">
      <w:start w:val="1"/>
      <w:numFmt w:val="decimal"/>
      <w:lvlText w:val="%6)"/>
      <w:lvlJc w:val="left"/>
      <w:pPr>
        <w:tabs>
          <w:tab w:val="num" w:pos="4320"/>
        </w:tabs>
        <w:ind w:left="4320" w:hanging="360"/>
      </w:pPr>
    </w:lvl>
    <w:lvl w:ilvl="6" w:tplc="37D44C00" w:tentative="1">
      <w:start w:val="1"/>
      <w:numFmt w:val="decimal"/>
      <w:lvlText w:val="%7)"/>
      <w:lvlJc w:val="left"/>
      <w:pPr>
        <w:tabs>
          <w:tab w:val="num" w:pos="5040"/>
        </w:tabs>
        <w:ind w:left="5040" w:hanging="360"/>
      </w:pPr>
    </w:lvl>
    <w:lvl w:ilvl="7" w:tplc="159A2C7A" w:tentative="1">
      <w:start w:val="1"/>
      <w:numFmt w:val="decimal"/>
      <w:lvlText w:val="%8)"/>
      <w:lvlJc w:val="left"/>
      <w:pPr>
        <w:tabs>
          <w:tab w:val="num" w:pos="5760"/>
        </w:tabs>
        <w:ind w:left="5760" w:hanging="360"/>
      </w:pPr>
    </w:lvl>
    <w:lvl w:ilvl="8" w:tplc="90C693C8" w:tentative="1">
      <w:start w:val="1"/>
      <w:numFmt w:val="decimal"/>
      <w:lvlText w:val="%9)"/>
      <w:lvlJc w:val="left"/>
      <w:pPr>
        <w:tabs>
          <w:tab w:val="num" w:pos="6480"/>
        </w:tabs>
        <w:ind w:left="6480" w:hanging="360"/>
      </w:pPr>
    </w:lvl>
  </w:abstractNum>
  <w:abstractNum w:abstractNumId="33" w15:restartNumberingAfterBreak="0">
    <w:nsid w:val="47A24D8E"/>
    <w:multiLevelType w:val="hybridMultilevel"/>
    <w:tmpl w:val="0C4C3754"/>
    <w:lvl w:ilvl="0" w:tplc="EE54BDEA">
      <w:start w:val="1"/>
      <w:numFmt w:val="decimal"/>
      <w:lvlText w:val="%1)"/>
      <w:lvlJc w:val="left"/>
      <w:pPr>
        <w:tabs>
          <w:tab w:val="num" w:pos="720"/>
        </w:tabs>
        <w:ind w:left="720" w:hanging="360"/>
      </w:pPr>
    </w:lvl>
    <w:lvl w:ilvl="1" w:tplc="6F408786" w:tentative="1">
      <w:start w:val="1"/>
      <w:numFmt w:val="decimal"/>
      <w:lvlText w:val="%2)"/>
      <w:lvlJc w:val="left"/>
      <w:pPr>
        <w:tabs>
          <w:tab w:val="num" w:pos="1440"/>
        </w:tabs>
        <w:ind w:left="1440" w:hanging="360"/>
      </w:pPr>
    </w:lvl>
    <w:lvl w:ilvl="2" w:tplc="B162A0A2" w:tentative="1">
      <w:start w:val="1"/>
      <w:numFmt w:val="decimal"/>
      <w:lvlText w:val="%3)"/>
      <w:lvlJc w:val="left"/>
      <w:pPr>
        <w:tabs>
          <w:tab w:val="num" w:pos="2160"/>
        </w:tabs>
        <w:ind w:left="2160" w:hanging="360"/>
      </w:pPr>
    </w:lvl>
    <w:lvl w:ilvl="3" w:tplc="041E70E2" w:tentative="1">
      <w:start w:val="1"/>
      <w:numFmt w:val="decimal"/>
      <w:lvlText w:val="%4)"/>
      <w:lvlJc w:val="left"/>
      <w:pPr>
        <w:tabs>
          <w:tab w:val="num" w:pos="2880"/>
        </w:tabs>
        <w:ind w:left="2880" w:hanging="360"/>
      </w:pPr>
    </w:lvl>
    <w:lvl w:ilvl="4" w:tplc="E8D61876" w:tentative="1">
      <w:start w:val="1"/>
      <w:numFmt w:val="decimal"/>
      <w:lvlText w:val="%5)"/>
      <w:lvlJc w:val="left"/>
      <w:pPr>
        <w:tabs>
          <w:tab w:val="num" w:pos="3600"/>
        </w:tabs>
        <w:ind w:left="3600" w:hanging="360"/>
      </w:pPr>
    </w:lvl>
    <w:lvl w:ilvl="5" w:tplc="BE8480F8" w:tentative="1">
      <w:start w:val="1"/>
      <w:numFmt w:val="decimal"/>
      <w:lvlText w:val="%6)"/>
      <w:lvlJc w:val="left"/>
      <w:pPr>
        <w:tabs>
          <w:tab w:val="num" w:pos="4320"/>
        </w:tabs>
        <w:ind w:left="4320" w:hanging="360"/>
      </w:pPr>
    </w:lvl>
    <w:lvl w:ilvl="6" w:tplc="36CCBAA2" w:tentative="1">
      <w:start w:val="1"/>
      <w:numFmt w:val="decimal"/>
      <w:lvlText w:val="%7)"/>
      <w:lvlJc w:val="left"/>
      <w:pPr>
        <w:tabs>
          <w:tab w:val="num" w:pos="5040"/>
        </w:tabs>
        <w:ind w:left="5040" w:hanging="360"/>
      </w:pPr>
    </w:lvl>
    <w:lvl w:ilvl="7" w:tplc="864A43B4" w:tentative="1">
      <w:start w:val="1"/>
      <w:numFmt w:val="decimal"/>
      <w:lvlText w:val="%8)"/>
      <w:lvlJc w:val="left"/>
      <w:pPr>
        <w:tabs>
          <w:tab w:val="num" w:pos="5760"/>
        </w:tabs>
        <w:ind w:left="5760" w:hanging="360"/>
      </w:pPr>
    </w:lvl>
    <w:lvl w:ilvl="8" w:tplc="B83E9652" w:tentative="1">
      <w:start w:val="1"/>
      <w:numFmt w:val="decimal"/>
      <w:lvlText w:val="%9)"/>
      <w:lvlJc w:val="left"/>
      <w:pPr>
        <w:tabs>
          <w:tab w:val="num" w:pos="6480"/>
        </w:tabs>
        <w:ind w:left="6480" w:hanging="360"/>
      </w:pPr>
    </w:lvl>
  </w:abstractNum>
  <w:abstractNum w:abstractNumId="34" w15:restartNumberingAfterBreak="0">
    <w:nsid w:val="48CC72F3"/>
    <w:multiLevelType w:val="hybridMultilevel"/>
    <w:tmpl w:val="691CAE7C"/>
    <w:lvl w:ilvl="0" w:tplc="0FA20F3A">
      <w:start w:val="2007"/>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4E893271"/>
    <w:multiLevelType w:val="hybridMultilevel"/>
    <w:tmpl w:val="91725A9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501509DA"/>
    <w:multiLevelType w:val="hybridMultilevel"/>
    <w:tmpl w:val="328EF950"/>
    <w:lvl w:ilvl="0" w:tplc="0FF0C296">
      <w:start w:val="1"/>
      <w:numFmt w:val="decimal"/>
      <w:lvlText w:val="(%1)"/>
      <w:lvlJc w:val="left"/>
      <w:pPr>
        <w:ind w:left="1428" w:hanging="360"/>
      </w:pPr>
      <w:rPr>
        <w:rFonts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7" w15:restartNumberingAfterBreak="0">
    <w:nsid w:val="503C546D"/>
    <w:multiLevelType w:val="hybridMultilevel"/>
    <w:tmpl w:val="659213F8"/>
    <w:lvl w:ilvl="0" w:tplc="04050001">
      <w:start w:val="1"/>
      <w:numFmt w:val="bullet"/>
      <w:lvlText w:val=""/>
      <w:lvlJc w:val="left"/>
      <w:pPr>
        <w:ind w:left="663" w:hanging="360"/>
      </w:pPr>
      <w:rPr>
        <w:rFonts w:ascii="Symbol" w:hAnsi="Symbol" w:hint="default"/>
      </w:rPr>
    </w:lvl>
    <w:lvl w:ilvl="1" w:tplc="04050003" w:tentative="1">
      <w:start w:val="1"/>
      <w:numFmt w:val="bullet"/>
      <w:lvlText w:val="o"/>
      <w:lvlJc w:val="left"/>
      <w:pPr>
        <w:ind w:left="1383" w:hanging="360"/>
      </w:pPr>
      <w:rPr>
        <w:rFonts w:ascii="Courier New" w:hAnsi="Courier New" w:cs="Courier New" w:hint="default"/>
      </w:rPr>
    </w:lvl>
    <w:lvl w:ilvl="2" w:tplc="04050005" w:tentative="1">
      <w:start w:val="1"/>
      <w:numFmt w:val="bullet"/>
      <w:lvlText w:val=""/>
      <w:lvlJc w:val="left"/>
      <w:pPr>
        <w:ind w:left="2103" w:hanging="360"/>
      </w:pPr>
      <w:rPr>
        <w:rFonts w:ascii="Wingdings" w:hAnsi="Wingdings" w:hint="default"/>
      </w:rPr>
    </w:lvl>
    <w:lvl w:ilvl="3" w:tplc="04050001" w:tentative="1">
      <w:start w:val="1"/>
      <w:numFmt w:val="bullet"/>
      <w:lvlText w:val=""/>
      <w:lvlJc w:val="left"/>
      <w:pPr>
        <w:ind w:left="2823" w:hanging="360"/>
      </w:pPr>
      <w:rPr>
        <w:rFonts w:ascii="Symbol" w:hAnsi="Symbol" w:hint="default"/>
      </w:rPr>
    </w:lvl>
    <w:lvl w:ilvl="4" w:tplc="04050003" w:tentative="1">
      <w:start w:val="1"/>
      <w:numFmt w:val="bullet"/>
      <w:lvlText w:val="o"/>
      <w:lvlJc w:val="left"/>
      <w:pPr>
        <w:ind w:left="3543" w:hanging="360"/>
      </w:pPr>
      <w:rPr>
        <w:rFonts w:ascii="Courier New" w:hAnsi="Courier New" w:cs="Courier New" w:hint="default"/>
      </w:rPr>
    </w:lvl>
    <w:lvl w:ilvl="5" w:tplc="04050005" w:tentative="1">
      <w:start w:val="1"/>
      <w:numFmt w:val="bullet"/>
      <w:lvlText w:val=""/>
      <w:lvlJc w:val="left"/>
      <w:pPr>
        <w:ind w:left="4263" w:hanging="360"/>
      </w:pPr>
      <w:rPr>
        <w:rFonts w:ascii="Wingdings" w:hAnsi="Wingdings" w:hint="default"/>
      </w:rPr>
    </w:lvl>
    <w:lvl w:ilvl="6" w:tplc="04050001" w:tentative="1">
      <w:start w:val="1"/>
      <w:numFmt w:val="bullet"/>
      <w:lvlText w:val=""/>
      <w:lvlJc w:val="left"/>
      <w:pPr>
        <w:ind w:left="4983" w:hanging="360"/>
      </w:pPr>
      <w:rPr>
        <w:rFonts w:ascii="Symbol" w:hAnsi="Symbol" w:hint="default"/>
      </w:rPr>
    </w:lvl>
    <w:lvl w:ilvl="7" w:tplc="04050003" w:tentative="1">
      <w:start w:val="1"/>
      <w:numFmt w:val="bullet"/>
      <w:lvlText w:val="o"/>
      <w:lvlJc w:val="left"/>
      <w:pPr>
        <w:ind w:left="5703" w:hanging="360"/>
      </w:pPr>
      <w:rPr>
        <w:rFonts w:ascii="Courier New" w:hAnsi="Courier New" w:cs="Courier New" w:hint="default"/>
      </w:rPr>
    </w:lvl>
    <w:lvl w:ilvl="8" w:tplc="04050005" w:tentative="1">
      <w:start w:val="1"/>
      <w:numFmt w:val="bullet"/>
      <w:lvlText w:val=""/>
      <w:lvlJc w:val="left"/>
      <w:pPr>
        <w:ind w:left="6423" w:hanging="360"/>
      </w:pPr>
      <w:rPr>
        <w:rFonts w:ascii="Wingdings" w:hAnsi="Wingdings" w:hint="default"/>
      </w:rPr>
    </w:lvl>
  </w:abstractNum>
  <w:abstractNum w:abstractNumId="38" w15:restartNumberingAfterBreak="0">
    <w:nsid w:val="520D79E6"/>
    <w:multiLevelType w:val="hybridMultilevel"/>
    <w:tmpl w:val="F53CA3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2321FDC"/>
    <w:multiLevelType w:val="hybridMultilevel"/>
    <w:tmpl w:val="CD1C4DC8"/>
    <w:lvl w:ilvl="0" w:tplc="0FF0C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264120E"/>
    <w:multiLevelType w:val="hybridMultilevel"/>
    <w:tmpl w:val="BE040F92"/>
    <w:lvl w:ilvl="0" w:tplc="FFFFFFFF">
      <w:start w:val="1"/>
      <w:numFmt w:val="bullet"/>
      <w:pStyle w:val="swot"/>
      <w:lvlText w:val="•"/>
      <w:lvlJc w:val="left"/>
      <w:pPr>
        <w:tabs>
          <w:tab w:val="num" w:pos="2138"/>
        </w:tabs>
        <w:ind w:left="2138" w:hanging="360"/>
      </w:pPr>
      <w:rPr>
        <w:rFonts w:ascii="Times New Roman" w:hAnsi="Times New Roman" w:hint="default"/>
        <w:color w:val="auto"/>
        <w:sz w:val="24"/>
        <w:szCs w:val="24"/>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1" w15:restartNumberingAfterBreak="0">
    <w:nsid w:val="54DC3510"/>
    <w:multiLevelType w:val="hybridMultilevel"/>
    <w:tmpl w:val="A4106CC8"/>
    <w:lvl w:ilvl="0" w:tplc="C8A61FEC">
      <w:start w:val="1"/>
      <w:numFmt w:val="decimal"/>
      <w:lvlText w:val="(%1)"/>
      <w:lvlJc w:val="left"/>
      <w:pPr>
        <w:tabs>
          <w:tab w:val="num" w:pos="360"/>
        </w:tabs>
        <w:ind w:left="360" w:hanging="360"/>
      </w:pPr>
    </w:lvl>
    <w:lvl w:ilvl="1" w:tplc="260ABA02">
      <w:start w:val="1"/>
      <w:numFmt w:val="decimal"/>
      <w:lvlText w:val="(%2)"/>
      <w:lvlJc w:val="left"/>
      <w:pPr>
        <w:tabs>
          <w:tab w:val="num" w:pos="1080"/>
        </w:tabs>
        <w:ind w:left="1080" w:hanging="360"/>
      </w:pPr>
    </w:lvl>
    <w:lvl w:ilvl="2" w:tplc="9198E8F8" w:tentative="1">
      <w:start w:val="1"/>
      <w:numFmt w:val="decimal"/>
      <w:lvlText w:val="(%3)"/>
      <w:lvlJc w:val="left"/>
      <w:pPr>
        <w:tabs>
          <w:tab w:val="num" w:pos="1800"/>
        </w:tabs>
        <w:ind w:left="1800" w:hanging="360"/>
      </w:pPr>
    </w:lvl>
    <w:lvl w:ilvl="3" w:tplc="02FA6BD8" w:tentative="1">
      <w:start w:val="1"/>
      <w:numFmt w:val="decimal"/>
      <w:lvlText w:val="(%4)"/>
      <w:lvlJc w:val="left"/>
      <w:pPr>
        <w:tabs>
          <w:tab w:val="num" w:pos="2520"/>
        </w:tabs>
        <w:ind w:left="2520" w:hanging="360"/>
      </w:pPr>
    </w:lvl>
    <w:lvl w:ilvl="4" w:tplc="D82EDD6A" w:tentative="1">
      <w:start w:val="1"/>
      <w:numFmt w:val="decimal"/>
      <w:lvlText w:val="(%5)"/>
      <w:lvlJc w:val="left"/>
      <w:pPr>
        <w:tabs>
          <w:tab w:val="num" w:pos="3240"/>
        </w:tabs>
        <w:ind w:left="3240" w:hanging="360"/>
      </w:pPr>
    </w:lvl>
    <w:lvl w:ilvl="5" w:tplc="C07AB73E" w:tentative="1">
      <w:start w:val="1"/>
      <w:numFmt w:val="decimal"/>
      <w:lvlText w:val="(%6)"/>
      <w:lvlJc w:val="left"/>
      <w:pPr>
        <w:tabs>
          <w:tab w:val="num" w:pos="3960"/>
        </w:tabs>
        <w:ind w:left="3960" w:hanging="360"/>
      </w:pPr>
    </w:lvl>
    <w:lvl w:ilvl="6" w:tplc="78FAA6C2" w:tentative="1">
      <w:start w:val="1"/>
      <w:numFmt w:val="decimal"/>
      <w:lvlText w:val="(%7)"/>
      <w:lvlJc w:val="left"/>
      <w:pPr>
        <w:tabs>
          <w:tab w:val="num" w:pos="4680"/>
        </w:tabs>
        <w:ind w:left="4680" w:hanging="360"/>
      </w:pPr>
    </w:lvl>
    <w:lvl w:ilvl="7" w:tplc="053630BA" w:tentative="1">
      <w:start w:val="1"/>
      <w:numFmt w:val="decimal"/>
      <w:lvlText w:val="(%8)"/>
      <w:lvlJc w:val="left"/>
      <w:pPr>
        <w:tabs>
          <w:tab w:val="num" w:pos="5400"/>
        </w:tabs>
        <w:ind w:left="5400" w:hanging="360"/>
      </w:pPr>
    </w:lvl>
    <w:lvl w:ilvl="8" w:tplc="C0342AA0" w:tentative="1">
      <w:start w:val="1"/>
      <w:numFmt w:val="decimal"/>
      <w:lvlText w:val="(%9)"/>
      <w:lvlJc w:val="left"/>
      <w:pPr>
        <w:tabs>
          <w:tab w:val="num" w:pos="6120"/>
        </w:tabs>
        <w:ind w:left="6120" w:hanging="360"/>
      </w:pPr>
    </w:lvl>
  </w:abstractNum>
  <w:abstractNum w:abstractNumId="42" w15:restartNumberingAfterBreak="0">
    <w:nsid w:val="55D2106A"/>
    <w:multiLevelType w:val="multilevel"/>
    <w:tmpl w:val="A8AC5766"/>
    <w:lvl w:ilvl="0">
      <w:start w:val="1"/>
      <w:numFmt w:val="decimal"/>
      <w:lvlText w:val="%1."/>
      <w:lvlJc w:val="left"/>
      <w:pPr>
        <w:tabs>
          <w:tab w:val="num" w:pos="432"/>
        </w:tabs>
        <w:ind w:left="432" w:hanging="360"/>
      </w:pPr>
    </w:lvl>
    <w:lvl w:ilvl="1" w:tentative="1">
      <w:start w:val="1"/>
      <w:numFmt w:val="decimal"/>
      <w:lvlText w:val="%2."/>
      <w:lvlJc w:val="left"/>
      <w:pPr>
        <w:tabs>
          <w:tab w:val="num" w:pos="1152"/>
        </w:tabs>
        <w:ind w:left="1152" w:hanging="360"/>
      </w:pPr>
    </w:lvl>
    <w:lvl w:ilvl="2" w:tentative="1">
      <w:start w:val="1"/>
      <w:numFmt w:val="decimal"/>
      <w:lvlText w:val="%3."/>
      <w:lvlJc w:val="left"/>
      <w:pPr>
        <w:tabs>
          <w:tab w:val="num" w:pos="1872"/>
        </w:tabs>
        <w:ind w:left="1872" w:hanging="360"/>
      </w:pPr>
    </w:lvl>
    <w:lvl w:ilvl="3" w:tentative="1">
      <w:start w:val="1"/>
      <w:numFmt w:val="decimal"/>
      <w:lvlText w:val="%4."/>
      <w:lvlJc w:val="left"/>
      <w:pPr>
        <w:tabs>
          <w:tab w:val="num" w:pos="2592"/>
        </w:tabs>
        <w:ind w:left="2592" w:hanging="360"/>
      </w:pPr>
    </w:lvl>
    <w:lvl w:ilvl="4" w:tentative="1">
      <w:start w:val="1"/>
      <w:numFmt w:val="decimal"/>
      <w:lvlText w:val="%5."/>
      <w:lvlJc w:val="left"/>
      <w:pPr>
        <w:tabs>
          <w:tab w:val="num" w:pos="3312"/>
        </w:tabs>
        <w:ind w:left="3312" w:hanging="360"/>
      </w:pPr>
    </w:lvl>
    <w:lvl w:ilvl="5" w:tentative="1">
      <w:start w:val="1"/>
      <w:numFmt w:val="decimal"/>
      <w:lvlText w:val="%6."/>
      <w:lvlJc w:val="left"/>
      <w:pPr>
        <w:tabs>
          <w:tab w:val="num" w:pos="4032"/>
        </w:tabs>
        <w:ind w:left="4032" w:hanging="360"/>
      </w:pPr>
    </w:lvl>
    <w:lvl w:ilvl="6" w:tentative="1">
      <w:start w:val="1"/>
      <w:numFmt w:val="decimal"/>
      <w:lvlText w:val="%7."/>
      <w:lvlJc w:val="left"/>
      <w:pPr>
        <w:tabs>
          <w:tab w:val="num" w:pos="4752"/>
        </w:tabs>
        <w:ind w:left="4752" w:hanging="360"/>
      </w:pPr>
    </w:lvl>
    <w:lvl w:ilvl="7" w:tentative="1">
      <w:start w:val="1"/>
      <w:numFmt w:val="decimal"/>
      <w:lvlText w:val="%8."/>
      <w:lvlJc w:val="left"/>
      <w:pPr>
        <w:tabs>
          <w:tab w:val="num" w:pos="5472"/>
        </w:tabs>
        <w:ind w:left="5472" w:hanging="360"/>
      </w:pPr>
    </w:lvl>
    <w:lvl w:ilvl="8" w:tentative="1">
      <w:start w:val="1"/>
      <w:numFmt w:val="decimal"/>
      <w:lvlText w:val="%9."/>
      <w:lvlJc w:val="left"/>
      <w:pPr>
        <w:tabs>
          <w:tab w:val="num" w:pos="6192"/>
        </w:tabs>
        <w:ind w:left="6192" w:hanging="360"/>
      </w:pPr>
    </w:lvl>
  </w:abstractNum>
  <w:abstractNum w:abstractNumId="43" w15:restartNumberingAfterBreak="0">
    <w:nsid w:val="56345D22"/>
    <w:multiLevelType w:val="hybridMultilevel"/>
    <w:tmpl w:val="62D2696A"/>
    <w:lvl w:ilvl="0" w:tplc="9C9ED7DE">
      <w:start w:val="1"/>
      <w:numFmt w:val="decimal"/>
      <w:lvlText w:val="%1)"/>
      <w:lvlJc w:val="left"/>
      <w:pPr>
        <w:tabs>
          <w:tab w:val="num" w:pos="720"/>
        </w:tabs>
        <w:ind w:left="720" w:hanging="360"/>
      </w:pPr>
    </w:lvl>
    <w:lvl w:ilvl="1" w:tplc="E4D4172E" w:tentative="1">
      <w:start w:val="1"/>
      <w:numFmt w:val="decimal"/>
      <w:lvlText w:val="%2)"/>
      <w:lvlJc w:val="left"/>
      <w:pPr>
        <w:tabs>
          <w:tab w:val="num" w:pos="1440"/>
        </w:tabs>
        <w:ind w:left="1440" w:hanging="360"/>
      </w:pPr>
    </w:lvl>
    <w:lvl w:ilvl="2" w:tplc="7CEC091E" w:tentative="1">
      <w:start w:val="1"/>
      <w:numFmt w:val="decimal"/>
      <w:lvlText w:val="%3)"/>
      <w:lvlJc w:val="left"/>
      <w:pPr>
        <w:tabs>
          <w:tab w:val="num" w:pos="2160"/>
        </w:tabs>
        <w:ind w:left="2160" w:hanging="360"/>
      </w:pPr>
    </w:lvl>
    <w:lvl w:ilvl="3" w:tplc="272AE2BE" w:tentative="1">
      <w:start w:val="1"/>
      <w:numFmt w:val="decimal"/>
      <w:lvlText w:val="%4)"/>
      <w:lvlJc w:val="left"/>
      <w:pPr>
        <w:tabs>
          <w:tab w:val="num" w:pos="2880"/>
        </w:tabs>
        <w:ind w:left="2880" w:hanging="360"/>
      </w:pPr>
    </w:lvl>
    <w:lvl w:ilvl="4" w:tplc="2228A812" w:tentative="1">
      <w:start w:val="1"/>
      <w:numFmt w:val="decimal"/>
      <w:lvlText w:val="%5)"/>
      <w:lvlJc w:val="left"/>
      <w:pPr>
        <w:tabs>
          <w:tab w:val="num" w:pos="3600"/>
        </w:tabs>
        <w:ind w:left="3600" w:hanging="360"/>
      </w:pPr>
    </w:lvl>
    <w:lvl w:ilvl="5" w:tplc="44E45832" w:tentative="1">
      <w:start w:val="1"/>
      <w:numFmt w:val="decimal"/>
      <w:lvlText w:val="%6)"/>
      <w:lvlJc w:val="left"/>
      <w:pPr>
        <w:tabs>
          <w:tab w:val="num" w:pos="4320"/>
        </w:tabs>
        <w:ind w:left="4320" w:hanging="360"/>
      </w:pPr>
    </w:lvl>
    <w:lvl w:ilvl="6" w:tplc="D99CE09C" w:tentative="1">
      <w:start w:val="1"/>
      <w:numFmt w:val="decimal"/>
      <w:lvlText w:val="%7)"/>
      <w:lvlJc w:val="left"/>
      <w:pPr>
        <w:tabs>
          <w:tab w:val="num" w:pos="5040"/>
        </w:tabs>
        <w:ind w:left="5040" w:hanging="360"/>
      </w:pPr>
    </w:lvl>
    <w:lvl w:ilvl="7" w:tplc="77DCB1D8" w:tentative="1">
      <w:start w:val="1"/>
      <w:numFmt w:val="decimal"/>
      <w:lvlText w:val="%8)"/>
      <w:lvlJc w:val="left"/>
      <w:pPr>
        <w:tabs>
          <w:tab w:val="num" w:pos="5760"/>
        </w:tabs>
        <w:ind w:left="5760" w:hanging="360"/>
      </w:pPr>
    </w:lvl>
    <w:lvl w:ilvl="8" w:tplc="4978F202" w:tentative="1">
      <w:start w:val="1"/>
      <w:numFmt w:val="decimal"/>
      <w:lvlText w:val="%9)"/>
      <w:lvlJc w:val="left"/>
      <w:pPr>
        <w:tabs>
          <w:tab w:val="num" w:pos="6480"/>
        </w:tabs>
        <w:ind w:left="6480" w:hanging="360"/>
      </w:pPr>
    </w:lvl>
  </w:abstractNum>
  <w:abstractNum w:abstractNumId="44" w15:restartNumberingAfterBreak="0">
    <w:nsid w:val="564D1906"/>
    <w:multiLevelType w:val="hybridMultilevel"/>
    <w:tmpl w:val="80745906"/>
    <w:lvl w:ilvl="0" w:tplc="F40AE436">
      <w:start w:val="1"/>
      <w:numFmt w:val="bullet"/>
      <w:lvlText w:val="-"/>
      <w:lvlJc w:val="left"/>
      <w:pPr>
        <w:ind w:left="360" w:hanging="360"/>
      </w:pPr>
      <w:rPr>
        <w:rFonts w:ascii="Times New Roman" w:hAnsi="Times New Roman" w:hint="default"/>
      </w:rPr>
    </w:lvl>
    <w:lvl w:ilvl="1" w:tplc="04050005">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56C76110"/>
    <w:multiLevelType w:val="hybridMultilevel"/>
    <w:tmpl w:val="FED0132C"/>
    <w:lvl w:ilvl="0" w:tplc="F0D4B64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6CF1D5D"/>
    <w:multiLevelType w:val="hybridMultilevel"/>
    <w:tmpl w:val="6862F0E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1">
      <w:start w:val="1"/>
      <w:numFmt w:val="decimal"/>
      <w:lvlText w:val="%3)"/>
      <w:lvlJc w:val="lef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583C4CFF"/>
    <w:multiLevelType w:val="hybridMultilevel"/>
    <w:tmpl w:val="72280C64"/>
    <w:lvl w:ilvl="0" w:tplc="0405000F">
      <w:start w:val="1"/>
      <w:numFmt w:val="decimal"/>
      <w:lvlText w:val="%1."/>
      <w:lvlJc w:val="left"/>
      <w:pPr>
        <w:tabs>
          <w:tab w:val="num" w:pos="327"/>
        </w:tabs>
        <w:ind w:left="327" w:hanging="360"/>
      </w:pPr>
    </w:lvl>
    <w:lvl w:ilvl="1" w:tplc="C8B8CE30">
      <w:start w:val="1"/>
      <w:numFmt w:val="decimal"/>
      <w:lvlText w:val="(%2)"/>
      <w:lvlJc w:val="left"/>
      <w:pPr>
        <w:ind w:left="1047" w:hanging="360"/>
      </w:pPr>
      <w:rPr>
        <w:rFonts w:hint="default"/>
      </w:rPr>
    </w:lvl>
    <w:lvl w:ilvl="2" w:tplc="DC66D2C4">
      <w:start w:val="1"/>
      <w:numFmt w:val="lowerLetter"/>
      <w:lvlText w:val="(%3)"/>
      <w:lvlJc w:val="left"/>
      <w:pPr>
        <w:ind w:left="1947" w:hanging="360"/>
      </w:pPr>
      <w:rPr>
        <w:rFonts w:hint="default"/>
      </w:rPr>
    </w:lvl>
    <w:lvl w:ilvl="3" w:tplc="FFFFFFFF" w:tentative="1">
      <w:start w:val="1"/>
      <w:numFmt w:val="decimal"/>
      <w:lvlText w:val="%4."/>
      <w:lvlJc w:val="left"/>
      <w:pPr>
        <w:tabs>
          <w:tab w:val="num" w:pos="2487"/>
        </w:tabs>
        <w:ind w:left="2487" w:hanging="360"/>
      </w:pPr>
    </w:lvl>
    <w:lvl w:ilvl="4" w:tplc="FFFFFFFF" w:tentative="1">
      <w:start w:val="1"/>
      <w:numFmt w:val="lowerLetter"/>
      <w:lvlText w:val="%5."/>
      <w:lvlJc w:val="left"/>
      <w:pPr>
        <w:tabs>
          <w:tab w:val="num" w:pos="3207"/>
        </w:tabs>
        <w:ind w:left="3207" w:hanging="360"/>
      </w:pPr>
    </w:lvl>
    <w:lvl w:ilvl="5" w:tplc="FFFFFFFF" w:tentative="1">
      <w:start w:val="1"/>
      <w:numFmt w:val="lowerRoman"/>
      <w:lvlText w:val="%6."/>
      <w:lvlJc w:val="right"/>
      <w:pPr>
        <w:tabs>
          <w:tab w:val="num" w:pos="3927"/>
        </w:tabs>
        <w:ind w:left="3927" w:hanging="180"/>
      </w:pPr>
    </w:lvl>
    <w:lvl w:ilvl="6" w:tplc="FFFFFFFF" w:tentative="1">
      <w:start w:val="1"/>
      <w:numFmt w:val="decimal"/>
      <w:lvlText w:val="%7."/>
      <w:lvlJc w:val="left"/>
      <w:pPr>
        <w:tabs>
          <w:tab w:val="num" w:pos="4647"/>
        </w:tabs>
        <w:ind w:left="4647" w:hanging="360"/>
      </w:pPr>
    </w:lvl>
    <w:lvl w:ilvl="7" w:tplc="FFFFFFFF" w:tentative="1">
      <w:start w:val="1"/>
      <w:numFmt w:val="lowerLetter"/>
      <w:lvlText w:val="%8."/>
      <w:lvlJc w:val="left"/>
      <w:pPr>
        <w:tabs>
          <w:tab w:val="num" w:pos="5367"/>
        </w:tabs>
        <w:ind w:left="5367" w:hanging="360"/>
      </w:pPr>
    </w:lvl>
    <w:lvl w:ilvl="8" w:tplc="FFFFFFFF" w:tentative="1">
      <w:start w:val="1"/>
      <w:numFmt w:val="lowerRoman"/>
      <w:lvlText w:val="%9."/>
      <w:lvlJc w:val="right"/>
      <w:pPr>
        <w:tabs>
          <w:tab w:val="num" w:pos="6087"/>
        </w:tabs>
        <w:ind w:left="6087" w:hanging="180"/>
      </w:pPr>
    </w:lvl>
  </w:abstractNum>
  <w:abstractNum w:abstractNumId="48" w15:restartNumberingAfterBreak="0">
    <w:nsid w:val="59804ECA"/>
    <w:multiLevelType w:val="multilevel"/>
    <w:tmpl w:val="8C2CF9FE"/>
    <w:lvl w:ilvl="0">
      <w:numFmt w:val="bullet"/>
      <w:lvlText w:val="-"/>
      <w:lvlJc w:val="left"/>
      <w:pPr>
        <w:tabs>
          <w:tab w:val="num" w:pos="360"/>
        </w:tabs>
        <w:ind w:left="360" w:hanging="360"/>
      </w:pPr>
      <w:rPr>
        <w:rFonts w:ascii="Calibri" w:eastAsia="Calibri" w:hAnsi="Calibri" w:cs="Times New Roman"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5BF34710"/>
    <w:multiLevelType w:val="hybridMultilevel"/>
    <w:tmpl w:val="FFE0BF90"/>
    <w:lvl w:ilvl="0" w:tplc="04050011">
      <w:start w:val="1"/>
      <w:numFmt w:val="decimal"/>
      <w:lvlText w:val="%1)"/>
      <w:lvlJc w:val="left"/>
      <w:pPr>
        <w:ind w:left="360" w:hanging="360"/>
      </w:pPr>
    </w:lvl>
    <w:lvl w:ilvl="1" w:tplc="FF982CAA">
      <w:start w:val="1"/>
      <w:numFmt w:val="decimal"/>
      <w:lvlText w:val="(%2)"/>
      <w:lvlJc w:val="left"/>
      <w:pPr>
        <w:ind w:left="1080" w:hanging="360"/>
      </w:pPr>
      <w:rPr>
        <w:rFonts w:hint="default"/>
      </w:rPr>
    </w:lvl>
    <w:lvl w:ilvl="2" w:tplc="7034DADA">
      <w:start w:val="1"/>
      <w:numFmt w:val="lowerLetter"/>
      <w:lvlText w:val="(%3)"/>
      <w:lvlJc w:val="left"/>
      <w:pPr>
        <w:ind w:left="2004" w:hanging="384"/>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15:restartNumberingAfterBreak="0">
    <w:nsid w:val="5F6862A9"/>
    <w:multiLevelType w:val="hybridMultilevel"/>
    <w:tmpl w:val="872E70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647644C5"/>
    <w:multiLevelType w:val="hybridMultilevel"/>
    <w:tmpl w:val="8AFC5EB8"/>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65985220"/>
    <w:multiLevelType w:val="hybridMultilevel"/>
    <w:tmpl w:val="ADD8B2B8"/>
    <w:lvl w:ilvl="0" w:tplc="E31C3036">
      <w:start w:val="1"/>
      <w:numFmt w:val="decimal"/>
      <w:lvlText w:val="%1)"/>
      <w:lvlJc w:val="left"/>
      <w:pPr>
        <w:tabs>
          <w:tab w:val="num" w:pos="720"/>
        </w:tabs>
        <w:ind w:left="720" w:hanging="360"/>
      </w:pPr>
    </w:lvl>
    <w:lvl w:ilvl="1" w:tplc="0E72AD20" w:tentative="1">
      <w:start w:val="1"/>
      <w:numFmt w:val="decimal"/>
      <w:lvlText w:val="%2)"/>
      <w:lvlJc w:val="left"/>
      <w:pPr>
        <w:tabs>
          <w:tab w:val="num" w:pos="1440"/>
        </w:tabs>
        <w:ind w:left="1440" w:hanging="360"/>
      </w:pPr>
    </w:lvl>
    <w:lvl w:ilvl="2" w:tplc="36F6FCAA" w:tentative="1">
      <w:start w:val="1"/>
      <w:numFmt w:val="decimal"/>
      <w:lvlText w:val="%3)"/>
      <w:lvlJc w:val="left"/>
      <w:pPr>
        <w:tabs>
          <w:tab w:val="num" w:pos="2160"/>
        </w:tabs>
        <w:ind w:left="2160" w:hanging="360"/>
      </w:pPr>
    </w:lvl>
    <w:lvl w:ilvl="3" w:tplc="B456F5FC" w:tentative="1">
      <w:start w:val="1"/>
      <w:numFmt w:val="decimal"/>
      <w:lvlText w:val="%4)"/>
      <w:lvlJc w:val="left"/>
      <w:pPr>
        <w:tabs>
          <w:tab w:val="num" w:pos="2880"/>
        </w:tabs>
        <w:ind w:left="2880" w:hanging="360"/>
      </w:pPr>
    </w:lvl>
    <w:lvl w:ilvl="4" w:tplc="86B0755C" w:tentative="1">
      <w:start w:val="1"/>
      <w:numFmt w:val="decimal"/>
      <w:lvlText w:val="%5)"/>
      <w:lvlJc w:val="left"/>
      <w:pPr>
        <w:tabs>
          <w:tab w:val="num" w:pos="3600"/>
        </w:tabs>
        <w:ind w:left="3600" w:hanging="360"/>
      </w:pPr>
    </w:lvl>
    <w:lvl w:ilvl="5" w:tplc="B360DA50" w:tentative="1">
      <w:start w:val="1"/>
      <w:numFmt w:val="decimal"/>
      <w:lvlText w:val="%6)"/>
      <w:lvlJc w:val="left"/>
      <w:pPr>
        <w:tabs>
          <w:tab w:val="num" w:pos="4320"/>
        </w:tabs>
        <w:ind w:left="4320" w:hanging="360"/>
      </w:pPr>
    </w:lvl>
    <w:lvl w:ilvl="6" w:tplc="ABE4E0F2" w:tentative="1">
      <w:start w:val="1"/>
      <w:numFmt w:val="decimal"/>
      <w:lvlText w:val="%7)"/>
      <w:lvlJc w:val="left"/>
      <w:pPr>
        <w:tabs>
          <w:tab w:val="num" w:pos="5040"/>
        </w:tabs>
        <w:ind w:left="5040" w:hanging="360"/>
      </w:pPr>
    </w:lvl>
    <w:lvl w:ilvl="7" w:tplc="69740824" w:tentative="1">
      <w:start w:val="1"/>
      <w:numFmt w:val="decimal"/>
      <w:lvlText w:val="%8)"/>
      <w:lvlJc w:val="left"/>
      <w:pPr>
        <w:tabs>
          <w:tab w:val="num" w:pos="5760"/>
        </w:tabs>
        <w:ind w:left="5760" w:hanging="360"/>
      </w:pPr>
    </w:lvl>
    <w:lvl w:ilvl="8" w:tplc="989E8F9A" w:tentative="1">
      <w:start w:val="1"/>
      <w:numFmt w:val="decimal"/>
      <w:lvlText w:val="%9)"/>
      <w:lvlJc w:val="left"/>
      <w:pPr>
        <w:tabs>
          <w:tab w:val="num" w:pos="6480"/>
        </w:tabs>
        <w:ind w:left="6480" w:hanging="360"/>
      </w:pPr>
    </w:lvl>
  </w:abstractNum>
  <w:abstractNum w:abstractNumId="53" w15:restartNumberingAfterBreak="0">
    <w:nsid w:val="68F2573E"/>
    <w:multiLevelType w:val="hybridMultilevel"/>
    <w:tmpl w:val="42FC3B0C"/>
    <w:lvl w:ilvl="0" w:tplc="0FA20F3A">
      <w:start w:val="2007"/>
      <w:numFmt w:val="bullet"/>
      <w:lvlText w:val="-"/>
      <w:lvlJc w:val="left"/>
      <w:pPr>
        <w:ind w:left="360" w:hanging="360"/>
      </w:pPr>
      <w:rPr>
        <w:rFonts w:ascii="Times New Roman" w:eastAsia="Times New Roman" w:hAnsi="Times New Roman" w:cs="Times New Roman" w:hint="default"/>
      </w:rPr>
    </w:lvl>
    <w:lvl w:ilvl="1" w:tplc="C86420B4">
      <w:start w:val="1"/>
      <w:numFmt w:val="bullet"/>
      <w:lvlText w:val="-"/>
      <w:lvlJc w:val="left"/>
      <w:pPr>
        <w:ind w:left="1080" w:hanging="360"/>
      </w:pPr>
      <w:rPr>
        <w:rFonts w:ascii="Calibri" w:hAnsi="Calibr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698C774A"/>
    <w:multiLevelType w:val="multilevel"/>
    <w:tmpl w:val="C36447B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129741D"/>
    <w:multiLevelType w:val="hybridMultilevel"/>
    <w:tmpl w:val="C0CCD76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627162C"/>
    <w:multiLevelType w:val="hybridMultilevel"/>
    <w:tmpl w:val="9BBE31A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6945B52"/>
    <w:multiLevelType w:val="hybridMultilevel"/>
    <w:tmpl w:val="60E80CD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6CF3ECF"/>
    <w:multiLevelType w:val="hybridMultilevel"/>
    <w:tmpl w:val="B4AA6036"/>
    <w:lvl w:ilvl="0" w:tplc="0FF0C29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7D1602D"/>
    <w:multiLevelType w:val="hybridMultilevel"/>
    <w:tmpl w:val="E7763714"/>
    <w:lvl w:ilvl="0" w:tplc="9DFA10AA">
      <w:start w:val="1"/>
      <w:numFmt w:val="bullet"/>
      <w:lvlText w:val="•"/>
      <w:lvlJc w:val="left"/>
      <w:pPr>
        <w:ind w:left="387" w:hanging="360"/>
      </w:pPr>
      <w:rPr>
        <w:rFonts w:ascii="Arial" w:hAnsi="Arial" w:hint="default"/>
      </w:rPr>
    </w:lvl>
    <w:lvl w:ilvl="1" w:tplc="04050003">
      <w:start w:val="1"/>
      <w:numFmt w:val="bullet"/>
      <w:lvlText w:val="o"/>
      <w:lvlJc w:val="left"/>
      <w:pPr>
        <w:ind w:left="1107" w:hanging="360"/>
      </w:pPr>
      <w:rPr>
        <w:rFonts w:ascii="Courier New" w:hAnsi="Courier New" w:cs="Courier New" w:hint="default"/>
      </w:rPr>
    </w:lvl>
    <w:lvl w:ilvl="2" w:tplc="04050005" w:tentative="1">
      <w:start w:val="1"/>
      <w:numFmt w:val="bullet"/>
      <w:lvlText w:val=""/>
      <w:lvlJc w:val="left"/>
      <w:pPr>
        <w:ind w:left="1827" w:hanging="360"/>
      </w:pPr>
      <w:rPr>
        <w:rFonts w:ascii="Wingdings" w:hAnsi="Wingdings" w:hint="default"/>
      </w:rPr>
    </w:lvl>
    <w:lvl w:ilvl="3" w:tplc="04050001" w:tentative="1">
      <w:start w:val="1"/>
      <w:numFmt w:val="bullet"/>
      <w:lvlText w:val=""/>
      <w:lvlJc w:val="left"/>
      <w:pPr>
        <w:ind w:left="2547" w:hanging="360"/>
      </w:pPr>
      <w:rPr>
        <w:rFonts w:ascii="Symbol" w:hAnsi="Symbol" w:hint="default"/>
      </w:rPr>
    </w:lvl>
    <w:lvl w:ilvl="4" w:tplc="04050003" w:tentative="1">
      <w:start w:val="1"/>
      <w:numFmt w:val="bullet"/>
      <w:lvlText w:val="o"/>
      <w:lvlJc w:val="left"/>
      <w:pPr>
        <w:ind w:left="3267" w:hanging="360"/>
      </w:pPr>
      <w:rPr>
        <w:rFonts w:ascii="Courier New" w:hAnsi="Courier New" w:cs="Courier New" w:hint="default"/>
      </w:rPr>
    </w:lvl>
    <w:lvl w:ilvl="5" w:tplc="04050005" w:tentative="1">
      <w:start w:val="1"/>
      <w:numFmt w:val="bullet"/>
      <w:lvlText w:val=""/>
      <w:lvlJc w:val="left"/>
      <w:pPr>
        <w:ind w:left="3987" w:hanging="360"/>
      </w:pPr>
      <w:rPr>
        <w:rFonts w:ascii="Wingdings" w:hAnsi="Wingdings" w:hint="default"/>
      </w:rPr>
    </w:lvl>
    <w:lvl w:ilvl="6" w:tplc="04050001" w:tentative="1">
      <w:start w:val="1"/>
      <w:numFmt w:val="bullet"/>
      <w:lvlText w:val=""/>
      <w:lvlJc w:val="left"/>
      <w:pPr>
        <w:ind w:left="4707" w:hanging="360"/>
      </w:pPr>
      <w:rPr>
        <w:rFonts w:ascii="Symbol" w:hAnsi="Symbol" w:hint="default"/>
      </w:rPr>
    </w:lvl>
    <w:lvl w:ilvl="7" w:tplc="04050003" w:tentative="1">
      <w:start w:val="1"/>
      <w:numFmt w:val="bullet"/>
      <w:lvlText w:val="o"/>
      <w:lvlJc w:val="left"/>
      <w:pPr>
        <w:ind w:left="5427" w:hanging="360"/>
      </w:pPr>
      <w:rPr>
        <w:rFonts w:ascii="Courier New" w:hAnsi="Courier New" w:cs="Courier New" w:hint="default"/>
      </w:rPr>
    </w:lvl>
    <w:lvl w:ilvl="8" w:tplc="04050005" w:tentative="1">
      <w:start w:val="1"/>
      <w:numFmt w:val="bullet"/>
      <w:lvlText w:val=""/>
      <w:lvlJc w:val="left"/>
      <w:pPr>
        <w:ind w:left="6147" w:hanging="360"/>
      </w:pPr>
      <w:rPr>
        <w:rFonts w:ascii="Wingdings" w:hAnsi="Wingdings" w:hint="default"/>
      </w:rPr>
    </w:lvl>
  </w:abstractNum>
  <w:abstractNum w:abstractNumId="60" w15:restartNumberingAfterBreak="0">
    <w:nsid w:val="784369D0"/>
    <w:multiLevelType w:val="hybridMultilevel"/>
    <w:tmpl w:val="36EC8774"/>
    <w:lvl w:ilvl="0" w:tplc="9F96BFC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7BA11890"/>
    <w:multiLevelType w:val="hybridMultilevel"/>
    <w:tmpl w:val="F7201EBA"/>
    <w:lvl w:ilvl="0" w:tplc="FFFFFFFF">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CCA1E5B"/>
    <w:multiLevelType w:val="hybridMultilevel"/>
    <w:tmpl w:val="670219F2"/>
    <w:lvl w:ilvl="0" w:tplc="0FF0C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40"/>
  </w:num>
  <w:num w:numId="3">
    <w:abstractNumId w:val="31"/>
  </w:num>
  <w:num w:numId="4">
    <w:abstractNumId w:val="56"/>
  </w:num>
  <w:num w:numId="5">
    <w:abstractNumId w:val="2"/>
  </w:num>
  <w:num w:numId="6">
    <w:abstractNumId w:val="59"/>
  </w:num>
  <w:num w:numId="7">
    <w:abstractNumId w:val="11"/>
  </w:num>
  <w:num w:numId="8">
    <w:abstractNumId w:val="45"/>
  </w:num>
  <w:num w:numId="9">
    <w:abstractNumId w:val="5"/>
  </w:num>
  <w:num w:numId="10">
    <w:abstractNumId w:val="46"/>
  </w:num>
  <w:num w:numId="11">
    <w:abstractNumId w:val="20"/>
  </w:num>
  <w:num w:numId="12">
    <w:abstractNumId w:val="4"/>
  </w:num>
  <w:num w:numId="13">
    <w:abstractNumId w:val="17"/>
  </w:num>
  <w:num w:numId="14">
    <w:abstractNumId w:val="8"/>
  </w:num>
  <w:num w:numId="15">
    <w:abstractNumId w:val="15"/>
  </w:num>
  <w:num w:numId="16">
    <w:abstractNumId w:val="10"/>
  </w:num>
  <w:num w:numId="17">
    <w:abstractNumId w:val="28"/>
  </w:num>
  <w:num w:numId="18">
    <w:abstractNumId w:val="50"/>
  </w:num>
  <w:num w:numId="19">
    <w:abstractNumId w:val="14"/>
  </w:num>
  <w:num w:numId="20">
    <w:abstractNumId w:val="47"/>
  </w:num>
  <w:num w:numId="21">
    <w:abstractNumId w:val="60"/>
  </w:num>
  <w:num w:numId="22">
    <w:abstractNumId w:val="44"/>
  </w:num>
  <w:num w:numId="23">
    <w:abstractNumId w:val="51"/>
  </w:num>
  <w:num w:numId="24">
    <w:abstractNumId w:val="57"/>
  </w:num>
  <w:num w:numId="25">
    <w:abstractNumId w:val="27"/>
  </w:num>
  <w:num w:numId="26">
    <w:abstractNumId w:val="61"/>
  </w:num>
  <w:num w:numId="27">
    <w:abstractNumId w:val="54"/>
  </w:num>
  <w:num w:numId="28">
    <w:abstractNumId w:val="42"/>
  </w:num>
  <w:num w:numId="29">
    <w:abstractNumId w:val="16"/>
  </w:num>
  <w:num w:numId="30">
    <w:abstractNumId w:val="33"/>
  </w:num>
  <w:num w:numId="31">
    <w:abstractNumId w:val="52"/>
  </w:num>
  <w:num w:numId="32">
    <w:abstractNumId w:val="32"/>
  </w:num>
  <w:num w:numId="33">
    <w:abstractNumId w:val="43"/>
  </w:num>
  <w:num w:numId="34">
    <w:abstractNumId w:val="22"/>
  </w:num>
  <w:num w:numId="35">
    <w:abstractNumId w:val="35"/>
  </w:num>
  <w:num w:numId="36">
    <w:abstractNumId w:val="34"/>
  </w:num>
  <w:num w:numId="37">
    <w:abstractNumId w:val="6"/>
  </w:num>
  <w:num w:numId="38">
    <w:abstractNumId w:val="41"/>
  </w:num>
  <w:num w:numId="39">
    <w:abstractNumId w:val="7"/>
  </w:num>
  <w:num w:numId="40">
    <w:abstractNumId w:val="9"/>
  </w:num>
  <w:num w:numId="41">
    <w:abstractNumId w:val="49"/>
  </w:num>
  <w:num w:numId="42">
    <w:abstractNumId w:val="30"/>
  </w:num>
  <w:num w:numId="43">
    <w:abstractNumId w:val="24"/>
  </w:num>
  <w:num w:numId="44">
    <w:abstractNumId w:val="62"/>
  </w:num>
  <w:num w:numId="45">
    <w:abstractNumId w:val="39"/>
  </w:num>
  <w:num w:numId="46">
    <w:abstractNumId w:val="12"/>
  </w:num>
  <w:num w:numId="47">
    <w:abstractNumId w:val="48"/>
  </w:num>
  <w:num w:numId="48">
    <w:abstractNumId w:val="58"/>
  </w:num>
  <w:num w:numId="49">
    <w:abstractNumId w:val="29"/>
  </w:num>
  <w:num w:numId="50">
    <w:abstractNumId w:val="36"/>
  </w:num>
  <w:num w:numId="51">
    <w:abstractNumId w:val="3"/>
  </w:num>
  <w:num w:numId="52">
    <w:abstractNumId w:val="23"/>
  </w:num>
  <w:num w:numId="53">
    <w:abstractNumId w:val="18"/>
  </w:num>
  <w:num w:numId="54">
    <w:abstractNumId w:val="19"/>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num>
  <w:num w:numId="57">
    <w:abstractNumId w:val="55"/>
  </w:num>
  <w:num w:numId="58">
    <w:abstractNumId w:val="38"/>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num>
  <w:num w:numId="61">
    <w:abstractNumId w:val="21"/>
  </w:num>
  <w:num w:numId="62">
    <w:abstractNumId w:val="21"/>
  </w:num>
  <w:num w:numId="63">
    <w:abstractNumId w:val="37"/>
  </w:num>
  <w:num w:numId="64">
    <w:abstractNumId w:val="21"/>
  </w:num>
  <w:num w:numId="65">
    <w:abstractNumId w:val="53"/>
  </w:num>
  <w:num w:numId="66">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a2MDYyNLAwMjSzNDJQ0lEKTi0uzszPAykwqgUAml1gECwAAAA="/>
  </w:docVars>
  <w:rsids>
    <w:rsidRoot w:val="1D0BD21A"/>
    <w:rsid w:val="00001C7C"/>
    <w:rsid w:val="000024A5"/>
    <w:rsid w:val="0000284F"/>
    <w:rsid w:val="00003EAD"/>
    <w:rsid w:val="00004C5C"/>
    <w:rsid w:val="00004CAC"/>
    <w:rsid w:val="00005F02"/>
    <w:rsid w:val="000065EA"/>
    <w:rsid w:val="00010048"/>
    <w:rsid w:val="0001259F"/>
    <w:rsid w:val="00012753"/>
    <w:rsid w:val="00012B68"/>
    <w:rsid w:val="000131B2"/>
    <w:rsid w:val="00015CA7"/>
    <w:rsid w:val="0001664D"/>
    <w:rsid w:val="000178E8"/>
    <w:rsid w:val="000208E1"/>
    <w:rsid w:val="00023A0A"/>
    <w:rsid w:val="00023F6C"/>
    <w:rsid w:val="000240EA"/>
    <w:rsid w:val="00024DC2"/>
    <w:rsid w:val="00024FF5"/>
    <w:rsid w:val="00025CE5"/>
    <w:rsid w:val="00026241"/>
    <w:rsid w:val="00026871"/>
    <w:rsid w:val="00031D00"/>
    <w:rsid w:val="000327CF"/>
    <w:rsid w:val="000328E0"/>
    <w:rsid w:val="00033155"/>
    <w:rsid w:val="00033C7D"/>
    <w:rsid w:val="00034920"/>
    <w:rsid w:val="00034E63"/>
    <w:rsid w:val="00037CCE"/>
    <w:rsid w:val="00040553"/>
    <w:rsid w:val="00040C81"/>
    <w:rsid w:val="000413FF"/>
    <w:rsid w:val="0004156E"/>
    <w:rsid w:val="000422AE"/>
    <w:rsid w:val="00043C3E"/>
    <w:rsid w:val="00052AF9"/>
    <w:rsid w:val="000532CB"/>
    <w:rsid w:val="0005331D"/>
    <w:rsid w:val="000559F9"/>
    <w:rsid w:val="00056983"/>
    <w:rsid w:val="00060E93"/>
    <w:rsid w:val="000614A7"/>
    <w:rsid w:val="00061E2C"/>
    <w:rsid w:val="00062378"/>
    <w:rsid w:val="00062601"/>
    <w:rsid w:val="00062A30"/>
    <w:rsid w:val="00062FDF"/>
    <w:rsid w:val="000639BA"/>
    <w:rsid w:val="000644FA"/>
    <w:rsid w:val="00064834"/>
    <w:rsid w:val="00064EE3"/>
    <w:rsid w:val="00065251"/>
    <w:rsid w:val="00065281"/>
    <w:rsid w:val="000654E1"/>
    <w:rsid w:val="00065544"/>
    <w:rsid w:val="000662E9"/>
    <w:rsid w:val="000706E6"/>
    <w:rsid w:val="000707BE"/>
    <w:rsid w:val="00071188"/>
    <w:rsid w:val="000729B5"/>
    <w:rsid w:val="00072F93"/>
    <w:rsid w:val="0007305E"/>
    <w:rsid w:val="000738CE"/>
    <w:rsid w:val="00073E97"/>
    <w:rsid w:val="0007662E"/>
    <w:rsid w:val="000770F1"/>
    <w:rsid w:val="00077299"/>
    <w:rsid w:val="00081474"/>
    <w:rsid w:val="00081FD0"/>
    <w:rsid w:val="000827DA"/>
    <w:rsid w:val="000828C6"/>
    <w:rsid w:val="000831C8"/>
    <w:rsid w:val="00083A70"/>
    <w:rsid w:val="00084F96"/>
    <w:rsid w:val="0008516B"/>
    <w:rsid w:val="000853D9"/>
    <w:rsid w:val="0008581B"/>
    <w:rsid w:val="0008678D"/>
    <w:rsid w:val="00090036"/>
    <w:rsid w:val="00090050"/>
    <w:rsid w:val="00091221"/>
    <w:rsid w:val="00091F6A"/>
    <w:rsid w:val="00092185"/>
    <w:rsid w:val="000921BF"/>
    <w:rsid w:val="00092954"/>
    <w:rsid w:val="00092BB2"/>
    <w:rsid w:val="000937BB"/>
    <w:rsid w:val="000946E6"/>
    <w:rsid w:val="00094A01"/>
    <w:rsid w:val="0009526A"/>
    <w:rsid w:val="0009549F"/>
    <w:rsid w:val="0009599D"/>
    <w:rsid w:val="00096A9B"/>
    <w:rsid w:val="000976C5"/>
    <w:rsid w:val="00097922"/>
    <w:rsid w:val="000A1555"/>
    <w:rsid w:val="000A1A5C"/>
    <w:rsid w:val="000A291F"/>
    <w:rsid w:val="000A3250"/>
    <w:rsid w:val="000A34F5"/>
    <w:rsid w:val="000A4999"/>
    <w:rsid w:val="000A6108"/>
    <w:rsid w:val="000A789B"/>
    <w:rsid w:val="000A7AA0"/>
    <w:rsid w:val="000A7F4E"/>
    <w:rsid w:val="000B12EA"/>
    <w:rsid w:val="000B2BBE"/>
    <w:rsid w:val="000B3DD8"/>
    <w:rsid w:val="000B7B4F"/>
    <w:rsid w:val="000C05A7"/>
    <w:rsid w:val="000C1D10"/>
    <w:rsid w:val="000C20DA"/>
    <w:rsid w:val="000C2A43"/>
    <w:rsid w:val="000C3BE1"/>
    <w:rsid w:val="000C4BA5"/>
    <w:rsid w:val="000C5670"/>
    <w:rsid w:val="000C6955"/>
    <w:rsid w:val="000C7865"/>
    <w:rsid w:val="000C7ECF"/>
    <w:rsid w:val="000D0BB9"/>
    <w:rsid w:val="000D3BFE"/>
    <w:rsid w:val="000D6068"/>
    <w:rsid w:val="000D61C3"/>
    <w:rsid w:val="000E22B5"/>
    <w:rsid w:val="000E541E"/>
    <w:rsid w:val="000E6B13"/>
    <w:rsid w:val="000F1C35"/>
    <w:rsid w:val="000F1D53"/>
    <w:rsid w:val="000F2042"/>
    <w:rsid w:val="000F36E6"/>
    <w:rsid w:val="000F3D8A"/>
    <w:rsid w:val="000F3F56"/>
    <w:rsid w:val="000F4283"/>
    <w:rsid w:val="000F491D"/>
    <w:rsid w:val="000F4EB7"/>
    <w:rsid w:val="000F4F7F"/>
    <w:rsid w:val="000F570E"/>
    <w:rsid w:val="000F7490"/>
    <w:rsid w:val="00102359"/>
    <w:rsid w:val="00102FFA"/>
    <w:rsid w:val="0010409F"/>
    <w:rsid w:val="0010475A"/>
    <w:rsid w:val="0010514F"/>
    <w:rsid w:val="00105DD6"/>
    <w:rsid w:val="00106AF1"/>
    <w:rsid w:val="001100C7"/>
    <w:rsid w:val="001101FA"/>
    <w:rsid w:val="001114D4"/>
    <w:rsid w:val="00112A95"/>
    <w:rsid w:val="00112F72"/>
    <w:rsid w:val="00113DF1"/>
    <w:rsid w:val="0012157B"/>
    <w:rsid w:val="00122131"/>
    <w:rsid w:val="00123DF5"/>
    <w:rsid w:val="00124480"/>
    <w:rsid w:val="001246A6"/>
    <w:rsid w:val="00124718"/>
    <w:rsid w:val="00125193"/>
    <w:rsid w:val="00127778"/>
    <w:rsid w:val="001301E3"/>
    <w:rsid w:val="0013024B"/>
    <w:rsid w:val="00130815"/>
    <w:rsid w:val="00132074"/>
    <w:rsid w:val="0013328E"/>
    <w:rsid w:val="00134C0F"/>
    <w:rsid w:val="00134CC5"/>
    <w:rsid w:val="001369D0"/>
    <w:rsid w:val="00137FC0"/>
    <w:rsid w:val="0014210C"/>
    <w:rsid w:val="00144346"/>
    <w:rsid w:val="00144BDE"/>
    <w:rsid w:val="001455AD"/>
    <w:rsid w:val="00146770"/>
    <w:rsid w:val="00146BBD"/>
    <w:rsid w:val="001504B9"/>
    <w:rsid w:val="001514E1"/>
    <w:rsid w:val="0015209A"/>
    <w:rsid w:val="001520F3"/>
    <w:rsid w:val="001521BD"/>
    <w:rsid w:val="00152916"/>
    <w:rsid w:val="00153BA7"/>
    <w:rsid w:val="00153D76"/>
    <w:rsid w:val="00154AF9"/>
    <w:rsid w:val="00155445"/>
    <w:rsid w:val="00157283"/>
    <w:rsid w:val="00157432"/>
    <w:rsid w:val="00157B2F"/>
    <w:rsid w:val="00160B9E"/>
    <w:rsid w:val="00161CEC"/>
    <w:rsid w:val="00161F87"/>
    <w:rsid w:val="00164430"/>
    <w:rsid w:val="00164AB8"/>
    <w:rsid w:val="001654A4"/>
    <w:rsid w:val="00166AB1"/>
    <w:rsid w:val="00167AF3"/>
    <w:rsid w:val="001714D3"/>
    <w:rsid w:val="0017160F"/>
    <w:rsid w:val="00173270"/>
    <w:rsid w:val="00175722"/>
    <w:rsid w:val="00175E1B"/>
    <w:rsid w:val="00175EEE"/>
    <w:rsid w:val="00177741"/>
    <w:rsid w:val="001804F1"/>
    <w:rsid w:val="001807CD"/>
    <w:rsid w:val="0018081B"/>
    <w:rsid w:val="00180AAA"/>
    <w:rsid w:val="00181490"/>
    <w:rsid w:val="00181C5C"/>
    <w:rsid w:val="001828F6"/>
    <w:rsid w:val="00182BDB"/>
    <w:rsid w:val="00182CBD"/>
    <w:rsid w:val="00186442"/>
    <w:rsid w:val="001879EB"/>
    <w:rsid w:val="001939A5"/>
    <w:rsid w:val="00193A70"/>
    <w:rsid w:val="00194504"/>
    <w:rsid w:val="00195879"/>
    <w:rsid w:val="00195F7D"/>
    <w:rsid w:val="00197351"/>
    <w:rsid w:val="0019775D"/>
    <w:rsid w:val="00197792"/>
    <w:rsid w:val="00197BCF"/>
    <w:rsid w:val="00197F2C"/>
    <w:rsid w:val="001A0326"/>
    <w:rsid w:val="001A0383"/>
    <w:rsid w:val="001A3A71"/>
    <w:rsid w:val="001A6711"/>
    <w:rsid w:val="001A69CD"/>
    <w:rsid w:val="001A7452"/>
    <w:rsid w:val="001B3968"/>
    <w:rsid w:val="001B3F1F"/>
    <w:rsid w:val="001B4082"/>
    <w:rsid w:val="001B4BBD"/>
    <w:rsid w:val="001B4C8C"/>
    <w:rsid w:val="001C0470"/>
    <w:rsid w:val="001C0691"/>
    <w:rsid w:val="001C0807"/>
    <w:rsid w:val="001C1948"/>
    <w:rsid w:val="001C32EB"/>
    <w:rsid w:val="001C38BA"/>
    <w:rsid w:val="001C4ABF"/>
    <w:rsid w:val="001C522B"/>
    <w:rsid w:val="001C63FB"/>
    <w:rsid w:val="001C7D8A"/>
    <w:rsid w:val="001D1668"/>
    <w:rsid w:val="001D1E13"/>
    <w:rsid w:val="001D20DE"/>
    <w:rsid w:val="001D242E"/>
    <w:rsid w:val="001D2823"/>
    <w:rsid w:val="001D2CBA"/>
    <w:rsid w:val="001D5BDF"/>
    <w:rsid w:val="001D6ECB"/>
    <w:rsid w:val="001D785E"/>
    <w:rsid w:val="001D789C"/>
    <w:rsid w:val="001E08B5"/>
    <w:rsid w:val="001E224D"/>
    <w:rsid w:val="001E357C"/>
    <w:rsid w:val="001E3DE6"/>
    <w:rsid w:val="001E3E3A"/>
    <w:rsid w:val="001E4916"/>
    <w:rsid w:val="001F2497"/>
    <w:rsid w:val="001F28AD"/>
    <w:rsid w:val="001F29FA"/>
    <w:rsid w:val="001F38A5"/>
    <w:rsid w:val="001F6C9C"/>
    <w:rsid w:val="00200857"/>
    <w:rsid w:val="00200F9F"/>
    <w:rsid w:val="00201331"/>
    <w:rsid w:val="0020208F"/>
    <w:rsid w:val="00202B95"/>
    <w:rsid w:val="00205BC5"/>
    <w:rsid w:val="00207392"/>
    <w:rsid w:val="0020762C"/>
    <w:rsid w:val="00207ABE"/>
    <w:rsid w:val="00207E57"/>
    <w:rsid w:val="00212428"/>
    <w:rsid w:val="00213A1E"/>
    <w:rsid w:val="00213AA0"/>
    <w:rsid w:val="002141B7"/>
    <w:rsid w:val="00214546"/>
    <w:rsid w:val="00215BD5"/>
    <w:rsid w:val="00216BFB"/>
    <w:rsid w:val="00220B50"/>
    <w:rsid w:val="00220F21"/>
    <w:rsid w:val="0022162D"/>
    <w:rsid w:val="00221AC4"/>
    <w:rsid w:val="00224DB7"/>
    <w:rsid w:val="002251DC"/>
    <w:rsid w:val="00225455"/>
    <w:rsid w:val="00226075"/>
    <w:rsid w:val="00226C7C"/>
    <w:rsid w:val="0022790F"/>
    <w:rsid w:val="00227F17"/>
    <w:rsid w:val="002304FE"/>
    <w:rsid w:val="00230A02"/>
    <w:rsid w:val="00230ADC"/>
    <w:rsid w:val="00230B54"/>
    <w:rsid w:val="0023169A"/>
    <w:rsid w:val="00231942"/>
    <w:rsid w:val="0023272C"/>
    <w:rsid w:val="00234806"/>
    <w:rsid w:val="00237ABA"/>
    <w:rsid w:val="002403E8"/>
    <w:rsid w:val="00240FBF"/>
    <w:rsid w:val="002410A3"/>
    <w:rsid w:val="00241AD7"/>
    <w:rsid w:val="002421EA"/>
    <w:rsid w:val="00246136"/>
    <w:rsid w:val="00246B73"/>
    <w:rsid w:val="0024797F"/>
    <w:rsid w:val="0025085F"/>
    <w:rsid w:val="00251171"/>
    <w:rsid w:val="0025279F"/>
    <w:rsid w:val="00252CE6"/>
    <w:rsid w:val="002531BE"/>
    <w:rsid w:val="0025353E"/>
    <w:rsid w:val="002541B4"/>
    <w:rsid w:val="00254606"/>
    <w:rsid w:val="00255682"/>
    <w:rsid w:val="00255D17"/>
    <w:rsid w:val="002560C5"/>
    <w:rsid w:val="00257449"/>
    <w:rsid w:val="002578CE"/>
    <w:rsid w:val="00257CAD"/>
    <w:rsid w:val="002600C6"/>
    <w:rsid w:val="00262014"/>
    <w:rsid w:val="00262DB3"/>
    <w:rsid w:val="0026314C"/>
    <w:rsid w:val="00264123"/>
    <w:rsid w:val="0026479C"/>
    <w:rsid w:val="0026547F"/>
    <w:rsid w:val="0026588A"/>
    <w:rsid w:val="00265DBC"/>
    <w:rsid w:val="00267D01"/>
    <w:rsid w:val="00270E04"/>
    <w:rsid w:val="00271736"/>
    <w:rsid w:val="00272718"/>
    <w:rsid w:val="00272FE5"/>
    <w:rsid w:val="00273C5C"/>
    <w:rsid w:val="002748F3"/>
    <w:rsid w:val="00276EB4"/>
    <w:rsid w:val="002775DF"/>
    <w:rsid w:val="0028105C"/>
    <w:rsid w:val="0028344B"/>
    <w:rsid w:val="002838B0"/>
    <w:rsid w:val="0028412B"/>
    <w:rsid w:val="00284816"/>
    <w:rsid w:val="00284832"/>
    <w:rsid w:val="00284B7B"/>
    <w:rsid w:val="002903CF"/>
    <w:rsid w:val="00290C27"/>
    <w:rsid w:val="0029115C"/>
    <w:rsid w:val="00293C8E"/>
    <w:rsid w:val="00293D38"/>
    <w:rsid w:val="00293D4E"/>
    <w:rsid w:val="00294293"/>
    <w:rsid w:val="00294A40"/>
    <w:rsid w:val="00294FA6"/>
    <w:rsid w:val="00296213"/>
    <w:rsid w:val="00296D01"/>
    <w:rsid w:val="002A06AC"/>
    <w:rsid w:val="002A0F14"/>
    <w:rsid w:val="002A1770"/>
    <w:rsid w:val="002A2AB6"/>
    <w:rsid w:val="002A3AE6"/>
    <w:rsid w:val="002A3D55"/>
    <w:rsid w:val="002A4641"/>
    <w:rsid w:val="002A5772"/>
    <w:rsid w:val="002A5C14"/>
    <w:rsid w:val="002A6197"/>
    <w:rsid w:val="002A6F8D"/>
    <w:rsid w:val="002A7E5C"/>
    <w:rsid w:val="002B0429"/>
    <w:rsid w:val="002B157B"/>
    <w:rsid w:val="002B172E"/>
    <w:rsid w:val="002B1D78"/>
    <w:rsid w:val="002B22A5"/>
    <w:rsid w:val="002B237F"/>
    <w:rsid w:val="002B3F04"/>
    <w:rsid w:val="002B409C"/>
    <w:rsid w:val="002B65B3"/>
    <w:rsid w:val="002B6B68"/>
    <w:rsid w:val="002B7271"/>
    <w:rsid w:val="002B76E5"/>
    <w:rsid w:val="002B77B5"/>
    <w:rsid w:val="002C2624"/>
    <w:rsid w:val="002C31FD"/>
    <w:rsid w:val="002C36B0"/>
    <w:rsid w:val="002C3C0B"/>
    <w:rsid w:val="002C442F"/>
    <w:rsid w:val="002C76F2"/>
    <w:rsid w:val="002D0EA2"/>
    <w:rsid w:val="002D1515"/>
    <w:rsid w:val="002D1FBC"/>
    <w:rsid w:val="002D2CD4"/>
    <w:rsid w:val="002D31A8"/>
    <w:rsid w:val="002D3E3E"/>
    <w:rsid w:val="002D4165"/>
    <w:rsid w:val="002D45BA"/>
    <w:rsid w:val="002D548F"/>
    <w:rsid w:val="002D5EB0"/>
    <w:rsid w:val="002D6068"/>
    <w:rsid w:val="002D643A"/>
    <w:rsid w:val="002D67C8"/>
    <w:rsid w:val="002D67CC"/>
    <w:rsid w:val="002D6A0D"/>
    <w:rsid w:val="002D7675"/>
    <w:rsid w:val="002D76F7"/>
    <w:rsid w:val="002E3A68"/>
    <w:rsid w:val="002E69F3"/>
    <w:rsid w:val="002E6B7B"/>
    <w:rsid w:val="002E6C86"/>
    <w:rsid w:val="002E6D78"/>
    <w:rsid w:val="002E6FF6"/>
    <w:rsid w:val="002E7BC4"/>
    <w:rsid w:val="002F0BFD"/>
    <w:rsid w:val="002F1461"/>
    <w:rsid w:val="002F14C5"/>
    <w:rsid w:val="002F18B7"/>
    <w:rsid w:val="002F2994"/>
    <w:rsid w:val="002F2EC5"/>
    <w:rsid w:val="002F4AC2"/>
    <w:rsid w:val="002F4D33"/>
    <w:rsid w:val="0030017E"/>
    <w:rsid w:val="0030083A"/>
    <w:rsid w:val="00301051"/>
    <w:rsid w:val="00301327"/>
    <w:rsid w:val="00301C57"/>
    <w:rsid w:val="00303B5E"/>
    <w:rsid w:val="00304DE6"/>
    <w:rsid w:val="00305E15"/>
    <w:rsid w:val="00306CE8"/>
    <w:rsid w:val="00307687"/>
    <w:rsid w:val="00307856"/>
    <w:rsid w:val="00310CAD"/>
    <w:rsid w:val="00311520"/>
    <w:rsid w:val="003118F6"/>
    <w:rsid w:val="0031577D"/>
    <w:rsid w:val="003163CB"/>
    <w:rsid w:val="00316A2F"/>
    <w:rsid w:val="003205BC"/>
    <w:rsid w:val="00320EC4"/>
    <w:rsid w:val="003220A8"/>
    <w:rsid w:val="003249B8"/>
    <w:rsid w:val="00324EF9"/>
    <w:rsid w:val="00326C94"/>
    <w:rsid w:val="00330FEE"/>
    <w:rsid w:val="00333A6F"/>
    <w:rsid w:val="00336596"/>
    <w:rsid w:val="0033712A"/>
    <w:rsid w:val="0033750C"/>
    <w:rsid w:val="00337924"/>
    <w:rsid w:val="0034111B"/>
    <w:rsid w:val="00341C8B"/>
    <w:rsid w:val="00341F8A"/>
    <w:rsid w:val="00343F21"/>
    <w:rsid w:val="00346F78"/>
    <w:rsid w:val="00347DD1"/>
    <w:rsid w:val="00352488"/>
    <w:rsid w:val="00354A49"/>
    <w:rsid w:val="0035702E"/>
    <w:rsid w:val="003627C3"/>
    <w:rsid w:val="003629AC"/>
    <w:rsid w:val="003636EE"/>
    <w:rsid w:val="00364AD9"/>
    <w:rsid w:val="0036512A"/>
    <w:rsid w:val="00366560"/>
    <w:rsid w:val="003667E5"/>
    <w:rsid w:val="00366D47"/>
    <w:rsid w:val="00370BC0"/>
    <w:rsid w:val="0037125F"/>
    <w:rsid w:val="00371373"/>
    <w:rsid w:val="00372347"/>
    <w:rsid w:val="003725C8"/>
    <w:rsid w:val="00372E54"/>
    <w:rsid w:val="00373852"/>
    <w:rsid w:val="003748DF"/>
    <w:rsid w:val="00375C29"/>
    <w:rsid w:val="003767A1"/>
    <w:rsid w:val="003768BF"/>
    <w:rsid w:val="00377867"/>
    <w:rsid w:val="003800DB"/>
    <w:rsid w:val="00381E52"/>
    <w:rsid w:val="00382A05"/>
    <w:rsid w:val="0038321C"/>
    <w:rsid w:val="00383545"/>
    <w:rsid w:val="0038438B"/>
    <w:rsid w:val="00385041"/>
    <w:rsid w:val="00385778"/>
    <w:rsid w:val="00385E59"/>
    <w:rsid w:val="00386A48"/>
    <w:rsid w:val="0038724A"/>
    <w:rsid w:val="00387381"/>
    <w:rsid w:val="003906D6"/>
    <w:rsid w:val="00390A61"/>
    <w:rsid w:val="00391A26"/>
    <w:rsid w:val="003927CB"/>
    <w:rsid w:val="003934A7"/>
    <w:rsid w:val="00394BDD"/>
    <w:rsid w:val="003968DE"/>
    <w:rsid w:val="00397173"/>
    <w:rsid w:val="0039748B"/>
    <w:rsid w:val="00397854"/>
    <w:rsid w:val="00397A20"/>
    <w:rsid w:val="00397A82"/>
    <w:rsid w:val="00397C65"/>
    <w:rsid w:val="003A03D4"/>
    <w:rsid w:val="003A0F2C"/>
    <w:rsid w:val="003A110D"/>
    <w:rsid w:val="003A15F4"/>
    <w:rsid w:val="003A1AFE"/>
    <w:rsid w:val="003A1FE8"/>
    <w:rsid w:val="003A2B91"/>
    <w:rsid w:val="003A2F6C"/>
    <w:rsid w:val="003A47BC"/>
    <w:rsid w:val="003A58FE"/>
    <w:rsid w:val="003A6D01"/>
    <w:rsid w:val="003A71CD"/>
    <w:rsid w:val="003A71D4"/>
    <w:rsid w:val="003B039E"/>
    <w:rsid w:val="003B0BCC"/>
    <w:rsid w:val="003B2C4E"/>
    <w:rsid w:val="003B3607"/>
    <w:rsid w:val="003B3C82"/>
    <w:rsid w:val="003B3D24"/>
    <w:rsid w:val="003B4702"/>
    <w:rsid w:val="003B6C37"/>
    <w:rsid w:val="003C0E81"/>
    <w:rsid w:val="003C1037"/>
    <w:rsid w:val="003C14B8"/>
    <w:rsid w:val="003C1862"/>
    <w:rsid w:val="003C2083"/>
    <w:rsid w:val="003C239F"/>
    <w:rsid w:val="003C29E7"/>
    <w:rsid w:val="003C30F4"/>
    <w:rsid w:val="003C3A7C"/>
    <w:rsid w:val="003C3F71"/>
    <w:rsid w:val="003C4525"/>
    <w:rsid w:val="003C4C84"/>
    <w:rsid w:val="003C5077"/>
    <w:rsid w:val="003C5260"/>
    <w:rsid w:val="003C6576"/>
    <w:rsid w:val="003C730A"/>
    <w:rsid w:val="003D0B86"/>
    <w:rsid w:val="003D0FCD"/>
    <w:rsid w:val="003D19D1"/>
    <w:rsid w:val="003D2A8A"/>
    <w:rsid w:val="003D380A"/>
    <w:rsid w:val="003D41E5"/>
    <w:rsid w:val="003D4569"/>
    <w:rsid w:val="003D6864"/>
    <w:rsid w:val="003E00DB"/>
    <w:rsid w:val="003E065A"/>
    <w:rsid w:val="003E1917"/>
    <w:rsid w:val="003E214F"/>
    <w:rsid w:val="003E29CC"/>
    <w:rsid w:val="003E2EAA"/>
    <w:rsid w:val="003E3BB6"/>
    <w:rsid w:val="003E5974"/>
    <w:rsid w:val="003E6021"/>
    <w:rsid w:val="003E790A"/>
    <w:rsid w:val="003F051E"/>
    <w:rsid w:val="003F0D2F"/>
    <w:rsid w:val="003F19CE"/>
    <w:rsid w:val="003F266A"/>
    <w:rsid w:val="003F3694"/>
    <w:rsid w:val="003F39AE"/>
    <w:rsid w:val="003F48A0"/>
    <w:rsid w:val="003F4A4A"/>
    <w:rsid w:val="003F6835"/>
    <w:rsid w:val="003F687D"/>
    <w:rsid w:val="004000B4"/>
    <w:rsid w:val="00400940"/>
    <w:rsid w:val="00400D6A"/>
    <w:rsid w:val="00400F02"/>
    <w:rsid w:val="004010A7"/>
    <w:rsid w:val="00401167"/>
    <w:rsid w:val="00401649"/>
    <w:rsid w:val="00401E7B"/>
    <w:rsid w:val="00406172"/>
    <w:rsid w:val="004073E9"/>
    <w:rsid w:val="00407A49"/>
    <w:rsid w:val="00410474"/>
    <w:rsid w:val="00411510"/>
    <w:rsid w:val="00411921"/>
    <w:rsid w:val="00416E0E"/>
    <w:rsid w:val="004178F6"/>
    <w:rsid w:val="0042031A"/>
    <w:rsid w:val="004210BE"/>
    <w:rsid w:val="00423B3A"/>
    <w:rsid w:val="0042411D"/>
    <w:rsid w:val="004251D6"/>
    <w:rsid w:val="004258C2"/>
    <w:rsid w:val="00430C22"/>
    <w:rsid w:val="0043138E"/>
    <w:rsid w:val="004318B8"/>
    <w:rsid w:val="00431AF7"/>
    <w:rsid w:val="00431DFD"/>
    <w:rsid w:val="00432729"/>
    <w:rsid w:val="0043457E"/>
    <w:rsid w:val="004356AA"/>
    <w:rsid w:val="0043769C"/>
    <w:rsid w:val="00437738"/>
    <w:rsid w:val="00437D55"/>
    <w:rsid w:val="0044027B"/>
    <w:rsid w:val="00440741"/>
    <w:rsid w:val="00441214"/>
    <w:rsid w:val="004416A1"/>
    <w:rsid w:val="004417F3"/>
    <w:rsid w:val="004422B3"/>
    <w:rsid w:val="00442814"/>
    <w:rsid w:val="00442A18"/>
    <w:rsid w:val="0044369B"/>
    <w:rsid w:val="00444D8A"/>
    <w:rsid w:val="00446128"/>
    <w:rsid w:val="004461EF"/>
    <w:rsid w:val="00447CE9"/>
    <w:rsid w:val="00447D48"/>
    <w:rsid w:val="004511D2"/>
    <w:rsid w:val="00454403"/>
    <w:rsid w:val="00454DA6"/>
    <w:rsid w:val="004555DF"/>
    <w:rsid w:val="00455987"/>
    <w:rsid w:val="00457858"/>
    <w:rsid w:val="00457F31"/>
    <w:rsid w:val="0046009D"/>
    <w:rsid w:val="0046098A"/>
    <w:rsid w:val="00460E54"/>
    <w:rsid w:val="00462F93"/>
    <w:rsid w:val="004631DA"/>
    <w:rsid w:val="00464BA1"/>
    <w:rsid w:val="004659C7"/>
    <w:rsid w:val="00465C42"/>
    <w:rsid w:val="00466B78"/>
    <w:rsid w:val="00466ECA"/>
    <w:rsid w:val="0046741E"/>
    <w:rsid w:val="004710E4"/>
    <w:rsid w:val="00472DEA"/>
    <w:rsid w:val="0047328B"/>
    <w:rsid w:val="0047459E"/>
    <w:rsid w:val="00474EC8"/>
    <w:rsid w:val="0047616F"/>
    <w:rsid w:val="00480F7F"/>
    <w:rsid w:val="00481D22"/>
    <w:rsid w:val="00481E59"/>
    <w:rsid w:val="004824FC"/>
    <w:rsid w:val="0048252C"/>
    <w:rsid w:val="004840C8"/>
    <w:rsid w:val="004850F9"/>
    <w:rsid w:val="0048668D"/>
    <w:rsid w:val="004867C6"/>
    <w:rsid w:val="00487065"/>
    <w:rsid w:val="00487B7D"/>
    <w:rsid w:val="00487D35"/>
    <w:rsid w:val="00490E62"/>
    <w:rsid w:val="00491680"/>
    <w:rsid w:val="004920D9"/>
    <w:rsid w:val="00492CCA"/>
    <w:rsid w:val="00493357"/>
    <w:rsid w:val="00494C3F"/>
    <w:rsid w:val="00494D02"/>
    <w:rsid w:val="004953F9"/>
    <w:rsid w:val="00497811"/>
    <w:rsid w:val="004A0873"/>
    <w:rsid w:val="004A29D4"/>
    <w:rsid w:val="004A39DC"/>
    <w:rsid w:val="004A43A9"/>
    <w:rsid w:val="004A517F"/>
    <w:rsid w:val="004A5DCE"/>
    <w:rsid w:val="004A5E66"/>
    <w:rsid w:val="004A6FCC"/>
    <w:rsid w:val="004A72B1"/>
    <w:rsid w:val="004B0458"/>
    <w:rsid w:val="004B0974"/>
    <w:rsid w:val="004B09B5"/>
    <w:rsid w:val="004B0D06"/>
    <w:rsid w:val="004B13C9"/>
    <w:rsid w:val="004B22F9"/>
    <w:rsid w:val="004B3498"/>
    <w:rsid w:val="004B37F1"/>
    <w:rsid w:val="004B4C91"/>
    <w:rsid w:val="004B56F7"/>
    <w:rsid w:val="004B5D50"/>
    <w:rsid w:val="004B7476"/>
    <w:rsid w:val="004C17AE"/>
    <w:rsid w:val="004C20C0"/>
    <w:rsid w:val="004C445D"/>
    <w:rsid w:val="004C4962"/>
    <w:rsid w:val="004C4FE1"/>
    <w:rsid w:val="004C55F5"/>
    <w:rsid w:val="004C6794"/>
    <w:rsid w:val="004C71F2"/>
    <w:rsid w:val="004C7A8C"/>
    <w:rsid w:val="004C7D5A"/>
    <w:rsid w:val="004D053F"/>
    <w:rsid w:val="004D1AA0"/>
    <w:rsid w:val="004D1E95"/>
    <w:rsid w:val="004D2298"/>
    <w:rsid w:val="004D2661"/>
    <w:rsid w:val="004D3385"/>
    <w:rsid w:val="004D3649"/>
    <w:rsid w:val="004D3F79"/>
    <w:rsid w:val="004D4503"/>
    <w:rsid w:val="004D4F1F"/>
    <w:rsid w:val="004D51D1"/>
    <w:rsid w:val="004D57EB"/>
    <w:rsid w:val="004D6B82"/>
    <w:rsid w:val="004D7236"/>
    <w:rsid w:val="004D7DB9"/>
    <w:rsid w:val="004D7F92"/>
    <w:rsid w:val="004E2EC2"/>
    <w:rsid w:val="004E31CE"/>
    <w:rsid w:val="004E320C"/>
    <w:rsid w:val="004E3309"/>
    <w:rsid w:val="004E3500"/>
    <w:rsid w:val="004E3B20"/>
    <w:rsid w:val="004E4169"/>
    <w:rsid w:val="004E4B0A"/>
    <w:rsid w:val="004E5343"/>
    <w:rsid w:val="004E78B7"/>
    <w:rsid w:val="004E793F"/>
    <w:rsid w:val="004F0E1D"/>
    <w:rsid w:val="004F150B"/>
    <w:rsid w:val="004F1A55"/>
    <w:rsid w:val="004F1B82"/>
    <w:rsid w:val="004F30AC"/>
    <w:rsid w:val="004F40EA"/>
    <w:rsid w:val="004F4320"/>
    <w:rsid w:val="004F685A"/>
    <w:rsid w:val="004F7E94"/>
    <w:rsid w:val="00500D7A"/>
    <w:rsid w:val="0050111B"/>
    <w:rsid w:val="00501227"/>
    <w:rsid w:val="005012DA"/>
    <w:rsid w:val="00503094"/>
    <w:rsid w:val="005053D9"/>
    <w:rsid w:val="00505928"/>
    <w:rsid w:val="00507038"/>
    <w:rsid w:val="00507C85"/>
    <w:rsid w:val="0051097F"/>
    <w:rsid w:val="00511D9B"/>
    <w:rsid w:val="00512486"/>
    <w:rsid w:val="00512901"/>
    <w:rsid w:val="00512B99"/>
    <w:rsid w:val="00513DAD"/>
    <w:rsid w:val="00513DE0"/>
    <w:rsid w:val="005149E0"/>
    <w:rsid w:val="00515079"/>
    <w:rsid w:val="00515BA4"/>
    <w:rsid w:val="0051629D"/>
    <w:rsid w:val="005165BB"/>
    <w:rsid w:val="005168C7"/>
    <w:rsid w:val="00517338"/>
    <w:rsid w:val="0052015B"/>
    <w:rsid w:val="005207D8"/>
    <w:rsid w:val="00520B04"/>
    <w:rsid w:val="0052240C"/>
    <w:rsid w:val="00523B4F"/>
    <w:rsid w:val="00525F37"/>
    <w:rsid w:val="005262CA"/>
    <w:rsid w:val="00526C71"/>
    <w:rsid w:val="00526FF6"/>
    <w:rsid w:val="005276F1"/>
    <w:rsid w:val="00527C8B"/>
    <w:rsid w:val="00527FBE"/>
    <w:rsid w:val="00532286"/>
    <w:rsid w:val="0053382F"/>
    <w:rsid w:val="005363B4"/>
    <w:rsid w:val="00536BD3"/>
    <w:rsid w:val="005373A0"/>
    <w:rsid w:val="00543216"/>
    <w:rsid w:val="00544E00"/>
    <w:rsid w:val="0054596D"/>
    <w:rsid w:val="00546940"/>
    <w:rsid w:val="00546DA4"/>
    <w:rsid w:val="00550951"/>
    <w:rsid w:val="00550D3B"/>
    <w:rsid w:val="00551592"/>
    <w:rsid w:val="005516E7"/>
    <w:rsid w:val="00551763"/>
    <w:rsid w:val="00552E6A"/>
    <w:rsid w:val="005534E4"/>
    <w:rsid w:val="00556A78"/>
    <w:rsid w:val="00560CD3"/>
    <w:rsid w:val="00561388"/>
    <w:rsid w:val="005616CC"/>
    <w:rsid w:val="00561EC9"/>
    <w:rsid w:val="00562CD3"/>
    <w:rsid w:val="00562EB4"/>
    <w:rsid w:val="00563AE3"/>
    <w:rsid w:val="00566507"/>
    <w:rsid w:val="00566B72"/>
    <w:rsid w:val="005704A1"/>
    <w:rsid w:val="005705D9"/>
    <w:rsid w:val="00572206"/>
    <w:rsid w:val="00573A20"/>
    <w:rsid w:val="005747DB"/>
    <w:rsid w:val="00574834"/>
    <w:rsid w:val="0057600B"/>
    <w:rsid w:val="0057611C"/>
    <w:rsid w:val="0057625D"/>
    <w:rsid w:val="00577F7A"/>
    <w:rsid w:val="005806E2"/>
    <w:rsid w:val="00580E9C"/>
    <w:rsid w:val="00583434"/>
    <w:rsid w:val="005859EA"/>
    <w:rsid w:val="00585CAD"/>
    <w:rsid w:val="0058773B"/>
    <w:rsid w:val="00587C5D"/>
    <w:rsid w:val="00587CF4"/>
    <w:rsid w:val="005924B6"/>
    <w:rsid w:val="00592AB3"/>
    <w:rsid w:val="00592B4A"/>
    <w:rsid w:val="00592CE7"/>
    <w:rsid w:val="00592EC0"/>
    <w:rsid w:val="00593DA0"/>
    <w:rsid w:val="00596583"/>
    <w:rsid w:val="00597A9D"/>
    <w:rsid w:val="005A0082"/>
    <w:rsid w:val="005A00B1"/>
    <w:rsid w:val="005A0831"/>
    <w:rsid w:val="005A11F1"/>
    <w:rsid w:val="005A14D7"/>
    <w:rsid w:val="005A15B2"/>
    <w:rsid w:val="005A15FC"/>
    <w:rsid w:val="005A23E6"/>
    <w:rsid w:val="005A2BFA"/>
    <w:rsid w:val="005A32D0"/>
    <w:rsid w:val="005A3A43"/>
    <w:rsid w:val="005A5B33"/>
    <w:rsid w:val="005A6596"/>
    <w:rsid w:val="005A6928"/>
    <w:rsid w:val="005A72EC"/>
    <w:rsid w:val="005A75E0"/>
    <w:rsid w:val="005B1305"/>
    <w:rsid w:val="005B3479"/>
    <w:rsid w:val="005B39BF"/>
    <w:rsid w:val="005B498D"/>
    <w:rsid w:val="005B4B83"/>
    <w:rsid w:val="005B5992"/>
    <w:rsid w:val="005B605E"/>
    <w:rsid w:val="005B63FC"/>
    <w:rsid w:val="005B654F"/>
    <w:rsid w:val="005B733E"/>
    <w:rsid w:val="005C0BE9"/>
    <w:rsid w:val="005C2E52"/>
    <w:rsid w:val="005C3CE2"/>
    <w:rsid w:val="005C6645"/>
    <w:rsid w:val="005C6B03"/>
    <w:rsid w:val="005C74D7"/>
    <w:rsid w:val="005C7664"/>
    <w:rsid w:val="005C76A6"/>
    <w:rsid w:val="005C7D49"/>
    <w:rsid w:val="005C7D8F"/>
    <w:rsid w:val="005D337A"/>
    <w:rsid w:val="005D3B28"/>
    <w:rsid w:val="005D56B3"/>
    <w:rsid w:val="005D6E6B"/>
    <w:rsid w:val="005D7759"/>
    <w:rsid w:val="005E01ED"/>
    <w:rsid w:val="005E15F8"/>
    <w:rsid w:val="005E29ED"/>
    <w:rsid w:val="005E411C"/>
    <w:rsid w:val="005E4399"/>
    <w:rsid w:val="005E4435"/>
    <w:rsid w:val="005E4897"/>
    <w:rsid w:val="005E4BC6"/>
    <w:rsid w:val="005E5B17"/>
    <w:rsid w:val="005F1674"/>
    <w:rsid w:val="005F500A"/>
    <w:rsid w:val="005F7414"/>
    <w:rsid w:val="005F785A"/>
    <w:rsid w:val="00600E03"/>
    <w:rsid w:val="006010B1"/>
    <w:rsid w:val="00601388"/>
    <w:rsid w:val="0060193C"/>
    <w:rsid w:val="00601CB2"/>
    <w:rsid w:val="00603BD6"/>
    <w:rsid w:val="00603DFC"/>
    <w:rsid w:val="00604602"/>
    <w:rsid w:val="00605A25"/>
    <w:rsid w:val="0060608E"/>
    <w:rsid w:val="00606D97"/>
    <w:rsid w:val="00610EB1"/>
    <w:rsid w:val="00611EED"/>
    <w:rsid w:val="006125B6"/>
    <w:rsid w:val="006129A1"/>
    <w:rsid w:val="006132A9"/>
    <w:rsid w:val="00613D95"/>
    <w:rsid w:val="00614BBE"/>
    <w:rsid w:val="006152A6"/>
    <w:rsid w:val="0061673F"/>
    <w:rsid w:val="006214BC"/>
    <w:rsid w:val="00621A24"/>
    <w:rsid w:val="00622BB7"/>
    <w:rsid w:val="006242A1"/>
    <w:rsid w:val="006244C5"/>
    <w:rsid w:val="0062530C"/>
    <w:rsid w:val="00626355"/>
    <w:rsid w:val="0062784D"/>
    <w:rsid w:val="00631581"/>
    <w:rsid w:val="00631EAE"/>
    <w:rsid w:val="00632801"/>
    <w:rsid w:val="00632BED"/>
    <w:rsid w:val="006350B6"/>
    <w:rsid w:val="00635E17"/>
    <w:rsid w:val="00637480"/>
    <w:rsid w:val="00640318"/>
    <w:rsid w:val="006406AB"/>
    <w:rsid w:val="00640964"/>
    <w:rsid w:val="006427DF"/>
    <w:rsid w:val="00643133"/>
    <w:rsid w:val="00645718"/>
    <w:rsid w:val="0064685A"/>
    <w:rsid w:val="006479C1"/>
    <w:rsid w:val="00650077"/>
    <w:rsid w:val="00652BB2"/>
    <w:rsid w:val="00652D9E"/>
    <w:rsid w:val="006533CE"/>
    <w:rsid w:val="0065698B"/>
    <w:rsid w:val="00656D84"/>
    <w:rsid w:val="006575B1"/>
    <w:rsid w:val="00660309"/>
    <w:rsid w:val="00660A52"/>
    <w:rsid w:val="00663434"/>
    <w:rsid w:val="006635DF"/>
    <w:rsid w:val="00663D65"/>
    <w:rsid w:val="00665B0D"/>
    <w:rsid w:val="00666A18"/>
    <w:rsid w:val="00666B12"/>
    <w:rsid w:val="00672A42"/>
    <w:rsid w:val="00673EE4"/>
    <w:rsid w:val="006741FE"/>
    <w:rsid w:val="0067454A"/>
    <w:rsid w:val="006759AF"/>
    <w:rsid w:val="00675D3F"/>
    <w:rsid w:val="006764D2"/>
    <w:rsid w:val="006774B3"/>
    <w:rsid w:val="00677B73"/>
    <w:rsid w:val="00680873"/>
    <w:rsid w:val="006810C7"/>
    <w:rsid w:val="00681909"/>
    <w:rsid w:val="00681A56"/>
    <w:rsid w:val="00683E30"/>
    <w:rsid w:val="00684C9F"/>
    <w:rsid w:val="00685223"/>
    <w:rsid w:val="0068611A"/>
    <w:rsid w:val="00686930"/>
    <w:rsid w:val="00687287"/>
    <w:rsid w:val="00687DCE"/>
    <w:rsid w:val="00687ED3"/>
    <w:rsid w:val="00691099"/>
    <w:rsid w:val="00692176"/>
    <w:rsid w:val="006928CA"/>
    <w:rsid w:val="00693117"/>
    <w:rsid w:val="00693F97"/>
    <w:rsid w:val="00694624"/>
    <w:rsid w:val="00695312"/>
    <w:rsid w:val="006956DA"/>
    <w:rsid w:val="006A046A"/>
    <w:rsid w:val="006A04B4"/>
    <w:rsid w:val="006A0B77"/>
    <w:rsid w:val="006A0F76"/>
    <w:rsid w:val="006A259A"/>
    <w:rsid w:val="006A3505"/>
    <w:rsid w:val="006A4F5E"/>
    <w:rsid w:val="006A669F"/>
    <w:rsid w:val="006A76B1"/>
    <w:rsid w:val="006A7923"/>
    <w:rsid w:val="006B02F8"/>
    <w:rsid w:val="006B0CE4"/>
    <w:rsid w:val="006B18F0"/>
    <w:rsid w:val="006B5327"/>
    <w:rsid w:val="006B6EA5"/>
    <w:rsid w:val="006B7CF3"/>
    <w:rsid w:val="006B7DCE"/>
    <w:rsid w:val="006C04BF"/>
    <w:rsid w:val="006C15AF"/>
    <w:rsid w:val="006C1D77"/>
    <w:rsid w:val="006C285E"/>
    <w:rsid w:val="006C288C"/>
    <w:rsid w:val="006C2D62"/>
    <w:rsid w:val="006C41F5"/>
    <w:rsid w:val="006C55F4"/>
    <w:rsid w:val="006C6EBB"/>
    <w:rsid w:val="006C77C4"/>
    <w:rsid w:val="006C7943"/>
    <w:rsid w:val="006C7A04"/>
    <w:rsid w:val="006D074D"/>
    <w:rsid w:val="006D10E8"/>
    <w:rsid w:val="006D10F1"/>
    <w:rsid w:val="006D1111"/>
    <w:rsid w:val="006D1228"/>
    <w:rsid w:val="006D14F3"/>
    <w:rsid w:val="006D1A45"/>
    <w:rsid w:val="006D3BA4"/>
    <w:rsid w:val="006D57C5"/>
    <w:rsid w:val="006D5BDF"/>
    <w:rsid w:val="006E3407"/>
    <w:rsid w:val="006E3784"/>
    <w:rsid w:val="006E4001"/>
    <w:rsid w:val="006E4D7D"/>
    <w:rsid w:val="006E5E03"/>
    <w:rsid w:val="006E65F4"/>
    <w:rsid w:val="006E75FB"/>
    <w:rsid w:val="006F1F8D"/>
    <w:rsid w:val="006F2CA5"/>
    <w:rsid w:val="006F4B61"/>
    <w:rsid w:val="006F4BCF"/>
    <w:rsid w:val="006F6E63"/>
    <w:rsid w:val="006F6FE0"/>
    <w:rsid w:val="006F710C"/>
    <w:rsid w:val="006F7408"/>
    <w:rsid w:val="006F7A9E"/>
    <w:rsid w:val="007005C7"/>
    <w:rsid w:val="00701821"/>
    <w:rsid w:val="007039A9"/>
    <w:rsid w:val="00704386"/>
    <w:rsid w:val="007063A0"/>
    <w:rsid w:val="00706689"/>
    <w:rsid w:val="007077DA"/>
    <w:rsid w:val="00707BBD"/>
    <w:rsid w:val="00710B7D"/>
    <w:rsid w:val="00710E32"/>
    <w:rsid w:val="00710E6E"/>
    <w:rsid w:val="00711997"/>
    <w:rsid w:val="00712DDB"/>
    <w:rsid w:val="00714A2D"/>
    <w:rsid w:val="00715273"/>
    <w:rsid w:val="00715329"/>
    <w:rsid w:val="00717250"/>
    <w:rsid w:val="00721A56"/>
    <w:rsid w:val="00721AFB"/>
    <w:rsid w:val="00721B28"/>
    <w:rsid w:val="007230B0"/>
    <w:rsid w:val="00723DD6"/>
    <w:rsid w:val="007251F4"/>
    <w:rsid w:val="0072558F"/>
    <w:rsid w:val="00725C75"/>
    <w:rsid w:val="007265D5"/>
    <w:rsid w:val="0072682B"/>
    <w:rsid w:val="00727BBD"/>
    <w:rsid w:val="00727D9D"/>
    <w:rsid w:val="00730452"/>
    <w:rsid w:val="00730771"/>
    <w:rsid w:val="00731445"/>
    <w:rsid w:val="00731BF4"/>
    <w:rsid w:val="00731F5A"/>
    <w:rsid w:val="00733A31"/>
    <w:rsid w:val="00734797"/>
    <w:rsid w:val="00735485"/>
    <w:rsid w:val="00735F26"/>
    <w:rsid w:val="007364F1"/>
    <w:rsid w:val="007376A4"/>
    <w:rsid w:val="00737C01"/>
    <w:rsid w:val="00740385"/>
    <w:rsid w:val="00740D78"/>
    <w:rsid w:val="007453B4"/>
    <w:rsid w:val="00746D8C"/>
    <w:rsid w:val="007474CA"/>
    <w:rsid w:val="0074757C"/>
    <w:rsid w:val="00747F43"/>
    <w:rsid w:val="00750CE9"/>
    <w:rsid w:val="00751E53"/>
    <w:rsid w:val="00752417"/>
    <w:rsid w:val="00753D1D"/>
    <w:rsid w:val="0075424C"/>
    <w:rsid w:val="00754523"/>
    <w:rsid w:val="00754990"/>
    <w:rsid w:val="00755682"/>
    <w:rsid w:val="00757323"/>
    <w:rsid w:val="00760291"/>
    <w:rsid w:val="00762277"/>
    <w:rsid w:val="00762710"/>
    <w:rsid w:val="00766276"/>
    <w:rsid w:val="00766292"/>
    <w:rsid w:val="00767C14"/>
    <w:rsid w:val="00770526"/>
    <w:rsid w:val="00770A68"/>
    <w:rsid w:val="007723A2"/>
    <w:rsid w:val="007726ED"/>
    <w:rsid w:val="00772F2D"/>
    <w:rsid w:val="00774903"/>
    <w:rsid w:val="00774F35"/>
    <w:rsid w:val="00776357"/>
    <w:rsid w:val="00777A28"/>
    <w:rsid w:val="007813D9"/>
    <w:rsid w:val="00781D71"/>
    <w:rsid w:val="00781FEA"/>
    <w:rsid w:val="007830DA"/>
    <w:rsid w:val="007836B2"/>
    <w:rsid w:val="00783EDD"/>
    <w:rsid w:val="00783F88"/>
    <w:rsid w:val="00784ABE"/>
    <w:rsid w:val="00785754"/>
    <w:rsid w:val="00787754"/>
    <w:rsid w:val="00787BC3"/>
    <w:rsid w:val="00787EF9"/>
    <w:rsid w:val="007900C5"/>
    <w:rsid w:val="00791A9F"/>
    <w:rsid w:val="00791B74"/>
    <w:rsid w:val="0079359D"/>
    <w:rsid w:val="0079450C"/>
    <w:rsid w:val="00795B51"/>
    <w:rsid w:val="00796085"/>
    <w:rsid w:val="007974E5"/>
    <w:rsid w:val="00797673"/>
    <w:rsid w:val="00797828"/>
    <w:rsid w:val="007A04F7"/>
    <w:rsid w:val="007A0A52"/>
    <w:rsid w:val="007A14FD"/>
    <w:rsid w:val="007A2D7F"/>
    <w:rsid w:val="007A352D"/>
    <w:rsid w:val="007A366C"/>
    <w:rsid w:val="007A409F"/>
    <w:rsid w:val="007A5522"/>
    <w:rsid w:val="007B07FF"/>
    <w:rsid w:val="007B0D35"/>
    <w:rsid w:val="007B193B"/>
    <w:rsid w:val="007B1B0A"/>
    <w:rsid w:val="007B1BC0"/>
    <w:rsid w:val="007B32C7"/>
    <w:rsid w:val="007B445C"/>
    <w:rsid w:val="007B6010"/>
    <w:rsid w:val="007B6911"/>
    <w:rsid w:val="007B7022"/>
    <w:rsid w:val="007B78D9"/>
    <w:rsid w:val="007B7CB9"/>
    <w:rsid w:val="007B7F13"/>
    <w:rsid w:val="007C01A3"/>
    <w:rsid w:val="007C152C"/>
    <w:rsid w:val="007C24A7"/>
    <w:rsid w:val="007C2825"/>
    <w:rsid w:val="007D010B"/>
    <w:rsid w:val="007D039A"/>
    <w:rsid w:val="007D03D5"/>
    <w:rsid w:val="007D0884"/>
    <w:rsid w:val="007D2C8E"/>
    <w:rsid w:val="007D424A"/>
    <w:rsid w:val="007D49AB"/>
    <w:rsid w:val="007D5313"/>
    <w:rsid w:val="007D62DA"/>
    <w:rsid w:val="007D634B"/>
    <w:rsid w:val="007D6377"/>
    <w:rsid w:val="007D63CC"/>
    <w:rsid w:val="007D6A69"/>
    <w:rsid w:val="007D7EAD"/>
    <w:rsid w:val="007E146F"/>
    <w:rsid w:val="007E2788"/>
    <w:rsid w:val="007E49B9"/>
    <w:rsid w:val="007E4CB7"/>
    <w:rsid w:val="007E4D86"/>
    <w:rsid w:val="007E52C0"/>
    <w:rsid w:val="007E5878"/>
    <w:rsid w:val="007E630E"/>
    <w:rsid w:val="007E6833"/>
    <w:rsid w:val="007E7355"/>
    <w:rsid w:val="007E7A93"/>
    <w:rsid w:val="007E7C78"/>
    <w:rsid w:val="007F004D"/>
    <w:rsid w:val="007F0104"/>
    <w:rsid w:val="007F1BD9"/>
    <w:rsid w:val="007F220A"/>
    <w:rsid w:val="007F503E"/>
    <w:rsid w:val="007F51A8"/>
    <w:rsid w:val="007F5731"/>
    <w:rsid w:val="007F5B6B"/>
    <w:rsid w:val="007F6F73"/>
    <w:rsid w:val="007F75FE"/>
    <w:rsid w:val="007F7B15"/>
    <w:rsid w:val="007F7E48"/>
    <w:rsid w:val="00803422"/>
    <w:rsid w:val="00804820"/>
    <w:rsid w:val="0080596D"/>
    <w:rsid w:val="008061E8"/>
    <w:rsid w:val="008068E2"/>
    <w:rsid w:val="00807AB1"/>
    <w:rsid w:val="00810C61"/>
    <w:rsid w:val="00811746"/>
    <w:rsid w:val="008122A5"/>
    <w:rsid w:val="00812745"/>
    <w:rsid w:val="00813BB1"/>
    <w:rsid w:val="00813C40"/>
    <w:rsid w:val="00813EAD"/>
    <w:rsid w:val="00815F61"/>
    <w:rsid w:val="008170AA"/>
    <w:rsid w:val="008177E2"/>
    <w:rsid w:val="0082042F"/>
    <w:rsid w:val="00820531"/>
    <w:rsid w:val="0082143E"/>
    <w:rsid w:val="008226D4"/>
    <w:rsid w:val="0082321A"/>
    <w:rsid w:val="0082348B"/>
    <w:rsid w:val="00823E4B"/>
    <w:rsid w:val="00824653"/>
    <w:rsid w:val="008249F4"/>
    <w:rsid w:val="00825EB0"/>
    <w:rsid w:val="00827F46"/>
    <w:rsid w:val="00831D9C"/>
    <w:rsid w:val="0083222C"/>
    <w:rsid w:val="008329AC"/>
    <w:rsid w:val="00833C6C"/>
    <w:rsid w:val="008351C3"/>
    <w:rsid w:val="00835588"/>
    <w:rsid w:val="0083610C"/>
    <w:rsid w:val="00836643"/>
    <w:rsid w:val="008367C5"/>
    <w:rsid w:val="00836A1A"/>
    <w:rsid w:val="00837555"/>
    <w:rsid w:val="00837B77"/>
    <w:rsid w:val="00837E60"/>
    <w:rsid w:val="00840951"/>
    <w:rsid w:val="0084253D"/>
    <w:rsid w:val="0084392A"/>
    <w:rsid w:val="00843AD6"/>
    <w:rsid w:val="00845E63"/>
    <w:rsid w:val="008462E4"/>
    <w:rsid w:val="0085090C"/>
    <w:rsid w:val="00852246"/>
    <w:rsid w:val="0085238F"/>
    <w:rsid w:val="008531F7"/>
    <w:rsid w:val="0085511B"/>
    <w:rsid w:val="00856671"/>
    <w:rsid w:val="00856769"/>
    <w:rsid w:val="008572FB"/>
    <w:rsid w:val="00857B7C"/>
    <w:rsid w:val="0086041F"/>
    <w:rsid w:val="00863B95"/>
    <w:rsid w:val="00865D10"/>
    <w:rsid w:val="008667D1"/>
    <w:rsid w:val="0086706C"/>
    <w:rsid w:val="008702C4"/>
    <w:rsid w:val="0087083F"/>
    <w:rsid w:val="00870BA2"/>
    <w:rsid w:val="00871781"/>
    <w:rsid w:val="00871B34"/>
    <w:rsid w:val="0087230B"/>
    <w:rsid w:val="00872754"/>
    <w:rsid w:val="0087282F"/>
    <w:rsid w:val="00873D60"/>
    <w:rsid w:val="00874F70"/>
    <w:rsid w:val="0087560F"/>
    <w:rsid w:val="00875923"/>
    <w:rsid w:val="00876592"/>
    <w:rsid w:val="0087698B"/>
    <w:rsid w:val="00876C87"/>
    <w:rsid w:val="0087794B"/>
    <w:rsid w:val="00877F06"/>
    <w:rsid w:val="008802C8"/>
    <w:rsid w:val="00880D4C"/>
    <w:rsid w:val="00882526"/>
    <w:rsid w:val="00883D6C"/>
    <w:rsid w:val="0088408A"/>
    <w:rsid w:val="008840AE"/>
    <w:rsid w:val="008854FC"/>
    <w:rsid w:val="00885BF9"/>
    <w:rsid w:val="008901BD"/>
    <w:rsid w:val="00893057"/>
    <w:rsid w:val="008931EE"/>
    <w:rsid w:val="00893B13"/>
    <w:rsid w:val="00894A6B"/>
    <w:rsid w:val="00897A32"/>
    <w:rsid w:val="00897D91"/>
    <w:rsid w:val="00897FCC"/>
    <w:rsid w:val="008A13A3"/>
    <w:rsid w:val="008A1A63"/>
    <w:rsid w:val="008A1B8A"/>
    <w:rsid w:val="008A2762"/>
    <w:rsid w:val="008A3535"/>
    <w:rsid w:val="008A3FAA"/>
    <w:rsid w:val="008A44C9"/>
    <w:rsid w:val="008A494A"/>
    <w:rsid w:val="008A4A66"/>
    <w:rsid w:val="008A60AC"/>
    <w:rsid w:val="008A61BF"/>
    <w:rsid w:val="008B31C9"/>
    <w:rsid w:val="008B40EA"/>
    <w:rsid w:val="008B44B7"/>
    <w:rsid w:val="008C0AFD"/>
    <w:rsid w:val="008C1548"/>
    <w:rsid w:val="008C1995"/>
    <w:rsid w:val="008C2153"/>
    <w:rsid w:val="008C300F"/>
    <w:rsid w:val="008C3217"/>
    <w:rsid w:val="008C3236"/>
    <w:rsid w:val="008C4851"/>
    <w:rsid w:val="008C4AC2"/>
    <w:rsid w:val="008C5337"/>
    <w:rsid w:val="008C5610"/>
    <w:rsid w:val="008C5D7B"/>
    <w:rsid w:val="008C78C0"/>
    <w:rsid w:val="008C7E91"/>
    <w:rsid w:val="008D0602"/>
    <w:rsid w:val="008D0D87"/>
    <w:rsid w:val="008D163E"/>
    <w:rsid w:val="008D26C2"/>
    <w:rsid w:val="008D2C0C"/>
    <w:rsid w:val="008D3010"/>
    <w:rsid w:val="008D4A7B"/>
    <w:rsid w:val="008D4D8F"/>
    <w:rsid w:val="008D5953"/>
    <w:rsid w:val="008D5A0F"/>
    <w:rsid w:val="008D5D10"/>
    <w:rsid w:val="008D5F42"/>
    <w:rsid w:val="008E159E"/>
    <w:rsid w:val="008E1C42"/>
    <w:rsid w:val="008E1D90"/>
    <w:rsid w:val="008E2CEA"/>
    <w:rsid w:val="008E30F1"/>
    <w:rsid w:val="008E340D"/>
    <w:rsid w:val="008E3819"/>
    <w:rsid w:val="008E5F6F"/>
    <w:rsid w:val="008F09A4"/>
    <w:rsid w:val="008F0E2C"/>
    <w:rsid w:val="008F2030"/>
    <w:rsid w:val="008F20B1"/>
    <w:rsid w:val="008F2849"/>
    <w:rsid w:val="008F4546"/>
    <w:rsid w:val="008F5042"/>
    <w:rsid w:val="008F514D"/>
    <w:rsid w:val="008F5A34"/>
    <w:rsid w:val="008F5CC4"/>
    <w:rsid w:val="008F6945"/>
    <w:rsid w:val="008F6A75"/>
    <w:rsid w:val="008F7857"/>
    <w:rsid w:val="00901A6E"/>
    <w:rsid w:val="00902F88"/>
    <w:rsid w:val="00904B92"/>
    <w:rsid w:val="00905533"/>
    <w:rsid w:val="009060B6"/>
    <w:rsid w:val="00906C7A"/>
    <w:rsid w:val="00907054"/>
    <w:rsid w:val="009131EE"/>
    <w:rsid w:val="009141E7"/>
    <w:rsid w:val="0091551C"/>
    <w:rsid w:val="00916C5E"/>
    <w:rsid w:val="00917726"/>
    <w:rsid w:val="00920EF1"/>
    <w:rsid w:val="009211BD"/>
    <w:rsid w:val="009212BF"/>
    <w:rsid w:val="00921496"/>
    <w:rsid w:val="00922236"/>
    <w:rsid w:val="00922AEC"/>
    <w:rsid w:val="00922C1F"/>
    <w:rsid w:val="00923A8F"/>
    <w:rsid w:val="009240D8"/>
    <w:rsid w:val="00925575"/>
    <w:rsid w:val="009256D7"/>
    <w:rsid w:val="0093023B"/>
    <w:rsid w:val="009312E8"/>
    <w:rsid w:val="00931BAB"/>
    <w:rsid w:val="00932276"/>
    <w:rsid w:val="00932C81"/>
    <w:rsid w:val="009350E4"/>
    <w:rsid w:val="00936523"/>
    <w:rsid w:val="0093652E"/>
    <w:rsid w:val="00936792"/>
    <w:rsid w:val="009369F7"/>
    <w:rsid w:val="00937A12"/>
    <w:rsid w:val="00937AE8"/>
    <w:rsid w:val="009424C5"/>
    <w:rsid w:val="009435B3"/>
    <w:rsid w:val="009435EB"/>
    <w:rsid w:val="00944138"/>
    <w:rsid w:val="009442F5"/>
    <w:rsid w:val="009444E4"/>
    <w:rsid w:val="00944FB2"/>
    <w:rsid w:val="00945001"/>
    <w:rsid w:val="00945A97"/>
    <w:rsid w:val="00945C50"/>
    <w:rsid w:val="00946D9D"/>
    <w:rsid w:val="009470A9"/>
    <w:rsid w:val="0094748A"/>
    <w:rsid w:val="00950657"/>
    <w:rsid w:val="009514E7"/>
    <w:rsid w:val="0095198A"/>
    <w:rsid w:val="00952935"/>
    <w:rsid w:val="00953421"/>
    <w:rsid w:val="00953DA3"/>
    <w:rsid w:val="00953E12"/>
    <w:rsid w:val="00955863"/>
    <w:rsid w:val="00956B24"/>
    <w:rsid w:val="00957747"/>
    <w:rsid w:val="00957BA1"/>
    <w:rsid w:val="00960BF1"/>
    <w:rsid w:val="00961270"/>
    <w:rsid w:val="00961D26"/>
    <w:rsid w:val="00961E4F"/>
    <w:rsid w:val="00961E80"/>
    <w:rsid w:val="00962B0B"/>
    <w:rsid w:val="00963F91"/>
    <w:rsid w:val="009657AD"/>
    <w:rsid w:val="00965832"/>
    <w:rsid w:val="00966694"/>
    <w:rsid w:val="00967E84"/>
    <w:rsid w:val="009700C6"/>
    <w:rsid w:val="0097069D"/>
    <w:rsid w:val="00970C72"/>
    <w:rsid w:val="00971D5B"/>
    <w:rsid w:val="00971F3E"/>
    <w:rsid w:val="00972272"/>
    <w:rsid w:val="0097379D"/>
    <w:rsid w:val="00973F8C"/>
    <w:rsid w:val="00974DF3"/>
    <w:rsid w:val="00975E0F"/>
    <w:rsid w:val="00975E57"/>
    <w:rsid w:val="00976AAE"/>
    <w:rsid w:val="00980960"/>
    <w:rsid w:val="0098331C"/>
    <w:rsid w:val="00983DB5"/>
    <w:rsid w:val="00984649"/>
    <w:rsid w:val="0098477A"/>
    <w:rsid w:val="00984F64"/>
    <w:rsid w:val="0098506D"/>
    <w:rsid w:val="009870F2"/>
    <w:rsid w:val="0099055A"/>
    <w:rsid w:val="009914B9"/>
    <w:rsid w:val="00992918"/>
    <w:rsid w:val="00992AF8"/>
    <w:rsid w:val="009937DE"/>
    <w:rsid w:val="0099383F"/>
    <w:rsid w:val="00993C1E"/>
    <w:rsid w:val="00993DF9"/>
    <w:rsid w:val="00993F39"/>
    <w:rsid w:val="00994156"/>
    <w:rsid w:val="009965D1"/>
    <w:rsid w:val="0099726F"/>
    <w:rsid w:val="00997766"/>
    <w:rsid w:val="009979EE"/>
    <w:rsid w:val="009A06EA"/>
    <w:rsid w:val="009A3EE4"/>
    <w:rsid w:val="009A41AD"/>
    <w:rsid w:val="009A4442"/>
    <w:rsid w:val="009A4EF3"/>
    <w:rsid w:val="009A5AA9"/>
    <w:rsid w:val="009A626C"/>
    <w:rsid w:val="009A72AF"/>
    <w:rsid w:val="009A730F"/>
    <w:rsid w:val="009A797B"/>
    <w:rsid w:val="009A7AA9"/>
    <w:rsid w:val="009B3092"/>
    <w:rsid w:val="009B3809"/>
    <w:rsid w:val="009B46FA"/>
    <w:rsid w:val="009B5472"/>
    <w:rsid w:val="009B6C97"/>
    <w:rsid w:val="009B7104"/>
    <w:rsid w:val="009C0DCE"/>
    <w:rsid w:val="009C1A7E"/>
    <w:rsid w:val="009C24A8"/>
    <w:rsid w:val="009C2619"/>
    <w:rsid w:val="009C2E50"/>
    <w:rsid w:val="009C366D"/>
    <w:rsid w:val="009C3F16"/>
    <w:rsid w:val="009C4264"/>
    <w:rsid w:val="009C51B9"/>
    <w:rsid w:val="009C5354"/>
    <w:rsid w:val="009D1DD3"/>
    <w:rsid w:val="009D1EC7"/>
    <w:rsid w:val="009D2ABB"/>
    <w:rsid w:val="009D2B4B"/>
    <w:rsid w:val="009D34FD"/>
    <w:rsid w:val="009D491A"/>
    <w:rsid w:val="009D5603"/>
    <w:rsid w:val="009D585B"/>
    <w:rsid w:val="009D5B7A"/>
    <w:rsid w:val="009D66B7"/>
    <w:rsid w:val="009D7110"/>
    <w:rsid w:val="009E0208"/>
    <w:rsid w:val="009E0EFD"/>
    <w:rsid w:val="009E1186"/>
    <w:rsid w:val="009E16FD"/>
    <w:rsid w:val="009E1C59"/>
    <w:rsid w:val="009E211D"/>
    <w:rsid w:val="009E3154"/>
    <w:rsid w:val="009E37C5"/>
    <w:rsid w:val="009E3B4A"/>
    <w:rsid w:val="009E4525"/>
    <w:rsid w:val="009E5898"/>
    <w:rsid w:val="009E5A5D"/>
    <w:rsid w:val="009E5F75"/>
    <w:rsid w:val="009E6490"/>
    <w:rsid w:val="009E66F0"/>
    <w:rsid w:val="009E701D"/>
    <w:rsid w:val="009F0A7C"/>
    <w:rsid w:val="009F1F6A"/>
    <w:rsid w:val="009F214D"/>
    <w:rsid w:val="009F23BC"/>
    <w:rsid w:val="009F2545"/>
    <w:rsid w:val="009F3B51"/>
    <w:rsid w:val="009F4924"/>
    <w:rsid w:val="009F57B5"/>
    <w:rsid w:val="009F6A97"/>
    <w:rsid w:val="009F7482"/>
    <w:rsid w:val="00A02618"/>
    <w:rsid w:val="00A0290C"/>
    <w:rsid w:val="00A03F50"/>
    <w:rsid w:val="00A066A6"/>
    <w:rsid w:val="00A06926"/>
    <w:rsid w:val="00A06EEF"/>
    <w:rsid w:val="00A075A0"/>
    <w:rsid w:val="00A07AC3"/>
    <w:rsid w:val="00A07D73"/>
    <w:rsid w:val="00A1125C"/>
    <w:rsid w:val="00A115E7"/>
    <w:rsid w:val="00A124C4"/>
    <w:rsid w:val="00A13739"/>
    <w:rsid w:val="00A13F1E"/>
    <w:rsid w:val="00A15B8E"/>
    <w:rsid w:val="00A15DDE"/>
    <w:rsid w:val="00A15ED7"/>
    <w:rsid w:val="00A16346"/>
    <w:rsid w:val="00A1643C"/>
    <w:rsid w:val="00A16616"/>
    <w:rsid w:val="00A17F27"/>
    <w:rsid w:val="00A2047F"/>
    <w:rsid w:val="00A22812"/>
    <w:rsid w:val="00A22827"/>
    <w:rsid w:val="00A23FE5"/>
    <w:rsid w:val="00A252EC"/>
    <w:rsid w:val="00A25EDE"/>
    <w:rsid w:val="00A263E5"/>
    <w:rsid w:val="00A2641D"/>
    <w:rsid w:val="00A26879"/>
    <w:rsid w:val="00A269CC"/>
    <w:rsid w:val="00A27226"/>
    <w:rsid w:val="00A3126E"/>
    <w:rsid w:val="00A31FB8"/>
    <w:rsid w:val="00A32928"/>
    <w:rsid w:val="00A33A46"/>
    <w:rsid w:val="00A33C8B"/>
    <w:rsid w:val="00A33EF9"/>
    <w:rsid w:val="00A345DB"/>
    <w:rsid w:val="00A35A57"/>
    <w:rsid w:val="00A37962"/>
    <w:rsid w:val="00A37DF6"/>
    <w:rsid w:val="00A431B2"/>
    <w:rsid w:val="00A43683"/>
    <w:rsid w:val="00A43DE5"/>
    <w:rsid w:val="00A441A1"/>
    <w:rsid w:val="00A44343"/>
    <w:rsid w:val="00A447BA"/>
    <w:rsid w:val="00A453AA"/>
    <w:rsid w:val="00A455C2"/>
    <w:rsid w:val="00A45AA5"/>
    <w:rsid w:val="00A47466"/>
    <w:rsid w:val="00A47744"/>
    <w:rsid w:val="00A5054A"/>
    <w:rsid w:val="00A50E45"/>
    <w:rsid w:val="00A514C6"/>
    <w:rsid w:val="00A51E3C"/>
    <w:rsid w:val="00A523F0"/>
    <w:rsid w:val="00A5396C"/>
    <w:rsid w:val="00A54AB6"/>
    <w:rsid w:val="00A54D3B"/>
    <w:rsid w:val="00A563D4"/>
    <w:rsid w:val="00A56563"/>
    <w:rsid w:val="00A57D03"/>
    <w:rsid w:val="00A6043D"/>
    <w:rsid w:val="00A61663"/>
    <w:rsid w:val="00A62780"/>
    <w:rsid w:val="00A635DD"/>
    <w:rsid w:val="00A6583A"/>
    <w:rsid w:val="00A65CB3"/>
    <w:rsid w:val="00A66E9D"/>
    <w:rsid w:val="00A701FE"/>
    <w:rsid w:val="00A705DD"/>
    <w:rsid w:val="00A71C4C"/>
    <w:rsid w:val="00A71F87"/>
    <w:rsid w:val="00A72098"/>
    <w:rsid w:val="00A73566"/>
    <w:rsid w:val="00A76497"/>
    <w:rsid w:val="00A767C6"/>
    <w:rsid w:val="00A76C03"/>
    <w:rsid w:val="00A772B5"/>
    <w:rsid w:val="00A77C43"/>
    <w:rsid w:val="00A80652"/>
    <w:rsid w:val="00A8268F"/>
    <w:rsid w:val="00A82BD8"/>
    <w:rsid w:val="00A839EB"/>
    <w:rsid w:val="00A8518B"/>
    <w:rsid w:val="00A85963"/>
    <w:rsid w:val="00A85C8A"/>
    <w:rsid w:val="00A87157"/>
    <w:rsid w:val="00A90297"/>
    <w:rsid w:val="00A909F3"/>
    <w:rsid w:val="00A90F0D"/>
    <w:rsid w:val="00A91C67"/>
    <w:rsid w:val="00A927DD"/>
    <w:rsid w:val="00A92983"/>
    <w:rsid w:val="00A93747"/>
    <w:rsid w:val="00A940B4"/>
    <w:rsid w:val="00A94B6E"/>
    <w:rsid w:val="00A9623A"/>
    <w:rsid w:val="00A96303"/>
    <w:rsid w:val="00A96310"/>
    <w:rsid w:val="00A964F6"/>
    <w:rsid w:val="00A978B0"/>
    <w:rsid w:val="00A97BD6"/>
    <w:rsid w:val="00AA0C9A"/>
    <w:rsid w:val="00AA0D4D"/>
    <w:rsid w:val="00AA2B3E"/>
    <w:rsid w:val="00AA2E11"/>
    <w:rsid w:val="00AA38CC"/>
    <w:rsid w:val="00AA590D"/>
    <w:rsid w:val="00AA7C3D"/>
    <w:rsid w:val="00AB0EFB"/>
    <w:rsid w:val="00AB1121"/>
    <w:rsid w:val="00AB37E4"/>
    <w:rsid w:val="00AB3DD2"/>
    <w:rsid w:val="00AB54CB"/>
    <w:rsid w:val="00AB7246"/>
    <w:rsid w:val="00AB75EB"/>
    <w:rsid w:val="00AB7C2F"/>
    <w:rsid w:val="00AB7D5E"/>
    <w:rsid w:val="00AC0874"/>
    <w:rsid w:val="00AC26F2"/>
    <w:rsid w:val="00AC27E2"/>
    <w:rsid w:val="00AC2A25"/>
    <w:rsid w:val="00AC2CDB"/>
    <w:rsid w:val="00AC32A9"/>
    <w:rsid w:val="00AC3FE4"/>
    <w:rsid w:val="00AC564A"/>
    <w:rsid w:val="00AC5912"/>
    <w:rsid w:val="00AC5B2A"/>
    <w:rsid w:val="00AC6554"/>
    <w:rsid w:val="00AC6719"/>
    <w:rsid w:val="00AC743F"/>
    <w:rsid w:val="00AD0755"/>
    <w:rsid w:val="00AD0EB3"/>
    <w:rsid w:val="00AD1261"/>
    <w:rsid w:val="00AD3066"/>
    <w:rsid w:val="00AD3744"/>
    <w:rsid w:val="00AD5987"/>
    <w:rsid w:val="00AD59DB"/>
    <w:rsid w:val="00AD6033"/>
    <w:rsid w:val="00AD621A"/>
    <w:rsid w:val="00AE2158"/>
    <w:rsid w:val="00AE224E"/>
    <w:rsid w:val="00AE3658"/>
    <w:rsid w:val="00AE3DF3"/>
    <w:rsid w:val="00AE6054"/>
    <w:rsid w:val="00AF03B8"/>
    <w:rsid w:val="00AF05EF"/>
    <w:rsid w:val="00AF09C7"/>
    <w:rsid w:val="00AF1F67"/>
    <w:rsid w:val="00AF2EEC"/>
    <w:rsid w:val="00AF3E7C"/>
    <w:rsid w:val="00AF6A5E"/>
    <w:rsid w:val="00AF758B"/>
    <w:rsid w:val="00B00248"/>
    <w:rsid w:val="00B00640"/>
    <w:rsid w:val="00B01E76"/>
    <w:rsid w:val="00B02A33"/>
    <w:rsid w:val="00B03083"/>
    <w:rsid w:val="00B054AC"/>
    <w:rsid w:val="00B05EBC"/>
    <w:rsid w:val="00B0653A"/>
    <w:rsid w:val="00B073A4"/>
    <w:rsid w:val="00B07D59"/>
    <w:rsid w:val="00B114E2"/>
    <w:rsid w:val="00B138B1"/>
    <w:rsid w:val="00B13D07"/>
    <w:rsid w:val="00B14577"/>
    <w:rsid w:val="00B159BB"/>
    <w:rsid w:val="00B204C7"/>
    <w:rsid w:val="00B226F4"/>
    <w:rsid w:val="00B22831"/>
    <w:rsid w:val="00B23886"/>
    <w:rsid w:val="00B24687"/>
    <w:rsid w:val="00B253EC"/>
    <w:rsid w:val="00B25C58"/>
    <w:rsid w:val="00B266E6"/>
    <w:rsid w:val="00B26A03"/>
    <w:rsid w:val="00B26A2B"/>
    <w:rsid w:val="00B27797"/>
    <w:rsid w:val="00B301B0"/>
    <w:rsid w:val="00B30A0B"/>
    <w:rsid w:val="00B31986"/>
    <w:rsid w:val="00B333D0"/>
    <w:rsid w:val="00B34911"/>
    <w:rsid w:val="00B36E1F"/>
    <w:rsid w:val="00B37466"/>
    <w:rsid w:val="00B37DF3"/>
    <w:rsid w:val="00B402F8"/>
    <w:rsid w:val="00B411D7"/>
    <w:rsid w:val="00B41D36"/>
    <w:rsid w:val="00B41FE8"/>
    <w:rsid w:val="00B421F5"/>
    <w:rsid w:val="00B443E2"/>
    <w:rsid w:val="00B44FD2"/>
    <w:rsid w:val="00B45B2D"/>
    <w:rsid w:val="00B46224"/>
    <w:rsid w:val="00B526CD"/>
    <w:rsid w:val="00B529B3"/>
    <w:rsid w:val="00B5324F"/>
    <w:rsid w:val="00B544F0"/>
    <w:rsid w:val="00B55394"/>
    <w:rsid w:val="00B55561"/>
    <w:rsid w:val="00B560D1"/>
    <w:rsid w:val="00B5670E"/>
    <w:rsid w:val="00B60B77"/>
    <w:rsid w:val="00B6129A"/>
    <w:rsid w:val="00B616B3"/>
    <w:rsid w:val="00B61831"/>
    <w:rsid w:val="00B6192E"/>
    <w:rsid w:val="00B63424"/>
    <w:rsid w:val="00B65A0D"/>
    <w:rsid w:val="00B66523"/>
    <w:rsid w:val="00B66A98"/>
    <w:rsid w:val="00B67342"/>
    <w:rsid w:val="00B677AE"/>
    <w:rsid w:val="00B709F5"/>
    <w:rsid w:val="00B71790"/>
    <w:rsid w:val="00B72596"/>
    <w:rsid w:val="00B72EAF"/>
    <w:rsid w:val="00B731E3"/>
    <w:rsid w:val="00B7456D"/>
    <w:rsid w:val="00B7565D"/>
    <w:rsid w:val="00B7586A"/>
    <w:rsid w:val="00B771DD"/>
    <w:rsid w:val="00B771F7"/>
    <w:rsid w:val="00B80648"/>
    <w:rsid w:val="00B81F2F"/>
    <w:rsid w:val="00B82C60"/>
    <w:rsid w:val="00B82FBF"/>
    <w:rsid w:val="00B83081"/>
    <w:rsid w:val="00B8361A"/>
    <w:rsid w:val="00B83BF4"/>
    <w:rsid w:val="00B84549"/>
    <w:rsid w:val="00B84687"/>
    <w:rsid w:val="00B85CF3"/>
    <w:rsid w:val="00B8760C"/>
    <w:rsid w:val="00B9077E"/>
    <w:rsid w:val="00B90AB4"/>
    <w:rsid w:val="00B91E65"/>
    <w:rsid w:val="00B95B75"/>
    <w:rsid w:val="00B96C0F"/>
    <w:rsid w:val="00B979A0"/>
    <w:rsid w:val="00BA0895"/>
    <w:rsid w:val="00BA0A0D"/>
    <w:rsid w:val="00BA3647"/>
    <w:rsid w:val="00BA42DA"/>
    <w:rsid w:val="00BA5339"/>
    <w:rsid w:val="00BA55A8"/>
    <w:rsid w:val="00BA5CAD"/>
    <w:rsid w:val="00BA6C7F"/>
    <w:rsid w:val="00BA768B"/>
    <w:rsid w:val="00BB0317"/>
    <w:rsid w:val="00BB1935"/>
    <w:rsid w:val="00BB1D97"/>
    <w:rsid w:val="00BB2049"/>
    <w:rsid w:val="00BB20A3"/>
    <w:rsid w:val="00BB2C8A"/>
    <w:rsid w:val="00BB2D6A"/>
    <w:rsid w:val="00BB3078"/>
    <w:rsid w:val="00BB3D05"/>
    <w:rsid w:val="00BB5D95"/>
    <w:rsid w:val="00BB6023"/>
    <w:rsid w:val="00BB60E7"/>
    <w:rsid w:val="00BB7E70"/>
    <w:rsid w:val="00BC00F9"/>
    <w:rsid w:val="00BC03D4"/>
    <w:rsid w:val="00BC2CEA"/>
    <w:rsid w:val="00BC4801"/>
    <w:rsid w:val="00BC4925"/>
    <w:rsid w:val="00BC4DB0"/>
    <w:rsid w:val="00BC5A90"/>
    <w:rsid w:val="00BC6397"/>
    <w:rsid w:val="00BC6A7B"/>
    <w:rsid w:val="00BC6BD6"/>
    <w:rsid w:val="00BC7FA8"/>
    <w:rsid w:val="00BD05E5"/>
    <w:rsid w:val="00BD17BC"/>
    <w:rsid w:val="00BD2B86"/>
    <w:rsid w:val="00BD3725"/>
    <w:rsid w:val="00BD463C"/>
    <w:rsid w:val="00BD4968"/>
    <w:rsid w:val="00BD58CE"/>
    <w:rsid w:val="00BD65C8"/>
    <w:rsid w:val="00BD7194"/>
    <w:rsid w:val="00BD7EE1"/>
    <w:rsid w:val="00BD7F26"/>
    <w:rsid w:val="00BE0519"/>
    <w:rsid w:val="00BE140A"/>
    <w:rsid w:val="00BE1B0D"/>
    <w:rsid w:val="00BE2524"/>
    <w:rsid w:val="00BE2D38"/>
    <w:rsid w:val="00BE312C"/>
    <w:rsid w:val="00BE535F"/>
    <w:rsid w:val="00BE54B9"/>
    <w:rsid w:val="00BE59E0"/>
    <w:rsid w:val="00BE6F06"/>
    <w:rsid w:val="00BE7207"/>
    <w:rsid w:val="00BE783B"/>
    <w:rsid w:val="00BE787D"/>
    <w:rsid w:val="00BF0302"/>
    <w:rsid w:val="00BF08D4"/>
    <w:rsid w:val="00BF0C11"/>
    <w:rsid w:val="00BF13C8"/>
    <w:rsid w:val="00BF1BDE"/>
    <w:rsid w:val="00BF50EA"/>
    <w:rsid w:val="00BF59B2"/>
    <w:rsid w:val="00BF656E"/>
    <w:rsid w:val="00BF6B97"/>
    <w:rsid w:val="00BF7C07"/>
    <w:rsid w:val="00BF7DD8"/>
    <w:rsid w:val="00C004B4"/>
    <w:rsid w:val="00C025FF"/>
    <w:rsid w:val="00C032B1"/>
    <w:rsid w:val="00C0359C"/>
    <w:rsid w:val="00C03F8A"/>
    <w:rsid w:val="00C04FFE"/>
    <w:rsid w:val="00C05EA4"/>
    <w:rsid w:val="00C06808"/>
    <w:rsid w:val="00C069CB"/>
    <w:rsid w:val="00C06CE8"/>
    <w:rsid w:val="00C07A44"/>
    <w:rsid w:val="00C10416"/>
    <w:rsid w:val="00C11359"/>
    <w:rsid w:val="00C117DB"/>
    <w:rsid w:val="00C121D3"/>
    <w:rsid w:val="00C14739"/>
    <w:rsid w:val="00C15A3B"/>
    <w:rsid w:val="00C160E1"/>
    <w:rsid w:val="00C177BE"/>
    <w:rsid w:val="00C20D67"/>
    <w:rsid w:val="00C229D1"/>
    <w:rsid w:val="00C22F98"/>
    <w:rsid w:val="00C245B9"/>
    <w:rsid w:val="00C30A07"/>
    <w:rsid w:val="00C30B06"/>
    <w:rsid w:val="00C32802"/>
    <w:rsid w:val="00C342F1"/>
    <w:rsid w:val="00C348FD"/>
    <w:rsid w:val="00C35558"/>
    <w:rsid w:val="00C36ED1"/>
    <w:rsid w:val="00C372B3"/>
    <w:rsid w:val="00C40750"/>
    <w:rsid w:val="00C42DF6"/>
    <w:rsid w:val="00C43541"/>
    <w:rsid w:val="00C43AEF"/>
    <w:rsid w:val="00C43C3D"/>
    <w:rsid w:val="00C43F4A"/>
    <w:rsid w:val="00C4437F"/>
    <w:rsid w:val="00C4444B"/>
    <w:rsid w:val="00C446E8"/>
    <w:rsid w:val="00C447CF"/>
    <w:rsid w:val="00C44A64"/>
    <w:rsid w:val="00C4542D"/>
    <w:rsid w:val="00C45BDD"/>
    <w:rsid w:val="00C46600"/>
    <w:rsid w:val="00C47723"/>
    <w:rsid w:val="00C47A75"/>
    <w:rsid w:val="00C47AD3"/>
    <w:rsid w:val="00C514A2"/>
    <w:rsid w:val="00C52C8F"/>
    <w:rsid w:val="00C52F52"/>
    <w:rsid w:val="00C5410B"/>
    <w:rsid w:val="00C54201"/>
    <w:rsid w:val="00C54B4A"/>
    <w:rsid w:val="00C56628"/>
    <w:rsid w:val="00C566A0"/>
    <w:rsid w:val="00C6043D"/>
    <w:rsid w:val="00C60CF1"/>
    <w:rsid w:val="00C613D9"/>
    <w:rsid w:val="00C6197F"/>
    <w:rsid w:val="00C6281C"/>
    <w:rsid w:val="00C63A30"/>
    <w:rsid w:val="00C63B1D"/>
    <w:rsid w:val="00C648CB"/>
    <w:rsid w:val="00C660C3"/>
    <w:rsid w:val="00C66926"/>
    <w:rsid w:val="00C67B02"/>
    <w:rsid w:val="00C7187C"/>
    <w:rsid w:val="00C71CC4"/>
    <w:rsid w:val="00C71FA2"/>
    <w:rsid w:val="00C73631"/>
    <w:rsid w:val="00C73C57"/>
    <w:rsid w:val="00C74527"/>
    <w:rsid w:val="00C750FB"/>
    <w:rsid w:val="00C75338"/>
    <w:rsid w:val="00C75503"/>
    <w:rsid w:val="00C76654"/>
    <w:rsid w:val="00C769B2"/>
    <w:rsid w:val="00C77382"/>
    <w:rsid w:val="00C80575"/>
    <w:rsid w:val="00C81007"/>
    <w:rsid w:val="00C8111E"/>
    <w:rsid w:val="00C819DC"/>
    <w:rsid w:val="00C82A0E"/>
    <w:rsid w:val="00C83B45"/>
    <w:rsid w:val="00C83C6D"/>
    <w:rsid w:val="00C8509D"/>
    <w:rsid w:val="00C8613A"/>
    <w:rsid w:val="00C86666"/>
    <w:rsid w:val="00C86A67"/>
    <w:rsid w:val="00C87388"/>
    <w:rsid w:val="00C87638"/>
    <w:rsid w:val="00C90B17"/>
    <w:rsid w:val="00C90FBA"/>
    <w:rsid w:val="00C91F69"/>
    <w:rsid w:val="00C9275C"/>
    <w:rsid w:val="00C92DFC"/>
    <w:rsid w:val="00C92DFE"/>
    <w:rsid w:val="00C9523E"/>
    <w:rsid w:val="00C96FE7"/>
    <w:rsid w:val="00C97D18"/>
    <w:rsid w:val="00CA09E7"/>
    <w:rsid w:val="00CA151C"/>
    <w:rsid w:val="00CA1EB5"/>
    <w:rsid w:val="00CA2944"/>
    <w:rsid w:val="00CA4072"/>
    <w:rsid w:val="00CA45D3"/>
    <w:rsid w:val="00CA5DBD"/>
    <w:rsid w:val="00CA70D7"/>
    <w:rsid w:val="00CA7296"/>
    <w:rsid w:val="00CB16AB"/>
    <w:rsid w:val="00CB2843"/>
    <w:rsid w:val="00CB353B"/>
    <w:rsid w:val="00CB38D5"/>
    <w:rsid w:val="00CB3ACB"/>
    <w:rsid w:val="00CB5962"/>
    <w:rsid w:val="00CB5B52"/>
    <w:rsid w:val="00CB662A"/>
    <w:rsid w:val="00CB66AA"/>
    <w:rsid w:val="00CB677B"/>
    <w:rsid w:val="00CB7CC1"/>
    <w:rsid w:val="00CC2806"/>
    <w:rsid w:val="00CC431D"/>
    <w:rsid w:val="00CC59BB"/>
    <w:rsid w:val="00CC60A7"/>
    <w:rsid w:val="00CC7234"/>
    <w:rsid w:val="00CD0066"/>
    <w:rsid w:val="00CD407C"/>
    <w:rsid w:val="00CD40E1"/>
    <w:rsid w:val="00CD4907"/>
    <w:rsid w:val="00CD4AAE"/>
    <w:rsid w:val="00CD4D5C"/>
    <w:rsid w:val="00CD5931"/>
    <w:rsid w:val="00CD5E8C"/>
    <w:rsid w:val="00CD68F7"/>
    <w:rsid w:val="00CE0A14"/>
    <w:rsid w:val="00CE0EAD"/>
    <w:rsid w:val="00CE0F35"/>
    <w:rsid w:val="00CE121B"/>
    <w:rsid w:val="00CE13A0"/>
    <w:rsid w:val="00CE192C"/>
    <w:rsid w:val="00CE236B"/>
    <w:rsid w:val="00CE286C"/>
    <w:rsid w:val="00CE2912"/>
    <w:rsid w:val="00CE2C9D"/>
    <w:rsid w:val="00CE32DC"/>
    <w:rsid w:val="00CE3842"/>
    <w:rsid w:val="00CE44E3"/>
    <w:rsid w:val="00CE484C"/>
    <w:rsid w:val="00CE4D09"/>
    <w:rsid w:val="00CE5014"/>
    <w:rsid w:val="00CE6068"/>
    <w:rsid w:val="00CE6D02"/>
    <w:rsid w:val="00CE74C3"/>
    <w:rsid w:val="00CE7894"/>
    <w:rsid w:val="00CF03B1"/>
    <w:rsid w:val="00CF08CD"/>
    <w:rsid w:val="00CF0AA2"/>
    <w:rsid w:val="00CF232B"/>
    <w:rsid w:val="00CF483F"/>
    <w:rsid w:val="00CF4F2C"/>
    <w:rsid w:val="00CF56EB"/>
    <w:rsid w:val="00CF5C76"/>
    <w:rsid w:val="00CF781A"/>
    <w:rsid w:val="00D001FF"/>
    <w:rsid w:val="00D00558"/>
    <w:rsid w:val="00D00930"/>
    <w:rsid w:val="00D00ACD"/>
    <w:rsid w:val="00D01104"/>
    <w:rsid w:val="00D02813"/>
    <w:rsid w:val="00D03736"/>
    <w:rsid w:val="00D03F2C"/>
    <w:rsid w:val="00D047B6"/>
    <w:rsid w:val="00D06113"/>
    <w:rsid w:val="00D06211"/>
    <w:rsid w:val="00D06702"/>
    <w:rsid w:val="00D06DB6"/>
    <w:rsid w:val="00D07FA3"/>
    <w:rsid w:val="00D10DC3"/>
    <w:rsid w:val="00D114D0"/>
    <w:rsid w:val="00D11E52"/>
    <w:rsid w:val="00D153BE"/>
    <w:rsid w:val="00D1626F"/>
    <w:rsid w:val="00D214EB"/>
    <w:rsid w:val="00D2199C"/>
    <w:rsid w:val="00D231F4"/>
    <w:rsid w:val="00D23C13"/>
    <w:rsid w:val="00D2450E"/>
    <w:rsid w:val="00D24776"/>
    <w:rsid w:val="00D248EA"/>
    <w:rsid w:val="00D25C87"/>
    <w:rsid w:val="00D26183"/>
    <w:rsid w:val="00D307BA"/>
    <w:rsid w:val="00D312BF"/>
    <w:rsid w:val="00D318F5"/>
    <w:rsid w:val="00D31C74"/>
    <w:rsid w:val="00D332F0"/>
    <w:rsid w:val="00D337B9"/>
    <w:rsid w:val="00D33FD7"/>
    <w:rsid w:val="00D34CCB"/>
    <w:rsid w:val="00D40AB7"/>
    <w:rsid w:val="00D41288"/>
    <w:rsid w:val="00D426AA"/>
    <w:rsid w:val="00D430EA"/>
    <w:rsid w:val="00D4404C"/>
    <w:rsid w:val="00D442E6"/>
    <w:rsid w:val="00D44C5A"/>
    <w:rsid w:val="00D44D25"/>
    <w:rsid w:val="00D459B5"/>
    <w:rsid w:val="00D463D6"/>
    <w:rsid w:val="00D46AE9"/>
    <w:rsid w:val="00D473B9"/>
    <w:rsid w:val="00D47B31"/>
    <w:rsid w:val="00D50C48"/>
    <w:rsid w:val="00D521E0"/>
    <w:rsid w:val="00D5278C"/>
    <w:rsid w:val="00D5282D"/>
    <w:rsid w:val="00D52CE7"/>
    <w:rsid w:val="00D532C8"/>
    <w:rsid w:val="00D556FD"/>
    <w:rsid w:val="00D55FBF"/>
    <w:rsid w:val="00D56C99"/>
    <w:rsid w:val="00D56E03"/>
    <w:rsid w:val="00D60292"/>
    <w:rsid w:val="00D604C1"/>
    <w:rsid w:val="00D60E3C"/>
    <w:rsid w:val="00D61E8E"/>
    <w:rsid w:val="00D62446"/>
    <w:rsid w:val="00D62CC2"/>
    <w:rsid w:val="00D62D7C"/>
    <w:rsid w:val="00D630DC"/>
    <w:rsid w:val="00D63532"/>
    <w:rsid w:val="00D63DD6"/>
    <w:rsid w:val="00D63F49"/>
    <w:rsid w:val="00D64DD3"/>
    <w:rsid w:val="00D65080"/>
    <w:rsid w:val="00D661D5"/>
    <w:rsid w:val="00D673D1"/>
    <w:rsid w:val="00D70C09"/>
    <w:rsid w:val="00D71199"/>
    <w:rsid w:val="00D713B8"/>
    <w:rsid w:val="00D72B64"/>
    <w:rsid w:val="00D7395E"/>
    <w:rsid w:val="00D7440D"/>
    <w:rsid w:val="00D74A95"/>
    <w:rsid w:val="00D75AAD"/>
    <w:rsid w:val="00D75AED"/>
    <w:rsid w:val="00D7795F"/>
    <w:rsid w:val="00D80403"/>
    <w:rsid w:val="00D82D74"/>
    <w:rsid w:val="00D8433F"/>
    <w:rsid w:val="00D845B1"/>
    <w:rsid w:val="00D84652"/>
    <w:rsid w:val="00D85F18"/>
    <w:rsid w:val="00D85F66"/>
    <w:rsid w:val="00D903FC"/>
    <w:rsid w:val="00D93D51"/>
    <w:rsid w:val="00D9501B"/>
    <w:rsid w:val="00D95265"/>
    <w:rsid w:val="00D95809"/>
    <w:rsid w:val="00D97168"/>
    <w:rsid w:val="00DA03DA"/>
    <w:rsid w:val="00DA09C8"/>
    <w:rsid w:val="00DA19C3"/>
    <w:rsid w:val="00DA20C9"/>
    <w:rsid w:val="00DA237D"/>
    <w:rsid w:val="00DA2AB7"/>
    <w:rsid w:val="00DA3B3F"/>
    <w:rsid w:val="00DA7A53"/>
    <w:rsid w:val="00DB0379"/>
    <w:rsid w:val="00DB0534"/>
    <w:rsid w:val="00DB0BA3"/>
    <w:rsid w:val="00DB1125"/>
    <w:rsid w:val="00DB1692"/>
    <w:rsid w:val="00DB22AD"/>
    <w:rsid w:val="00DB359E"/>
    <w:rsid w:val="00DB3732"/>
    <w:rsid w:val="00DB38B4"/>
    <w:rsid w:val="00DB39C1"/>
    <w:rsid w:val="00DB48FD"/>
    <w:rsid w:val="00DB59BA"/>
    <w:rsid w:val="00DB6451"/>
    <w:rsid w:val="00DB67AB"/>
    <w:rsid w:val="00DC0D0B"/>
    <w:rsid w:val="00DC15AC"/>
    <w:rsid w:val="00DC20B1"/>
    <w:rsid w:val="00DC43C1"/>
    <w:rsid w:val="00DC588A"/>
    <w:rsid w:val="00DC7A1A"/>
    <w:rsid w:val="00DC7F02"/>
    <w:rsid w:val="00DD0E56"/>
    <w:rsid w:val="00DD3EDE"/>
    <w:rsid w:val="00DD3FFA"/>
    <w:rsid w:val="00DD40FD"/>
    <w:rsid w:val="00DD5D8E"/>
    <w:rsid w:val="00DE08D2"/>
    <w:rsid w:val="00DE0DF8"/>
    <w:rsid w:val="00DE3032"/>
    <w:rsid w:val="00DE36E4"/>
    <w:rsid w:val="00DE4D72"/>
    <w:rsid w:val="00DE50C8"/>
    <w:rsid w:val="00DE58AE"/>
    <w:rsid w:val="00DF07C6"/>
    <w:rsid w:val="00DF1A3A"/>
    <w:rsid w:val="00DF1CBE"/>
    <w:rsid w:val="00DF2FF4"/>
    <w:rsid w:val="00DF303F"/>
    <w:rsid w:val="00DF3716"/>
    <w:rsid w:val="00DF4A0B"/>
    <w:rsid w:val="00DF4EA9"/>
    <w:rsid w:val="00DF587D"/>
    <w:rsid w:val="00DF6226"/>
    <w:rsid w:val="00DF64E0"/>
    <w:rsid w:val="00DF726F"/>
    <w:rsid w:val="00DF7CA2"/>
    <w:rsid w:val="00E00B06"/>
    <w:rsid w:val="00E01446"/>
    <w:rsid w:val="00E01C81"/>
    <w:rsid w:val="00E02A7B"/>
    <w:rsid w:val="00E03253"/>
    <w:rsid w:val="00E06C2B"/>
    <w:rsid w:val="00E07584"/>
    <w:rsid w:val="00E07ED6"/>
    <w:rsid w:val="00E111E6"/>
    <w:rsid w:val="00E11CC6"/>
    <w:rsid w:val="00E12387"/>
    <w:rsid w:val="00E13217"/>
    <w:rsid w:val="00E1377E"/>
    <w:rsid w:val="00E1391E"/>
    <w:rsid w:val="00E14819"/>
    <w:rsid w:val="00E14E8F"/>
    <w:rsid w:val="00E1525D"/>
    <w:rsid w:val="00E16037"/>
    <w:rsid w:val="00E16BC7"/>
    <w:rsid w:val="00E16D74"/>
    <w:rsid w:val="00E20422"/>
    <w:rsid w:val="00E205C8"/>
    <w:rsid w:val="00E20C04"/>
    <w:rsid w:val="00E20D54"/>
    <w:rsid w:val="00E20F12"/>
    <w:rsid w:val="00E22964"/>
    <w:rsid w:val="00E23D01"/>
    <w:rsid w:val="00E23FFB"/>
    <w:rsid w:val="00E25467"/>
    <w:rsid w:val="00E26257"/>
    <w:rsid w:val="00E2644F"/>
    <w:rsid w:val="00E2685A"/>
    <w:rsid w:val="00E270FD"/>
    <w:rsid w:val="00E277A5"/>
    <w:rsid w:val="00E27B99"/>
    <w:rsid w:val="00E30D26"/>
    <w:rsid w:val="00E3180F"/>
    <w:rsid w:val="00E36A99"/>
    <w:rsid w:val="00E378C8"/>
    <w:rsid w:val="00E4037F"/>
    <w:rsid w:val="00E40723"/>
    <w:rsid w:val="00E40810"/>
    <w:rsid w:val="00E40AB8"/>
    <w:rsid w:val="00E41420"/>
    <w:rsid w:val="00E43FFC"/>
    <w:rsid w:val="00E449B0"/>
    <w:rsid w:val="00E45361"/>
    <w:rsid w:val="00E45DE0"/>
    <w:rsid w:val="00E45FB8"/>
    <w:rsid w:val="00E46E1E"/>
    <w:rsid w:val="00E47A7A"/>
    <w:rsid w:val="00E47FD4"/>
    <w:rsid w:val="00E50109"/>
    <w:rsid w:val="00E501E2"/>
    <w:rsid w:val="00E50D3F"/>
    <w:rsid w:val="00E53501"/>
    <w:rsid w:val="00E603F5"/>
    <w:rsid w:val="00E60597"/>
    <w:rsid w:val="00E606BA"/>
    <w:rsid w:val="00E60B1D"/>
    <w:rsid w:val="00E60DE8"/>
    <w:rsid w:val="00E61B26"/>
    <w:rsid w:val="00E61CE5"/>
    <w:rsid w:val="00E62BBB"/>
    <w:rsid w:val="00E65815"/>
    <w:rsid w:val="00E6637B"/>
    <w:rsid w:val="00E67045"/>
    <w:rsid w:val="00E6779C"/>
    <w:rsid w:val="00E67873"/>
    <w:rsid w:val="00E71676"/>
    <w:rsid w:val="00E73542"/>
    <w:rsid w:val="00E759BB"/>
    <w:rsid w:val="00E75A57"/>
    <w:rsid w:val="00E75AB5"/>
    <w:rsid w:val="00E75D65"/>
    <w:rsid w:val="00E75DBF"/>
    <w:rsid w:val="00E77990"/>
    <w:rsid w:val="00E80BD6"/>
    <w:rsid w:val="00E80FF2"/>
    <w:rsid w:val="00E8329A"/>
    <w:rsid w:val="00E853C8"/>
    <w:rsid w:val="00E85740"/>
    <w:rsid w:val="00E86211"/>
    <w:rsid w:val="00E86450"/>
    <w:rsid w:val="00E867C8"/>
    <w:rsid w:val="00E86E91"/>
    <w:rsid w:val="00E87A79"/>
    <w:rsid w:val="00E9026A"/>
    <w:rsid w:val="00E915F9"/>
    <w:rsid w:val="00E9181F"/>
    <w:rsid w:val="00E925B0"/>
    <w:rsid w:val="00E92905"/>
    <w:rsid w:val="00E92C53"/>
    <w:rsid w:val="00E93E2A"/>
    <w:rsid w:val="00E94AD5"/>
    <w:rsid w:val="00E958A0"/>
    <w:rsid w:val="00E96234"/>
    <w:rsid w:val="00EA0095"/>
    <w:rsid w:val="00EA0320"/>
    <w:rsid w:val="00EA14C5"/>
    <w:rsid w:val="00EA1C4D"/>
    <w:rsid w:val="00EA517F"/>
    <w:rsid w:val="00EA67A4"/>
    <w:rsid w:val="00EA6F99"/>
    <w:rsid w:val="00EA76F3"/>
    <w:rsid w:val="00EA7814"/>
    <w:rsid w:val="00EB1F12"/>
    <w:rsid w:val="00EB23AB"/>
    <w:rsid w:val="00EB294A"/>
    <w:rsid w:val="00EB2B87"/>
    <w:rsid w:val="00EB36B5"/>
    <w:rsid w:val="00EB3F15"/>
    <w:rsid w:val="00EB4E05"/>
    <w:rsid w:val="00EB509D"/>
    <w:rsid w:val="00EB5308"/>
    <w:rsid w:val="00EB5BEE"/>
    <w:rsid w:val="00EB6AB8"/>
    <w:rsid w:val="00EB6FAF"/>
    <w:rsid w:val="00EB72E3"/>
    <w:rsid w:val="00EC1297"/>
    <w:rsid w:val="00EC1596"/>
    <w:rsid w:val="00EC1D99"/>
    <w:rsid w:val="00EC35D5"/>
    <w:rsid w:val="00EC38EC"/>
    <w:rsid w:val="00EC426D"/>
    <w:rsid w:val="00EC42BA"/>
    <w:rsid w:val="00EC46CD"/>
    <w:rsid w:val="00EC4916"/>
    <w:rsid w:val="00EC6105"/>
    <w:rsid w:val="00EC665F"/>
    <w:rsid w:val="00EC7675"/>
    <w:rsid w:val="00EC7E87"/>
    <w:rsid w:val="00ED0160"/>
    <w:rsid w:val="00ED0590"/>
    <w:rsid w:val="00ED065C"/>
    <w:rsid w:val="00ED0B58"/>
    <w:rsid w:val="00ED27E2"/>
    <w:rsid w:val="00ED30E3"/>
    <w:rsid w:val="00ED3B0B"/>
    <w:rsid w:val="00ED4C9A"/>
    <w:rsid w:val="00ED74ED"/>
    <w:rsid w:val="00EE05EB"/>
    <w:rsid w:val="00EE0D8D"/>
    <w:rsid w:val="00EE1A50"/>
    <w:rsid w:val="00EE1A84"/>
    <w:rsid w:val="00EE1D4C"/>
    <w:rsid w:val="00EE26AD"/>
    <w:rsid w:val="00EE300B"/>
    <w:rsid w:val="00EE369D"/>
    <w:rsid w:val="00EE3DB8"/>
    <w:rsid w:val="00EE4AE7"/>
    <w:rsid w:val="00EE4B88"/>
    <w:rsid w:val="00EE6F70"/>
    <w:rsid w:val="00EF2BB9"/>
    <w:rsid w:val="00EF33B4"/>
    <w:rsid w:val="00EF5C87"/>
    <w:rsid w:val="00F014DD"/>
    <w:rsid w:val="00F015A7"/>
    <w:rsid w:val="00F02387"/>
    <w:rsid w:val="00F032A2"/>
    <w:rsid w:val="00F073D3"/>
    <w:rsid w:val="00F077D4"/>
    <w:rsid w:val="00F10D99"/>
    <w:rsid w:val="00F11408"/>
    <w:rsid w:val="00F14736"/>
    <w:rsid w:val="00F15A11"/>
    <w:rsid w:val="00F15E2A"/>
    <w:rsid w:val="00F16CC4"/>
    <w:rsid w:val="00F1769F"/>
    <w:rsid w:val="00F20A96"/>
    <w:rsid w:val="00F20B74"/>
    <w:rsid w:val="00F21077"/>
    <w:rsid w:val="00F22682"/>
    <w:rsid w:val="00F2286C"/>
    <w:rsid w:val="00F23E7D"/>
    <w:rsid w:val="00F24492"/>
    <w:rsid w:val="00F247B7"/>
    <w:rsid w:val="00F25881"/>
    <w:rsid w:val="00F259B9"/>
    <w:rsid w:val="00F266D9"/>
    <w:rsid w:val="00F277FD"/>
    <w:rsid w:val="00F27A03"/>
    <w:rsid w:val="00F332AB"/>
    <w:rsid w:val="00F34A3A"/>
    <w:rsid w:val="00F35682"/>
    <w:rsid w:val="00F40A01"/>
    <w:rsid w:val="00F4125F"/>
    <w:rsid w:val="00F417EA"/>
    <w:rsid w:val="00F42EC6"/>
    <w:rsid w:val="00F441C7"/>
    <w:rsid w:val="00F44910"/>
    <w:rsid w:val="00F45FC1"/>
    <w:rsid w:val="00F46863"/>
    <w:rsid w:val="00F46ACC"/>
    <w:rsid w:val="00F46C8B"/>
    <w:rsid w:val="00F50FD5"/>
    <w:rsid w:val="00F5124F"/>
    <w:rsid w:val="00F51568"/>
    <w:rsid w:val="00F52972"/>
    <w:rsid w:val="00F53E89"/>
    <w:rsid w:val="00F554FF"/>
    <w:rsid w:val="00F57742"/>
    <w:rsid w:val="00F57D9C"/>
    <w:rsid w:val="00F60AEE"/>
    <w:rsid w:val="00F60DC0"/>
    <w:rsid w:val="00F6146F"/>
    <w:rsid w:val="00F62831"/>
    <w:rsid w:val="00F62D18"/>
    <w:rsid w:val="00F62E57"/>
    <w:rsid w:val="00F634F9"/>
    <w:rsid w:val="00F642D2"/>
    <w:rsid w:val="00F64640"/>
    <w:rsid w:val="00F65092"/>
    <w:rsid w:val="00F65116"/>
    <w:rsid w:val="00F66744"/>
    <w:rsid w:val="00F6788E"/>
    <w:rsid w:val="00F67ABB"/>
    <w:rsid w:val="00F713CB"/>
    <w:rsid w:val="00F71648"/>
    <w:rsid w:val="00F7392D"/>
    <w:rsid w:val="00F748D3"/>
    <w:rsid w:val="00F751FB"/>
    <w:rsid w:val="00F755FE"/>
    <w:rsid w:val="00F765A8"/>
    <w:rsid w:val="00F770D2"/>
    <w:rsid w:val="00F77DE2"/>
    <w:rsid w:val="00F82308"/>
    <w:rsid w:val="00F850CA"/>
    <w:rsid w:val="00F85B23"/>
    <w:rsid w:val="00F8679F"/>
    <w:rsid w:val="00F90680"/>
    <w:rsid w:val="00F9173A"/>
    <w:rsid w:val="00F922DD"/>
    <w:rsid w:val="00F92A79"/>
    <w:rsid w:val="00F92C4C"/>
    <w:rsid w:val="00F93C5B"/>
    <w:rsid w:val="00F97C59"/>
    <w:rsid w:val="00F97C9A"/>
    <w:rsid w:val="00FA0E46"/>
    <w:rsid w:val="00FA1687"/>
    <w:rsid w:val="00FA2629"/>
    <w:rsid w:val="00FA3C0F"/>
    <w:rsid w:val="00FA3FCD"/>
    <w:rsid w:val="00FA70B7"/>
    <w:rsid w:val="00FA7231"/>
    <w:rsid w:val="00FA7A93"/>
    <w:rsid w:val="00FB07E5"/>
    <w:rsid w:val="00FB19AC"/>
    <w:rsid w:val="00FB22AC"/>
    <w:rsid w:val="00FB2378"/>
    <w:rsid w:val="00FB3215"/>
    <w:rsid w:val="00FB4F9D"/>
    <w:rsid w:val="00FB5DBD"/>
    <w:rsid w:val="00FB781B"/>
    <w:rsid w:val="00FC14A3"/>
    <w:rsid w:val="00FC19B2"/>
    <w:rsid w:val="00FC3C88"/>
    <w:rsid w:val="00FC3D14"/>
    <w:rsid w:val="00FC3D1A"/>
    <w:rsid w:val="00FC47AC"/>
    <w:rsid w:val="00FC56D9"/>
    <w:rsid w:val="00FC675F"/>
    <w:rsid w:val="00FC6E2B"/>
    <w:rsid w:val="00FC7BC4"/>
    <w:rsid w:val="00FD0F64"/>
    <w:rsid w:val="00FD1F08"/>
    <w:rsid w:val="00FD29BD"/>
    <w:rsid w:val="00FD42D1"/>
    <w:rsid w:val="00FD4564"/>
    <w:rsid w:val="00FD7688"/>
    <w:rsid w:val="00FD7D91"/>
    <w:rsid w:val="00FE00A8"/>
    <w:rsid w:val="00FE2E58"/>
    <w:rsid w:val="00FE41A3"/>
    <w:rsid w:val="00FE47B1"/>
    <w:rsid w:val="00FE67EC"/>
    <w:rsid w:val="00FE6C3A"/>
    <w:rsid w:val="00FE71E8"/>
    <w:rsid w:val="00FE7E99"/>
    <w:rsid w:val="00FE7FEC"/>
    <w:rsid w:val="00FF0CB0"/>
    <w:rsid w:val="00FF13FB"/>
    <w:rsid w:val="00FF1AA3"/>
    <w:rsid w:val="00FF380A"/>
    <w:rsid w:val="00FF4348"/>
    <w:rsid w:val="00FF5653"/>
    <w:rsid w:val="00FF59D8"/>
    <w:rsid w:val="00FF5E8F"/>
    <w:rsid w:val="00FF7B65"/>
    <w:rsid w:val="1D0BD21A"/>
    <w:rsid w:val="7B7736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7365C"/>
  <w15:chartTrackingRefBased/>
  <w15:docId w15:val="{D4425F97-F7DE-45EA-87A4-14EC0BE8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7AF3"/>
    <w:pPr>
      <w:spacing w:after="0" w:line="36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67AF3"/>
    <w:pPr>
      <w:keepNext/>
      <w:keepLines/>
      <w:numPr>
        <w:numId w:val="1"/>
      </w:numPr>
      <w:spacing w:before="480"/>
      <w:outlineLvl w:val="0"/>
    </w:pPr>
    <w:rPr>
      <w:rFonts w:ascii="Cambria" w:hAnsi="Cambria"/>
      <w:b/>
      <w:bCs/>
      <w:color w:val="365F91"/>
      <w:sz w:val="28"/>
      <w:szCs w:val="28"/>
      <w:lang w:val="x-none"/>
    </w:rPr>
  </w:style>
  <w:style w:type="paragraph" w:styleId="Nadpis2">
    <w:name w:val="heading 2"/>
    <w:basedOn w:val="Normln"/>
    <w:next w:val="Normln"/>
    <w:link w:val="Nadpis2Char"/>
    <w:uiPriority w:val="9"/>
    <w:unhideWhenUsed/>
    <w:qFormat/>
    <w:rsid w:val="00167AF3"/>
    <w:pPr>
      <w:keepNext/>
      <w:keepLines/>
      <w:numPr>
        <w:ilvl w:val="1"/>
        <w:numId w:val="1"/>
      </w:numPr>
      <w:spacing w:before="200"/>
      <w:outlineLvl w:val="1"/>
    </w:pPr>
    <w:rPr>
      <w:rFonts w:ascii="Cambria" w:hAnsi="Cambria"/>
      <w:b/>
      <w:bCs/>
      <w:color w:val="4F81BD"/>
      <w:sz w:val="26"/>
      <w:szCs w:val="26"/>
      <w:lang w:val="x-none"/>
    </w:rPr>
  </w:style>
  <w:style w:type="paragraph" w:styleId="Nadpis3">
    <w:name w:val="heading 3"/>
    <w:basedOn w:val="Normln"/>
    <w:next w:val="Normln"/>
    <w:link w:val="Nadpis3Char"/>
    <w:uiPriority w:val="9"/>
    <w:unhideWhenUsed/>
    <w:qFormat/>
    <w:rsid w:val="00167AF3"/>
    <w:pPr>
      <w:keepNext/>
      <w:keepLines/>
      <w:numPr>
        <w:ilvl w:val="2"/>
        <w:numId w:val="1"/>
      </w:numPr>
      <w:spacing w:before="200"/>
      <w:outlineLvl w:val="2"/>
    </w:pPr>
    <w:rPr>
      <w:rFonts w:ascii="Cambria" w:hAnsi="Cambria"/>
      <w:b/>
      <w:bCs/>
      <w:color w:val="4F81BD"/>
      <w:lang w:val="x-none"/>
    </w:rPr>
  </w:style>
  <w:style w:type="paragraph" w:styleId="Nadpis4">
    <w:name w:val="heading 4"/>
    <w:basedOn w:val="Normln"/>
    <w:next w:val="Normln"/>
    <w:link w:val="Nadpis4Char"/>
    <w:uiPriority w:val="9"/>
    <w:unhideWhenUsed/>
    <w:qFormat/>
    <w:rsid w:val="00167AF3"/>
    <w:pPr>
      <w:keepNext/>
      <w:keepLines/>
      <w:numPr>
        <w:ilvl w:val="3"/>
        <w:numId w:val="1"/>
      </w:numPr>
      <w:spacing w:before="200"/>
      <w:outlineLvl w:val="3"/>
    </w:pPr>
    <w:rPr>
      <w:rFonts w:ascii="Cambria" w:hAnsi="Cambria"/>
      <w:b/>
      <w:bCs/>
      <w:i/>
      <w:iCs/>
      <w:color w:val="4F81BD"/>
      <w:lang w:val="x-none"/>
    </w:rPr>
  </w:style>
  <w:style w:type="paragraph" w:styleId="Nadpis5">
    <w:name w:val="heading 5"/>
    <w:basedOn w:val="Normln"/>
    <w:next w:val="Normln"/>
    <w:link w:val="Nadpis5Char"/>
    <w:uiPriority w:val="9"/>
    <w:unhideWhenUsed/>
    <w:qFormat/>
    <w:rsid w:val="00167AF3"/>
    <w:pPr>
      <w:keepNext/>
      <w:keepLines/>
      <w:numPr>
        <w:ilvl w:val="4"/>
        <w:numId w:val="1"/>
      </w:numPr>
      <w:spacing w:before="200"/>
      <w:outlineLvl w:val="4"/>
    </w:pPr>
    <w:rPr>
      <w:rFonts w:ascii="Cambria" w:hAnsi="Cambria"/>
      <w:color w:val="243F60"/>
      <w:lang w:val="x-none"/>
    </w:rPr>
  </w:style>
  <w:style w:type="paragraph" w:styleId="Nadpis6">
    <w:name w:val="heading 6"/>
    <w:basedOn w:val="Normln"/>
    <w:next w:val="Normln"/>
    <w:link w:val="Nadpis6Char"/>
    <w:uiPriority w:val="9"/>
    <w:semiHidden/>
    <w:unhideWhenUsed/>
    <w:qFormat/>
    <w:rsid w:val="00167AF3"/>
    <w:pPr>
      <w:keepNext/>
      <w:keepLines/>
      <w:numPr>
        <w:ilvl w:val="5"/>
        <w:numId w:val="1"/>
      </w:numPr>
      <w:spacing w:before="200"/>
      <w:outlineLvl w:val="5"/>
    </w:pPr>
    <w:rPr>
      <w:rFonts w:ascii="Cambria" w:hAnsi="Cambria"/>
      <w:i/>
      <w:iCs/>
      <w:color w:val="243F60"/>
      <w:lang w:val="x-none"/>
    </w:rPr>
  </w:style>
  <w:style w:type="paragraph" w:styleId="Nadpis7">
    <w:name w:val="heading 7"/>
    <w:basedOn w:val="Normln"/>
    <w:next w:val="Normln"/>
    <w:link w:val="Nadpis7Char"/>
    <w:uiPriority w:val="9"/>
    <w:unhideWhenUsed/>
    <w:qFormat/>
    <w:rsid w:val="00167AF3"/>
    <w:pPr>
      <w:keepNext/>
      <w:keepLines/>
      <w:numPr>
        <w:ilvl w:val="6"/>
        <w:numId w:val="1"/>
      </w:numPr>
      <w:spacing w:before="200"/>
      <w:outlineLvl w:val="6"/>
    </w:pPr>
    <w:rPr>
      <w:rFonts w:ascii="Cambria" w:hAnsi="Cambria"/>
      <w:i/>
      <w:iCs/>
      <w:color w:val="404040"/>
      <w:lang w:val="x-none"/>
    </w:rPr>
  </w:style>
  <w:style w:type="paragraph" w:styleId="Nadpis8">
    <w:name w:val="heading 8"/>
    <w:basedOn w:val="Normln"/>
    <w:next w:val="Normln"/>
    <w:link w:val="Nadpis8Char"/>
    <w:uiPriority w:val="9"/>
    <w:semiHidden/>
    <w:unhideWhenUsed/>
    <w:qFormat/>
    <w:rsid w:val="00167AF3"/>
    <w:pPr>
      <w:keepNext/>
      <w:keepLines/>
      <w:numPr>
        <w:ilvl w:val="7"/>
        <w:numId w:val="1"/>
      </w:numPr>
      <w:spacing w:before="200"/>
      <w:outlineLvl w:val="7"/>
    </w:pPr>
    <w:rPr>
      <w:rFonts w:ascii="Cambria" w:hAnsi="Cambria"/>
      <w:color w:val="404040"/>
      <w:sz w:val="20"/>
      <w:szCs w:val="20"/>
      <w:lang w:val="x-none"/>
    </w:rPr>
  </w:style>
  <w:style w:type="paragraph" w:styleId="Nadpis9">
    <w:name w:val="heading 9"/>
    <w:basedOn w:val="Normln"/>
    <w:next w:val="Normln"/>
    <w:link w:val="Nadpis9Char"/>
    <w:uiPriority w:val="9"/>
    <w:semiHidden/>
    <w:unhideWhenUsed/>
    <w:qFormat/>
    <w:rsid w:val="00167AF3"/>
    <w:pPr>
      <w:keepNext/>
      <w:keepLines/>
      <w:numPr>
        <w:ilvl w:val="8"/>
        <w:numId w:val="1"/>
      </w:numPr>
      <w:spacing w:before="200"/>
      <w:outlineLvl w:val="8"/>
    </w:pPr>
    <w:rPr>
      <w:rFonts w:ascii="Cambria" w:hAnsi="Cambria"/>
      <w:i/>
      <w:iCs/>
      <w:color w:val="40404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67AF3"/>
    <w:rPr>
      <w:rFonts w:ascii="Cambria" w:eastAsia="Times New Roman" w:hAnsi="Cambria" w:cs="Times New Roman"/>
      <w:b/>
      <w:bCs/>
      <w:color w:val="365F91"/>
      <w:sz w:val="28"/>
      <w:szCs w:val="28"/>
      <w:lang w:val="x-none" w:eastAsia="cs-CZ"/>
    </w:rPr>
  </w:style>
  <w:style w:type="character" w:customStyle="1" w:styleId="Nadpis2Char">
    <w:name w:val="Nadpis 2 Char"/>
    <w:basedOn w:val="Standardnpsmoodstavce"/>
    <w:link w:val="Nadpis2"/>
    <w:uiPriority w:val="9"/>
    <w:rsid w:val="00167AF3"/>
    <w:rPr>
      <w:rFonts w:ascii="Cambria" w:eastAsia="Times New Roman" w:hAnsi="Cambria" w:cs="Times New Roman"/>
      <w:b/>
      <w:bCs/>
      <w:color w:val="4F81BD"/>
      <w:sz w:val="26"/>
      <w:szCs w:val="26"/>
      <w:lang w:val="x-none" w:eastAsia="cs-CZ"/>
    </w:rPr>
  </w:style>
  <w:style w:type="character" w:customStyle="1" w:styleId="Nadpis3Char">
    <w:name w:val="Nadpis 3 Char"/>
    <w:basedOn w:val="Standardnpsmoodstavce"/>
    <w:link w:val="Nadpis3"/>
    <w:uiPriority w:val="9"/>
    <w:rsid w:val="00167AF3"/>
    <w:rPr>
      <w:rFonts w:ascii="Cambria" w:eastAsia="Times New Roman" w:hAnsi="Cambria" w:cs="Times New Roman"/>
      <w:b/>
      <w:bCs/>
      <w:color w:val="4F81BD"/>
      <w:sz w:val="24"/>
      <w:szCs w:val="24"/>
      <w:lang w:val="x-none" w:eastAsia="cs-CZ"/>
    </w:rPr>
  </w:style>
  <w:style w:type="character" w:customStyle="1" w:styleId="Nadpis4Char">
    <w:name w:val="Nadpis 4 Char"/>
    <w:basedOn w:val="Standardnpsmoodstavce"/>
    <w:link w:val="Nadpis4"/>
    <w:uiPriority w:val="9"/>
    <w:rsid w:val="00167AF3"/>
    <w:rPr>
      <w:rFonts w:ascii="Cambria" w:eastAsia="Times New Roman" w:hAnsi="Cambria" w:cs="Times New Roman"/>
      <w:b/>
      <w:bCs/>
      <w:i/>
      <w:iCs/>
      <w:color w:val="4F81BD"/>
      <w:sz w:val="24"/>
      <w:szCs w:val="24"/>
      <w:lang w:val="x-none" w:eastAsia="cs-CZ"/>
    </w:rPr>
  </w:style>
  <w:style w:type="character" w:customStyle="1" w:styleId="Nadpis5Char">
    <w:name w:val="Nadpis 5 Char"/>
    <w:basedOn w:val="Standardnpsmoodstavce"/>
    <w:link w:val="Nadpis5"/>
    <w:uiPriority w:val="9"/>
    <w:rsid w:val="00167AF3"/>
    <w:rPr>
      <w:rFonts w:ascii="Cambria" w:eastAsia="Times New Roman" w:hAnsi="Cambria" w:cs="Times New Roman"/>
      <w:color w:val="243F60"/>
      <w:sz w:val="24"/>
      <w:szCs w:val="24"/>
      <w:lang w:val="x-none" w:eastAsia="cs-CZ"/>
    </w:rPr>
  </w:style>
  <w:style w:type="character" w:customStyle="1" w:styleId="Nadpis6Char">
    <w:name w:val="Nadpis 6 Char"/>
    <w:basedOn w:val="Standardnpsmoodstavce"/>
    <w:link w:val="Nadpis6"/>
    <w:uiPriority w:val="9"/>
    <w:semiHidden/>
    <w:rsid w:val="00167AF3"/>
    <w:rPr>
      <w:rFonts w:ascii="Cambria" w:eastAsia="Times New Roman" w:hAnsi="Cambria" w:cs="Times New Roman"/>
      <w:i/>
      <w:iCs/>
      <w:color w:val="243F60"/>
      <w:sz w:val="24"/>
      <w:szCs w:val="24"/>
      <w:lang w:val="x-none" w:eastAsia="cs-CZ"/>
    </w:rPr>
  </w:style>
  <w:style w:type="character" w:customStyle="1" w:styleId="Nadpis7Char">
    <w:name w:val="Nadpis 7 Char"/>
    <w:basedOn w:val="Standardnpsmoodstavce"/>
    <w:link w:val="Nadpis7"/>
    <w:uiPriority w:val="9"/>
    <w:rsid w:val="00167AF3"/>
    <w:rPr>
      <w:rFonts w:ascii="Cambria" w:eastAsia="Times New Roman" w:hAnsi="Cambria" w:cs="Times New Roman"/>
      <w:i/>
      <w:iCs/>
      <w:color w:val="404040"/>
      <w:sz w:val="24"/>
      <w:szCs w:val="24"/>
      <w:lang w:val="x-none" w:eastAsia="cs-CZ"/>
    </w:rPr>
  </w:style>
  <w:style w:type="character" w:customStyle="1" w:styleId="Nadpis8Char">
    <w:name w:val="Nadpis 8 Char"/>
    <w:basedOn w:val="Standardnpsmoodstavce"/>
    <w:link w:val="Nadpis8"/>
    <w:uiPriority w:val="9"/>
    <w:semiHidden/>
    <w:rsid w:val="00167AF3"/>
    <w:rPr>
      <w:rFonts w:ascii="Cambria" w:eastAsia="Times New Roman" w:hAnsi="Cambria" w:cs="Times New Roman"/>
      <w:color w:val="404040"/>
      <w:sz w:val="20"/>
      <w:szCs w:val="20"/>
      <w:lang w:val="x-none" w:eastAsia="cs-CZ"/>
    </w:rPr>
  </w:style>
  <w:style w:type="character" w:customStyle="1" w:styleId="Nadpis9Char">
    <w:name w:val="Nadpis 9 Char"/>
    <w:basedOn w:val="Standardnpsmoodstavce"/>
    <w:link w:val="Nadpis9"/>
    <w:uiPriority w:val="9"/>
    <w:semiHidden/>
    <w:rsid w:val="00167AF3"/>
    <w:rPr>
      <w:rFonts w:ascii="Cambria" w:eastAsia="Times New Roman" w:hAnsi="Cambria" w:cs="Times New Roman"/>
      <w:i/>
      <w:iCs/>
      <w:color w:val="404040"/>
      <w:sz w:val="20"/>
      <w:szCs w:val="20"/>
      <w:lang w:val="x-none" w:eastAsia="cs-CZ"/>
    </w:rPr>
  </w:style>
  <w:style w:type="paragraph" w:customStyle="1" w:styleId="kola">
    <w:name w:val="Škola"/>
    <w:basedOn w:val="Normln"/>
    <w:rsid w:val="00167AF3"/>
    <w:pPr>
      <w:jc w:val="center"/>
    </w:pPr>
    <w:rPr>
      <w:b/>
      <w:bCs/>
      <w:sz w:val="36"/>
    </w:rPr>
  </w:style>
  <w:style w:type="table" w:styleId="Mkatabulky">
    <w:name w:val="Table Grid"/>
    <w:basedOn w:val="Normlntabulka"/>
    <w:uiPriority w:val="39"/>
    <w:rsid w:val="00167AF3"/>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semiHidden/>
    <w:unhideWhenUsed/>
    <w:qFormat/>
    <w:rsid w:val="00167AF3"/>
    <w:pPr>
      <w:numPr>
        <w:numId w:val="0"/>
      </w:numPr>
      <w:spacing w:line="276" w:lineRule="auto"/>
      <w:outlineLvl w:val="9"/>
    </w:pPr>
  </w:style>
  <w:style w:type="paragraph" w:styleId="Obsah1">
    <w:name w:val="toc 1"/>
    <w:basedOn w:val="Normln"/>
    <w:next w:val="Normln"/>
    <w:autoRedefine/>
    <w:uiPriority w:val="39"/>
    <w:unhideWhenUsed/>
    <w:rsid w:val="00167AF3"/>
    <w:pPr>
      <w:spacing w:before="240" w:after="120"/>
    </w:pPr>
    <w:rPr>
      <w:rFonts w:ascii="Calibri" w:hAnsi="Calibri"/>
      <w:b/>
      <w:bCs/>
      <w:sz w:val="20"/>
      <w:szCs w:val="20"/>
    </w:rPr>
  </w:style>
  <w:style w:type="paragraph" w:styleId="Obsah2">
    <w:name w:val="toc 2"/>
    <w:basedOn w:val="Normln"/>
    <w:next w:val="Normln"/>
    <w:autoRedefine/>
    <w:uiPriority w:val="39"/>
    <w:unhideWhenUsed/>
    <w:rsid w:val="00167AF3"/>
    <w:pPr>
      <w:spacing w:before="120"/>
      <w:ind w:left="240"/>
    </w:pPr>
    <w:rPr>
      <w:rFonts w:ascii="Calibri" w:hAnsi="Calibri"/>
      <w:i/>
      <w:iCs/>
      <w:sz w:val="20"/>
      <w:szCs w:val="20"/>
    </w:rPr>
  </w:style>
  <w:style w:type="paragraph" w:styleId="Obsah3">
    <w:name w:val="toc 3"/>
    <w:basedOn w:val="Normln"/>
    <w:next w:val="Normln"/>
    <w:autoRedefine/>
    <w:uiPriority w:val="39"/>
    <w:unhideWhenUsed/>
    <w:rsid w:val="00167AF3"/>
    <w:pPr>
      <w:ind w:left="480"/>
    </w:pPr>
    <w:rPr>
      <w:rFonts w:ascii="Calibri" w:hAnsi="Calibri"/>
      <w:sz w:val="20"/>
      <w:szCs w:val="20"/>
    </w:rPr>
  </w:style>
  <w:style w:type="character" w:styleId="Hypertextovodkaz">
    <w:name w:val="Hyperlink"/>
    <w:uiPriority w:val="99"/>
    <w:unhideWhenUsed/>
    <w:rsid w:val="00167AF3"/>
    <w:rPr>
      <w:color w:val="0000FF"/>
      <w:u w:val="single"/>
    </w:rPr>
  </w:style>
  <w:style w:type="paragraph" w:styleId="Textbubliny">
    <w:name w:val="Balloon Text"/>
    <w:basedOn w:val="Normln"/>
    <w:link w:val="TextbublinyChar"/>
    <w:uiPriority w:val="99"/>
    <w:semiHidden/>
    <w:unhideWhenUsed/>
    <w:rsid w:val="00167AF3"/>
    <w:pPr>
      <w:spacing w:line="240" w:lineRule="auto"/>
    </w:pPr>
    <w:rPr>
      <w:rFonts w:ascii="Tahoma" w:hAnsi="Tahoma"/>
      <w:sz w:val="16"/>
      <w:szCs w:val="16"/>
      <w:lang w:val="x-none"/>
    </w:rPr>
  </w:style>
  <w:style w:type="character" w:customStyle="1" w:styleId="TextbublinyChar">
    <w:name w:val="Text bubliny Char"/>
    <w:basedOn w:val="Standardnpsmoodstavce"/>
    <w:link w:val="Textbubliny"/>
    <w:uiPriority w:val="99"/>
    <w:semiHidden/>
    <w:rsid w:val="00167AF3"/>
    <w:rPr>
      <w:rFonts w:ascii="Tahoma" w:eastAsia="Times New Roman" w:hAnsi="Tahoma" w:cs="Times New Roman"/>
      <w:sz w:val="16"/>
      <w:szCs w:val="16"/>
      <w:lang w:val="x-none" w:eastAsia="cs-CZ"/>
    </w:rPr>
  </w:style>
  <w:style w:type="paragraph" w:styleId="Zhlav">
    <w:name w:val="header"/>
    <w:basedOn w:val="Normln"/>
    <w:link w:val="ZhlavChar"/>
    <w:unhideWhenUsed/>
    <w:rsid w:val="00167AF3"/>
    <w:pPr>
      <w:tabs>
        <w:tab w:val="center" w:pos="4536"/>
        <w:tab w:val="right" w:pos="9072"/>
      </w:tabs>
      <w:spacing w:line="240" w:lineRule="auto"/>
    </w:pPr>
    <w:rPr>
      <w:lang w:val="x-none"/>
    </w:rPr>
  </w:style>
  <w:style w:type="character" w:customStyle="1" w:styleId="ZhlavChar">
    <w:name w:val="Záhlaví Char"/>
    <w:basedOn w:val="Standardnpsmoodstavce"/>
    <w:link w:val="Zhlav"/>
    <w:rsid w:val="00167AF3"/>
    <w:rPr>
      <w:rFonts w:ascii="Times New Roman" w:eastAsia="Times New Roman" w:hAnsi="Times New Roman" w:cs="Times New Roman"/>
      <w:sz w:val="24"/>
      <w:szCs w:val="24"/>
      <w:lang w:val="x-none" w:eastAsia="cs-CZ"/>
    </w:rPr>
  </w:style>
  <w:style w:type="paragraph" w:styleId="Zpat">
    <w:name w:val="footer"/>
    <w:basedOn w:val="Normln"/>
    <w:link w:val="ZpatChar"/>
    <w:uiPriority w:val="99"/>
    <w:unhideWhenUsed/>
    <w:rsid w:val="00167AF3"/>
    <w:pPr>
      <w:tabs>
        <w:tab w:val="center" w:pos="4536"/>
        <w:tab w:val="right" w:pos="9072"/>
      </w:tabs>
      <w:spacing w:line="240" w:lineRule="auto"/>
    </w:pPr>
    <w:rPr>
      <w:lang w:val="x-none"/>
    </w:rPr>
  </w:style>
  <w:style w:type="character" w:customStyle="1" w:styleId="ZpatChar">
    <w:name w:val="Zápatí Char"/>
    <w:basedOn w:val="Standardnpsmoodstavce"/>
    <w:link w:val="Zpat"/>
    <w:uiPriority w:val="99"/>
    <w:rsid w:val="00167AF3"/>
    <w:rPr>
      <w:rFonts w:ascii="Times New Roman" w:eastAsia="Times New Roman" w:hAnsi="Times New Roman" w:cs="Times New Roman"/>
      <w:sz w:val="24"/>
      <w:szCs w:val="24"/>
      <w:lang w:val="x-none" w:eastAsia="cs-CZ"/>
    </w:rPr>
  </w:style>
  <w:style w:type="character" w:customStyle="1" w:styleId="CharChar1">
    <w:name w:val="Char Char1"/>
    <w:rsid w:val="00167AF3"/>
    <w:rPr>
      <w:b/>
      <w:bCs/>
      <w:i/>
      <w:iCs/>
      <w:noProof w:val="0"/>
      <w:sz w:val="26"/>
      <w:szCs w:val="26"/>
      <w:lang w:val="cs-CZ" w:eastAsia="cs-CZ" w:bidi="ar-SA"/>
    </w:rPr>
  </w:style>
  <w:style w:type="paragraph" w:customStyle="1" w:styleId="kecy">
    <w:name w:val="kecy"/>
    <w:rsid w:val="00167AF3"/>
    <w:pPr>
      <w:spacing w:after="0" w:line="360" w:lineRule="auto"/>
      <w:jc w:val="both"/>
    </w:pPr>
    <w:rPr>
      <w:rFonts w:ascii="Times New Roman" w:eastAsia="Times New Roman" w:hAnsi="Times New Roman" w:cs="Times New Roman"/>
      <w:sz w:val="24"/>
      <w:szCs w:val="20"/>
      <w:lang w:eastAsia="cs-CZ"/>
    </w:rPr>
  </w:style>
  <w:style w:type="paragraph" w:styleId="Zkladntext">
    <w:name w:val="Body Text"/>
    <w:basedOn w:val="Normln"/>
    <w:link w:val="ZkladntextChar"/>
    <w:rsid w:val="00167AF3"/>
    <w:pPr>
      <w:spacing w:after="480"/>
      <w:jc w:val="both"/>
    </w:pPr>
    <w:rPr>
      <w:szCs w:val="20"/>
      <w:lang w:val="x-none" w:eastAsia="x-none"/>
    </w:rPr>
  </w:style>
  <w:style w:type="character" w:customStyle="1" w:styleId="ZkladntextChar">
    <w:name w:val="Základní text Char"/>
    <w:basedOn w:val="Standardnpsmoodstavce"/>
    <w:link w:val="Zkladntext"/>
    <w:rsid w:val="00167AF3"/>
    <w:rPr>
      <w:rFonts w:ascii="Times New Roman" w:eastAsia="Times New Roman" w:hAnsi="Times New Roman" w:cs="Times New Roman"/>
      <w:sz w:val="24"/>
      <w:szCs w:val="20"/>
      <w:lang w:val="x-none" w:eastAsia="x-none"/>
    </w:rPr>
  </w:style>
  <w:style w:type="paragraph" w:styleId="Textpoznpodarou">
    <w:name w:val="footnote text"/>
    <w:aliases w:val="Text pozn. pod čarou Char1,Text pozn. pod čarou Char Char,Poznámka Char Char1,Text pozn. pod čarou Char1 Char1 Char,Text pozn. pod čarou Char Char Char1 Char,Text pozn. pod čarou Char1 Char Char Char1 Char,Char Char Char1,Poznámka,f"/>
    <w:basedOn w:val="Normln"/>
    <w:link w:val="TextpoznpodarouChar"/>
    <w:qFormat/>
    <w:rsid w:val="00167AF3"/>
    <w:pPr>
      <w:spacing w:line="240" w:lineRule="auto"/>
    </w:pPr>
    <w:rPr>
      <w:sz w:val="20"/>
      <w:szCs w:val="20"/>
    </w:rPr>
  </w:style>
  <w:style w:type="character" w:customStyle="1" w:styleId="TextpoznpodarouChar">
    <w:name w:val="Text pozn. pod čarou Char"/>
    <w:aliases w:val="Text pozn. pod čarou Char1 Char,Text pozn. pod čarou Char Char Char,Poznámka Char Char1 Char,Text pozn. pod čarou Char1 Char1 Char Char,Text pozn. pod čarou Char Char Char1 Char Char,Char Char Char1 Char,Poznámka Char,f Char"/>
    <w:basedOn w:val="Standardnpsmoodstavce"/>
    <w:link w:val="Textpoznpodarou"/>
    <w:qFormat/>
    <w:rsid w:val="00167AF3"/>
    <w:rPr>
      <w:rFonts w:ascii="Times New Roman" w:eastAsia="Times New Roman" w:hAnsi="Times New Roman" w:cs="Times New Roman"/>
      <w:sz w:val="20"/>
      <w:szCs w:val="20"/>
      <w:lang w:eastAsia="cs-CZ"/>
    </w:rPr>
  </w:style>
  <w:style w:type="character" w:styleId="Znakapoznpodarou">
    <w:name w:val="footnote reference"/>
    <w:aliases w:val="Footnote symbol,Footnote,PGI Fußnote Ziffer,BVI fnr,Footnote Reference Superscript,Appel note de bas de p,Appel note de bas de page,Légende,Char Car Car Car Car,Voetnootverwijzing,Légende;Char Car Car Car Car,Footnote number,FZ,fr"/>
    <w:qFormat/>
    <w:rsid w:val="00167AF3"/>
    <w:rPr>
      <w:vertAlign w:val="superscript"/>
    </w:rPr>
  </w:style>
  <w:style w:type="paragraph" w:customStyle="1" w:styleId="a">
    <w:name w:val="***"/>
    <w:basedOn w:val="Nadpis2"/>
    <w:link w:val="Char"/>
    <w:rsid w:val="00167AF3"/>
    <w:pPr>
      <w:keepLines w:val="0"/>
      <w:numPr>
        <w:ilvl w:val="0"/>
        <w:numId w:val="0"/>
      </w:numPr>
      <w:spacing w:before="120" w:after="120" w:line="288" w:lineRule="auto"/>
      <w:jc w:val="both"/>
    </w:pPr>
    <w:rPr>
      <w:rFonts w:ascii="Arial" w:hAnsi="Arial"/>
      <w:bCs w:val="0"/>
      <w:i/>
      <w:iCs/>
      <w:color w:val="auto"/>
      <w:szCs w:val="24"/>
      <w:lang w:eastAsia="x-none"/>
    </w:rPr>
  </w:style>
  <w:style w:type="character" w:customStyle="1" w:styleId="Char">
    <w:name w:val="*** Char"/>
    <w:link w:val="a"/>
    <w:rsid w:val="00167AF3"/>
    <w:rPr>
      <w:rFonts w:ascii="Arial" w:eastAsia="Times New Roman" w:hAnsi="Arial" w:cs="Times New Roman"/>
      <w:b/>
      <w:i/>
      <w:iCs/>
      <w:sz w:val="26"/>
      <w:szCs w:val="24"/>
      <w:lang w:val="x-none" w:eastAsia="x-none"/>
    </w:rPr>
  </w:style>
  <w:style w:type="paragraph" w:customStyle="1" w:styleId="A1-text">
    <w:name w:val="A1-text"/>
    <w:aliases w:val="1,5+12"/>
    <w:basedOn w:val="Normln"/>
    <w:link w:val="A1-textChar"/>
    <w:qFormat/>
    <w:rsid w:val="00167AF3"/>
    <w:pPr>
      <w:tabs>
        <w:tab w:val="left" w:pos="284"/>
      </w:tabs>
      <w:spacing w:after="240"/>
      <w:jc w:val="both"/>
    </w:pPr>
    <w:rPr>
      <w:lang w:val="x-none" w:eastAsia="x-none"/>
    </w:rPr>
  </w:style>
  <w:style w:type="character" w:customStyle="1" w:styleId="A1-textChar">
    <w:name w:val="A1-text Char"/>
    <w:aliases w:val="1 Char,5+12 Char"/>
    <w:link w:val="A1-text"/>
    <w:rsid w:val="00167AF3"/>
    <w:rPr>
      <w:rFonts w:ascii="Times New Roman" w:eastAsia="Times New Roman" w:hAnsi="Times New Roman" w:cs="Times New Roman"/>
      <w:sz w:val="24"/>
      <w:szCs w:val="24"/>
      <w:lang w:val="x-none" w:eastAsia="x-none"/>
    </w:rPr>
  </w:style>
  <w:style w:type="paragraph" w:customStyle="1" w:styleId="A-pramen">
    <w:name w:val="A-pramen"/>
    <w:basedOn w:val="Zkladntext"/>
    <w:link w:val="A-pramenChar"/>
    <w:qFormat/>
    <w:rsid w:val="00167AF3"/>
  </w:style>
  <w:style w:type="character" w:customStyle="1" w:styleId="A-pramenChar">
    <w:name w:val="A-pramen Char"/>
    <w:link w:val="A-pramen"/>
    <w:rsid w:val="00167AF3"/>
    <w:rPr>
      <w:rFonts w:ascii="Times New Roman" w:eastAsia="Times New Roman" w:hAnsi="Times New Roman" w:cs="Times New Roman"/>
      <w:sz w:val="24"/>
      <w:szCs w:val="20"/>
      <w:lang w:val="x-none" w:eastAsia="x-none"/>
    </w:rPr>
  </w:style>
  <w:style w:type="paragraph" w:customStyle="1" w:styleId="A-nzev-tabulkyaobr">
    <w:name w:val="A-název-tabulky a obr"/>
    <w:basedOn w:val="a"/>
    <w:link w:val="A-nzev-tabulkyaobrChar"/>
    <w:qFormat/>
    <w:rsid w:val="00167AF3"/>
    <w:pPr>
      <w:spacing w:before="0" w:after="0" w:line="240" w:lineRule="auto"/>
    </w:pPr>
    <w:rPr>
      <w:rFonts w:ascii="Times New Roman" w:hAnsi="Times New Roman"/>
      <w:i w:val="0"/>
      <w:sz w:val="24"/>
    </w:rPr>
  </w:style>
  <w:style w:type="character" w:customStyle="1" w:styleId="A-nzev-tabulkyaobrChar">
    <w:name w:val="A-název-tabulky a obr Char"/>
    <w:link w:val="A-nzev-tabulkyaobr"/>
    <w:rsid w:val="00167AF3"/>
    <w:rPr>
      <w:rFonts w:ascii="Times New Roman" w:eastAsia="Times New Roman" w:hAnsi="Times New Roman" w:cs="Times New Roman"/>
      <w:b/>
      <w:iCs/>
      <w:sz w:val="24"/>
      <w:szCs w:val="24"/>
      <w:lang w:val="x-none" w:eastAsia="x-none"/>
    </w:rPr>
  </w:style>
  <w:style w:type="paragraph" w:customStyle="1" w:styleId="A-odkaz">
    <w:name w:val="A-odkaz"/>
    <w:basedOn w:val="Normln"/>
    <w:link w:val="A-odkazChar"/>
    <w:qFormat/>
    <w:rsid w:val="00167AF3"/>
    <w:pPr>
      <w:spacing w:line="240" w:lineRule="auto"/>
      <w:ind w:left="68"/>
      <w:jc w:val="both"/>
    </w:pPr>
    <w:rPr>
      <w:iCs/>
      <w:sz w:val="20"/>
      <w:szCs w:val="20"/>
      <w:lang w:val="x-none" w:eastAsia="x-none"/>
    </w:rPr>
  </w:style>
  <w:style w:type="character" w:customStyle="1" w:styleId="A-odkazChar">
    <w:name w:val="A-odkaz Char"/>
    <w:link w:val="A-odkaz"/>
    <w:rsid w:val="00167AF3"/>
    <w:rPr>
      <w:rFonts w:ascii="Times New Roman" w:eastAsia="Times New Roman" w:hAnsi="Times New Roman" w:cs="Times New Roman"/>
      <w:iCs/>
      <w:sz w:val="20"/>
      <w:szCs w:val="20"/>
      <w:lang w:val="x-none" w:eastAsia="x-none"/>
    </w:rPr>
  </w:style>
  <w:style w:type="paragraph" w:styleId="Titulek">
    <w:name w:val="caption"/>
    <w:aliases w:val="Titulek tabulky,Title for table,picture,graph,formula,Zdroj_moje,titulek tabulka,Tabulka-PK,Tabulka,Tabulka_nadpis,Podpis pod rysunkiem,Nagłówek Tabeli,Nag3ówek Tabeli,Podpis pod obiektem rys,Tabela nr,Legenda Znak Znak Znak,Legenda Znak Znak Z"/>
    <w:basedOn w:val="Normln"/>
    <w:next w:val="Normln"/>
    <w:link w:val="TitulekChar"/>
    <w:qFormat/>
    <w:rsid w:val="00167AF3"/>
    <w:pPr>
      <w:spacing w:line="240" w:lineRule="auto"/>
      <w:jc w:val="center"/>
    </w:pPr>
    <w:rPr>
      <w:b/>
      <w:bCs/>
      <w:sz w:val="44"/>
      <w:szCs w:val="44"/>
    </w:rPr>
  </w:style>
  <w:style w:type="paragraph" w:customStyle="1" w:styleId="2">
    <w:name w:val="2"/>
    <w:uiPriority w:val="20"/>
    <w:qFormat/>
    <w:rsid w:val="00167AF3"/>
    <w:pPr>
      <w:spacing w:after="0" w:line="360" w:lineRule="auto"/>
    </w:pPr>
    <w:rPr>
      <w:rFonts w:ascii="Times New Roman" w:eastAsia="Times New Roman" w:hAnsi="Times New Roman" w:cs="Times New Roman"/>
      <w:sz w:val="24"/>
      <w:szCs w:val="24"/>
      <w:lang w:eastAsia="cs-CZ"/>
    </w:rPr>
  </w:style>
  <w:style w:type="paragraph" w:customStyle="1" w:styleId="xl24">
    <w:name w:val="xl24"/>
    <w:basedOn w:val="Normln"/>
    <w:rsid w:val="00167AF3"/>
    <w:pPr>
      <w:pBdr>
        <w:left w:val="single" w:sz="4" w:space="0" w:color="auto"/>
        <w:bottom w:val="single" w:sz="4" w:space="0" w:color="auto"/>
        <w:right w:val="single" w:sz="4" w:space="0" w:color="auto"/>
      </w:pBdr>
      <w:spacing w:before="100" w:beforeAutospacing="1" w:after="100" w:afterAutospacing="1" w:line="288" w:lineRule="auto"/>
      <w:jc w:val="both"/>
    </w:pPr>
    <w:rPr>
      <w:rFonts w:ascii="Garamond" w:hAnsi="Garamond"/>
    </w:rPr>
  </w:style>
  <w:style w:type="paragraph" w:customStyle="1" w:styleId="A-nadpis">
    <w:name w:val="A-nadpis"/>
    <w:basedOn w:val="Normln"/>
    <w:link w:val="A-nadpisChar"/>
    <w:qFormat/>
    <w:rsid w:val="00167AF3"/>
    <w:pPr>
      <w:spacing w:after="120"/>
      <w:jc w:val="both"/>
    </w:pPr>
    <w:rPr>
      <w:b/>
      <w:lang w:val="x-none" w:eastAsia="x-none"/>
    </w:rPr>
  </w:style>
  <w:style w:type="character" w:customStyle="1" w:styleId="A-nadpisChar">
    <w:name w:val="A-nadpis Char"/>
    <w:link w:val="A-nadpis"/>
    <w:rsid w:val="00167AF3"/>
    <w:rPr>
      <w:rFonts w:ascii="Times New Roman" w:eastAsia="Times New Roman" w:hAnsi="Times New Roman" w:cs="Times New Roman"/>
      <w:b/>
      <w:sz w:val="24"/>
      <w:szCs w:val="24"/>
      <w:lang w:val="x-none" w:eastAsia="x-none"/>
    </w:rPr>
  </w:style>
  <w:style w:type="paragraph" w:styleId="Textvysvtlivek">
    <w:name w:val="endnote text"/>
    <w:basedOn w:val="Normln"/>
    <w:link w:val="TextvysvtlivekChar"/>
    <w:uiPriority w:val="99"/>
    <w:semiHidden/>
    <w:unhideWhenUsed/>
    <w:rsid w:val="00167AF3"/>
    <w:rPr>
      <w:sz w:val="20"/>
      <w:szCs w:val="20"/>
    </w:rPr>
  </w:style>
  <w:style w:type="character" w:customStyle="1" w:styleId="TextvysvtlivekChar">
    <w:name w:val="Text vysvětlivek Char"/>
    <w:basedOn w:val="Standardnpsmoodstavce"/>
    <w:link w:val="Textvysvtlivek"/>
    <w:uiPriority w:val="99"/>
    <w:semiHidden/>
    <w:rsid w:val="00167AF3"/>
    <w:rPr>
      <w:rFonts w:ascii="Times New Roman" w:eastAsia="Times New Roman" w:hAnsi="Times New Roman" w:cs="Times New Roman"/>
      <w:sz w:val="20"/>
      <w:szCs w:val="20"/>
      <w:lang w:eastAsia="cs-CZ"/>
    </w:rPr>
  </w:style>
  <w:style w:type="character" w:styleId="Odkaznavysvtlivky">
    <w:name w:val="endnote reference"/>
    <w:uiPriority w:val="99"/>
    <w:semiHidden/>
    <w:unhideWhenUsed/>
    <w:rsid w:val="00167AF3"/>
    <w:rPr>
      <w:vertAlign w:val="superscript"/>
    </w:rPr>
  </w:style>
  <w:style w:type="paragraph" w:styleId="Textkomente">
    <w:name w:val="annotation text"/>
    <w:basedOn w:val="Normln"/>
    <w:link w:val="TextkomenteChar"/>
    <w:uiPriority w:val="99"/>
    <w:rsid w:val="00167AF3"/>
    <w:pPr>
      <w:spacing w:line="240" w:lineRule="auto"/>
    </w:pPr>
    <w:rPr>
      <w:sz w:val="20"/>
      <w:szCs w:val="20"/>
    </w:rPr>
  </w:style>
  <w:style w:type="character" w:customStyle="1" w:styleId="TextkomenteChar">
    <w:name w:val="Text komentáře Char"/>
    <w:basedOn w:val="Standardnpsmoodstavce"/>
    <w:link w:val="Textkomente"/>
    <w:uiPriority w:val="99"/>
    <w:rsid w:val="00167AF3"/>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167AF3"/>
    <w:pPr>
      <w:spacing w:after="120" w:line="240" w:lineRule="auto"/>
      <w:ind w:left="283"/>
    </w:pPr>
  </w:style>
  <w:style w:type="character" w:customStyle="1" w:styleId="ZkladntextodsazenChar">
    <w:name w:val="Základní text odsazený Char"/>
    <w:basedOn w:val="Standardnpsmoodstavce"/>
    <w:link w:val="Zkladntextodsazen"/>
    <w:rsid w:val="00167AF3"/>
    <w:rPr>
      <w:rFonts w:ascii="Times New Roman" w:eastAsia="Times New Roman" w:hAnsi="Times New Roman" w:cs="Times New Roman"/>
      <w:sz w:val="24"/>
      <w:szCs w:val="24"/>
      <w:lang w:eastAsia="cs-CZ"/>
    </w:rPr>
  </w:style>
  <w:style w:type="paragraph" w:customStyle="1" w:styleId="msonormalc1">
    <w:name w:val="msonormal c1"/>
    <w:basedOn w:val="Normln"/>
    <w:rsid w:val="00167AF3"/>
    <w:pPr>
      <w:spacing w:before="100" w:beforeAutospacing="1" w:after="100" w:afterAutospacing="1" w:line="240" w:lineRule="auto"/>
    </w:pPr>
  </w:style>
  <w:style w:type="paragraph" w:styleId="Zkladntext2">
    <w:name w:val="Body Text 2"/>
    <w:basedOn w:val="Normln"/>
    <w:link w:val="Zkladntext2Char"/>
    <w:rsid w:val="00167AF3"/>
    <w:pPr>
      <w:spacing w:after="120" w:line="480" w:lineRule="auto"/>
    </w:pPr>
  </w:style>
  <w:style w:type="character" w:customStyle="1" w:styleId="Zkladntext2Char">
    <w:name w:val="Základní text 2 Char"/>
    <w:basedOn w:val="Standardnpsmoodstavce"/>
    <w:link w:val="Zkladntext2"/>
    <w:rsid w:val="00167AF3"/>
    <w:rPr>
      <w:rFonts w:ascii="Times New Roman" w:eastAsia="Times New Roman" w:hAnsi="Times New Roman" w:cs="Times New Roman"/>
      <w:sz w:val="24"/>
      <w:szCs w:val="24"/>
      <w:lang w:eastAsia="cs-CZ"/>
    </w:rPr>
  </w:style>
  <w:style w:type="paragraph" w:customStyle="1" w:styleId="a0">
    <w:name w:val="**"/>
    <w:basedOn w:val="Nadpis1"/>
    <w:rsid w:val="00167AF3"/>
    <w:pPr>
      <w:keepNext w:val="0"/>
      <w:keepLines w:val="0"/>
      <w:numPr>
        <w:numId w:val="0"/>
      </w:numPr>
      <w:tabs>
        <w:tab w:val="num" w:pos="0"/>
      </w:tabs>
      <w:spacing w:before="0" w:after="120" w:line="240" w:lineRule="auto"/>
      <w:ind w:left="360" w:hanging="360"/>
      <w:jc w:val="both"/>
    </w:pPr>
    <w:rPr>
      <w:rFonts w:ascii="Times New Roman" w:eastAsia="Arial Unicode MS" w:hAnsi="Times New Roman" w:cs="Arial Unicode MS"/>
      <w:color w:val="auto"/>
      <w:kern w:val="36"/>
      <w:szCs w:val="24"/>
      <w:lang w:val="cs-CZ"/>
    </w:rPr>
  </w:style>
  <w:style w:type="paragraph" w:customStyle="1" w:styleId="1">
    <w:name w:val="1*"/>
    <w:basedOn w:val="Nadpis3"/>
    <w:rsid w:val="00167AF3"/>
    <w:pPr>
      <w:keepLines w:val="0"/>
      <w:numPr>
        <w:ilvl w:val="0"/>
        <w:numId w:val="0"/>
      </w:numPr>
      <w:tabs>
        <w:tab w:val="num" w:pos="1997"/>
      </w:tabs>
      <w:spacing w:before="0" w:line="288" w:lineRule="auto"/>
      <w:ind w:left="1781" w:hanging="504"/>
      <w:jc w:val="both"/>
    </w:pPr>
    <w:rPr>
      <w:rFonts w:ascii="Times New Roman" w:hAnsi="Times New Roman"/>
      <w:color w:val="auto"/>
      <w:lang w:val="cs-CZ"/>
    </w:rPr>
  </w:style>
  <w:style w:type="character" w:styleId="Siln">
    <w:name w:val="Strong"/>
    <w:qFormat/>
    <w:rsid w:val="00167AF3"/>
    <w:rPr>
      <w:b/>
      <w:bCs/>
      <w:color w:val="333333"/>
    </w:rPr>
  </w:style>
  <w:style w:type="paragraph" w:styleId="Normlnweb">
    <w:name w:val="Normal (Web)"/>
    <w:basedOn w:val="Normln"/>
    <w:uiPriority w:val="99"/>
    <w:unhideWhenUsed/>
    <w:rsid w:val="00167AF3"/>
    <w:pPr>
      <w:spacing w:line="240" w:lineRule="auto"/>
    </w:pPr>
  </w:style>
  <w:style w:type="paragraph" w:customStyle="1" w:styleId="bodytext">
    <w:name w:val="bodytext"/>
    <w:basedOn w:val="Normln"/>
    <w:rsid w:val="00167AF3"/>
    <w:pPr>
      <w:spacing w:before="150" w:after="150" w:line="240" w:lineRule="auto"/>
    </w:pPr>
  </w:style>
  <w:style w:type="paragraph" w:customStyle="1" w:styleId="Obsahtabulky">
    <w:name w:val="Obsah tabulky"/>
    <w:basedOn w:val="Normln"/>
    <w:rsid w:val="00167AF3"/>
    <w:pPr>
      <w:widowControl w:val="0"/>
      <w:suppressLineNumbers/>
      <w:suppressAutoHyphens/>
      <w:spacing w:line="240" w:lineRule="auto"/>
    </w:pPr>
    <w:rPr>
      <w:rFonts w:eastAsia="Arial Unicode MS"/>
      <w:kern w:val="1"/>
    </w:rPr>
  </w:style>
  <w:style w:type="paragraph" w:styleId="FormtovanvHTML">
    <w:name w:val="HTML Preformatted"/>
    <w:basedOn w:val="Normln"/>
    <w:link w:val="FormtovanvHTMLChar"/>
    <w:rsid w:val="0016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FormtovanvHTMLChar">
    <w:name w:val="Formátovaný v HTML Char"/>
    <w:basedOn w:val="Standardnpsmoodstavce"/>
    <w:link w:val="FormtovanvHTML"/>
    <w:rsid w:val="00167AF3"/>
    <w:rPr>
      <w:rFonts w:ascii="Courier New" w:eastAsia="Times New Roman" w:hAnsi="Courier New" w:cs="Courier New"/>
      <w:sz w:val="20"/>
      <w:szCs w:val="20"/>
      <w:lang w:eastAsia="cs-CZ"/>
    </w:rPr>
  </w:style>
  <w:style w:type="paragraph" w:customStyle="1" w:styleId="swot">
    <w:name w:val="swot"/>
    <w:basedOn w:val="Normln"/>
    <w:rsid w:val="00167AF3"/>
    <w:pPr>
      <w:numPr>
        <w:numId w:val="2"/>
      </w:numPr>
    </w:pPr>
  </w:style>
  <w:style w:type="paragraph" w:customStyle="1" w:styleId="Odstavec1">
    <w:name w:val="Odstavec1"/>
    <w:basedOn w:val="Normln"/>
    <w:rsid w:val="00167AF3"/>
    <w:pPr>
      <w:spacing w:line="240" w:lineRule="auto"/>
    </w:pPr>
    <w:rPr>
      <w:rFonts w:ascii="Arial" w:hAnsi="Arial"/>
      <w:sz w:val="22"/>
      <w:szCs w:val="20"/>
    </w:rPr>
  </w:style>
  <w:style w:type="paragraph" w:customStyle="1" w:styleId="Obrzek">
    <w:name w:val="Obrázek"/>
    <w:basedOn w:val="Normln"/>
    <w:rsid w:val="00167AF3"/>
    <w:pPr>
      <w:spacing w:after="120" w:line="240" w:lineRule="auto"/>
      <w:jc w:val="both"/>
    </w:pPr>
    <w:rPr>
      <w:i/>
    </w:rPr>
  </w:style>
  <w:style w:type="paragraph" w:customStyle="1" w:styleId="Normlnweb2">
    <w:name w:val="Normální (web)2"/>
    <w:basedOn w:val="Normln"/>
    <w:rsid w:val="00167AF3"/>
    <w:pPr>
      <w:spacing w:before="75" w:after="75" w:line="240" w:lineRule="auto"/>
      <w:ind w:left="75" w:right="75" w:firstLine="400"/>
    </w:pPr>
    <w:rPr>
      <w:rFonts w:ascii="Arial" w:hAnsi="Arial" w:cs="Arial"/>
    </w:rPr>
  </w:style>
  <w:style w:type="paragraph" w:customStyle="1" w:styleId="Text1">
    <w:name w:val="Text_1"/>
    <w:basedOn w:val="Normln"/>
    <w:rsid w:val="00167AF3"/>
    <w:pPr>
      <w:spacing w:after="120" w:line="240" w:lineRule="auto"/>
      <w:ind w:left="3119"/>
      <w:jc w:val="both"/>
    </w:pPr>
    <w:rPr>
      <w:rFonts w:ascii="Arial" w:hAnsi="Arial"/>
      <w:sz w:val="22"/>
      <w:szCs w:val="20"/>
    </w:rPr>
  </w:style>
  <w:style w:type="paragraph" w:styleId="Odstavecseseznamem">
    <w:name w:val="List Paragraph"/>
    <w:aliases w:val="_Odstavec se seznamem,Seznam - odrážky,Tučné,Nad,List Paragraph,Odstavec cíl se seznamem,Odstavec se seznamem5,Odstavec_muj,A-Odrážky1,Odstavec_muj1,Odstavec_muj2,Odstavec_muj3,Nad1,Odstavec_muj4,Nad2,List Paragraph2,Odstavec_muj5"/>
    <w:basedOn w:val="Normln"/>
    <w:link w:val="OdstavecseseznamemChar"/>
    <w:uiPriority w:val="34"/>
    <w:qFormat/>
    <w:rsid w:val="00167AF3"/>
    <w:pPr>
      <w:ind w:left="708"/>
    </w:pPr>
  </w:style>
  <w:style w:type="paragraph" w:customStyle="1" w:styleId="Odstavec-publikace">
    <w:name w:val="Odstavec - publikace"/>
    <w:basedOn w:val="Normln"/>
    <w:link w:val="Odstavec-publikaceChar"/>
    <w:rsid w:val="00167AF3"/>
    <w:pPr>
      <w:spacing w:before="60" w:line="240" w:lineRule="auto"/>
      <w:ind w:firstLine="709"/>
      <w:jc w:val="both"/>
    </w:pPr>
  </w:style>
  <w:style w:type="character" w:customStyle="1" w:styleId="Odstavec-publikaceChar">
    <w:name w:val="Odstavec - publikace Char"/>
    <w:link w:val="Odstavec-publikace"/>
    <w:rsid w:val="00167AF3"/>
    <w:rPr>
      <w:rFonts w:ascii="Times New Roman" w:eastAsia="Times New Roman" w:hAnsi="Times New Roman" w:cs="Times New Roman"/>
      <w:sz w:val="24"/>
      <w:szCs w:val="24"/>
      <w:lang w:eastAsia="cs-CZ"/>
    </w:rPr>
  </w:style>
  <w:style w:type="paragraph" w:customStyle="1" w:styleId="Nadpis3-DSO">
    <w:name w:val="Nadpis 3 - DSO"/>
    <w:basedOn w:val="Nadpis3"/>
    <w:rsid w:val="00167AF3"/>
    <w:pPr>
      <w:keepLines w:val="0"/>
      <w:numPr>
        <w:ilvl w:val="0"/>
        <w:numId w:val="0"/>
      </w:numPr>
      <w:spacing w:before="360" w:after="240" w:line="240" w:lineRule="auto"/>
    </w:pPr>
    <w:rPr>
      <w:rFonts w:ascii="Arial" w:hAnsi="Arial" w:cs="Arial"/>
      <w:color w:val="auto"/>
      <w:szCs w:val="26"/>
      <w:lang w:val="cs-CZ"/>
    </w:rPr>
  </w:style>
  <w:style w:type="paragraph" w:customStyle="1" w:styleId="Odstavec-DSO">
    <w:name w:val="Odstavec - DSO"/>
    <w:basedOn w:val="Normln"/>
    <w:rsid w:val="00167AF3"/>
    <w:pPr>
      <w:spacing w:after="160" w:line="240" w:lineRule="auto"/>
      <w:jc w:val="both"/>
    </w:pPr>
    <w:rPr>
      <w:bCs/>
    </w:rPr>
  </w:style>
  <w:style w:type="paragraph" w:customStyle="1" w:styleId="Nadpis4-DSO">
    <w:name w:val="Nadpis 4 - DSO"/>
    <w:basedOn w:val="Odstavec-DSO"/>
    <w:rsid w:val="00167AF3"/>
    <w:pPr>
      <w:spacing w:before="360" w:after="240"/>
      <w:ind w:left="567"/>
    </w:pPr>
    <w:rPr>
      <w:b/>
      <w:i/>
    </w:rPr>
  </w:style>
  <w:style w:type="character" w:styleId="slostrnky">
    <w:name w:val="page number"/>
    <w:basedOn w:val="Standardnpsmoodstavce"/>
    <w:rsid w:val="00167AF3"/>
  </w:style>
  <w:style w:type="paragraph" w:customStyle="1" w:styleId="Odstavec">
    <w:name w:val="Odstavec"/>
    <w:basedOn w:val="Normln"/>
    <w:link w:val="OdstavecChar"/>
    <w:rsid w:val="00167AF3"/>
    <w:pPr>
      <w:spacing w:after="120" w:line="240" w:lineRule="auto"/>
      <w:jc w:val="both"/>
    </w:pPr>
  </w:style>
  <w:style w:type="character" w:customStyle="1" w:styleId="OdstavecChar">
    <w:name w:val="Odstavec Char"/>
    <w:link w:val="Odstavec"/>
    <w:rsid w:val="00167AF3"/>
    <w:rPr>
      <w:rFonts w:ascii="Times New Roman" w:eastAsia="Times New Roman" w:hAnsi="Times New Roman" w:cs="Times New Roman"/>
      <w:sz w:val="24"/>
      <w:szCs w:val="24"/>
      <w:lang w:eastAsia="cs-CZ"/>
    </w:rPr>
  </w:style>
  <w:style w:type="paragraph" w:customStyle="1" w:styleId="Styl1">
    <w:name w:val="Styl1"/>
    <w:basedOn w:val="Nadpis2"/>
    <w:next w:val="Normln"/>
    <w:autoRedefine/>
    <w:rsid w:val="00167AF3"/>
    <w:pPr>
      <w:keepLines w:val="0"/>
      <w:numPr>
        <w:ilvl w:val="0"/>
        <w:numId w:val="0"/>
      </w:numPr>
      <w:spacing w:before="0" w:after="120"/>
      <w:jc w:val="both"/>
      <w:outlineLvl w:val="9"/>
    </w:pPr>
    <w:rPr>
      <w:rFonts w:ascii="Times New Roman" w:hAnsi="Times New Roman"/>
      <w:bCs w:val="0"/>
      <w:color w:val="auto"/>
      <w:sz w:val="24"/>
      <w:szCs w:val="24"/>
      <w:lang w:eastAsia="x-none"/>
    </w:rPr>
  </w:style>
  <w:style w:type="paragraph" w:styleId="Obsah6">
    <w:name w:val="toc 6"/>
    <w:basedOn w:val="Normln"/>
    <w:next w:val="Normln"/>
    <w:autoRedefine/>
    <w:uiPriority w:val="39"/>
    <w:unhideWhenUsed/>
    <w:rsid w:val="00167AF3"/>
    <w:pPr>
      <w:ind w:left="1200"/>
    </w:pPr>
    <w:rPr>
      <w:rFonts w:ascii="Calibri" w:hAnsi="Calibri"/>
      <w:sz w:val="20"/>
      <w:szCs w:val="20"/>
    </w:rPr>
  </w:style>
  <w:style w:type="paragraph" w:styleId="Obsah4">
    <w:name w:val="toc 4"/>
    <w:basedOn w:val="Normln"/>
    <w:next w:val="Normln"/>
    <w:autoRedefine/>
    <w:uiPriority w:val="39"/>
    <w:unhideWhenUsed/>
    <w:rsid w:val="00167AF3"/>
    <w:pPr>
      <w:ind w:left="720"/>
    </w:pPr>
    <w:rPr>
      <w:rFonts w:ascii="Calibri" w:hAnsi="Calibri"/>
      <w:sz w:val="20"/>
      <w:szCs w:val="20"/>
    </w:rPr>
  </w:style>
  <w:style w:type="character" w:customStyle="1" w:styleId="OdstavecseseznamemChar">
    <w:name w:val="Odstavec se seznamem Char"/>
    <w:aliases w:val="_Odstavec se seznamem Char,Seznam - odrážky Char,Tučné Char,Nad Char,List Paragraph Char1,Odstavec cíl se seznamem Char,Odstavec se seznamem5 Char,Odstavec_muj Char,A-Odrážky1 Char,Odstavec_muj1 Char,Odstavec_muj2 Char"/>
    <w:link w:val="Odstavecseseznamem"/>
    <w:uiPriority w:val="34"/>
    <w:qFormat/>
    <w:rsid w:val="00167AF3"/>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167AF3"/>
    <w:pPr>
      <w:spacing w:line="240" w:lineRule="auto"/>
    </w:pPr>
    <w:rPr>
      <w:rFonts w:ascii="Courier New" w:hAnsi="Courier New"/>
      <w:sz w:val="20"/>
      <w:szCs w:val="20"/>
      <w:lang w:val="x-none" w:eastAsia="x-none"/>
    </w:rPr>
  </w:style>
  <w:style w:type="character" w:customStyle="1" w:styleId="ProsttextChar">
    <w:name w:val="Prostý text Char"/>
    <w:basedOn w:val="Standardnpsmoodstavce"/>
    <w:link w:val="Prosttext"/>
    <w:rsid w:val="00167AF3"/>
    <w:rPr>
      <w:rFonts w:ascii="Courier New" w:eastAsia="Times New Roman" w:hAnsi="Courier New" w:cs="Times New Roman"/>
      <w:sz w:val="20"/>
      <w:szCs w:val="20"/>
      <w:lang w:val="x-none" w:eastAsia="x-none"/>
    </w:rPr>
  </w:style>
  <w:style w:type="paragraph" w:customStyle="1" w:styleId="kapitalky">
    <w:name w:val="kapitalky"/>
    <w:basedOn w:val="Nadpis3"/>
    <w:uiPriority w:val="99"/>
    <w:rsid w:val="00167AF3"/>
    <w:pPr>
      <w:keepLines w:val="0"/>
      <w:numPr>
        <w:ilvl w:val="0"/>
        <w:numId w:val="0"/>
      </w:numPr>
      <w:spacing w:before="0" w:line="340" w:lineRule="exact"/>
    </w:pPr>
    <w:rPr>
      <w:rFonts w:ascii="Tahoma" w:hAnsi="Tahoma" w:cs="Tahoma"/>
      <w:smallCaps/>
      <w:color w:val="auto"/>
      <w:sz w:val="22"/>
      <w:szCs w:val="22"/>
      <w:lang w:eastAsia="x-none"/>
    </w:rPr>
  </w:style>
  <w:style w:type="paragraph" w:customStyle="1" w:styleId="Odstavecseseznamem1">
    <w:name w:val="Odstavec se seznamem1"/>
    <w:basedOn w:val="Normln"/>
    <w:link w:val="ListParagraphChar"/>
    <w:rsid w:val="00167AF3"/>
    <w:pPr>
      <w:spacing w:line="276" w:lineRule="auto"/>
      <w:ind w:left="720"/>
      <w:contextualSpacing/>
      <w:jc w:val="both"/>
    </w:pPr>
    <w:rPr>
      <w:rFonts w:ascii="Calibri" w:hAnsi="Calibri"/>
      <w:sz w:val="22"/>
      <w:szCs w:val="22"/>
      <w:lang w:val="en-US" w:eastAsia="en-US"/>
    </w:rPr>
  </w:style>
  <w:style w:type="character" w:customStyle="1" w:styleId="ListParagraphChar">
    <w:name w:val="List Paragraph Char"/>
    <w:link w:val="Odstavecseseznamem1"/>
    <w:locked/>
    <w:rsid w:val="00167AF3"/>
    <w:rPr>
      <w:rFonts w:ascii="Calibri" w:eastAsia="Times New Roman" w:hAnsi="Calibri" w:cs="Times New Roman"/>
      <w:lang w:val="en-US"/>
    </w:rPr>
  </w:style>
  <w:style w:type="paragraph" w:styleId="Bezmezer">
    <w:name w:val="No Spacing"/>
    <w:qFormat/>
    <w:rsid w:val="00167AF3"/>
    <w:pPr>
      <w:spacing w:after="0" w:line="240" w:lineRule="auto"/>
    </w:pPr>
    <w:rPr>
      <w:rFonts w:ascii="Calibri" w:eastAsia="Calibri" w:hAnsi="Calibri" w:cs="Calibri"/>
    </w:rPr>
  </w:style>
  <w:style w:type="paragraph" w:customStyle="1" w:styleId="Textbody">
    <w:name w:val="Text body"/>
    <w:basedOn w:val="Normln"/>
    <w:rsid w:val="00167AF3"/>
    <w:pPr>
      <w:widowControl w:val="0"/>
      <w:suppressAutoHyphens/>
      <w:autoSpaceDN w:val="0"/>
      <w:spacing w:after="120" w:line="240" w:lineRule="auto"/>
    </w:pPr>
    <w:rPr>
      <w:rFonts w:eastAsia="Arial Unicode MS" w:cs="Tahoma"/>
      <w:kern w:val="3"/>
    </w:rPr>
  </w:style>
  <w:style w:type="paragraph" w:styleId="Obsah5">
    <w:name w:val="toc 5"/>
    <w:basedOn w:val="Normln"/>
    <w:next w:val="Normln"/>
    <w:autoRedefine/>
    <w:uiPriority w:val="39"/>
    <w:unhideWhenUsed/>
    <w:rsid w:val="00167AF3"/>
    <w:pPr>
      <w:ind w:left="960"/>
    </w:pPr>
    <w:rPr>
      <w:rFonts w:ascii="Calibri" w:hAnsi="Calibri"/>
      <w:sz w:val="20"/>
      <w:szCs w:val="20"/>
    </w:rPr>
  </w:style>
  <w:style w:type="paragraph" w:styleId="Obsah7">
    <w:name w:val="toc 7"/>
    <w:basedOn w:val="Normln"/>
    <w:next w:val="Normln"/>
    <w:autoRedefine/>
    <w:uiPriority w:val="39"/>
    <w:unhideWhenUsed/>
    <w:rsid w:val="00167AF3"/>
    <w:pPr>
      <w:ind w:left="1440"/>
    </w:pPr>
    <w:rPr>
      <w:rFonts w:ascii="Calibri" w:hAnsi="Calibri"/>
      <w:sz w:val="20"/>
      <w:szCs w:val="20"/>
    </w:rPr>
  </w:style>
  <w:style w:type="paragraph" w:styleId="Obsah8">
    <w:name w:val="toc 8"/>
    <w:basedOn w:val="Normln"/>
    <w:next w:val="Normln"/>
    <w:autoRedefine/>
    <w:uiPriority w:val="39"/>
    <w:unhideWhenUsed/>
    <w:rsid w:val="00167AF3"/>
    <w:pPr>
      <w:ind w:left="1680"/>
    </w:pPr>
    <w:rPr>
      <w:rFonts w:ascii="Calibri" w:hAnsi="Calibri"/>
      <w:sz w:val="20"/>
      <w:szCs w:val="20"/>
    </w:rPr>
  </w:style>
  <w:style w:type="paragraph" w:styleId="Obsah9">
    <w:name w:val="toc 9"/>
    <w:basedOn w:val="Normln"/>
    <w:next w:val="Normln"/>
    <w:autoRedefine/>
    <w:uiPriority w:val="39"/>
    <w:unhideWhenUsed/>
    <w:rsid w:val="00167AF3"/>
    <w:pPr>
      <w:ind w:left="1920"/>
    </w:pPr>
    <w:rPr>
      <w:rFonts w:ascii="Calibri" w:hAnsi="Calibri"/>
      <w:sz w:val="20"/>
      <w:szCs w:val="20"/>
    </w:rPr>
  </w:style>
  <w:style w:type="paragraph" w:customStyle="1" w:styleId="Odstavec-literatura">
    <w:name w:val="Odstavec - literatura"/>
    <w:basedOn w:val="Normln"/>
    <w:rsid w:val="00167AF3"/>
    <w:pPr>
      <w:spacing w:after="60" w:line="240" w:lineRule="auto"/>
      <w:ind w:left="284" w:hanging="284"/>
      <w:jc w:val="both"/>
    </w:pPr>
    <w:rPr>
      <w:bCs/>
      <w:sz w:val="20"/>
      <w:szCs w:val="22"/>
    </w:rPr>
  </w:style>
  <w:style w:type="character" w:customStyle="1" w:styleId="Znakypropoznmkupodarou">
    <w:name w:val="Znaky pro poznámku pod čarou"/>
    <w:rsid w:val="00167AF3"/>
    <w:rPr>
      <w:vertAlign w:val="superscript"/>
    </w:rPr>
  </w:style>
  <w:style w:type="character" w:styleId="CittHTML">
    <w:name w:val="HTML Cite"/>
    <w:rsid w:val="00167AF3"/>
    <w:rPr>
      <w:i w:val="0"/>
      <w:iCs w:val="0"/>
      <w:color w:val="008000"/>
    </w:rPr>
  </w:style>
  <w:style w:type="character" w:customStyle="1" w:styleId="shorttext">
    <w:name w:val="short_text"/>
    <w:rsid w:val="00167AF3"/>
  </w:style>
  <w:style w:type="paragraph" w:customStyle="1" w:styleId="Default">
    <w:name w:val="Default"/>
    <w:rsid w:val="00167AF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ylOdstavec-publikace11bChar">
    <w:name w:val="Styl Odstavec - publikace + 11 b. Char"/>
    <w:link w:val="StylOdstavec-publikace11b"/>
    <w:locked/>
    <w:rsid w:val="00167AF3"/>
  </w:style>
  <w:style w:type="paragraph" w:customStyle="1" w:styleId="StylOdstavec-publikace11b">
    <w:name w:val="Styl Odstavec - publikace + 11 b."/>
    <w:basedOn w:val="Odstavec-publikace"/>
    <w:link w:val="StylOdstavec-publikace11bChar"/>
    <w:rsid w:val="00167AF3"/>
    <w:pPr>
      <w:ind w:firstLine="0"/>
    </w:pPr>
    <w:rPr>
      <w:rFonts w:asciiTheme="minorHAnsi" w:eastAsiaTheme="minorHAnsi" w:hAnsiTheme="minorHAnsi" w:cstheme="minorBidi"/>
      <w:sz w:val="22"/>
      <w:szCs w:val="22"/>
      <w:lang w:eastAsia="en-US"/>
    </w:rPr>
  </w:style>
  <w:style w:type="character" w:customStyle="1" w:styleId="mw-headline">
    <w:name w:val="mw-headline"/>
    <w:rsid w:val="00167AF3"/>
  </w:style>
  <w:style w:type="character" w:customStyle="1" w:styleId="mw-editsection1">
    <w:name w:val="mw-editsection1"/>
    <w:rsid w:val="00167AF3"/>
  </w:style>
  <w:style w:type="character" w:customStyle="1" w:styleId="mw-editsection-bracket">
    <w:name w:val="mw-editsection-bracket"/>
    <w:rsid w:val="00167AF3"/>
  </w:style>
  <w:style w:type="character" w:customStyle="1" w:styleId="mw-editsection-divider1">
    <w:name w:val="mw-editsection-divider1"/>
    <w:rsid w:val="00167AF3"/>
    <w:rPr>
      <w:color w:val="555555"/>
    </w:rPr>
  </w:style>
  <w:style w:type="character" w:styleId="PromnnHTML">
    <w:name w:val="HTML Variable"/>
    <w:uiPriority w:val="99"/>
    <w:semiHidden/>
    <w:unhideWhenUsed/>
    <w:rsid w:val="00167AF3"/>
    <w:rPr>
      <w:b/>
      <w:bCs/>
      <w:i w:val="0"/>
      <w:iCs w:val="0"/>
    </w:rPr>
  </w:style>
  <w:style w:type="character" w:styleId="Odkaznakoment">
    <w:name w:val="annotation reference"/>
    <w:uiPriority w:val="99"/>
    <w:semiHidden/>
    <w:unhideWhenUsed/>
    <w:rsid w:val="00167AF3"/>
    <w:rPr>
      <w:sz w:val="16"/>
      <w:szCs w:val="16"/>
    </w:rPr>
  </w:style>
  <w:style w:type="paragraph" w:styleId="Pedmtkomente">
    <w:name w:val="annotation subject"/>
    <w:basedOn w:val="Textkomente"/>
    <w:next w:val="Textkomente"/>
    <w:link w:val="PedmtkomenteChar"/>
    <w:uiPriority w:val="99"/>
    <w:semiHidden/>
    <w:unhideWhenUsed/>
    <w:rsid w:val="00167AF3"/>
    <w:pPr>
      <w:spacing w:line="360" w:lineRule="auto"/>
    </w:pPr>
    <w:rPr>
      <w:b/>
      <w:bCs/>
    </w:rPr>
  </w:style>
  <w:style w:type="character" w:customStyle="1" w:styleId="PedmtkomenteChar">
    <w:name w:val="Předmět komentáře Char"/>
    <w:basedOn w:val="TextkomenteChar"/>
    <w:link w:val="Pedmtkomente"/>
    <w:uiPriority w:val="99"/>
    <w:semiHidden/>
    <w:rsid w:val="00167AF3"/>
    <w:rPr>
      <w:rFonts w:ascii="Times New Roman" w:eastAsia="Times New Roman" w:hAnsi="Times New Roman" w:cs="Times New Roman"/>
      <w:b/>
      <w:bCs/>
      <w:sz w:val="20"/>
      <w:szCs w:val="20"/>
      <w:lang w:eastAsia="cs-CZ"/>
    </w:rPr>
  </w:style>
  <w:style w:type="paragraph" w:styleId="Revize">
    <w:name w:val="Revision"/>
    <w:hidden/>
    <w:uiPriority w:val="99"/>
    <w:semiHidden/>
    <w:rsid w:val="00167AF3"/>
    <w:pPr>
      <w:spacing w:after="0" w:line="240" w:lineRule="auto"/>
    </w:pPr>
    <w:rPr>
      <w:rFonts w:ascii="Times New Roman" w:eastAsia="Times New Roman" w:hAnsi="Times New Roman" w:cs="Times New Roman"/>
      <w:sz w:val="24"/>
      <w:szCs w:val="24"/>
      <w:lang w:eastAsia="cs-CZ"/>
    </w:rPr>
  </w:style>
  <w:style w:type="paragraph" w:customStyle="1" w:styleId="Style14">
    <w:name w:val="Style14"/>
    <w:basedOn w:val="Normln"/>
    <w:rsid w:val="00167AF3"/>
    <w:pPr>
      <w:widowControl w:val="0"/>
      <w:autoSpaceDE w:val="0"/>
      <w:autoSpaceDN w:val="0"/>
      <w:adjustRightInd w:val="0"/>
      <w:spacing w:line="250" w:lineRule="exact"/>
      <w:jc w:val="both"/>
    </w:pPr>
  </w:style>
  <w:style w:type="character" w:customStyle="1" w:styleId="FontStyle47">
    <w:name w:val="Font Style47"/>
    <w:uiPriority w:val="99"/>
    <w:rsid w:val="00167AF3"/>
    <w:rPr>
      <w:rFonts w:ascii="Times New Roman" w:hAnsi="Times New Roman" w:cs="Times New Roman"/>
      <w:b/>
      <w:bCs/>
      <w:sz w:val="20"/>
      <w:szCs w:val="20"/>
    </w:rPr>
  </w:style>
  <w:style w:type="character" w:customStyle="1" w:styleId="FontStyle48">
    <w:name w:val="Font Style48"/>
    <w:uiPriority w:val="99"/>
    <w:rsid w:val="00167AF3"/>
    <w:rPr>
      <w:rFonts w:ascii="Times New Roman" w:hAnsi="Times New Roman" w:cs="Times New Roman"/>
      <w:sz w:val="20"/>
      <w:szCs w:val="20"/>
    </w:rPr>
  </w:style>
  <w:style w:type="paragraph" w:styleId="Zkladntext3">
    <w:name w:val="Body Text 3"/>
    <w:basedOn w:val="Normln"/>
    <w:link w:val="Zkladntext3Char"/>
    <w:rsid w:val="00167AF3"/>
    <w:pPr>
      <w:spacing w:after="120" w:line="240" w:lineRule="auto"/>
    </w:pPr>
    <w:rPr>
      <w:sz w:val="16"/>
      <w:szCs w:val="16"/>
    </w:rPr>
  </w:style>
  <w:style w:type="character" w:customStyle="1" w:styleId="Zkladntext3Char">
    <w:name w:val="Základní text 3 Char"/>
    <w:basedOn w:val="Standardnpsmoodstavce"/>
    <w:link w:val="Zkladntext3"/>
    <w:rsid w:val="00167AF3"/>
    <w:rPr>
      <w:rFonts w:ascii="Times New Roman" w:eastAsia="Times New Roman" w:hAnsi="Times New Roman" w:cs="Times New Roman"/>
      <w:sz w:val="16"/>
      <w:szCs w:val="16"/>
      <w:lang w:eastAsia="cs-CZ"/>
    </w:rPr>
  </w:style>
  <w:style w:type="paragraph" w:customStyle="1" w:styleId="Textpspvku">
    <w:name w:val="Text příspěvku"/>
    <w:basedOn w:val="Normln"/>
    <w:rsid w:val="00167AF3"/>
    <w:pPr>
      <w:tabs>
        <w:tab w:val="left" w:pos="284"/>
      </w:tabs>
      <w:spacing w:line="240" w:lineRule="auto"/>
      <w:jc w:val="both"/>
    </w:pPr>
    <w:rPr>
      <w:sz w:val="20"/>
      <w:szCs w:val="20"/>
      <w:lang w:val="en-US" w:eastAsia="en-US"/>
    </w:rPr>
  </w:style>
  <w:style w:type="paragraph" w:customStyle="1" w:styleId="Metodika-odstavec">
    <w:name w:val="Metodika - odstavec"/>
    <w:basedOn w:val="Normln"/>
    <w:link w:val="Metodika-odstavecChar"/>
    <w:qFormat/>
    <w:rsid w:val="00167AF3"/>
    <w:pPr>
      <w:spacing w:before="120" w:after="120" w:line="240" w:lineRule="auto"/>
      <w:jc w:val="both"/>
    </w:pPr>
    <w:rPr>
      <w:rFonts w:ascii="Verdana" w:hAnsi="Verdana"/>
      <w:sz w:val="22"/>
      <w:szCs w:val="22"/>
    </w:rPr>
  </w:style>
  <w:style w:type="character" w:customStyle="1" w:styleId="Metodika-odstavecChar">
    <w:name w:val="Metodika - odstavec Char"/>
    <w:link w:val="Metodika-odstavec"/>
    <w:rsid w:val="00167AF3"/>
    <w:rPr>
      <w:rFonts w:ascii="Verdana" w:eastAsia="Times New Roman" w:hAnsi="Verdana" w:cs="Times New Roman"/>
      <w:lang w:eastAsia="cs-CZ"/>
    </w:rPr>
  </w:style>
  <w:style w:type="character" w:styleId="Sledovanodkaz">
    <w:name w:val="FollowedHyperlink"/>
    <w:uiPriority w:val="99"/>
    <w:semiHidden/>
    <w:unhideWhenUsed/>
    <w:rsid w:val="00167AF3"/>
    <w:rPr>
      <w:color w:val="954F72"/>
      <w:u w:val="single"/>
    </w:rPr>
  </w:style>
  <w:style w:type="character" w:customStyle="1" w:styleId="italic">
    <w:name w:val="italic"/>
    <w:rsid w:val="00167AF3"/>
  </w:style>
  <w:style w:type="character" w:styleId="Zdraznn">
    <w:name w:val="Emphasis"/>
    <w:basedOn w:val="Standardnpsmoodstavce"/>
    <w:uiPriority w:val="20"/>
    <w:qFormat/>
    <w:rsid w:val="00167AF3"/>
    <w:rPr>
      <w:i/>
      <w:iCs/>
    </w:rPr>
  </w:style>
  <w:style w:type="character" w:customStyle="1" w:styleId="Nevyeenzmnka1">
    <w:name w:val="Nevyřešená zmínka1"/>
    <w:basedOn w:val="Standardnpsmoodstavce"/>
    <w:uiPriority w:val="99"/>
    <w:semiHidden/>
    <w:unhideWhenUsed/>
    <w:rsid w:val="00341C8B"/>
    <w:rPr>
      <w:color w:val="605E5C"/>
      <w:shd w:val="clear" w:color="auto" w:fill="E1DFDD"/>
    </w:rPr>
  </w:style>
  <w:style w:type="table" w:customStyle="1" w:styleId="Tabulkaseznamu3zvraznn11">
    <w:name w:val="Tabulka seznamu 3 – zvýraznění 11"/>
    <w:basedOn w:val="Normlntabulka"/>
    <w:uiPriority w:val="48"/>
    <w:rsid w:val="00A124C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C-popisobrzku">
    <w:name w:val="C - popis obrázku"/>
    <w:basedOn w:val="Normln"/>
    <w:next w:val="Normln"/>
    <w:link w:val="C-popisobrzkuChar"/>
    <w:qFormat/>
    <w:rsid w:val="00A124C4"/>
    <w:rPr>
      <w:i/>
      <w:snapToGrid w:val="0"/>
    </w:rPr>
  </w:style>
  <w:style w:type="character" w:customStyle="1" w:styleId="D-obrzek">
    <w:name w:val="D - obrázek"/>
    <w:basedOn w:val="Standardnpsmoodstavce"/>
    <w:qFormat/>
    <w:rsid w:val="00A124C4"/>
    <w:rPr>
      <w:b/>
      <w:i w:val="0"/>
      <w:color w:val="2E74B5" w:themeColor="accent5" w:themeShade="BF"/>
    </w:rPr>
  </w:style>
  <w:style w:type="character" w:customStyle="1" w:styleId="C-popisobrzkuChar">
    <w:name w:val="C - popis obrázku Char"/>
    <w:basedOn w:val="Standardnpsmoodstavce"/>
    <w:link w:val="C-popisobrzku"/>
    <w:rsid w:val="00A124C4"/>
    <w:rPr>
      <w:rFonts w:ascii="Times New Roman" w:eastAsia="Times New Roman" w:hAnsi="Times New Roman" w:cs="Times New Roman"/>
      <w:i/>
      <w:snapToGrid w:val="0"/>
      <w:sz w:val="24"/>
      <w:szCs w:val="24"/>
      <w:lang w:eastAsia="cs-CZ"/>
    </w:rPr>
  </w:style>
  <w:style w:type="paragraph" w:customStyle="1" w:styleId="C2-Informanzdroj">
    <w:name w:val="C2 - Informační zdroj"/>
    <w:basedOn w:val="C-popisobrzku"/>
    <w:next w:val="Normln"/>
    <w:qFormat/>
    <w:rsid w:val="00A124C4"/>
    <w:pPr>
      <w:jc w:val="center"/>
    </w:pPr>
  </w:style>
  <w:style w:type="paragraph" w:customStyle="1" w:styleId="5-textlnku">
    <w:name w:val="5 - text článku"/>
    <w:basedOn w:val="Normln"/>
    <w:link w:val="5-textlnkuChar"/>
    <w:qFormat/>
    <w:rsid w:val="001D785E"/>
    <w:pPr>
      <w:spacing w:before="120"/>
      <w:jc w:val="both"/>
    </w:pPr>
    <w:rPr>
      <w:snapToGrid w:val="0"/>
    </w:rPr>
  </w:style>
  <w:style w:type="character" w:customStyle="1" w:styleId="5-textlnkuChar">
    <w:name w:val="5 - text článku Char"/>
    <w:basedOn w:val="Standardnpsmoodstavce"/>
    <w:link w:val="5-textlnku"/>
    <w:rsid w:val="001D785E"/>
    <w:rPr>
      <w:rFonts w:ascii="Times New Roman" w:eastAsia="Times New Roman" w:hAnsi="Times New Roman" w:cs="Times New Roman"/>
      <w:snapToGrid w:val="0"/>
      <w:sz w:val="24"/>
      <w:szCs w:val="24"/>
      <w:lang w:eastAsia="cs-CZ"/>
    </w:rPr>
  </w:style>
  <w:style w:type="character" w:customStyle="1" w:styleId="Nevyeenzmnka2">
    <w:name w:val="Nevyřešená zmínka2"/>
    <w:basedOn w:val="Standardnpsmoodstavce"/>
    <w:uiPriority w:val="99"/>
    <w:semiHidden/>
    <w:unhideWhenUsed/>
    <w:rsid w:val="000559F9"/>
    <w:rPr>
      <w:color w:val="605E5C"/>
      <w:shd w:val="clear" w:color="auto" w:fill="E1DFDD"/>
    </w:rPr>
  </w:style>
  <w:style w:type="paragraph" w:customStyle="1" w:styleId="l3">
    <w:name w:val="l3"/>
    <w:basedOn w:val="Normln"/>
    <w:rsid w:val="008E3819"/>
    <w:pPr>
      <w:spacing w:before="100" w:beforeAutospacing="1" w:after="100" w:afterAutospacing="1" w:line="240" w:lineRule="auto"/>
    </w:pPr>
  </w:style>
  <w:style w:type="paragraph" w:customStyle="1" w:styleId="TableParagraph">
    <w:name w:val="Table Paragraph"/>
    <w:basedOn w:val="Normln"/>
    <w:uiPriority w:val="1"/>
    <w:qFormat/>
    <w:rsid w:val="00693117"/>
    <w:pPr>
      <w:widowControl w:val="0"/>
      <w:autoSpaceDE w:val="0"/>
      <w:autoSpaceDN w:val="0"/>
      <w:spacing w:line="240" w:lineRule="auto"/>
    </w:pPr>
    <w:rPr>
      <w:rFonts w:ascii="Arial" w:eastAsia="Arial" w:hAnsi="Arial" w:cs="Arial"/>
      <w:sz w:val="22"/>
      <w:szCs w:val="22"/>
      <w:lang w:bidi="cs-CZ"/>
    </w:rPr>
  </w:style>
  <w:style w:type="paragraph" w:customStyle="1" w:styleId="9-poznmkapodarou">
    <w:name w:val="9 - poznámka pod čarou"/>
    <w:basedOn w:val="FormtovanvHTML"/>
    <w:qFormat/>
    <w:rsid w:val="00AD3744"/>
    <w:pPr>
      <w:jc w:val="both"/>
    </w:pPr>
    <w:rPr>
      <w:rFonts w:ascii="Times New Roman" w:hAnsi="Times New Roman" w:cs="Times New Roman"/>
    </w:rPr>
  </w:style>
  <w:style w:type="character" w:customStyle="1" w:styleId="bibliographic-informationtitle">
    <w:name w:val="bibliographic-information__title"/>
    <w:basedOn w:val="Standardnpsmoodstavce"/>
    <w:rsid w:val="0086041F"/>
  </w:style>
  <w:style w:type="character" w:customStyle="1" w:styleId="bibliographic-informationvalue">
    <w:name w:val="bibliographic-information__value"/>
    <w:basedOn w:val="Standardnpsmoodstavce"/>
    <w:rsid w:val="0086041F"/>
  </w:style>
  <w:style w:type="paragraph" w:customStyle="1" w:styleId="volumes">
    <w:name w:val="volumes"/>
    <w:basedOn w:val="Normln"/>
    <w:rsid w:val="00CC60A7"/>
    <w:pPr>
      <w:spacing w:before="100" w:beforeAutospacing="1" w:after="100" w:afterAutospacing="1" w:line="240" w:lineRule="auto"/>
    </w:pPr>
  </w:style>
  <w:style w:type="paragraph" w:customStyle="1" w:styleId="A-texttabulka">
    <w:name w:val="A-text tabulka"/>
    <w:basedOn w:val="Zkladntext"/>
    <w:link w:val="A-texttabulkaChar"/>
    <w:qFormat/>
    <w:rsid w:val="00932C81"/>
    <w:pPr>
      <w:spacing w:before="40" w:after="40" w:line="240" w:lineRule="auto"/>
    </w:pPr>
    <w:rPr>
      <w:sz w:val="22"/>
      <w:szCs w:val="22"/>
    </w:rPr>
  </w:style>
  <w:style w:type="character" w:customStyle="1" w:styleId="A-texttabulkaChar">
    <w:name w:val="A-text tabulka Char"/>
    <w:link w:val="A-texttabulka"/>
    <w:rsid w:val="00932C81"/>
    <w:rPr>
      <w:rFonts w:ascii="Times New Roman" w:eastAsia="Times New Roman" w:hAnsi="Times New Roman" w:cs="Times New Roman"/>
      <w:lang w:val="x-none" w:eastAsia="x-none"/>
    </w:rPr>
  </w:style>
  <w:style w:type="paragraph" w:customStyle="1" w:styleId="l4">
    <w:name w:val="l4"/>
    <w:basedOn w:val="Normln"/>
    <w:rsid w:val="0093023B"/>
    <w:pPr>
      <w:spacing w:before="100" w:beforeAutospacing="1" w:after="100" w:afterAutospacing="1" w:line="240" w:lineRule="auto"/>
    </w:pPr>
  </w:style>
  <w:style w:type="paragraph" w:customStyle="1" w:styleId="l5">
    <w:name w:val="l5"/>
    <w:basedOn w:val="Normln"/>
    <w:rsid w:val="00874F70"/>
    <w:pPr>
      <w:spacing w:before="100" w:beforeAutospacing="1" w:after="100" w:afterAutospacing="1" w:line="240" w:lineRule="auto"/>
    </w:pPr>
  </w:style>
  <w:style w:type="character" w:customStyle="1" w:styleId="audit-mesto">
    <w:name w:val="audit-mesto"/>
    <w:basedOn w:val="Standardnpsmoodstavce"/>
    <w:rsid w:val="00E16BC7"/>
  </w:style>
  <w:style w:type="paragraph" w:customStyle="1" w:styleId="A-tabulka">
    <w:name w:val="A-tabulka"/>
    <w:basedOn w:val="a"/>
    <w:link w:val="A-tabulkaChar"/>
    <w:qFormat/>
    <w:rsid w:val="006759AF"/>
    <w:pPr>
      <w:spacing w:before="0" w:after="0" w:line="240" w:lineRule="auto"/>
    </w:pPr>
    <w:rPr>
      <w:rFonts w:ascii="Times New Roman" w:hAnsi="Times New Roman"/>
      <w:i w:val="0"/>
      <w:sz w:val="24"/>
      <w:lang w:val="cs-CZ" w:eastAsia="cs-CZ"/>
    </w:rPr>
  </w:style>
  <w:style w:type="character" w:customStyle="1" w:styleId="A-tabulkaChar">
    <w:name w:val="A-tabulka Char"/>
    <w:link w:val="A-tabulka"/>
    <w:rsid w:val="006759AF"/>
    <w:rPr>
      <w:rFonts w:ascii="Times New Roman" w:eastAsia="Times New Roman" w:hAnsi="Times New Roman" w:cs="Times New Roman"/>
      <w:b/>
      <w:iCs/>
      <w:sz w:val="24"/>
      <w:szCs w:val="24"/>
      <w:lang w:eastAsia="cs-CZ"/>
    </w:rPr>
  </w:style>
  <w:style w:type="character" w:customStyle="1" w:styleId="Nevyeenzmnka3">
    <w:name w:val="Nevyřešená zmínka3"/>
    <w:basedOn w:val="Standardnpsmoodstavce"/>
    <w:uiPriority w:val="99"/>
    <w:semiHidden/>
    <w:unhideWhenUsed/>
    <w:rPr>
      <w:color w:val="605E5C"/>
      <w:shd w:val="clear" w:color="auto" w:fill="E1DFDD"/>
    </w:rPr>
  </w:style>
  <w:style w:type="character" w:customStyle="1" w:styleId="TitulekChar">
    <w:name w:val="Titulek Char"/>
    <w:aliases w:val="Titulek tabulky Char,Title for table Char,picture Char,graph Char,formula Char,Zdroj_moje Char,titulek tabulka Char,Tabulka-PK Char,Tabulka Char,Tabulka_nadpis Char,Podpis pod rysunkiem Char,Nagłówek Tabeli Char,Nag3ówek Tabeli Char"/>
    <w:link w:val="Titulek"/>
    <w:uiPriority w:val="35"/>
    <w:qFormat/>
    <w:rsid w:val="00680873"/>
    <w:rPr>
      <w:rFonts w:ascii="Times New Roman" w:eastAsia="Times New Roman" w:hAnsi="Times New Roman" w:cs="Times New Roman"/>
      <w:b/>
      <w:bCs/>
      <w:sz w:val="44"/>
      <w:szCs w:val="44"/>
      <w:lang w:eastAsia="cs-CZ"/>
    </w:rPr>
  </w:style>
  <w:style w:type="paragraph" w:customStyle="1" w:styleId="Zdroj">
    <w:name w:val="Zdroj"/>
    <w:basedOn w:val="Normln"/>
    <w:link w:val="ZdrojChar"/>
    <w:qFormat/>
    <w:rsid w:val="00680873"/>
    <w:pPr>
      <w:spacing w:after="120" w:line="240" w:lineRule="auto"/>
      <w:jc w:val="both"/>
    </w:pPr>
    <w:rPr>
      <w:rFonts w:asciiTheme="minorHAnsi" w:hAnsiTheme="minorHAnsi"/>
      <w:bCs/>
      <w:i/>
      <w:iCs/>
      <w:sz w:val="18"/>
    </w:rPr>
  </w:style>
  <w:style w:type="character" w:customStyle="1" w:styleId="ZdrojChar">
    <w:name w:val="Zdroj Char"/>
    <w:basedOn w:val="Standardnpsmoodstavce"/>
    <w:link w:val="Zdroj"/>
    <w:rsid w:val="00680873"/>
    <w:rPr>
      <w:rFonts w:eastAsia="Times New Roman" w:cs="Times New Roman"/>
      <w:bCs/>
      <w:i/>
      <w:iCs/>
      <w:sz w:val="18"/>
      <w:szCs w:val="24"/>
      <w:lang w:eastAsia="cs-CZ"/>
    </w:rPr>
  </w:style>
  <w:style w:type="paragraph" w:styleId="slovanseznam3">
    <w:name w:val="List Number 3"/>
    <w:basedOn w:val="Normln"/>
    <w:rsid w:val="00A66E9D"/>
    <w:pPr>
      <w:numPr>
        <w:numId w:val="56"/>
      </w:numPr>
      <w:autoSpaceDE w:val="0"/>
      <w:autoSpaceDN w:val="0"/>
      <w:spacing w:after="120" w:line="240" w:lineRule="auto"/>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9177">
      <w:bodyDiv w:val="1"/>
      <w:marLeft w:val="0"/>
      <w:marRight w:val="0"/>
      <w:marTop w:val="0"/>
      <w:marBottom w:val="0"/>
      <w:divBdr>
        <w:top w:val="none" w:sz="0" w:space="0" w:color="auto"/>
        <w:left w:val="none" w:sz="0" w:space="0" w:color="auto"/>
        <w:bottom w:val="none" w:sz="0" w:space="0" w:color="auto"/>
        <w:right w:val="none" w:sz="0" w:space="0" w:color="auto"/>
      </w:divBdr>
      <w:divsChild>
        <w:div w:id="1517765146">
          <w:marLeft w:val="0"/>
          <w:marRight w:val="0"/>
          <w:marTop w:val="0"/>
          <w:marBottom w:val="45"/>
          <w:divBdr>
            <w:top w:val="none" w:sz="0" w:space="0" w:color="auto"/>
            <w:left w:val="none" w:sz="0" w:space="0" w:color="auto"/>
            <w:bottom w:val="none" w:sz="0" w:space="0" w:color="auto"/>
            <w:right w:val="none" w:sz="0" w:space="0" w:color="auto"/>
          </w:divBdr>
          <w:divsChild>
            <w:div w:id="18400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731">
      <w:bodyDiv w:val="1"/>
      <w:marLeft w:val="0"/>
      <w:marRight w:val="0"/>
      <w:marTop w:val="0"/>
      <w:marBottom w:val="0"/>
      <w:divBdr>
        <w:top w:val="none" w:sz="0" w:space="0" w:color="auto"/>
        <w:left w:val="none" w:sz="0" w:space="0" w:color="auto"/>
        <w:bottom w:val="none" w:sz="0" w:space="0" w:color="auto"/>
        <w:right w:val="none" w:sz="0" w:space="0" w:color="auto"/>
      </w:divBdr>
      <w:divsChild>
        <w:div w:id="278145920">
          <w:marLeft w:val="0"/>
          <w:marRight w:val="0"/>
          <w:marTop w:val="0"/>
          <w:marBottom w:val="0"/>
          <w:divBdr>
            <w:top w:val="none" w:sz="0" w:space="0" w:color="auto"/>
            <w:left w:val="none" w:sz="0" w:space="0" w:color="auto"/>
            <w:bottom w:val="single" w:sz="6" w:space="0" w:color="CECECE"/>
            <w:right w:val="none" w:sz="0" w:space="0" w:color="auto"/>
          </w:divBdr>
          <w:divsChild>
            <w:div w:id="946735456">
              <w:marLeft w:val="0"/>
              <w:marRight w:val="0"/>
              <w:marTop w:val="0"/>
              <w:marBottom w:val="0"/>
              <w:divBdr>
                <w:top w:val="none" w:sz="0" w:space="0" w:color="auto"/>
                <w:left w:val="none" w:sz="0" w:space="0" w:color="auto"/>
                <w:bottom w:val="none" w:sz="0" w:space="0" w:color="auto"/>
                <w:right w:val="none" w:sz="0" w:space="0" w:color="auto"/>
              </w:divBdr>
            </w:div>
            <w:div w:id="620696671">
              <w:marLeft w:val="0"/>
              <w:marRight w:val="0"/>
              <w:marTop w:val="0"/>
              <w:marBottom w:val="0"/>
              <w:divBdr>
                <w:top w:val="none" w:sz="0" w:space="0" w:color="auto"/>
                <w:left w:val="none" w:sz="0" w:space="0" w:color="auto"/>
                <w:bottom w:val="none" w:sz="0" w:space="0" w:color="auto"/>
                <w:right w:val="none" w:sz="0" w:space="0" w:color="auto"/>
              </w:divBdr>
            </w:div>
          </w:divsChild>
        </w:div>
        <w:div w:id="331683577">
          <w:marLeft w:val="0"/>
          <w:marRight w:val="0"/>
          <w:marTop w:val="0"/>
          <w:marBottom w:val="0"/>
          <w:divBdr>
            <w:top w:val="none" w:sz="0" w:space="0" w:color="auto"/>
            <w:left w:val="none" w:sz="0" w:space="0" w:color="auto"/>
            <w:bottom w:val="single" w:sz="6" w:space="0" w:color="CECECE"/>
            <w:right w:val="none" w:sz="0" w:space="0" w:color="auto"/>
          </w:divBdr>
          <w:divsChild>
            <w:div w:id="1526288107">
              <w:marLeft w:val="0"/>
              <w:marRight w:val="0"/>
              <w:marTop w:val="0"/>
              <w:marBottom w:val="0"/>
              <w:divBdr>
                <w:top w:val="none" w:sz="0" w:space="0" w:color="auto"/>
                <w:left w:val="none" w:sz="0" w:space="0" w:color="auto"/>
                <w:bottom w:val="none" w:sz="0" w:space="0" w:color="auto"/>
                <w:right w:val="none" w:sz="0" w:space="0" w:color="auto"/>
              </w:divBdr>
            </w:div>
            <w:div w:id="726146040">
              <w:marLeft w:val="0"/>
              <w:marRight w:val="0"/>
              <w:marTop w:val="0"/>
              <w:marBottom w:val="0"/>
              <w:divBdr>
                <w:top w:val="none" w:sz="0" w:space="0" w:color="auto"/>
                <w:left w:val="none" w:sz="0" w:space="0" w:color="auto"/>
                <w:bottom w:val="none" w:sz="0" w:space="0" w:color="auto"/>
                <w:right w:val="none" w:sz="0" w:space="0" w:color="auto"/>
              </w:divBdr>
            </w:div>
          </w:divsChild>
        </w:div>
        <w:div w:id="1275601610">
          <w:marLeft w:val="0"/>
          <w:marRight w:val="0"/>
          <w:marTop w:val="0"/>
          <w:marBottom w:val="0"/>
          <w:divBdr>
            <w:top w:val="none" w:sz="0" w:space="0" w:color="auto"/>
            <w:left w:val="none" w:sz="0" w:space="0" w:color="auto"/>
            <w:bottom w:val="single" w:sz="6" w:space="0" w:color="CECECE"/>
            <w:right w:val="none" w:sz="0" w:space="0" w:color="auto"/>
          </w:divBdr>
          <w:divsChild>
            <w:div w:id="1282684725">
              <w:marLeft w:val="0"/>
              <w:marRight w:val="0"/>
              <w:marTop w:val="0"/>
              <w:marBottom w:val="0"/>
              <w:divBdr>
                <w:top w:val="none" w:sz="0" w:space="0" w:color="auto"/>
                <w:left w:val="none" w:sz="0" w:space="0" w:color="auto"/>
                <w:bottom w:val="none" w:sz="0" w:space="0" w:color="auto"/>
                <w:right w:val="none" w:sz="0" w:space="0" w:color="auto"/>
              </w:divBdr>
            </w:div>
            <w:div w:id="2006545511">
              <w:marLeft w:val="0"/>
              <w:marRight w:val="0"/>
              <w:marTop w:val="0"/>
              <w:marBottom w:val="0"/>
              <w:divBdr>
                <w:top w:val="none" w:sz="0" w:space="0" w:color="auto"/>
                <w:left w:val="none" w:sz="0" w:space="0" w:color="auto"/>
                <w:bottom w:val="none" w:sz="0" w:space="0" w:color="auto"/>
                <w:right w:val="none" w:sz="0" w:space="0" w:color="auto"/>
              </w:divBdr>
            </w:div>
          </w:divsChild>
        </w:div>
        <w:div w:id="528224551">
          <w:marLeft w:val="0"/>
          <w:marRight w:val="0"/>
          <w:marTop w:val="0"/>
          <w:marBottom w:val="0"/>
          <w:divBdr>
            <w:top w:val="none" w:sz="0" w:space="0" w:color="auto"/>
            <w:left w:val="none" w:sz="0" w:space="0" w:color="auto"/>
            <w:bottom w:val="single" w:sz="6" w:space="0" w:color="CECECE"/>
            <w:right w:val="none" w:sz="0" w:space="0" w:color="auto"/>
          </w:divBdr>
          <w:divsChild>
            <w:div w:id="641623069">
              <w:marLeft w:val="0"/>
              <w:marRight w:val="0"/>
              <w:marTop w:val="0"/>
              <w:marBottom w:val="0"/>
              <w:divBdr>
                <w:top w:val="none" w:sz="0" w:space="0" w:color="auto"/>
                <w:left w:val="none" w:sz="0" w:space="0" w:color="auto"/>
                <w:bottom w:val="none" w:sz="0" w:space="0" w:color="auto"/>
                <w:right w:val="none" w:sz="0" w:space="0" w:color="auto"/>
              </w:divBdr>
            </w:div>
            <w:div w:id="1184132625">
              <w:marLeft w:val="0"/>
              <w:marRight w:val="0"/>
              <w:marTop w:val="0"/>
              <w:marBottom w:val="0"/>
              <w:divBdr>
                <w:top w:val="none" w:sz="0" w:space="0" w:color="auto"/>
                <w:left w:val="none" w:sz="0" w:space="0" w:color="auto"/>
                <w:bottom w:val="none" w:sz="0" w:space="0" w:color="auto"/>
                <w:right w:val="none" w:sz="0" w:space="0" w:color="auto"/>
              </w:divBdr>
            </w:div>
          </w:divsChild>
        </w:div>
        <w:div w:id="1618292695">
          <w:marLeft w:val="0"/>
          <w:marRight w:val="0"/>
          <w:marTop w:val="0"/>
          <w:marBottom w:val="0"/>
          <w:divBdr>
            <w:top w:val="none" w:sz="0" w:space="0" w:color="auto"/>
            <w:left w:val="none" w:sz="0" w:space="0" w:color="auto"/>
            <w:bottom w:val="single" w:sz="6" w:space="0" w:color="CECECE"/>
            <w:right w:val="none" w:sz="0" w:space="0" w:color="auto"/>
          </w:divBdr>
          <w:divsChild>
            <w:div w:id="547255157">
              <w:marLeft w:val="0"/>
              <w:marRight w:val="0"/>
              <w:marTop w:val="0"/>
              <w:marBottom w:val="0"/>
              <w:divBdr>
                <w:top w:val="none" w:sz="0" w:space="0" w:color="auto"/>
                <w:left w:val="none" w:sz="0" w:space="0" w:color="auto"/>
                <w:bottom w:val="none" w:sz="0" w:space="0" w:color="auto"/>
                <w:right w:val="none" w:sz="0" w:space="0" w:color="auto"/>
              </w:divBdr>
            </w:div>
            <w:div w:id="1910579245">
              <w:marLeft w:val="0"/>
              <w:marRight w:val="0"/>
              <w:marTop w:val="0"/>
              <w:marBottom w:val="0"/>
              <w:divBdr>
                <w:top w:val="none" w:sz="0" w:space="0" w:color="auto"/>
                <w:left w:val="none" w:sz="0" w:space="0" w:color="auto"/>
                <w:bottom w:val="none" w:sz="0" w:space="0" w:color="auto"/>
                <w:right w:val="none" w:sz="0" w:space="0" w:color="auto"/>
              </w:divBdr>
            </w:div>
          </w:divsChild>
        </w:div>
        <w:div w:id="1267612552">
          <w:marLeft w:val="0"/>
          <w:marRight w:val="0"/>
          <w:marTop w:val="0"/>
          <w:marBottom w:val="0"/>
          <w:divBdr>
            <w:top w:val="none" w:sz="0" w:space="0" w:color="auto"/>
            <w:left w:val="none" w:sz="0" w:space="0" w:color="auto"/>
            <w:bottom w:val="single" w:sz="6" w:space="0" w:color="CECECE"/>
            <w:right w:val="none" w:sz="0" w:space="0" w:color="auto"/>
          </w:divBdr>
          <w:divsChild>
            <w:div w:id="1456825298">
              <w:marLeft w:val="0"/>
              <w:marRight w:val="0"/>
              <w:marTop w:val="0"/>
              <w:marBottom w:val="0"/>
              <w:divBdr>
                <w:top w:val="none" w:sz="0" w:space="0" w:color="auto"/>
                <w:left w:val="none" w:sz="0" w:space="0" w:color="auto"/>
                <w:bottom w:val="none" w:sz="0" w:space="0" w:color="auto"/>
                <w:right w:val="none" w:sz="0" w:space="0" w:color="auto"/>
              </w:divBdr>
            </w:div>
            <w:div w:id="177085814">
              <w:marLeft w:val="0"/>
              <w:marRight w:val="0"/>
              <w:marTop w:val="0"/>
              <w:marBottom w:val="0"/>
              <w:divBdr>
                <w:top w:val="none" w:sz="0" w:space="0" w:color="auto"/>
                <w:left w:val="none" w:sz="0" w:space="0" w:color="auto"/>
                <w:bottom w:val="none" w:sz="0" w:space="0" w:color="auto"/>
                <w:right w:val="none" w:sz="0" w:space="0" w:color="auto"/>
              </w:divBdr>
              <w:divsChild>
                <w:div w:id="5146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49816">
          <w:marLeft w:val="0"/>
          <w:marRight w:val="0"/>
          <w:marTop w:val="0"/>
          <w:marBottom w:val="0"/>
          <w:divBdr>
            <w:top w:val="none" w:sz="0" w:space="0" w:color="auto"/>
            <w:left w:val="none" w:sz="0" w:space="0" w:color="auto"/>
            <w:bottom w:val="single" w:sz="6" w:space="0" w:color="CECECE"/>
            <w:right w:val="none" w:sz="0" w:space="0" w:color="auto"/>
          </w:divBdr>
          <w:divsChild>
            <w:div w:id="1860502704">
              <w:marLeft w:val="0"/>
              <w:marRight w:val="0"/>
              <w:marTop w:val="0"/>
              <w:marBottom w:val="0"/>
              <w:divBdr>
                <w:top w:val="none" w:sz="0" w:space="0" w:color="auto"/>
                <w:left w:val="none" w:sz="0" w:space="0" w:color="auto"/>
                <w:bottom w:val="none" w:sz="0" w:space="0" w:color="auto"/>
                <w:right w:val="none" w:sz="0" w:space="0" w:color="auto"/>
              </w:divBdr>
            </w:div>
            <w:div w:id="183330473">
              <w:marLeft w:val="0"/>
              <w:marRight w:val="0"/>
              <w:marTop w:val="0"/>
              <w:marBottom w:val="0"/>
              <w:divBdr>
                <w:top w:val="none" w:sz="0" w:space="0" w:color="auto"/>
                <w:left w:val="none" w:sz="0" w:space="0" w:color="auto"/>
                <w:bottom w:val="none" w:sz="0" w:space="0" w:color="auto"/>
                <w:right w:val="none" w:sz="0" w:space="0" w:color="auto"/>
              </w:divBdr>
              <w:divsChild>
                <w:div w:id="12585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02378">
          <w:marLeft w:val="0"/>
          <w:marRight w:val="0"/>
          <w:marTop w:val="0"/>
          <w:marBottom w:val="0"/>
          <w:divBdr>
            <w:top w:val="none" w:sz="0" w:space="0" w:color="auto"/>
            <w:left w:val="none" w:sz="0" w:space="0" w:color="auto"/>
            <w:bottom w:val="single" w:sz="6" w:space="0" w:color="CECECE"/>
            <w:right w:val="none" w:sz="0" w:space="0" w:color="auto"/>
          </w:divBdr>
          <w:divsChild>
            <w:div w:id="644507951">
              <w:marLeft w:val="0"/>
              <w:marRight w:val="0"/>
              <w:marTop w:val="0"/>
              <w:marBottom w:val="0"/>
              <w:divBdr>
                <w:top w:val="none" w:sz="0" w:space="0" w:color="auto"/>
                <w:left w:val="none" w:sz="0" w:space="0" w:color="auto"/>
                <w:bottom w:val="none" w:sz="0" w:space="0" w:color="auto"/>
                <w:right w:val="none" w:sz="0" w:space="0" w:color="auto"/>
              </w:divBdr>
            </w:div>
            <w:div w:id="1474062432">
              <w:marLeft w:val="0"/>
              <w:marRight w:val="0"/>
              <w:marTop w:val="0"/>
              <w:marBottom w:val="0"/>
              <w:divBdr>
                <w:top w:val="none" w:sz="0" w:space="0" w:color="auto"/>
                <w:left w:val="none" w:sz="0" w:space="0" w:color="auto"/>
                <w:bottom w:val="none" w:sz="0" w:space="0" w:color="auto"/>
                <w:right w:val="none" w:sz="0" w:space="0" w:color="auto"/>
              </w:divBdr>
            </w:div>
          </w:divsChild>
        </w:div>
        <w:div w:id="624624389">
          <w:marLeft w:val="0"/>
          <w:marRight w:val="0"/>
          <w:marTop w:val="0"/>
          <w:marBottom w:val="0"/>
          <w:divBdr>
            <w:top w:val="none" w:sz="0" w:space="0" w:color="auto"/>
            <w:left w:val="none" w:sz="0" w:space="0" w:color="auto"/>
            <w:bottom w:val="single" w:sz="6" w:space="0" w:color="CECECE"/>
            <w:right w:val="none" w:sz="0" w:space="0" w:color="auto"/>
          </w:divBdr>
          <w:divsChild>
            <w:div w:id="914046153">
              <w:marLeft w:val="0"/>
              <w:marRight w:val="0"/>
              <w:marTop w:val="0"/>
              <w:marBottom w:val="0"/>
              <w:divBdr>
                <w:top w:val="none" w:sz="0" w:space="0" w:color="auto"/>
                <w:left w:val="none" w:sz="0" w:space="0" w:color="auto"/>
                <w:bottom w:val="none" w:sz="0" w:space="0" w:color="auto"/>
                <w:right w:val="none" w:sz="0" w:space="0" w:color="auto"/>
              </w:divBdr>
            </w:div>
            <w:div w:id="1969583947">
              <w:marLeft w:val="0"/>
              <w:marRight w:val="0"/>
              <w:marTop w:val="0"/>
              <w:marBottom w:val="0"/>
              <w:divBdr>
                <w:top w:val="none" w:sz="0" w:space="0" w:color="auto"/>
                <w:left w:val="none" w:sz="0" w:space="0" w:color="auto"/>
                <w:bottom w:val="none" w:sz="0" w:space="0" w:color="auto"/>
                <w:right w:val="none" w:sz="0" w:space="0" w:color="auto"/>
              </w:divBdr>
            </w:div>
          </w:divsChild>
        </w:div>
        <w:div w:id="1756627660">
          <w:marLeft w:val="0"/>
          <w:marRight w:val="0"/>
          <w:marTop w:val="0"/>
          <w:marBottom w:val="0"/>
          <w:divBdr>
            <w:top w:val="none" w:sz="0" w:space="0" w:color="auto"/>
            <w:left w:val="none" w:sz="0" w:space="0" w:color="auto"/>
            <w:bottom w:val="single" w:sz="6" w:space="0" w:color="CECECE"/>
            <w:right w:val="none" w:sz="0" w:space="0" w:color="auto"/>
          </w:divBdr>
          <w:divsChild>
            <w:div w:id="1845895293">
              <w:marLeft w:val="0"/>
              <w:marRight w:val="0"/>
              <w:marTop w:val="0"/>
              <w:marBottom w:val="0"/>
              <w:divBdr>
                <w:top w:val="none" w:sz="0" w:space="0" w:color="auto"/>
                <w:left w:val="none" w:sz="0" w:space="0" w:color="auto"/>
                <w:bottom w:val="none" w:sz="0" w:space="0" w:color="auto"/>
                <w:right w:val="none" w:sz="0" w:space="0" w:color="auto"/>
              </w:divBdr>
            </w:div>
            <w:div w:id="1594783101">
              <w:marLeft w:val="0"/>
              <w:marRight w:val="0"/>
              <w:marTop w:val="0"/>
              <w:marBottom w:val="0"/>
              <w:divBdr>
                <w:top w:val="none" w:sz="0" w:space="0" w:color="auto"/>
                <w:left w:val="none" w:sz="0" w:space="0" w:color="auto"/>
                <w:bottom w:val="none" w:sz="0" w:space="0" w:color="auto"/>
                <w:right w:val="none" w:sz="0" w:space="0" w:color="auto"/>
              </w:divBdr>
              <w:divsChild>
                <w:div w:id="19944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9912">
          <w:marLeft w:val="0"/>
          <w:marRight w:val="0"/>
          <w:marTop w:val="0"/>
          <w:marBottom w:val="0"/>
          <w:divBdr>
            <w:top w:val="none" w:sz="0" w:space="0" w:color="auto"/>
            <w:left w:val="none" w:sz="0" w:space="0" w:color="auto"/>
            <w:bottom w:val="single" w:sz="6" w:space="0" w:color="CECECE"/>
            <w:right w:val="none" w:sz="0" w:space="0" w:color="auto"/>
          </w:divBdr>
          <w:divsChild>
            <w:div w:id="1389301724">
              <w:marLeft w:val="0"/>
              <w:marRight w:val="0"/>
              <w:marTop w:val="0"/>
              <w:marBottom w:val="0"/>
              <w:divBdr>
                <w:top w:val="none" w:sz="0" w:space="0" w:color="auto"/>
                <w:left w:val="none" w:sz="0" w:space="0" w:color="auto"/>
                <w:bottom w:val="none" w:sz="0" w:space="0" w:color="auto"/>
                <w:right w:val="none" w:sz="0" w:space="0" w:color="auto"/>
              </w:divBdr>
            </w:div>
            <w:div w:id="88237854">
              <w:marLeft w:val="0"/>
              <w:marRight w:val="0"/>
              <w:marTop w:val="0"/>
              <w:marBottom w:val="0"/>
              <w:divBdr>
                <w:top w:val="none" w:sz="0" w:space="0" w:color="auto"/>
                <w:left w:val="none" w:sz="0" w:space="0" w:color="auto"/>
                <w:bottom w:val="none" w:sz="0" w:space="0" w:color="auto"/>
                <w:right w:val="none" w:sz="0" w:space="0" w:color="auto"/>
              </w:divBdr>
            </w:div>
          </w:divsChild>
        </w:div>
        <w:div w:id="1262957026">
          <w:marLeft w:val="0"/>
          <w:marRight w:val="0"/>
          <w:marTop w:val="0"/>
          <w:marBottom w:val="0"/>
          <w:divBdr>
            <w:top w:val="none" w:sz="0" w:space="0" w:color="auto"/>
            <w:left w:val="none" w:sz="0" w:space="0" w:color="auto"/>
            <w:bottom w:val="single" w:sz="6" w:space="0" w:color="CECECE"/>
            <w:right w:val="none" w:sz="0" w:space="0" w:color="auto"/>
          </w:divBdr>
          <w:divsChild>
            <w:div w:id="1581133896">
              <w:marLeft w:val="0"/>
              <w:marRight w:val="0"/>
              <w:marTop w:val="0"/>
              <w:marBottom w:val="0"/>
              <w:divBdr>
                <w:top w:val="none" w:sz="0" w:space="0" w:color="auto"/>
                <w:left w:val="none" w:sz="0" w:space="0" w:color="auto"/>
                <w:bottom w:val="none" w:sz="0" w:space="0" w:color="auto"/>
                <w:right w:val="none" w:sz="0" w:space="0" w:color="auto"/>
              </w:divBdr>
            </w:div>
            <w:div w:id="1524632495">
              <w:marLeft w:val="0"/>
              <w:marRight w:val="0"/>
              <w:marTop w:val="0"/>
              <w:marBottom w:val="0"/>
              <w:divBdr>
                <w:top w:val="none" w:sz="0" w:space="0" w:color="auto"/>
                <w:left w:val="none" w:sz="0" w:space="0" w:color="auto"/>
                <w:bottom w:val="none" w:sz="0" w:space="0" w:color="auto"/>
                <w:right w:val="none" w:sz="0" w:space="0" w:color="auto"/>
              </w:divBdr>
            </w:div>
          </w:divsChild>
        </w:div>
        <w:div w:id="475028623">
          <w:marLeft w:val="0"/>
          <w:marRight w:val="0"/>
          <w:marTop w:val="0"/>
          <w:marBottom w:val="0"/>
          <w:divBdr>
            <w:top w:val="none" w:sz="0" w:space="0" w:color="auto"/>
            <w:left w:val="none" w:sz="0" w:space="0" w:color="auto"/>
            <w:bottom w:val="single" w:sz="6" w:space="0" w:color="CECECE"/>
            <w:right w:val="none" w:sz="0" w:space="0" w:color="auto"/>
          </w:divBdr>
          <w:divsChild>
            <w:div w:id="1240365521">
              <w:marLeft w:val="0"/>
              <w:marRight w:val="0"/>
              <w:marTop w:val="0"/>
              <w:marBottom w:val="0"/>
              <w:divBdr>
                <w:top w:val="none" w:sz="0" w:space="0" w:color="auto"/>
                <w:left w:val="none" w:sz="0" w:space="0" w:color="auto"/>
                <w:bottom w:val="none" w:sz="0" w:space="0" w:color="auto"/>
                <w:right w:val="none" w:sz="0" w:space="0" w:color="auto"/>
              </w:divBdr>
            </w:div>
            <w:div w:id="2011903631">
              <w:marLeft w:val="0"/>
              <w:marRight w:val="0"/>
              <w:marTop w:val="0"/>
              <w:marBottom w:val="0"/>
              <w:divBdr>
                <w:top w:val="none" w:sz="0" w:space="0" w:color="auto"/>
                <w:left w:val="none" w:sz="0" w:space="0" w:color="auto"/>
                <w:bottom w:val="none" w:sz="0" w:space="0" w:color="auto"/>
                <w:right w:val="none" w:sz="0" w:space="0" w:color="auto"/>
              </w:divBdr>
            </w:div>
          </w:divsChild>
        </w:div>
        <w:div w:id="187446716">
          <w:marLeft w:val="0"/>
          <w:marRight w:val="0"/>
          <w:marTop w:val="0"/>
          <w:marBottom w:val="0"/>
          <w:divBdr>
            <w:top w:val="none" w:sz="0" w:space="0" w:color="auto"/>
            <w:left w:val="none" w:sz="0" w:space="0" w:color="auto"/>
            <w:bottom w:val="single" w:sz="6" w:space="0" w:color="CECECE"/>
            <w:right w:val="none" w:sz="0" w:space="0" w:color="auto"/>
          </w:divBdr>
          <w:divsChild>
            <w:div w:id="31812341">
              <w:marLeft w:val="0"/>
              <w:marRight w:val="0"/>
              <w:marTop w:val="0"/>
              <w:marBottom w:val="0"/>
              <w:divBdr>
                <w:top w:val="none" w:sz="0" w:space="0" w:color="auto"/>
                <w:left w:val="none" w:sz="0" w:space="0" w:color="auto"/>
                <w:bottom w:val="none" w:sz="0" w:space="0" w:color="auto"/>
                <w:right w:val="none" w:sz="0" w:space="0" w:color="auto"/>
              </w:divBdr>
            </w:div>
            <w:div w:id="1947804608">
              <w:marLeft w:val="0"/>
              <w:marRight w:val="0"/>
              <w:marTop w:val="0"/>
              <w:marBottom w:val="0"/>
              <w:divBdr>
                <w:top w:val="none" w:sz="0" w:space="0" w:color="auto"/>
                <w:left w:val="none" w:sz="0" w:space="0" w:color="auto"/>
                <w:bottom w:val="none" w:sz="0" w:space="0" w:color="auto"/>
                <w:right w:val="none" w:sz="0" w:space="0" w:color="auto"/>
              </w:divBdr>
            </w:div>
          </w:divsChild>
        </w:div>
        <w:div w:id="870534907">
          <w:marLeft w:val="0"/>
          <w:marRight w:val="0"/>
          <w:marTop w:val="0"/>
          <w:marBottom w:val="0"/>
          <w:divBdr>
            <w:top w:val="none" w:sz="0" w:space="0" w:color="auto"/>
            <w:left w:val="none" w:sz="0" w:space="0" w:color="auto"/>
            <w:bottom w:val="none" w:sz="0" w:space="0" w:color="auto"/>
            <w:right w:val="none" w:sz="0" w:space="0" w:color="auto"/>
          </w:divBdr>
        </w:div>
      </w:divsChild>
    </w:div>
    <w:div w:id="22634567">
      <w:bodyDiv w:val="1"/>
      <w:marLeft w:val="0"/>
      <w:marRight w:val="0"/>
      <w:marTop w:val="0"/>
      <w:marBottom w:val="0"/>
      <w:divBdr>
        <w:top w:val="none" w:sz="0" w:space="0" w:color="auto"/>
        <w:left w:val="none" w:sz="0" w:space="0" w:color="auto"/>
        <w:bottom w:val="none" w:sz="0" w:space="0" w:color="auto"/>
        <w:right w:val="none" w:sz="0" w:space="0" w:color="auto"/>
      </w:divBdr>
    </w:div>
    <w:div w:id="88432960">
      <w:bodyDiv w:val="1"/>
      <w:marLeft w:val="0"/>
      <w:marRight w:val="0"/>
      <w:marTop w:val="0"/>
      <w:marBottom w:val="0"/>
      <w:divBdr>
        <w:top w:val="none" w:sz="0" w:space="0" w:color="auto"/>
        <w:left w:val="none" w:sz="0" w:space="0" w:color="auto"/>
        <w:bottom w:val="none" w:sz="0" w:space="0" w:color="auto"/>
        <w:right w:val="none" w:sz="0" w:space="0" w:color="auto"/>
      </w:divBdr>
      <w:divsChild>
        <w:div w:id="264004198">
          <w:marLeft w:val="446"/>
          <w:marRight w:val="0"/>
          <w:marTop w:val="0"/>
          <w:marBottom w:val="0"/>
          <w:divBdr>
            <w:top w:val="none" w:sz="0" w:space="0" w:color="auto"/>
            <w:left w:val="none" w:sz="0" w:space="0" w:color="auto"/>
            <w:bottom w:val="none" w:sz="0" w:space="0" w:color="auto"/>
            <w:right w:val="none" w:sz="0" w:space="0" w:color="auto"/>
          </w:divBdr>
        </w:div>
      </w:divsChild>
    </w:div>
    <w:div w:id="135341267">
      <w:bodyDiv w:val="1"/>
      <w:marLeft w:val="0"/>
      <w:marRight w:val="0"/>
      <w:marTop w:val="0"/>
      <w:marBottom w:val="0"/>
      <w:divBdr>
        <w:top w:val="none" w:sz="0" w:space="0" w:color="auto"/>
        <w:left w:val="none" w:sz="0" w:space="0" w:color="auto"/>
        <w:bottom w:val="none" w:sz="0" w:space="0" w:color="auto"/>
        <w:right w:val="none" w:sz="0" w:space="0" w:color="auto"/>
      </w:divBdr>
    </w:div>
    <w:div w:id="184638616">
      <w:bodyDiv w:val="1"/>
      <w:marLeft w:val="0"/>
      <w:marRight w:val="0"/>
      <w:marTop w:val="0"/>
      <w:marBottom w:val="0"/>
      <w:divBdr>
        <w:top w:val="none" w:sz="0" w:space="0" w:color="auto"/>
        <w:left w:val="none" w:sz="0" w:space="0" w:color="auto"/>
        <w:bottom w:val="none" w:sz="0" w:space="0" w:color="auto"/>
        <w:right w:val="none" w:sz="0" w:space="0" w:color="auto"/>
      </w:divBdr>
    </w:div>
    <w:div w:id="219094597">
      <w:bodyDiv w:val="1"/>
      <w:marLeft w:val="0"/>
      <w:marRight w:val="0"/>
      <w:marTop w:val="0"/>
      <w:marBottom w:val="0"/>
      <w:divBdr>
        <w:top w:val="none" w:sz="0" w:space="0" w:color="auto"/>
        <w:left w:val="none" w:sz="0" w:space="0" w:color="auto"/>
        <w:bottom w:val="none" w:sz="0" w:space="0" w:color="auto"/>
        <w:right w:val="none" w:sz="0" w:space="0" w:color="auto"/>
      </w:divBdr>
      <w:divsChild>
        <w:div w:id="1861506390">
          <w:marLeft w:val="403"/>
          <w:marRight w:val="0"/>
          <w:marTop w:val="0"/>
          <w:marBottom w:val="0"/>
          <w:divBdr>
            <w:top w:val="none" w:sz="0" w:space="0" w:color="auto"/>
            <w:left w:val="none" w:sz="0" w:space="0" w:color="auto"/>
            <w:bottom w:val="none" w:sz="0" w:space="0" w:color="auto"/>
            <w:right w:val="none" w:sz="0" w:space="0" w:color="auto"/>
          </w:divBdr>
        </w:div>
        <w:div w:id="1215508274">
          <w:marLeft w:val="403"/>
          <w:marRight w:val="0"/>
          <w:marTop w:val="0"/>
          <w:marBottom w:val="0"/>
          <w:divBdr>
            <w:top w:val="none" w:sz="0" w:space="0" w:color="auto"/>
            <w:left w:val="none" w:sz="0" w:space="0" w:color="auto"/>
            <w:bottom w:val="none" w:sz="0" w:space="0" w:color="auto"/>
            <w:right w:val="none" w:sz="0" w:space="0" w:color="auto"/>
          </w:divBdr>
        </w:div>
        <w:div w:id="446659797">
          <w:marLeft w:val="403"/>
          <w:marRight w:val="0"/>
          <w:marTop w:val="0"/>
          <w:marBottom w:val="0"/>
          <w:divBdr>
            <w:top w:val="none" w:sz="0" w:space="0" w:color="auto"/>
            <w:left w:val="none" w:sz="0" w:space="0" w:color="auto"/>
            <w:bottom w:val="none" w:sz="0" w:space="0" w:color="auto"/>
            <w:right w:val="none" w:sz="0" w:space="0" w:color="auto"/>
          </w:divBdr>
        </w:div>
        <w:div w:id="2120640054">
          <w:marLeft w:val="403"/>
          <w:marRight w:val="0"/>
          <w:marTop w:val="0"/>
          <w:marBottom w:val="0"/>
          <w:divBdr>
            <w:top w:val="none" w:sz="0" w:space="0" w:color="auto"/>
            <w:left w:val="none" w:sz="0" w:space="0" w:color="auto"/>
            <w:bottom w:val="none" w:sz="0" w:space="0" w:color="auto"/>
            <w:right w:val="none" w:sz="0" w:space="0" w:color="auto"/>
          </w:divBdr>
        </w:div>
        <w:div w:id="2021156460">
          <w:marLeft w:val="403"/>
          <w:marRight w:val="0"/>
          <w:marTop w:val="0"/>
          <w:marBottom w:val="0"/>
          <w:divBdr>
            <w:top w:val="none" w:sz="0" w:space="0" w:color="auto"/>
            <w:left w:val="none" w:sz="0" w:space="0" w:color="auto"/>
            <w:bottom w:val="none" w:sz="0" w:space="0" w:color="auto"/>
            <w:right w:val="none" w:sz="0" w:space="0" w:color="auto"/>
          </w:divBdr>
        </w:div>
        <w:div w:id="1315180790">
          <w:marLeft w:val="403"/>
          <w:marRight w:val="0"/>
          <w:marTop w:val="0"/>
          <w:marBottom w:val="0"/>
          <w:divBdr>
            <w:top w:val="none" w:sz="0" w:space="0" w:color="auto"/>
            <w:left w:val="none" w:sz="0" w:space="0" w:color="auto"/>
            <w:bottom w:val="none" w:sz="0" w:space="0" w:color="auto"/>
            <w:right w:val="none" w:sz="0" w:space="0" w:color="auto"/>
          </w:divBdr>
        </w:div>
        <w:div w:id="1710688724">
          <w:marLeft w:val="547"/>
          <w:marRight w:val="0"/>
          <w:marTop w:val="0"/>
          <w:marBottom w:val="0"/>
          <w:divBdr>
            <w:top w:val="none" w:sz="0" w:space="0" w:color="auto"/>
            <w:left w:val="none" w:sz="0" w:space="0" w:color="auto"/>
            <w:bottom w:val="none" w:sz="0" w:space="0" w:color="auto"/>
            <w:right w:val="none" w:sz="0" w:space="0" w:color="auto"/>
          </w:divBdr>
        </w:div>
        <w:div w:id="471561866">
          <w:marLeft w:val="547"/>
          <w:marRight w:val="0"/>
          <w:marTop w:val="0"/>
          <w:marBottom w:val="0"/>
          <w:divBdr>
            <w:top w:val="none" w:sz="0" w:space="0" w:color="auto"/>
            <w:left w:val="none" w:sz="0" w:space="0" w:color="auto"/>
            <w:bottom w:val="none" w:sz="0" w:space="0" w:color="auto"/>
            <w:right w:val="none" w:sz="0" w:space="0" w:color="auto"/>
          </w:divBdr>
        </w:div>
        <w:div w:id="1906406236">
          <w:marLeft w:val="547"/>
          <w:marRight w:val="0"/>
          <w:marTop w:val="0"/>
          <w:marBottom w:val="0"/>
          <w:divBdr>
            <w:top w:val="none" w:sz="0" w:space="0" w:color="auto"/>
            <w:left w:val="none" w:sz="0" w:space="0" w:color="auto"/>
            <w:bottom w:val="none" w:sz="0" w:space="0" w:color="auto"/>
            <w:right w:val="none" w:sz="0" w:space="0" w:color="auto"/>
          </w:divBdr>
        </w:div>
        <w:div w:id="1625111582">
          <w:marLeft w:val="446"/>
          <w:marRight w:val="0"/>
          <w:marTop w:val="0"/>
          <w:marBottom w:val="0"/>
          <w:divBdr>
            <w:top w:val="none" w:sz="0" w:space="0" w:color="auto"/>
            <w:left w:val="none" w:sz="0" w:space="0" w:color="auto"/>
            <w:bottom w:val="none" w:sz="0" w:space="0" w:color="auto"/>
            <w:right w:val="none" w:sz="0" w:space="0" w:color="auto"/>
          </w:divBdr>
        </w:div>
        <w:div w:id="36317576">
          <w:marLeft w:val="446"/>
          <w:marRight w:val="0"/>
          <w:marTop w:val="0"/>
          <w:marBottom w:val="0"/>
          <w:divBdr>
            <w:top w:val="none" w:sz="0" w:space="0" w:color="auto"/>
            <w:left w:val="none" w:sz="0" w:space="0" w:color="auto"/>
            <w:bottom w:val="none" w:sz="0" w:space="0" w:color="auto"/>
            <w:right w:val="none" w:sz="0" w:space="0" w:color="auto"/>
          </w:divBdr>
        </w:div>
        <w:div w:id="2024090650">
          <w:marLeft w:val="446"/>
          <w:marRight w:val="0"/>
          <w:marTop w:val="0"/>
          <w:marBottom w:val="0"/>
          <w:divBdr>
            <w:top w:val="none" w:sz="0" w:space="0" w:color="auto"/>
            <w:left w:val="none" w:sz="0" w:space="0" w:color="auto"/>
            <w:bottom w:val="none" w:sz="0" w:space="0" w:color="auto"/>
            <w:right w:val="none" w:sz="0" w:space="0" w:color="auto"/>
          </w:divBdr>
        </w:div>
      </w:divsChild>
    </w:div>
    <w:div w:id="256250000">
      <w:bodyDiv w:val="1"/>
      <w:marLeft w:val="0"/>
      <w:marRight w:val="0"/>
      <w:marTop w:val="0"/>
      <w:marBottom w:val="0"/>
      <w:divBdr>
        <w:top w:val="none" w:sz="0" w:space="0" w:color="auto"/>
        <w:left w:val="none" w:sz="0" w:space="0" w:color="auto"/>
        <w:bottom w:val="none" w:sz="0" w:space="0" w:color="auto"/>
        <w:right w:val="none" w:sz="0" w:space="0" w:color="auto"/>
      </w:divBdr>
    </w:div>
    <w:div w:id="259685403">
      <w:bodyDiv w:val="1"/>
      <w:marLeft w:val="0"/>
      <w:marRight w:val="0"/>
      <w:marTop w:val="0"/>
      <w:marBottom w:val="0"/>
      <w:divBdr>
        <w:top w:val="none" w:sz="0" w:space="0" w:color="auto"/>
        <w:left w:val="none" w:sz="0" w:space="0" w:color="auto"/>
        <w:bottom w:val="none" w:sz="0" w:space="0" w:color="auto"/>
        <w:right w:val="none" w:sz="0" w:space="0" w:color="auto"/>
      </w:divBdr>
      <w:divsChild>
        <w:div w:id="77874241">
          <w:marLeft w:val="1267"/>
          <w:marRight w:val="0"/>
          <w:marTop w:val="0"/>
          <w:marBottom w:val="0"/>
          <w:divBdr>
            <w:top w:val="none" w:sz="0" w:space="0" w:color="auto"/>
            <w:left w:val="none" w:sz="0" w:space="0" w:color="auto"/>
            <w:bottom w:val="none" w:sz="0" w:space="0" w:color="auto"/>
            <w:right w:val="none" w:sz="0" w:space="0" w:color="auto"/>
          </w:divBdr>
        </w:div>
        <w:div w:id="380712114">
          <w:marLeft w:val="1267"/>
          <w:marRight w:val="0"/>
          <w:marTop w:val="0"/>
          <w:marBottom w:val="0"/>
          <w:divBdr>
            <w:top w:val="none" w:sz="0" w:space="0" w:color="auto"/>
            <w:left w:val="none" w:sz="0" w:space="0" w:color="auto"/>
            <w:bottom w:val="none" w:sz="0" w:space="0" w:color="auto"/>
            <w:right w:val="none" w:sz="0" w:space="0" w:color="auto"/>
          </w:divBdr>
        </w:div>
        <w:div w:id="422802237">
          <w:marLeft w:val="1267"/>
          <w:marRight w:val="0"/>
          <w:marTop w:val="0"/>
          <w:marBottom w:val="0"/>
          <w:divBdr>
            <w:top w:val="none" w:sz="0" w:space="0" w:color="auto"/>
            <w:left w:val="none" w:sz="0" w:space="0" w:color="auto"/>
            <w:bottom w:val="none" w:sz="0" w:space="0" w:color="auto"/>
            <w:right w:val="none" w:sz="0" w:space="0" w:color="auto"/>
          </w:divBdr>
        </w:div>
        <w:div w:id="759988025">
          <w:marLeft w:val="1267"/>
          <w:marRight w:val="0"/>
          <w:marTop w:val="0"/>
          <w:marBottom w:val="0"/>
          <w:divBdr>
            <w:top w:val="none" w:sz="0" w:space="0" w:color="auto"/>
            <w:left w:val="none" w:sz="0" w:space="0" w:color="auto"/>
            <w:bottom w:val="none" w:sz="0" w:space="0" w:color="auto"/>
            <w:right w:val="none" w:sz="0" w:space="0" w:color="auto"/>
          </w:divBdr>
        </w:div>
        <w:div w:id="775828496">
          <w:marLeft w:val="1267"/>
          <w:marRight w:val="0"/>
          <w:marTop w:val="0"/>
          <w:marBottom w:val="0"/>
          <w:divBdr>
            <w:top w:val="none" w:sz="0" w:space="0" w:color="auto"/>
            <w:left w:val="none" w:sz="0" w:space="0" w:color="auto"/>
            <w:bottom w:val="none" w:sz="0" w:space="0" w:color="auto"/>
            <w:right w:val="none" w:sz="0" w:space="0" w:color="auto"/>
          </w:divBdr>
        </w:div>
      </w:divsChild>
    </w:div>
    <w:div w:id="371732053">
      <w:bodyDiv w:val="1"/>
      <w:marLeft w:val="0"/>
      <w:marRight w:val="0"/>
      <w:marTop w:val="0"/>
      <w:marBottom w:val="0"/>
      <w:divBdr>
        <w:top w:val="none" w:sz="0" w:space="0" w:color="auto"/>
        <w:left w:val="none" w:sz="0" w:space="0" w:color="auto"/>
        <w:bottom w:val="none" w:sz="0" w:space="0" w:color="auto"/>
        <w:right w:val="none" w:sz="0" w:space="0" w:color="auto"/>
      </w:divBdr>
    </w:div>
    <w:div w:id="518660181">
      <w:bodyDiv w:val="1"/>
      <w:marLeft w:val="0"/>
      <w:marRight w:val="0"/>
      <w:marTop w:val="0"/>
      <w:marBottom w:val="0"/>
      <w:divBdr>
        <w:top w:val="none" w:sz="0" w:space="0" w:color="auto"/>
        <w:left w:val="none" w:sz="0" w:space="0" w:color="auto"/>
        <w:bottom w:val="none" w:sz="0" w:space="0" w:color="auto"/>
        <w:right w:val="none" w:sz="0" w:space="0" w:color="auto"/>
      </w:divBdr>
      <w:divsChild>
        <w:div w:id="585647420">
          <w:marLeft w:val="720"/>
          <w:marRight w:val="0"/>
          <w:marTop w:val="0"/>
          <w:marBottom w:val="0"/>
          <w:divBdr>
            <w:top w:val="none" w:sz="0" w:space="0" w:color="auto"/>
            <w:left w:val="none" w:sz="0" w:space="0" w:color="auto"/>
            <w:bottom w:val="none" w:sz="0" w:space="0" w:color="auto"/>
            <w:right w:val="none" w:sz="0" w:space="0" w:color="auto"/>
          </w:divBdr>
        </w:div>
      </w:divsChild>
    </w:div>
    <w:div w:id="570694759">
      <w:bodyDiv w:val="1"/>
      <w:marLeft w:val="0"/>
      <w:marRight w:val="0"/>
      <w:marTop w:val="0"/>
      <w:marBottom w:val="0"/>
      <w:divBdr>
        <w:top w:val="none" w:sz="0" w:space="0" w:color="auto"/>
        <w:left w:val="none" w:sz="0" w:space="0" w:color="auto"/>
        <w:bottom w:val="none" w:sz="0" w:space="0" w:color="auto"/>
        <w:right w:val="none" w:sz="0" w:space="0" w:color="auto"/>
      </w:divBdr>
    </w:div>
    <w:div w:id="576669418">
      <w:bodyDiv w:val="1"/>
      <w:marLeft w:val="0"/>
      <w:marRight w:val="0"/>
      <w:marTop w:val="0"/>
      <w:marBottom w:val="0"/>
      <w:divBdr>
        <w:top w:val="none" w:sz="0" w:space="0" w:color="auto"/>
        <w:left w:val="none" w:sz="0" w:space="0" w:color="auto"/>
        <w:bottom w:val="none" w:sz="0" w:space="0" w:color="auto"/>
        <w:right w:val="none" w:sz="0" w:space="0" w:color="auto"/>
      </w:divBdr>
    </w:div>
    <w:div w:id="620577007">
      <w:bodyDiv w:val="1"/>
      <w:marLeft w:val="0"/>
      <w:marRight w:val="0"/>
      <w:marTop w:val="0"/>
      <w:marBottom w:val="0"/>
      <w:divBdr>
        <w:top w:val="none" w:sz="0" w:space="0" w:color="auto"/>
        <w:left w:val="none" w:sz="0" w:space="0" w:color="auto"/>
        <w:bottom w:val="none" w:sz="0" w:space="0" w:color="auto"/>
        <w:right w:val="none" w:sz="0" w:space="0" w:color="auto"/>
      </w:divBdr>
    </w:div>
    <w:div w:id="645163073">
      <w:bodyDiv w:val="1"/>
      <w:marLeft w:val="0"/>
      <w:marRight w:val="0"/>
      <w:marTop w:val="0"/>
      <w:marBottom w:val="0"/>
      <w:divBdr>
        <w:top w:val="none" w:sz="0" w:space="0" w:color="auto"/>
        <w:left w:val="none" w:sz="0" w:space="0" w:color="auto"/>
        <w:bottom w:val="none" w:sz="0" w:space="0" w:color="auto"/>
        <w:right w:val="none" w:sz="0" w:space="0" w:color="auto"/>
      </w:divBdr>
    </w:div>
    <w:div w:id="668943276">
      <w:bodyDiv w:val="1"/>
      <w:marLeft w:val="0"/>
      <w:marRight w:val="0"/>
      <w:marTop w:val="0"/>
      <w:marBottom w:val="0"/>
      <w:divBdr>
        <w:top w:val="none" w:sz="0" w:space="0" w:color="auto"/>
        <w:left w:val="none" w:sz="0" w:space="0" w:color="auto"/>
        <w:bottom w:val="none" w:sz="0" w:space="0" w:color="auto"/>
        <w:right w:val="none" w:sz="0" w:space="0" w:color="auto"/>
      </w:divBdr>
      <w:divsChild>
        <w:div w:id="1665816169">
          <w:marLeft w:val="806"/>
          <w:marRight w:val="0"/>
          <w:marTop w:val="0"/>
          <w:marBottom w:val="0"/>
          <w:divBdr>
            <w:top w:val="none" w:sz="0" w:space="0" w:color="auto"/>
            <w:left w:val="none" w:sz="0" w:space="0" w:color="auto"/>
            <w:bottom w:val="none" w:sz="0" w:space="0" w:color="auto"/>
            <w:right w:val="none" w:sz="0" w:space="0" w:color="auto"/>
          </w:divBdr>
        </w:div>
      </w:divsChild>
    </w:div>
    <w:div w:id="744300807">
      <w:bodyDiv w:val="1"/>
      <w:marLeft w:val="0"/>
      <w:marRight w:val="0"/>
      <w:marTop w:val="0"/>
      <w:marBottom w:val="0"/>
      <w:divBdr>
        <w:top w:val="none" w:sz="0" w:space="0" w:color="auto"/>
        <w:left w:val="none" w:sz="0" w:space="0" w:color="auto"/>
        <w:bottom w:val="none" w:sz="0" w:space="0" w:color="auto"/>
        <w:right w:val="none" w:sz="0" w:space="0" w:color="auto"/>
      </w:divBdr>
    </w:div>
    <w:div w:id="848643609">
      <w:bodyDiv w:val="1"/>
      <w:marLeft w:val="0"/>
      <w:marRight w:val="0"/>
      <w:marTop w:val="0"/>
      <w:marBottom w:val="0"/>
      <w:divBdr>
        <w:top w:val="none" w:sz="0" w:space="0" w:color="auto"/>
        <w:left w:val="none" w:sz="0" w:space="0" w:color="auto"/>
        <w:bottom w:val="none" w:sz="0" w:space="0" w:color="auto"/>
        <w:right w:val="none" w:sz="0" w:space="0" w:color="auto"/>
      </w:divBdr>
    </w:div>
    <w:div w:id="959918300">
      <w:bodyDiv w:val="1"/>
      <w:marLeft w:val="0"/>
      <w:marRight w:val="0"/>
      <w:marTop w:val="0"/>
      <w:marBottom w:val="0"/>
      <w:divBdr>
        <w:top w:val="none" w:sz="0" w:space="0" w:color="auto"/>
        <w:left w:val="none" w:sz="0" w:space="0" w:color="auto"/>
        <w:bottom w:val="none" w:sz="0" w:space="0" w:color="auto"/>
        <w:right w:val="none" w:sz="0" w:space="0" w:color="auto"/>
      </w:divBdr>
    </w:div>
    <w:div w:id="971903971">
      <w:bodyDiv w:val="1"/>
      <w:marLeft w:val="0"/>
      <w:marRight w:val="0"/>
      <w:marTop w:val="0"/>
      <w:marBottom w:val="0"/>
      <w:divBdr>
        <w:top w:val="none" w:sz="0" w:space="0" w:color="auto"/>
        <w:left w:val="none" w:sz="0" w:space="0" w:color="auto"/>
        <w:bottom w:val="none" w:sz="0" w:space="0" w:color="auto"/>
        <w:right w:val="none" w:sz="0" w:space="0" w:color="auto"/>
      </w:divBdr>
    </w:div>
    <w:div w:id="1029453893">
      <w:bodyDiv w:val="1"/>
      <w:marLeft w:val="0"/>
      <w:marRight w:val="0"/>
      <w:marTop w:val="0"/>
      <w:marBottom w:val="0"/>
      <w:divBdr>
        <w:top w:val="none" w:sz="0" w:space="0" w:color="auto"/>
        <w:left w:val="none" w:sz="0" w:space="0" w:color="auto"/>
        <w:bottom w:val="none" w:sz="0" w:space="0" w:color="auto"/>
        <w:right w:val="none" w:sz="0" w:space="0" w:color="auto"/>
      </w:divBdr>
    </w:div>
    <w:div w:id="1066075607">
      <w:bodyDiv w:val="1"/>
      <w:marLeft w:val="0"/>
      <w:marRight w:val="0"/>
      <w:marTop w:val="0"/>
      <w:marBottom w:val="0"/>
      <w:divBdr>
        <w:top w:val="none" w:sz="0" w:space="0" w:color="auto"/>
        <w:left w:val="none" w:sz="0" w:space="0" w:color="auto"/>
        <w:bottom w:val="none" w:sz="0" w:space="0" w:color="auto"/>
        <w:right w:val="none" w:sz="0" w:space="0" w:color="auto"/>
      </w:divBdr>
      <w:divsChild>
        <w:div w:id="41250059">
          <w:marLeft w:val="1267"/>
          <w:marRight w:val="0"/>
          <w:marTop w:val="0"/>
          <w:marBottom w:val="0"/>
          <w:divBdr>
            <w:top w:val="none" w:sz="0" w:space="0" w:color="auto"/>
            <w:left w:val="none" w:sz="0" w:space="0" w:color="auto"/>
            <w:bottom w:val="none" w:sz="0" w:space="0" w:color="auto"/>
            <w:right w:val="none" w:sz="0" w:space="0" w:color="auto"/>
          </w:divBdr>
        </w:div>
        <w:div w:id="195773626">
          <w:marLeft w:val="1267"/>
          <w:marRight w:val="0"/>
          <w:marTop w:val="0"/>
          <w:marBottom w:val="0"/>
          <w:divBdr>
            <w:top w:val="none" w:sz="0" w:space="0" w:color="auto"/>
            <w:left w:val="none" w:sz="0" w:space="0" w:color="auto"/>
            <w:bottom w:val="none" w:sz="0" w:space="0" w:color="auto"/>
            <w:right w:val="none" w:sz="0" w:space="0" w:color="auto"/>
          </w:divBdr>
        </w:div>
        <w:div w:id="305011003">
          <w:marLeft w:val="1267"/>
          <w:marRight w:val="0"/>
          <w:marTop w:val="0"/>
          <w:marBottom w:val="0"/>
          <w:divBdr>
            <w:top w:val="none" w:sz="0" w:space="0" w:color="auto"/>
            <w:left w:val="none" w:sz="0" w:space="0" w:color="auto"/>
            <w:bottom w:val="none" w:sz="0" w:space="0" w:color="auto"/>
            <w:right w:val="none" w:sz="0" w:space="0" w:color="auto"/>
          </w:divBdr>
        </w:div>
        <w:div w:id="525216729">
          <w:marLeft w:val="1267"/>
          <w:marRight w:val="0"/>
          <w:marTop w:val="0"/>
          <w:marBottom w:val="0"/>
          <w:divBdr>
            <w:top w:val="none" w:sz="0" w:space="0" w:color="auto"/>
            <w:left w:val="none" w:sz="0" w:space="0" w:color="auto"/>
            <w:bottom w:val="none" w:sz="0" w:space="0" w:color="auto"/>
            <w:right w:val="none" w:sz="0" w:space="0" w:color="auto"/>
          </w:divBdr>
        </w:div>
        <w:div w:id="550117172">
          <w:marLeft w:val="1267"/>
          <w:marRight w:val="0"/>
          <w:marTop w:val="0"/>
          <w:marBottom w:val="0"/>
          <w:divBdr>
            <w:top w:val="none" w:sz="0" w:space="0" w:color="auto"/>
            <w:left w:val="none" w:sz="0" w:space="0" w:color="auto"/>
            <w:bottom w:val="none" w:sz="0" w:space="0" w:color="auto"/>
            <w:right w:val="none" w:sz="0" w:space="0" w:color="auto"/>
          </w:divBdr>
        </w:div>
      </w:divsChild>
    </w:div>
    <w:div w:id="1126392505">
      <w:bodyDiv w:val="1"/>
      <w:marLeft w:val="0"/>
      <w:marRight w:val="0"/>
      <w:marTop w:val="0"/>
      <w:marBottom w:val="0"/>
      <w:divBdr>
        <w:top w:val="none" w:sz="0" w:space="0" w:color="auto"/>
        <w:left w:val="none" w:sz="0" w:space="0" w:color="auto"/>
        <w:bottom w:val="none" w:sz="0" w:space="0" w:color="auto"/>
        <w:right w:val="none" w:sz="0" w:space="0" w:color="auto"/>
      </w:divBdr>
      <w:divsChild>
        <w:div w:id="1198540736">
          <w:marLeft w:val="850"/>
          <w:marRight w:val="0"/>
          <w:marTop w:val="0"/>
          <w:marBottom w:val="0"/>
          <w:divBdr>
            <w:top w:val="none" w:sz="0" w:space="0" w:color="auto"/>
            <w:left w:val="none" w:sz="0" w:space="0" w:color="auto"/>
            <w:bottom w:val="none" w:sz="0" w:space="0" w:color="auto"/>
            <w:right w:val="none" w:sz="0" w:space="0" w:color="auto"/>
          </w:divBdr>
        </w:div>
        <w:div w:id="1052579527">
          <w:marLeft w:val="850"/>
          <w:marRight w:val="0"/>
          <w:marTop w:val="0"/>
          <w:marBottom w:val="0"/>
          <w:divBdr>
            <w:top w:val="none" w:sz="0" w:space="0" w:color="auto"/>
            <w:left w:val="none" w:sz="0" w:space="0" w:color="auto"/>
            <w:bottom w:val="none" w:sz="0" w:space="0" w:color="auto"/>
            <w:right w:val="none" w:sz="0" w:space="0" w:color="auto"/>
          </w:divBdr>
        </w:div>
        <w:div w:id="937174124">
          <w:marLeft w:val="850"/>
          <w:marRight w:val="0"/>
          <w:marTop w:val="0"/>
          <w:marBottom w:val="0"/>
          <w:divBdr>
            <w:top w:val="none" w:sz="0" w:space="0" w:color="auto"/>
            <w:left w:val="none" w:sz="0" w:space="0" w:color="auto"/>
            <w:bottom w:val="none" w:sz="0" w:space="0" w:color="auto"/>
            <w:right w:val="none" w:sz="0" w:space="0" w:color="auto"/>
          </w:divBdr>
        </w:div>
        <w:div w:id="1399553919">
          <w:marLeft w:val="850"/>
          <w:marRight w:val="0"/>
          <w:marTop w:val="0"/>
          <w:marBottom w:val="0"/>
          <w:divBdr>
            <w:top w:val="none" w:sz="0" w:space="0" w:color="auto"/>
            <w:left w:val="none" w:sz="0" w:space="0" w:color="auto"/>
            <w:bottom w:val="none" w:sz="0" w:space="0" w:color="auto"/>
            <w:right w:val="none" w:sz="0" w:space="0" w:color="auto"/>
          </w:divBdr>
        </w:div>
        <w:div w:id="1421179140">
          <w:marLeft w:val="850"/>
          <w:marRight w:val="0"/>
          <w:marTop w:val="0"/>
          <w:marBottom w:val="0"/>
          <w:divBdr>
            <w:top w:val="none" w:sz="0" w:space="0" w:color="auto"/>
            <w:left w:val="none" w:sz="0" w:space="0" w:color="auto"/>
            <w:bottom w:val="none" w:sz="0" w:space="0" w:color="auto"/>
            <w:right w:val="none" w:sz="0" w:space="0" w:color="auto"/>
          </w:divBdr>
        </w:div>
      </w:divsChild>
    </w:div>
    <w:div w:id="1191379521">
      <w:bodyDiv w:val="1"/>
      <w:marLeft w:val="0"/>
      <w:marRight w:val="0"/>
      <w:marTop w:val="0"/>
      <w:marBottom w:val="0"/>
      <w:divBdr>
        <w:top w:val="none" w:sz="0" w:space="0" w:color="auto"/>
        <w:left w:val="none" w:sz="0" w:space="0" w:color="auto"/>
        <w:bottom w:val="none" w:sz="0" w:space="0" w:color="auto"/>
        <w:right w:val="none" w:sz="0" w:space="0" w:color="auto"/>
      </w:divBdr>
    </w:div>
    <w:div w:id="1223370157">
      <w:bodyDiv w:val="1"/>
      <w:marLeft w:val="0"/>
      <w:marRight w:val="0"/>
      <w:marTop w:val="0"/>
      <w:marBottom w:val="0"/>
      <w:divBdr>
        <w:top w:val="none" w:sz="0" w:space="0" w:color="auto"/>
        <w:left w:val="none" w:sz="0" w:space="0" w:color="auto"/>
        <w:bottom w:val="none" w:sz="0" w:space="0" w:color="auto"/>
        <w:right w:val="none" w:sz="0" w:space="0" w:color="auto"/>
      </w:divBdr>
    </w:div>
    <w:div w:id="1282568085">
      <w:bodyDiv w:val="1"/>
      <w:marLeft w:val="0"/>
      <w:marRight w:val="0"/>
      <w:marTop w:val="0"/>
      <w:marBottom w:val="0"/>
      <w:divBdr>
        <w:top w:val="none" w:sz="0" w:space="0" w:color="auto"/>
        <w:left w:val="none" w:sz="0" w:space="0" w:color="auto"/>
        <w:bottom w:val="none" w:sz="0" w:space="0" w:color="auto"/>
        <w:right w:val="none" w:sz="0" w:space="0" w:color="auto"/>
      </w:divBdr>
    </w:div>
    <w:div w:id="1358658605">
      <w:bodyDiv w:val="1"/>
      <w:marLeft w:val="0"/>
      <w:marRight w:val="0"/>
      <w:marTop w:val="0"/>
      <w:marBottom w:val="0"/>
      <w:divBdr>
        <w:top w:val="none" w:sz="0" w:space="0" w:color="auto"/>
        <w:left w:val="none" w:sz="0" w:space="0" w:color="auto"/>
        <w:bottom w:val="none" w:sz="0" w:space="0" w:color="auto"/>
        <w:right w:val="none" w:sz="0" w:space="0" w:color="auto"/>
      </w:divBdr>
    </w:div>
    <w:div w:id="1438870172">
      <w:bodyDiv w:val="1"/>
      <w:marLeft w:val="0"/>
      <w:marRight w:val="0"/>
      <w:marTop w:val="0"/>
      <w:marBottom w:val="0"/>
      <w:divBdr>
        <w:top w:val="none" w:sz="0" w:space="0" w:color="auto"/>
        <w:left w:val="none" w:sz="0" w:space="0" w:color="auto"/>
        <w:bottom w:val="none" w:sz="0" w:space="0" w:color="auto"/>
        <w:right w:val="none" w:sz="0" w:space="0" w:color="auto"/>
      </w:divBdr>
    </w:div>
    <w:div w:id="1472744330">
      <w:bodyDiv w:val="1"/>
      <w:marLeft w:val="0"/>
      <w:marRight w:val="0"/>
      <w:marTop w:val="0"/>
      <w:marBottom w:val="0"/>
      <w:divBdr>
        <w:top w:val="none" w:sz="0" w:space="0" w:color="auto"/>
        <w:left w:val="none" w:sz="0" w:space="0" w:color="auto"/>
        <w:bottom w:val="none" w:sz="0" w:space="0" w:color="auto"/>
        <w:right w:val="none" w:sz="0" w:space="0" w:color="auto"/>
      </w:divBdr>
    </w:div>
    <w:div w:id="1495876322">
      <w:bodyDiv w:val="1"/>
      <w:marLeft w:val="0"/>
      <w:marRight w:val="0"/>
      <w:marTop w:val="0"/>
      <w:marBottom w:val="0"/>
      <w:divBdr>
        <w:top w:val="none" w:sz="0" w:space="0" w:color="auto"/>
        <w:left w:val="none" w:sz="0" w:space="0" w:color="auto"/>
        <w:bottom w:val="none" w:sz="0" w:space="0" w:color="auto"/>
        <w:right w:val="none" w:sz="0" w:space="0" w:color="auto"/>
      </w:divBdr>
    </w:div>
    <w:div w:id="1629430824">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55475813">
      <w:bodyDiv w:val="1"/>
      <w:marLeft w:val="0"/>
      <w:marRight w:val="0"/>
      <w:marTop w:val="0"/>
      <w:marBottom w:val="0"/>
      <w:divBdr>
        <w:top w:val="none" w:sz="0" w:space="0" w:color="auto"/>
        <w:left w:val="none" w:sz="0" w:space="0" w:color="auto"/>
        <w:bottom w:val="none" w:sz="0" w:space="0" w:color="auto"/>
        <w:right w:val="none" w:sz="0" w:space="0" w:color="auto"/>
      </w:divBdr>
      <w:divsChild>
        <w:div w:id="133373266">
          <w:marLeft w:val="850"/>
          <w:marRight w:val="0"/>
          <w:marTop w:val="0"/>
          <w:marBottom w:val="0"/>
          <w:divBdr>
            <w:top w:val="none" w:sz="0" w:space="0" w:color="auto"/>
            <w:left w:val="none" w:sz="0" w:space="0" w:color="auto"/>
            <w:bottom w:val="none" w:sz="0" w:space="0" w:color="auto"/>
            <w:right w:val="none" w:sz="0" w:space="0" w:color="auto"/>
          </w:divBdr>
        </w:div>
      </w:divsChild>
    </w:div>
    <w:div w:id="1768504708">
      <w:bodyDiv w:val="1"/>
      <w:marLeft w:val="0"/>
      <w:marRight w:val="0"/>
      <w:marTop w:val="0"/>
      <w:marBottom w:val="0"/>
      <w:divBdr>
        <w:top w:val="none" w:sz="0" w:space="0" w:color="auto"/>
        <w:left w:val="none" w:sz="0" w:space="0" w:color="auto"/>
        <w:bottom w:val="none" w:sz="0" w:space="0" w:color="auto"/>
        <w:right w:val="none" w:sz="0" w:space="0" w:color="auto"/>
      </w:divBdr>
    </w:div>
    <w:div w:id="1838761485">
      <w:bodyDiv w:val="1"/>
      <w:marLeft w:val="0"/>
      <w:marRight w:val="0"/>
      <w:marTop w:val="0"/>
      <w:marBottom w:val="0"/>
      <w:divBdr>
        <w:top w:val="none" w:sz="0" w:space="0" w:color="auto"/>
        <w:left w:val="none" w:sz="0" w:space="0" w:color="auto"/>
        <w:bottom w:val="none" w:sz="0" w:space="0" w:color="auto"/>
        <w:right w:val="none" w:sz="0" w:space="0" w:color="auto"/>
      </w:divBdr>
    </w:div>
    <w:div w:id="1981422425">
      <w:bodyDiv w:val="1"/>
      <w:marLeft w:val="0"/>
      <w:marRight w:val="0"/>
      <w:marTop w:val="0"/>
      <w:marBottom w:val="0"/>
      <w:divBdr>
        <w:top w:val="none" w:sz="0" w:space="0" w:color="auto"/>
        <w:left w:val="none" w:sz="0" w:space="0" w:color="auto"/>
        <w:bottom w:val="none" w:sz="0" w:space="0" w:color="auto"/>
        <w:right w:val="none" w:sz="0" w:space="0" w:color="auto"/>
      </w:divBdr>
      <w:divsChild>
        <w:div w:id="2029476960">
          <w:marLeft w:val="806"/>
          <w:marRight w:val="0"/>
          <w:marTop w:val="0"/>
          <w:marBottom w:val="0"/>
          <w:divBdr>
            <w:top w:val="none" w:sz="0" w:space="0" w:color="auto"/>
            <w:left w:val="none" w:sz="0" w:space="0" w:color="auto"/>
            <w:bottom w:val="none" w:sz="0" w:space="0" w:color="auto"/>
            <w:right w:val="none" w:sz="0" w:space="0" w:color="auto"/>
          </w:divBdr>
        </w:div>
      </w:divsChild>
    </w:div>
    <w:div w:id="2093164556">
      <w:bodyDiv w:val="1"/>
      <w:marLeft w:val="0"/>
      <w:marRight w:val="0"/>
      <w:marTop w:val="0"/>
      <w:marBottom w:val="0"/>
      <w:divBdr>
        <w:top w:val="none" w:sz="0" w:space="0" w:color="auto"/>
        <w:left w:val="none" w:sz="0" w:space="0" w:color="auto"/>
        <w:bottom w:val="none" w:sz="0" w:space="0" w:color="auto"/>
        <w:right w:val="none" w:sz="0" w:space="0" w:color="auto"/>
      </w:divBdr>
    </w:div>
    <w:div w:id="2115589072">
      <w:bodyDiv w:val="1"/>
      <w:marLeft w:val="0"/>
      <w:marRight w:val="0"/>
      <w:marTop w:val="0"/>
      <w:marBottom w:val="0"/>
      <w:divBdr>
        <w:top w:val="none" w:sz="0" w:space="0" w:color="auto"/>
        <w:left w:val="none" w:sz="0" w:space="0" w:color="auto"/>
        <w:bottom w:val="none" w:sz="0" w:space="0" w:color="auto"/>
        <w:right w:val="none" w:sz="0" w:space="0" w:color="auto"/>
      </w:divBdr>
      <w:divsChild>
        <w:div w:id="828399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mfcr.cz/cs/verejny-sektor/makroekonomika/makroekonomicka-predikce" TargetMode="External"/><Relationship Id="rId26" Type="http://schemas.openxmlformats.org/officeDocument/2006/relationships/hyperlink" Target="https://smlouvy.gov.cz/" TargetMode="External"/><Relationship Id="rId39" Type="http://schemas.openxmlformats.org/officeDocument/2006/relationships/hyperlink" Target="https://www.hlidacstatu.cz/" TargetMode="External"/><Relationship Id="rId21" Type="http://schemas.openxmlformats.org/officeDocument/2006/relationships/hyperlink" Target="https://www.mfcr.cz/cs/verejny-sektor/uzemni-rozpocty/statni-zaverecny-ucet-uzemnich-rozpoctu" TargetMode="External"/><Relationship Id="rId34" Type="http://schemas.openxmlformats.org/officeDocument/2006/relationships/hyperlink" Target="https://www.cnb.cz/cs/menova-politika/gev/" TargetMode="External"/><Relationship Id="rId42" Type="http://schemas.openxmlformats.org/officeDocument/2006/relationships/image" Target="media/image3.emf"/><Relationship Id="rId47" Type="http://schemas.openxmlformats.org/officeDocument/2006/relationships/image" Target="media/image7.png"/><Relationship Id="rId50" Type="http://schemas.openxmlformats.org/officeDocument/2006/relationships/hyperlink" Target="https://mmr.cz/cs/microsites/portal-strategicke-prace-v-ceske-republice/nastroje-a-metodicka-podpora/podpora-strategickeho-rizeni-a-planovani-ve-verejn/financni-rizeni-a-strategicke-planovani" TargetMode="External"/><Relationship Id="rId55" Type="http://schemas.openxmlformats.org/officeDocument/2006/relationships/hyperlink" Target="http://www.npj.cz/images/soubory/publikace/101.pdf" TargetMode="External"/><Relationship Id="rId63" Type="http://schemas.openxmlformats.org/officeDocument/2006/relationships/hyperlink" Target="https://www.dataplan.info/img_upload/f96fc5d7def29509aeffc6784e61f65b/publikace-nszm-el_2.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fcr.cz/cs/zahranicni-sektor/pristoupeni-cr-k-eurozone/konvergencni-program" TargetMode="External"/><Relationship Id="rId20" Type="http://schemas.openxmlformats.org/officeDocument/2006/relationships/hyperlink" Target="https://www.mfcr.cz/cs/verejny-sektor/uzemni-rozpocty" TargetMode="External"/><Relationship Id="rId29" Type="http://schemas.openxmlformats.org/officeDocument/2006/relationships/hyperlink" Target="https://dotaceeu.cz/cs/statistiky-a-analyzy" TargetMode="External"/><Relationship Id="rId41" Type="http://schemas.openxmlformats.org/officeDocument/2006/relationships/hyperlink" Target="http://databaze-strategie.cz/" TargetMode="External"/><Relationship Id="rId54" Type="http://schemas.openxmlformats.org/officeDocument/2006/relationships/hyperlink" Target="https://www.mmr.cz/getmedia/70d00bf5-cec5-4ddd-9309-a3f54c216ea8/Metodika-pripravy-verejnych-strategii-plna-verze_1.pdf.aspx?ext=.pdf" TargetMode="External"/><Relationship Id="rId62" Type="http://schemas.openxmlformats.org/officeDocument/2006/relationships/hyperlink" Target="https://dobrapraxe.cz/cz/video/nszm-videokurz-analyza-riz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cityvizor.praha.eu/" TargetMode="External"/><Relationship Id="rId32" Type="http://schemas.openxmlformats.org/officeDocument/2006/relationships/hyperlink" Target="https://www.czso.cz/" TargetMode="External"/><Relationship Id="rId37" Type="http://schemas.openxmlformats.org/officeDocument/2006/relationships/hyperlink" Target="https://ec.europa.eu/eurostat/data/database" TargetMode="External"/><Relationship Id="rId40" Type="http://schemas.openxmlformats.org/officeDocument/2006/relationships/hyperlink" Target="http://databaze-strategie.cz/" TargetMode="External"/><Relationship Id="rId45" Type="http://schemas.openxmlformats.org/officeDocument/2006/relationships/hyperlink" Target="http://cs.wikipedia.org/wiki/Projekt" TargetMode="External"/><Relationship Id="rId53" Type="http://schemas.openxmlformats.org/officeDocument/2006/relationships/hyperlink" Target="https://www.kyjovske-slovacko.com/sites/default/files/informace-soubory/2017/05/prirucka_nakladove_uzitkove_metody_skripta_7b15b693.pdf" TargetMode="External"/><Relationship Id="rId58" Type="http://schemas.openxmlformats.org/officeDocument/2006/relationships/hyperlink" Target="https://mmr.cz/cs/microsites/portal-strategicke-prace-v-ceske-republice/nastroje-a-metodicka-podpora/nastroje-pro-strategickou-praci/" TargetMode="External"/><Relationship Id="rId5" Type="http://schemas.openxmlformats.org/officeDocument/2006/relationships/webSettings" Target="webSettings.xml"/><Relationship Id="rId15" Type="http://schemas.openxmlformats.org/officeDocument/2006/relationships/hyperlink" Target="https://www.mfcr.cz/cs/verejny-sektor/statni-rozpocet/rozpoctova-strategie" TargetMode="External"/><Relationship Id="rId23" Type="http://schemas.openxmlformats.org/officeDocument/2006/relationships/hyperlink" Target="https://www.mfcr.cz/cs/verejny-sektor/statni-rozpocet" TargetMode="External"/><Relationship Id="rId28" Type="http://schemas.openxmlformats.org/officeDocument/2006/relationships/hyperlink" Target="https://dotaceeu.cz/cs/statistiky-a-analyzy" TargetMode="External"/><Relationship Id="rId36" Type="http://schemas.openxmlformats.org/officeDocument/2006/relationships/hyperlink" Target="https://data.europa.eu/euodp/cs/data/" TargetMode="External"/><Relationship Id="rId49" Type="http://schemas.openxmlformats.org/officeDocument/2006/relationships/hyperlink" Target="https://mmr.cz/cs/microsites/portal-strategicke-prace-v-ceske-republice/nastroje-a-metodicka-podpora/podpora-strategickeho-rizeni-a-planovani-ve-verejn/financni-rizeni-a-strategicke-planovani" TargetMode="External"/><Relationship Id="rId57" Type="http://schemas.openxmlformats.org/officeDocument/2006/relationships/hyperlink" Target="https://mmr.cz/cs/microsites/portal-strategicke-prace-v-ceske-republice/nastroje-a-metodicka-podpora/nastroje-pro-strategickou-praci" TargetMode="External"/><Relationship Id="rId61" Type="http://schemas.openxmlformats.org/officeDocument/2006/relationships/hyperlink" Target="https://www.dataplan.info/img_upload/f96fc5d7def29509aeffc6784e61f65b/publikace_pucek_udrz.fin.rizeni.pdf" TargetMode="External"/><Relationship Id="rId10" Type="http://schemas.openxmlformats.org/officeDocument/2006/relationships/hyperlink" Target="https://mmr.cz/cs/microsites/portal-strategicke-prace-v-ceske-republice/nastroje-a-metodicka-podpora/nastroje-pro-strategickou-praci" TargetMode="External"/><Relationship Id="rId19" Type="http://schemas.openxmlformats.org/officeDocument/2006/relationships/hyperlink" Target="https://www.mfcr.cz/cs/verejny-sektor/makroekonomika/makroekonomicka-predikce" TargetMode="External"/><Relationship Id="rId31" Type="http://schemas.openxmlformats.org/officeDocument/2006/relationships/hyperlink" Target="https://www.risy.cz/cs/vyhledavace/projekty-eu" TargetMode="External"/><Relationship Id="rId44" Type="http://schemas.openxmlformats.org/officeDocument/2006/relationships/image" Target="media/image5.png"/><Relationship Id="rId52" Type="http://schemas.openxmlformats.org/officeDocument/2006/relationships/hyperlink" Target="http://www.npj.cz/informacni-centrum/nabidka-publikaci/" TargetMode="External"/><Relationship Id="rId60" Type="http://schemas.openxmlformats.org/officeDocument/2006/relationships/hyperlink" Target="https://www.sav.sk/journals/uploads/0620133702%2014%20Pucek+RS1.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mr.cz/cs/microsites/portal-strategicke-prace-v-ceske-republice/nastroje-a-metodicka-podpora/podpora-strategickeho-rizeni-a-planovani-ve-verejn" TargetMode="External"/><Relationship Id="rId14" Type="http://schemas.openxmlformats.org/officeDocument/2006/relationships/hyperlink" Target="http://monitor.statnipokladna.cz/" TargetMode="External"/><Relationship Id="rId22" Type="http://schemas.openxmlformats.org/officeDocument/2006/relationships/hyperlink" Target="http://www.mfcr.cz/cs/verejny-sektor/monitoring/zadluzenost-uzemnich-rozpoctu" TargetMode="External"/><Relationship Id="rId27" Type="http://schemas.openxmlformats.org/officeDocument/2006/relationships/hyperlink" Target="http://www.isvz.cz/ISVZ/Podpora/ISVZ.aspx" TargetMode="External"/><Relationship Id="rId30" Type="http://schemas.openxmlformats.org/officeDocument/2006/relationships/hyperlink" Target="https://www.risy.cz/cs/vyhledavace/projekty-eu" TargetMode="External"/><Relationship Id="rId35" Type="http://schemas.openxmlformats.org/officeDocument/2006/relationships/hyperlink" Target="https://www.nku.cz/cz/publikace-a-dokumenty/" TargetMode="External"/><Relationship Id="rId43" Type="http://schemas.openxmlformats.org/officeDocument/2006/relationships/image" Target="media/image4.png"/><Relationship Id="rId48" Type="http://schemas.openxmlformats.org/officeDocument/2006/relationships/hyperlink" Target="https://www.databaze-strategie.cz/cz/md/strategie/dopravni-politika-ceske-republiky-2021-2027" TargetMode="External"/><Relationship Id="rId56" Type="http://schemas.openxmlformats.org/officeDocument/2006/relationships/hyperlink" Target="https://rtsa.ro/tras/index.php/tras/article/view/161/157"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mmr.cz/cs/microsites/portal-strategicke-prace-v-ceske-republice/nastroje-a-metodicka-podpora/podpora-strategickeho-rizeni-a-planovani-ve-verejn/financni-rizeni-a-strategicke-planovani"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mfcr.cz/cs/verejny-sektor/makroekonomika/fiskalni-vyhled" TargetMode="External"/><Relationship Id="rId25" Type="http://schemas.openxmlformats.org/officeDocument/2006/relationships/hyperlink" Target="https://www.mfcr.cz/cs/o-ministerstvu/informacni-systemy" TargetMode="External"/><Relationship Id="rId33" Type="http://schemas.openxmlformats.org/officeDocument/2006/relationships/hyperlink" Target="https://www.cnb.cz/cs/menova-politika/prognoza/" TargetMode="External"/><Relationship Id="rId38" Type="http://schemas.openxmlformats.org/officeDocument/2006/relationships/hyperlink" Target="https://ec.europa.eu/eurostat/data/database" TargetMode="External"/><Relationship Id="rId46" Type="http://schemas.openxmlformats.org/officeDocument/2006/relationships/image" Target="media/image6.png"/><Relationship Id="rId59" Type="http://schemas.openxmlformats.org/officeDocument/2006/relationships/hyperlink" Target="https://mmr.cz/cs/microsites/portal-strategicke-prace-v-ceske-republice/nastroje-a-metodicka-podpora/nastroje-pro-strategickou-prac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zakony.centrum.cz/trestni-zakonik/cast-2-hlava-5-paragraf-220" TargetMode="External"/><Relationship Id="rId13" Type="http://schemas.openxmlformats.org/officeDocument/2006/relationships/hyperlink" Target="https://www.mfcr.cz/cs/verejny-sektor/statni-rozpocet" TargetMode="External"/><Relationship Id="rId18" Type="http://schemas.openxmlformats.org/officeDocument/2006/relationships/hyperlink" Target="https://www.mmr.cz/cs/microsites/portal-strategicke-prace-v-ceske-republice/nastroje-a-metodicka-podpora/vystupy-projektu" TargetMode="External"/><Relationship Id="rId26" Type="http://schemas.openxmlformats.org/officeDocument/2006/relationships/hyperlink" Target="https://www.mfcr.cz/cs/o-ministerstvu/informacni-systemy/programove-financovani" TargetMode="External"/><Relationship Id="rId39" Type="http://schemas.openxmlformats.org/officeDocument/2006/relationships/hyperlink" Target="https://stavba.tzb-info.cz/tabulky-a-vypocty/110-financni-kalkulator-pro-hodnoceni-ekonomicke-efektivnosti-investic" TargetMode="External"/><Relationship Id="rId3" Type="http://schemas.openxmlformats.org/officeDocument/2006/relationships/hyperlink" Target="https://www.mfcr.cz/cs/verejny-sektor/makroekonomika/makroekonomicka-predikce/2022/makroekonomicka-predikce-duben-2022-47117" TargetMode="External"/><Relationship Id="rId21" Type="http://schemas.openxmlformats.org/officeDocument/2006/relationships/hyperlink" Target="https://stavba.tzb-info.cz/2786-vypoctova-pomucka-ekonomicka-efektivnost-investic-ii" TargetMode="External"/><Relationship Id="rId34" Type="http://schemas.openxmlformats.org/officeDocument/2006/relationships/hyperlink" Target="https://www.usti-nad-labem.cz/files/strategie-tistena-verze.pdf" TargetMode="External"/><Relationship Id="rId42" Type="http://schemas.openxmlformats.org/officeDocument/2006/relationships/hyperlink" Target="https://www.databaze-strategie.cz/cz/strategicke-mapy-ministerstva" TargetMode="External"/><Relationship Id="rId47" Type="http://schemas.openxmlformats.org/officeDocument/2006/relationships/hyperlink" Target="https://mmr.cz/cs/microsites/portal-strategicke-prace-v-ceske-republice/nastroje-a-metodicka-podpora/nastroje-pro-strategickou-praci/" TargetMode="External"/><Relationship Id="rId7" Type="http://schemas.openxmlformats.org/officeDocument/2006/relationships/hyperlink" Target="https://mmr.cz/cs/microsites/portal-strategicke-prace-v-ceske-republice/nastroje-a-metodicka-podpora/nastroje-pro-strategickou-praci/" TargetMode="External"/><Relationship Id="rId12" Type="http://schemas.openxmlformats.org/officeDocument/2006/relationships/hyperlink" Target="https://www.mfcr.cz/cs/verejny-sektor/uzemni-rozpocty" TargetMode="External"/><Relationship Id="rId17" Type="http://schemas.openxmlformats.org/officeDocument/2006/relationships/hyperlink" Target="https://monitor.statnipokladna.cz/statni-sprava/rozpocet/" TargetMode="External"/><Relationship Id="rId25" Type="http://schemas.openxmlformats.org/officeDocument/2006/relationships/hyperlink" Target="https://idea.cerge-ei.cz/studies/statni-zamestnanci-a-urednici-kde-pracuji-a-za-kolik-2" TargetMode="External"/><Relationship Id="rId33" Type="http://schemas.openxmlformats.org/officeDocument/2006/relationships/hyperlink" Target="https://mmr.cz/cs/microsites/portal-strategicke-prace-v-ceske-republice/nastroje-a-metodicka-podpora/nastroje-pro-strategickou-praci/" TargetMode="External"/><Relationship Id="rId38" Type="http://schemas.openxmlformats.org/officeDocument/2006/relationships/hyperlink" Target="https://stavba.tzb-info.cz/2786-vypoctova-pomucka-ekonomicka-efektivnost-investic-ii" TargetMode="External"/><Relationship Id="rId46" Type="http://schemas.openxmlformats.org/officeDocument/2006/relationships/hyperlink" Target="https://www.dataplan.info/img_upload/f96fc5d7def29509aeffc6784e61f65b/publikace-nszm-el_2.pdf" TargetMode="External"/><Relationship Id="rId2" Type="http://schemas.openxmlformats.org/officeDocument/2006/relationships/hyperlink" Target="https://mmr.cz/cs/microsites/portal-strategicke-prace-v-ceske-republice/nastroje-a-metodicka-podpora/podpora-strategickeho-rizeni-a-planovani-ve-verejn/financni-rizeni-a-strategicke-planovani" TargetMode="External"/><Relationship Id="rId16" Type="http://schemas.openxmlformats.org/officeDocument/2006/relationships/hyperlink" Target="https://www.mfcr.cz/assets/cs/media/Vyh_2021-412_o-rozpoctove-skladbe.pdf" TargetMode="External"/><Relationship Id="rId20" Type="http://schemas.openxmlformats.org/officeDocument/2006/relationships/hyperlink" Target="https://www.mfcr.cz/assets/cs/media/Vyh_2021-412_o-rozpoctove-skladbe.pdf" TargetMode="External"/><Relationship Id="rId29" Type="http://schemas.openxmlformats.org/officeDocument/2006/relationships/hyperlink" Target="https://www.mvcr.cz/clanek/kvalitni-verejna-sprava.aspx?q=Y2hudW09Ng%3d%3d" TargetMode="External"/><Relationship Id="rId41" Type="http://schemas.openxmlformats.org/officeDocument/2006/relationships/hyperlink" Target="https://www.databaze-strategie.cz/" TargetMode="External"/><Relationship Id="rId1" Type="http://schemas.openxmlformats.org/officeDocument/2006/relationships/hyperlink" Target="https://www.mmr.cz/cs/microsites/portal-strategicke-prace-v-ceske-republice/nastroje-a-metodicka-podpora/vystupy-projektu" TargetMode="External"/><Relationship Id="rId6" Type="http://schemas.openxmlformats.org/officeDocument/2006/relationships/hyperlink" Target="https://www.mfcr.cz/cs/verejny-sektor/statni-rozpocet/rozpoctova-strategie/2022/rozpoctova-strategie-sektoru-verejnych-i-47360/" TargetMode="External"/><Relationship Id="rId11" Type="http://schemas.openxmlformats.org/officeDocument/2006/relationships/hyperlink" Target="https://mmr.cz/cs/microsites/sc/metodiky/koncepce-smart-cities" TargetMode="External"/><Relationship Id="rId24" Type="http://schemas.openxmlformats.org/officeDocument/2006/relationships/hyperlink" Target="https://mmr.cz/cs/microsites/portal-strategicke-prace-v-ceske-republice/nastroje-a-metodicka-podpora/nastroje-pro-strategickou-praci/" TargetMode="External"/><Relationship Id="rId32" Type="http://schemas.openxmlformats.org/officeDocument/2006/relationships/hyperlink" Target="https://www.zdravamesta.cz/cz/chrudim/mereni-uspechu/audit-udrzitelneho-rozvoje/audit-chrudim-2019" TargetMode="External"/><Relationship Id="rId37" Type="http://schemas.openxmlformats.org/officeDocument/2006/relationships/hyperlink" Target="https://mmr.cz/cs/microsites/portal-strategicke-prace-v-ceske-republice/nastroje-a-metodicka-podpora/nastroje-pro-strategickou-praci/" TargetMode="External"/><Relationship Id="rId40" Type="http://schemas.openxmlformats.org/officeDocument/2006/relationships/hyperlink" Target="https://www.uspornabudova.cz/cs/fond-uspor-energie-v-litomericich-1" TargetMode="External"/><Relationship Id="rId45" Type="http://schemas.openxmlformats.org/officeDocument/2006/relationships/hyperlink" Target="https://rtsa.ro/tras/index.php/tras/article/view/161/157" TargetMode="External"/><Relationship Id="rId5" Type="http://schemas.openxmlformats.org/officeDocument/2006/relationships/hyperlink" Target="https://www.mfcr.cz/cs/zahranicni-sektor/pristoupeni-cr-k-eurozone/konvergencni-program/2022/konvergencni-program-ceske-republiky-dub-47355/" TargetMode="External"/><Relationship Id="rId15" Type="http://schemas.openxmlformats.org/officeDocument/2006/relationships/hyperlink" Target="https://isprofin.mfcr.cz/rispf/Home/About" TargetMode="External"/><Relationship Id="rId23" Type="http://schemas.openxmlformats.org/officeDocument/2006/relationships/hyperlink" Target="https://mmr.cz/cs/microsites/portal-strategicke-prace-v-ceske-republice/nastroje-a-metodicka-podpora/nastroje-pro-strategickou-praci/" TargetMode="External"/><Relationship Id="rId28" Type="http://schemas.openxmlformats.org/officeDocument/2006/relationships/hyperlink" Target="https://www.mfcr.cz/cs/verejny-sektor/statni-rozpocet/plneni-statniho-rozpoctu/2021/statni-zaverecny-ucet-za-rok-2021-47400" TargetMode="External"/><Relationship Id="rId36" Type="http://schemas.openxmlformats.org/officeDocument/2006/relationships/hyperlink" Target="https://www.sav.sk/journals/uploads/0620133702%2014%20Pucek+RS1.PDF" TargetMode="External"/><Relationship Id="rId10" Type="http://schemas.openxmlformats.org/officeDocument/2006/relationships/hyperlink" Target="https://mmr.cz/cs/microsites/portal-strategicke-prace-v-ceske-republice/nastroje-a-metodicka-podpora/nastroje-pro-strategickou-praci/" TargetMode="External"/><Relationship Id="rId19" Type="http://schemas.openxmlformats.org/officeDocument/2006/relationships/hyperlink" Target="https://mmr.cz/cs/microsites/portal-strategicke-prace-v-ceske-republice/nastroje-a-metodicka-podpora/nastroje-pro-strategickou-praci" TargetMode="External"/><Relationship Id="rId31" Type="http://schemas.openxmlformats.org/officeDocument/2006/relationships/hyperlink" Target="https://mmr.cz/cs/microsites/portal-strategicke-prace-v-ceske-republice/nastroje-a-metodicka-podpora/podpora-strategickeho-rizeni-a-planovani-ve-verejn/financni-rizeni-a-strategicke-planovani" TargetMode="External"/><Relationship Id="rId44" Type="http://schemas.openxmlformats.org/officeDocument/2006/relationships/hyperlink" Target="https://www.databaze-strategie.cz/cz/emetodika-pripravy-verejnych-strategii" TargetMode="External"/><Relationship Id="rId4" Type="http://schemas.openxmlformats.org/officeDocument/2006/relationships/hyperlink" Target="https://www.mfcr.cz/cs/verejny-sektor/makroekonomika/fiskalni-vyhled" TargetMode="External"/><Relationship Id="rId9" Type="http://schemas.openxmlformats.org/officeDocument/2006/relationships/hyperlink" Target="http://zakony.centrum.cz/trestni-zakonik/cast-2-hlava-5-paragraf-221" TargetMode="External"/><Relationship Id="rId14" Type="http://schemas.openxmlformats.org/officeDocument/2006/relationships/hyperlink" Target="https://www.mfcr.cz/cs/o-ministerstvu/informacni-systemy/programove-financovani" TargetMode="External"/><Relationship Id="rId22" Type="http://schemas.openxmlformats.org/officeDocument/2006/relationships/hyperlink" Target="https://stavba.tzb-info.cz/tabulky-a-vypocty/110-financni-kalkulator-pro-hodnoceni-ekonomicke-efektivnosti-investic" TargetMode="External"/><Relationship Id="rId27" Type="http://schemas.openxmlformats.org/officeDocument/2006/relationships/hyperlink" Target="https://www.researchgate.net/publication/40356457_Mereni_spokojenosti_v_organizacich_verejne_spravy_soubor_prikladu" TargetMode="External"/><Relationship Id="rId30" Type="http://schemas.openxmlformats.org/officeDocument/2006/relationships/hyperlink" Target="https://www.mvcr.cz/clanek/kvalitni-verejna-sprava.aspx?q=Y2hudW09Ng%3d%3d" TargetMode="External"/><Relationship Id="rId35" Type="http://schemas.openxmlformats.org/officeDocument/2006/relationships/hyperlink" Target="https://mmr.cz/cs/microsites/portal-strategicke-prace-v-ceske-republice/nastroje-a-metodicka-podpora/nastroje-pro-strategickou-praci/" TargetMode="External"/><Relationship Id="rId43" Type="http://schemas.openxmlformats.org/officeDocument/2006/relationships/hyperlink" Target="https://www.databaze-strategie.cz/cz/md/strategie/dopravni-politika-ceske-republiky-2021-2027" TargetMode="External"/><Relationship Id="rId48" Type="http://schemas.openxmlformats.org/officeDocument/2006/relationships/hyperlink" Target="https://mmr.cz/cs/microsites/portal-strategicke-prace-v-ceske-republice/nastroje-a-metodicka-podpora/nastroje-pro-strategicko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5A6FF-7AFA-44A3-8000-F057BB6E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133</Pages>
  <Words>39963</Words>
  <Characters>235783</Characters>
  <Application>Microsoft Office Word</Application>
  <DocSecurity>0</DocSecurity>
  <Lines>1964</Lines>
  <Paragraphs>550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Jan Půček</dc:creator>
  <cp:keywords/>
  <dc:description/>
  <cp:lastModifiedBy>Milan Jan Půček</cp:lastModifiedBy>
  <cp:revision>9</cp:revision>
  <cp:lastPrinted>2022-10-03T07:42:00Z</cp:lastPrinted>
  <dcterms:created xsi:type="dcterms:W3CDTF">2022-12-12T19:59:00Z</dcterms:created>
  <dcterms:modified xsi:type="dcterms:W3CDTF">2022-12-13T13:01:00Z</dcterms:modified>
</cp:coreProperties>
</file>