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5A032" w14:textId="77777777" w:rsidR="003A39E3" w:rsidRDefault="003A39E3" w:rsidP="00C97699">
      <w:pPr>
        <w:jc w:val="center"/>
        <w:rPr>
          <w:sz w:val="56"/>
        </w:rPr>
      </w:pPr>
      <w:bookmarkStart w:id="0" w:name="_GoBack"/>
      <w:bookmarkEnd w:id="0"/>
    </w:p>
    <w:p w14:paraId="563F8BA2" w14:textId="77777777" w:rsidR="003A39E3" w:rsidRDefault="003A39E3" w:rsidP="00C97699">
      <w:pPr>
        <w:jc w:val="center"/>
        <w:rPr>
          <w:sz w:val="56"/>
        </w:rPr>
      </w:pPr>
    </w:p>
    <w:p w14:paraId="5EDCAE3A" w14:textId="77777777" w:rsidR="003A39E3" w:rsidRDefault="003A39E3" w:rsidP="00C97699">
      <w:pPr>
        <w:jc w:val="center"/>
        <w:rPr>
          <w:sz w:val="56"/>
        </w:rPr>
      </w:pPr>
    </w:p>
    <w:p w14:paraId="5314C1E2" w14:textId="77777777" w:rsidR="003A39E3" w:rsidRDefault="003A39E3" w:rsidP="00C97699">
      <w:pPr>
        <w:jc w:val="center"/>
        <w:rPr>
          <w:sz w:val="56"/>
        </w:rPr>
      </w:pPr>
    </w:p>
    <w:p w14:paraId="5E5EDAA2" w14:textId="0246FA0F" w:rsidR="0057755E" w:rsidRPr="00AF5BC8" w:rsidRDefault="00E57D1A" w:rsidP="00C97699">
      <w:pPr>
        <w:jc w:val="center"/>
        <w:rPr>
          <w:b/>
          <w:sz w:val="56"/>
        </w:rPr>
      </w:pPr>
      <w:r w:rsidRPr="00AF5BC8">
        <w:rPr>
          <w:b/>
          <w:sz w:val="56"/>
        </w:rPr>
        <w:t xml:space="preserve">Výroční zpráva </w:t>
      </w:r>
      <w:r w:rsidR="00C97699" w:rsidRPr="00AF5BC8">
        <w:rPr>
          <w:b/>
          <w:sz w:val="56"/>
        </w:rPr>
        <w:t>R</w:t>
      </w:r>
      <w:r w:rsidRPr="00AF5BC8">
        <w:rPr>
          <w:b/>
          <w:sz w:val="56"/>
        </w:rPr>
        <w:t>egionální stálé konference</w:t>
      </w:r>
      <w:r w:rsidR="00C97699" w:rsidRPr="00AF5BC8">
        <w:rPr>
          <w:b/>
          <w:sz w:val="56"/>
        </w:rPr>
        <w:t xml:space="preserve"> pro územ</w:t>
      </w:r>
      <w:r w:rsidR="00716826">
        <w:rPr>
          <w:b/>
          <w:sz w:val="56"/>
        </w:rPr>
        <w:t>í Středočeského kraje za rok 2020</w:t>
      </w:r>
    </w:p>
    <w:p w14:paraId="77F66964" w14:textId="77777777" w:rsidR="00E57D1A" w:rsidRDefault="00E57D1A"/>
    <w:p w14:paraId="43361AC9" w14:textId="77777777" w:rsidR="003A39E3" w:rsidRDefault="003A39E3"/>
    <w:p w14:paraId="0DAE7BCC" w14:textId="77777777" w:rsidR="003A39E3" w:rsidRDefault="003A39E3"/>
    <w:p w14:paraId="79CFEE5D" w14:textId="77777777" w:rsidR="003A39E3" w:rsidRDefault="003A39E3"/>
    <w:p w14:paraId="38F85AE6" w14:textId="77777777" w:rsidR="003A39E3" w:rsidRDefault="003A39E3"/>
    <w:p w14:paraId="2AC3FFCC" w14:textId="77777777" w:rsidR="003A39E3" w:rsidRDefault="003A39E3"/>
    <w:p w14:paraId="3C391192" w14:textId="77777777" w:rsidR="003A39E3" w:rsidRDefault="003A39E3"/>
    <w:p w14:paraId="7463ED6B" w14:textId="77777777" w:rsidR="003A39E3" w:rsidRDefault="003A39E3"/>
    <w:p w14:paraId="38982AD7" w14:textId="77777777" w:rsidR="003A39E3" w:rsidRDefault="003A39E3"/>
    <w:p w14:paraId="40B05571" w14:textId="77777777" w:rsidR="003A39E3" w:rsidRDefault="003A39E3"/>
    <w:p w14:paraId="47CABA00" w14:textId="77777777" w:rsidR="003A39E3" w:rsidRDefault="003A39E3"/>
    <w:p w14:paraId="474E65B2" w14:textId="77777777" w:rsidR="003A39E3" w:rsidRDefault="003A39E3"/>
    <w:p w14:paraId="25A03362" w14:textId="77777777" w:rsidR="003A39E3" w:rsidRDefault="003A39E3"/>
    <w:p w14:paraId="0DE008A7" w14:textId="77777777" w:rsidR="003A39E3" w:rsidRDefault="003A39E3"/>
    <w:p w14:paraId="66B89E2C" w14:textId="4A307E8F" w:rsidR="00E57D1A" w:rsidRPr="00C97699" w:rsidRDefault="00E57D1A" w:rsidP="00C97699">
      <w:pPr>
        <w:jc w:val="center"/>
        <w:rPr>
          <w:i/>
        </w:rPr>
      </w:pPr>
      <w:r w:rsidRPr="00C97699">
        <w:rPr>
          <w:i/>
        </w:rPr>
        <w:t xml:space="preserve">Schváleno Regionální stálou konferencí </w:t>
      </w:r>
      <w:r w:rsidRPr="005F79E8">
        <w:rPr>
          <w:i/>
        </w:rPr>
        <w:t>Středočeského kraje dne</w:t>
      </w:r>
      <w:r w:rsidR="00B746D3" w:rsidRPr="005F79E8">
        <w:rPr>
          <w:i/>
        </w:rPr>
        <w:t xml:space="preserve"> </w:t>
      </w:r>
      <w:r w:rsidR="005F79E8" w:rsidRPr="005F79E8">
        <w:rPr>
          <w:i/>
        </w:rPr>
        <w:t>16</w:t>
      </w:r>
      <w:r w:rsidR="0060293F" w:rsidRPr="005F79E8">
        <w:rPr>
          <w:i/>
        </w:rPr>
        <w:t>.</w:t>
      </w:r>
      <w:r w:rsidR="005F79E8" w:rsidRPr="005F79E8">
        <w:rPr>
          <w:i/>
        </w:rPr>
        <w:t xml:space="preserve"> března</w:t>
      </w:r>
      <w:r w:rsidR="00B746D3" w:rsidRPr="005F79E8">
        <w:rPr>
          <w:i/>
        </w:rPr>
        <w:t xml:space="preserve"> </w:t>
      </w:r>
      <w:r w:rsidR="0060293F" w:rsidRPr="005F79E8">
        <w:rPr>
          <w:i/>
        </w:rPr>
        <w:t>20</w:t>
      </w:r>
      <w:r w:rsidR="00B746D3" w:rsidRPr="005F79E8">
        <w:rPr>
          <w:i/>
        </w:rPr>
        <w:t>2</w:t>
      </w:r>
      <w:r w:rsidR="000A2D16" w:rsidRPr="005F79E8">
        <w:rPr>
          <w:i/>
        </w:rPr>
        <w:t>1</w:t>
      </w:r>
    </w:p>
    <w:p w14:paraId="5398DDF7" w14:textId="77777777" w:rsidR="00E57D1A" w:rsidRDefault="00E57D1A">
      <w:r>
        <w:br w:type="page"/>
      </w:r>
    </w:p>
    <w:p w14:paraId="0DAED96E" w14:textId="07D814C6" w:rsidR="0063196C" w:rsidRDefault="0063196C" w:rsidP="0063196C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558658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9BA779" w14:textId="5A15EF36" w:rsidR="0063196C" w:rsidRDefault="0063196C">
          <w:pPr>
            <w:pStyle w:val="Nadpisobsahu"/>
          </w:pPr>
          <w:r>
            <w:t>Obsah</w:t>
          </w:r>
        </w:p>
        <w:p w14:paraId="220131A8" w14:textId="77777777" w:rsidR="000A2D16" w:rsidRDefault="0063196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188484" w:history="1">
            <w:r w:rsidR="000A2D16" w:rsidRPr="004D69F4">
              <w:rPr>
                <w:rStyle w:val="Hypertextovodkaz"/>
                <w:noProof/>
              </w:rPr>
              <w:t>1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Úvod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_Toc66188484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3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22DAB72D" w14:textId="77777777" w:rsidR="000A2D16" w:rsidRDefault="0016185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85" w:history="1">
            <w:r w:rsidR="000A2D16" w:rsidRPr="004D69F4">
              <w:rPr>
                <w:rStyle w:val="Hypertextovodkaz"/>
                <w:noProof/>
              </w:rPr>
              <w:t>2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Přehled aktivit RSK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_Toc66188485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3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3BB1F537" w14:textId="77777777" w:rsidR="000A2D16" w:rsidRDefault="001618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86" w:history="1">
            <w:r w:rsidR="000A2D16" w:rsidRPr="004D69F4">
              <w:rPr>
                <w:rStyle w:val="Hypertextovodkaz"/>
                <w:noProof/>
              </w:rPr>
              <w:t>2.1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Sekretariát RSK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_Toc66188486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4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35191DD7" w14:textId="77777777" w:rsidR="000A2D16" w:rsidRDefault="001618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87" w:history="1">
            <w:r w:rsidR="000A2D16" w:rsidRPr="004D69F4">
              <w:rPr>
                <w:rStyle w:val="Hypertextovodkaz"/>
                <w:noProof/>
              </w:rPr>
              <w:t>2.2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Pracovní skupiny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_Toc66188487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5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1F9A994C" w14:textId="77777777" w:rsidR="000A2D16" w:rsidRDefault="00161851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88" w:history="1">
            <w:r w:rsidR="000A2D16" w:rsidRPr="004D69F4">
              <w:rPr>
                <w:rStyle w:val="Hypertextovodkaz"/>
                <w:noProof/>
              </w:rPr>
              <w:t>2.2.1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Pracovní skupina Cestovní ruch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_Toc66188488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5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08F7CA6F" w14:textId="77777777" w:rsidR="000A2D16" w:rsidRDefault="00161851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89" w:history="1">
            <w:r w:rsidR="000A2D16" w:rsidRPr="004D69F4">
              <w:rPr>
                <w:rStyle w:val="Hypertextovodkaz"/>
                <w:noProof/>
              </w:rPr>
              <w:t>2.2.2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Pracovní skupina Infrastruktura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_Toc66188489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5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251DC54A" w14:textId="77777777" w:rsidR="000A2D16" w:rsidRDefault="00161851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90" w:history="1">
            <w:r w:rsidR="000A2D16" w:rsidRPr="004D69F4">
              <w:rPr>
                <w:rStyle w:val="Hypertextovodkaz"/>
                <w:noProof/>
              </w:rPr>
              <w:t>2.2.3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Pracovní skupina Venkov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_Toc66188490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5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02266DDF" w14:textId="77777777" w:rsidR="000A2D16" w:rsidRDefault="00161851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91" w:history="1">
            <w:r w:rsidR="000A2D16" w:rsidRPr="004D69F4">
              <w:rPr>
                <w:rStyle w:val="Hypertextovodkaz"/>
                <w:noProof/>
              </w:rPr>
              <w:t>2.2.4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Pracovní skupina Vzdělávání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_Toc66188491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6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1751AA27" w14:textId="77777777" w:rsidR="000A2D16" w:rsidRDefault="00161851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92" w:history="1">
            <w:r w:rsidR="000A2D16" w:rsidRPr="004D69F4">
              <w:rPr>
                <w:rStyle w:val="Hypertextovodkaz"/>
                <w:noProof/>
              </w:rPr>
              <w:t>2.2.5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Pracovní skupina Zdravotnictví a sociální věci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_Toc66188492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7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32F95F1B" w14:textId="77777777" w:rsidR="000A2D16" w:rsidRDefault="00161851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93" w:history="1">
            <w:r w:rsidR="000A2D16" w:rsidRPr="004D69F4">
              <w:rPr>
                <w:rStyle w:val="Hypertextovodkaz"/>
                <w:noProof/>
              </w:rPr>
              <w:t>2.2.6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Pracovní skupina Věda a výzkum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_Toc66188493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7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23C25D7C" w14:textId="77777777" w:rsidR="000A2D16" w:rsidRDefault="001618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94" w:history="1">
            <w:r w:rsidR="000A2D16" w:rsidRPr="004D69F4">
              <w:rPr>
                <w:rStyle w:val="Hypertextovodkaz"/>
                <w:noProof/>
              </w:rPr>
              <w:t>2.3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Komunikace s ŘO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_Toc66188494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7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72892D3E" w14:textId="77777777" w:rsidR="000A2D16" w:rsidRDefault="001618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95" w:history="1">
            <w:r w:rsidR="000A2D16" w:rsidRPr="004D69F4">
              <w:rPr>
                <w:rStyle w:val="Hypertextovodkaz"/>
                <w:noProof/>
              </w:rPr>
              <w:t>2.4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Komunikace s MMR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_Toc66188495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7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1399A381" w14:textId="77777777" w:rsidR="000A2D16" w:rsidRDefault="001618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96" w:history="1">
            <w:r w:rsidR="000A2D16" w:rsidRPr="004D69F4">
              <w:rPr>
                <w:rStyle w:val="Hypertextovodkaz"/>
                <w:noProof/>
              </w:rPr>
              <w:t>2.5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Komunikace s územím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_Toc66188496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8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082248A2" w14:textId="77777777" w:rsidR="000A2D16" w:rsidRDefault="001618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97" w:history="1">
            <w:r w:rsidR="000A2D16" w:rsidRPr="004D69F4">
              <w:rPr>
                <w:rStyle w:val="Hypertextovodkaz"/>
                <w:noProof/>
              </w:rPr>
              <w:t>2.6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Mapování kapacit mateřských a základních škol na území kraje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_Toc66188497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8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26492E3E" w14:textId="77777777" w:rsidR="000A2D16" w:rsidRDefault="001618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98" w:history="1">
            <w:r w:rsidR="000A2D16" w:rsidRPr="004D69F4">
              <w:rPr>
                <w:rStyle w:val="Hypertextovodkaz"/>
                <w:noProof/>
              </w:rPr>
              <w:t>2.7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Semináře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_Toc66188498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9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607FCD9F" w14:textId="77777777" w:rsidR="000A2D16" w:rsidRDefault="0016185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499" w:history="1">
            <w:r w:rsidR="000A2D16" w:rsidRPr="004D69F4">
              <w:rPr>
                <w:rStyle w:val="Hypertextovodkaz"/>
                <w:noProof/>
              </w:rPr>
              <w:t>3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Dobrá praxe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_Toc66188499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9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22004972" w14:textId="77777777" w:rsidR="000A2D16" w:rsidRDefault="0016185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500" w:history="1">
            <w:r w:rsidR="000A2D16" w:rsidRPr="004D69F4">
              <w:rPr>
                <w:rStyle w:val="Hypertextovodkaz"/>
                <w:noProof/>
              </w:rPr>
              <w:t>4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Rizika činnosti RSK a naplňování rolí RSK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_Toc66188500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9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000E577C" w14:textId="77777777" w:rsidR="000A2D16" w:rsidRDefault="0016185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66188501" w:history="1">
            <w:r w:rsidR="000A2D16" w:rsidRPr="004D69F4">
              <w:rPr>
                <w:rStyle w:val="Hypertextovodkaz"/>
                <w:noProof/>
              </w:rPr>
              <w:t>5</w:t>
            </w:r>
            <w:r w:rsidR="000A2D16">
              <w:rPr>
                <w:rFonts w:eastAsiaTheme="minorEastAsia"/>
                <w:noProof/>
                <w:lang w:eastAsia="cs-CZ"/>
              </w:rPr>
              <w:tab/>
            </w:r>
            <w:r w:rsidR="000A2D16" w:rsidRPr="004D69F4">
              <w:rPr>
                <w:rStyle w:val="Hypertextovodkaz"/>
                <w:noProof/>
              </w:rPr>
              <w:t>Plán rozvoje RSK</w:t>
            </w:r>
            <w:r w:rsidR="000A2D16">
              <w:rPr>
                <w:noProof/>
                <w:webHidden/>
              </w:rPr>
              <w:tab/>
            </w:r>
            <w:r w:rsidR="000A2D16">
              <w:rPr>
                <w:noProof/>
                <w:webHidden/>
              </w:rPr>
              <w:fldChar w:fldCharType="begin"/>
            </w:r>
            <w:r w:rsidR="000A2D16">
              <w:rPr>
                <w:noProof/>
                <w:webHidden/>
              </w:rPr>
              <w:instrText xml:space="preserve"> PAGEREF _Toc66188501 \h </w:instrText>
            </w:r>
            <w:r w:rsidR="000A2D16">
              <w:rPr>
                <w:noProof/>
                <w:webHidden/>
              </w:rPr>
            </w:r>
            <w:r w:rsidR="000A2D16">
              <w:rPr>
                <w:noProof/>
                <w:webHidden/>
              </w:rPr>
              <w:fldChar w:fldCharType="separate"/>
            </w:r>
            <w:r w:rsidR="000A2D16">
              <w:rPr>
                <w:noProof/>
                <w:webHidden/>
              </w:rPr>
              <w:t>10</w:t>
            </w:r>
            <w:r w:rsidR="000A2D16">
              <w:rPr>
                <w:noProof/>
                <w:webHidden/>
              </w:rPr>
              <w:fldChar w:fldCharType="end"/>
            </w:r>
          </w:hyperlink>
        </w:p>
        <w:p w14:paraId="0874C811" w14:textId="26222DEF" w:rsidR="0063196C" w:rsidRDefault="0063196C">
          <w:r>
            <w:rPr>
              <w:b/>
              <w:bCs/>
            </w:rPr>
            <w:fldChar w:fldCharType="end"/>
          </w:r>
        </w:p>
      </w:sdtContent>
    </w:sdt>
    <w:p w14:paraId="56136924" w14:textId="77777777" w:rsidR="0063196C" w:rsidRPr="0063196C" w:rsidRDefault="0063196C" w:rsidP="0063196C"/>
    <w:p w14:paraId="1E7E528D" w14:textId="77777777" w:rsidR="00A641F0" w:rsidRDefault="00A641F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A8840B9" w14:textId="7F8EA5DF" w:rsidR="00E57D1A" w:rsidRDefault="00E57D1A" w:rsidP="001E59BC">
      <w:pPr>
        <w:pStyle w:val="Nadpis1"/>
        <w:spacing w:after="240"/>
      </w:pPr>
      <w:bookmarkStart w:id="1" w:name="_Toc66188484"/>
      <w:r>
        <w:lastRenderedPageBreak/>
        <w:t>Úvod</w:t>
      </w:r>
      <w:bookmarkEnd w:id="1"/>
    </w:p>
    <w:p w14:paraId="4827B393" w14:textId="3645D910" w:rsidR="001E59BC" w:rsidRDefault="001E59BC" w:rsidP="001E59BC">
      <w:pPr>
        <w:jc w:val="both"/>
      </w:pPr>
      <w:r>
        <w:t xml:space="preserve">Regionální stálá konference </w:t>
      </w:r>
      <w:r w:rsidR="0006499D">
        <w:t xml:space="preserve">(RSK) </w:t>
      </w:r>
      <w:r>
        <w:t>je jedním z podstatných prvků systému koordinace územní dimenze, do kterého aktivně vstupuje</w:t>
      </w:r>
      <w:r w:rsidR="00ED1A68">
        <w:t>. S</w:t>
      </w:r>
      <w:r>
        <w:t xml:space="preserve">vou činností </w:t>
      </w:r>
      <w:r w:rsidR="0059647A">
        <w:t>přispívá</w:t>
      </w:r>
      <w:r>
        <w:t xml:space="preserve"> k naplnění tohoto konceptu především v rámci programového období </w:t>
      </w:r>
      <w:r w:rsidR="0059647A">
        <w:t>2014</w:t>
      </w:r>
      <w:r w:rsidR="008F3831">
        <w:t>-</w:t>
      </w:r>
      <w:r w:rsidR="0059647A">
        <w:t>2020 a v rámci přípravy období 2021+</w:t>
      </w:r>
      <w:r>
        <w:t xml:space="preserve">, i když její tematický záběr se v čase postupně rozšiřuje i mimo problematiku ESI fondů. </w:t>
      </w:r>
    </w:p>
    <w:p w14:paraId="3620FB59" w14:textId="44FCC009" w:rsidR="00500229" w:rsidRDefault="001E59BC" w:rsidP="00500229">
      <w:pPr>
        <w:ind w:firstLine="432"/>
        <w:jc w:val="both"/>
      </w:pPr>
      <w:r>
        <w:t>Cílem výroční zprávy je popsat nejpodstatnější aktivity RSK</w:t>
      </w:r>
      <w:r w:rsidR="00D71CED">
        <w:t xml:space="preserve"> Středočeského kraje</w:t>
      </w:r>
      <w:r>
        <w:t>, jejích pracovních skupin a</w:t>
      </w:r>
      <w:r w:rsidR="008F3831">
        <w:t xml:space="preserve"> sekretariátu v průběhu roku 2020</w:t>
      </w:r>
      <w:r w:rsidR="005349B5">
        <w:t xml:space="preserve"> a to</w:t>
      </w:r>
      <w:r>
        <w:t xml:space="preserve"> s ohledem na role stanovené statutem RSK</w:t>
      </w:r>
      <w:r w:rsidR="005349B5">
        <w:t>. Účelem je</w:t>
      </w:r>
      <w:r>
        <w:t xml:space="preserve"> zhodnotit efektivitu této činnosti i samotnou komunikaci, ať už v rámci RSK, s jednotlivými řídicími orgány programů ESI fondů či s</w:t>
      </w:r>
      <w:r w:rsidR="005349B5">
        <w:t> </w:t>
      </w:r>
      <w:r>
        <w:t>MMR</w:t>
      </w:r>
      <w:r w:rsidR="005349B5">
        <w:t>,</w:t>
      </w:r>
      <w:r>
        <w:t xml:space="preserve"> jakožto subjektem odpovědným za naplnění konceptu územní dimenze</w:t>
      </w:r>
      <w:r w:rsidR="002A47FE">
        <w:t>,</w:t>
      </w:r>
      <w:r>
        <w:t xml:space="preserve"> </w:t>
      </w:r>
      <w:r w:rsidRPr="002D44AF">
        <w:t>identifikovat kroky</w:t>
      </w:r>
      <w:r>
        <w:t xml:space="preserve"> vedoucí k lepšímu naplňování funkcí RSK a rovněž rizika spojená s činností RSK včetně plánu rozvoje fungování RSK, mj. eliminujícím </w:t>
      </w:r>
      <w:r w:rsidR="000C6E9A">
        <w:t>identifikovaná</w:t>
      </w:r>
      <w:r>
        <w:t xml:space="preserve"> rizika.</w:t>
      </w:r>
    </w:p>
    <w:p w14:paraId="4453BB7D" w14:textId="121844BB" w:rsidR="0059647A" w:rsidRDefault="0059647A" w:rsidP="00500229">
      <w:pPr>
        <w:ind w:firstLine="432"/>
        <w:jc w:val="both"/>
      </w:pPr>
      <w:r>
        <w:t xml:space="preserve">Pandemická situace v roce 2020 se výrazným způsobem dotkla i činnosti RSK. Některé aktivity museli být s ohledem na vládní opatření a navazující opatření vyhlášené na krajském úřadě Středočeského kraje do jisté míry utlumeny. Většina aktivit, </w:t>
      </w:r>
      <w:r w:rsidR="00A50DF2">
        <w:t>u kterých</w:t>
      </w:r>
      <w:r>
        <w:t xml:space="preserve"> to bylo možné, probíhala on-line.</w:t>
      </w:r>
    </w:p>
    <w:p w14:paraId="26B43686" w14:textId="4E4F7988" w:rsidR="00023035" w:rsidRDefault="00023035" w:rsidP="00500229">
      <w:pPr>
        <w:ind w:firstLine="432"/>
        <w:jc w:val="both"/>
      </w:pPr>
      <w:r>
        <w:t xml:space="preserve">Na podzim </w:t>
      </w:r>
      <w:proofErr w:type="gramStart"/>
      <w:r>
        <w:t>roku  2020</w:t>
      </w:r>
      <w:proofErr w:type="gramEnd"/>
      <w:r>
        <w:t xml:space="preserve"> proběhly krajské volby na jejichž základě vzniklo nové Zastupitelstvo kraje, vznikla nová Rada kraje a byly přeobsazeny místa předsedů jednotlivých výborů Zastupitelstva kraje. </w:t>
      </w:r>
      <w:r w:rsidR="00436BE8">
        <w:t xml:space="preserve">Na 23. jednání RSK proběhla </w:t>
      </w:r>
      <w:proofErr w:type="spellStart"/>
      <w:r w:rsidR="00436BE8">
        <w:t>renominace</w:t>
      </w:r>
      <w:proofErr w:type="spellEnd"/>
      <w:r w:rsidR="00436BE8">
        <w:t xml:space="preserve"> členů a náhradníků RSK zastupující kraj a funkce předsedkyně RSK se ujala nová hejtmanka Středočeského kraje, paní Petra Pecková. Jako místopředseda RSK byl zvolen pan Jiří Snížek, náměstek hejtmanky pro regionální rozvoj a územní plánování. Členem Národní stálé konference </w:t>
      </w:r>
      <w:r w:rsidR="000A2D16">
        <w:t xml:space="preserve">za Středočeský kraj </w:t>
      </w:r>
      <w:r w:rsidR="00436BE8">
        <w:t>byl zvolen pan Věslav Michalik, náměstek hejtmanky pro oblast financí, dotací a inovací a jako jeho náhradník pan Petr Halada, předseda Komise Rady kraje pro spolupráci s městy a obcemi. Zástupci kraje v RSK a jejich náhradníci byli nominování zejména s ohledem na očekávanou převažující agendu RSK (zejména aktivity Regionálního akčního plánu 2021+)</w:t>
      </w:r>
    </w:p>
    <w:p w14:paraId="2A576338" w14:textId="0CE7A2E7" w:rsidR="001E59BC" w:rsidRDefault="00500229" w:rsidP="00500229">
      <w:pPr>
        <w:ind w:firstLine="432"/>
        <w:jc w:val="both"/>
      </w:pPr>
      <w:r>
        <w:t>Pro zpracování výroční zprávy RSK</w:t>
      </w:r>
      <w:r w:rsidR="005349B5">
        <w:t xml:space="preserve"> Středočeského kraje</w:t>
      </w:r>
      <w:r>
        <w:t xml:space="preserve"> byly použity veškeré dostupné zdroje vztahující se k danému období roku </w:t>
      </w:r>
      <w:r w:rsidR="008F3831">
        <w:t>2020</w:t>
      </w:r>
      <w:r>
        <w:t xml:space="preserve">, zápisy a podklady z jednání RSK a pracovních skupin </w:t>
      </w:r>
      <w:r w:rsidR="0006499D">
        <w:t xml:space="preserve">(PS) </w:t>
      </w:r>
      <w:r>
        <w:t>při RSK (PS Cestovní ruch, PS Vzdělávání, PS Infrastruktura, PS Venkov</w:t>
      </w:r>
      <w:r w:rsidR="00807DFC">
        <w:t>, PS Zdravotnictví a sociální věci</w:t>
      </w:r>
      <w:r>
        <w:t>), pracovní dokumentace sekretariátu RSK a informace z</w:t>
      </w:r>
      <w:r w:rsidR="0006499D">
        <w:t xml:space="preserve"> Dotačního </w:t>
      </w:r>
      <w:r>
        <w:t>portálu RSK</w:t>
      </w:r>
      <w:r w:rsidR="005349B5">
        <w:t xml:space="preserve"> Středočeského kraje</w:t>
      </w:r>
      <w:r>
        <w:t>.</w:t>
      </w:r>
    </w:p>
    <w:p w14:paraId="758625AB" w14:textId="27F1BD11" w:rsidR="00E57D1A" w:rsidRDefault="001E59BC" w:rsidP="001E59BC">
      <w:pPr>
        <w:ind w:firstLine="432"/>
        <w:jc w:val="both"/>
      </w:pPr>
      <w:r>
        <w:t xml:space="preserve">Informace obsažené ve zprávě budou využity subjekty na národní úrovni. Jedná se zejména o odbor regionální politiky MMR, jemuž získaná data umožní souhrnně zhodnotit fungování RSK a rovněž mohou přispět ke zlepšení nastavení systému koordinace územní dimenze.  </w:t>
      </w:r>
      <w:r w:rsidR="005349B5">
        <w:t>Ř</w:t>
      </w:r>
      <w:r>
        <w:t xml:space="preserve">ídicímu orgánu Operačního programu Výzkum, vývoj a vzdělávání </w:t>
      </w:r>
      <w:r w:rsidR="005349B5">
        <w:t xml:space="preserve">zpráva poskytne </w:t>
      </w:r>
      <w:r>
        <w:t>shrnutí činnosti ve vztahu ke krajským a místním akčním plánům rozvoje vzdělávání včetně hodnocení funkčnosti PS Vzdělávání a stavu zpracování akčních plánů. V neposlední řadě bude zpráva součástí monitorování projektu Operačního programu Technická pomoc, z něhož je finančně podpořena činnost RSK.</w:t>
      </w:r>
    </w:p>
    <w:p w14:paraId="36601884" w14:textId="77777777" w:rsidR="00E57D1A" w:rsidRDefault="00E57D1A" w:rsidP="008D293F">
      <w:pPr>
        <w:pStyle w:val="Nadpis1"/>
        <w:spacing w:after="240"/>
      </w:pPr>
      <w:bookmarkStart w:id="2" w:name="_Toc66188485"/>
      <w:r>
        <w:t>Přehled aktivit RSK</w:t>
      </w:r>
      <w:bookmarkEnd w:id="2"/>
    </w:p>
    <w:p w14:paraId="1F99627C" w14:textId="039C9570" w:rsidR="00BA2812" w:rsidRDefault="008D293F" w:rsidP="00BA2812">
      <w:pPr>
        <w:jc w:val="both"/>
      </w:pPr>
      <w:r>
        <w:t xml:space="preserve">Přehled činností v roce </w:t>
      </w:r>
      <w:r w:rsidR="00B86231">
        <w:t xml:space="preserve">2020 </w:t>
      </w:r>
      <w:r>
        <w:t xml:space="preserve">byl v souladu se statutem RSK. </w:t>
      </w:r>
    </w:p>
    <w:p w14:paraId="5A64036A" w14:textId="59F63D35" w:rsidR="00E57D1A" w:rsidRDefault="008D293F" w:rsidP="00BA2812">
      <w:pPr>
        <w:ind w:firstLine="426"/>
        <w:jc w:val="both"/>
      </w:pPr>
      <w:r>
        <w:t xml:space="preserve">V roce </w:t>
      </w:r>
      <w:r w:rsidR="00B86231">
        <w:t>2020</w:t>
      </w:r>
      <w:r w:rsidR="000A2D16">
        <w:t xml:space="preserve"> </w:t>
      </w:r>
      <w:r>
        <w:t>proběhl</w:t>
      </w:r>
      <w:r w:rsidR="00BA2812">
        <w:t>a</w:t>
      </w:r>
      <w:r>
        <w:t xml:space="preserve"> </w:t>
      </w:r>
      <w:r w:rsidR="00023035">
        <w:t xml:space="preserve">čtyři </w:t>
      </w:r>
      <w:r>
        <w:t>zasedání RSK:</w:t>
      </w:r>
    </w:p>
    <w:p w14:paraId="72DCB0F1" w14:textId="31A5A446" w:rsidR="0006499D" w:rsidRDefault="00B86231" w:rsidP="00E65E1E">
      <w:pPr>
        <w:pStyle w:val="Odstavecseseznamem"/>
        <w:numPr>
          <w:ilvl w:val="0"/>
          <w:numId w:val="2"/>
        </w:numPr>
        <w:ind w:left="1134" w:hanging="283"/>
        <w:jc w:val="both"/>
      </w:pPr>
      <w:r>
        <w:t>20. zasedání 14.1.2020,</w:t>
      </w:r>
    </w:p>
    <w:p w14:paraId="7BC0F713" w14:textId="4667758D" w:rsidR="00023035" w:rsidRDefault="00B86231" w:rsidP="00E65E1E">
      <w:pPr>
        <w:pStyle w:val="Odstavecseseznamem"/>
        <w:numPr>
          <w:ilvl w:val="0"/>
          <w:numId w:val="2"/>
        </w:numPr>
        <w:ind w:left="1134" w:hanging="283"/>
        <w:jc w:val="both"/>
      </w:pPr>
      <w:r>
        <w:t>21. zasedání 22.6.2020</w:t>
      </w:r>
      <w:r w:rsidR="00023035">
        <w:t>,</w:t>
      </w:r>
    </w:p>
    <w:p w14:paraId="6D00D118" w14:textId="77777777" w:rsidR="00023035" w:rsidRDefault="00023035" w:rsidP="00E65E1E">
      <w:pPr>
        <w:pStyle w:val="Odstavecseseznamem"/>
        <w:numPr>
          <w:ilvl w:val="0"/>
          <w:numId w:val="2"/>
        </w:numPr>
        <w:ind w:left="1134" w:hanging="283"/>
        <w:jc w:val="both"/>
      </w:pPr>
      <w:r>
        <w:t>22. zasedání 22.9.2020 (on-line)</w:t>
      </w:r>
    </w:p>
    <w:p w14:paraId="7CEFFB1D" w14:textId="0A1584C2" w:rsidR="006A01BA" w:rsidRDefault="00023035" w:rsidP="00E65E1E">
      <w:pPr>
        <w:pStyle w:val="Odstavecseseznamem"/>
        <w:numPr>
          <w:ilvl w:val="0"/>
          <w:numId w:val="2"/>
        </w:numPr>
        <w:ind w:left="1134" w:hanging="283"/>
        <w:jc w:val="both"/>
      </w:pPr>
      <w:r>
        <w:lastRenderedPageBreak/>
        <w:t>23. zasedání 15.12.2020 (on-line)</w:t>
      </w:r>
    </w:p>
    <w:p w14:paraId="1D957B16" w14:textId="0014D677" w:rsidR="00BA2812" w:rsidRDefault="00BA2812" w:rsidP="00BA2812">
      <w:pPr>
        <w:ind w:firstLine="426"/>
        <w:jc w:val="both"/>
      </w:pPr>
      <w:r>
        <w:t xml:space="preserve">Dle aktuální potřeby proběhla </w:t>
      </w:r>
      <w:r w:rsidR="005E5B2F">
        <w:t>tři</w:t>
      </w:r>
      <w:r>
        <w:t xml:space="preserve"> korespondenčních hlasování (KH):</w:t>
      </w:r>
    </w:p>
    <w:p w14:paraId="219D73BF" w14:textId="77777777" w:rsidR="008C5AE1" w:rsidRDefault="004F719F" w:rsidP="001E638E">
      <w:pPr>
        <w:pStyle w:val="Odstavecseseznamem"/>
        <w:numPr>
          <w:ilvl w:val="0"/>
          <w:numId w:val="3"/>
        </w:numPr>
        <w:spacing w:after="240"/>
        <w:ind w:left="1276" w:hanging="425"/>
        <w:jc w:val="both"/>
      </w:pPr>
      <w:r>
        <w:t xml:space="preserve">13. korespondenční hlasování (březen 2020), kterým byl schválen Návrh řešení </w:t>
      </w:r>
      <w:r w:rsidRPr="00D0454C">
        <w:t>Krajského akčního plánu vzdělávání II Středočeského kraje</w:t>
      </w:r>
      <w:r w:rsidR="008C5AE1">
        <w:t>,</w:t>
      </w:r>
    </w:p>
    <w:p w14:paraId="43F0B031" w14:textId="77777777" w:rsidR="008C5AE1" w:rsidRPr="00D0454C" w:rsidRDefault="008C5AE1" w:rsidP="001E638E">
      <w:pPr>
        <w:pStyle w:val="Odstavecseseznamem"/>
        <w:numPr>
          <w:ilvl w:val="0"/>
          <w:numId w:val="3"/>
        </w:numPr>
        <w:spacing w:after="240"/>
        <w:ind w:left="1276" w:hanging="425"/>
        <w:jc w:val="both"/>
      </w:pPr>
      <w:r>
        <w:t xml:space="preserve">14. </w:t>
      </w:r>
      <w:r w:rsidR="004F719F" w:rsidDel="00B86231">
        <w:t xml:space="preserve"> </w:t>
      </w:r>
      <w:r>
        <w:t xml:space="preserve">korespondenční hlasování (květen 2020), kterým byla schválena </w:t>
      </w:r>
      <w:r w:rsidRPr="000A2D16">
        <w:t>výroční zpráva Regionální stálé konference pro území Středočeského kraje za rok 2019, Zpráva o hodnocení plnění Regionálního akčního plánu za rok 2019 a Školská inkluzivní koncepce Středočeského kraje 2020–2023,</w:t>
      </w:r>
    </w:p>
    <w:p w14:paraId="49BBBAA0" w14:textId="77777777" w:rsidR="00393F01" w:rsidRDefault="00393F01" w:rsidP="001E638E">
      <w:pPr>
        <w:pStyle w:val="Odstavecseseznamem"/>
        <w:numPr>
          <w:ilvl w:val="0"/>
          <w:numId w:val="3"/>
        </w:numPr>
        <w:spacing w:after="240"/>
        <w:ind w:left="1276" w:hanging="425"/>
        <w:jc w:val="both"/>
      </w:pPr>
      <w:r>
        <w:t xml:space="preserve">15. korespondenční hlasování (srpen 2020), kterým byla schválena oprava Návrhu řešení </w:t>
      </w:r>
      <w:r w:rsidRPr="008D5B58">
        <w:t>Krajského akčního plánu vzdělávání II Středočeského kraje</w:t>
      </w:r>
      <w:r>
        <w:t>.</w:t>
      </w:r>
    </w:p>
    <w:p w14:paraId="2CE6399F" w14:textId="1EE36671" w:rsidR="001E638E" w:rsidRDefault="00393F01" w:rsidP="00D0454C">
      <w:r w:rsidDel="00B86231">
        <w:t xml:space="preserve"> </w:t>
      </w:r>
      <w:r>
        <w:t xml:space="preserve">RSK efektivně projednávala a schvalovala navrhované dokumenty. </w:t>
      </w:r>
      <w:r w:rsidR="000C4718">
        <w:t>Mimo jiné byla schválena např. výzva adresovaná M</w:t>
      </w:r>
      <w:r w:rsidR="000A2D16">
        <w:t>inisterstvu pro místní rozvoj (MMR)</w:t>
      </w:r>
      <w:r w:rsidR="000C4718">
        <w:t xml:space="preserve"> </w:t>
      </w:r>
      <w:r w:rsidR="00A50DF2">
        <w:t>vyzývající</w:t>
      </w:r>
      <w:r w:rsidR="000C4718">
        <w:t xml:space="preserve"> k dokončení přípravy centrální databáze projektů (nyní Informační systém projektových záměrů) a výzva MMR a MŠMT k finanční podpoře projektů na rozšiřování kapacit mateřských a základních škol. Ve druhé polovině roku 2020 se RSK intenzivně zabývala přípravou Regionálního akčního plánu pro období </w:t>
      </w:r>
      <w:proofErr w:type="gramStart"/>
      <w:r w:rsidR="000C4718">
        <w:t>2021 – 2027</w:t>
      </w:r>
      <w:proofErr w:type="gramEnd"/>
      <w:r w:rsidR="000C4718">
        <w:t>.</w:t>
      </w:r>
    </w:p>
    <w:p w14:paraId="139124D0" w14:textId="77777777" w:rsidR="00A8055E" w:rsidRDefault="00A8055E" w:rsidP="00140008">
      <w:pPr>
        <w:pStyle w:val="Nadpis2"/>
        <w:spacing w:after="240"/>
      </w:pPr>
      <w:bookmarkStart w:id="3" w:name="_Toc66188486"/>
      <w:r>
        <w:t>Sekretariát RSK</w:t>
      </w:r>
      <w:bookmarkEnd w:id="3"/>
    </w:p>
    <w:p w14:paraId="1D6EF56A" w14:textId="1C35D757" w:rsidR="00A56633" w:rsidRDefault="007D00DF" w:rsidP="0047352B">
      <w:pPr>
        <w:ind w:firstLine="576"/>
        <w:jc w:val="both"/>
      </w:pPr>
      <w:r>
        <w:t xml:space="preserve">Činnost sekretariátu RSK je vykonávána celkem čtyřmi pracovníky Krajského úřadu Středočeského kraje, z nichž dva pracují na plný úvazek a dva na </w:t>
      </w:r>
      <w:r w:rsidR="000C4718">
        <w:t xml:space="preserve">částečný </w:t>
      </w:r>
      <w:r>
        <w:t>úvazek. Činnost s</w:t>
      </w:r>
      <w:r w:rsidR="009851E2">
        <w:t>e</w:t>
      </w:r>
      <w:r>
        <w:t xml:space="preserve">kretariátu RSK v roce </w:t>
      </w:r>
      <w:r w:rsidR="00B86231">
        <w:t xml:space="preserve">2020 </w:t>
      </w:r>
      <w:r w:rsidR="009851E2">
        <w:t xml:space="preserve">zajišťovali Ing. Jiří Kubiš, PhDr. Ladislav </w:t>
      </w:r>
      <w:proofErr w:type="gramStart"/>
      <w:r w:rsidR="009851E2">
        <w:t xml:space="preserve">Cubr, </w:t>
      </w:r>
      <w:r w:rsidR="00B86231">
        <w:t xml:space="preserve"> Bc.</w:t>
      </w:r>
      <w:proofErr w:type="gramEnd"/>
      <w:r w:rsidR="00B86231">
        <w:t xml:space="preserve"> Kristián Kuszniruk a Bc. Petr Čapek.</w:t>
      </w:r>
    </w:p>
    <w:p w14:paraId="423E077E" w14:textId="19D79A3E" w:rsidR="006D7D9F" w:rsidRDefault="006D7D9F" w:rsidP="007D00DF">
      <w:pPr>
        <w:ind w:firstLine="576"/>
        <w:jc w:val="both"/>
      </w:pPr>
      <w:r>
        <w:t>V</w:t>
      </w:r>
      <w:r w:rsidR="009851E2">
        <w:t xml:space="preserve"> uplynulém </w:t>
      </w:r>
      <w:r>
        <w:t>roce</w:t>
      </w:r>
      <w:r w:rsidR="009851E2">
        <w:t xml:space="preserve"> </w:t>
      </w:r>
      <w:r w:rsidR="00A56633">
        <w:t>došlo ke změně v pracovním týmu Sekretariátu RSK</w:t>
      </w:r>
      <w:r>
        <w:t xml:space="preserve">. </w:t>
      </w:r>
      <w:r w:rsidR="00A56633">
        <w:t>K </w:t>
      </w:r>
      <w:r w:rsidR="00B86231">
        <w:t>30. září 2020</w:t>
      </w:r>
      <w:r w:rsidR="009851E2">
        <w:t xml:space="preserve"> </w:t>
      </w:r>
      <w:r w:rsidR="00A56633">
        <w:t xml:space="preserve">ukončil svou činnost </w:t>
      </w:r>
      <w:r w:rsidR="007D00DF">
        <w:t xml:space="preserve">na Sekretariátu </w:t>
      </w:r>
      <w:r w:rsidR="00A56633">
        <w:t xml:space="preserve">pan </w:t>
      </w:r>
      <w:r w:rsidR="00B86231">
        <w:t>Jakub Stojan</w:t>
      </w:r>
      <w:r w:rsidR="00A56633">
        <w:t xml:space="preserve">, kterého </w:t>
      </w:r>
      <w:r w:rsidR="00B86231">
        <w:t>1</w:t>
      </w:r>
      <w:r w:rsidR="00A56633">
        <w:t xml:space="preserve">. </w:t>
      </w:r>
      <w:r w:rsidR="00B86231">
        <w:t>října</w:t>
      </w:r>
      <w:r w:rsidR="00A56633">
        <w:t xml:space="preserve"> </w:t>
      </w:r>
      <w:r w:rsidR="00B86231">
        <w:t xml:space="preserve">2020 </w:t>
      </w:r>
      <w:r w:rsidR="00A56633">
        <w:t xml:space="preserve">nahradil pan </w:t>
      </w:r>
      <w:r w:rsidR="00B86231">
        <w:t>Kristián Kuszniruk.</w:t>
      </w:r>
    </w:p>
    <w:p w14:paraId="5670CFFF" w14:textId="270D1378" w:rsidR="009851E2" w:rsidRDefault="00BB3BEF" w:rsidP="009851E2">
      <w:pPr>
        <w:ind w:firstLine="576"/>
        <w:jc w:val="both"/>
      </w:pPr>
      <w:r>
        <w:t xml:space="preserve">Jiří Kubiš, měl v roce </w:t>
      </w:r>
      <w:r w:rsidR="00B86231">
        <w:t xml:space="preserve">2020 </w:t>
      </w:r>
      <w:r>
        <w:t>na starosti koordinaci týmu sekretariátu RSK, dále PS Cestovní ruch a PS Venkov</w:t>
      </w:r>
      <w:r w:rsidR="00AA0E36">
        <w:t xml:space="preserve">. </w:t>
      </w:r>
      <w:r w:rsidR="00B86231">
        <w:t>Jakub Stojan</w:t>
      </w:r>
      <w:r w:rsidR="009851E2">
        <w:t xml:space="preserve"> spravoval</w:t>
      </w:r>
      <w:r>
        <w:t xml:space="preserve"> PS Infrastruktura</w:t>
      </w:r>
      <w:r w:rsidRPr="00140008">
        <w:t xml:space="preserve"> </w:t>
      </w:r>
      <w:r>
        <w:t xml:space="preserve">a PS </w:t>
      </w:r>
      <w:r w:rsidRPr="00140008">
        <w:t>Zdravotnictví a sociální věci</w:t>
      </w:r>
      <w:r>
        <w:t xml:space="preserve">, </w:t>
      </w:r>
      <w:r w:rsidR="009851E2">
        <w:t xml:space="preserve">které po jeho odchodu převzal </w:t>
      </w:r>
      <w:r w:rsidR="00B86231">
        <w:t>Kristián Kuszniruk</w:t>
      </w:r>
      <w:r w:rsidR="009851E2">
        <w:t xml:space="preserve">. Petr Čapek spravoval PS Vzdělávání. </w:t>
      </w:r>
      <w:r>
        <w:t>Ladislav</w:t>
      </w:r>
      <w:r w:rsidR="009851E2">
        <w:t xml:space="preserve"> </w:t>
      </w:r>
      <w:r>
        <w:t xml:space="preserve">Cubr zajišťoval správu </w:t>
      </w:r>
      <w:r w:rsidR="009851E2">
        <w:t xml:space="preserve">Dotačního </w:t>
      </w:r>
      <w:r>
        <w:t>portálu RSK</w:t>
      </w:r>
      <w:r w:rsidR="009E348A">
        <w:t xml:space="preserve"> včetně vyhledávání jednotlivých výzev</w:t>
      </w:r>
      <w:r>
        <w:t xml:space="preserve"> a</w:t>
      </w:r>
      <w:r w:rsidR="00AA0E36">
        <w:t xml:space="preserve"> </w:t>
      </w:r>
      <w:r>
        <w:t>přípravu analytických podkladů</w:t>
      </w:r>
      <w:r w:rsidR="009851E2">
        <w:t>.</w:t>
      </w:r>
    </w:p>
    <w:p w14:paraId="247B165D" w14:textId="14DDBC98" w:rsidR="00DE1F52" w:rsidRDefault="00DE1F52" w:rsidP="009851E2">
      <w:pPr>
        <w:ind w:firstLine="576"/>
        <w:jc w:val="both"/>
      </w:pPr>
      <w:r>
        <w:t>Do činnosti sekretariátu byl zapojen i externí spolupracovník, pan Šimon Krbec, který se zaměřil na Pražskou metropolitní oblast, resp. na mapování absorpční kapacity, přípravu projektů a přípravu strategie</w:t>
      </w:r>
      <w:r w:rsidR="000A2D16">
        <w:t xml:space="preserve"> ITI</w:t>
      </w:r>
      <w:r>
        <w:t>.</w:t>
      </w:r>
    </w:p>
    <w:p w14:paraId="54E25226" w14:textId="1E28F141" w:rsidR="00140008" w:rsidRDefault="00D07A86" w:rsidP="009851E2">
      <w:pPr>
        <w:ind w:firstLine="576"/>
        <w:jc w:val="both"/>
      </w:pPr>
      <w:r>
        <w:t xml:space="preserve">Sekretariát RSK zajišťoval organizaci </w:t>
      </w:r>
      <w:r w:rsidR="009851E2">
        <w:t xml:space="preserve">zasedání RSK a </w:t>
      </w:r>
      <w:r>
        <w:t xml:space="preserve">jednání PS, připravoval podklady pro </w:t>
      </w:r>
      <w:r w:rsidR="009851E2">
        <w:t xml:space="preserve">RSK a </w:t>
      </w:r>
      <w:r>
        <w:t>PS,</w:t>
      </w:r>
      <w:r w:rsidR="00AA0E36">
        <w:t xml:space="preserve"> navrhoval</w:t>
      </w:r>
      <w:r>
        <w:t xml:space="preserve"> program</w:t>
      </w:r>
      <w:r w:rsidR="009851E2">
        <w:t>y</w:t>
      </w:r>
      <w:r>
        <w:t xml:space="preserve"> zasedání, zajišťoval zápisy a jejich distribuci, zajišťoval přenos informací a výstupů ze zasedání, organizaci seminářů, mapování a obecně koordinaci platforem (RSK, PS, KAP, ITI, RIS 3).  Sekretariátem byla zajištěna povinná publicita formou vyvěšení plakátu u vchodu do budovy Krajského úřadu a publicita nepovinná formou webových stránek </w:t>
      </w:r>
      <w:hyperlink r:id="rId8" w:history="1">
        <w:r>
          <w:rPr>
            <w:rStyle w:val="Hypertextovodkaz"/>
          </w:rPr>
          <w:t>www.rsk-sk.cz</w:t>
        </w:r>
      </w:hyperlink>
      <w:r>
        <w:t xml:space="preserve">. Sekretariát rovněž dle metodiky přejímal a předával </w:t>
      </w:r>
      <w:r w:rsidR="000C4718" w:rsidRPr="000A2D16">
        <w:t>Strategické rámce MAP</w:t>
      </w:r>
      <w:r>
        <w:t xml:space="preserve">. </w:t>
      </w:r>
      <w:r w:rsidR="004604E6" w:rsidRPr="00AC05B1">
        <w:t xml:space="preserve">Mezi další významné aktivity </w:t>
      </w:r>
      <w:r w:rsidR="009E348A" w:rsidRPr="00AC05B1">
        <w:t xml:space="preserve">patřila aktualizace </w:t>
      </w:r>
      <w:r w:rsidR="004604E6" w:rsidRPr="00AC05B1">
        <w:t>mapování projektových záměrů pro potřeby Národního investičního plánu</w:t>
      </w:r>
      <w:r w:rsidR="009E348A" w:rsidRPr="00AC05B1">
        <w:t xml:space="preserve"> a mapování absorpční kapacity v oblasti mateřských a základních škol na území Středočeského kraje</w:t>
      </w:r>
      <w:r w:rsidR="004604E6" w:rsidRPr="00AC05B1">
        <w:t>.</w:t>
      </w:r>
      <w:r w:rsidR="009E348A">
        <w:t xml:space="preserve"> Dalším nosným tématem pro RSK a PS byla příprava plánovacího období 2021+ EU, včetně přípravy strategie ITI zejména Pražské metropolitní oblasti. V této oblasti spolupracovala RSK úzce s interní </w:t>
      </w:r>
      <w:r w:rsidR="000A2D16">
        <w:t xml:space="preserve">krajskou </w:t>
      </w:r>
      <w:r w:rsidR="009E348A">
        <w:t xml:space="preserve">PS </w:t>
      </w:r>
      <w:r w:rsidR="000A2D16">
        <w:t>pro přípravu politiky soudržnosti a financování strategických plánů rozvoje kraje 2021+ (PS Strategie)</w:t>
      </w:r>
      <w:r w:rsidR="009E348A">
        <w:t>.</w:t>
      </w:r>
      <w:r w:rsidR="00B63EF3">
        <w:t xml:space="preserve"> </w:t>
      </w:r>
    </w:p>
    <w:p w14:paraId="09766B9A" w14:textId="77777777" w:rsidR="00A8055E" w:rsidRDefault="00A8055E" w:rsidP="00D07A86">
      <w:pPr>
        <w:pStyle w:val="Nadpis2"/>
        <w:spacing w:after="240"/>
      </w:pPr>
      <w:bookmarkStart w:id="4" w:name="_Toc66188487"/>
      <w:r>
        <w:lastRenderedPageBreak/>
        <w:t>Pracovní skupiny</w:t>
      </w:r>
      <w:bookmarkEnd w:id="4"/>
    </w:p>
    <w:p w14:paraId="1F0AA6B9" w14:textId="54136817" w:rsidR="00D07A86" w:rsidRDefault="00D07A86" w:rsidP="00D07A86">
      <w:pPr>
        <w:pStyle w:val="Odstavecseseznamem"/>
        <w:ind w:left="0"/>
        <w:jc w:val="both"/>
      </w:pPr>
      <w:r>
        <w:t xml:space="preserve">V roce </w:t>
      </w:r>
      <w:r w:rsidR="00FD783C">
        <w:t xml:space="preserve">2020 </w:t>
      </w:r>
      <w:r>
        <w:t xml:space="preserve">probíhala jednání </w:t>
      </w:r>
      <w:r w:rsidR="00067763">
        <w:t>pěti</w:t>
      </w:r>
      <w:r>
        <w:t xml:space="preserve"> pracovních skupin</w:t>
      </w:r>
      <w:r w:rsidR="00EA5567">
        <w:t xml:space="preserve">. </w:t>
      </w:r>
      <w:r w:rsidR="00067763">
        <w:t xml:space="preserve">Pracovní skupina </w:t>
      </w:r>
      <w:r w:rsidR="001B6326">
        <w:t>Věda a výzkum</w:t>
      </w:r>
      <w:r w:rsidR="00067763">
        <w:t xml:space="preserve"> </w:t>
      </w:r>
      <w:r w:rsidR="009E348A">
        <w:t>ne</w:t>
      </w:r>
      <w:r w:rsidR="00067763">
        <w:t xml:space="preserve">byla v roce </w:t>
      </w:r>
      <w:r w:rsidR="00FD783C">
        <w:t xml:space="preserve">2020 </w:t>
      </w:r>
      <w:r w:rsidR="009E348A">
        <w:t>aktivní</w:t>
      </w:r>
      <w:r w:rsidR="00067763">
        <w:t>.</w:t>
      </w:r>
      <w:r w:rsidR="00DC1CE7">
        <w:t xml:space="preserve"> Činnost PS byla utlumena vlivem proti</w:t>
      </w:r>
      <w:r w:rsidR="00A50DF2">
        <w:t>epidemických</w:t>
      </w:r>
      <w:r w:rsidR="00DC1CE7">
        <w:t xml:space="preserve"> opatření.</w:t>
      </w:r>
    </w:p>
    <w:p w14:paraId="76AACE63" w14:textId="77777777" w:rsidR="002A3403" w:rsidRDefault="002A3403" w:rsidP="00D07A86">
      <w:pPr>
        <w:pStyle w:val="Odstavecseseznamem"/>
        <w:ind w:left="0"/>
        <w:jc w:val="both"/>
      </w:pPr>
    </w:p>
    <w:p w14:paraId="11BC9B3D" w14:textId="77777777" w:rsidR="00D07A86" w:rsidRDefault="00D07A86" w:rsidP="0063196C">
      <w:pPr>
        <w:pStyle w:val="Nadpis3"/>
      </w:pPr>
      <w:bookmarkStart w:id="5" w:name="_Toc66188488"/>
      <w:r>
        <w:t>Pracovní skupina Cestovní ruch</w:t>
      </w:r>
      <w:bookmarkEnd w:id="5"/>
    </w:p>
    <w:p w14:paraId="0B9C1C99" w14:textId="77777777" w:rsidR="00067763" w:rsidRPr="009E348A" w:rsidRDefault="00067763" w:rsidP="00067763">
      <w:pPr>
        <w:pStyle w:val="Odstavecseseznamem"/>
        <w:ind w:left="0"/>
        <w:jc w:val="both"/>
      </w:pPr>
      <w:r w:rsidRPr="009E348A">
        <w:t>Náplní činnosti PS Cestovní ruch je zejména podpora a rozvoj tuzemského i zahraničního cestovního ruchu ve Středočeském kraji a problematika destinačního managementu v kraji. V souvislosti s Národním programem podpory cestovního ruchu v regionech také pracovní skupina hodnotí žádosti o podporu z hlediska souladu se strategickými dokumenty</w:t>
      </w:r>
      <w:r w:rsidR="00B56691" w:rsidRPr="009E348A">
        <w:t xml:space="preserve"> kraje</w:t>
      </w:r>
      <w:r w:rsidRPr="009E348A">
        <w:t>.</w:t>
      </w:r>
    </w:p>
    <w:p w14:paraId="7F01DE36" w14:textId="26064DD0" w:rsidR="00067763" w:rsidRPr="009E348A" w:rsidRDefault="00067763" w:rsidP="00067763">
      <w:pPr>
        <w:pStyle w:val="Odstavecseseznamem"/>
        <w:ind w:left="0"/>
        <w:jc w:val="both"/>
      </w:pPr>
      <w:r w:rsidRPr="009E348A">
        <w:t xml:space="preserve">V roce </w:t>
      </w:r>
      <w:r w:rsidR="00FD783C">
        <w:t>2020</w:t>
      </w:r>
      <w:r w:rsidR="00FD783C" w:rsidRPr="009E348A">
        <w:t xml:space="preserve"> </w:t>
      </w:r>
      <w:r w:rsidRPr="009E348A">
        <w:t>proběhl</w:t>
      </w:r>
      <w:r w:rsidR="00FD783C">
        <w:t>o</w:t>
      </w:r>
      <w:r w:rsidRPr="009E348A">
        <w:t xml:space="preserve"> </w:t>
      </w:r>
      <w:r w:rsidR="004B6876">
        <w:t xml:space="preserve">vzhledem k pandemické situaci pouze </w:t>
      </w:r>
      <w:r w:rsidR="00FD783C">
        <w:t>jedno</w:t>
      </w:r>
      <w:r w:rsidR="00D403E1" w:rsidRPr="009E348A">
        <w:t xml:space="preserve"> </w:t>
      </w:r>
      <w:r w:rsidRPr="009E348A">
        <w:t>jednání PS Cestovní ruch</w:t>
      </w:r>
      <w:r w:rsidR="004B6876">
        <w:t xml:space="preserve"> (další plánované jednání bylo zrušeno z důvodu havárie v budově krajského úřadu)</w:t>
      </w:r>
      <w:r w:rsidRPr="009E348A">
        <w:t>.</w:t>
      </w:r>
      <w:r w:rsidR="003E0852" w:rsidRPr="009E348A">
        <w:t xml:space="preserve"> </w:t>
      </w:r>
    </w:p>
    <w:p w14:paraId="7F6F8596" w14:textId="7E18E75B" w:rsidR="004B6876" w:rsidRDefault="007C284B" w:rsidP="00067763">
      <w:pPr>
        <w:pStyle w:val="Odstavecseseznamem"/>
        <w:ind w:left="0"/>
        <w:jc w:val="both"/>
      </w:pPr>
      <w:r w:rsidRPr="009E348A">
        <w:t xml:space="preserve">Jednání </w:t>
      </w:r>
      <w:r w:rsidR="00B56691" w:rsidRPr="009E348A">
        <w:t xml:space="preserve">PS </w:t>
      </w:r>
      <w:r w:rsidRPr="009E348A">
        <w:t xml:space="preserve">se týkala </w:t>
      </w:r>
      <w:r w:rsidR="00FD783C">
        <w:t>aktuálního stavu oblastních a lokálních organizací destinačního managementu na území kraje</w:t>
      </w:r>
      <w:r w:rsidR="00C917CC">
        <w:t xml:space="preserve"> </w:t>
      </w:r>
      <w:proofErr w:type="gramStart"/>
      <w:r w:rsidR="002147BC">
        <w:t>a</w:t>
      </w:r>
      <w:r w:rsidRPr="009E348A">
        <w:t xml:space="preserve"> </w:t>
      </w:r>
      <w:r w:rsidR="002147BC">
        <w:t> seznámení</w:t>
      </w:r>
      <w:proofErr w:type="gramEnd"/>
      <w:r w:rsidR="002147BC">
        <w:t xml:space="preserve"> s podporou cestovního ruchu Středočeským krajem v souvislosti s </w:t>
      </w:r>
      <w:proofErr w:type="spellStart"/>
      <w:r w:rsidR="002147BC">
        <w:t>koronavirem</w:t>
      </w:r>
      <w:proofErr w:type="spellEnd"/>
      <w:r w:rsidR="002147BC">
        <w:t xml:space="preserve"> „COVID 19“</w:t>
      </w:r>
      <w:r w:rsidRPr="009E348A">
        <w:t>, podpory oblastních destinačních manag</w:t>
      </w:r>
      <w:r w:rsidR="00B56691" w:rsidRPr="009E348A">
        <w:t>e</w:t>
      </w:r>
      <w:r w:rsidRPr="009E348A">
        <w:t>mentů, činnosti Středočeské centrály cestovního ruchu</w:t>
      </w:r>
      <w:r w:rsidR="00D30642" w:rsidRPr="009E348A">
        <w:t xml:space="preserve"> a </w:t>
      </w:r>
      <w:r w:rsidR="00D403E1">
        <w:t>informací o přípravě plánovacího období EU 2021+</w:t>
      </w:r>
      <w:r w:rsidR="00D30642" w:rsidRPr="009E348A">
        <w:t>.</w:t>
      </w:r>
      <w:r w:rsidR="006433E6">
        <w:t xml:space="preserve"> </w:t>
      </w:r>
    </w:p>
    <w:p w14:paraId="05B6CC82" w14:textId="259E2B9F" w:rsidR="007C284B" w:rsidRPr="009E348A" w:rsidRDefault="004B6876" w:rsidP="00067763">
      <w:pPr>
        <w:pStyle w:val="Odstavecseseznamem"/>
        <w:ind w:left="0"/>
        <w:jc w:val="both"/>
      </w:pPr>
      <w:r>
        <w:t xml:space="preserve">Usnesením RSK došlo k reorganizaci PS </w:t>
      </w:r>
      <w:r w:rsidRPr="00D0454C">
        <w:t>z důvodu změny organizace cestovního ruchu v</w:t>
      </w:r>
      <w:r>
        <w:t>e</w:t>
      </w:r>
      <w:r w:rsidRPr="00D0454C">
        <w:t> </w:t>
      </w:r>
      <w:r>
        <w:t>Středočeském kraji</w:t>
      </w:r>
      <w:r w:rsidRPr="00D0454C">
        <w:t>, zejména v oblasti destinačních managementů a vymezení turistických oblastí</w:t>
      </w:r>
      <w:r>
        <w:t>.</w:t>
      </w:r>
    </w:p>
    <w:p w14:paraId="50D059B0" w14:textId="77777777" w:rsidR="00A8055E" w:rsidRDefault="00A8055E" w:rsidP="00A8055E"/>
    <w:p w14:paraId="640D9332" w14:textId="77777777" w:rsidR="00D07A86" w:rsidRDefault="00D07A86" w:rsidP="0063196C">
      <w:pPr>
        <w:pStyle w:val="Nadpis3"/>
      </w:pPr>
      <w:bookmarkStart w:id="6" w:name="_Toc66188489"/>
      <w:r>
        <w:t>Pracovní skupina Infrastruktura</w:t>
      </w:r>
      <w:bookmarkEnd w:id="6"/>
    </w:p>
    <w:p w14:paraId="73423F28" w14:textId="364E2E34" w:rsidR="00105C28" w:rsidRDefault="00105C28" w:rsidP="002D44AF">
      <w:pPr>
        <w:jc w:val="both"/>
      </w:pPr>
      <w:r w:rsidRPr="00AC05B1">
        <w:t>N</w:t>
      </w:r>
      <w:r w:rsidRPr="00105C28">
        <w:t>ápl</w:t>
      </w:r>
      <w:r>
        <w:t>ň</w:t>
      </w:r>
      <w:r w:rsidRPr="00AC05B1">
        <w:t xml:space="preserve"> činnosti </w:t>
      </w:r>
      <w:r>
        <w:t xml:space="preserve">PS Infrastruktura je účast na aktualizaci Regionálního akčního plánu nejen v oblasti dopravy, ale i dalších témat, jako </w:t>
      </w:r>
      <w:r w:rsidR="005F268A">
        <w:t xml:space="preserve">např. </w:t>
      </w:r>
      <w:r>
        <w:t>odpadové hospodářství, problem</w:t>
      </w:r>
      <w:r w:rsidR="00316C0D">
        <w:t>ati</w:t>
      </w:r>
      <w:r w:rsidR="00C12284">
        <w:t xml:space="preserve">ka energetického managementu, cirkulární ekonomiky, internetové konektivity </w:t>
      </w:r>
      <w:r w:rsidR="005F268A">
        <w:t>aj. PS rovněž shromaž</w:t>
      </w:r>
      <w:r w:rsidR="00DC3A0D">
        <w:t xml:space="preserve">ďuje podklady a problematické okruhy z procesního hlediska, metodiky a projednává zaměření a alokace v oblastech operačních programů (OP) a národních dotačních </w:t>
      </w:r>
      <w:r w:rsidR="00291E58">
        <w:t>titulů (NDT). Ve vztahu k OP má pracovní skupina získávat informace o absorpční kapacitě, získávat předpokládané záměry v rámci OP a mapovat prioritní problémy, které nejsou kryté z dotací OP ani NDT.</w:t>
      </w:r>
    </w:p>
    <w:p w14:paraId="14059C69" w14:textId="16340E2F" w:rsidR="00291E58" w:rsidRPr="00AC05B1" w:rsidRDefault="00291E58" w:rsidP="002D44AF">
      <w:pPr>
        <w:jc w:val="both"/>
      </w:pPr>
      <w:r>
        <w:t xml:space="preserve">V roce </w:t>
      </w:r>
      <w:r w:rsidR="00C917CC">
        <w:t xml:space="preserve">2020 </w:t>
      </w:r>
      <w:r w:rsidR="00027035">
        <w:t>proběhl</w:t>
      </w:r>
      <w:r w:rsidR="00C917CC">
        <w:t>o</w:t>
      </w:r>
      <w:r w:rsidR="00027035">
        <w:t xml:space="preserve"> </w:t>
      </w:r>
      <w:r w:rsidR="00C917CC">
        <w:t>jedno</w:t>
      </w:r>
      <w:r>
        <w:t xml:space="preserve"> jednání pracovní skupiny, zaměřené na témata dopravy</w:t>
      </w:r>
      <w:r w:rsidR="00DC2A90">
        <w:t>.</w:t>
      </w:r>
      <w:r w:rsidR="00A50DF2">
        <w:t xml:space="preserve"> </w:t>
      </w:r>
      <w:r w:rsidR="001A341F">
        <w:t xml:space="preserve"> </w:t>
      </w:r>
      <w:r w:rsidR="00DC2A90">
        <w:t xml:space="preserve">Zde byl projednán a schválen seznam projektů Regionálního akčního plánu </w:t>
      </w:r>
      <w:r w:rsidR="00983334">
        <w:t xml:space="preserve">2021+ </w:t>
      </w:r>
      <w:r w:rsidR="00DC2A90">
        <w:t>z oblasti dopravy – silnice II. třídy. Představena byla také agenda Energetického</w:t>
      </w:r>
      <w:r w:rsidR="00A50DF2">
        <w:t xml:space="preserve"> manažera pro Středočeský kraj, jehož pozice byla zřízena v rámci Odboru regionálního rozvoje krajského úřadu Středočeského kraje.</w:t>
      </w:r>
    </w:p>
    <w:p w14:paraId="15369E00" w14:textId="2DB0D0AD" w:rsidR="00105C28" w:rsidRPr="00863D80" w:rsidRDefault="00105C28" w:rsidP="00A8055E">
      <w:pPr>
        <w:rPr>
          <w:strike/>
        </w:rPr>
      </w:pPr>
    </w:p>
    <w:p w14:paraId="2697F974" w14:textId="77777777" w:rsidR="00D07A86" w:rsidRDefault="00D07A86" w:rsidP="0063196C">
      <w:pPr>
        <w:pStyle w:val="Nadpis3"/>
      </w:pPr>
      <w:bookmarkStart w:id="7" w:name="_Toc66188490"/>
      <w:r>
        <w:t>Pracovní skupina Venkov</w:t>
      </w:r>
      <w:bookmarkEnd w:id="7"/>
    </w:p>
    <w:p w14:paraId="2F4992EF" w14:textId="2D48AE87" w:rsidR="009977F6" w:rsidRPr="006433E6" w:rsidRDefault="009977F6" w:rsidP="009977F6">
      <w:pPr>
        <w:pStyle w:val="Odstavecseseznamem"/>
        <w:ind w:left="0"/>
        <w:jc w:val="both"/>
        <w:rPr>
          <w:b/>
        </w:rPr>
      </w:pPr>
      <w:r w:rsidRPr="006433E6">
        <w:t>Náplň činnosti PS Venkov tvoří diskuze dílčích témat souvisejících s venkovským prostorem (doprava, kanalizace a čističky odpadních vod, regionální školství, venkovské památky apod.); identifikace nejožehavějších problémů, se kterými se potýkají obce ve venkovském prostoru Středočeského kraje</w:t>
      </w:r>
      <w:r w:rsidR="001646AA">
        <w:t xml:space="preserve"> </w:t>
      </w:r>
      <w:r w:rsidR="006433E6">
        <w:t>s vazbou na financování z ESIF</w:t>
      </w:r>
      <w:r w:rsidRPr="006433E6">
        <w:t>; navrhování řešení problémů a podnětů pro Středočeský kraj a Regionální stálou konferenci; navrhování změn a doporučení, která se týkají Regionálního akčního plánu.</w:t>
      </w:r>
    </w:p>
    <w:p w14:paraId="3496B2B7" w14:textId="2EA8978B" w:rsidR="009977F6" w:rsidRPr="006433E6" w:rsidRDefault="009977F6" w:rsidP="009977F6">
      <w:pPr>
        <w:pStyle w:val="Odstavecseseznamem"/>
        <w:ind w:left="0"/>
        <w:jc w:val="both"/>
      </w:pPr>
      <w:r w:rsidRPr="006433E6">
        <w:t>V </w:t>
      </w:r>
      <w:proofErr w:type="gramStart"/>
      <w:r w:rsidRPr="006433E6">
        <w:t xml:space="preserve">roce </w:t>
      </w:r>
      <w:r w:rsidR="006433E6" w:rsidRPr="006433E6">
        <w:t xml:space="preserve"> </w:t>
      </w:r>
      <w:r w:rsidR="00983334">
        <w:t>2020</w:t>
      </w:r>
      <w:proofErr w:type="gramEnd"/>
      <w:r w:rsidR="00983334">
        <w:t xml:space="preserve"> </w:t>
      </w:r>
      <w:r w:rsidRPr="006433E6">
        <w:t>proběhl</w:t>
      </w:r>
      <w:r w:rsidR="00C917CC">
        <w:t>o</w:t>
      </w:r>
      <w:r w:rsidRPr="006433E6">
        <w:t xml:space="preserve"> </w:t>
      </w:r>
      <w:r w:rsidR="00C917CC">
        <w:t xml:space="preserve"> jedno</w:t>
      </w:r>
      <w:r w:rsidRPr="006433E6">
        <w:t xml:space="preserve"> jednání PS Venkov.</w:t>
      </w:r>
      <w:r w:rsidR="007C284B" w:rsidRPr="006433E6">
        <w:t xml:space="preserve"> Předmětem jednání </w:t>
      </w:r>
      <w:r w:rsidR="00DC1CE7">
        <w:t>byla družstevní bytová výstavba v obcích a možnosti jejího financování, problematika veřejných služeb, Akční plán Strategie regionálního rozvoje ČR, a zapojení RSK do nástrojů územní dimenze v novém programovém období.</w:t>
      </w:r>
    </w:p>
    <w:p w14:paraId="4D392731" w14:textId="77777777" w:rsidR="009977F6" w:rsidRPr="003434FD" w:rsidRDefault="009977F6" w:rsidP="009977F6">
      <w:pPr>
        <w:pStyle w:val="Odstavecseseznamem"/>
        <w:ind w:left="0"/>
        <w:jc w:val="both"/>
      </w:pPr>
    </w:p>
    <w:p w14:paraId="24A16DA7" w14:textId="77777777" w:rsidR="00E1313F" w:rsidRDefault="00D07A86" w:rsidP="0063196C">
      <w:pPr>
        <w:pStyle w:val="Nadpis3"/>
      </w:pPr>
      <w:bookmarkStart w:id="8" w:name="_Toc66188491"/>
      <w:r>
        <w:lastRenderedPageBreak/>
        <w:t>Pracovní skupina Vzdělávání</w:t>
      </w:r>
      <w:bookmarkEnd w:id="8"/>
    </w:p>
    <w:p w14:paraId="74B0FAC3" w14:textId="717DB6B7" w:rsidR="009B447A" w:rsidRPr="009B447A" w:rsidRDefault="009B447A" w:rsidP="009B447A">
      <w:pPr>
        <w:pStyle w:val="Nadpis4"/>
      </w:pPr>
      <w:r>
        <w:t>Činnost pracovní skupiny</w:t>
      </w:r>
    </w:p>
    <w:p w14:paraId="5FF853E4" w14:textId="04EC9B59" w:rsidR="00E1313F" w:rsidRDefault="00E1313F" w:rsidP="00E1313F">
      <w:pPr>
        <w:pStyle w:val="Odstavecseseznamem"/>
        <w:spacing w:after="360"/>
        <w:ind w:left="0"/>
        <w:jc w:val="both"/>
        <w:rPr>
          <w:b/>
        </w:rPr>
      </w:pPr>
      <w:r>
        <w:t xml:space="preserve">Náplní činnosti PS Vzdělávání je </w:t>
      </w:r>
      <w:r>
        <w:rPr>
          <w:b/>
          <w:bCs/>
        </w:rPr>
        <w:t>vytvoření Krajského akčního plánu</w:t>
      </w:r>
      <w:r w:rsidR="00863D80">
        <w:t xml:space="preserve"> (KAP)</w:t>
      </w:r>
      <w:r>
        <w:t>, tj. plánu pro rozvoj středního a vyššího odborného školství ve Středočeském kraji. KAP stanovuje priority a jednotlivé kroky nutné k dosažení cílů vzdělávací politiky v území na základě potřebnosti, naléhavosti, přínosů a podloženosti reálnými daty a analýzami. KAP je zpracováván ve spolupráci s územními partnery a ve spolupráci s odborným garantem KAP.</w:t>
      </w:r>
    </w:p>
    <w:p w14:paraId="6217BAC1" w14:textId="77777777" w:rsidR="006E493B" w:rsidRDefault="006E493B" w:rsidP="00875A1E">
      <w:pPr>
        <w:pStyle w:val="Odstavecseseznamem"/>
        <w:ind w:left="0" w:firstLine="708"/>
        <w:jc w:val="both"/>
      </w:pPr>
    </w:p>
    <w:p w14:paraId="21421294" w14:textId="54D3F2D5" w:rsidR="00875A1E" w:rsidRDefault="00E1313F" w:rsidP="00875A1E">
      <w:pPr>
        <w:pStyle w:val="Odstavecseseznamem"/>
        <w:ind w:left="0" w:firstLine="708"/>
        <w:jc w:val="both"/>
      </w:pPr>
      <w:r>
        <w:t xml:space="preserve">Činnost Pracovní skupiny Vzdělávání je od prosince 2015 realizována v rámci </w:t>
      </w:r>
      <w:r>
        <w:rPr>
          <w:b/>
          <w:bCs/>
        </w:rPr>
        <w:t>projektu Krajský akční plán vzdělávání Středočeského kraje</w:t>
      </w:r>
      <w:r>
        <w:t>, financovaného z Operačního programu Výzkum, vývoj a vzdělávání. </w:t>
      </w:r>
    </w:p>
    <w:p w14:paraId="08956AED" w14:textId="77777777" w:rsidR="00DC64DB" w:rsidRDefault="00DC64DB" w:rsidP="003E1A6F">
      <w:pPr>
        <w:pStyle w:val="Odstavecseseznamem"/>
        <w:ind w:left="0" w:firstLine="708"/>
        <w:jc w:val="both"/>
      </w:pPr>
      <w:r w:rsidRPr="005B59F3">
        <w:t xml:space="preserve">Práce započaté v únoru 2019 na Krajském akčním plánu Vzdělávání II (KAP II), vyústily o rok později schválením dokumentu </w:t>
      </w:r>
      <w:r w:rsidRPr="005B59F3">
        <w:rPr>
          <w:rFonts w:ascii="Calibri" w:hAnsi="Calibri" w:cs="Calibri"/>
          <w:color w:val="000000"/>
        </w:rPr>
        <w:t xml:space="preserve">Návrh řešení </w:t>
      </w:r>
      <w:r w:rsidRPr="005B59F3">
        <w:rPr>
          <w:rFonts w:ascii="Calibri" w:eastAsiaTheme="minorHAnsi" w:hAnsi="Calibri" w:cs="Calibri"/>
          <w:color w:val="000000"/>
          <w:lang w:eastAsia="en-US"/>
        </w:rPr>
        <w:t>Krajského akčního plánu vzdělávání II Středočeského kraje</w:t>
      </w:r>
      <w:r>
        <w:t xml:space="preserve">. </w:t>
      </w:r>
    </w:p>
    <w:p w14:paraId="43D3AB90" w14:textId="603DF5D7" w:rsidR="00DC64DB" w:rsidRDefault="00DC64DB" w:rsidP="003E1A6F">
      <w:pPr>
        <w:pStyle w:val="Odstavecseseznamem"/>
        <w:ind w:left="0" w:firstLine="708"/>
        <w:jc w:val="both"/>
      </w:pPr>
      <w:r>
        <w:t>Pracovní skupina</w:t>
      </w:r>
      <w:r w:rsidR="006732DE">
        <w:t xml:space="preserve"> rovněž </w:t>
      </w:r>
      <w:r>
        <w:t>schválila Školskou inkluzivní koncepci Středočeského kraje 2020-2023.</w:t>
      </w:r>
    </w:p>
    <w:p w14:paraId="27B0B6CE" w14:textId="0AF28617" w:rsidR="00F82E37" w:rsidRDefault="006828DB" w:rsidP="00F82E37">
      <w:pPr>
        <w:pStyle w:val="Odstavecseseznamem"/>
        <w:ind w:left="0" w:firstLine="708"/>
        <w:jc w:val="both"/>
      </w:pPr>
      <w:r>
        <w:t>S ohledem na skutečnost, že pro programové období</w:t>
      </w:r>
      <w:r w:rsidR="006732DE">
        <w:t xml:space="preserve"> kohezní politiky</w:t>
      </w:r>
      <w:r>
        <w:t xml:space="preserve"> 2021-2027 byly kompetence pro výběr projektů v rámci </w:t>
      </w:r>
      <w:r w:rsidR="002C2A0D">
        <w:t>Regionálního akčního plánu (RAP 2021+), jehož financování se předpokládá z </w:t>
      </w:r>
      <w:r>
        <w:t>IROP</w:t>
      </w:r>
      <w:r w:rsidR="002C2A0D">
        <w:t>2</w:t>
      </w:r>
      <w:r>
        <w:t xml:space="preserve"> částečně přeneseny na Kraje, měla pracovní skupina zejména za úkol vytvoření </w:t>
      </w:r>
      <w:r w:rsidR="00DC64DB">
        <w:t xml:space="preserve">a schválení </w:t>
      </w:r>
      <w:r>
        <w:t>Rámců do infrastruktury</w:t>
      </w:r>
      <w:r w:rsidR="00DC64DB">
        <w:t xml:space="preserve">, vytvoření výběrových kritérií pro výběr projektů a dalších souvisejících podkladů. </w:t>
      </w:r>
      <w:r w:rsidR="00F82E37">
        <w:t>Zpracované rámce byly předloženy k projednání Regionální stálé konferenci, která je 22. září 2020 vzala na vědomí.</w:t>
      </w:r>
    </w:p>
    <w:p w14:paraId="6EA00933" w14:textId="124AAA14" w:rsidR="00F82E37" w:rsidRDefault="00F82E37" w:rsidP="00F82E37">
      <w:pPr>
        <w:ind w:firstLine="708"/>
        <w:jc w:val="both"/>
      </w:pPr>
      <w:r>
        <w:t xml:space="preserve">V druhé polovině roku 2020 došlo ke sběru jednotlivých projektových záměrů, ty byly následně shromážděny do </w:t>
      </w:r>
      <w:r w:rsidR="002C2A0D">
        <w:t xml:space="preserve">návrhu přílohy RAP 2021+ </w:t>
      </w:r>
      <w:r w:rsidRPr="002137B2">
        <w:t>Souhrnn</w:t>
      </w:r>
      <w:r>
        <w:t>ého</w:t>
      </w:r>
      <w:r w:rsidRPr="002137B2">
        <w:t xml:space="preserve"> rámc</w:t>
      </w:r>
      <w:r>
        <w:t>e</w:t>
      </w:r>
      <w:r w:rsidRPr="002137B2">
        <w:t xml:space="preserve"> pro investice do infrastruktury a Souhrnn</w:t>
      </w:r>
      <w:r>
        <w:t>ého</w:t>
      </w:r>
      <w:r w:rsidRPr="002137B2">
        <w:t xml:space="preserve"> rámc</w:t>
      </w:r>
      <w:r>
        <w:t>e</w:t>
      </w:r>
      <w:r w:rsidRPr="002137B2">
        <w:t xml:space="preserve"> pro investice do infrastruktury školských poradenských zařízení a vzdělávání ve školách a třídách zřízených dle § 16 odst. 9 školského zákona</w:t>
      </w:r>
      <w:r>
        <w:t xml:space="preserve"> (speciální školství), v listopadu 2020 pak doplněny a následně předloženy pracovní skupině ke schválení. Pracovní skupina rovněž projednávala a </w:t>
      </w:r>
      <w:r w:rsidR="006732DE">
        <w:t>vzala na vědomí kritéria pro výběr projektů v Souhrnném rámci pro investice do infrastruktury.</w:t>
      </w:r>
    </w:p>
    <w:p w14:paraId="259A3898" w14:textId="31C56D0A" w:rsidR="00246087" w:rsidRDefault="00246087" w:rsidP="00F82E37">
      <w:pPr>
        <w:ind w:firstLine="708"/>
        <w:jc w:val="both"/>
      </w:pPr>
      <w:r>
        <w:t xml:space="preserve">Vzhledem k výraznému převisu objemu finančních prostředků plánovaných projektových záměrů nad avizovanou alokací a s ohledem na stále se vyvíjející požadavky a podmínky pro jejich čerpání, lze očekávat i v příštím roce nutnost dalších sběrů a schválení kritérií pro jejich výběr.  </w:t>
      </w:r>
    </w:p>
    <w:p w14:paraId="0BA72E87" w14:textId="77777777" w:rsidR="00F82E37" w:rsidRDefault="00F82E37" w:rsidP="003E1A6F">
      <w:pPr>
        <w:pStyle w:val="Odstavecseseznamem"/>
        <w:ind w:left="0" w:firstLine="708"/>
        <w:jc w:val="both"/>
      </w:pPr>
    </w:p>
    <w:p w14:paraId="5C3C812B" w14:textId="4CAB78D8" w:rsidR="003A45C5" w:rsidRPr="002C2A0D" w:rsidRDefault="00C46FD1" w:rsidP="00D0454C">
      <w:pPr>
        <w:pStyle w:val="Default"/>
        <w:rPr>
          <w:rFonts w:cs="Times New Roman"/>
        </w:rPr>
      </w:pPr>
      <w:r>
        <w:t xml:space="preserve"> </w:t>
      </w:r>
    </w:p>
    <w:p w14:paraId="5CBEF268" w14:textId="23FDF098" w:rsidR="00C46FD1" w:rsidRDefault="00C46FD1" w:rsidP="003E1A6F">
      <w:pPr>
        <w:pStyle w:val="Odstavecseseznamem"/>
        <w:ind w:left="0" w:firstLine="708"/>
        <w:jc w:val="both"/>
      </w:pPr>
    </w:p>
    <w:p w14:paraId="6003CC09" w14:textId="77777777" w:rsidR="00C46FD1" w:rsidRDefault="00C46FD1" w:rsidP="003E1A6F">
      <w:pPr>
        <w:pStyle w:val="Odstavecseseznamem"/>
        <w:ind w:left="0" w:firstLine="708"/>
        <w:jc w:val="both"/>
      </w:pPr>
    </w:p>
    <w:p w14:paraId="7ED76DAF" w14:textId="19A0FCB5" w:rsidR="009B447A" w:rsidRPr="003E1A6F" w:rsidRDefault="009B447A" w:rsidP="009B447A">
      <w:pPr>
        <w:pStyle w:val="Nadpis4"/>
        <w:ind w:left="862" w:hanging="862"/>
      </w:pPr>
      <w:r>
        <w:t xml:space="preserve">Jednání pracovní skupiny v roce </w:t>
      </w:r>
      <w:r w:rsidR="002C5051">
        <w:t>2020</w:t>
      </w:r>
    </w:p>
    <w:p w14:paraId="158B48D6" w14:textId="532A8066" w:rsidR="00D67B4D" w:rsidRPr="00423FD5" w:rsidRDefault="00E1313F" w:rsidP="009B447A">
      <w:pPr>
        <w:pStyle w:val="Odstavecseseznamem"/>
        <w:ind w:left="0"/>
        <w:jc w:val="both"/>
      </w:pPr>
      <w:r w:rsidRPr="00423FD5">
        <w:t>V roce 20</w:t>
      </w:r>
      <w:r w:rsidR="006E493B">
        <w:t>20</w:t>
      </w:r>
      <w:r w:rsidRPr="00423FD5">
        <w:t xml:space="preserve"> </w:t>
      </w:r>
      <w:r w:rsidR="00594EC0" w:rsidRPr="00423FD5">
        <w:t>p</w:t>
      </w:r>
      <w:r w:rsidRPr="00423FD5">
        <w:t>roběhl</w:t>
      </w:r>
      <w:r w:rsidR="002C5051">
        <w:t>o</w:t>
      </w:r>
      <w:r w:rsidRPr="00423FD5">
        <w:t xml:space="preserve"> </w:t>
      </w:r>
      <w:r w:rsidR="002C5051">
        <w:t>jedno</w:t>
      </w:r>
      <w:r w:rsidRPr="00423FD5">
        <w:t xml:space="preserve"> jednání </w:t>
      </w:r>
      <w:r w:rsidR="00594EC0" w:rsidRPr="00423FD5">
        <w:t>pracovní skupiny a</w:t>
      </w:r>
      <w:r w:rsidR="00423FD5">
        <w:t xml:space="preserve"> </w:t>
      </w:r>
      <w:r w:rsidR="002C5051">
        <w:t>čtyři</w:t>
      </w:r>
      <w:r w:rsidR="002C5051" w:rsidRPr="00423FD5">
        <w:t xml:space="preserve"> </w:t>
      </w:r>
      <w:r w:rsidR="00594EC0" w:rsidRPr="00423FD5">
        <w:t>korespondenční hlasování</w:t>
      </w:r>
      <w:r w:rsidR="00235CEA" w:rsidRPr="00423FD5">
        <w:t>.</w:t>
      </w:r>
      <w:r w:rsidR="00D67B4D" w:rsidRPr="00423FD5">
        <w:t xml:space="preserve"> Na jednání</w:t>
      </w:r>
      <w:r w:rsidR="00423FD5">
        <w:t>ch</w:t>
      </w:r>
      <w:r w:rsidR="00D67B4D" w:rsidRPr="00423FD5">
        <w:t xml:space="preserve"> PS byl</w:t>
      </w:r>
      <w:r w:rsidR="00423FD5">
        <w:t xml:space="preserve">o </w:t>
      </w:r>
      <w:r w:rsidR="009804CF">
        <w:t>informováno o aktuálních činnostech v řešených v rámci</w:t>
      </w:r>
      <w:r w:rsidR="00D67B4D" w:rsidRPr="00423FD5">
        <w:t xml:space="preserve"> projektu KAP</w:t>
      </w:r>
      <w:r w:rsidR="00423FD5">
        <w:t xml:space="preserve">, </w:t>
      </w:r>
      <w:r w:rsidR="009804CF">
        <w:t xml:space="preserve">byla diskutována Analýza potřeb škol v rámci území, řešena problematika aktualizace </w:t>
      </w:r>
      <w:r w:rsidR="00D67B4D" w:rsidRPr="00423FD5">
        <w:t>Rámce pro podporu infrastruktury</w:t>
      </w:r>
      <w:r w:rsidR="00A14FFA">
        <w:t>, Analýza potřeb území Středočeského kraje pro potřeby Krajského akčního plánu rozvoje vzdělávání, Evaluace Krajského akčního plánu vzdělávání Středočeského kraje a další.</w:t>
      </w:r>
    </w:p>
    <w:p w14:paraId="71309AF4" w14:textId="79324673" w:rsidR="00863D80" w:rsidRDefault="00D67B4D" w:rsidP="00011EC0">
      <w:pPr>
        <w:pStyle w:val="Odstavecseseznamem"/>
        <w:spacing w:before="120"/>
        <w:ind w:left="0" w:firstLine="708"/>
        <w:jc w:val="both"/>
      </w:pPr>
      <w:r w:rsidRPr="00784ACF">
        <w:t xml:space="preserve">V rámci korespondenčních hlasování došlo ke schválení dvou aktualizací Rámce pro podporu investic, </w:t>
      </w:r>
      <w:r w:rsidR="00784ACF" w:rsidRPr="00784ACF">
        <w:t>Konceptu Školské inkluzivní koncepce Středočeského kraje 2020–2023</w:t>
      </w:r>
      <w:r w:rsidR="00784ACF">
        <w:t xml:space="preserve">, </w:t>
      </w:r>
      <w:r w:rsidR="00784ACF" w:rsidRPr="00784ACF">
        <w:t xml:space="preserve">Prioritizace potřeb na </w:t>
      </w:r>
      <w:r w:rsidR="00784ACF" w:rsidRPr="00784ACF">
        <w:lastRenderedPageBreak/>
        <w:t>území Středočeského kraje</w:t>
      </w:r>
      <w:r w:rsidR="00784ACF">
        <w:t xml:space="preserve"> a aktualizace Rámce pro investice do infrastruktury a pro integrované nástroje CLLD.</w:t>
      </w:r>
    </w:p>
    <w:p w14:paraId="18C58FE8" w14:textId="77777777" w:rsidR="00C46FD1" w:rsidRPr="00011EC0" w:rsidRDefault="00C46FD1" w:rsidP="00011EC0">
      <w:pPr>
        <w:pStyle w:val="Odstavecseseznamem"/>
        <w:spacing w:before="120"/>
        <w:ind w:left="0" w:firstLine="708"/>
        <w:jc w:val="both"/>
      </w:pPr>
    </w:p>
    <w:p w14:paraId="203A636E" w14:textId="77777777" w:rsidR="00073936" w:rsidRDefault="00863D80" w:rsidP="00073936">
      <w:pPr>
        <w:pStyle w:val="Nadpis3"/>
      </w:pPr>
      <w:bookmarkStart w:id="9" w:name="_Toc66188492"/>
      <w:r>
        <w:t>Pracovní skupina Zdravotnictví a sociální věci</w:t>
      </w:r>
      <w:bookmarkEnd w:id="9"/>
    </w:p>
    <w:p w14:paraId="00B01876" w14:textId="1D128635" w:rsidR="00027035" w:rsidRDefault="00027035" w:rsidP="00AC05B1">
      <w:pPr>
        <w:pStyle w:val="Odstavecseseznamem"/>
        <w:spacing w:before="120"/>
        <w:ind w:left="0" w:firstLine="708"/>
        <w:jc w:val="both"/>
      </w:pPr>
      <w:r>
        <w:t xml:space="preserve">Činnost PS Zdravotnictví a sociální věci </w:t>
      </w:r>
      <w:r w:rsidR="000741C0">
        <w:t xml:space="preserve">se sestává především </w:t>
      </w:r>
      <w:r w:rsidR="002C5051">
        <w:t xml:space="preserve">z </w:t>
      </w:r>
      <w:r w:rsidR="000741C0">
        <w:t>diskuzí</w:t>
      </w:r>
      <w:r w:rsidR="006827B2">
        <w:t xml:space="preserve"> </w:t>
      </w:r>
      <w:r w:rsidR="000741C0">
        <w:t>o prioritních problémech na pomezí</w:t>
      </w:r>
      <w:r w:rsidR="006827B2">
        <w:t>, kde se střetává sociální a zdravotní péče</w:t>
      </w:r>
      <w:r w:rsidR="000741C0">
        <w:t>. Upozorňuje na hlavní obtíže a přináší cenné podněty a zpětnou vazbu z praxe.</w:t>
      </w:r>
      <w:r w:rsidR="00A345A9">
        <w:t xml:space="preserve"> PS rovněž shromažďuje podklady pro aktualizaci R</w:t>
      </w:r>
      <w:r w:rsidR="007B40BD">
        <w:t>egionálního akčního p</w:t>
      </w:r>
      <w:r w:rsidR="00BD2AD5">
        <w:t>lánu a mapuje absorpční kapacitu a bílá místa</w:t>
      </w:r>
      <w:r w:rsidR="00073936">
        <w:t xml:space="preserve"> národních dotačních titulů a operačních programů</w:t>
      </w:r>
      <w:r w:rsidR="00BD2AD5">
        <w:t xml:space="preserve">. </w:t>
      </w:r>
      <w:r w:rsidR="007B40BD">
        <w:t xml:space="preserve"> </w:t>
      </w:r>
      <w:r w:rsidR="00073936">
        <w:br/>
        <w:t>V roce 20</w:t>
      </w:r>
      <w:r w:rsidR="002C5051">
        <w:t>20</w:t>
      </w:r>
      <w:r w:rsidR="00073936">
        <w:t xml:space="preserve"> proběhl</w:t>
      </w:r>
      <w:r w:rsidR="00BA253C">
        <w:t>o</w:t>
      </w:r>
      <w:r w:rsidR="00073936">
        <w:t xml:space="preserve"> </w:t>
      </w:r>
      <w:r w:rsidR="002C5051">
        <w:t>jedno</w:t>
      </w:r>
      <w:r w:rsidR="00073936">
        <w:t xml:space="preserve"> jednání pracovní skupiny. </w:t>
      </w:r>
      <w:r w:rsidR="00DC2A90">
        <w:t>Na tomto jednání byly projednávány a schváleny seznamy projektů Regionálního akčního plánu</w:t>
      </w:r>
      <w:r w:rsidR="00BA253C">
        <w:t xml:space="preserve"> 2021+</w:t>
      </w:r>
      <w:r w:rsidR="00DC2A90">
        <w:t>. První seznam projektů se týkal Zdravotnické záchranné služby Středočeského kraje, a to modernizace transportní techniky, modernizace a výstavby výjezdových základen a rozšíření uzlů pro připojení zdravotnických zařízení do systému E-</w:t>
      </w:r>
      <w:proofErr w:type="spellStart"/>
      <w:r w:rsidR="00DC2A90">
        <w:t>Health</w:t>
      </w:r>
      <w:proofErr w:type="spellEnd"/>
      <w:r w:rsidR="00DC2A90">
        <w:t xml:space="preserve">. Další seznam projektů byl z oblasti </w:t>
      </w:r>
      <w:r w:rsidR="004910DD">
        <w:t>sociální, kde jsou p</w:t>
      </w:r>
      <w:r w:rsidR="00DC2A90">
        <w:t>ro</w:t>
      </w:r>
      <w:r w:rsidR="004910DD">
        <w:t>jekty</w:t>
      </w:r>
      <w:r w:rsidR="00DC2A90">
        <w:t xml:space="preserve"> nositeli změny </w:t>
      </w:r>
      <w:r w:rsidR="004910DD">
        <w:t>v oblasti bydlení klientů se zdravotním postižením, které se z </w:t>
      </w:r>
      <w:proofErr w:type="gramStart"/>
      <w:r w:rsidR="004910DD">
        <w:t>nevyhovujících - institucionálních</w:t>
      </w:r>
      <w:proofErr w:type="gramEnd"/>
      <w:r w:rsidR="004910DD">
        <w:t xml:space="preserve"> prostor mění na komunitní.</w:t>
      </w:r>
    </w:p>
    <w:p w14:paraId="49142BAC" w14:textId="77777777" w:rsidR="002A3403" w:rsidRDefault="002A3403" w:rsidP="002A3403">
      <w:pPr>
        <w:spacing w:before="120"/>
        <w:jc w:val="both"/>
      </w:pPr>
    </w:p>
    <w:p w14:paraId="25DC40AD" w14:textId="77777777" w:rsidR="00D07A86" w:rsidRDefault="00D07A86" w:rsidP="0063196C">
      <w:pPr>
        <w:pStyle w:val="Nadpis3"/>
      </w:pPr>
      <w:bookmarkStart w:id="10" w:name="_Toc66188493"/>
      <w:r>
        <w:t>Pracovní skupina Věda a výzkum</w:t>
      </w:r>
      <w:bookmarkEnd w:id="10"/>
    </w:p>
    <w:p w14:paraId="7FAD5204" w14:textId="6AB35AAC" w:rsidR="00863D80" w:rsidRDefault="00863D80" w:rsidP="002A3403">
      <w:pPr>
        <w:jc w:val="both"/>
      </w:pPr>
      <w:r>
        <w:t xml:space="preserve">V roce </w:t>
      </w:r>
      <w:r w:rsidR="00CE12AB">
        <w:t>20</w:t>
      </w:r>
      <w:r w:rsidR="002C5051">
        <w:t>20</w:t>
      </w:r>
      <w:r w:rsidR="00CE12AB">
        <w:t xml:space="preserve"> </w:t>
      </w:r>
      <w:r>
        <w:t xml:space="preserve">byla PS </w:t>
      </w:r>
      <w:r w:rsidR="002D44AF">
        <w:t>Věda a výzkum</w:t>
      </w:r>
      <w:r>
        <w:t xml:space="preserve"> nečinná.</w:t>
      </w:r>
      <w:r w:rsidR="00CE12AB">
        <w:t xml:space="preserve"> Její činnost nahradily aktivity Středočeského inovačního centra</w:t>
      </w:r>
      <w:r w:rsidR="00D3630C">
        <w:t xml:space="preserve"> a Rady pro konkurenceschopnost</w:t>
      </w:r>
      <w:r w:rsidR="002D44AF">
        <w:t xml:space="preserve"> Středočeského kraje.</w:t>
      </w:r>
    </w:p>
    <w:p w14:paraId="65B0DFEC" w14:textId="77777777" w:rsidR="00863D80" w:rsidRDefault="00863D80" w:rsidP="002A3403">
      <w:pPr>
        <w:jc w:val="both"/>
      </w:pPr>
    </w:p>
    <w:p w14:paraId="03600A15" w14:textId="77777777" w:rsidR="00A8055E" w:rsidRPr="00A8055E" w:rsidRDefault="00A8055E" w:rsidP="00233B65">
      <w:pPr>
        <w:pStyle w:val="Nadpis2"/>
        <w:spacing w:before="120" w:after="240"/>
        <w:ind w:left="578" w:hanging="578"/>
      </w:pPr>
      <w:bookmarkStart w:id="11" w:name="_Toc66188494"/>
      <w:r>
        <w:t>Komunikace</w:t>
      </w:r>
      <w:r w:rsidR="00D07A86">
        <w:t xml:space="preserve"> s ŘO</w:t>
      </w:r>
      <w:bookmarkEnd w:id="11"/>
    </w:p>
    <w:p w14:paraId="166F6E98" w14:textId="53073178" w:rsidR="00923103" w:rsidRPr="0053243C" w:rsidRDefault="00923103" w:rsidP="00D07A86">
      <w:pPr>
        <w:pStyle w:val="Odstavecseseznamem"/>
        <w:ind w:left="0"/>
        <w:jc w:val="both"/>
      </w:pPr>
      <w:r w:rsidRPr="0053243C">
        <w:t>Zástupci Středočeského kraje se zúča</w:t>
      </w:r>
      <w:r w:rsidR="00A56811">
        <w:t>s</w:t>
      </w:r>
      <w:r w:rsidRPr="0053243C">
        <w:t xml:space="preserve">tnili v roce </w:t>
      </w:r>
      <w:r w:rsidR="002C5051">
        <w:t xml:space="preserve">2020 </w:t>
      </w:r>
      <w:r w:rsidR="00955868">
        <w:t>všech zasedání Národní stálé konference</w:t>
      </w:r>
      <w:r w:rsidRPr="0053243C">
        <w:t>.</w:t>
      </w:r>
      <w:r w:rsidR="004D4DD5">
        <w:t xml:space="preserve"> </w:t>
      </w:r>
      <w:r w:rsidR="00437655">
        <w:t>I</w:t>
      </w:r>
      <w:r w:rsidR="004D4DD5">
        <w:t xml:space="preserve">nformace z NSK </w:t>
      </w:r>
      <w:r w:rsidR="00437655">
        <w:t xml:space="preserve">byly následně </w:t>
      </w:r>
      <w:r w:rsidR="004D4DD5">
        <w:t>dále ší</w:t>
      </w:r>
      <w:r w:rsidR="00437655">
        <w:t>ř</w:t>
      </w:r>
      <w:r w:rsidR="004D4DD5">
        <w:t xml:space="preserve">eny v rámci </w:t>
      </w:r>
      <w:r w:rsidR="00437655">
        <w:t xml:space="preserve">RSK </w:t>
      </w:r>
      <w:r w:rsidR="004D4DD5">
        <w:t>Středočeského kraje</w:t>
      </w:r>
      <w:r w:rsidR="00437655">
        <w:t>, pracovníkům relevantních odborů, členům Výboru pro hospodářský a regionální rozvoj, vědu a výzkum</w:t>
      </w:r>
      <w:r w:rsidR="0069052B">
        <w:t>, krajské PS Strategie, zaměřené na přípravu nového plánovacího obdob</w:t>
      </w:r>
      <w:r w:rsidR="00D3630C">
        <w:t>í</w:t>
      </w:r>
      <w:r w:rsidR="0069052B">
        <w:t xml:space="preserve"> 2021+</w:t>
      </w:r>
      <w:r w:rsidR="00437655">
        <w:t xml:space="preserve"> apod.</w:t>
      </w:r>
    </w:p>
    <w:p w14:paraId="4BF28214" w14:textId="116A5D1C" w:rsidR="00A74B33" w:rsidRPr="0053243C" w:rsidRDefault="00A74B33" w:rsidP="00863D80">
      <w:pPr>
        <w:pStyle w:val="Odstavecseseznamem"/>
        <w:ind w:left="0" w:firstLine="708"/>
        <w:jc w:val="both"/>
      </w:pPr>
    </w:p>
    <w:p w14:paraId="1F39A42A" w14:textId="77777777" w:rsidR="001C464D" w:rsidRDefault="001C464D" w:rsidP="00E57D1A"/>
    <w:p w14:paraId="015BAD56" w14:textId="77777777" w:rsidR="001C464D" w:rsidRDefault="003F7968" w:rsidP="00233B65">
      <w:pPr>
        <w:pStyle w:val="Nadpis2"/>
        <w:spacing w:before="120" w:after="240"/>
        <w:ind w:left="578" w:hanging="578"/>
      </w:pPr>
      <w:bookmarkStart w:id="12" w:name="_Toc66188495"/>
      <w:r>
        <w:t>Komunikace s MMR</w:t>
      </w:r>
      <w:bookmarkEnd w:id="12"/>
    </w:p>
    <w:p w14:paraId="35157A0F" w14:textId="59CFAD4D" w:rsidR="003F7968" w:rsidRDefault="006D36C4" w:rsidP="00863D80">
      <w:pPr>
        <w:jc w:val="both"/>
      </w:pPr>
      <w:r w:rsidRPr="006D36C4">
        <w:t xml:space="preserve">Komunikace s Ministerstvem pro místní rozvoj probíhala pružně, především na pravidelných setkáních sekretariátů RSK, která byla dobře organizována (regionálně doplněna i zajímavým programem </w:t>
      </w:r>
      <w:r w:rsidR="00D3630C">
        <w:t>umožňující výměnu zkušeností mezi pracovníky RSK jednotlivých krajů</w:t>
      </w:r>
      <w:r w:rsidRPr="006D36C4">
        <w:t xml:space="preserve">). Sekretariátům RSK bylo vždy umožněno </w:t>
      </w:r>
      <w:r w:rsidR="00D3630C">
        <w:t>navrhovat nová</w:t>
      </w:r>
      <w:r w:rsidRPr="006D36C4">
        <w:t xml:space="preserve"> témata </w:t>
      </w:r>
      <w:r w:rsidR="00D3630C">
        <w:t>na</w:t>
      </w:r>
      <w:r w:rsidRPr="006D36C4">
        <w:t xml:space="preserve"> program setkání.</w:t>
      </w:r>
      <w:r w:rsidR="0083539D">
        <w:t xml:space="preserve"> </w:t>
      </w:r>
      <w:r w:rsidR="00D3630C">
        <w:t xml:space="preserve">Oceňovaná je </w:t>
      </w:r>
      <w:r w:rsidR="0083539D">
        <w:t>i komunikace s pracovníky MMR Odboru regionální politiky, kteří vždy ochotně poskytovali sekretariátu konzultace</w:t>
      </w:r>
      <w:r w:rsidR="00D3630C">
        <w:t>,</w:t>
      </w:r>
      <w:r w:rsidR="0083539D">
        <w:t xml:space="preserve"> zejména v době fluktuace pracovníků sekretariátu.</w:t>
      </w:r>
      <w:r w:rsidR="00E84491">
        <w:t xml:space="preserve"> V roce 2020 probíhala jednání převážně on-line formou. I přes objektivně vynucenou potřebu dálkového způsobu komunikace se tato forma komunikace osvědčila zejména s ohledem na účast členů sekretariátů ze všech krajů ČR a šetření jejich časových a finančních nákladů. </w:t>
      </w:r>
    </w:p>
    <w:p w14:paraId="20217EC3" w14:textId="5601AE45" w:rsidR="00A31239" w:rsidRDefault="00FE41F7" w:rsidP="00863D80">
      <w:pPr>
        <w:jc w:val="both"/>
      </w:pPr>
      <w:r>
        <w:lastRenderedPageBreak/>
        <w:t xml:space="preserve">V roce </w:t>
      </w:r>
      <w:r w:rsidR="002C5051">
        <w:t xml:space="preserve">2020 </w:t>
      </w:r>
      <w:r>
        <w:t>probíhal</w:t>
      </w:r>
      <w:r w:rsidR="00D3630C">
        <w:t>a</w:t>
      </w:r>
      <w:r>
        <w:t xml:space="preserve"> setkání sekretariátů každý měsíc</w:t>
      </w:r>
      <w:r w:rsidR="00D3630C">
        <w:t>.</w:t>
      </w:r>
      <w:r w:rsidR="00E84491">
        <w:t xml:space="preserve"> Společných jednání se častěji účastnili zástupci dalších ministerstev dle projednávané tématiky</w:t>
      </w:r>
      <w:r w:rsidR="00A31239">
        <w:t>, jako vhodné se ukázalo i občasné společné jednání s PS Regionální při MMR. Mezi nejdůležitější projednávaná témata patřila např.:</w:t>
      </w:r>
    </w:p>
    <w:p w14:paraId="63B42BC0" w14:textId="77777777" w:rsidR="00A31239" w:rsidRDefault="00A31239" w:rsidP="00D0454C">
      <w:pPr>
        <w:pStyle w:val="Odstavecseseznamem"/>
        <w:numPr>
          <w:ilvl w:val="0"/>
          <w:numId w:val="8"/>
        </w:numPr>
        <w:jc w:val="both"/>
      </w:pPr>
      <w:r>
        <w:t>Koncepce rozvoje venkova</w:t>
      </w:r>
    </w:p>
    <w:p w14:paraId="3F5B0987" w14:textId="77777777" w:rsidR="00A31239" w:rsidRDefault="00A31239" w:rsidP="00D0454C">
      <w:pPr>
        <w:pStyle w:val="Odstavecseseznamem"/>
        <w:numPr>
          <w:ilvl w:val="0"/>
          <w:numId w:val="8"/>
        </w:numPr>
        <w:jc w:val="both"/>
      </w:pPr>
      <w:r>
        <w:t>Akční plán Strategie rozvoje ČR 21+</w:t>
      </w:r>
    </w:p>
    <w:p w14:paraId="07FCBF4A" w14:textId="79C0AA91" w:rsidR="00A31239" w:rsidRDefault="00A31239" w:rsidP="00D0454C">
      <w:pPr>
        <w:pStyle w:val="Odstavecseseznamem"/>
        <w:numPr>
          <w:ilvl w:val="0"/>
          <w:numId w:val="8"/>
        </w:numPr>
        <w:jc w:val="both"/>
      </w:pPr>
      <w:r>
        <w:t>Informace o aktivitách MMR v souvislosti s COVID-19</w:t>
      </w:r>
    </w:p>
    <w:p w14:paraId="2570F701" w14:textId="21113E3D" w:rsidR="00A31239" w:rsidRDefault="00A31239" w:rsidP="00D0454C">
      <w:pPr>
        <w:pStyle w:val="Odstavecseseznamem"/>
        <w:numPr>
          <w:ilvl w:val="0"/>
          <w:numId w:val="8"/>
        </w:numPr>
        <w:jc w:val="both"/>
      </w:pPr>
      <w:r>
        <w:t>Informování o přípravě a zapojení do testování Informačního systému projektových záměrů (ISPZ)</w:t>
      </w:r>
    </w:p>
    <w:p w14:paraId="3533D8CF" w14:textId="79160BAD" w:rsidR="00A31239" w:rsidRDefault="00A31239" w:rsidP="00D0454C">
      <w:pPr>
        <w:pStyle w:val="Odstavecseseznamem"/>
        <w:numPr>
          <w:ilvl w:val="0"/>
          <w:numId w:val="8"/>
        </w:numPr>
        <w:jc w:val="both"/>
      </w:pPr>
      <w:r>
        <w:t>Aktualizace Implementačního plánu ČR 2030</w:t>
      </w:r>
    </w:p>
    <w:p w14:paraId="271F5BEB" w14:textId="4CE85F3B" w:rsidR="00A31239" w:rsidRDefault="00A31239" w:rsidP="00D0454C">
      <w:pPr>
        <w:pStyle w:val="Odstavecseseznamem"/>
        <w:numPr>
          <w:ilvl w:val="0"/>
          <w:numId w:val="8"/>
        </w:numPr>
        <w:jc w:val="both"/>
      </w:pPr>
      <w:r>
        <w:t>Hospodářsky a sociálně ohrožená území</w:t>
      </w:r>
    </w:p>
    <w:p w14:paraId="5DCAECB9" w14:textId="209D5049" w:rsidR="00A31239" w:rsidRDefault="00A31239" w:rsidP="00D0454C">
      <w:pPr>
        <w:pStyle w:val="Odstavecseseznamem"/>
        <w:numPr>
          <w:ilvl w:val="0"/>
          <w:numId w:val="8"/>
        </w:numPr>
        <w:jc w:val="both"/>
      </w:pPr>
      <w:r>
        <w:t xml:space="preserve">Aktivity </w:t>
      </w:r>
      <w:proofErr w:type="spellStart"/>
      <w:r>
        <w:t>Czechinvestu</w:t>
      </w:r>
      <w:proofErr w:type="spellEnd"/>
      <w:r>
        <w:t xml:space="preserve"> na podporu podnikatelského prostředí v obcích</w:t>
      </w:r>
    </w:p>
    <w:p w14:paraId="3F7A1B71" w14:textId="77777777" w:rsidR="00A31239" w:rsidRDefault="00A31239" w:rsidP="00D0454C">
      <w:pPr>
        <w:pStyle w:val="Odstavecseseznamem"/>
        <w:numPr>
          <w:ilvl w:val="0"/>
          <w:numId w:val="8"/>
        </w:numPr>
        <w:jc w:val="both"/>
      </w:pPr>
      <w:r>
        <w:t>Činnost RSK po roce 2021</w:t>
      </w:r>
    </w:p>
    <w:p w14:paraId="4C73E564" w14:textId="77777777" w:rsidR="00A31239" w:rsidRDefault="00A31239" w:rsidP="00D0454C">
      <w:pPr>
        <w:pStyle w:val="Odstavecseseznamem"/>
        <w:numPr>
          <w:ilvl w:val="0"/>
          <w:numId w:val="8"/>
        </w:numPr>
        <w:jc w:val="both"/>
      </w:pPr>
      <w:r>
        <w:t>Národní plán obnovy</w:t>
      </w:r>
    </w:p>
    <w:p w14:paraId="6B06928B" w14:textId="268D06D9" w:rsidR="00FE41F7" w:rsidRDefault="0007571C" w:rsidP="0007571C">
      <w:pPr>
        <w:jc w:val="both"/>
      </w:pPr>
      <w:r>
        <w:t>Podstatná část jednání byla věnována přípravě Regionálních akčních plánů 2021+, za účasti zástupců příslušných řídících orgánů IROP 2 a OP JAK.</w:t>
      </w:r>
    </w:p>
    <w:p w14:paraId="13F865AC" w14:textId="77777777" w:rsidR="003F7968" w:rsidRDefault="003F7968" w:rsidP="00233B65">
      <w:pPr>
        <w:pStyle w:val="Nadpis2"/>
        <w:spacing w:before="120" w:after="240"/>
        <w:ind w:left="578" w:hanging="578"/>
      </w:pPr>
      <w:bookmarkStart w:id="13" w:name="_Toc66188496"/>
      <w:r>
        <w:t>Komunikace s územím</w:t>
      </w:r>
      <w:bookmarkEnd w:id="13"/>
    </w:p>
    <w:p w14:paraId="1662848E" w14:textId="77777777" w:rsidR="00863D80" w:rsidRDefault="006D36C4" w:rsidP="00863D80">
      <w:pPr>
        <w:jc w:val="both"/>
      </w:pPr>
      <w:r w:rsidRPr="006D36C4">
        <w:t xml:space="preserve">S územím bylo komunikováno především prostřednictvím </w:t>
      </w:r>
      <w:r w:rsidR="00863D80">
        <w:t xml:space="preserve">Dotačního </w:t>
      </w:r>
      <w:r w:rsidRPr="006D36C4">
        <w:t>portálu RSK a e-mailovou komunikací s informačními e-maily.</w:t>
      </w:r>
      <w:r w:rsidR="00607103">
        <w:t xml:space="preserve"> </w:t>
      </w:r>
    </w:p>
    <w:p w14:paraId="6C99CA6A" w14:textId="5E4A1FBD" w:rsidR="00054B85" w:rsidRDefault="00054B85" w:rsidP="00D0454C">
      <w:pPr>
        <w:pStyle w:val="Nadpis2"/>
        <w:spacing w:before="120" w:after="240"/>
        <w:ind w:left="578" w:hanging="578"/>
      </w:pPr>
      <w:bookmarkStart w:id="14" w:name="_Toc66188497"/>
      <w:r>
        <w:t>Mapování kapacit mateřských a základních škol na území kraje</w:t>
      </w:r>
      <w:bookmarkEnd w:id="14"/>
    </w:p>
    <w:p w14:paraId="461FE546" w14:textId="08A9C20F" w:rsidR="00054B85" w:rsidRDefault="00F75E45" w:rsidP="00F75E45">
      <w:pPr>
        <w:jc w:val="both"/>
      </w:pPr>
      <w:r>
        <w:t xml:space="preserve">Mapování kapacit MŠ a ZŠ a absorpční kapacity v této oblasti na území Středočeského kraje bylo iniciováno přípravou Strategie ITI Pražské metropolitní oblasti v září 2019. Vzhledem k identifikaci závažnosti tohoto problému zejména na území </w:t>
      </w:r>
      <w:proofErr w:type="spellStart"/>
      <w:r>
        <w:t>suburbánního</w:t>
      </w:r>
      <w:proofErr w:type="spellEnd"/>
      <w:r>
        <w:t xml:space="preserve"> prstence hl. m. </w:t>
      </w:r>
      <w:proofErr w:type="gramStart"/>
      <w:r>
        <w:t>Prahy  bylo</w:t>
      </w:r>
      <w:proofErr w:type="gramEnd"/>
      <w:r>
        <w:t xml:space="preserve"> přistoupeno k detailnímu zmapování tohoto problému. Jako cílová oblast bylo vymezeno území pěti ORP (</w:t>
      </w:r>
      <w:r w:rsidRPr="00F75E45">
        <w:t>Černošice, Říčany, Beroun, Český Brod a Brandýs n.</w:t>
      </w:r>
      <w:r w:rsidR="00127A86">
        <w:t xml:space="preserve"> </w:t>
      </w:r>
      <w:r w:rsidRPr="00F75E45">
        <w:t>L</w:t>
      </w:r>
      <w:r w:rsidR="00127A86">
        <w:t>abem</w:t>
      </w:r>
      <w:r w:rsidRPr="00F75E45">
        <w:t xml:space="preserve"> – Stará Boleslav</w:t>
      </w:r>
      <w:r w:rsidR="00A50DF2">
        <w:t>), které</w:t>
      </w:r>
      <w:r>
        <w:t xml:space="preserve"> byly na základě analýzy MŠMT identifikovány jako nejrizikovější.</w:t>
      </w:r>
      <w:r w:rsidRPr="00F75E45">
        <w:t xml:space="preserve"> </w:t>
      </w:r>
      <w:r>
        <w:t xml:space="preserve">Mapování probíhalo ve spolupráci s MŠMT a zástupci </w:t>
      </w:r>
      <w:r w:rsidR="00166DB2">
        <w:t>příslušných Místních akčních plánů. Cílem mapování bylo:</w:t>
      </w:r>
    </w:p>
    <w:p w14:paraId="08486E4B" w14:textId="77777777" w:rsidR="000976A9" w:rsidRPr="00166DB2" w:rsidRDefault="007D4720" w:rsidP="00D0454C">
      <w:pPr>
        <w:numPr>
          <w:ilvl w:val="0"/>
          <w:numId w:val="16"/>
        </w:numPr>
        <w:jc w:val="both"/>
      </w:pPr>
      <w:r w:rsidRPr="00166DB2">
        <w:t xml:space="preserve">Zmapovat vývoj kapacit MŠ a ZŠ v čase (prognóza do roku 2030) a nastavit systematické sledování. </w:t>
      </w:r>
    </w:p>
    <w:p w14:paraId="5DBBE140" w14:textId="77777777" w:rsidR="000976A9" w:rsidRPr="00166DB2" w:rsidRDefault="007D4720" w:rsidP="00D0454C">
      <w:pPr>
        <w:numPr>
          <w:ilvl w:val="0"/>
          <w:numId w:val="16"/>
        </w:numPr>
        <w:jc w:val="both"/>
      </w:pPr>
      <w:r w:rsidRPr="00166DB2">
        <w:t>Zmapovat vývoj počtu žáků MŠ a ZŠ v čase (prognóza do roku 2030) a nastavit systematické sledování.</w:t>
      </w:r>
    </w:p>
    <w:p w14:paraId="0BBD4253" w14:textId="77777777" w:rsidR="000976A9" w:rsidRPr="00166DB2" w:rsidRDefault="007D4720" w:rsidP="00D0454C">
      <w:pPr>
        <w:numPr>
          <w:ilvl w:val="0"/>
          <w:numId w:val="16"/>
        </w:numPr>
        <w:jc w:val="both"/>
      </w:pPr>
      <w:r w:rsidRPr="00166DB2">
        <w:t>Identifikovat existující projekty na zvyšování kapacit škol a zajistit jejich financování</w:t>
      </w:r>
    </w:p>
    <w:p w14:paraId="76A6171B" w14:textId="77777777" w:rsidR="000976A9" w:rsidRPr="00166DB2" w:rsidRDefault="007D4720" w:rsidP="00D0454C">
      <w:pPr>
        <w:numPr>
          <w:ilvl w:val="0"/>
          <w:numId w:val="16"/>
        </w:numPr>
        <w:jc w:val="both"/>
      </w:pPr>
      <w:r w:rsidRPr="00166DB2">
        <w:t>Identifikovat místa kde projekty nevznikají včas a zajistit jejich přípravu a financování</w:t>
      </w:r>
    </w:p>
    <w:p w14:paraId="5CD16669" w14:textId="77777777" w:rsidR="000976A9" w:rsidRPr="00166DB2" w:rsidRDefault="007D4720" w:rsidP="00D0454C">
      <w:pPr>
        <w:numPr>
          <w:ilvl w:val="0"/>
          <w:numId w:val="16"/>
        </w:numPr>
        <w:jc w:val="both"/>
      </w:pPr>
      <w:r w:rsidRPr="00166DB2">
        <w:t>Vytvořit model financování se zapojením svazkových obcí nebo obcí společného školského obvodu a tím přispět k narovnání finančních vztahů mezi obcemi, které staví spádové školy, a obcemi, které jejich kapacity využívají</w:t>
      </w:r>
    </w:p>
    <w:p w14:paraId="4F65E116" w14:textId="2EE46993" w:rsidR="00166DB2" w:rsidRPr="00054B85" w:rsidRDefault="00166DB2" w:rsidP="00F75E45">
      <w:pPr>
        <w:jc w:val="both"/>
      </w:pPr>
      <w:r>
        <w:t xml:space="preserve">V rámci pilotního šetření obcí DSO Jihozápad byla nastavena metodika a následně v období 7-10/2020 proběhl sběr dat ve vymezené oblasti. Z celkového počtu 262 obcí bylo dosaženo 76% návratnosti dotazníků, zbývající data byla dopracována z veřejně dostupných zdrojů. V souvislosti s mapováním Středočeský kraj v srpnu 2020 vyhlásil dotační podporu na přípravu projektů rozšiřujících kapacitu MŠ </w:t>
      </w:r>
      <w:r>
        <w:lastRenderedPageBreak/>
        <w:t xml:space="preserve">a ZŠ. Výstupy mapování byly zpracovány na úrovni obvodu obcí s rozšířenou působností (ORP) a obcí s pověřeným obecním úřadem. Zohledněny byly i kapacity církevních a soukromých škol. </w:t>
      </w:r>
      <w:r w:rsidR="00406297">
        <w:t xml:space="preserve">Dílčím výstupem bylo mapování investičních projektů. Na základě mapování byla </w:t>
      </w:r>
      <w:r w:rsidR="00406297" w:rsidRPr="00406297">
        <w:t xml:space="preserve">identifikována potřeba výstavby celkem 14 nových ZŠ, 2x9 (1x ORP Beroun, 5x ORP Brandýs </w:t>
      </w:r>
      <w:proofErr w:type="spellStart"/>
      <w:r w:rsidR="00406297" w:rsidRPr="00406297">
        <w:t>n.L.</w:t>
      </w:r>
      <w:proofErr w:type="spellEnd"/>
      <w:r w:rsidR="00406297" w:rsidRPr="00406297">
        <w:t>, 4x ORP Černošice, 1x ORP Č. Brod, 3x ORP Říčany)</w:t>
      </w:r>
      <w:r w:rsidR="00406297">
        <w:t xml:space="preserve"> s odhadovanými náklady 5,7 mld. Kč. Variantní výstup uvažující reálnější využití rejstříkové kapacity škol ve výši 93 % potom představuje potřebu výstavby 16 nových ZŠ s náklady 6,5 mld. Kč. Součástí výstupu je rovněž návrh modelu financování nových kapacit škol.</w:t>
      </w:r>
      <w:r>
        <w:t xml:space="preserve"> </w:t>
      </w:r>
    </w:p>
    <w:p w14:paraId="3B613CC2" w14:textId="3388AF57" w:rsidR="001C464D" w:rsidRDefault="007F1AAD" w:rsidP="00D0454C">
      <w:pPr>
        <w:pStyle w:val="Nadpis2"/>
        <w:spacing w:before="120" w:after="240"/>
        <w:ind w:left="578" w:hanging="578"/>
      </w:pPr>
      <w:bookmarkStart w:id="15" w:name="_Toc66188498"/>
      <w:r>
        <w:t>Semináře</w:t>
      </w:r>
      <w:bookmarkEnd w:id="15"/>
    </w:p>
    <w:p w14:paraId="7034C579" w14:textId="183F0DEA" w:rsidR="007F1AAD" w:rsidRDefault="007F1AAD" w:rsidP="00D0454C">
      <w:r>
        <w:t>Pořádání seminářů a workshopů bylo v roce 2020 patrně nejvíce postiženo pandemickou situací v tomto roce, která neumožnovala pořádání těchto akcí prezenční formou. Přesto se podařilo alespoň on-line formou zrealizovat několik akcí:</w:t>
      </w:r>
    </w:p>
    <w:p w14:paraId="0BF02EC6" w14:textId="4D5E5D94" w:rsidR="007F1AAD" w:rsidRDefault="007F1AAD" w:rsidP="00D0454C">
      <w:pPr>
        <w:pStyle w:val="Odstavecseseznamem"/>
        <w:numPr>
          <w:ilvl w:val="0"/>
          <w:numId w:val="8"/>
        </w:numPr>
      </w:pPr>
      <w:r>
        <w:t>Webináře v rámci mapování kapacit MŠ a ZŠ (</w:t>
      </w:r>
      <w:proofErr w:type="gramStart"/>
      <w:r>
        <w:t>červenec- srpen</w:t>
      </w:r>
      <w:proofErr w:type="gramEnd"/>
      <w:r>
        <w:t>)</w:t>
      </w:r>
    </w:p>
    <w:p w14:paraId="16821A00" w14:textId="7FF6FA5E" w:rsidR="007F1AAD" w:rsidRDefault="007F1AAD" w:rsidP="00D0454C">
      <w:pPr>
        <w:pStyle w:val="Odstavecseseznamem"/>
        <w:numPr>
          <w:ilvl w:val="0"/>
          <w:numId w:val="8"/>
        </w:numPr>
      </w:pPr>
      <w:r>
        <w:t xml:space="preserve">Webinář pro potenciální žadatele </w:t>
      </w:r>
      <w:r w:rsidRPr="00D0454C">
        <w:t>Programu Smart akceler</w:t>
      </w:r>
      <w:r w:rsidRPr="00D0454C">
        <w:rPr>
          <w:rFonts w:hint="eastAsia"/>
        </w:rPr>
        <w:t>á</w:t>
      </w:r>
      <w:r w:rsidRPr="00D0454C">
        <w:t xml:space="preserve">tor II </w:t>
      </w:r>
      <w:r w:rsidRPr="00D0454C">
        <w:rPr>
          <w:rFonts w:hint="eastAsia"/>
        </w:rPr>
        <w:t>–</w:t>
      </w:r>
      <w:r w:rsidRPr="00D0454C">
        <w:t xml:space="preserve"> Asistence pro poskytov</w:t>
      </w:r>
      <w:r w:rsidRPr="00D0454C">
        <w:rPr>
          <w:rFonts w:hint="eastAsia"/>
        </w:rPr>
        <w:t>á</w:t>
      </w:r>
      <w:r w:rsidRPr="00D0454C">
        <w:t>n</w:t>
      </w:r>
      <w:r w:rsidRPr="00D0454C">
        <w:rPr>
          <w:rFonts w:hint="eastAsia"/>
        </w:rPr>
        <w:t>í</w:t>
      </w:r>
      <w:r w:rsidRPr="00D0454C">
        <w:t xml:space="preserve"> dotac</w:t>
      </w:r>
      <w:r w:rsidRPr="00D0454C">
        <w:rPr>
          <w:rFonts w:hint="eastAsia"/>
        </w:rPr>
        <w:t>í</w:t>
      </w:r>
      <w:r w:rsidRPr="00D0454C">
        <w:t xml:space="preserve"> z rozpo</w:t>
      </w:r>
      <w:r w:rsidRPr="00D0454C">
        <w:rPr>
          <w:rFonts w:hint="eastAsia"/>
        </w:rPr>
        <w:t>č</w:t>
      </w:r>
      <w:r w:rsidRPr="00D0454C">
        <w:t>tu St</w:t>
      </w:r>
      <w:r w:rsidRPr="00D0454C">
        <w:rPr>
          <w:rFonts w:hint="eastAsia"/>
        </w:rPr>
        <w:t>ř</w:t>
      </w:r>
      <w:r w:rsidRPr="00D0454C">
        <w:t>edo</w:t>
      </w:r>
      <w:r w:rsidRPr="00D0454C">
        <w:rPr>
          <w:rFonts w:hint="eastAsia"/>
        </w:rPr>
        <w:t>č</w:t>
      </w:r>
      <w:r w:rsidRPr="00D0454C">
        <w:t>esk</w:t>
      </w:r>
      <w:r w:rsidRPr="00D0454C">
        <w:rPr>
          <w:rFonts w:hint="eastAsia"/>
        </w:rPr>
        <w:t>é</w:t>
      </w:r>
      <w:r w:rsidRPr="00D0454C">
        <w:t>ho kraje na podporu inova</w:t>
      </w:r>
      <w:r w:rsidRPr="00D0454C">
        <w:rPr>
          <w:rFonts w:hint="eastAsia"/>
        </w:rPr>
        <w:t>č</w:t>
      </w:r>
      <w:r w:rsidRPr="00D0454C">
        <w:t>n</w:t>
      </w:r>
      <w:r w:rsidRPr="00D0454C">
        <w:rPr>
          <w:rFonts w:hint="eastAsia"/>
        </w:rPr>
        <w:t>í</w:t>
      </w:r>
      <w:r w:rsidRPr="00D0454C">
        <w:t>ho prost</w:t>
      </w:r>
      <w:r w:rsidRPr="00D0454C">
        <w:rPr>
          <w:rFonts w:hint="eastAsia"/>
        </w:rPr>
        <w:t>ř</w:t>
      </w:r>
      <w:r w:rsidRPr="00D0454C">
        <w:t>ed</w:t>
      </w:r>
      <w:r w:rsidRPr="00D0454C">
        <w:rPr>
          <w:rFonts w:hint="eastAsia"/>
        </w:rPr>
        <w:t>í</w:t>
      </w:r>
      <w:r w:rsidRPr="00D0454C">
        <w:t xml:space="preserve"> ve St</w:t>
      </w:r>
      <w:r w:rsidRPr="00D0454C">
        <w:rPr>
          <w:rFonts w:hint="eastAsia"/>
        </w:rPr>
        <w:t>ř</w:t>
      </w:r>
      <w:r w:rsidRPr="00D0454C">
        <w:t>edo</w:t>
      </w:r>
      <w:r w:rsidRPr="00D0454C">
        <w:rPr>
          <w:rFonts w:hint="eastAsia"/>
        </w:rPr>
        <w:t>č</w:t>
      </w:r>
      <w:r w:rsidRPr="00D0454C">
        <w:t>esk</w:t>
      </w:r>
      <w:r w:rsidRPr="00D0454C">
        <w:rPr>
          <w:rFonts w:hint="eastAsia"/>
        </w:rPr>
        <w:t>é</w:t>
      </w:r>
      <w:r w:rsidRPr="00D0454C">
        <w:t>m kraji. (3. 11. 2020)</w:t>
      </w:r>
    </w:p>
    <w:p w14:paraId="3838D866" w14:textId="77D28E87" w:rsidR="007F1AAD" w:rsidRPr="00D0454C" w:rsidRDefault="007F1AAD" w:rsidP="00D0454C">
      <w:pPr>
        <w:pStyle w:val="Odstavecseseznamem"/>
        <w:numPr>
          <w:ilvl w:val="0"/>
          <w:numId w:val="8"/>
        </w:numPr>
      </w:pPr>
      <w:r>
        <w:t>Webinář Chytrý venkov (19.11.2020)</w:t>
      </w:r>
    </w:p>
    <w:p w14:paraId="1C64A254" w14:textId="77777777" w:rsidR="00E57D1A" w:rsidRDefault="00E57D1A" w:rsidP="00233B65">
      <w:pPr>
        <w:pStyle w:val="Nadpis1"/>
        <w:spacing w:after="240"/>
        <w:ind w:left="431" w:hanging="431"/>
      </w:pPr>
      <w:bookmarkStart w:id="16" w:name="_Toc66188499"/>
      <w:r>
        <w:t>Dobrá praxe</w:t>
      </w:r>
      <w:bookmarkEnd w:id="16"/>
    </w:p>
    <w:p w14:paraId="5BB42304" w14:textId="21A321A0" w:rsidR="00E57D1A" w:rsidRDefault="003F7968" w:rsidP="00233B65">
      <w:pPr>
        <w:spacing w:after="120"/>
        <w:jc w:val="both"/>
      </w:pPr>
      <w:r w:rsidRPr="003F7968">
        <w:t>Dle názoru sekretariátu RSK spočívá dobrá praxe středočeské RSK především v kvalitě a využívání Dotačního portálu RSK, který je hlavním informačním a propagačním nástrojem. Přínosná pro tvorbu strategických dokumentů je i jeho provázanosti s</w:t>
      </w:r>
      <w:r w:rsidR="00437655">
        <w:t> </w:t>
      </w:r>
      <w:r w:rsidRPr="003F7968">
        <w:t>webem</w:t>
      </w:r>
      <w:r w:rsidR="00437655">
        <w:t xml:space="preserve"> středočeského</w:t>
      </w:r>
      <w:r w:rsidRPr="003F7968">
        <w:t xml:space="preserve"> KAP.</w:t>
      </w:r>
    </w:p>
    <w:p w14:paraId="62926A67" w14:textId="2295AAED" w:rsidR="0063196C" w:rsidRDefault="005C501D" w:rsidP="00CD0C1D">
      <w:pPr>
        <w:spacing w:after="120"/>
        <w:ind w:firstLine="432"/>
        <w:jc w:val="both"/>
      </w:pPr>
      <w:r>
        <w:t xml:space="preserve">V roce </w:t>
      </w:r>
      <w:r w:rsidR="002C5051">
        <w:t xml:space="preserve">2020 </w:t>
      </w:r>
      <w:r>
        <w:t>nadále probíhala dobrá spolupráce s nositelem ITI Pražská metropolitní oblast – Institutem plánování a rozvoje hl. m. Prahy, díky které byli potenciální žadatelé v území kvalitně informováni i prostřednictvím Dotačního portálu RSK.</w:t>
      </w:r>
      <w:r w:rsidR="00C55A5A">
        <w:t xml:space="preserve"> Vedoucí sekretariátu RSK byl pravidelně zván k účasti na jednáních Výboru pro hospodářský a regionální rozvoj, vědu a výzkum (poradní orgán Zastupitelstva kraje), kde informoval o činnosti RSK.</w:t>
      </w:r>
    </w:p>
    <w:p w14:paraId="58912A1E" w14:textId="77777777" w:rsidR="00C97699" w:rsidRDefault="00C97699" w:rsidP="00D07A86">
      <w:pPr>
        <w:pStyle w:val="Nadpis1"/>
        <w:spacing w:after="240"/>
      </w:pPr>
      <w:bookmarkStart w:id="17" w:name="_Toc66188500"/>
      <w:r>
        <w:t>Rizika činnosti RSK a naplňování rolí RSK</w:t>
      </w:r>
      <w:bookmarkEnd w:id="17"/>
      <w:r>
        <w:t xml:space="preserve"> </w:t>
      </w: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2860"/>
        <w:gridCol w:w="1135"/>
        <w:gridCol w:w="993"/>
        <w:gridCol w:w="1418"/>
      </w:tblGrid>
      <w:tr w:rsidR="00D07A86" w14:paraId="50489286" w14:textId="77777777" w:rsidTr="00594EC0">
        <w:trPr>
          <w:trHeight w:val="110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4099B1C" w14:textId="77777777" w:rsidR="00D07A86" w:rsidRDefault="00D07A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Název rizika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F9075B0" w14:textId="77777777" w:rsidR="00D07A86" w:rsidRDefault="00D07A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Popis rizika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33FFA5B9" w14:textId="77777777" w:rsidR="00D07A86" w:rsidRDefault="00D07A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Pravděpo</w:t>
            </w:r>
            <w:r w:rsidR="00D0793B">
              <w:rPr>
                <w:rFonts w:eastAsia="Times New Roman" w:cs="Arial"/>
                <w:b/>
                <w:bCs/>
                <w:color w:val="000000"/>
              </w:rPr>
              <w:t>-</w:t>
            </w:r>
            <w:r>
              <w:rPr>
                <w:rFonts w:eastAsia="Times New Roman" w:cs="Arial"/>
                <w:b/>
                <w:bCs/>
                <w:color w:val="000000"/>
              </w:rPr>
              <w:t>dobnost</w:t>
            </w:r>
            <w:proofErr w:type="spellEnd"/>
          </w:p>
          <w:p w14:paraId="71857A4D" w14:textId="77777777" w:rsidR="00D07A86" w:rsidRDefault="00D07A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(1-5)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8B1E2D8" w14:textId="77777777" w:rsidR="00D07A86" w:rsidRDefault="00D07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Dopad (1-5)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4B585082" w14:textId="77777777" w:rsidR="00D07A86" w:rsidRDefault="00D07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Významnost</w:t>
            </w:r>
          </w:p>
          <w:p w14:paraId="1615757A" w14:textId="77777777" w:rsidR="00D07A86" w:rsidRDefault="00D07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(P * D)</w:t>
            </w:r>
          </w:p>
        </w:tc>
      </w:tr>
      <w:tr w:rsidR="00594EC0" w:rsidRPr="00594EC0" w14:paraId="3BCAA4F6" w14:textId="77777777" w:rsidTr="00F766C6">
        <w:trPr>
          <w:trHeight w:val="161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A0A48" w14:textId="77777777" w:rsidR="00594EC0" w:rsidRPr="00594EC0" w:rsidRDefault="00594EC0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594EC0">
              <w:rPr>
                <w:rFonts w:eastAsia="Times New Roman" w:cs="Arial"/>
                <w:b/>
                <w:bCs/>
              </w:rPr>
              <w:t>Neúčast členů RSK (především zástupců kraje) na zasedáních a jednáních pracovních skupin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91956" w14:textId="77777777" w:rsidR="00594EC0" w:rsidRPr="00594EC0" w:rsidRDefault="00594EC0">
            <w:pPr>
              <w:spacing w:after="0" w:line="240" w:lineRule="auto"/>
              <w:rPr>
                <w:rFonts w:eastAsia="Times New Roman" w:cs="Arial"/>
              </w:rPr>
            </w:pPr>
            <w:r w:rsidRPr="00594EC0">
              <w:rPr>
                <w:rFonts w:eastAsia="Times New Roman" w:cs="Arial"/>
              </w:rPr>
              <w:t>Dopadem rizika je nízká váha této platformy a návazná nižší účast ostatních členů RSK, potažmo pracovních skupin.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DE663" w14:textId="77777777" w:rsidR="00594EC0" w:rsidRPr="00594EC0" w:rsidRDefault="00D2315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C3E40" w14:textId="77777777" w:rsidR="00594EC0" w:rsidRPr="00594EC0" w:rsidRDefault="00594E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94EC0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9D18BC" w14:textId="77777777" w:rsidR="00594EC0" w:rsidRPr="00594EC0" w:rsidRDefault="00D23158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16</w:t>
            </w:r>
          </w:p>
        </w:tc>
      </w:tr>
      <w:tr w:rsidR="00594EC0" w:rsidRPr="00594EC0" w14:paraId="5E11B5B6" w14:textId="77777777" w:rsidTr="00F766C6">
        <w:trPr>
          <w:trHeight w:val="215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741D7" w14:textId="77777777" w:rsidR="00594EC0" w:rsidRPr="00594EC0" w:rsidRDefault="00594EC0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594EC0">
              <w:rPr>
                <w:rFonts w:eastAsia="Times New Roman" w:cs="Arial"/>
                <w:b/>
                <w:bCs/>
              </w:rPr>
              <w:lastRenderedPageBreak/>
              <w:t>Nízké zapojení členů RSK do aktivit sekretariátu (mapování, RAP…)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5B217" w14:textId="77777777" w:rsidR="00594EC0" w:rsidRPr="00594EC0" w:rsidRDefault="00594EC0">
            <w:pPr>
              <w:spacing w:after="0" w:line="240" w:lineRule="auto"/>
              <w:rPr>
                <w:rFonts w:eastAsia="Times New Roman" w:cs="Arial"/>
              </w:rPr>
            </w:pPr>
            <w:r w:rsidRPr="00594EC0">
              <w:rPr>
                <w:rFonts w:eastAsia="Times New Roman" w:cs="Arial"/>
              </w:rPr>
              <w:t>Dopadem je špatné povědomí o činnostech sekretariátu, které může vést ke snížení váhy této platformy a následné nízké aktivity členů RSK.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E0627" w14:textId="77777777" w:rsidR="00594EC0" w:rsidRPr="002D44AF" w:rsidRDefault="00594E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44A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EF249" w14:textId="77777777" w:rsidR="00594EC0" w:rsidRPr="002D44AF" w:rsidRDefault="00594E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44AF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41DEEB" w14:textId="77777777" w:rsidR="00594EC0" w:rsidRPr="002D44AF" w:rsidRDefault="00594EC0" w:rsidP="00594EC0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D44AF">
              <w:rPr>
                <w:rFonts w:eastAsia="Times New Roman" w:cstheme="minorHAnsi"/>
                <w:sz w:val="28"/>
                <w:szCs w:val="28"/>
              </w:rPr>
              <w:t>6</w:t>
            </w:r>
          </w:p>
        </w:tc>
      </w:tr>
      <w:tr w:rsidR="00594EC0" w:rsidRPr="00594EC0" w14:paraId="59D8C96E" w14:textId="77777777" w:rsidTr="00594EC0">
        <w:trPr>
          <w:trHeight w:val="66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4E6E0" w14:textId="77777777" w:rsidR="00D07A86" w:rsidRPr="00594EC0" w:rsidRDefault="00D07A8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594EC0">
              <w:rPr>
                <w:rFonts w:eastAsia="Times New Roman" w:cs="Arial"/>
                <w:b/>
                <w:bCs/>
              </w:rPr>
              <w:t>Nedostatečné šíření informací členů RSK do svého zájmového území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9FE75" w14:textId="77777777" w:rsidR="00D07A86" w:rsidRPr="00594EC0" w:rsidRDefault="00D07A86">
            <w:pPr>
              <w:spacing w:after="0" w:line="240" w:lineRule="auto"/>
              <w:rPr>
                <w:rFonts w:eastAsia="Times New Roman" w:cs="Arial"/>
              </w:rPr>
            </w:pPr>
            <w:r w:rsidRPr="00594EC0">
              <w:rPr>
                <w:rFonts w:eastAsia="Times New Roman" w:cs="Arial"/>
              </w:rPr>
              <w:t>Dopadem tohoto rizika je snížená či špatná zpětná vazba z území.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3BB99" w14:textId="77777777" w:rsidR="00D07A86" w:rsidRPr="002D44AF" w:rsidRDefault="00D2315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44A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0C868" w14:textId="77777777" w:rsidR="00D07A86" w:rsidRPr="002D44AF" w:rsidRDefault="00594E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44A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04FFDF" w14:textId="77777777" w:rsidR="00D07A86" w:rsidRPr="002D44AF" w:rsidRDefault="00D23158" w:rsidP="00594EC0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D44AF">
              <w:rPr>
                <w:rFonts w:eastAsia="Times New Roman" w:cstheme="minorHAnsi"/>
                <w:sz w:val="28"/>
                <w:szCs w:val="28"/>
              </w:rPr>
              <w:t>4</w:t>
            </w:r>
          </w:p>
        </w:tc>
      </w:tr>
      <w:tr w:rsidR="00594EC0" w:rsidRPr="00594EC0" w14:paraId="2B085E08" w14:textId="77777777" w:rsidTr="00594EC0">
        <w:trPr>
          <w:trHeight w:val="66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45C5F" w14:textId="77777777" w:rsidR="00D07A86" w:rsidRPr="00594EC0" w:rsidRDefault="00D07A8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594EC0">
              <w:rPr>
                <w:rFonts w:eastAsia="Times New Roman" w:cs="Arial"/>
                <w:b/>
                <w:bCs/>
              </w:rPr>
              <w:t>Neuspokojivá zpětná vazba ŘO na mapování a na podněty RSK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8996D" w14:textId="77777777" w:rsidR="00D07A86" w:rsidRPr="00594EC0" w:rsidRDefault="00D07A86">
            <w:pPr>
              <w:spacing w:after="0" w:line="240" w:lineRule="auto"/>
              <w:rPr>
                <w:rFonts w:eastAsia="Times New Roman" w:cs="Arial"/>
              </w:rPr>
            </w:pPr>
            <w:r w:rsidRPr="00594EC0">
              <w:rPr>
                <w:rFonts w:eastAsia="Times New Roman" w:cs="Arial"/>
              </w:rPr>
              <w:t>Dopadem na špatnou zpětnou vazbu na mapování je snížená či špatná zpětná vazba z území. Dopadem neuspokojivé zpětné vazby na podněty RSK je nízká váha této platformy, následná ztráta motivace členů RSK, na kterou navazuje nižší účast členů RSK na zasedání, potažmo pracovních skupin.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2E09D" w14:textId="77777777" w:rsidR="00D07A86" w:rsidRPr="002D44AF" w:rsidRDefault="00594E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44AF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F9DBC" w14:textId="77777777" w:rsidR="00D07A86" w:rsidRPr="002D44AF" w:rsidRDefault="00594E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44AF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B2FFB3" w14:textId="77777777" w:rsidR="00D07A86" w:rsidRPr="002D44AF" w:rsidRDefault="00594EC0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D44AF">
              <w:rPr>
                <w:rFonts w:eastAsia="Times New Roman" w:cstheme="minorHAnsi"/>
                <w:sz w:val="28"/>
                <w:szCs w:val="28"/>
              </w:rPr>
              <w:t>12</w:t>
            </w:r>
          </w:p>
        </w:tc>
      </w:tr>
      <w:tr w:rsidR="00594EC0" w:rsidRPr="00594EC0" w14:paraId="6BC7B285" w14:textId="77777777" w:rsidTr="00594EC0">
        <w:trPr>
          <w:trHeight w:val="161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C10E0" w14:textId="77777777" w:rsidR="00594EC0" w:rsidRPr="00594EC0" w:rsidRDefault="00594EC0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594EC0">
              <w:rPr>
                <w:rFonts w:eastAsia="Times New Roman" w:cs="Arial"/>
                <w:b/>
                <w:bCs/>
              </w:rPr>
              <w:t>Nedostatečná zpětná vazba z území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05584" w14:textId="77777777" w:rsidR="00594EC0" w:rsidRPr="00594EC0" w:rsidRDefault="00594EC0">
            <w:pPr>
              <w:spacing w:after="0" w:line="240" w:lineRule="auto"/>
              <w:rPr>
                <w:rFonts w:eastAsia="Times New Roman" w:cs="Arial"/>
              </w:rPr>
            </w:pPr>
            <w:r w:rsidRPr="00594EC0">
              <w:rPr>
                <w:rFonts w:eastAsia="Times New Roman" w:cs="Arial"/>
              </w:rPr>
              <w:t>Špatná zpětná vazba z území ovlivňuje relevantnost údajů v RAP a dat v rámci dalších mapování potřeb.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D7168" w14:textId="77777777" w:rsidR="00594EC0" w:rsidRPr="00594EC0" w:rsidRDefault="00D2315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4956C" w14:textId="77777777" w:rsidR="00594EC0" w:rsidRPr="00594EC0" w:rsidRDefault="00594E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A526A0" w14:textId="77777777" w:rsidR="00594EC0" w:rsidRPr="00594EC0" w:rsidRDefault="00D23158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12</w:t>
            </w:r>
          </w:p>
        </w:tc>
      </w:tr>
    </w:tbl>
    <w:p w14:paraId="671895D2" w14:textId="77777777" w:rsidR="00D07A86" w:rsidRPr="00594EC0" w:rsidRDefault="00D07A86" w:rsidP="00E57D1A"/>
    <w:p w14:paraId="0EF4C866" w14:textId="77777777" w:rsidR="0063196C" w:rsidRDefault="0063196C" w:rsidP="00E57D1A"/>
    <w:p w14:paraId="53157A1B" w14:textId="62CB154C" w:rsidR="00C97699" w:rsidRDefault="00C97699" w:rsidP="00EB743E">
      <w:pPr>
        <w:pStyle w:val="Nadpis1"/>
        <w:spacing w:after="240"/>
      </w:pPr>
      <w:bookmarkStart w:id="18" w:name="_Toc66188501"/>
      <w:r>
        <w:t>Plán rozvoje RSK</w:t>
      </w:r>
      <w:bookmarkEnd w:id="18"/>
    </w:p>
    <w:p w14:paraId="3B1EB7B9" w14:textId="12F416B1" w:rsidR="00DE1F52" w:rsidRDefault="00577304" w:rsidP="00233B65">
      <w:pPr>
        <w:spacing w:after="120"/>
        <w:jc w:val="both"/>
      </w:pPr>
      <w:r>
        <w:t xml:space="preserve">Role RSK bude v nadcházejícím období determinována zejména zahájením nového programového období </w:t>
      </w:r>
      <w:proofErr w:type="gramStart"/>
      <w:r>
        <w:t>2021 – 2027</w:t>
      </w:r>
      <w:proofErr w:type="gramEnd"/>
      <w:r>
        <w:t xml:space="preserve"> a očekávanou aktualizací statutu RSK v 1. čtvrtletí 2021.</w:t>
      </w:r>
    </w:p>
    <w:p w14:paraId="3403DAF7" w14:textId="551CE05E" w:rsidR="00577304" w:rsidRDefault="00577304" w:rsidP="00233B65">
      <w:pPr>
        <w:spacing w:after="120"/>
        <w:jc w:val="both"/>
      </w:pPr>
      <w:r>
        <w:t xml:space="preserve">Klíčovou oblastí bude dokončení a schválení Regionálního akčního plánu 2021+ a zapojení RSK do nových finančních nástrojů, jako např. Národní plán obnovy. Předpokládá se i zavedení delší čas diskutované a ze strany MMR iniciované funkce regionálního manažera a koordinátora </w:t>
      </w:r>
      <w:proofErr w:type="spellStart"/>
      <w:r>
        <w:t>hosp</w:t>
      </w:r>
      <w:proofErr w:type="spellEnd"/>
      <w:r>
        <w:t>. a soc. ohrožených území (v případě SČK vzhledem k marginálnímu vymezení těchto území ve Strategii regionálního rozvoj ČR spíše okrajová funkce).</w:t>
      </w:r>
    </w:p>
    <w:p w14:paraId="4FD85B00" w14:textId="04E2CABC" w:rsidR="00577304" w:rsidRDefault="00577304" w:rsidP="00233B65">
      <w:pPr>
        <w:spacing w:after="120"/>
        <w:jc w:val="both"/>
      </w:pPr>
      <w:r>
        <w:t>RSK a její funkční subjekty se staly unikátní platformou územní spolupráce a klíčovým partnerem MMR v oblasti regionálního rozvoje. Lze tedy předpokládat., že tato spolupráce bude nadále růst</w:t>
      </w:r>
      <w:r w:rsidR="00945272">
        <w:t xml:space="preserve"> a bude </w:t>
      </w:r>
      <w:r w:rsidR="00127A86">
        <w:t xml:space="preserve">nově </w:t>
      </w:r>
      <w:r w:rsidR="00945272">
        <w:t>zahrnovat i další oblasti, pro které je vhodné tuto platformu využít, jako např. oblast regenerace brownfieldů připomínkování celostátních strategií, zapojení do implementace víceletého finančního rámce EU a dalších nástrojů apod.</w:t>
      </w:r>
    </w:p>
    <w:p w14:paraId="3AB245CC" w14:textId="7F52BD3F" w:rsidR="00945272" w:rsidRDefault="00945272" w:rsidP="00233B65">
      <w:pPr>
        <w:spacing w:after="120"/>
        <w:jc w:val="both"/>
      </w:pPr>
      <w:r>
        <w:lastRenderedPageBreak/>
        <w:t xml:space="preserve">Jedním z významných nástrojů monitorování absorpční kapacity se může stát aktuálně testovaný centrální Informační systém projektových záměrů v gesci MMR, do jehož realizace budou sekretariáty (krajský koordinátor ISPZ) zapojeny. Jeho efektivita bude ovšem záležet na funkčnosti, uživatelské přívětivosti a </w:t>
      </w:r>
      <w:r w:rsidR="007D4720">
        <w:t>motivaci a ochotě nositelů</w:t>
      </w:r>
      <w:r>
        <w:t xml:space="preserve"> </w:t>
      </w:r>
      <w:r w:rsidR="007D4720">
        <w:t>projektů zapojit se do tohoto systému.</w:t>
      </w:r>
    </w:p>
    <w:p w14:paraId="6C7707E2" w14:textId="4CA1A08A" w:rsidR="00233B65" w:rsidRDefault="0036228D" w:rsidP="00233B65">
      <w:pPr>
        <w:spacing w:after="120"/>
        <w:jc w:val="both"/>
      </w:pPr>
      <w:r>
        <w:t>RSK nadále plánuje zachovat svou roli informační a propagační směrem do území. Vzhledem k velikosti Středočeského kraje a vysokému počtu obcí je ideálním prostředkem portál RSK</w:t>
      </w:r>
      <w:r w:rsidR="00D51228">
        <w:t xml:space="preserve"> a</w:t>
      </w:r>
      <w:r>
        <w:t xml:space="preserve"> informační e-maily. Je potřeba zdůrazňovat nutnost šíření informací ze strany členů RSK a členů pracovních skupin do jejich zájmového území.</w:t>
      </w:r>
      <w:r w:rsidR="00D51228" w:rsidRPr="00D51228">
        <w:t xml:space="preserve"> </w:t>
      </w:r>
      <w:r w:rsidR="00D51228">
        <w:t xml:space="preserve">Sekretariát RSK se snaží neustále zlepšovat funkčnost </w:t>
      </w:r>
      <w:r w:rsidR="00EB743E">
        <w:t xml:space="preserve">Dotačního </w:t>
      </w:r>
      <w:r w:rsidR="00D51228">
        <w:t>portál</w:t>
      </w:r>
      <w:r w:rsidR="00EB743E">
        <w:t>u</w:t>
      </w:r>
      <w:r w:rsidR="00D51228">
        <w:t>.</w:t>
      </w:r>
      <w:r w:rsidR="000C6E9A">
        <w:t xml:space="preserve"> </w:t>
      </w:r>
    </w:p>
    <w:p w14:paraId="518B8690" w14:textId="1997B7E8" w:rsidR="00EB743E" w:rsidRDefault="00D51228" w:rsidP="00233B65">
      <w:pPr>
        <w:spacing w:after="120"/>
        <w:ind w:firstLine="708"/>
        <w:jc w:val="both"/>
      </w:pPr>
      <w:r>
        <w:t>RSK nadále bude své území informovat především prostřednictvím port</w:t>
      </w:r>
      <w:r w:rsidR="00E309F7">
        <w:t>álu RSK a e-mailové komunikace a účelově zaměřených seminářů a workshopů.</w:t>
      </w:r>
    </w:p>
    <w:p w14:paraId="0D5DB1F4" w14:textId="77777777" w:rsidR="00E57D1A" w:rsidRPr="00E57D1A" w:rsidRDefault="00E57D1A" w:rsidP="00E57D1A"/>
    <w:sectPr w:rsidR="00E57D1A" w:rsidRPr="00E57D1A" w:rsidSect="009A26B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3DDB6" w14:textId="77777777" w:rsidR="008E6ED4" w:rsidRDefault="008E6ED4" w:rsidP="003A39E3">
      <w:pPr>
        <w:spacing w:after="0" w:line="240" w:lineRule="auto"/>
      </w:pPr>
      <w:r>
        <w:separator/>
      </w:r>
    </w:p>
  </w:endnote>
  <w:endnote w:type="continuationSeparator" w:id="0">
    <w:p w14:paraId="62B8253C" w14:textId="77777777" w:rsidR="008E6ED4" w:rsidRDefault="008E6ED4" w:rsidP="003A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5687328"/>
      <w:docPartObj>
        <w:docPartGallery w:val="Page Numbers (Bottom of Page)"/>
        <w:docPartUnique/>
      </w:docPartObj>
    </w:sdtPr>
    <w:sdtEndPr/>
    <w:sdtContent>
      <w:p w14:paraId="0D39B58F" w14:textId="0EA9E929" w:rsidR="009A26B3" w:rsidRDefault="009A26B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D4F">
          <w:rPr>
            <w:noProof/>
          </w:rPr>
          <w:t>2</w:t>
        </w:r>
        <w:r>
          <w:fldChar w:fldCharType="end"/>
        </w:r>
      </w:p>
    </w:sdtContent>
  </w:sdt>
  <w:p w14:paraId="77CF2B82" w14:textId="074F6DF3" w:rsidR="003A39E3" w:rsidRDefault="003A39E3" w:rsidP="003A39E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FEFEE" w14:textId="77777777" w:rsidR="008E6ED4" w:rsidRDefault="008E6ED4" w:rsidP="003A39E3">
      <w:pPr>
        <w:spacing w:after="0" w:line="240" w:lineRule="auto"/>
      </w:pPr>
      <w:r>
        <w:separator/>
      </w:r>
    </w:p>
  </w:footnote>
  <w:footnote w:type="continuationSeparator" w:id="0">
    <w:p w14:paraId="3C4A1BE4" w14:textId="77777777" w:rsidR="008E6ED4" w:rsidRDefault="008E6ED4" w:rsidP="003A3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EB547" w14:textId="77777777" w:rsidR="003A39E3" w:rsidRDefault="003A39E3">
    <w:pPr>
      <w:pStyle w:val="Zhlav"/>
    </w:pPr>
    <w:r>
      <w:rPr>
        <w:noProof/>
        <w:lang w:eastAsia="cs-CZ"/>
      </w:rPr>
      <w:drawing>
        <wp:inline distT="0" distB="0" distL="0" distR="0" wp14:anchorId="6C3C93F5" wp14:editId="6B050E52">
          <wp:extent cx="2333625" cy="561975"/>
          <wp:effectExtent l="0" t="0" r="9525" b="0"/>
          <wp:docPr id="2" name="Obrázek 2" descr="stredoceskykraj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stredoceskykrajznak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60"/>
                  <a:stretch/>
                </pic:blipFill>
                <pic:spPr bwMode="auto">
                  <a:xfrm>
                    <a:off x="0" y="0"/>
                    <a:ext cx="2333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13.5pt" o:bullet="t">
        <v:imagedata r:id="rId1" o:title="artEA86"/>
      </v:shape>
    </w:pict>
  </w:numPicBullet>
  <w:abstractNum w:abstractNumId="0" w15:restartNumberingAfterBreak="0">
    <w:nsid w:val="063D7362"/>
    <w:multiLevelType w:val="hybridMultilevel"/>
    <w:tmpl w:val="8E943390"/>
    <w:lvl w:ilvl="0" w:tplc="71E839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440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4AF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7E9F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421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4C8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BC17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DA7E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647B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2A567F"/>
    <w:multiLevelType w:val="hybridMultilevel"/>
    <w:tmpl w:val="1BB8E6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DF524E"/>
    <w:multiLevelType w:val="hybridMultilevel"/>
    <w:tmpl w:val="3F7A9ADA"/>
    <w:lvl w:ilvl="0" w:tplc="6524A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33844"/>
    <w:multiLevelType w:val="hybridMultilevel"/>
    <w:tmpl w:val="B282D4B4"/>
    <w:lvl w:ilvl="0" w:tplc="A88699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082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89E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46E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0CD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B2F7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B8C1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0BE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86AB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B123C03"/>
    <w:multiLevelType w:val="hybridMultilevel"/>
    <w:tmpl w:val="1924E4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9666C56"/>
    <w:multiLevelType w:val="hybridMultilevel"/>
    <w:tmpl w:val="E09EBADA"/>
    <w:lvl w:ilvl="0" w:tplc="AFA280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5E65A4"/>
    <w:multiLevelType w:val="hybridMultilevel"/>
    <w:tmpl w:val="1E5E6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11988"/>
    <w:multiLevelType w:val="hybridMultilevel"/>
    <w:tmpl w:val="48E4C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96860"/>
    <w:multiLevelType w:val="hybridMultilevel"/>
    <w:tmpl w:val="CF489B22"/>
    <w:lvl w:ilvl="0" w:tplc="171606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F490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E84C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E02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027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EAC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2EA6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42B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C8B9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46A0797"/>
    <w:multiLevelType w:val="hybridMultilevel"/>
    <w:tmpl w:val="9FDAF9D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2704A4"/>
    <w:multiLevelType w:val="hybridMultilevel"/>
    <w:tmpl w:val="4BE862B8"/>
    <w:lvl w:ilvl="0" w:tplc="7FC89C8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006FF"/>
    <w:multiLevelType w:val="hybridMultilevel"/>
    <w:tmpl w:val="3D42779A"/>
    <w:lvl w:ilvl="0" w:tplc="EA7C47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7E67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2691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96EB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A8A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C205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0883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6A1C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1295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97338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D6A2323"/>
    <w:multiLevelType w:val="hybridMultilevel"/>
    <w:tmpl w:val="46C8BBA2"/>
    <w:lvl w:ilvl="0" w:tplc="AFA280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331DA"/>
    <w:multiLevelType w:val="hybridMultilevel"/>
    <w:tmpl w:val="636213C0"/>
    <w:lvl w:ilvl="0" w:tplc="2D0A1E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F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A22C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6EF4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278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16D3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289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1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30D5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3"/>
  </w:num>
  <w:num w:numId="9">
    <w:abstractNumId w:val="12"/>
  </w:num>
  <w:num w:numId="10">
    <w:abstractNumId w:val="0"/>
  </w:num>
  <w:num w:numId="11">
    <w:abstractNumId w:val="3"/>
  </w:num>
  <w:num w:numId="12">
    <w:abstractNumId w:val="11"/>
  </w:num>
  <w:num w:numId="13">
    <w:abstractNumId w:val="14"/>
  </w:num>
  <w:num w:numId="14">
    <w:abstractNumId w:val="8"/>
  </w:num>
  <w:num w:numId="15">
    <w:abstractNumId w:val="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1A"/>
    <w:rsid w:val="00000550"/>
    <w:rsid w:val="00010E79"/>
    <w:rsid w:val="00011EC0"/>
    <w:rsid w:val="00023035"/>
    <w:rsid w:val="00027035"/>
    <w:rsid w:val="00050ED4"/>
    <w:rsid w:val="00054B85"/>
    <w:rsid w:val="0006499D"/>
    <w:rsid w:val="00067763"/>
    <w:rsid w:val="00073936"/>
    <w:rsid w:val="000741C0"/>
    <w:rsid w:val="0007571C"/>
    <w:rsid w:val="000976A9"/>
    <w:rsid w:val="000A2D16"/>
    <w:rsid w:val="000B1A1B"/>
    <w:rsid w:val="000B5006"/>
    <w:rsid w:val="000C4718"/>
    <w:rsid w:val="000C6E9A"/>
    <w:rsid w:val="00104544"/>
    <w:rsid w:val="00105C28"/>
    <w:rsid w:val="00116850"/>
    <w:rsid w:val="00127A86"/>
    <w:rsid w:val="00140008"/>
    <w:rsid w:val="00161851"/>
    <w:rsid w:val="001646AA"/>
    <w:rsid w:val="00166DB2"/>
    <w:rsid w:val="00184BFF"/>
    <w:rsid w:val="00196251"/>
    <w:rsid w:val="001A341F"/>
    <w:rsid w:val="001B6326"/>
    <w:rsid w:val="001C464D"/>
    <w:rsid w:val="001E59BC"/>
    <w:rsid w:val="001E638E"/>
    <w:rsid w:val="002147BC"/>
    <w:rsid w:val="00233B65"/>
    <w:rsid w:val="00235CEA"/>
    <w:rsid w:val="00242DF1"/>
    <w:rsid w:val="00246087"/>
    <w:rsid w:val="00273BDE"/>
    <w:rsid w:val="00291E58"/>
    <w:rsid w:val="00296308"/>
    <w:rsid w:val="002A3403"/>
    <w:rsid w:val="002A47FE"/>
    <w:rsid w:val="002B34E2"/>
    <w:rsid w:val="002C2A0D"/>
    <w:rsid w:val="002C5051"/>
    <w:rsid w:val="002D44AF"/>
    <w:rsid w:val="00316C0D"/>
    <w:rsid w:val="003307C6"/>
    <w:rsid w:val="0036228D"/>
    <w:rsid w:val="00386558"/>
    <w:rsid w:val="00393F01"/>
    <w:rsid w:val="00395FF7"/>
    <w:rsid w:val="003A39E3"/>
    <w:rsid w:val="003A45C5"/>
    <w:rsid w:val="003B1042"/>
    <w:rsid w:val="003E0852"/>
    <w:rsid w:val="003E1A6F"/>
    <w:rsid w:val="003F07B4"/>
    <w:rsid w:val="003F7968"/>
    <w:rsid w:val="00401FB3"/>
    <w:rsid w:val="00406297"/>
    <w:rsid w:val="00423FD5"/>
    <w:rsid w:val="00436BE8"/>
    <w:rsid w:val="00437655"/>
    <w:rsid w:val="004604E6"/>
    <w:rsid w:val="0047352B"/>
    <w:rsid w:val="004836B1"/>
    <w:rsid w:val="004910DD"/>
    <w:rsid w:val="004A025C"/>
    <w:rsid w:val="004B6876"/>
    <w:rsid w:val="004D4DD5"/>
    <w:rsid w:val="004F719F"/>
    <w:rsid w:val="00500229"/>
    <w:rsid w:val="0050163D"/>
    <w:rsid w:val="00524C32"/>
    <w:rsid w:val="0053243C"/>
    <w:rsid w:val="005349B5"/>
    <w:rsid w:val="00560821"/>
    <w:rsid w:val="005664EF"/>
    <w:rsid w:val="005668B0"/>
    <w:rsid w:val="00577304"/>
    <w:rsid w:val="0057755E"/>
    <w:rsid w:val="00594EC0"/>
    <w:rsid w:val="0059647A"/>
    <w:rsid w:val="005A1959"/>
    <w:rsid w:val="005B084E"/>
    <w:rsid w:val="005C501D"/>
    <w:rsid w:val="005E5B2F"/>
    <w:rsid w:val="005F268A"/>
    <w:rsid w:val="005F79E8"/>
    <w:rsid w:val="0060293F"/>
    <w:rsid w:val="00607103"/>
    <w:rsid w:val="00611CA9"/>
    <w:rsid w:val="0063196C"/>
    <w:rsid w:val="006433E6"/>
    <w:rsid w:val="00666E9C"/>
    <w:rsid w:val="006732DE"/>
    <w:rsid w:val="00681BBA"/>
    <w:rsid w:val="00682386"/>
    <w:rsid w:val="006827B2"/>
    <w:rsid w:val="006828DB"/>
    <w:rsid w:val="00684B9F"/>
    <w:rsid w:val="0069052B"/>
    <w:rsid w:val="0069556F"/>
    <w:rsid w:val="006A01BA"/>
    <w:rsid w:val="006D36C4"/>
    <w:rsid w:val="006D5592"/>
    <w:rsid w:val="006D7D9F"/>
    <w:rsid w:val="006E493B"/>
    <w:rsid w:val="006E60EF"/>
    <w:rsid w:val="007000F6"/>
    <w:rsid w:val="007034D6"/>
    <w:rsid w:val="00716826"/>
    <w:rsid w:val="00742024"/>
    <w:rsid w:val="00766CA4"/>
    <w:rsid w:val="00774073"/>
    <w:rsid w:val="00774660"/>
    <w:rsid w:val="007771A0"/>
    <w:rsid w:val="00784ACF"/>
    <w:rsid w:val="00794356"/>
    <w:rsid w:val="007A4D91"/>
    <w:rsid w:val="007B30FF"/>
    <w:rsid w:val="007B40BD"/>
    <w:rsid w:val="007C284B"/>
    <w:rsid w:val="007C59D0"/>
    <w:rsid w:val="007D00DF"/>
    <w:rsid w:val="007D4720"/>
    <w:rsid w:val="007E1FD3"/>
    <w:rsid w:val="007F1AAD"/>
    <w:rsid w:val="008059B1"/>
    <w:rsid w:val="00807DFC"/>
    <w:rsid w:val="00826802"/>
    <w:rsid w:val="0083539D"/>
    <w:rsid w:val="0084156B"/>
    <w:rsid w:val="00863D80"/>
    <w:rsid w:val="00875A1E"/>
    <w:rsid w:val="0088019F"/>
    <w:rsid w:val="008A4844"/>
    <w:rsid w:val="008C5AE1"/>
    <w:rsid w:val="008D293F"/>
    <w:rsid w:val="008D416A"/>
    <w:rsid w:val="008D69F9"/>
    <w:rsid w:val="008E6ED4"/>
    <w:rsid w:val="008F3831"/>
    <w:rsid w:val="00914AE0"/>
    <w:rsid w:val="009220E3"/>
    <w:rsid w:val="00923103"/>
    <w:rsid w:val="00945272"/>
    <w:rsid w:val="00955868"/>
    <w:rsid w:val="00966D4F"/>
    <w:rsid w:val="00977A85"/>
    <w:rsid w:val="009804CF"/>
    <w:rsid w:val="00983334"/>
    <w:rsid w:val="009851E2"/>
    <w:rsid w:val="009977F6"/>
    <w:rsid w:val="009A26B3"/>
    <w:rsid w:val="009B447A"/>
    <w:rsid w:val="009D0D3B"/>
    <w:rsid w:val="009E0943"/>
    <w:rsid w:val="009E2455"/>
    <w:rsid w:val="009E348A"/>
    <w:rsid w:val="009F01E8"/>
    <w:rsid w:val="00A04A3E"/>
    <w:rsid w:val="00A14FFA"/>
    <w:rsid w:val="00A3019D"/>
    <w:rsid w:val="00A31239"/>
    <w:rsid w:val="00A343D7"/>
    <w:rsid w:val="00A345A9"/>
    <w:rsid w:val="00A50DF2"/>
    <w:rsid w:val="00A56633"/>
    <w:rsid w:val="00A56811"/>
    <w:rsid w:val="00A641F0"/>
    <w:rsid w:val="00A74B33"/>
    <w:rsid w:val="00A8055E"/>
    <w:rsid w:val="00AA0E36"/>
    <w:rsid w:val="00AC05B1"/>
    <w:rsid w:val="00AD6D61"/>
    <w:rsid w:val="00AE1C3D"/>
    <w:rsid w:val="00AE6130"/>
    <w:rsid w:val="00AF5BC8"/>
    <w:rsid w:val="00B01803"/>
    <w:rsid w:val="00B56691"/>
    <w:rsid w:val="00B63EF3"/>
    <w:rsid w:val="00B746D3"/>
    <w:rsid w:val="00B86231"/>
    <w:rsid w:val="00BA253C"/>
    <w:rsid w:val="00BA2812"/>
    <w:rsid w:val="00BB3BEF"/>
    <w:rsid w:val="00BD2AD5"/>
    <w:rsid w:val="00C12284"/>
    <w:rsid w:val="00C33488"/>
    <w:rsid w:val="00C4153A"/>
    <w:rsid w:val="00C46FD1"/>
    <w:rsid w:val="00C47B68"/>
    <w:rsid w:val="00C55A5A"/>
    <w:rsid w:val="00C769F5"/>
    <w:rsid w:val="00C86992"/>
    <w:rsid w:val="00C917CC"/>
    <w:rsid w:val="00C97699"/>
    <w:rsid w:val="00CB2F59"/>
    <w:rsid w:val="00CD0C1D"/>
    <w:rsid w:val="00CD47D5"/>
    <w:rsid w:val="00CE12AB"/>
    <w:rsid w:val="00CE52BD"/>
    <w:rsid w:val="00D0454C"/>
    <w:rsid w:val="00D0793B"/>
    <w:rsid w:val="00D07A86"/>
    <w:rsid w:val="00D23158"/>
    <w:rsid w:val="00D30642"/>
    <w:rsid w:val="00D3630C"/>
    <w:rsid w:val="00D403E1"/>
    <w:rsid w:val="00D51228"/>
    <w:rsid w:val="00D53B31"/>
    <w:rsid w:val="00D67B4D"/>
    <w:rsid w:val="00D71CED"/>
    <w:rsid w:val="00D91225"/>
    <w:rsid w:val="00DC1CE7"/>
    <w:rsid w:val="00DC2A90"/>
    <w:rsid w:val="00DC3A0D"/>
    <w:rsid w:val="00DC64DB"/>
    <w:rsid w:val="00DE1F52"/>
    <w:rsid w:val="00E1313F"/>
    <w:rsid w:val="00E215F6"/>
    <w:rsid w:val="00E309F7"/>
    <w:rsid w:val="00E37C2A"/>
    <w:rsid w:val="00E416A0"/>
    <w:rsid w:val="00E57D1A"/>
    <w:rsid w:val="00E65E1E"/>
    <w:rsid w:val="00E84491"/>
    <w:rsid w:val="00EA5567"/>
    <w:rsid w:val="00EB6F6F"/>
    <w:rsid w:val="00EB743E"/>
    <w:rsid w:val="00ED1A68"/>
    <w:rsid w:val="00ED2BDD"/>
    <w:rsid w:val="00ED4D98"/>
    <w:rsid w:val="00EE09A3"/>
    <w:rsid w:val="00F11F21"/>
    <w:rsid w:val="00F75E45"/>
    <w:rsid w:val="00F766C6"/>
    <w:rsid w:val="00F82E37"/>
    <w:rsid w:val="00FB0A72"/>
    <w:rsid w:val="00FB30D4"/>
    <w:rsid w:val="00FB3B1D"/>
    <w:rsid w:val="00FD783C"/>
    <w:rsid w:val="00FE41F7"/>
    <w:rsid w:val="00FF01F5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9AAD5"/>
  <w15:docId w15:val="{35BA2C6B-A163-4C24-869A-4809E608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7D1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7D1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7D1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7D1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D1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D1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D1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D1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D1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57D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57D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57D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D1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D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D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D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D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BA2812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7A8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3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9E3"/>
  </w:style>
  <w:style w:type="paragraph" w:styleId="Zpat">
    <w:name w:val="footer"/>
    <w:basedOn w:val="Normln"/>
    <w:link w:val="ZpatChar"/>
    <w:uiPriority w:val="99"/>
    <w:unhideWhenUsed/>
    <w:rsid w:val="003A3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9E3"/>
  </w:style>
  <w:style w:type="paragraph" w:styleId="Textbubliny">
    <w:name w:val="Balloon Text"/>
    <w:basedOn w:val="Normln"/>
    <w:link w:val="TextbublinyChar"/>
    <w:uiPriority w:val="99"/>
    <w:semiHidden/>
    <w:unhideWhenUsed/>
    <w:rsid w:val="0001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E7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A0E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E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E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E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E36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63196C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3196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3196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641F0"/>
    <w:pPr>
      <w:spacing w:after="100"/>
      <w:ind w:left="440"/>
    </w:pPr>
  </w:style>
  <w:style w:type="paragraph" w:customStyle="1" w:styleId="Default">
    <w:name w:val="Default"/>
    <w:rsid w:val="007746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1F2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1F2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11F21"/>
    <w:rPr>
      <w:vertAlign w:val="superscript"/>
    </w:rPr>
  </w:style>
  <w:style w:type="character" w:customStyle="1" w:styleId="ListLabel1">
    <w:name w:val="ListLabel 1"/>
    <w:qFormat/>
    <w:rsid w:val="004B6876"/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7F1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3398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829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434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409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916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k-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524D-4969-42C9-B867-502F3EC8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3616</Words>
  <Characters>21337</Characters>
  <Application>Microsoft Office Word</Application>
  <DocSecurity>4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Petr</dc:creator>
  <cp:keywords/>
  <dc:description/>
  <cp:lastModifiedBy>Barcalová Jitka</cp:lastModifiedBy>
  <cp:revision>2</cp:revision>
  <cp:lastPrinted>2019-03-25T14:55:00Z</cp:lastPrinted>
  <dcterms:created xsi:type="dcterms:W3CDTF">2022-01-31T07:46:00Z</dcterms:created>
  <dcterms:modified xsi:type="dcterms:W3CDTF">2022-01-31T07:46:00Z</dcterms:modified>
</cp:coreProperties>
</file>