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EAE75E" w14:textId="714B46ED" w:rsidR="00A42375" w:rsidRPr="004A5186" w:rsidRDefault="007566E7" w:rsidP="004A5186">
      <w:pPr>
        <w:spacing w:before="1600" w:after="12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6FECD7FF" wp14:editId="3B54B34E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96828165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28165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5186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4A5186">
        <w:rPr>
          <w:rFonts w:ascii="Arial" w:hAnsi="Arial" w:cs="Arial"/>
          <w:b/>
          <w:bCs/>
          <w:sz w:val="20"/>
          <w:szCs w:val="20"/>
        </w:rPr>
        <w:t xml:space="preserve"> </w:t>
      </w:r>
      <w:r w:rsidR="00305E35" w:rsidRPr="00305E35">
        <w:rPr>
          <w:rFonts w:ascii="Arial" w:hAnsi="Arial" w:cs="Arial"/>
          <w:b/>
          <w:bCs/>
          <w:sz w:val="20"/>
          <w:szCs w:val="20"/>
        </w:rPr>
        <w:t>pro akcelerační oblast</w:t>
      </w:r>
      <w:r w:rsidR="00305E35" w:rsidRPr="7AF8C7AD">
        <w:rPr>
          <w:rFonts w:ascii="Arial" w:hAnsi="Arial" w:cs="Arial"/>
          <w:sz w:val="20"/>
          <w:szCs w:val="20"/>
        </w:rPr>
        <w:t xml:space="preserve"> </w:t>
      </w:r>
      <w:r w:rsidR="00305E35" w:rsidRPr="7AF8C7AD">
        <w:rPr>
          <w:rFonts w:ascii="Arial" w:hAnsi="Arial" w:cs="Arial"/>
          <w:b/>
          <w:bCs/>
          <w:sz w:val="20"/>
          <w:szCs w:val="20"/>
        </w:rPr>
        <w:t xml:space="preserve">AOV42 </w:t>
      </w:r>
      <w:proofErr w:type="spellStart"/>
      <w:r w:rsidR="00305E35" w:rsidRPr="7AF8C7AD">
        <w:rPr>
          <w:rFonts w:ascii="Arial" w:hAnsi="Arial" w:cs="Arial"/>
          <w:b/>
          <w:bCs/>
          <w:sz w:val="20"/>
          <w:szCs w:val="20"/>
        </w:rPr>
        <w:t>Jamartice</w:t>
      </w:r>
      <w:proofErr w:type="spellEnd"/>
    </w:p>
    <w:p w14:paraId="7E2FEC61" w14:textId="5E6DE6D1" w:rsidR="00D13C07" w:rsidRPr="005B1CCB" w:rsidRDefault="00653008" w:rsidP="005B1C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5B1CCB">
        <w:rPr>
          <w:rFonts w:ascii="Arial" w:hAnsi="Arial" w:cs="Arial"/>
          <w:b/>
          <w:bCs/>
          <w:sz w:val="20"/>
          <w:szCs w:val="20"/>
        </w:rPr>
        <w:t>AO</w:t>
      </w:r>
      <w:r w:rsidR="0026610B" w:rsidRPr="005B1CCB">
        <w:rPr>
          <w:rFonts w:ascii="Arial" w:hAnsi="Arial" w:cs="Arial"/>
          <w:b/>
          <w:bCs/>
          <w:sz w:val="20"/>
          <w:szCs w:val="20"/>
        </w:rPr>
        <w:t>V</w:t>
      </w:r>
      <w:r w:rsidR="008A1463" w:rsidRPr="005B1CCB">
        <w:rPr>
          <w:rFonts w:ascii="Arial" w:hAnsi="Arial" w:cs="Arial"/>
          <w:b/>
          <w:bCs/>
          <w:sz w:val="20"/>
          <w:szCs w:val="20"/>
        </w:rPr>
        <w:t>42</w:t>
      </w:r>
      <w:r w:rsidR="006F5928" w:rsidRPr="005B1CCB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8A1463" w:rsidRPr="005B1CCB">
        <w:rPr>
          <w:rFonts w:ascii="Arial" w:hAnsi="Arial" w:cs="Arial"/>
          <w:b/>
          <w:bCs/>
          <w:sz w:val="20"/>
          <w:szCs w:val="20"/>
        </w:rPr>
        <w:t>Jamarti</w:t>
      </w:r>
      <w:r w:rsidR="00B45D2A" w:rsidRPr="005B1CCB">
        <w:rPr>
          <w:rFonts w:ascii="Arial" w:hAnsi="Arial" w:cs="Arial"/>
          <w:b/>
          <w:bCs/>
          <w:sz w:val="20"/>
          <w:szCs w:val="20"/>
        </w:rPr>
        <w:t>ce</w:t>
      </w:r>
      <w:proofErr w:type="spellEnd"/>
      <w:r w:rsidRPr="005B1CCB">
        <w:rPr>
          <w:rFonts w:ascii="Arial" w:hAnsi="Arial" w:cs="Arial"/>
          <w:sz w:val="20"/>
          <w:szCs w:val="20"/>
        </w:rPr>
        <w:t xml:space="preserve">, vymezené </w:t>
      </w:r>
      <w:r w:rsidR="006F5928" w:rsidRPr="005B1CCB">
        <w:rPr>
          <w:rFonts w:ascii="Arial" w:hAnsi="Arial" w:cs="Arial"/>
          <w:sz w:val="20"/>
          <w:szCs w:val="20"/>
        </w:rPr>
        <w:t>ve Změně č. 2 územního rozvojového plánu</w:t>
      </w:r>
      <w:r w:rsidRPr="005B1CCB">
        <w:rPr>
          <w:rFonts w:ascii="Arial" w:hAnsi="Arial" w:cs="Arial"/>
          <w:sz w:val="20"/>
          <w:szCs w:val="20"/>
        </w:rPr>
        <w:t>.</w:t>
      </w:r>
      <w:r w:rsidR="00334780" w:rsidRPr="005B1CCB">
        <w:rPr>
          <w:rFonts w:ascii="Arial" w:hAnsi="Arial" w:cs="Arial"/>
          <w:sz w:val="20"/>
          <w:szCs w:val="20"/>
        </w:rPr>
        <w:t xml:space="preserve"> </w:t>
      </w:r>
      <w:r w:rsidR="00D13C07" w:rsidRPr="005B1CCB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5B1CCB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5B1CCB">
        <w:rPr>
          <w:rFonts w:ascii="Arial" w:hAnsi="Arial" w:cs="Arial"/>
          <w:sz w:val="20"/>
          <w:szCs w:val="20"/>
        </w:rPr>
        <w:t xml:space="preserve"> energie </w:t>
      </w:r>
      <w:r w:rsidR="00906CD1" w:rsidRPr="005B1CCB">
        <w:rPr>
          <w:rFonts w:ascii="Arial" w:hAnsi="Arial" w:cs="Arial"/>
          <w:sz w:val="20"/>
          <w:szCs w:val="20"/>
        </w:rPr>
        <w:t>větru</w:t>
      </w:r>
      <w:r w:rsidR="00D13C07" w:rsidRPr="005B1CCB">
        <w:rPr>
          <w:rFonts w:ascii="Arial" w:hAnsi="Arial" w:cs="Arial"/>
          <w:sz w:val="20"/>
          <w:szCs w:val="20"/>
        </w:rPr>
        <w:t>.</w:t>
      </w:r>
      <w:r w:rsidR="00922192" w:rsidRPr="005B1CCB">
        <w:rPr>
          <w:rFonts w:ascii="Arial" w:hAnsi="Arial" w:cs="Arial"/>
          <w:sz w:val="20"/>
          <w:szCs w:val="20"/>
        </w:rPr>
        <w:t xml:space="preserve"> </w:t>
      </w:r>
      <w:r w:rsidR="00922192" w:rsidRPr="005B1CCB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5B1CCB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5B1CCB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5B1CCB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5B1CCB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501D1467" w:rsidR="00F94E19" w:rsidRPr="005B1CCB" w:rsidRDefault="00F94E19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Rozloha akcelerační oblasti je</w:t>
      </w:r>
      <w:r w:rsidR="00744E67" w:rsidRPr="005B1CCB">
        <w:rPr>
          <w:rFonts w:ascii="Arial" w:hAnsi="Arial" w:cs="Arial"/>
          <w:sz w:val="20"/>
          <w:szCs w:val="20"/>
        </w:rPr>
        <w:t xml:space="preserve"> </w:t>
      </w:r>
      <w:r w:rsidR="00525B81" w:rsidRPr="005B1CCB">
        <w:rPr>
          <w:rFonts w:ascii="Arial" w:hAnsi="Arial" w:cs="Arial"/>
          <w:sz w:val="20"/>
          <w:szCs w:val="20"/>
        </w:rPr>
        <w:t>32</w:t>
      </w:r>
      <w:r w:rsidR="00524347" w:rsidRPr="005B1CCB">
        <w:rPr>
          <w:rFonts w:ascii="Arial" w:hAnsi="Arial" w:cs="Arial"/>
          <w:sz w:val="20"/>
          <w:szCs w:val="20"/>
        </w:rPr>
        <w:t>1</w:t>
      </w:r>
      <w:r w:rsidR="00446190" w:rsidRPr="005B1CCB">
        <w:rPr>
          <w:rFonts w:ascii="Arial" w:hAnsi="Arial" w:cs="Arial"/>
          <w:sz w:val="20"/>
          <w:szCs w:val="20"/>
        </w:rPr>
        <w:t>,</w:t>
      </w:r>
      <w:r w:rsidR="00524347" w:rsidRPr="005B1CCB">
        <w:rPr>
          <w:rFonts w:ascii="Arial" w:hAnsi="Arial" w:cs="Arial"/>
          <w:sz w:val="20"/>
          <w:szCs w:val="20"/>
        </w:rPr>
        <w:t>9</w:t>
      </w:r>
      <w:r w:rsidR="00744E67" w:rsidRPr="005B1CCB">
        <w:rPr>
          <w:rFonts w:ascii="Arial" w:hAnsi="Arial" w:cs="Arial"/>
          <w:sz w:val="20"/>
          <w:szCs w:val="20"/>
        </w:rPr>
        <w:t xml:space="preserve"> ha</w:t>
      </w:r>
      <w:r w:rsidRPr="005B1CCB">
        <w:rPr>
          <w:rFonts w:ascii="Arial" w:hAnsi="Arial" w:cs="Arial"/>
          <w:sz w:val="20"/>
          <w:szCs w:val="20"/>
        </w:rPr>
        <w:t xml:space="preserve"> </w:t>
      </w:r>
      <w:r w:rsidR="00744E67" w:rsidRPr="005B1CCB">
        <w:rPr>
          <w:rFonts w:ascii="Arial" w:hAnsi="Arial" w:cs="Arial"/>
          <w:sz w:val="20"/>
          <w:szCs w:val="20"/>
        </w:rPr>
        <w:t>(</w:t>
      </w:r>
      <w:r w:rsidR="00525B81" w:rsidRPr="005B1CCB">
        <w:rPr>
          <w:rFonts w:ascii="Arial" w:hAnsi="Arial" w:cs="Arial"/>
          <w:sz w:val="20"/>
          <w:szCs w:val="20"/>
        </w:rPr>
        <w:t>3</w:t>
      </w:r>
      <w:r w:rsidR="00446190" w:rsidRPr="005B1CCB">
        <w:rPr>
          <w:rFonts w:ascii="Arial" w:hAnsi="Arial" w:cs="Arial"/>
          <w:sz w:val="20"/>
          <w:szCs w:val="20"/>
        </w:rPr>
        <w:t>,</w:t>
      </w:r>
      <w:r w:rsidR="00525B81" w:rsidRPr="005B1CCB">
        <w:rPr>
          <w:rFonts w:ascii="Arial" w:hAnsi="Arial" w:cs="Arial"/>
          <w:sz w:val="20"/>
          <w:szCs w:val="20"/>
        </w:rPr>
        <w:t>2</w:t>
      </w:r>
      <w:r w:rsidR="00B45D2A" w:rsidRPr="005B1CCB">
        <w:rPr>
          <w:rFonts w:ascii="Arial" w:hAnsi="Arial" w:cs="Arial"/>
          <w:sz w:val="20"/>
          <w:szCs w:val="20"/>
        </w:rPr>
        <w:t> km</w:t>
      </w:r>
      <w:r w:rsidR="00B45D2A" w:rsidRPr="005B1CCB">
        <w:rPr>
          <w:rFonts w:ascii="Arial" w:hAnsi="Arial" w:cs="Arial"/>
          <w:sz w:val="20"/>
          <w:szCs w:val="20"/>
          <w:vertAlign w:val="superscript"/>
        </w:rPr>
        <w:t>2</w:t>
      </w:r>
      <w:r w:rsidR="00744E67" w:rsidRPr="005B1CCB">
        <w:rPr>
          <w:rFonts w:ascii="Arial" w:hAnsi="Arial" w:cs="Arial"/>
          <w:sz w:val="20"/>
          <w:szCs w:val="20"/>
        </w:rPr>
        <w:t>)</w:t>
      </w:r>
      <w:r w:rsidRPr="005B1CCB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05B1CCB">
        <w:rPr>
          <w:rFonts w:ascii="Arial" w:hAnsi="Arial" w:cs="Arial"/>
          <w:sz w:val="20"/>
          <w:szCs w:val="20"/>
        </w:rPr>
        <w:t>zdroje – energie</w:t>
      </w:r>
      <w:r w:rsidRPr="005B1CCB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C64211" w:rsidRPr="005B1CCB">
        <w:rPr>
          <w:rFonts w:ascii="Arial" w:hAnsi="Arial" w:cs="Arial"/>
          <w:sz w:val="20"/>
          <w:szCs w:val="20"/>
        </w:rPr>
        <w:t>31,5</w:t>
      </w:r>
      <w:r w:rsidR="00446190" w:rsidRPr="004E635C">
        <w:rPr>
          <w:rFonts w:ascii="Arial" w:hAnsi="Arial" w:cs="Arial"/>
          <w:szCs w:val="20"/>
        </w:rPr>
        <w:t> </w:t>
      </w:r>
      <w:r w:rsidR="00AB266E" w:rsidRPr="005B1CCB">
        <w:rPr>
          <w:rFonts w:ascii="Arial" w:hAnsi="Arial" w:cs="Arial"/>
          <w:sz w:val="20"/>
          <w:szCs w:val="20"/>
        </w:rPr>
        <w:t>MW</w:t>
      </w:r>
      <w:r w:rsidRPr="005B1CCB">
        <w:rPr>
          <w:rFonts w:ascii="Arial" w:hAnsi="Arial" w:cs="Arial"/>
          <w:sz w:val="20"/>
          <w:szCs w:val="20"/>
        </w:rPr>
        <w:t>.</w:t>
      </w:r>
      <w:r w:rsidR="00E848E0" w:rsidRPr="005B1CCB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5B1CCB">
        <w:rPr>
          <w:rFonts w:ascii="Arial" w:hAnsi="Arial" w:cs="Arial"/>
          <w:sz w:val="20"/>
          <w:szCs w:val="20"/>
        </w:rPr>
        <w:t>odhaduje</w:t>
      </w:r>
      <w:r w:rsidR="00E848E0" w:rsidRPr="005B1CCB">
        <w:rPr>
          <w:rFonts w:ascii="Arial" w:hAnsi="Arial" w:cs="Arial"/>
          <w:sz w:val="20"/>
          <w:szCs w:val="20"/>
        </w:rPr>
        <w:t xml:space="preserve">, že záměry </w:t>
      </w:r>
      <w:r w:rsidR="008457EB" w:rsidRPr="005B1CCB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C64211" w:rsidRPr="005B1CCB">
        <w:rPr>
          <w:rFonts w:ascii="Arial" w:hAnsi="Arial" w:cs="Arial"/>
          <w:sz w:val="20"/>
          <w:szCs w:val="20"/>
        </w:rPr>
        <w:t>31,5</w:t>
      </w:r>
      <w:r w:rsidR="00446190" w:rsidRPr="004E635C">
        <w:rPr>
          <w:rFonts w:ascii="Arial" w:hAnsi="Arial" w:cs="Arial"/>
          <w:szCs w:val="20"/>
        </w:rPr>
        <w:t> </w:t>
      </w:r>
      <w:proofErr w:type="spellStart"/>
      <w:r w:rsidR="008457EB" w:rsidRPr="005B1CCB">
        <w:rPr>
          <w:rFonts w:ascii="Arial" w:hAnsi="Arial" w:cs="Arial"/>
          <w:sz w:val="20"/>
          <w:szCs w:val="20"/>
        </w:rPr>
        <w:t>MWp</w:t>
      </w:r>
      <w:proofErr w:type="spellEnd"/>
      <w:r w:rsidR="008457EB" w:rsidRPr="005B1CCB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005B1CCB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005B1CCB">
        <w:rPr>
          <w:rFonts w:ascii="Arial" w:hAnsi="Arial" w:cs="Arial"/>
          <w:sz w:val="20"/>
          <w:szCs w:val="20"/>
        </w:rPr>
        <w:t>).</w:t>
      </w:r>
    </w:p>
    <w:p w14:paraId="6C94BAB4" w14:textId="51F36162" w:rsidR="00F94E19" w:rsidRPr="005B1CCB" w:rsidRDefault="00F94E19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5B1CCB">
        <w:rPr>
          <w:rFonts w:ascii="Arial" w:hAnsi="Arial" w:cs="Arial"/>
          <w:sz w:val="20"/>
          <w:szCs w:val="20"/>
        </w:rPr>
        <w:t xml:space="preserve">maximálního </w:t>
      </w:r>
      <w:r w:rsidRPr="005B1CCB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5B1CCB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5B1CCB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5B1CCB">
        <w:rPr>
          <w:rFonts w:ascii="Arial" w:hAnsi="Arial" w:cs="Arial"/>
          <w:sz w:val="20"/>
          <w:szCs w:val="20"/>
        </w:rPr>
        <w:t>P</w:t>
      </w:r>
      <w:r w:rsidRPr="005B1CCB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5B1CCB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5B1CCB">
        <w:rPr>
          <w:rFonts w:ascii="Arial" w:hAnsi="Arial" w:cs="Arial"/>
          <w:sz w:val="20"/>
          <w:szCs w:val="20"/>
        </w:rPr>
        <w:t>n</w:t>
      </w:r>
      <w:r w:rsidRPr="005B1CC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="00A0037D" w:rsidRPr="005B1CCB">
        <w:rPr>
          <w:rFonts w:ascii="Arial" w:hAnsi="Arial" w:cs="Arial"/>
          <w:sz w:val="20"/>
          <w:szCs w:val="20"/>
        </w:rPr>
        <w:t> </w:t>
      </w:r>
      <w:r w:rsidR="00A0037D" w:rsidRPr="004E635C">
        <w:rPr>
          <w:rFonts w:ascii="Arial" w:eastAsia="Symbol" w:hAnsi="Arial" w:cs="Arial"/>
          <w:sz w:val="20"/>
          <w:szCs w:val="20"/>
        </w:rPr>
        <w:t>×</w:t>
      </w:r>
      <w:r w:rsidR="00A0037D" w:rsidRPr="005B1CCB">
        <w:rPr>
          <w:rFonts w:ascii="Arial" w:hAnsi="Arial" w:cs="Arial"/>
          <w:sz w:val="20"/>
          <w:szCs w:val="20"/>
        </w:rPr>
        <w:t> </w:t>
      </w:r>
      <w:proofErr w:type="spellStart"/>
      <w:r w:rsidRPr="005B1CCB">
        <w:rPr>
          <w:rFonts w:ascii="Arial" w:hAnsi="Arial" w:cs="Arial"/>
          <w:sz w:val="20"/>
          <w:szCs w:val="20"/>
        </w:rPr>
        <w:t>k</w:t>
      </w:r>
      <w:r w:rsidRPr="005B1CCB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="00A0037D" w:rsidRPr="005B1CCB">
        <w:rPr>
          <w:rFonts w:ascii="Arial" w:hAnsi="Arial" w:cs="Arial"/>
          <w:sz w:val="20"/>
          <w:szCs w:val="20"/>
        </w:rPr>
        <w:t> </w:t>
      </w:r>
      <w:r w:rsidR="00A0037D" w:rsidRPr="004E635C">
        <w:rPr>
          <w:rFonts w:ascii="Arial" w:eastAsia="Symbol" w:hAnsi="Arial" w:cs="Arial"/>
          <w:sz w:val="20"/>
          <w:szCs w:val="20"/>
        </w:rPr>
        <w:t>×</w:t>
      </w:r>
      <w:r w:rsidR="00A0037D" w:rsidRPr="005B1CCB">
        <w:rPr>
          <w:rFonts w:ascii="Arial" w:hAnsi="Arial" w:cs="Arial"/>
          <w:sz w:val="20"/>
          <w:szCs w:val="20"/>
        </w:rPr>
        <w:t> </w:t>
      </w:r>
      <w:proofErr w:type="spellStart"/>
      <w:r w:rsidRPr="005B1CCB">
        <w:rPr>
          <w:rFonts w:ascii="Arial" w:hAnsi="Arial" w:cs="Arial"/>
          <w:sz w:val="20"/>
          <w:szCs w:val="20"/>
        </w:rPr>
        <w:t>P</w:t>
      </w:r>
      <w:r w:rsidRPr="005B1CC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5B1CCB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5B1CCB" w:rsidRDefault="00F94E19" w:rsidP="005B1C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5B1CCB">
        <w:rPr>
          <w:rFonts w:ascii="Arial" w:hAnsi="Arial" w:cs="Arial"/>
          <w:sz w:val="20"/>
          <w:szCs w:val="20"/>
        </w:rPr>
        <w:t>P</w:t>
      </w:r>
      <w:r w:rsidRPr="005B1CCB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5B1CCB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29BEB056" w:rsidR="00F94E19" w:rsidRPr="005B1CCB" w:rsidRDefault="00F94E19" w:rsidP="005B1C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5B1CCB">
        <w:rPr>
          <w:rFonts w:ascii="Arial" w:hAnsi="Arial" w:cs="Arial"/>
          <w:sz w:val="20"/>
          <w:szCs w:val="20"/>
        </w:rPr>
        <w:t>n</w:t>
      </w:r>
      <w:r w:rsidRPr="005B1CC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5B1CCB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ED72EB" w:rsidRPr="005B1CCB">
        <w:rPr>
          <w:rFonts w:ascii="Arial" w:hAnsi="Arial" w:cs="Arial"/>
          <w:sz w:val="20"/>
          <w:szCs w:val="20"/>
        </w:rPr>
        <w:t> </w:t>
      </w:r>
      <w:r w:rsidR="008A305E" w:rsidRPr="005B1CCB">
        <w:rPr>
          <w:rFonts w:ascii="Arial" w:hAnsi="Arial" w:cs="Arial"/>
          <w:sz w:val="20"/>
          <w:szCs w:val="20"/>
        </w:rPr>
        <w:t>minimálně</w:t>
      </w:r>
      <w:r w:rsidRPr="005B1CCB">
        <w:rPr>
          <w:rFonts w:ascii="Arial" w:hAnsi="Arial" w:cs="Arial"/>
          <w:sz w:val="20"/>
          <w:szCs w:val="20"/>
        </w:rPr>
        <w:t xml:space="preserve"> </w:t>
      </w:r>
      <w:r w:rsidR="00314B6E" w:rsidRPr="005B1CCB">
        <w:rPr>
          <w:rFonts w:ascii="Arial" w:hAnsi="Arial" w:cs="Arial"/>
          <w:sz w:val="20"/>
          <w:szCs w:val="20"/>
        </w:rPr>
        <w:t>75</w:t>
      </w:r>
      <w:r w:rsidRPr="005B1CCB">
        <w:rPr>
          <w:rFonts w:ascii="Arial" w:hAnsi="Arial" w:cs="Arial"/>
          <w:sz w:val="20"/>
          <w:szCs w:val="20"/>
        </w:rPr>
        <w:t>0 m</w:t>
      </w:r>
      <w:r w:rsidR="00314B6E" w:rsidRPr="005B1CCB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 – 160 m)</w:t>
      </w:r>
      <w:r w:rsidRPr="005B1CCB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5B1CCB">
        <w:rPr>
          <w:rFonts w:ascii="Arial" w:hAnsi="Arial" w:cs="Arial"/>
          <w:sz w:val="20"/>
          <w:szCs w:val="20"/>
        </w:rPr>
        <w:t>n</w:t>
      </w:r>
      <w:r w:rsidRPr="005B1CC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5B1CCB">
        <w:rPr>
          <w:rFonts w:ascii="Arial" w:hAnsi="Arial" w:cs="Arial"/>
          <w:sz w:val="20"/>
          <w:szCs w:val="20"/>
        </w:rPr>
        <w:t xml:space="preserve"> = </w:t>
      </w:r>
      <w:r w:rsidR="00810A60" w:rsidRPr="005B1CCB">
        <w:rPr>
          <w:rFonts w:ascii="Arial" w:hAnsi="Arial" w:cs="Arial"/>
          <w:sz w:val="20"/>
          <w:szCs w:val="20"/>
        </w:rPr>
        <w:t>9</w:t>
      </w:r>
      <w:r w:rsidRPr="005B1CCB">
        <w:rPr>
          <w:rFonts w:ascii="Arial" w:hAnsi="Arial" w:cs="Arial"/>
          <w:sz w:val="20"/>
          <w:szCs w:val="20"/>
        </w:rPr>
        <w:t>.</w:t>
      </w:r>
    </w:p>
    <w:p w14:paraId="649500FB" w14:textId="184DBA43" w:rsidR="00F94E19" w:rsidRPr="005B1CCB" w:rsidRDefault="00F94E19" w:rsidP="005B1C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5B1CCB">
        <w:rPr>
          <w:rFonts w:ascii="Arial" w:hAnsi="Arial" w:cs="Arial"/>
          <w:sz w:val="20"/>
          <w:szCs w:val="20"/>
        </w:rPr>
        <w:t>k</w:t>
      </w:r>
      <w:r w:rsidRPr="005B1CCB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5B1CCB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</w:t>
      </w:r>
      <w:r w:rsidR="00A258C6" w:rsidRPr="005B1CCB">
        <w:rPr>
          <w:rFonts w:ascii="Arial" w:hAnsi="Arial" w:cs="Arial"/>
          <w:sz w:val="20"/>
          <w:szCs w:val="20"/>
        </w:rPr>
        <w:t>7</w:t>
      </w:r>
      <w:r w:rsidRPr="005B1CCB">
        <w:rPr>
          <w:rFonts w:ascii="Arial" w:hAnsi="Arial" w:cs="Arial"/>
          <w:sz w:val="20"/>
          <w:szCs w:val="20"/>
        </w:rPr>
        <w:t>;</w:t>
      </w:r>
    </w:p>
    <w:p w14:paraId="4353772C" w14:textId="619DAE12" w:rsidR="00F94E19" w:rsidRPr="005B1CCB" w:rsidRDefault="00F94E19" w:rsidP="005B1C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5B1CCB">
        <w:rPr>
          <w:rFonts w:ascii="Arial" w:hAnsi="Arial" w:cs="Arial"/>
          <w:sz w:val="20"/>
          <w:szCs w:val="20"/>
        </w:rPr>
        <w:t>P</w:t>
      </w:r>
      <w:r w:rsidRPr="005B1CCB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5B1CCB">
        <w:rPr>
          <w:rFonts w:ascii="Arial" w:hAnsi="Arial" w:cs="Arial"/>
          <w:sz w:val="20"/>
          <w:szCs w:val="20"/>
        </w:rPr>
        <w:t xml:space="preserve"> [MW] je </w:t>
      </w:r>
      <w:r w:rsidR="008A305E" w:rsidRPr="005B1CCB">
        <w:rPr>
          <w:rFonts w:ascii="Arial" w:hAnsi="Arial" w:cs="Arial"/>
          <w:sz w:val="20"/>
          <w:szCs w:val="20"/>
        </w:rPr>
        <w:t>odhadovaný</w:t>
      </w:r>
      <w:r w:rsidRPr="005B1CCB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5B1CCB">
        <w:rPr>
          <w:rFonts w:ascii="Arial" w:hAnsi="Arial" w:cs="Arial"/>
          <w:sz w:val="20"/>
          <w:szCs w:val="20"/>
        </w:rPr>
        <w:t xml:space="preserve">jedné věže </w:t>
      </w:r>
      <w:r w:rsidRPr="005B1CCB">
        <w:rPr>
          <w:rFonts w:ascii="Arial" w:hAnsi="Arial" w:cs="Arial"/>
          <w:sz w:val="20"/>
          <w:szCs w:val="20"/>
        </w:rPr>
        <w:t>větrné elektrárny. S ohledem na</w:t>
      </w:r>
      <w:r w:rsidR="00446190" w:rsidRPr="005B1CCB">
        <w:rPr>
          <w:rFonts w:ascii="Arial" w:hAnsi="Arial" w:cs="Arial"/>
          <w:sz w:val="20"/>
          <w:szCs w:val="20"/>
        </w:rPr>
        <w:t> </w:t>
      </w:r>
      <w:r w:rsidRPr="005B1CCB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6141DD8C" w:rsidR="00F94E19" w:rsidRPr="005B1CCB" w:rsidRDefault="00F94E19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5B1CCB">
        <w:rPr>
          <w:rFonts w:ascii="Arial" w:hAnsi="Arial" w:cs="Arial"/>
          <w:sz w:val="20"/>
          <w:szCs w:val="20"/>
        </w:rPr>
        <w:t>P</w:t>
      </w:r>
      <w:r w:rsidRPr="005B1CCB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5B1CCB">
        <w:rPr>
          <w:rFonts w:ascii="Arial" w:hAnsi="Arial" w:cs="Arial"/>
          <w:sz w:val="20"/>
          <w:szCs w:val="20"/>
        </w:rPr>
        <w:t xml:space="preserve"> = </w:t>
      </w:r>
      <w:r w:rsidR="00810A60" w:rsidRPr="005B1CCB">
        <w:rPr>
          <w:rFonts w:ascii="Arial" w:hAnsi="Arial" w:cs="Arial"/>
          <w:sz w:val="20"/>
          <w:szCs w:val="20"/>
        </w:rPr>
        <w:t>9</w:t>
      </w:r>
      <w:r w:rsidR="00446190" w:rsidRPr="005B1CCB">
        <w:rPr>
          <w:rFonts w:ascii="Arial" w:hAnsi="Arial" w:cs="Arial"/>
          <w:sz w:val="20"/>
          <w:szCs w:val="20"/>
        </w:rPr>
        <w:t> </w:t>
      </w:r>
      <w:r w:rsidR="00446190" w:rsidRPr="004E635C">
        <w:rPr>
          <w:rFonts w:ascii="Arial" w:eastAsia="Symbol" w:hAnsi="Arial" w:cs="Arial"/>
          <w:sz w:val="20"/>
          <w:szCs w:val="20"/>
        </w:rPr>
        <w:t>×</w:t>
      </w:r>
      <w:r w:rsidR="00446190" w:rsidRPr="005B1CCB">
        <w:rPr>
          <w:rFonts w:ascii="Arial" w:hAnsi="Arial" w:cs="Arial"/>
          <w:sz w:val="20"/>
          <w:szCs w:val="20"/>
        </w:rPr>
        <w:t> </w:t>
      </w:r>
      <w:r w:rsidRPr="005B1CCB">
        <w:rPr>
          <w:rFonts w:ascii="Arial" w:hAnsi="Arial" w:cs="Arial"/>
          <w:sz w:val="20"/>
          <w:szCs w:val="20"/>
        </w:rPr>
        <w:t>0,70</w:t>
      </w:r>
      <w:r w:rsidR="00446190" w:rsidRPr="005B1CCB">
        <w:rPr>
          <w:rFonts w:ascii="Arial" w:hAnsi="Arial" w:cs="Arial"/>
          <w:sz w:val="20"/>
          <w:szCs w:val="20"/>
        </w:rPr>
        <w:t> </w:t>
      </w:r>
      <w:r w:rsidR="00446190" w:rsidRPr="004E635C">
        <w:rPr>
          <w:rFonts w:ascii="Arial" w:eastAsia="Symbol" w:hAnsi="Arial" w:cs="Arial"/>
          <w:sz w:val="20"/>
          <w:szCs w:val="20"/>
        </w:rPr>
        <w:t>×</w:t>
      </w:r>
      <w:r w:rsidR="00446190" w:rsidRPr="005B1CCB">
        <w:rPr>
          <w:rFonts w:ascii="Arial" w:hAnsi="Arial" w:cs="Arial"/>
          <w:sz w:val="20"/>
          <w:szCs w:val="20"/>
        </w:rPr>
        <w:t> </w:t>
      </w:r>
      <w:r w:rsidRPr="005B1CCB">
        <w:rPr>
          <w:rFonts w:ascii="Arial" w:hAnsi="Arial" w:cs="Arial"/>
          <w:sz w:val="20"/>
          <w:szCs w:val="20"/>
        </w:rPr>
        <w:t xml:space="preserve">5 = </w:t>
      </w:r>
      <w:r w:rsidR="00810A60" w:rsidRPr="005B1CCB">
        <w:rPr>
          <w:rFonts w:ascii="Arial" w:hAnsi="Arial" w:cs="Arial"/>
          <w:sz w:val="20"/>
          <w:szCs w:val="20"/>
        </w:rPr>
        <w:t>31,5</w:t>
      </w:r>
      <w:r w:rsidR="00744E67" w:rsidRPr="004E635C">
        <w:rPr>
          <w:rFonts w:ascii="Arial" w:hAnsi="Arial" w:cs="Arial"/>
          <w:szCs w:val="20"/>
        </w:rPr>
        <w:t xml:space="preserve"> </w:t>
      </w:r>
      <w:r w:rsidRPr="005B1CCB">
        <w:rPr>
          <w:rFonts w:ascii="Arial" w:hAnsi="Arial" w:cs="Arial"/>
          <w:sz w:val="20"/>
          <w:szCs w:val="20"/>
        </w:rPr>
        <w:t>MW.</w:t>
      </w:r>
    </w:p>
    <w:p w14:paraId="3C9DAB16" w14:textId="77777777" w:rsidR="00AB266E" w:rsidRPr="005B1CCB" w:rsidRDefault="00A16D48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5B1CCB">
        <w:rPr>
          <w:rFonts w:ascii="Arial" w:hAnsi="Arial" w:cs="Arial"/>
          <w:sz w:val="20"/>
          <w:szCs w:val="20"/>
        </w:rPr>
        <w:t>e</w:t>
      </w:r>
      <w:r w:rsidRPr="005B1CCB">
        <w:rPr>
          <w:rFonts w:ascii="Arial" w:hAnsi="Arial" w:cs="Arial"/>
          <w:sz w:val="20"/>
          <w:szCs w:val="20"/>
        </w:rPr>
        <w:t xml:space="preserve">. O pořízení </w:t>
      </w:r>
      <w:r w:rsidR="00FD1D92" w:rsidRPr="005B1CCB">
        <w:rPr>
          <w:rFonts w:ascii="Arial" w:hAnsi="Arial" w:cs="Arial"/>
          <w:sz w:val="20"/>
          <w:szCs w:val="20"/>
        </w:rPr>
        <w:t xml:space="preserve">Změny </w:t>
      </w:r>
      <w:r w:rsidRPr="005B1CCB">
        <w:rPr>
          <w:rFonts w:ascii="Arial" w:hAnsi="Arial" w:cs="Arial"/>
          <w:sz w:val="20"/>
          <w:szCs w:val="20"/>
        </w:rPr>
        <w:t xml:space="preserve">č. </w:t>
      </w:r>
      <w:r w:rsidR="000D77D6" w:rsidRPr="005B1CCB">
        <w:rPr>
          <w:rFonts w:ascii="Arial" w:hAnsi="Arial" w:cs="Arial"/>
          <w:sz w:val="20"/>
          <w:szCs w:val="20"/>
        </w:rPr>
        <w:t>2</w:t>
      </w:r>
      <w:r w:rsidRPr="005B1CCB">
        <w:rPr>
          <w:rFonts w:ascii="Arial" w:hAnsi="Arial" w:cs="Arial"/>
          <w:sz w:val="20"/>
          <w:szCs w:val="20"/>
        </w:rPr>
        <w:t xml:space="preserve"> </w:t>
      </w:r>
      <w:r w:rsidR="006F5928" w:rsidRPr="005B1CCB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5B1CCB">
        <w:rPr>
          <w:rFonts w:ascii="Arial" w:hAnsi="Arial" w:cs="Arial"/>
          <w:sz w:val="20"/>
          <w:szCs w:val="20"/>
        </w:rPr>
        <w:t>rozhodl</w:t>
      </w:r>
      <w:r w:rsidR="006F5928" w:rsidRPr="005B1CCB">
        <w:rPr>
          <w:rFonts w:ascii="Arial" w:hAnsi="Arial" w:cs="Arial"/>
          <w:sz w:val="20"/>
          <w:szCs w:val="20"/>
        </w:rPr>
        <w:t>a</w:t>
      </w:r>
      <w:r w:rsidRPr="005B1CCB">
        <w:rPr>
          <w:rFonts w:ascii="Arial" w:hAnsi="Arial" w:cs="Arial"/>
          <w:sz w:val="20"/>
          <w:szCs w:val="20"/>
        </w:rPr>
        <w:t xml:space="preserve"> </w:t>
      </w:r>
      <w:r w:rsidR="006F5928" w:rsidRPr="005B1CCB">
        <w:rPr>
          <w:rFonts w:ascii="Arial" w:hAnsi="Arial" w:cs="Arial"/>
          <w:sz w:val="20"/>
          <w:szCs w:val="20"/>
        </w:rPr>
        <w:t>Vláda</w:t>
      </w:r>
      <w:r w:rsidRPr="005B1CCB">
        <w:rPr>
          <w:rFonts w:ascii="Arial" w:hAnsi="Arial" w:cs="Arial"/>
          <w:sz w:val="20"/>
          <w:szCs w:val="20"/>
        </w:rPr>
        <w:t xml:space="preserve"> dne </w:t>
      </w:r>
      <w:r w:rsidR="00AB266E" w:rsidRPr="005B1CCB">
        <w:rPr>
          <w:rFonts w:ascii="Arial" w:hAnsi="Arial" w:cs="Arial"/>
          <w:sz w:val="20"/>
          <w:szCs w:val="20"/>
        </w:rPr>
        <w:t>22. 10. 2025 usnesením č. 811/2025</w:t>
      </w:r>
      <w:r w:rsidRPr="005B1CCB">
        <w:rPr>
          <w:rFonts w:ascii="Arial" w:hAnsi="Arial" w:cs="Arial"/>
          <w:sz w:val="20"/>
          <w:szCs w:val="20"/>
        </w:rPr>
        <w:t>.</w:t>
      </w:r>
      <w:r w:rsidR="000838EF" w:rsidRPr="005B1CCB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5B1CCB" w:rsidRDefault="00A5026B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5B1CCB">
        <w:rPr>
          <w:rFonts w:ascii="Arial" w:hAnsi="Arial" w:cs="Arial"/>
          <w:sz w:val="20"/>
          <w:szCs w:val="20"/>
        </w:rPr>
        <w:t>Vláda ČR</w:t>
      </w:r>
      <w:r w:rsidRPr="005B1CCB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5B1CCB" w:rsidRDefault="00A5026B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0" w:name="_Hlk165554460"/>
      <w:r w:rsidRPr="005B1CCB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0"/>
      <w:r w:rsidRPr="005B1CCB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5B1CCB">
        <w:rPr>
          <w:rFonts w:ascii="Arial" w:hAnsi="Arial" w:cs="Arial"/>
          <w:sz w:val="20"/>
          <w:szCs w:val="20"/>
        </w:rPr>
        <w:t>Ministerstvo pro místní rozvoj</w:t>
      </w:r>
      <w:r w:rsidRPr="005B1CCB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5B1CCB" w:rsidRDefault="004015C4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7C3CE23" w14:textId="77777777" w:rsidR="00AB266E" w:rsidRPr="005B1CCB" w:rsidRDefault="00AB266E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Ing. arch. Martina Kabelková, číslo autorizace ČKA 03 844, projektant oprávněný zpracovat územně plánovací dokumentaci,</w:t>
      </w:r>
    </w:p>
    <w:p w14:paraId="1033C852" w14:textId="77777777" w:rsidR="0026610B" w:rsidRPr="005B1CCB" w:rsidRDefault="00AB266E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lastRenderedPageBreak/>
        <w:t xml:space="preserve">Ing. Pavla Žídková autorizovaná osoba (osvědčení č.j.094/435/OPVŽP/95, prodlouženo rozhodnutím č.j. MZP/2021/710/4653) podle § 19 zákona č. 100/2001 Sb., o posuzování vlivů na životní prostředí, </w:t>
      </w:r>
    </w:p>
    <w:p w14:paraId="2BFD36FD" w14:textId="77777777" w:rsidR="00390283" w:rsidRPr="005B1CCB" w:rsidRDefault="00AB266E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Mgr. Zdeněk Frélich autorizovaná osoba (č.j. autorizace: 101346/ENV/09-3093/630/09 – prodlouženo rozhodnutím č.j. MZP/2024/630/2390 do 30.11.2029) dle § 45j zákona č. 114/1992 Sb., o ochraně přírody a krajiny</w:t>
      </w:r>
      <w:r w:rsidR="00390283" w:rsidRPr="005B1CCB">
        <w:rPr>
          <w:rFonts w:ascii="Arial" w:hAnsi="Arial" w:cs="Arial"/>
          <w:sz w:val="20"/>
          <w:szCs w:val="20"/>
        </w:rPr>
        <w:t>,</w:t>
      </w:r>
    </w:p>
    <w:p w14:paraId="130708F6" w14:textId="77777777" w:rsidR="009210FB" w:rsidRPr="005B1CCB" w:rsidRDefault="00390283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Mgr. Karolína Bílá, Ph.D. autorizovaná osoba (č.j. autorizace MZP/2025/610/714) dle § 67 zákona č. 114/1992 Sb., o ochraně přírody a krajiny</w:t>
      </w:r>
      <w:r w:rsidR="009210FB" w:rsidRPr="005B1CCB">
        <w:rPr>
          <w:rFonts w:ascii="Arial" w:hAnsi="Arial" w:cs="Arial"/>
          <w:sz w:val="20"/>
          <w:szCs w:val="20"/>
        </w:rPr>
        <w:t>,</w:t>
      </w:r>
    </w:p>
    <w:p w14:paraId="192F39C5" w14:textId="0975A1D8" w:rsidR="004015C4" w:rsidRPr="005B1CCB" w:rsidRDefault="009210FB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5B1CCB" w:rsidRDefault="007A4E97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5B1CCB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53560135" w:rsidR="00573B45" w:rsidRPr="005B1CCB" w:rsidRDefault="004E5D06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5B1CCB">
        <w:rPr>
          <w:rFonts w:ascii="Arial" w:hAnsi="Arial" w:cs="Arial"/>
          <w:sz w:val="20"/>
          <w:szCs w:val="20"/>
        </w:rPr>
        <w:t xml:space="preserve">na životní prostředí </w:t>
      </w:r>
      <w:r w:rsidR="00AB266E" w:rsidRPr="005B1CCB">
        <w:rPr>
          <w:rFonts w:ascii="Arial" w:hAnsi="Arial" w:cs="Arial"/>
          <w:sz w:val="20"/>
          <w:szCs w:val="20"/>
        </w:rPr>
        <w:t>– Ing. Pavla Žídková, a osoba s autorizací podle § 45j zákona o ochraně přírody a krajiny – Mgr. Zdeněk Frélich</w:t>
      </w:r>
      <w:r w:rsidR="00573B45" w:rsidRPr="005B1CCB">
        <w:rPr>
          <w:rFonts w:ascii="Arial" w:hAnsi="Arial" w:cs="Arial"/>
          <w:sz w:val="20"/>
          <w:szCs w:val="20"/>
        </w:rPr>
        <w:t xml:space="preserve">. </w:t>
      </w:r>
    </w:p>
    <w:p w14:paraId="2EB50A97" w14:textId="08B2A603" w:rsidR="00573B45" w:rsidRPr="005B1CCB" w:rsidRDefault="00573B45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73DB73C8" w:rsidR="00705070" w:rsidRPr="005B1CCB" w:rsidRDefault="007A4E97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Jako podklad pro návrh podmínek v územním opatřen</w:t>
      </w:r>
      <w:r w:rsidR="7AD1BE39" w:rsidRPr="005B1CCB">
        <w:rPr>
          <w:rFonts w:ascii="Arial" w:hAnsi="Arial" w:cs="Arial"/>
          <w:sz w:val="20"/>
          <w:szCs w:val="20"/>
        </w:rPr>
        <w:t>í</w:t>
      </w:r>
      <w:r w:rsidRPr="005B1CCB">
        <w:rPr>
          <w:rFonts w:ascii="Arial" w:hAnsi="Arial" w:cs="Arial"/>
          <w:sz w:val="20"/>
          <w:szCs w:val="20"/>
        </w:rPr>
        <w:t xml:space="preserve"> zajistil v předstihu orgán ochrany přírody zpracování posouzení podle § 11 odst. 4 ZOZE</w:t>
      </w:r>
      <w:r w:rsidR="00AB266E" w:rsidRPr="005B1CCB">
        <w:rPr>
          <w:rFonts w:ascii="Arial" w:hAnsi="Arial" w:cs="Arial"/>
          <w:sz w:val="20"/>
          <w:szCs w:val="20"/>
        </w:rPr>
        <w:t xml:space="preserve">. Expertní osobou zpracovatele byl Mgr. Radim Kočvara. Posouzení bylo dokončeno dne </w:t>
      </w:r>
      <w:r w:rsidR="005D55BB" w:rsidRPr="005B1CCB">
        <w:rPr>
          <w:rFonts w:ascii="Arial" w:hAnsi="Arial" w:cs="Arial"/>
          <w:sz w:val="20"/>
          <w:szCs w:val="20"/>
        </w:rPr>
        <w:t>10. 12. 2025</w:t>
      </w:r>
      <w:r w:rsidRPr="005B1CCB">
        <w:rPr>
          <w:rFonts w:ascii="Arial" w:hAnsi="Arial" w:cs="Arial"/>
          <w:sz w:val="20"/>
          <w:szCs w:val="20"/>
        </w:rPr>
        <w:t xml:space="preserve">. Posouzení pokrylo celou akcelerační oblast a zabývalo se výskytem volně žijících živočichů, planě rostoucích rostlin a přírodních stanovišť v posuzovaném území. Mezi dokončením posouzení a zahájením projednání návrhu územního opatření uplynula doba </w:t>
      </w:r>
      <w:r w:rsidR="00524347" w:rsidRPr="005B1CCB">
        <w:rPr>
          <w:rFonts w:ascii="Arial" w:hAnsi="Arial" w:cs="Arial"/>
          <w:sz w:val="20"/>
          <w:szCs w:val="20"/>
        </w:rPr>
        <w:t>5 </w:t>
      </w:r>
      <w:r w:rsidRPr="005B1CCB">
        <w:rPr>
          <w:rFonts w:ascii="Arial" w:hAnsi="Arial" w:cs="Arial"/>
          <w:sz w:val="20"/>
          <w:szCs w:val="20"/>
        </w:rPr>
        <w:t>měsíců.</w:t>
      </w:r>
    </w:p>
    <w:p w14:paraId="41689604" w14:textId="21E005A6" w:rsidR="00664196" w:rsidRPr="005B1CCB" w:rsidRDefault="00664196" w:rsidP="004E635C">
      <w:pPr>
        <w:keepNext/>
        <w:spacing w:before="240" w:after="120" w:line="276" w:lineRule="auto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45D4B6FA" w14:textId="60172FBE" w:rsidR="00BB72B1" w:rsidRPr="005B1CCB" w:rsidRDefault="00B42F7B" w:rsidP="005B1C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Podmínk</w:t>
      </w:r>
      <w:r w:rsidR="004E6781" w:rsidRPr="005B1CCB">
        <w:rPr>
          <w:rFonts w:ascii="Arial" w:hAnsi="Arial" w:cs="Arial"/>
          <w:sz w:val="20"/>
          <w:szCs w:val="20"/>
        </w:rPr>
        <w:t>a</w:t>
      </w:r>
      <w:r w:rsidRPr="005B1CCB">
        <w:rPr>
          <w:rFonts w:ascii="Arial" w:hAnsi="Arial" w:cs="Arial"/>
          <w:sz w:val="20"/>
          <w:szCs w:val="20"/>
        </w:rPr>
        <w:t xml:space="preserve"> v odst. 3</w:t>
      </w:r>
      <w:r w:rsidR="00406D1B" w:rsidRPr="005B1CCB">
        <w:rPr>
          <w:rFonts w:ascii="Arial" w:hAnsi="Arial" w:cs="Arial"/>
          <w:sz w:val="20"/>
          <w:szCs w:val="20"/>
        </w:rPr>
        <w:t>.1</w:t>
      </w:r>
      <w:r w:rsidRPr="005B1CCB">
        <w:rPr>
          <w:rFonts w:ascii="Arial" w:hAnsi="Arial" w:cs="Arial"/>
          <w:sz w:val="20"/>
          <w:szCs w:val="20"/>
        </w:rPr>
        <w:t xml:space="preserve"> písm. </w:t>
      </w:r>
      <w:r w:rsidR="00BE6A16" w:rsidRPr="005B1CCB">
        <w:rPr>
          <w:rFonts w:ascii="Arial" w:hAnsi="Arial" w:cs="Arial"/>
          <w:sz w:val="20"/>
          <w:szCs w:val="20"/>
        </w:rPr>
        <w:t xml:space="preserve">a) </w:t>
      </w:r>
      <w:r w:rsidR="00AB266E" w:rsidRPr="005B1CCB">
        <w:rPr>
          <w:rFonts w:ascii="Arial" w:hAnsi="Arial" w:cs="Arial"/>
          <w:sz w:val="20"/>
          <w:szCs w:val="20"/>
        </w:rPr>
        <w:t>je stanovena primárně k zajištění minimalizace vizuálních dopadů na krajinný ráz při současném umožnění výstavby kapacitních větrných elektráren. Nejvyšší bod akcelerační oblasti je ve výšce 6</w:t>
      </w:r>
      <w:r w:rsidR="00F208EB" w:rsidRPr="005B1CCB">
        <w:rPr>
          <w:rFonts w:ascii="Arial" w:hAnsi="Arial" w:cs="Arial"/>
          <w:sz w:val="20"/>
          <w:szCs w:val="20"/>
        </w:rPr>
        <w:t>57,</w:t>
      </w:r>
      <w:r w:rsidR="00524347" w:rsidRPr="005B1CCB">
        <w:rPr>
          <w:rFonts w:ascii="Arial" w:hAnsi="Arial" w:cs="Arial"/>
          <w:sz w:val="20"/>
          <w:szCs w:val="20"/>
        </w:rPr>
        <w:t>0</w:t>
      </w:r>
      <w:r w:rsidR="00AB266E" w:rsidRPr="005B1CCB">
        <w:rPr>
          <w:rFonts w:ascii="Arial" w:hAnsi="Arial" w:cs="Arial"/>
          <w:sz w:val="20"/>
          <w:szCs w:val="20"/>
        </w:rPr>
        <w:t xml:space="preserve"> m. n. m. (</w:t>
      </w:r>
      <w:r w:rsidR="00F208EB" w:rsidRPr="005B1CCB">
        <w:rPr>
          <w:rFonts w:ascii="Arial" w:hAnsi="Arial" w:cs="Arial"/>
          <w:sz w:val="20"/>
          <w:szCs w:val="20"/>
        </w:rPr>
        <w:t>asi polovina Harrachovského kopce</w:t>
      </w:r>
      <w:r w:rsidR="00AB266E" w:rsidRPr="005B1CCB">
        <w:rPr>
          <w:rFonts w:ascii="Arial" w:hAnsi="Arial" w:cs="Arial"/>
          <w:sz w:val="20"/>
          <w:szCs w:val="20"/>
        </w:rPr>
        <w:t xml:space="preserve">), nejnižší pak leží ve výšce </w:t>
      </w:r>
      <w:r w:rsidR="00F208EB" w:rsidRPr="005B1CCB">
        <w:rPr>
          <w:rFonts w:ascii="Arial" w:hAnsi="Arial" w:cs="Arial"/>
          <w:sz w:val="20"/>
          <w:szCs w:val="20"/>
        </w:rPr>
        <w:t>573</w:t>
      </w:r>
      <w:r w:rsidR="00AB266E" w:rsidRPr="005B1CCB">
        <w:rPr>
          <w:rFonts w:ascii="Arial" w:hAnsi="Arial" w:cs="Arial"/>
          <w:sz w:val="20"/>
          <w:szCs w:val="20"/>
        </w:rPr>
        <w:t>,</w:t>
      </w:r>
      <w:r w:rsidR="00F208EB" w:rsidRPr="005B1CCB">
        <w:rPr>
          <w:rFonts w:ascii="Arial" w:hAnsi="Arial" w:cs="Arial"/>
          <w:sz w:val="20"/>
          <w:szCs w:val="20"/>
        </w:rPr>
        <w:t>0</w:t>
      </w:r>
      <w:r w:rsidR="00AB266E" w:rsidRPr="005B1CCB">
        <w:rPr>
          <w:rFonts w:ascii="Arial" w:hAnsi="Arial" w:cs="Arial"/>
          <w:sz w:val="20"/>
          <w:szCs w:val="20"/>
        </w:rPr>
        <w:t xml:space="preserve"> m n. m. (na </w:t>
      </w:r>
      <w:r w:rsidR="00F208EB" w:rsidRPr="005B1CCB">
        <w:rPr>
          <w:rFonts w:ascii="Arial" w:hAnsi="Arial" w:cs="Arial"/>
          <w:sz w:val="20"/>
          <w:szCs w:val="20"/>
        </w:rPr>
        <w:t xml:space="preserve">jižním </w:t>
      </w:r>
      <w:r w:rsidR="00AB266E" w:rsidRPr="005B1CCB">
        <w:rPr>
          <w:rFonts w:ascii="Arial" w:hAnsi="Arial" w:cs="Arial"/>
          <w:sz w:val="20"/>
          <w:szCs w:val="20"/>
        </w:rPr>
        <w:t>okraji akcelerační oblasti u </w:t>
      </w:r>
      <w:r w:rsidR="00F208EB" w:rsidRPr="005B1CCB">
        <w:rPr>
          <w:rFonts w:ascii="Arial" w:hAnsi="Arial" w:cs="Arial"/>
          <w:sz w:val="20"/>
          <w:szCs w:val="20"/>
        </w:rPr>
        <w:t>Lučiny</w:t>
      </w:r>
      <w:r w:rsidR="00AB266E" w:rsidRPr="005B1CCB">
        <w:rPr>
          <w:rFonts w:ascii="Arial" w:hAnsi="Arial" w:cs="Arial"/>
          <w:sz w:val="20"/>
          <w:szCs w:val="20"/>
        </w:rPr>
        <w:t xml:space="preserve">). Převážná většina akcelerační oblasti se nachází ve výškovém rozmezí </w:t>
      </w:r>
      <w:r w:rsidR="00135573" w:rsidRPr="005B1CCB">
        <w:rPr>
          <w:rFonts w:ascii="Arial" w:hAnsi="Arial" w:cs="Arial"/>
          <w:sz w:val="20"/>
          <w:szCs w:val="20"/>
        </w:rPr>
        <w:t>60</w:t>
      </w:r>
      <w:r w:rsidR="00AB266E" w:rsidRPr="005B1CCB">
        <w:rPr>
          <w:rFonts w:ascii="Arial" w:hAnsi="Arial" w:cs="Arial"/>
          <w:sz w:val="20"/>
          <w:szCs w:val="20"/>
        </w:rPr>
        <w:t>0–6</w:t>
      </w:r>
      <w:r w:rsidR="00135573" w:rsidRPr="005B1CCB">
        <w:rPr>
          <w:rFonts w:ascii="Arial" w:hAnsi="Arial" w:cs="Arial"/>
          <w:sz w:val="20"/>
          <w:szCs w:val="20"/>
        </w:rPr>
        <w:t>4</w:t>
      </w:r>
      <w:r w:rsidR="00AB266E" w:rsidRPr="005B1CCB">
        <w:rPr>
          <w:rFonts w:ascii="Arial" w:hAnsi="Arial" w:cs="Arial"/>
          <w:sz w:val="20"/>
          <w:szCs w:val="20"/>
        </w:rPr>
        <w:t xml:space="preserve">0 m n. m., čemuž by odpovídala výška horní úvratě rotoru maximálně </w:t>
      </w:r>
      <w:r w:rsidR="00CB3CE5" w:rsidRPr="005B1CCB">
        <w:rPr>
          <w:rFonts w:ascii="Arial" w:hAnsi="Arial" w:cs="Arial"/>
          <w:sz w:val="20"/>
          <w:szCs w:val="20"/>
        </w:rPr>
        <w:t>85</w:t>
      </w:r>
      <w:r w:rsidR="00AB266E" w:rsidRPr="005B1CCB">
        <w:rPr>
          <w:rFonts w:ascii="Arial" w:hAnsi="Arial" w:cs="Arial"/>
          <w:sz w:val="20"/>
          <w:szCs w:val="20"/>
        </w:rPr>
        <w:t>0–</w:t>
      </w:r>
      <w:r w:rsidR="00135573" w:rsidRPr="005B1CCB">
        <w:rPr>
          <w:rFonts w:ascii="Arial" w:hAnsi="Arial" w:cs="Arial"/>
          <w:sz w:val="20"/>
          <w:szCs w:val="20"/>
        </w:rPr>
        <w:t>8</w:t>
      </w:r>
      <w:r w:rsidR="00CB3CE5" w:rsidRPr="005B1CCB">
        <w:rPr>
          <w:rFonts w:ascii="Arial" w:hAnsi="Arial" w:cs="Arial"/>
          <w:sz w:val="20"/>
          <w:szCs w:val="20"/>
        </w:rPr>
        <w:t>9</w:t>
      </w:r>
      <w:r w:rsidR="00AB266E" w:rsidRPr="005B1CCB">
        <w:rPr>
          <w:rFonts w:ascii="Arial" w:hAnsi="Arial" w:cs="Arial"/>
          <w:sz w:val="20"/>
          <w:szCs w:val="20"/>
        </w:rPr>
        <w:t xml:space="preserve">0 m n. m. Na trhu je k dispozici vícero typů větrných elektráren o výšce od terénu po horní úvrať listů rotorů kolem </w:t>
      </w:r>
      <w:r w:rsidR="00CB3CE5" w:rsidRPr="005B1CCB">
        <w:rPr>
          <w:rFonts w:ascii="Arial" w:hAnsi="Arial" w:cs="Arial"/>
          <w:sz w:val="20"/>
          <w:szCs w:val="20"/>
        </w:rPr>
        <w:t>25</w:t>
      </w:r>
      <w:r w:rsidR="00420431" w:rsidRPr="005B1CCB">
        <w:rPr>
          <w:rFonts w:ascii="Arial" w:hAnsi="Arial" w:cs="Arial"/>
          <w:sz w:val="20"/>
          <w:szCs w:val="20"/>
        </w:rPr>
        <w:t>0</w:t>
      </w:r>
      <w:r w:rsidR="00AB266E" w:rsidRPr="005B1CCB">
        <w:rPr>
          <w:rFonts w:ascii="Arial" w:hAnsi="Arial" w:cs="Arial"/>
          <w:sz w:val="20"/>
          <w:szCs w:val="20"/>
        </w:rPr>
        <w:t xml:space="preserve"> m. Omezení výšky větrných elektráren znamená jistotu a předvídatelnost i z hlediska zajištění bezpečnosti letového provozu. </w:t>
      </w:r>
      <w:bookmarkStart w:id="1" w:name="_Hlk218785154"/>
      <w:r w:rsidR="00BB72B1" w:rsidRPr="005B1CCB">
        <w:rPr>
          <w:rFonts w:ascii="Arial" w:hAnsi="Arial" w:cs="Arial"/>
          <w:sz w:val="20"/>
          <w:szCs w:val="20"/>
        </w:rPr>
        <w:t xml:space="preserve">Dále byl při vymezování akcelerační oblasti v související změně ÚRP </w:t>
      </w:r>
      <w:r w:rsidR="00CB3CE5" w:rsidRPr="005B1CCB">
        <w:rPr>
          <w:rFonts w:ascii="Arial" w:hAnsi="Arial" w:cs="Arial"/>
          <w:sz w:val="20"/>
          <w:szCs w:val="20"/>
        </w:rPr>
        <w:t>prověřen vliv na krajinný ráz, což v této oblasti znamená ověření viditelnosti záměrů vzhledem k hodnotám tohoto území – krajinné dominantě Uhlířského vrchu a pohled na horizont Jeseníků průhledem údolí Moravice. Vlivy na pohled na Uhlířský vrch, kde se nachází krajinná dominanta – nemovitá kulturní památka kostel P. Marie Pomocné (vedená pod rejstříkovým číslem USKP 31063/8-10), od sever</w:t>
      </w:r>
      <w:r w:rsidR="00055BBF" w:rsidRPr="005B1CCB">
        <w:rPr>
          <w:rFonts w:ascii="Arial" w:hAnsi="Arial" w:cs="Arial"/>
          <w:sz w:val="20"/>
          <w:szCs w:val="20"/>
        </w:rPr>
        <w:t>ov</w:t>
      </w:r>
      <w:r w:rsidR="00CB3CE5" w:rsidRPr="005B1CCB">
        <w:rPr>
          <w:rFonts w:ascii="Arial" w:hAnsi="Arial" w:cs="Arial"/>
          <w:sz w:val="20"/>
          <w:szCs w:val="20"/>
        </w:rPr>
        <w:t xml:space="preserve">ýchodu, tj. směrem k akcelerační oblasti, nelze vyloučit, nicméně ve frekventovaném pohledu na Uhlířský vrch směrem k Jeseníkům (z Meziny) by mělo dojít pouze k narušení okrajové části tohoto pohledu, nikoli přímo bezprostřednímu pozadí kostela. Vliv na průhled na Jeseníky údolím Moravice </w:t>
      </w:r>
      <w:r w:rsidR="00055BBF" w:rsidRPr="005B1CCB">
        <w:rPr>
          <w:rFonts w:ascii="Arial" w:hAnsi="Arial" w:cs="Arial"/>
          <w:sz w:val="20"/>
          <w:szCs w:val="20"/>
        </w:rPr>
        <w:t>nebude dotčen</w:t>
      </w:r>
      <w:r w:rsidR="00BB72B1" w:rsidRPr="005B1CCB">
        <w:rPr>
          <w:rFonts w:ascii="Arial" w:hAnsi="Arial" w:cs="Arial"/>
          <w:sz w:val="20"/>
          <w:szCs w:val="20"/>
        </w:rPr>
        <w:t>.</w:t>
      </w:r>
      <w:bookmarkEnd w:id="1"/>
    </w:p>
    <w:p w14:paraId="5E433B05" w14:textId="3AFB550C" w:rsidR="00AB266E" w:rsidRPr="005B1CCB" w:rsidRDefault="00977C75" w:rsidP="005B1C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Podmínka v odst. 3.1 písm. </w:t>
      </w:r>
      <w:r w:rsidR="00BE6A16" w:rsidRPr="005B1CCB">
        <w:rPr>
          <w:rFonts w:ascii="Arial" w:hAnsi="Arial" w:cs="Arial"/>
          <w:sz w:val="20"/>
          <w:szCs w:val="20"/>
        </w:rPr>
        <w:t xml:space="preserve">b) </w:t>
      </w:r>
      <w:r w:rsidRPr="005B1CCB">
        <w:rPr>
          <w:rFonts w:ascii="Arial" w:hAnsi="Arial" w:cs="Arial"/>
          <w:sz w:val="20"/>
          <w:szCs w:val="20"/>
        </w:rPr>
        <w:t xml:space="preserve">je stanovena </w:t>
      </w:r>
      <w:r w:rsidR="00AB266E" w:rsidRPr="005B1CCB">
        <w:rPr>
          <w:rFonts w:ascii="Arial" w:hAnsi="Arial" w:cs="Arial"/>
          <w:sz w:val="20"/>
          <w:szCs w:val="20"/>
        </w:rPr>
        <w:t xml:space="preserve">za účelem </w:t>
      </w:r>
      <w:bookmarkStart w:id="2" w:name="_Hlk214968156"/>
      <w:r w:rsidR="002D782B" w:rsidRPr="005B1CCB">
        <w:rPr>
          <w:rFonts w:ascii="Arial" w:hAnsi="Arial" w:cs="Arial"/>
          <w:sz w:val="20"/>
          <w:szCs w:val="20"/>
        </w:rPr>
        <w:t>ochrany nemovitých kulturních památek a</w:t>
      </w:r>
      <w:bookmarkEnd w:id="2"/>
      <w:r w:rsidR="002D782B" w:rsidRPr="005B1CCB">
        <w:rPr>
          <w:rFonts w:ascii="Arial" w:hAnsi="Arial" w:cs="Arial"/>
          <w:sz w:val="20"/>
          <w:szCs w:val="20"/>
        </w:rPr>
        <w:t> </w:t>
      </w:r>
      <w:r w:rsidR="00AB266E" w:rsidRPr="005B1CCB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</w:t>
      </w:r>
      <w:r w:rsidR="00AB266E" w:rsidRPr="005B1CCB">
        <w:rPr>
          <w:rFonts w:ascii="Arial" w:hAnsi="Arial" w:cs="Arial"/>
          <w:sz w:val="20"/>
          <w:szCs w:val="20"/>
        </w:rPr>
        <w:lastRenderedPageBreak/>
        <w:t>výměra areálů se stavbami / zařízeními pro skladování elektřiny, a to jednak pro 1 záměr OZE,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</w:t>
      </w:r>
      <w:r w:rsidR="00130C7B" w:rsidRPr="005B1CCB">
        <w:rPr>
          <w:rFonts w:ascii="Arial" w:hAnsi="Arial" w:cs="Arial"/>
          <w:sz w:val="20"/>
          <w:szCs w:val="20"/>
        </w:rPr>
        <w:t> </w:t>
      </w:r>
      <w:r w:rsidR="00AB266E" w:rsidRPr="005B1CCB">
        <w:rPr>
          <w:rFonts w:ascii="Arial" w:hAnsi="Arial" w:cs="Arial"/>
          <w:sz w:val="20"/>
          <w:szCs w:val="20"/>
        </w:rPr>
        <w:t>při osazení na soklu na mírně svažitém terénu bez obtíží splnil, a aby umožnil i jiné, krajinářsky citlivější řešení, např. umístění zařízení pro skladování elektřiny v budovách s jinou než rovnou střechou.</w:t>
      </w:r>
    </w:p>
    <w:p w14:paraId="1E3C3864" w14:textId="4D91E09D" w:rsidR="00094740" w:rsidRPr="005B1CCB" w:rsidRDefault="0025271A" w:rsidP="004E635C">
      <w:pPr>
        <w:pStyle w:val="Zkladntext"/>
        <w:spacing w:line="276" w:lineRule="auto"/>
        <w:jc w:val="both"/>
      </w:pPr>
      <w:r w:rsidRPr="005B1CCB">
        <w:t>Podmínka v odst. 3</w:t>
      </w:r>
      <w:r w:rsidR="00406D1B" w:rsidRPr="005B1CCB">
        <w:t>.1</w:t>
      </w:r>
      <w:r w:rsidRPr="005B1CCB">
        <w:t xml:space="preserve"> písm. </w:t>
      </w:r>
      <w:r w:rsidR="00BE6A16" w:rsidRPr="005B1CCB">
        <w:t xml:space="preserve">c) </w:t>
      </w:r>
      <w:r w:rsidRPr="005B1CCB">
        <w:t>je</w:t>
      </w:r>
      <w:r w:rsidR="00094740" w:rsidRPr="005B1CCB">
        <w:t xml:space="preserve"> 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obhospodařované venkovské krajiny, z tohoto důvodu je kladen důraz na</w:t>
      </w:r>
      <w:r w:rsidR="005B1CCB" w:rsidRPr="005B1CCB">
        <w:t>:</w:t>
      </w:r>
    </w:p>
    <w:p w14:paraId="074C0CE7" w14:textId="634F83B4" w:rsidR="00094740" w:rsidRPr="005B1CCB" w:rsidRDefault="00094740" w:rsidP="004E635C">
      <w:pPr>
        <w:pStyle w:val="Zkladntext"/>
        <w:numPr>
          <w:ilvl w:val="0"/>
          <w:numId w:val="17"/>
        </w:numPr>
        <w:spacing w:line="276" w:lineRule="auto"/>
        <w:jc w:val="both"/>
      </w:pPr>
      <w:r w:rsidRPr="005B1CCB">
        <w:t>Použití matných povrchových úprav – ty mají eliminovat odlesky a vizuálně rušivé jevy za</w:t>
      </w:r>
      <w:r w:rsidR="00130C7B" w:rsidRPr="005B1CCB">
        <w:t> </w:t>
      </w:r>
      <w:r w:rsidRPr="005B1CCB">
        <w:t>slunečného počasí.</w:t>
      </w:r>
    </w:p>
    <w:p w14:paraId="0B97B2B8" w14:textId="77777777" w:rsidR="00094740" w:rsidRPr="005B1CCB" w:rsidRDefault="00094740" w:rsidP="004E635C">
      <w:pPr>
        <w:pStyle w:val="Zkladntext"/>
        <w:numPr>
          <w:ilvl w:val="0"/>
          <w:numId w:val="17"/>
        </w:numPr>
        <w:spacing w:line="276" w:lineRule="auto"/>
        <w:jc w:val="both"/>
      </w:pPr>
      <w:r w:rsidRPr="005B1CCB">
        <w:t>Volbu tlumených, přírodních a neutrálních odstínů u vedlejších staveb a technických prvků – cílem je dosažení vizuálního souladu s okolní krajinou a potlačení kontrastů.</w:t>
      </w:r>
    </w:p>
    <w:p w14:paraId="1EEF7467" w14:textId="276F02C5" w:rsidR="00094740" w:rsidRPr="005B1CCB" w:rsidRDefault="00094740" w:rsidP="005B1C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5B1CCB">
        <w:rPr>
          <w:rFonts w:ascii="Arial" w:hAnsi="Arial" w:cs="Arial"/>
          <w:kern w:val="2"/>
          <w:sz w:val="20"/>
          <w:szCs w:val="20"/>
        </w:rPr>
        <w:t>Pohledově exponovaný charakter lokality, zejména směrem od přístupových cest z obc</w:t>
      </w:r>
      <w:r w:rsidR="0005430C" w:rsidRPr="005B1CCB">
        <w:rPr>
          <w:rFonts w:ascii="Arial" w:hAnsi="Arial" w:cs="Arial"/>
          <w:kern w:val="2"/>
          <w:sz w:val="20"/>
          <w:szCs w:val="20"/>
        </w:rPr>
        <w:t>í</w:t>
      </w:r>
      <w:r w:rsidRPr="005B1CCB">
        <w:rPr>
          <w:rFonts w:ascii="Arial" w:hAnsi="Arial" w:cs="Arial"/>
          <w:kern w:val="2"/>
          <w:sz w:val="20"/>
          <w:szCs w:val="20"/>
        </w:rPr>
        <w:t xml:space="preserve"> </w:t>
      </w:r>
      <w:r w:rsidR="0005430C" w:rsidRPr="005B1CCB">
        <w:rPr>
          <w:rFonts w:ascii="Arial" w:hAnsi="Arial" w:cs="Arial"/>
          <w:kern w:val="2"/>
          <w:sz w:val="20"/>
          <w:szCs w:val="20"/>
        </w:rPr>
        <w:t>Rýmařov a Malá Štáhle</w:t>
      </w:r>
      <w:r w:rsidRPr="005B1CCB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</w:p>
    <w:p w14:paraId="462F6FA4" w14:textId="162F72D4" w:rsidR="00094740" w:rsidRPr="005B1CCB" w:rsidRDefault="00F85B4E" w:rsidP="005B1C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Podmínka v odst. 3.1 písm. </w:t>
      </w:r>
      <w:r w:rsidR="00BE6A16" w:rsidRPr="005B1CCB">
        <w:rPr>
          <w:rFonts w:ascii="Arial" w:hAnsi="Arial" w:cs="Arial"/>
          <w:sz w:val="20"/>
          <w:szCs w:val="20"/>
        </w:rPr>
        <w:t xml:space="preserve">d) </w:t>
      </w:r>
      <w:r w:rsidRPr="005B1CCB">
        <w:rPr>
          <w:rFonts w:ascii="Arial" w:hAnsi="Arial" w:cs="Arial"/>
          <w:sz w:val="20"/>
          <w:szCs w:val="20"/>
        </w:rPr>
        <w:t xml:space="preserve">je </w:t>
      </w:r>
      <w:r w:rsidR="00094740" w:rsidRPr="005B1CCB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r w:rsidR="60626DDD" w:rsidRPr="005B1CCB">
        <w:rPr>
          <w:rFonts w:ascii="Arial" w:hAnsi="Arial" w:cs="Arial"/>
          <w:sz w:val="20"/>
          <w:szCs w:val="20"/>
        </w:rPr>
        <w:t xml:space="preserve">, </w:t>
      </w:r>
      <w:r w:rsidR="60626DDD" w:rsidRPr="005B1CCB">
        <w:rPr>
          <w:rFonts w:ascii="Arial" w:eastAsia="Arial" w:hAnsi="Arial" w:cs="Arial"/>
          <w:sz w:val="20"/>
          <w:szCs w:val="20"/>
        </w:rPr>
        <w:t>a také ochranu zájmů ministerstva obrany na vymezení kuželů letového provozu a</w:t>
      </w:r>
      <w:r w:rsidR="005B1CCB" w:rsidRPr="005B1CCB">
        <w:rPr>
          <w:rFonts w:ascii="Arial" w:eastAsia="Arial" w:hAnsi="Arial" w:cs="Arial"/>
          <w:sz w:val="20"/>
          <w:szCs w:val="20"/>
        </w:rPr>
        <w:t> </w:t>
      </w:r>
      <w:r w:rsidR="60626DDD" w:rsidRPr="005B1CCB">
        <w:rPr>
          <w:rFonts w:ascii="Arial" w:eastAsia="Arial" w:hAnsi="Arial" w:cs="Arial"/>
          <w:sz w:val="20"/>
          <w:szCs w:val="20"/>
        </w:rPr>
        <w:t>radioreléového vedení. Bod neomezuje povinnost investora respektovat právní úpravu ZPF a</w:t>
      </w:r>
      <w:r w:rsidR="005B1CCB" w:rsidRPr="005B1CCB">
        <w:rPr>
          <w:rFonts w:ascii="Arial" w:eastAsia="Arial" w:hAnsi="Arial" w:cs="Arial"/>
          <w:sz w:val="20"/>
          <w:szCs w:val="20"/>
        </w:rPr>
        <w:t> </w:t>
      </w:r>
      <w:r w:rsidR="60626DDD" w:rsidRPr="005B1CCB">
        <w:rPr>
          <w:rFonts w:ascii="Arial" w:eastAsia="Arial" w:hAnsi="Arial" w:cs="Arial"/>
          <w:sz w:val="20"/>
          <w:szCs w:val="20"/>
        </w:rPr>
        <w:t>minimalizovat zábor ZPF</w:t>
      </w:r>
      <w:r w:rsidR="00094740" w:rsidRPr="005B1CCB">
        <w:rPr>
          <w:rFonts w:ascii="Arial" w:hAnsi="Arial" w:cs="Arial"/>
          <w:sz w:val="20"/>
          <w:szCs w:val="20"/>
        </w:rPr>
        <w:t>.</w:t>
      </w:r>
    </w:p>
    <w:p w14:paraId="6E48BB39" w14:textId="1585C786" w:rsidR="00645672" w:rsidRPr="005B1CCB" w:rsidRDefault="004D7F45" w:rsidP="005B1C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Podmínka v odst. 3.1 písm. </w:t>
      </w:r>
      <w:r w:rsidR="00BE6A16" w:rsidRPr="005B1CCB">
        <w:rPr>
          <w:rFonts w:ascii="Arial" w:hAnsi="Arial" w:cs="Arial"/>
          <w:sz w:val="20"/>
          <w:szCs w:val="20"/>
        </w:rPr>
        <w:t xml:space="preserve">e) </w:t>
      </w:r>
      <w:r w:rsidRPr="005B1CCB">
        <w:rPr>
          <w:rFonts w:ascii="Arial" w:hAnsi="Arial" w:cs="Arial"/>
          <w:sz w:val="20"/>
          <w:szCs w:val="20"/>
        </w:rPr>
        <w:t xml:space="preserve">je stanovena </w:t>
      </w:r>
      <w:r w:rsidR="00094740" w:rsidRPr="005B1CCB">
        <w:rPr>
          <w:rFonts w:ascii="Arial" w:hAnsi="Arial" w:cs="Arial"/>
          <w:sz w:val="20"/>
          <w:szCs w:val="20"/>
        </w:rPr>
        <w:t>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077D1899" w:rsidRPr="005B1CCB">
        <w:rPr>
          <w:rFonts w:ascii="Arial" w:hAnsi="Arial" w:cs="Arial"/>
          <w:sz w:val="20"/>
          <w:szCs w:val="20"/>
        </w:rPr>
        <w:t>.</w:t>
      </w:r>
    </w:p>
    <w:p w14:paraId="40EE43F3" w14:textId="3554E617" w:rsidR="00094740" w:rsidRPr="005B1CCB" w:rsidRDefault="004D7F45" w:rsidP="005B1C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Podmínka v odst. 3.1 písm. </w:t>
      </w:r>
      <w:r w:rsidR="00BE6A16" w:rsidRPr="005B1CCB">
        <w:rPr>
          <w:rFonts w:ascii="Arial" w:hAnsi="Arial" w:cs="Arial"/>
          <w:sz w:val="20"/>
          <w:szCs w:val="20"/>
        </w:rPr>
        <w:t xml:space="preserve">f) </w:t>
      </w:r>
      <w:r w:rsidR="00094740" w:rsidRPr="005B1CCB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261A987A" w:rsidRPr="005B1CCB">
        <w:rPr>
          <w:rFonts w:ascii="Arial" w:hAnsi="Arial" w:cs="Arial"/>
          <w:sz w:val="20"/>
          <w:szCs w:val="20"/>
        </w:rPr>
        <w:t>,</w:t>
      </w:r>
      <w:r w:rsidR="00094740" w:rsidRPr="005B1CCB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4DDBC1DE" w:rsidRPr="005B1CCB">
        <w:rPr>
          <w:rFonts w:ascii="Arial" w:hAnsi="Arial" w:cs="Arial"/>
          <w:sz w:val="20"/>
          <w:szCs w:val="20"/>
        </w:rPr>
        <w:t xml:space="preserve"> </w:t>
      </w:r>
      <w:r w:rsidR="4DDBC1DE" w:rsidRPr="005B1CCB">
        <w:rPr>
          <w:rFonts w:ascii="Arial" w:eastAsia="Arial" w:hAnsi="Arial" w:cs="Arial"/>
          <w:sz w:val="20"/>
          <w:szCs w:val="20"/>
        </w:rPr>
        <w:t>a minimalizace odnětí pozemků ze ZPF</w:t>
      </w:r>
      <w:r w:rsidR="00094740" w:rsidRPr="005B1CCB">
        <w:rPr>
          <w:rFonts w:ascii="Arial" w:hAnsi="Arial" w:cs="Arial"/>
          <w:sz w:val="20"/>
          <w:szCs w:val="20"/>
        </w:rPr>
        <w:t>.</w:t>
      </w:r>
    </w:p>
    <w:p w14:paraId="0FB18AB6" w14:textId="0F81EDDD" w:rsidR="00094740" w:rsidRPr="005B1CCB" w:rsidRDefault="00094740" w:rsidP="005B1C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5B1CCB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0E6D4E" w:rsidRPr="005B1CCB">
        <w:rPr>
          <w:rFonts w:ascii="Arial" w:hAnsi="Arial" w:cs="Arial"/>
          <w:sz w:val="20"/>
          <w:szCs w:val="20"/>
        </w:rPr>
        <w:t> </w:t>
      </w:r>
      <w:r w:rsidRPr="005B1CCB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p w14:paraId="7E10C49F" w14:textId="150BC73E" w:rsidR="004D7F45" w:rsidRPr="005B1CCB" w:rsidRDefault="004D7F45" w:rsidP="005B1C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 xml:space="preserve">Podmínka v odst. 3.1 písm. </w:t>
      </w:r>
      <w:r w:rsidR="00BE6A16" w:rsidRPr="005B1CCB">
        <w:rPr>
          <w:rFonts w:ascii="Arial" w:hAnsi="Arial" w:cs="Arial"/>
          <w:sz w:val="20"/>
          <w:szCs w:val="20"/>
        </w:rPr>
        <w:t xml:space="preserve">h) </w:t>
      </w:r>
      <w:r w:rsidR="00094740" w:rsidRPr="005B1CCB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Podmínka cílí zejména na pozemky, na kterých se nachází </w:t>
      </w:r>
      <w:r w:rsidR="0061274F" w:rsidRPr="005B1CCB">
        <w:rPr>
          <w:rFonts w:ascii="Arial" w:hAnsi="Arial" w:cs="Arial"/>
          <w:sz w:val="20"/>
          <w:szCs w:val="20"/>
        </w:rPr>
        <w:t>drobné a</w:t>
      </w:r>
      <w:r w:rsidR="000E6D4E" w:rsidRPr="005B1CCB">
        <w:rPr>
          <w:rFonts w:ascii="Arial" w:hAnsi="Arial" w:cs="Arial"/>
          <w:sz w:val="20"/>
          <w:szCs w:val="20"/>
        </w:rPr>
        <w:t> </w:t>
      </w:r>
      <w:r w:rsidR="0061274F" w:rsidRPr="005B1CCB">
        <w:rPr>
          <w:rFonts w:ascii="Arial" w:hAnsi="Arial" w:cs="Arial"/>
          <w:sz w:val="20"/>
          <w:szCs w:val="20"/>
        </w:rPr>
        <w:t>občasné</w:t>
      </w:r>
      <w:r w:rsidR="00094740" w:rsidRPr="005B1CCB">
        <w:rPr>
          <w:rFonts w:ascii="Arial" w:hAnsi="Arial" w:cs="Arial"/>
          <w:sz w:val="20"/>
          <w:szCs w:val="20"/>
        </w:rPr>
        <w:t xml:space="preserve"> vodní toky a nádrže </w:t>
      </w:r>
      <w:r w:rsidR="0061274F" w:rsidRPr="005B1CCB">
        <w:rPr>
          <w:rFonts w:ascii="Arial" w:hAnsi="Arial" w:cs="Arial"/>
          <w:sz w:val="20"/>
          <w:szCs w:val="20"/>
        </w:rPr>
        <w:t xml:space="preserve">na </w:t>
      </w:r>
      <w:r w:rsidR="009B4BEB" w:rsidRPr="005B1CCB">
        <w:rPr>
          <w:rFonts w:ascii="Arial" w:hAnsi="Arial" w:cs="Arial"/>
          <w:sz w:val="20"/>
          <w:szCs w:val="20"/>
        </w:rPr>
        <w:t>levobřežních přítocích Podolského</w:t>
      </w:r>
      <w:r w:rsidR="0061274F" w:rsidRPr="005B1CCB">
        <w:rPr>
          <w:rFonts w:ascii="Arial" w:hAnsi="Arial" w:cs="Arial"/>
          <w:sz w:val="20"/>
          <w:szCs w:val="20"/>
        </w:rPr>
        <w:t xml:space="preserve"> potoka</w:t>
      </w:r>
      <w:r w:rsidR="009B4BEB" w:rsidRPr="005B1CCB">
        <w:rPr>
          <w:rFonts w:ascii="Arial" w:hAnsi="Arial" w:cs="Arial"/>
          <w:sz w:val="20"/>
          <w:szCs w:val="20"/>
        </w:rPr>
        <w:t xml:space="preserve"> a Lučiny</w:t>
      </w:r>
      <w:r w:rsidR="00094740" w:rsidRPr="005B1CCB">
        <w:rPr>
          <w:rFonts w:ascii="Arial" w:hAnsi="Arial" w:cs="Arial"/>
          <w:sz w:val="20"/>
          <w:szCs w:val="20"/>
        </w:rPr>
        <w:t>, vztahuje se ale i</w:t>
      </w:r>
      <w:r w:rsidR="000E6D4E" w:rsidRPr="005B1CCB">
        <w:rPr>
          <w:rFonts w:ascii="Arial" w:hAnsi="Arial" w:cs="Arial"/>
          <w:sz w:val="20"/>
          <w:szCs w:val="20"/>
        </w:rPr>
        <w:t> </w:t>
      </w:r>
      <w:r w:rsidR="00094740" w:rsidRPr="005B1CCB">
        <w:rPr>
          <w:rFonts w:ascii="Arial" w:hAnsi="Arial" w:cs="Arial"/>
          <w:sz w:val="20"/>
          <w:szCs w:val="20"/>
        </w:rPr>
        <w:t xml:space="preserve">na další pozemky v akcelerační oblasti, pokud by měly charakter mokřadu, trvalého či občasného vodního toku. </w:t>
      </w:r>
      <w:r w:rsidR="009B4BEB" w:rsidRPr="005B1CCB">
        <w:rPr>
          <w:rFonts w:ascii="Arial" w:hAnsi="Arial" w:cs="Arial"/>
          <w:sz w:val="20"/>
          <w:szCs w:val="20"/>
        </w:rPr>
        <w:t>S</w:t>
      </w:r>
      <w:r w:rsidR="0061274F" w:rsidRPr="005B1CCB">
        <w:rPr>
          <w:rFonts w:ascii="Arial" w:hAnsi="Arial" w:cs="Arial"/>
          <w:sz w:val="20"/>
          <w:szCs w:val="20"/>
        </w:rPr>
        <w:t xml:space="preserve">amotný tok </w:t>
      </w:r>
      <w:r w:rsidR="009B4BEB" w:rsidRPr="005B1CCB">
        <w:rPr>
          <w:rFonts w:ascii="Arial" w:hAnsi="Arial" w:cs="Arial"/>
          <w:sz w:val="20"/>
          <w:szCs w:val="20"/>
        </w:rPr>
        <w:t xml:space="preserve">Lučina </w:t>
      </w:r>
      <w:r w:rsidR="0061274F" w:rsidRPr="005B1CCB">
        <w:rPr>
          <w:rFonts w:ascii="Arial" w:hAnsi="Arial" w:cs="Arial"/>
          <w:sz w:val="20"/>
          <w:szCs w:val="20"/>
        </w:rPr>
        <w:t xml:space="preserve">a jeho okolí jsou z možnosti umísťování OZE vyjmuty. </w:t>
      </w:r>
      <w:r w:rsidR="00094740" w:rsidRPr="005B1CCB">
        <w:rPr>
          <w:rFonts w:ascii="Arial" w:hAnsi="Arial" w:cs="Arial"/>
          <w:sz w:val="20"/>
          <w:szCs w:val="20"/>
        </w:rPr>
        <w:t>Obecná ustanovení právních předpisů, která požadují minimalizaci zásahů do vodních poměrů v území bez ohledu na typ území (např. § 148 odst. 1 písm. g) stavebního zákona, § 6 odst. 3 zákona č.</w:t>
      </w:r>
      <w:r w:rsidR="00F8371A" w:rsidRPr="005B1CCB">
        <w:rPr>
          <w:rFonts w:ascii="Arial" w:hAnsi="Arial" w:cs="Arial"/>
          <w:sz w:val="20"/>
          <w:szCs w:val="20"/>
        </w:rPr>
        <w:t> </w:t>
      </w:r>
      <w:r w:rsidR="00094740" w:rsidRPr="005B1CCB">
        <w:rPr>
          <w:rFonts w:ascii="Arial" w:hAnsi="Arial" w:cs="Arial"/>
          <w:sz w:val="20"/>
          <w:szCs w:val="20"/>
        </w:rPr>
        <w:t>254/2001</w:t>
      </w:r>
      <w:r w:rsidR="000E6D4E" w:rsidRPr="005B1CCB">
        <w:rPr>
          <w:rFonts w:ascii="Arial" w:hAnsi="Arial" w:cs="Arial"/>
          <w:sz w:val="20"/>
          <w:szCs w:val="20"/>
        </w:rPr>
        <w:t> </w:t>
      </w:r>
      <w:r w:rsidR="00094740" w:rsidRPr="005B1CCB">
        <w:rPr>
          <w:rFonts w:ascii="Arial" w:hAnsi="Arial" w:cs="Arial"/>
          <w:sz w:val="20"/>
          <w:szCs w:val="20"/>
        </w:rPr>
        <w:t xml:space="preserve">Sb., o vodách a o změně některých zákonů (vodní zákon), ve znění pozdějších předpisů, </w:t>
      </w:r>
      <w:r w:rsidR="00094740" w:rsidRPr="005B1CCB">
        <w:rPr>
          <w:rFonts w:ascii="Arial" w:hAnsi="Arial" w:cs="Arial"/>
          <w:sz w:val="20"/>
          <w:szCs w:val="20"/>
        </w:rPr>
        <w:lastRenderedPageBreak/>
        <w:t>§</w:t>
      </w:r>
      <w:r w:rsidR="005B1CCB">
        <w:rPr>
          <w:rFonts w:ascii="Arial" w:hAnsi="Arial" w:cs="Arial"/>
          <w:sz w:val="20"/>
          <w:szCs w:val="20"/>
        </w:rPr>
        <w:t> </w:t>
      </w:r>
      <w:r w:rsidR="00094740" w:rsidRPr="005B1CCB">
        <w:rPr>
          <w:rFonts w:ascii="Arial" w:hAnsi="Arial" w:cs="Arial"/>
          <w:sz w:val="20"/>
          <w:szCs w:val="20"/>
        </w:rPr>
        <w:t>4 odst. 1 písm. h) zákona č. 334/1992 Sb., o ochraně zemědělského půdního fondu, ve znění pozdějších předpisů) tím nejsou dotčena</w:t>
      </w:r>
      <w:r w:rsidRPr="005B1CCB">
        <w:rPr>
          <w:rFonts w:ascii="Arial" w:hAnsi="Arial" w:cs="Arial"/>
          <w:sz w:val="20"/>
          <w:szCs w:val="20"/>
        </w:rPr>
        <w:t>.</w:t>
      </w:r>
    </w:p>
    <w:p w14:paraId="19396962" w14:textId="498578EC" w:rsidR="000247D2" w:rsidRPr="005B1CCB" w:rsidRDefault="000247D2" w:rsidP="005B1C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Podmínka v odst. 3</w:t>
      </w:r>
      <w:r w:rsidR="00406D1B" w:rsidRPr="005B1CCB">
        <w:rPr>
          <w:rFonts w:ascii="Arial" w:hAnsi="Arial" w:cs="Arial"/>
          <w:sz w:val="20"/>
          <w:szCs w:val="20"/>
        </w:rPr>
        <w:t>.1</w:t>
      </w:r>
      <w:r w:rsidRPr="005B1CCB">
        <w:rPr>
          <w:rFonts w:ascii="Arial" w:hAnsi="Arial" w:cs="Arial"/>
          <w:sz w:val="20"/>
          <w:szCs w:val="20"/>
        </w:rPr>
        <w:t xml:space="preserve"> písm. </w:t>
      </w:r>
      <w:r w:rsidR="00BE6A16" w:rsidRPr="005B1CCB">
        <w:rPr>
          <w:rFonts w:ascii="Arial" w:hAnsi="Arial" w:cs="Arial"/>
          <w:sz w:val="20"/>
          <w:szCs w:val="20"/>
        </w:rPr>
        <w:t xml:space="preserve">i) </w:t>
      </w:r>
      <w:r w:rsidR="00EA3EF7" w:rsidRPr="005B1CCB">
        <w:rPr>
          <w:rFonts w:ascii="Arial" w:hAnsi="Arial" w:cs="Arial"/>
          <w:sz w:val="20"/>
          <w:szCs w:val="20"/>
        </w:rPr>
        <w:t xml:space="preserve">je </w:t>
      </w:r>
      <w:r w:rsidR="0061274F" w:rsidRPr="005B1CCB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1C2799" w:rsidRPr="005B1CCB">
        <w:rPr>
          <w:rFonts w:ascii="Arial" w:hAnsi="Arial" w:cs="Arial"/>
          <w:sz w:val="20"/>
          <w:szCs w:val="20"/>
        </w:rPr>
        <w:t xml:space="preserve"> a regionální</w:t>
      </w:r>
      <w:r w:rsidR="0061274F" w:rsidRPr="005B1CCB">
        <w:rPr>
          <w:rFonts w:ascii="Arial" w:hAnsi="Arial" w:cs="Arial"/>
          <w:sz w:val="20"/>
          <w:szCs w:val="20"/>
        </w:rPr>
        <w:t xml:space="preserve"> biocentra tak, že se jim vyhýbá, s ohledem na</w:t>
      </w:r>
      <w:r w:rsidR="00823F99" w:rsidRPr="005B1CCB">
        <w:rPr>
          <w:rFonts w:ascii="Arial" w:hAnsi="Arial" w:cs="Arial"/>
          <w:sz w:val="20"/>
          <w:szCs w:val="20"/>
        </w:rPr>
        <w:t> </w:t>
      </w:r>
      <w:r w:rsidR="0061274F" w:rsidRPr="005B1CCB">
        <w:rPr>
          <w:rFonts w:ascii="Arial" w:hAnsi="Arial" w:cs="Arial"/>
          <w:sz w:val="20"/>
          <w:szCs w:val="20"/>
        </w:rPr>
        <w:t>měřítko a 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 vymezený prvek ÚSES je v tomto případně minimální a jeho funkčnost nenarušuje</w:t>
      </w:r>
      <w:r w:rsidR="00EA3EF7" w:rsidRPr="005B1CCB">
        <w:rPr>
          <w:rFonts w:ascii="Arial" w:hAnsi="Arial" w:cs="Arial"/>
          <w:sz w:val="20"/>
          <w:szCs w:val="20"/>
        </w:rPr>
        <w:t>.</w:t>
      </w:r>
    </w:p>
    <w:p w14:paraId="2F56BFA9" w14:textId="007D8E1E" w:rsidR="00CD4CAD" w:rsidRPr="004E635C" w:rsidRDefault="000247D2" w:rsidP="005B1CCB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5B1CCB">
        <w:rPr>
          <w:rFonts w:ascii="Arial" w:hAnsi="Arial" w:cs="Arial"/>
          <w:sz w:val="20"/>
          <w:szCs w:val="20"/>
        </w:rPr>
        <w:t>Podmínka v odst. 3</w:t>
      </w:r>
      <w:r w:rsidR="00406D1B" w:rsidRPr="005B1CCB">
        <w:rPr>
          <w:rFonts w:ascii="Arial" w:hAnsi="Arial" w:cs="Arial"/>
          <w:sz w:val="20"/>
          <w:szCs w:val="20"/>
        </w:rPr>
        <w:t>.1</w:t>
      </w:r>
      <w:r w:rsidRPr="005B1CCB">
        <w:rPr>
          <w:rFonts w:ascii="Arial" w:hAnsi="Arial" w:cs="Arial"/>
          <w:sz w:val="20"/>
          <w:szCs w:val="20"/>
        </w:rPr>
        <w:t xml:space="preserve"> písm. </w:t>
      </w:r>
      <w:r w:rsidR="00BE6A16" w:rsidRPr="005B1CCB">
        <w:rPr>
          <w:rFonts w:ascii="Arial" w:hAnsi="Arial" w:cs="Arial"/>
          <w:sz w:val="20"/>
          <w:szCs w:val="20"/>
        </w:rPr>
        <w:t xml:space="preserve">j) </w:t>
      </w:r>
      <w:r w:rsidR="35009C15" w:rsidRPr="005B1CCB">
        <w:rPr>
          <w:rFonts w:ascii="Arial" w:eastAsia="Arial" w:hAnsi="Arial" w:cs="Arial"/>
          <w:color w:val="000000" w:themeColor="text1"/>
          <w:sz w:val="20"/>
          <w:szCs w:val="20"/>
        </w:rPr>
        <w:t>je stanovena za účelem ochrany ptáků</w:t>
      </w:r>
      <w:r w:rsidR="52361D27"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 w:rsidR="52361D27" w:rsidRPr="005B1CCB">
        <w:rPr>
          <w:rFonts w:ascii="Arial" w:eastAsia="Arial" w:hAnsi="Arial" w:cs="Arial"/>
          <w:sz w:val="20"/>
          <w:szCs w:val="20"/>
        </w:rPr>
        <w:t>a netopýrů</w:t>
      </w:r>
      <w:r w:rsidR="35009C15"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, zejména na ochranu druhů: </w:t>
      </w:r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>jeřáb popelavý (</w:t>
      </w:r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Grus 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grus</w:t>
      </w:r>
      <w:proofErr w:type="spellEnd"/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</w:t>
      </w:r>
      <w:proofErr w:type="spellEnd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nigra</w:t>
      </w:r>
      <w:proofErr w:type="spellEnd"/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>), moták pilich (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cyaneus</w:t>
      </w:r>
      <w:proofErr w:type="spellEnd"/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), </w:t>
      </w:r>
      <w:r w:rsidR="35924B64" w:rsidRPr="005B1CCB">
        <w:rPr>
          <w:rFonts w:ascii="Arial" w:eastAsia="Arial" w:hAnsi="Arial" w:cs="Arial"/>
          <w:color w:val="000000" w:themeColor="text1"/>
          <w:sz w:val="20"/>
          <w:szCs w:val="20"/>
        </w:rPr>
        <w:t>moták lužní (</w:t>
      </w:r>
      <w:proofErr w:type="spellStart"/>
      <w:r w:rsidR="35924B6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="35924B6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35924B6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pygargus</w:t>
      </w:r>
      <w:proofErr w:type="spellEnd"/>
      <w:r w:rsidR="35924B64" w:rsidRPr="005B1CCB">
        <w:rPr>
          <w:rFonts w:ascii="Arial" w:eastAsia="Arial" w:hAnsi="Arial" w:cs="Arial"/>
          <w:color w:val="000000" w:themeColor="text1"/>
          <w:sz w:val="20"/>
          <w:szCs w:val="20"/>
        </w:rPr>
        <w:t>),</w:t>
      </w:r>
      <w:r w:rsidR="35924B64" w:rsidRPr="005B1CCB">
        <w:rPr>
          <w:rFonts w:ascii="Arial" w:eastAsia="Arial" w:hAnsi="Arial" w:cs="Arial"/>
          <w:sz w:val="20"/>
          <w:szCs w:val="20"/>
        </w:rPr>
        <w:t xml:space="preserve"> </w:t>
      </w:r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káně lesní </w:t>
      </w:r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(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>), káně rousná (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lagopus</w:t>
      </w:r>
      <w:proofErr w:type="spellEnd"/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>), chřástal polní (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Crex</w:t>
      </w:r>
      <w:proofErr w:type="spellEnd"/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proofErr w:type="spellStart"/>
      <w:r w:rsidR="4E34B254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crex</w:t>
      </w:r>
      <w:proofErr w:type="spellEnd"/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721714C9" w:rsidRPr="005B1CCB">
        <w:rPr>
          <w:rFonts w:ascii="Arial" w:eastAsia="Arial" w:hAnsi="Arial" w:cs="Arial"/>
          <w:color w:val="000000" w:themeColor="text1"/>
          <w:sz w:val="20"/>
          <w:szCs w:val="20"/>
        </w:rPr>
        <w:t>,</w:t>
      </w:r>
      <w:r w:rsidR="1399D6D5"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 křepelka polní (</w:t>
      </w:r>
      <w:proofErr w:type="spellStart"/>
      <w:r w:rsidR="1399D6D5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Coturnix</w:t>
      </w:r>
      <w:proofErr w:type="spellEnd"/>
      <w:r w:rsidR="1399D6D5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1399D6D5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coturnix</w:t>
      </w:r>
      <w:proofErr w:type="spellEnd"/>
      <w:r w:rsidR="1399D6D5" w:rsidRPr="005B1CCB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6F0F6598"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, </w:t>
      </w:r>
      <w:r w:rsidR="6F0F6598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netopýr velký (</w:t>
      </w:r>
      <w:proofErr w:type="spellStart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6F0F6598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hvízdavý (</w:t>
      </w:r>
      <w:proofErr w:type="spellStart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Pipistrellus</w:t>
      </w:r>
      <w:proofErr w:type="spellEnd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pipistrellus</w:t>
      </w:r>
      <w:proofErr w:type="spellEnd"/>
      <w:r w:rsidR="6F0F6598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rezavý (</w:t>
      </w:r>
      <w:proofErr w:type="spellStart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Nyctalus</w:t>
      </w:r>
      <w:proofErr w:type="spellEnd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noctula</w:t>
      </w:r>
      <w:proofErr w:type="spellEnd"/>
      <w:r w:rsidR="6F0F6598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</w:t>
      </w:r>
      <w:r w:rsidR="005B1CCB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, netopýr vodní (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daubentonii</w:t>
      </w:r>
      <w:proofErr w:type="spellEnd"/>
      <w:r w:rsidR="005B1CCB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večerní (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Eptesicus</w:t>
      </w:r>
      <w:proofErr w:type="spellEnd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serotinus</w:t>
      </w:r>
      <w:proofErr w:type="spellEnd"/>
      <w:r w:rsidR="005B1CCB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severní (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Eptesicus</w:t>
      </w:r>
      <w:proofErr w:type="spellEnd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nilssonii</w:t>
      </w:r>
      <w:proofErr w:type="spellEnd"/>
      <w:r w:rsidR="005B1CCB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černý (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Barbastella</w:t>
      </w:r>
      <w:proofErr w:type="spellEnd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barbastellus</w:t>
      </w:r>
      <w:proofErr w:type="spellEnd"/>
      <w:r w:rsidR="005B1CCB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</w:t>
      </w:r>
      <w:r w:rsidR="6F0F6598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 a netopýr vousatý (</w:t>
      </w:r>
      <w:proofErr w:type="spellStart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6F0F6598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mystacinus</w:t>
      </w:r>
      <w:proofErr w:type="spellEnd"/>
      <w:r w:rsidR="6F0F6598" w:rsidRPr="005B1CCB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</w:t>
      </w:r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>, jejichž výskyt v blízkém okolí území byl prokázán. P</w:t>
      </w:r>
      <w:r w:rsidR="008B03DA" w:rsidRPr="005B1CCB">
        <w:rPr>
          <w:rFonts w:ascii="Arial" w:eastAsia="Arial" w:hAnsi="Arial" w:cs="Arial"/>
          <w:color w:val="000000" w:themeColor="text1"/>
          <w:sz w:val="20"/>
          <w:szCs w:val="20"/>
        </w:rPr>
        <w:t>odle biologického posouzení</w:t>
      </w:r>
      <w:r w:rsidR="4E34B254"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 je u hnízdišť a potravních biotopů těchto druhů vhodné využít technických řešení k omezení rizika úrazů a mortality na vedení VN, z důvodu hnízdění na VTE nebo v důsledku </w:t>
      </w:r>
      <w:r w:rsidR="4E34B254" w:rsidRPr="004E635C">
        <w:rPr>
          <w:rFonts w:ascii="Arial" w:eastAsia="Arial" w:hAnsi="Arial" w:cs="Arial"/>
          <w:color w:val="000000" w:themeColor="text1"/>
          <w:sz w:val="20"/>
          <w:szCs w:val="20"/>
        </w:rPr>
        <w:t>kolize s lopatkami VTE. Přestože umístění akcelerační oblasti respektuje mapy citlivosti ptáků</w:t>
      </w:r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 xml:space="preserve"> a</w:t>
      </w:r>
      <w:r w:rsidR="4E34B254" w:rsidRPr="004E635C">
        <w:rPr>
          <w:rFonts w:ascii="Arial" w:eastAsia="Arial" w:hAnsi="Arial" w:cs="Arial"/>
          <w:color w:val="000000" w:themeColor="text1"/>
          <w:sz w:val="20"/>
          <w:szCs w:val="20"/>
        </w:rPr>
        <w:t xml:space="preserve"> oblasti s vysokým a</w:t>
      </w:r>
      <w:r w:rsidR="000E6D4E" w:rsidRPr="004E635C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4E34B254" w:rsidRPr="004E635C">
        <w:rPr>
          <w:rFonts w:ascii="Arial" w:eastAsia="Arial" w:hAnsi="Arial" w:cs="Arial"/>
          <w:color w:val="000000" w:themeColor="text1"/>
          <w:sz w:val="20"/>
          <w:szCs w:val="20"/>
        </w:rPr>
        <w:t>extrémním rizikem byly z návrhu vyloučeny, nebylo možné se vyhnout všem detekovaným místům výskytu citlivých, vzácných a ohrožených druhů ptáků</w:t>
      </w:r>
      <w:r w:rsidR="53FBB796" w:rsidRPr="004E635C">
        <w:rPr>
          <w:rFonts w:ascii="Arial" w:eastAsia="Arial" w:hAnsi="Arial" w:cs="Arial"/>
          <w:color w:val="000000" w:themeColor="text1"/>
          <w:sz w:val="20"/>
          <w:szCs w:val="20"/>
        </w:rPr>
        <w:t xml:space="preserve"> a netopýrů</w:t>
      </w:r>
      <w:r w:rsidR="4E34B254" w:rsidRPr="004E635C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3666B113" w14:textId="44E1B581" w:rsidR="001C2799" w:rsidRPr="004E635C" w:rsidRDefault="001C2799" w:rsidP="005B1C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E635C">
        <w:rPr>
          <w:rFonts w:ascii="Arial" w:hAnsi="Arial" w:cs="Arial"/>
          <w:sz w:val="20"/>
          <w:szCs w:val="20"/>
        </w:rPr>
        <w:t xml:space="preserve">Podmínka v odst. 3.1 písm. k) je stanovena za účelem ochrany </w:t>
      </w:r>
      <w:r w:rsidR="3CF48B41" w:rsidRPr="004E635C">
        <w:rPr>
          <w:rFonts w:ascii="Arial" w:eastAsia="Arial" w:hAnsi="Arial" w:cs="Arial"/>
          <w:sz w:val="20"/>
          <w:szCs w:val="20"/>
        </w:rPr>
        <w:t>veřejného zdraví, zejména s 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</w:t>
      </w:r>
      <w:r w:rsidRPr="004E635C">
        <w:rPr>
          <w:rFonts w:ascii="Arial" w:hAnsi="Arial" w:cs="Arial"/>
          <w:sz w:val="20"/>
          <w:szCs w:val="20"/>
        </w:rPr>
        <w:t>.</w:t>
      </w:r>
    </w:p>
    <w:p w14:paraId="666AB73F" w14:textId="3EB20BC9" w:rsidR="001C2799" w:rsidRPr="004E635C" w:rsidRDefault="001C2799" w:rsidP="005B1C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E635C">
        <w:rPr>
          <w:rFonts w:ascii="Arial" w:hAnsi="Arial" w:cs="Arial"/>
          <w:sz w:val="20"/>
          <w:szCs w:val="20"/>
        </w:rPr>
        <w:t>Podmínka v odst. 3.1 písm. l) je stanovena za účelem ochrany zdravých životních podmínek v obytné zástavbě sídel, v jejichž sousedství se akcelerační oblast rozkládá, zejména s ohledem na možné nepříjemné světelné efekty.</w:t>
      </w:r>
    </w:p>
    <w:p w14:paraId="0DA2D394" w14:textId="5BD08CFC" w:rsidR="230F213C" w:rsidRPr="005B1CCB" w:rsidRDefault="230F213C" w:rsidP="005B1CCB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m) je stanovena za účelem snížení</w:t>
      </w:r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 stresového působení VTE na ptáky, jedná se zejména o druhy: jeřáb popelavý (</w:t>
      </w:r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Grus 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grus</w:t>
      </w:r>
      <w:proofErr w:type="spellEnd"/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</w:t>
      </w:r>
      <w:proofErr w:type="spellEnd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nigra</w:t>
      </w:r>
      <w:proofErr w:type="spellEnd"/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>), moták pilich (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cyaneus</w:t>
      </w:r>
      <w:proofErr w:type="spellEnd"/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>), moták lužní (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pygargus</w:t>
      </w:r>
      <w:proofErr w:type="spellEnd"/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>),</w:t>
      </w:r>
      <w:r w:rsidRPr="005B1CCB">
        <w:rPr>
          <w:rFonts w:ascii="Arial" w:eastAsia="Arial" w:hAnsi="Arial" w:cs="Arial"/>
          <w:sz w:val="20"/>
          <w:szCs w:val="20"/>
        </w:rPr>
        <w:t xml:space="preserve"> </w:t>
      </w:r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káně lesní </w:t>
      </w:r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(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>), káně rousná (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lagopus</w:t>
      </w:r>
      <w:proofErr w:type="spellEnd"/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>), chřástal polní (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Crex</w:t>
      </w:r>
      <w:proofErr w:type="spellEnd"/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proofErr w:type="spellStart"/>
      <w:r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crex</w:t>
      </w:r>
      <w:proofErr w:type="spellEnd"/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5778B9EC" w:rsidRPr="005B1CCB">
        <w:rPr>
          <w:rFonts w:ascii="Arial" w:eastAsia="Arial" w:hAnsi="Arial" w:cs="Arial"/>
          <w:color w:val="000000" w:themeColor="text1"/>
          <w:sz w:val="20"/>
          <w:szCs w:val="20"/>
        </w:rPr>
        <w:t xml:space="preserve"> a křepelka polní (</w:t>
      </w:r>
      <w:proofErr w:type="spellStart"/>
      <w:r w:rsidR="5778B9EC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Coturnix</w:t>
      </w:r>
      <w:proofErr w:type="spellEnd"/>
      <w:r w:rsidR="5778B9EC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5778B9EC" w:rsidRPr="005B1CC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coturnix</w:t>
      </w:r>
      <w:proofErr w:type="spellEnd"/>
      <w:r w:rsidR="5778B9EC" w:rsidRPr="005B1CCB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>, jejichž výskyt byl v zájmovém území prokázán.</w:t>
      </w:r>
    </w:p>
    <w:p w14:paraId="746B872B" w14:textId="7FD1B7B7" w:rsidR="230F213C" w:rsidRPr="005B1CCB" w:rsidRDefault="230F213C" w:rsidP="005B1CCB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5B1CCB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n) má za cíl především omezit vliv na hmyz jako kořist konkrétních dotčených druhů ptáků a netopýrů.</w:t>
      </w:r>
    </w:p>
    <w:p w14:paraId="2CDC361F" w14:textId="3ABB8C8D" w:rsidR="008E7BA2" w:rsidRPr="005B1CCB" w:rsidRDefault="2D6F82A9" w:rsidP="004E635C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5B1CCB">
        <w:rPr>
          <w:rFonts w:ascii="Arial" w:eastAsia="Arial" w:hAnsi="Arial" w:cs="Arial"/>
          <w:sz w:val="20"/>
          <w:szCs w:val="20"/>
        </w:rPr>
        <w:t>Podmínka v odst. 3.1 o) je stanovena s ohledem na zvýšenou ochranu půd s I. a II. třídou ochrany a 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a II. třídou ochrany absolutně, ale omezuje je na případy, kdy je takové dotčení technicky nezbytné a 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65FF7C6E" w14:textId="3BF816CD" w:rsidR="008E7BA2" w:rsidRPr="004E635C" w:rsidRDefault="2D6F82A9" w:rsidP="004E635C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5B1CCB">
        <w:rPr>
          <w:rFonts w:ascii="Arial" w:eastAsia="Arial" w:hAnsi="Arial" w:cs="Arial"/>
          <w:sz w:val="20"/>
          <w:szCs w:val="20"/>
        </w:rPr>
        <w:t xml:space="preserve">Podmínka v odst. 3.1 p) je stanovena v souladu s obecnými zásadami ochrany pozemků určených k 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o rozloze či tvaru neumožňujícího lesní hospodaření (§ 12 odst. 2 lesního zákona). Požadavek na minimalizaci záborů </w:t>
      </w:r>
      <w:r w:rsidRPr="005B1CCB">
        <w:rPr>
          <w:rFonts w:ascii="Arial" w:eastAsia="Arial" w:hAnsi="Arial" w:cs="Arial"/>
          <w:sz w:val="20"/>
          <w:szCs w:val="20"/>
        </w:rPr>
        <w:lastRenderedPageBreak/>
        <w:t xml:space="preserve">pozemků určených k plnění funkcí lesa a přednostní užití pozemků méně významných z hlediska lesního hospodaření (bezlesí) pak reflektuje veřejný zájem na zachování lesa a jeho funkcí, jejichž plnění je primárně vázáno na existenci stabilních lesních porostů. K umísťování obslužných komunikací na pozemky určené k plnění funkcí lesa by mělo být přistupováno pouze v 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</w:t>
      </w:r>
      <w:r w:rsidRPr="004E635C">
        <w:rPr>
          <w:rFonts w:ascii="Arial" w:eastAsia="Arial" w:hAnsi="Arial" w:cs="Arial"/>
          <w:sz w:val="20"/>
          <w:szCs w:val="20"/>
        </w:rPr>
        <w:t>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zákona.</w:t>
      </w:r>
    </w:p>
    <w:p w14:paraId="31A420D4" w14:textId="21D5013B" w:rsidR="008E7BA2" w:rsidRPr="004E635C" w:rsidRDefault="2D6F82A9" w:rsidP="004E635C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4E635C">
        <w:rPr>
          <w:rFonts w:ascii="Arial" w:eastAsia="Arial" w:hAnsi="Arial" w:cs="Arial"/>
          <w:sz w:val="20"/>
          <w:szCs w:val="20"/>
        </w:rPr>
        <w:t>Podmínka v odst. 3.1 q)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 odst. 3.1 písm. h) upřesní lokalizaci a způsob provádění záměru ve vztahu k mokřadním a dalším vodou ovlivněným stanovištím. V lesních porostech může umístění usměrnit mimo extrémní stanoviště, na 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 dále také vodou ovlivněná stanoviště definovaná edafickými kategoriemi L, U, V, O, P, Q, G, T a R. Informace o  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3EE165E3" w14:textId="77777777" w:rsidR="004E635C" w:rsidRDefault="2D6F82A9" w:rsidP="005B1CCB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4E635C">
        <w:rPr>
          <w:rFonts w:ascii="Arial" w:eastAsia="Arial" w:hAnsi="Arial" w:cs="Arial"/>
          <w:sz w:val="20"/>
          <w:szCs w:val="20"/>
        </w:rPr>
        <w:t>Podmínka v odst. 3.1 písm. r)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71F35BE7" w14:textId="680E8782" w:rsidR="008E7BA2" w:rsidRPr="004E635C" w:rsidRDefault="008E7BA2" w:rsidP="004E635C">
      <w:pPr>
        <w:spacing w:before="240" w:after="120" w:line="276" w:lineRule="auto"/>
        <w:jc w:val="both"/>
        <w:rPr>
          <w:rFonts w:ascii="Arial" w:hAnsi="Arial" w:cs="Arial"/>
          <w:sz w:val="20"/>
          <w:szCs w:val="20"/>
        </w:rPr>
      </w:pPr>
      <w:r w:rsidRPr="004E635C">
        <w:rPr>
          <w:rFonts w:ascii="Arial" w:hAnsi="Arial" w:cs="Arial"/>
          <w:sz w:val="20"/>
          <w:szCs w:val="20"/>
        </w:rPr>
        <w:t xml:space="preserve">Podmínka v odst. </w:t>
      </w:r>
      <w:r w:rsidR="00EF112F" w:rsidRPr="004E635C">
        <w:rPr>
          <w:rFonts w:ascii="Arial" w:hAnsi="Arial" w:cs="Arial"/>
          <w:sz w:val="20"/>
          <w:szCs w:val="20"/>
        </w:rPr>
        <w:t>3.2</w:t>
      </w:r>
      <w:r w:rsidRPr="004E635C">
        <w:rPr>
          <w:rFonts w:ascii="Arial" w:hAnsi="Arial" w:cs="Arial"/>
          <w:sz w:val="20"/>
          <w:szCs w:val="20"/>
        </w:rPr>
        <w:t xml:space="preserve"> písm. </w:t>
      </w:r>
      <w:r w:rsidR="00EF112F" w:rsidRPr="004E635C">
        <w:rPr>
          <w:rFonts w:ascii="Arial" w:hAnsi="Arial" w:cs="Arial"/>
          <w:sz w:val="20"/>
          <w:szCs w:val="20"/>
        </w:rPr>
        <w:t>a</w:t>
      </w:r>
      <w:r w:rsidRPr="004E635C">
        <w:rPr>
          <w:rFonts w:ascii="Arial" w:hAnsi="Arial" w:cs="Arial"/>
          <w:sz w:val="20"/>
          <w:szCs w:val="20"/>
        </w:rPr>
        <w:t xml:space="preserve">) </w:t>
      </w:r>
      <w:r w:rsidR="005B1CCB" w:rsidRPr="004E635C">
        <w:rPr>
          <w:rFonts w:ascii="Arial" w:eastAsia="Arial" w:hAnsi="Arial" w:cs="Arial"/>
          <w:color w:val="000000" w:themeColor="text1"/>
          <w:sz w:val="20"/>
          <w:szCs w:val="20"/>
        </w:rPr>
        <w:t xml:space="preserve">nebyla </w:t>
      </w:r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>stanovena</w:t>
      </w:r>
      <w:r w:rsidRPr="004E635C">
        <w:rPr>
          <w:rFonts w:ascii="Arial" w:hAnsi="Arial" w:cs="Arial"/>
          <w:sz w:val="20"/>
          <w:szCs w:val="20"/>
        </w:rPr>
        <w:t>.</w:t>
      </w:r>
    </w:p>
    <w:p w14:paraId="5819BDAB" w14:textId="47CE5681" w:rsidR="008003FA" w:rsidRPr="004E635C" w:rsidRDefault="37905928" w:rsidP="005B1CCB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 odst. 3.2 písm. b) je stanovena za účelem obecné ochrany ptáků </w:t>
      </w:r>
      <w:r w:rsidR="005B1CCB" w:rsidRPr="004E635C">
        <w:rPr>
          <w:rFonts w:ascii="Arial" w:eastAsia="Arial" w:hAnsi="Arial" w:cs="Arial"/>
          <w:color w:val="000000" w:themeColor="text1"/>
          <w:sz w:val="20"/>
          <w:szCs w:val="20"/>
        </w:rPr>
        <w:t xml:space="preserve">a netopýrů </w:t>
      </w:r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>a ochrany konkrétních evidovaných druhů: moták pilich (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cyaneus</w:t>
      </w:r>
      <w:proofErr w:type="spellEnd"/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>), moták lužní (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pygargus</w:t>
      </w:r>
      <w:proofErr w:type="spellEnd"/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 xml:space="preserve">), káně lesní </w:t>
      </w:r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(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>), káně rousná (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lagopus</w:t>
      </w:r>
      <w:proofErr w:type="spellEnd"/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</w:t>
      </w:r>
      <w:proofErr w:type="spellEnd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nigra</w:t>
      </w:r>
      <w:proofErr w:type="spellEnd"/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4C8371C6" w:rsidRPr="004E635C">
        <w:rPr>
          <w:rFonts w:ascii="Arial" w:eastAsia="Arial" w:hAnsi="Arial" w:cs="Arial"/>
          <w:color w:val="000000" w:themeColor="text1"/>
          <w:sz w:val="20"/>
          <w:szCs w:val="20"/>
        </w:rPr>
        <w:t xml:space="preserve">, </w:t>
      </w:r>
      <w:r w:rsidR="4C8371C6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netopýr velký (</w:t>
      </w:r>
      <w:proofErr w:type="spellStart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4C8371C6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hvízdavý (</w:t>
      </w:r>
      <w:proofErr w:type="spellStart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Pipistrellus</w:t>
      </w:r>
      <w:proofErr w:type="spellEnd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pipistrellus</w:t>
      </w:r>
      <w:proofErr w:type="spellEnd"/>
      <w:r w:rsidR="4C8371C6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rezavý (</w:t>
      </w:r>
      <w:proofErr w:type="spellStart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Nyctalus</w:t>
      </w:r>
      <w:proofErr w:type="spellEnd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noctula</w:t>
      </w:r>
      <w:proofErr w:type="spellEnd"/>
      <w:r w:rsidR="4C8371C6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</w:t>
      </w:r>
      <w:r w:rsidR="005B1CCB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, netopýr vodní (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daubentonii</w:t>
      </w:r>
      <w:proofErr w:type="spellEnd"/>
      <w:r w:rsidR="005B1CCB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večerní (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Eptesicus</w:t>
      </w:r>
      <w:proofErr w:type="spellEnd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serotinus</w:t>
      </w:r>
      <w:proofErr w:type="spellEnd"/>
      <w:r w:rsidR="005B1CCB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severní (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Eptesicus</w:t>
      </w:r>
      <w:proofErr w:type="spellEnd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nilssonii</w:t>
      </w:r>
      <w:proofErr w:type="spellEnd"/>
      <w:r w:rsidR="005B1CCB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), netopýr černý (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Barbastella</w:t>
      </w:r>
      <w:proofErr w:type="spellEnd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005B1CCB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barbastellus</w:t>
      </w:r>
      <w:proofErr w:type="spellEnd"/>
      <w:r w:rsidR="005B1CCB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</w:t>
      </w:r>
      <w:r w:rsidR="4C8371C6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 a netopýr vousatý (</w:t>
      </w:r>
      <w:proofErr w:type="spellStart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Myotis</w:t>
      </w:r>
      <w:proofErr w:type="spellEnd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 xml:space="preserve"> </w:t>
      </w:r>
      <w:proofErr w:type="spellStart"/>
      <w:r w:rsidR="4C8371C6" w:rsidRPr="004E635C">
        <w:rPr>
          <w:rFonts w:ascii="Arial" w:eastAsia="Arial" w:hAnsi="Arial" w:cs="Arial"/>
          <w:i/>
          <w:iCs/>
          <w:color w:val="000000" w:themeColor="text1"/>
          <w:sz w:val="20"/>
          <w:szCs w:val="20"/>
          <w:lang w:val="cs"/>
        </w:rPr>
        <w:t>mystacinus</w:t>
      </w:r>
      <w:proofErr w:type="spellEnd"/>
      <w:r w:rsidR="4C8371C6" w:rsidRPr="004E635C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)</w:t>
      </w:r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>. Provoz VTE představuje určité riziko pro volně žijící ptáky. Odpuzovače, případně zařízení pro identifikaci ptáků a následné zpomalení rotoru VTE mají schopnost výrazně snižovat mortalitu a</w:t>
      </w:r>
      <w:r w:rsidR="005B1CCB" w:rsidRPr="004E635C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>zároveň umožnit výstavbu VTE i v oblastech se zvýšeným výskytem citlivých druhů. Přestože vymezení akcelerační oblasti respektovalo mapy citlivosti ptáků a oblasti s vysokou a extrémní citlivostí byly z návrhu vyloučeny, nebylo možné se vyhnout všem detekovaným místům výskytu citlivých, vzácných a ohrožených druhů ptáků</w:t>
      </w:r>
      <w:r w:rsidR="3B4A9390" w:rsidRPr="004E635C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45FDF36C" w14:textId="12DA9804" w:rsidR="008003FA" w:rsidRPr="004E635C" w:rsidRDefault="5A393F03" w:rsidP="005B1CCB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 odst. 3.2 písm. c) je stanovena za účelem obecné ochrany ptáků. Provoz VTE představuje určité riziko pro volně žijící ptáky. Monitoring je zaměřen na přímou mortalitu ptáků v důsledku kolize </w:t>
      </w:r>
      <w:r w:rsidRPr="004E635C">
        <w:rPr>
          <w:rFonts w:ascii="Arial" w:eastAsia="Arial" w:hAnsi="Arial" w:cs="Arial"/>
          <w:color w:val="000000" w:themeColor="text1"/>
          <w:sz w:val="20"/>
          <w:szCs w:val="20"/>
        </w:rPr>
        <w:lastRenderedPageBreak/>
        <w:t>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59338EA9" w14:textId="615E0AC3" w:rsidR="008003FA" w:rsidRPr="005B1CCB" w:rsidRDefault="5A393F03" w:rsidP="004E635C">
      <w:pPr>
        <w:pStyle w:val="Zkladntext"/>
        <w:spacing w:after="120" w:line="276" w:lineRule="auto"/>
        <w:jc w:val="both"/>
      </w:pPr>
      <w:r w:rsidRPr="004E635C">
        <w:rPr>
          <w:rFonts w:eastAsia="Arial"/>
          <w:color w:val="000000" w:themeColor="text1"/>
        </w:rPr>
        <w:t>Podmínka v odst. 3.2 písm. d) je stanovena z důvodu ochrany citlivých druhů netopýrů vůči VTE v ČR: netopýra velkého (</w:t>
      </w:r>
      <w:proofErr w:type="spellStart"/>
      <w:r w:rsidRPr="004E635C">
        <w:rPr>
          <w:rFonts w:eastAsia="Arial"/>
          <w:i/>
          <w:iCs/>
          <w:color w:val="000000" w:themeColor="text1"/>
        </w:rPr>
        <w:t>Myotis</w:t>
      </w:r>
      <w:proofErr w:type="spellEnd"/>
      <w:r w:rsidRPr="004E635C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Pr="004E635C">
        <w:rPr>
          <w:rFonts w:eastAsia="Arial"/>
          <w:i/>
          <w:iCs/>
          <w:color w:val="000000" w:themeColor="text1"/>
        </w:rPr>
        <w:t>myotis</w:t>
      </w:r>
      <w:proofErr w:type="spellEnd"/>
      <w:r w:rsidRPr="004E635C">
        <w:rPr>
          <w:rFonts w:eastAsia="Arial"/>
          <w:color w:val="000000" w:themeColor="text1"/>
        </w:rPr>
        <w:t>), netopýra hvízdavého (</w:t>
      </w:r>
      <w:proofErr w:type="spellStart"/>
      <w:r w:rsidRPr="004E635C">
        <w:rPr>
          <w:rFonts w:eastAsia="Arial"/>
          <w:i/>
          <w:iCs/>
          <w:color w:val="000000" w:themeColor="text1"/>
        </w:rPr>
        <w:t>Pipistrellus</w:t>
      </w:r>
      <w:proofErr w:type="spellEnd"/>
      <w:r w:rsidRPr="004E635C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Pr="004E635C">
        <w:rPr>
          <w:rFonts w:eastAsia="Arial"/>
          <w:i/>
          <w:iCs/>
          <w:color w:val="000000" w:themeColor="text1"/>
        </w:rPr>
        <w:t>pipistrellus</w:t>
      </w:r>
      <w:proofErr w:type="spellEnd"/>
      <w:r w:rsidRPr="004E635C">
        <w:rPr>
          <w:rFonts w:eastAsia="Arial"/>
          <w:color w:val="000000" w:themeColor="text1"/>
        </w:rPr>
        <w:t>), netopýra nejmenšího (</w:t>
      </w:r>
      <w:proofErr w:type="spellStart"/>
      <w:r w:rsidRPr="004E635C">
        <w:rPr>
          <w:rFonts w:eastAsia="Arial"/>
          <w:i/>
          <w:iCs/>
          <w:color w:val="000000" w:themeColor="text1"/>
        </w:rPr>
        <w:t>Pipistrellus</w:t>
      </w:r>
      <w:proofErr w:type="spellEnd"/>
      <w:r w:rsidRPr="004E635C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Pr="004E635C">
        <w:rPr>
          <w:rFonts w:eastAsia="Arial"/>
          <w:i/>
          <w:iCs/>
          <w:color w:val="000000" w:themeColor="text1"/>
        </w:rPr>
        <w:t>pygmaeus</w:t>
      </w:r>
      <w:proofErr w:type="spellEnd"/>
      <w:r w:rsidRPr="004E635C">
        <w:rPr>
          <w:rFonts w:eastAsia="Arial"/>
          <w:color w:val="000000" w:themeColor="text1"/>
        </w:rPr>
        <w:t>), netopýra rezavého (</w:t>
      </w:r>
      <w:proofErr w:type="spellStart"/>
      <w:r w:rsidRPr="004E635C">
        <w:rPr>
          <w:rFonts w:eastAsia="Arial"/>
          <w:i/>
          <w:iCs/>
          <w:color w:val="000000" w:themeColor="text1"/>
        </w:rPr>
        <w:t>Nyctalus</w:t>
      </w:r>
      <w:proofErr w:type="spellEnd"/>
      <w:r w:rsidRPr="004E635C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Pr="004E635C">
        <w:rPr>
          <w:rFonts w:eastAsia="Arial"/>
          <w:i/>
          <w:iCs/>
          <w:color w:val="000000" w:themeColor="text1"/>
        </w:rPr>
        <w:t>noctula</w:t>
      </w:r>
      <w:proofErr w:type="spellEnd"/>
      <w:r w:rsidRPr="004E635C">
        <w:rPr>
          <w:rFonts w:eastAsia="Arial"/>
          <w:color w:val="000000" w:themeColor="text1"/>
        </w:rPr>
        <w:t>) a netopýra vousatého (</w:t>
      </w:r>
      <w:proofErr w:type="spellStart"/>
      <w:r w:rsidRPr="004E635C">
        <w:rPr>
          <w:rFonts w:eastAsia="Arial"/>
          <w:i/>
          <w:iCs/>
          <w:color w:val="000000" w:themeColor="text1"/>
        </w:rPr>
        <w:t>Myotis</w:t>
      </w:r>
      <w:proofErr w:type="spellEnd"/>
      <w:r w:rsidRPr="004E635C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Pr="004E635C">
        <w:rPr>
          <w:rFonts w:eastAsia="Arial"/>
          <w:i/>
          <w:iCs/>
          <w:color w:val="000000" w:themeColor="text1"/>
        </w:rPr>
        <w:t>mystacinus</w:t>
      </w:r>
      <w:proofErr w:type="spellEnd"/>
      <w:r w:rsidRPr="004E635C">
        <w:rPr>
          <w:rFonts w:eastAsia="Arial"/>
          <w:color w:val="000000" w:themeColor="text1"/>
        </w:rPr>
        <w:t>). Monitoring</w:t>
      </w:r>
      <w:r w:rsidRPr="005B1CCB">
        <w:rPr>
          <w:rFonts w:eastAsia="Arial"/>
          <w:color w:val="000000" w:themeColor="text1"/>
        </w:rPr>
        <w:t xml:space="preserve"> je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netopýrů v době po zavedení VTE do provozu</w:t>
      </w:r>
      <w:r w:rsidR="008003FA" w:rsidRPr="005B1CCB">
        <w:t>.</w:t>
      </w:r>
    </w:p>
    <w:p w14:paraId="319D162C" w14:textId="3C42D754" w:rsidR="00AA6C6E" w:rsidRPr="005B1CCB" w:rsidRDefault="00AA6C6E" w:rsidP="004E635C">
      <w:pPr>
        <w:pStyle w:val="Zkladntext"/>
        <w:spacing w:after="240" w:line="276" w:lineRule="auto"/>
        <w:jc w:val="both"/>
      </w:pPr>
      <w:r w:rsidRPr="005B1CCB">
        <w:rPr>
          <w:rFonts w:eastAsia="Arial"/>
          <w:color w:val="000000" w:themeColor="text1"/>
          <w:lang w:val="cs"/>
        </w:rPr>
        <w:t xml:space="preserve">Podmínka v odst. 3.2 písm. e) je stanovena za účelem </w:t>
      </w:r>
      <w:r w:rsidRPr="005B1CCB">
        <w:rPr>
          <w:rFonts w:eastAsia="Arial"/>
          <w:color w:val="000000" w:themeColor="text1"/>
        </w:rPr>
        <w:t xml:space="preserve">ochrany zvláště chráněných druhů netopýrů z důvodu snížení jejich mortality v období migrace, kdy dochází k přeletům na nejdelší vzdálenosti a v nejvyšších výškách. Provedené posouzení podle § 11 odst. 4 ZOZE indikuje ve vzdálenosti jen mírně přesahující </w:t>
      </w:r>
      <w:r w:rsidR="008B6C73" w:rsidRPr="005B1CCB">
        <w:rPr>
          <w:rFonts w:eastAsia="Arial"/>
          <w:color w:val="000000" w:themeColor="text1"/>
        </w:rPr>
        <w:t>1</w:t>
      </w:r>
      <w:r w:rsidRPr="005B1CCB">
        <w:rPr>
          <w:rFonts w:eastAsia="Arial"/>
          <w:color w:val="000000" w:themeColor="text1"/>
        </w:rPr>
        <w:t xml:space="preserve"> km EVL Sovinec, kde předmětem ochrany je netopýr černý (</w:t>
      </w:r>
      <w:proofErr w:type="spellStart"/>
      <w:r w:rsidRPr="005B1CCB">
        <w:rPr>
          <w:rFonts w:eastAsia="Arial"/>
          <w:i/>
          <w:iCs/>
          <w:color w:val="000000" w:themeColor="text1"/>
        </w:rPr>
        <w:t>Barbastella</w:t>
      </w:r>
      <w:proofErr w:type="spellEnd"/>
      <w:r w:rsidRPr="005B1CCB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Pr="005B1CCB">
        <w:rPr>
          <w:rFonts w:eastAsia="Arial"/>
          <w:i/>
          <w:iCs/>
          <w:color w:val="000000" w:themeColor="text1"/>
        </w:rPr>
        <w:t>barbastellus</w:t>
      </w:r>
      <w:proofErr w:type="spellEnd"/>
      <w:r w:rsidRPr="005B1CCB">
        <w:rPr>
          <w:rFonts w:eastAsia="Arial"/>
          <w:color w:val="000000" w:themeColor="text1"/>
        </w:rPr>
        <w:t>).</w:t>
      </w:r>
    </w:p>
    <w:p w14:paraId="441264CF" w14:textId="74A07709" w:rsidR="001E4CE6" w:rsidRDefault="005D55BB" w:rsidP="004E635C">
      <w:pPr>
        <w:keepNext/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6EB8B77F" wp14:editId="2368B6F1">
            <wp:extent cx="5788454" cy="3409950"/>
            <wp:effectExtent l="0" t="0" r="3175" b="0"/>
            <wp:docPr id="165524880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248807" name=""/>
                    <pic:cNvPicPr/>
                  </pic:nvPicPr>
                  <pic:blipFill rotWithShape="1">
                    <a:blip r:embed="rId9"/>
                    <a:srcRect l="20117" t="15240" r="19955" b="24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395" cy="3429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943010" w14:textId="6FD54312" w:rsidR="00810A60" w:rsidRPr="004E635C" w:rsidRDefault="00810A60" w:rsidP="00810A60">
      <w:pPr>
        <w:spacing w:line="276" w:lineRule="auto"/>
        <w:jc w:val="both"/>
        <w:rPr>
          <w:i/>
          <w:iCs/>
          <w:sz w:val="18"/>
          <w:szCs w:val="18"/>
        </w:rPr>
      </w:pPr>
      <w:bookmarkStart w:id="3" w:name="_Hlk219196068"/>
      <w:r w:rsidRPr="004E635C">
        <w:rPr>
          <w:i/>
          <w:iCs/>
          <w:sz w:val="18"/>
          <w:szCs w:val="18"/>
        </w:rPr>
        <w:t xml:space="preserve">Obr. č. </w:t>
      </w:r>
      <w:r w:rsidRPr="004E635C">
        <w:rPr>
          <w:i/>
          <w:iCs/>
          <w:sz w:val="18"/>
          <w:szCs w:val="18"/>
        </w:rPr>
        <w:fldChar w:fldCharType="begin"/>
      </w:r>
      <w:r w:rsidRPr="004E635C">
        <w:rPr>
          <w:i/>
          <w:iCs/>
          <w:sz w:val="18"/>
          <w:szCs w:val="18"/>
        </w:rPr>
        <w:instrText xml:space="preserve"> SEQ Obrázek \* ARABIC </w:instrText>
      </w:r>
      <w:r w:rsidRPr="004E635C">
        <w:rPr>
          <w:i/>
          <w:iCs/>
          <w:sz w:val="18"/>
          <w:szCs w:val="18"/>
        </w:rPr>
        <w:fldChar w:fldCharType="separate"/>
      </w:r>
      <w:r w:rsidR="00EE156C" w:rsidRPr="004E635C">
        <w:rPr>
          <w:i/>
          <w:iCs/>
          <w:noProof/>
          <w:sz w:val="18"/>
          <w:szCs w:val="18"/>
        </w:rPr>
        <w:t>1</w:t>
      </w:r>
      <w:r w:rsidRPr="004E635C">
        <w:rPr>
          <w:i/>
          <w:iCs/>
          <w:sz w:val="18"/>
          <w:szCs w:val="18"/>
        </w:rPr>
        <w:fldChar w:fldCharType="end"/>
      </w:r>
      <w:r w:rsidRPr="004E635C">
        <w:rPr>
          <w:i/>
          <w:iCs/>
          <w:sz w:val="18"/>
          <w:szCs w:val="18"/>
        </w:rPr>
        <w:t xml:space="preserve"> – informativní zobrazení vymezení akcelerační oblasti v rámci území, pro které bylo zpracováno biologické posouzení</w:t>
      </w:r>
    </w:p>
    <w:bookmarkEnd w:id="3"/>
    <w:p w14:paraId="662D5599" w14:textId="77777777" w:rsidR="006A03FC" w:rsidRDefault="006A03FC" w:rsidP="006A03FC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810A60">
      <w:pPr>
        <w:pStyle w:val="Zkladntext"/>
        <w:spacing w:before="120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810A60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3C241285" w14:textId="28EFAC78" w:rsidR="000B1823" w:rsidRPr="004A5186" w:rsidRDefault="00807E72" w:rsidP="004A5186">
      <w:pPr>
        <w:pStyle w:val="Zkladntext"/>
        <w:jc w:val="both"/>
      </w:pPr>
      <w:r w:rsidRPr="00810A60">
        <w:t>Podle</w:t>
      </w:r>
      <w:r w:rsidRPr="00670AD9">
        <w:t xml:space="preserve"> § 173 odst. 2 správního řádu proti opatření obecné povahy nelze podat opravný prostředek. Podle § 172 odst. 2 správního řádu lze soulad opatření obecné povahy s právními předpisy posoudit v</w:t>
      </w:r>
      <w:r w:rsidR="00F8371A">
        <w:t> </w:t>
      </w:r>
      <w:r w:rsidRPr="00670AD9">
        <w:t>přezkumném řízení, přičemž usnesení o zahájení přezkumného řízení lze vydat do 1 roku od účinnosti opatření.</w:t>
      </w:r>
    </w:p>
    <w:sectPr w:rsidR="000B1823" w:rsidRPr="004A5186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30000A" w14:textId="77777777" w:rsidR="002E24EA" w:rsidRDefault="002E24EA" w:rsidP="00CE6B6E">
      <w:r>
        <w:separator/>
      </w:r>
    </w:p>
  </w:endnote>
  <w:endnote w:type="continuationSeparator" w:id="0">
    <w:p w14:paraId="7647A1A9" w14:textId="77777777" w:rsidR="002E24EA" w:rsidRDefault="002E24EA" w:rsidP="00CE6B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50155710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4648079B" w14:textId="137F8AFE" w:rsidR="00CE6B6E" w:rsidRPr="00ED72EB" w:rsidRDefault="00CE6B6E" w:rsidP="00ED72EB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6E52FF">
          <w:rPr>
            <w:rFonts w:ascii="Arial" w:hAnsi="Arial" w:cs="Arial"/>
            <w:sz w:val="20"/>
            <w:szCs w:val="20"/>
          </w:rPr>
          <w:fldChar w:fldCharType="begin"/>
        </w:r>
        <w:r w:rsidRPr="006E52FF">
          <w:rPr>
            <w:rFonts w:ascii="Arial" w:hAnsi="Arial" w:cs="Arial"/>
            <w:sz w:val="20"/>
            <w:szCs w:val="20"/>
          </w:rPr>
          <w:instrText>PAGE   \* MERGEFORMAT</w:instrText>
        </w:r>
        <w:r w:rsidRPr="006E52FF">
          <w:rPr>
            <w:rFonts w:ascii="Arial" w:hAnsi="Arial" w:cs="Arial"/>
            <w:sz w:val="20"/>
            <w:szCs w:val="20"/>
          </w:rPr>
          <w:fldChar w:fldCharType="separate"/>
        </w:r>
        <w:r w:rsidRPr="006E52FF">
          <w:rPr>
            <w:rFonts w:ascii="Arial" w:hAnsi="Arial" w:cs="Arial"/>
            <w:sz w:val="20"/>
            <w:szCs w:val="20"/>
          </w:rPr>
          <w:t>2</w:t>
        </w:r>
        <w:r w:rsidRPr="006E52FF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D08E49" w14:textId="77777777" w:rsidR="002E24EA" w:rsidRDefault="002E24EA" w:rsidP="00CE6B6E">
      <w:r>
        <w:separator/>
      </w:r>
    </w:p>
  </w:footnote>
  <w:footnote w:type="continuationSeparator" w:id="0">
    <w:p w14:paraId="6B1C3AE4" w14:textId="77777777" w:rsidR="002E24EA" w:rsidRDefault="002E24EA" w:rsidP="00CE6B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35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0D0AF0"/>
    <w:multiLevelType w:val="hybridMultilevel"/>
    <w:tmpl w:val="1A4C555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78822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BEC03E4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B8A122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5BD12A4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2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2"/>
  </w:num>
  <w:num w:numId="2" w16cid:durableId="1790129206">
    <w:abstractNumId w:val="5"/>
  </w:num>
  <w:num w:numId="3" w16cid:durableId="1381897970">
    <w:abstractNumId w:val="18"/>
  </w:num>
  <w:num w:numId="4" w16cid:durableId="1925334634">
    <w:abstractNumId w:val="11"/>
  </w:num>
  <w:num w:numId="5" w16cid:durableId="124353530">
    <w:abstractNumId w:val="17"/>
  </w:num>
  <w:num w:numId="6" w16cid:durableId="240217676">
    <w:abstractNumId w:val="1"/>
  </w:num>
  <w:num w:numId="7" w16cid:durableId="2027824041">
    <w:abstractNumId w:val="22"/>
  </w:num>
  <w:num w:numId="8" w16cid:durableId="790054675">
    <w:abstractNumId w:val="7"/>
  </w:num>
  <w:num w:numId="9" w16cid:durableId="863132249">
    <w:abstractNumId w:val="16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3"/>
  </w:num>
  <w:num w:numId="13" w16cid:durableId="1559124395">
    <w:abstractNumId w:val="23"/>
  </w:num>
  <w:num w:numId="14" w16cid:durableId="488135315">
    <w:abstractNumId w:val="3"/>
  </w:num>
  <w:num w:numId="15" w16cid:durableId="1956056202">
    <w:abstractNumId w:val="10"/>
  </w:num>
  <w:num w:numId="16" w16cid:durableId="1622571984">
    <w:abstractNumId w:val="9"/>
  </w:num>
  <w:num w:numId="17" w16cid:durableId="1499272555">
    <w:abstractNumId w:val="19"/>
  </w:num>
  <w:num w:numId="18" w16cid:durableId="718407127">
    <w:abstractNumId w:val="2"/>
  </w:num>
  <w:num w:numId="19" w16cid:durableId="1012993023">
    <w:abstractNumId w:val="0"/>
  </w:num>
  <w:num w:numId="20" w16cid:durableId="41485013">
    <w:abstractNumId w:val="21"/>
  </w:num>
  <w:num w:numId="21" w16cid:durableId="297419260">
    <w:abstractNumId w:val="20"/>
  </w:num>
  <w:num w:numId="22" w16cid:durableId="1808090214">
    <w:abstractNumId w:val="14"/>
  </w:num>
  <w:num w:numId="23" w16cid:durableId="1361928112">
    <w:abstractNumId w:val="15"/>
  </w:num>
  <w:num w:numId="24" w16cid:durableId="46570273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5D3F"/>
    <w:rsid w:val="000140E8"/>
    <w:rsid w:val="000247D2"/>
    <w:rsid w:val="00027971"/>
    <w:rsid w:val="00032D23"/>
    <w:rsid w:val="00034CDD"/>
    <w:rsid w:val="00036163"/>
    <w:rsid w:val="0004153A"/>
    <w:rsid w:val="000462ED"/>
    <w:rsid w:val="00053DC5"/>
    <w:rsid w:val="0005430C"/>
    <w:rsid w:val="00055BBF"/>
    <w:rsid w:val="00055E7A"/>
    <w:rsid w:val="000717A3"/>
    <w:rsid w:val="00073238"/>
    <w:rsid w:val="00073A71"/>
    <w:rsid w:val="00074CF9"/>
    <w:rsid w:val="00076DD2"/>
    <w:rsid w:val="00080487"/>
    <w:rsid w:val="00080FAB"/>
    <w:rsid w:val="000830B3"/>
    <w:rsid w:val="000838EF"/>
    <w:rsid w:val="00094740"/>
    <w:rsid w:val="000A5A40"/>
    <w:rsid w:val="000A6B81"/>
    <w:rsid w:val="000B0723"/>
    <w:rsid w:val="000B1823"/>
    <w:rsid w:val="000B468B"/>
    <w:rsid w:val="000C3C06"/>
    <w:rsid w:val="000C4151"/>
    <w:rsid w:val="000D3A51"/>
    <w:rsid w:val="000D77D6"/>
    <w:rsid w:val="000E2739"/>
    <w:rsid w:val="000E5931"/>
    <w:rsid w:val="000E6D4E"/>
    <w:rsid w:val="000E7964"/>
    <w:rsid w:val="000F5CAF"/>
    <w:rsid w:val="000F5EAD"/>
    <w:rsid w:val="000F6C51"/>
    <w:rsid w:val="00106A16"/>
    <w:rsid w:val="0010755E"/>
    <w:rsid w:val="001109B5"/>
    <w:rsid w:val="00112A98"/>
    <w:rsid w:val="00112E8C"/>
    <w:rsid w:val="00124222"/>
    <w:rsid w:val="00125188"/>
    <w:rsid w:val="00125AED"/>
    <w:rsid w:val="00130C7B"/>
    <w:rsid w:val="00135573"/>
    <w:rsid w:val="001377FF"/>
    <w:rsid w:val="00140B0C"/>
    <w:rsid w:val="00140F51"/>
    <w:rsid w:val="00145D33"/>
    <w:rsid w:val="00147819"/>
    <w:rsid w:val="00154B19"/>
    <w:rsid w:val="00164BA1"/>
    <w:rsid w:val="00171FFE"/>
    <w:rsid w:val="00172F36"/>
    <w:rsid w:val="001768BF"/>
    <w:rsid w:val="00190C4E"/>
    <w:rsid w:val="001937FB"/>
    <w:rsid w:val="001972CF"/>
    <w:rsid w:val="00197F9F"/>
    <w:rsid w:val="001A4EBF"/>
    <w:rsid w:val="001A77D1"/>
    <w:rsid w:val="001B2238"/>
    <w:rsid w:val="001B7AE5"/>
    <w:rsid w:val="001C2799"/>
    <w:rsid w:val="001C5025"/>
    <w:rsid w:val="001C7166"/>
    <w:rsid w:val="001D5372"/>
    <w:rsid w:val="001E076F"/>
    <w:rsid w:val="001E399F"/>
    <w:rsid w:val="001E4CE6"/>
    <w:rsid w:val="001F0B06"/>
    <w:rsid w:val="001F185A"/>
    <w:rsid w:val="001F69AB"/>
    <w:rsid w:val="002120FC"/>
    <w:rsid w:val="0021613B"/>
    <w:rsid w:val="00216B90"/>
    <w:rsid w:val="002179BC"/>
    <w:rsid w:val="00221BB8"/>
    <w:rsid w:val="00222DBC"/>
    <w:rsid w:val="00232AA4"/>
    <w:rsid w:val="0023488B"/>
    <w:rsid w:val="0024404C"/>
    <w:rsid w:val="00244736"/>
    <w:rsid w:val="002447FC"/>
    <w:rsid w:val="002455CC"/>
    <w:rsid w:val="00250701"/>
    <w:rsid w:val="0025271A"/>
    <w:rsid w:val="00256CA3"/>
    <w:rsid w:val="002614AC"/>
    <w:rsid w:val="0026610B"/>
    <w:rsid w:val="00283D4E"/>
    <w:rsid w:val="002969DA"/>
    <w:rsid w:val="002A6213"/>
    <w:rsid w:val="002B28C0"/>
    <w:rsid w:val="002B6DE6"/>
    <w:rsid w:val="002C241D"/>
    <w:rsid w:val="002C6AF5"/>
    <w:rsid w:val="002D2D8C"/>
    <w:rsid w:val="002D2F13"/>
    <w:rsid w:val="002D782B"/>
    <w:rsid w:val="002E22EB"/>
    <w:rsid w:val="002E24EA"/>
    <w:rsid w:val="002E24F2"/>
    <w:rsid w:val="002E5A67"/>
    <w:rsid w:val="002F7173"/>
    <w:rsid w:val="00305D1A"/>
    <w:rsid w:val="00305E35"/>
    <w:rsid w:val="00307F8E"/>
    <w:rsid w:val="0031004C"/>
    <w:rsid w:val="00310471"/>
    <w:rsid w:val="00314B6E"/>
    <w:rsid w:val="00321EA5"/>
    <w:rsid w:val="003258AF"/>
    <w:rsid w:val="00326984"/>
    <w:rsid w:val="00334780"/>
    <w:rsid w:val="003352C4"/>
    <w:rsid w:val="0034304C"/>
    <w:rsid w:val="00346562"/>
    <w:rsid w:val="00355D4A"/>
    <w:rsid w:val="00362161"/>
    <w:rsid w:val="00370203"/>
    <w:rsid w:val="00373225"/>
    <w:rsid w:val="00374011"/>
    <w:rsid w:val="00375345"/>
    <w:rsid w:val="003773CF"/>
    <w:rsid w:val="003809B2"/>
    <w:rsid w:val="00390283"/>
    <w:rsid w:val="00391036"/>
    <w:rsid w:val="0039137A"/>
    <w:rsid w:val="003913F1"/>
    <w:rsid w:val="00396F87"/>
    <w:rsid w:val="003A41CC"/>
    <w:rsid w:val="003A47F7"/>
    <w:rsid w:val="003A5714"/>
    <w:rsid w:val="003B00B9"/>
    <w:rsid w:val="003B2237"/>
    <w:rsid w:val="003C62AE"/>
    <w:rsid w:val="003E0F25"/>
    <w:rsid w:val="003E3162"/>
    <w:rsid w:val="003E7E1D"/>
    <w:rsid w:val="003F3488"/>
    <w:rsid w:val="003F3F3B"/>
    <w:rsid w:val="004015C4"/>
    <w:rsid w:val="0040385B"/>
    <w:rsid w:val="00406D1B"/>
    <w:rsid w:val="00407335"/>
    <w:rsid w:val="00413961"/>
    <w:rsid w:val="00417E31"/>
    <w:rsid w:val="00420431"/>
    <w:rsid w:val="004240B6"/>
    <w:rsid w:val="004261D3"/>
    <w:rsid w:val="004262A2"/>
    <w:rsid w:val="00446190"/>
    <w:rsid w:val="00450AC0"/>
    <w:rsid w:val="00450FC6"/>
    <w:rsid w:val="00460ADD"/>
    <w:rsid w:val="0047093C"/>
    <w:rsid w:val="004716E1"/>
    <w:rsid w:val="00471843"/>
    <w:rsid w:val="00474335"/>
    <w:rsid w:val="00475BF4"/>
    <w:rsid w:val="00476D40"/>
    <w:rsid w:val="004921DA"/>
    <w:rsid w:val="004A5186"/>
    <w:rsid w:val="004A5659"/>
    <w:rsid w:val="004C3272"/>
    <w:rsid w:val="004D11C1"/>
    <w:rsid w:val="004D1266"/>
    <w:rsid w:val="004D7F45"/>
    <w:rsid w:val="004E31DD"/>
    <w:rsid w:val="004E5D06"/>
    <w:rsid w:val="004E635C"/>
    <w:rsid w:val="004E6781"/>
    <w:rsid w:val="004E7831"/>
    <w:rsid w:val="004F7F11"/>
    <w:rsid w:val="00511F99"/>
    <w:rsid w:val="00524347"/>
    <w:rsid w:val="005251E4"/>
    <w:rsid w:val="00525B81"/>
    <w:rsid w:val="00532C9F"/>
    <w:rsid w:val="0053499E"/>
    <w:rsid w:val="00541FC6"/>
    <w:rsid w:val="0054272A"/>
    <w:rsid w:val="0054579D"/>
    <w:rsid w:val="0054679F"/>
    <w:rsid w:val="005472CB"/>
    <w:rsid w:val="005472D2"/>
    <w:rsid w:val="005526EE"/>
    <w:rsid w:val="00554BA7"/>
    <w:rsid w:val="0055615C"/>
    <w:rsid w:val="00564BC8"/>
    <w:rsid w:val="00573B45"/>
    <w:rsid w:val="00580F67"/>
    <w:rsid w:val="00582F5D"/>
    <w:rsid w:val="005840B4"/>
    <w:rsid w:val="00584457"/>
    <w:rsid w:val="0058462C"/>
    <w:rsid w:val="005852EF"/>
    <w:rsid w:val="005960A6"/>
    <w:rsid w:val="005A37B0"/>
    <w:rsid w:val="005A6AF1"/>
    <w:rsid w:val="005A7934"/>
    <w:rsid w:val="005B09B5"/>
    <w:rsid w:val="005B1CCB"/>
    <w:rsid w:val="005B39AF"/>
    <w:rsid w:val="005B3F09"/>
    <w:rsid w:val="005B7527"/>
    <w:rsid w:val="005C1335"/>
    <w:rsid w:val="005C3C85"/>
    <w:rsid w:val="005C66BE"/>
    <w:rsid w:val="005C7FA5"/>
    <w:rsid w:val="005D1DAA"/>
    <w:rsid w:val="005D40E9"/>
    <w:rsid w:val="005D55BB"/>
    <w:rsid w:val="005E2E99"/>
    <w:rsid w:val="005E6470"/>
    <w:rsid w:val="005F2221"/>
    <w:rsid w:val="005F34E1"/>
    <w:rsid w:val="005F3836"/>
    <w:rsid w:val="005F7031"/>
    <w:rsid w:val="00602A43"/>
    <w:rsid w:val="00604992"/>
    <w:rsid w:val="006123DE"/>
    <w:rsid w:val="0061274F"/>
    <w:rsid w:val="006221B7"/>
    <w:rsid w:val="00626457"/>
    <w:rsid w:val="00642725"/>
    <w:rsid w:val="00642865"/>
    <w:rsid w:val="00642983"/>
    <w:rsid w:val="00645672"/>
    <w:rsid w:val="006472B1"/>
    <w:rsid w:val="0064737D"/>
    <w:rsid w:val="0065194C"/>
    <w:rsid w:val="00653008"/>
    <w:rsid w:val="00653626"/>
    <w:rsid w:val="00664196"/>
    <w:rsid w:val="00670AD9"/>
    <w:rsid w:val="00671580"/>
    <w:rsid w:val="00672CB8"/>
    <w:rsid w:val="006736AB"/>
    <w:rsid w:val="0067634C"/>
    <w:rsid w:val="006841CA"/>
    <w:rsid w:val="00684E20"/>
    <w:rsid w:val="0068622E"/>
    <w:rsid w:val="00686D6A"/>
    <w:rsid w:val="006A03FC"/>
    <w:rsid w:val="006A27DD"/>
    <w:rsid w:val="006A3800"/>
    <w:rsid w:val="006B05FC"/>
    <w:rsid w:val="006C4864"/>
    <w:rsid w:val="006C6CEC"/>
    <w:rsid w:val="006C6EC9"/>
    <w:rsid w:val="006C7339"/>
    <w:rsid w:val="006D72F7"/>
    <w:rsid w:val="006D785C"/>
    <w:rsid w:val="006E52FF"/>
    <w:rsid w:val="006E6626"/>
    <w:rsid w:val="006F14C8"/>
    <w:rsid w:val="006F2E6F"/>
    <w:rsid w:val="006F3515"/>
    <w:rsid w:val="006F5928"/>
    <w:rsid w:val="00701EFC"/>
    <w:rsid w:val="00705070"/>
    <w:rsid w:val="00712C83"/>
    <w:rsid w:val="00714CBE"/>
    <w:rsid w:val="007218A5"/>
    <w:rsid w:val="00721E69"/>
    <w:rsid w:val="00722AB9"/>
    <w:rsid w:val="007252DA"/>
    <w:rsid w:val="007259FB"/>
    <w:rsid w:val="00744E67"/>
    <w:rsid w:val="00746EAC"/>
    <w:rsid w:val="00747800"/>
    <w:rsid w:val="007566E7"/>
    <w:rsid w:val="00761AA4"/>
    <w:rsid w:val="007736CE"/>
    <w:rsid w:val="007768A0"/>
    <w:rsid w:val="00795BA2"/>
    <w:rsid w:val="00796199"/>
    <w:rsid w:val="00797578"/>
    <w:rsid w:val="00797FF0"/>
    <w:rsid w:val="007A4762"/>
    <w:rsid w:val="007A4E97"/>
    <w:rsid w:val="007B3E83"/>
    <w:rsid w:val="007C4A28"/>
    <w:rsid w:val="007D17E9"/>
    <w:rsid w:val="007D3716"/>
    <w:rsid w:val="007D4905"/>
    <w:rsid w:val="007D65C8"/>
    <w:rsid w:val="007E1DEB"/>
    <w:rsid w:val="007E326D"/>
    <w:rsid w:val="007E4AB2"/>
    <w:rsid w:val="007F0D26"/>
    <w:rsid w:val="007F5AE2"/>
    <w:rsid w:val="008003FA"/>
    <w:rsid w:val="008054AE"/>
    <w:rsid w:val="00807E72"/>
    <w:rsid w:val="008100EB"/>
    <w:rsid w:val="00810A60"/>
    <w:rsid w:val="00817486"/>
    <w:rsid w:val="0082283C"/>
    <w:rsid w:val="00822E27"/>
    <w:rsid w:val="00823F99"/>
    <w:rsid w:val="0082450B"/>
    <w:rsid w:val="0082606C"/>
    <w:rsid w:val="00826F89"/>
    <w:rsid w:val="008409F8"/>
    <w:rsid w:val="00840EE8"/>
    <w:rsid w:val="00841086"/>
    <w:rsid w:val="008440ED"/>
    <w:rsid w:val="00844678"/>
    <w:rsid w:val="008447CA"/>
    <w:rsid w:val="008457EB"/>
    <w:rsid w:val="00851E3C"/>
    <w:rsid w:val="00856CF3"/>
    <w:rsid w:val="00864148"/>
    <w:rsid w:val="0086513F"/>
    <w:rsid w:val="008666E5"/>
    <w:rsid w:val="008706D0"/>
    <w:rsid w:val="00870867"/>
    <w:rsid w:val="00881589"/>
    <w:rsid w:val="008838BA"/>
    <w:rsid w:val="00886D09"/>
    <w:rsid w:val="00892880"/>
    <w:rsid w:val="00896291"/>
    <w:rsid w:val="008A1463"/>
    <w:rsid w:val="008A305E"/>
    <w:rsid w:val="008B03DA"/>
    <w:rsid w:val="008B6C73"/>
    <w:rsid w:val="008C0614"/>
    <w:rsid w:val="008C4B3A"/>
    <w:rsid w:val="008D1D0B"/>
    <w:rsid w:val="008D7E80"/>
    <w:rsid w:val="008E3543"/>
    <w:rsid w:val="008E6537"/>
    <w:rsid w:val="008E6C79"/>
    <w:rsid w:val="008E7BA2"/>
    <w:rsid w:val="008F3F50"/>
    <w:rsid w:val="008F789C"/>
    <w:rsid w:val="00906CD1"/>
    <w:rsid w:val="0091172B"/>
    <w:rsid w:val="00912575"/>
    <w:rsid w:val="00913E81"/>
    <w:rsid w:val="009210FB"/>
    <w:rsid w:val="00922192"/>
    <w:rsid w:val="00934594"/>
    <w:rsid w:val="009350BD"/>
    <w:rsid w:val="0093646D"/>
    <w:rsid w:val="00940B2D"/>
    <w:rsid w:val="0094576A"/>
    <w:rsid w:val="009502BF"/>
    <w:rsid w:val="00953F1E"/>
    <w:rsid w:val="00955396"/>
    <w:rsid w:val="00961973"/>
    <w:rsid w:val="0096231D"/>
    <w:rsid w:val="00965C3A"/>
    <w:rsid w:val="0097246F"/>
    <w:rsid w:val="009726D1"/>
    <w:rsid w:val="00976A38"/>
    <w:rsid w:val="00977C75"/>
    <w:rsid w:val="00980417"/>
    <w:rsid w:val="00981DA2"/>
    <w:rsid w:val="00984F4D"/>
    <w:rsid w:val="00986567"/>
    <w:rsid w:val="0099012B"/>
    <w:rsid w:val="00991287"/>
    <w:rsid w:val="00993839"/>
    <w:rsid w:val="00995716"/>
    <w:rsid w:val="009972C7"/>
    <w:rsid w:val="009A1518"/>
    <w:rsid w:val="009A53BC"/>
    <w:rsid w:val="009A75CC"/>
    <w:rsid w:val="009B2B2A"/>
    <w:rsid w:val="009B4BEB"/>
    <w:rsid w:val="009C71A0"/>
    <w:rsid w:val="009D3410"/>
    <w:rsid w:val="009D478E"/>
    <w:rsid w:val="009F2798"/>
    <w:rsid w:val="009F776C"/>
    <w:rsid w:val="00A0037D"/>
    <w:rsid w:val="00A00F13"/>
    <w:rsid w:val="00A028AF"/>
    <w:rsid w:val="00A0733D"/>
    <w:rsid w:val="00A10A8B"/>
    <w:rsid w:val="00A12C14"/>
    <w:rsid w:val="00A14619"/>
    <w:rsid w:val="00A14AE1"/>
    <w:rsid w:val="00A16D48"/>
    <w:rsid w:val="00A258C6"/>
    <w:rsid w:val="00A27321"/>
    <w:rsid w:val="00A30744"/>
    <w:rsid w:val="00A332D4"/>
    <w:rsid w:val="00A37CA0"/>
    <w:rsid w:val="00A42375"/>
    <w:rsid w:val="00A42AAE"/>
    <w:rsid w:val="00A4580C"/>
    <w:rsid w:val="00A4761D"/>
    <w:rsid w:val="00A5026B"/>
    <w:rsid w:val="00A60D2E"/>
    <w:rsid w:val="00A72631"/>
    <w:rsid w:val="00A74338"/>
    <w:rsid w:val="00A825F2"/>
    <w:rsid w:val="00A85DFD"/>
    <w:rsid w:val="00A91B98"/>
    <w:rsid w:val="00A92884"/>
    <w:rsid w:val="00AA6C6E"/>
    <w:rsid w:val="00AB266E"/>
    <w:rsid w:val="00AB744D"/>
    <w:rsid w:val="00AB777E"/>
    <w:rsid w:val="00AC51C7"/>
    <w:rsid w:val="00AD0584"/>
    <w:rsid w:val="00AD0AEA"/>
    <w:rsid w:val="00AD4074"/>
    <w:rsid w:val="00AE7524"/>
    <w:rsid w:val="00AF5854"/>
    <w:rsid w:val="00AF59DE"/>
    <w:rsid w:val="00AF715C"/>
    <w:rsid w:val="00B03D3A"/>
    <w:rsid w:val="00B04B66"/>
    <w:rsid w:val="00B04B9D"/>
    <w:rsid w:val="00B07575"/>
    <w:rsid w:val="00B11794"/>
    <w:rsid w:val="00B147C0"/>
    <w:rsid w:val="00B17614"/>
    <w:rsid w:val="00B264B9"/>
    <w:rsid w:val="00B3185A"/>
    <w:rsid w:val="00B31AF5"/>
    <w:rsid w:val="00B3532E"/>
    <w:rsid w:val="00B358E0"/>
    <w:rsid w:val="00B42B40"/>
    <w:rsid w:val="00B42BB2"/>
    <w:rsid w:val="00B42F7B"/>
    <w:rsid w:val="00B454BE"/>
    <w:rsid w:val="00B45D2A"/>
    <w:rsid w:val="00B5262A"/>
    <w:rsid w:val="00B645F9"/>
    <w:rsid w:val="00B67625"/>
    <w:rsid w:val="00B714EC"/>
    <w:rsid w:val="00B72C44"/>
    <w:rsid w:val="00B72F64"/>
    <w:rsid w:val="00B738B1"/>
    <w:rsid w:val="00B85E3A"/>
    <w:rsid w:val="00B86BB9"/>
    <w:rsid w:val="00B94C3F"/>
    <w:rsid w:val="00BA33D6"/>
    <w:rsid w:val="00BA45D1"/>
    <w:rsid w:val="00BB11DC"/>
    <w:rsid w:val="00BB72B1"/>
    <w:rsid w:val="00BB7E9D"/>
    <w:rsid w:val="00BC268F"/>
    <w:rsid w:val="00BD112B"/>
    <w:rsid w:val="00BD4180"/>
    <w:rsid w:val="00BD5F7A"/>
    <w:rsid w:val="00BE0F09"/>
    <w:rsid w:val="00BE17DE"/>
    <w:rsid w:val="00BE568F"/>
    <w:rsid w:val="00BE6A16"/>
    <w:rsid w:val="00BE6F67"/>
    <w:rsid w:val="00C02145"/>
    <w:rsid w:val="00C173EE"/>
    <w:rsid w:val="00C2259E"/>
    <w:rsid w:val="00C276DA"/>
    <w:rsid w:val="00C30B18"/>
    <w:rsid w:val="00C35A94"/>
    <w:rsid w:val="00C36FA4"/>
    <w:rsid w:val="00C40181"/>
    <w:rsid w:val="00C456C5"/>
    <w:rsid w:val="00C45DC7"/>
    <w:rsid w:val="00C506A9"/>
    <w:rsid w:val="00C550F7"/>
    <w:rsid w:val="00C55E88"/>
    <w:rsid w:val="00C64211"/>
    <w:rsid w:val="00C82BDD"/>
    <w:rsid w:val="00C84268"/>
    <w:rsid w:val="00C90EB8"/>
    <w:rsid w:val="00C923E0"/>
    <w:rsid w:val="00CA0483"/>
    <w:rsid w:val="00CA13FE"/>
    <w:rsid w:val="00CA6F7A"/>
    <w:rsid w:val="00CB3CE5"/>
    <w:rsid w:val="00CB4382"/>
    <w:rsid w:val="00CB738F"/>
    <w:rsid w:val="00CC1696"/>
    <w:rsid w:val="00CC1E90"/>
    <w:rsid w:val="00CD35AD"/>
    <w:rsid w:val="00CD43CD"/>
    <w:rsid w:val="00CD4CAD"/>
    <w:rsid w:val="00CD77E9"/>
    <w:rsid w:val="00CE10FE"/>
    <w:rsid w:val="00CE3EB4"/>
    <w:rsid w:val="00CE6B6E"/>
    <w:rsid w:val="00CF4DB8"/>
    <w:rsid w:val="00D01F81"/>
    <w:rsid w:val="00D03A33"/>
    <w:rsid w:val="00D06953"/>
    <w:rsid w:val="00D13C07"/>
    <w:rsid w:val="00D14285"/>
    <w:rsid w:val="00D14A14"/>
    <w:rsid w:val="00D20893"/>
    <w:rsid w:val="00D24765"/>
    <w:rsid w:val="00D303E4"/>
    <w:rsid w:val="00D44FAE"/>
    <w:rsid w:val="00D53459"/>
    <w:rsid w:val="00D645D0"/>
    <w:rsid w:val="00D67242"/>
    <w:rsid w:val="00D67E8D"/>
    <w:rsid w:val="00D75274"/>
    <w:rsid w:val="00D75680"/>
    <w:rsid w:val="00D75A08"/>
    <w:rsid w:val="00D76139"/>
    <w:rsid w:val="00D81E16"/>
    <w:rsid w:val="00DA328C"/>
    <w:rsid w:val="00DA361C"/>
    <w:rsid w:val="00DB3574"/>
    <w:rsid w:val="00DC6284"/>
    <w:rsid w:val="00DC67B1"/>
    <w:rsid w:val="00DD3CB5"/>
    <w:rsid w:val="00DD4EA3"/>
    <w:rsid w:val="00DE3B8E"/>
    <w:rsid w:val="00DE3F78"/>
    <w:rsid w:val="00E01C4F"/>
    <w:rsid w:val="00E04352"/>
    <w:rsid w:val="00E103A4"/>
    <w:rsid w:val="00E167C7"/>
    <w:rsid w:val="00E17C37"/>
    <w:rsid w:val="00E216DA"/>
    <w:rsid w:val="00E23CA7"/>
    <w:rsid w:val="00E34E26"/>
    <w:rsid w:val="00E40750"/>
    <w:rsid w:val="00E449AB"/>
    <w:rsid w:val="00E44FAB"/>
    <w:rsid w:val="00E5042A"/>
    <w:rsid w:val="00E50578"/>
    <w:rsid w:val="00E51D88"/>
    <w:rsid w:val="00E537EB"/>
    <w:rsid w:val="00E569BB"/>
    <w:rsid w:val="00E618C9"/>
    <w:rsid w:val="00E62FA2"/>
    <w:rsid w:val="00E66718"/>
    <w:rsid w:val="00E66746"/>
    <w:rsid w:val="00E66B78"/>
    <w:rsid w:val="00E81D98"/>
    <w:rsid w:val="00E848E0"/>
    <w:rsid w:val="00E86070"/>
    <w:rsid w:val="00E87365"/>
    <w:rsid w:val="00EA3EF7"/>
    <w:rsid w:val="00EA7405"/>
    <w:rsid w:val="00EA78C5"/>
    <w:rsid w:val="00EB79B2"/>
    <w:rsid w:val="00EC5896"/>
    <w:rsid w:val="00ED538B"/>
    <w:rsid w:val="00ED72EB"/>
    <w:rsid w:val="00EE156C"/>
    <w:rsid w:val="00EE5DAB"/>
    <w:rsid w:val="00EF112F"/>
    <w:rsid w:val="00EF44F9"/>
    <w:rsid w:val="00F0166D"/>
    <w:rsid w:val="00F0236A"/>
    <w:rsid w:val="00F04065"/>
    <w:rsid w:val="00F12EC4"/>
    <w:rsid w:val="00F1324C"/>
    <w:rsid w:val="00F170C0"/>
    <w:rsid w:val="00F208EB"/>
    <w:rsid w:val="00F264E6"/>
    <w:rsid w:val="00F31C98"/>
    <w:rsid w:val="00F336C0"/>
    <w:rsid w:val="00F41273"/>
    <w:rsid w:val="00F51BED"/>
    <w:rsid w:val="00F556CA"/>
    <w:rsid w:val="00F558A0"/>
    <w:rsid w:val="00F61B25"/>
    <w:rsid w:val="00F64BCB"/>
    <w:rsid w:val="00F81F0E"/>
    <w:rsid w:val="00F8371A"/>
    <w:rsid w:val="00F85B4E"/>
    <w:rsid w:val="00F92048"/>
    <w:rsid w:val="00F94E19"/>
    <w:rsid w:val="00F96557"/>
    <w:rsid w:val="00F97AC0"/>
    <w:rsid w:val="00FA1BD4"/>
    <w:rsid w:val="00FA23A9"/>
    <w:rsid w:val="00FA3452"/>
    <w:rsid w:val="00FB42B3"/>
    <w:rsid w:val="00FB69F8"/>
    <w:rsid w:val="00FC419D"/>
    <w:rsid w:val="00FC76B0"/>
    <w:rsid w:val="00FD1D92"/>
    <w:rsid w:val="00FD2A47"/>
    <w:rsid w:val="00FD3418"/>
    <w:rsid w:val="00FF74ED"/>
    <w:rsid w:val="0311D54F"/>
    <w:rsid w:val="03B24A6B"/>
    <w:rsid w:val="046ACC1F"/>
    <w:rsid w:val="04F8D1FE"/>
    <w:rsid w:val="065C905C"/>
    <w:rsid w:val="077D1899"/>
    <w:rsid w:val="0A197710"/>
    <w:rsid w:val="0BEB2711"/>
    <w:rsid w:val="0EF3B227"/>
    <w:rsid w:val="108CB619"/>
    <w:rsid w:val="1399D6D5"/>
    <w:rsid w:val="13BB2E92"/>
    <w:rsid w:val="13EF0A41"/>
    <w:rsid w:val="17E10CF5"/>
    <w:rsid w:val="17F9F897"/>
    <w:rsid w:val="19E3FFC6"/>
    <w:rsid w:val="1A831745"/>
    <w:rsid w:val="1BD22760"/>
    <w:rsid w:val="1DA2A4E3"/>
    <w:rsid w:val="1DAC27A5"/>
    <w:rsid w:val="20512D1A"/>
    <w:rsid w:val="207DCE00"/>
    <w:rsid w:val="230F213C"/>
    <w:rsid w:val="2395A0C7"/>
    <w:rsid w:val="23DBD30A"/>
    <w:rsid w:val="255996CD"/>
    <w:rsid w:val="257367EF"/>
    <w:rsid w:val="261A987A"/>
    <w:rsid w:val="2715042F"/>
    <w:rsid w:val="2822CEAF"/>
    <w:rsid w:val="2AAE6333"/>
    <w:rsid w:val="2C126C84"/>
    <w:rsid w:val="2D6F82A9"/>
    <w:rsid w:val="2FDE0B5D"/>
    <w:rsid w:val="31DA8303"/>
    <w:rsid w:val="35009C15"/>
    <w:rsid w:val="35924B64"/>
    <w:rsid w:val="37905928"/>
    <w:rsid w:val="37FE2BFE"/>
    <w:rsid w:val="3A344E5E"/>
    <w:rsid w:val="3B4A9390"/>
    <w:rsid w:val="3B97683A"/>
    <w:rsid w:val="3C701B2B"/>
    <w:rsid w:val="3CBCB799"/>
    <w:rsid w:val="3CF48B41"/>
    <w:rsid w:val="3D2B01D4"/>
    <w:rsid w:val="3D8D584D"/>
    <w:rsid w:val="412CEC70"/>
    <w:rsid w:val="43019046"/>
    <w:rsid w:val="43D526D1"/>
    <w:rsid w:val="46C46DC8"/>
    <w:rsid w:val="4BBF9B7C"/>
    <w:rsid w:val="4C8371C6"/>
    <w:rsid w:val="4D36CC32"/>
    <w:rsid w:val="4D370B70"/>
    <w:rsid w:val="4D81F179"/>
    <w:rsid w:val="4DDBC1DE"/>
    <w:rsid w:val="4E34B254"/>
    <w:rsid w:val="4F8DC2B4"/>
    <w:rsid w:val="514228BC"/>
    <w:rsid w:val="519E4FB2"/>
    <w:rsid w:val="52361D27"/>
    <w:rsid w:val="53FBB796"/>
    <w:rsid w:val="554F6F2A"/>
    <w:rsid w:val="5778B9EC"/>
    <w:rsid w:val="5A393F03"/>
    <w:rsid w:val="5C236C9E"/>
    <w:rsid w:val="60626DDD"/>
    <w:rsid w:val="60E4AEFD"/>
    <w:rsid w:val="61B6A006"/>
    <w:rsid w:val="69E1DF53"/>
    <w:rsid w:val="6AE5F663"/>
    <w:rsid w:val="6F0F6598"/>
    <w:rsid w:val="716E3DC4"/>
    <w:rsid w:val="721714C9"/>
    <w:rsid w:val="733C8425"/>
    <w:rsid w:val="7358D8BF"/>
    <w:rsid w:val="73FF1A7A"/>
    <w:rsid w:val="792C6947"/>
    <w:rsid w:val="7AD1BE39"/>
    <w:rsid w:val="7AF8C7AD"/>
    <w:rsid w:val="7EA06F00"/>
    <w:rsid w:val="7F499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7EA06F00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link w:val="Nadpis2"/>
    <w:uiPriority w:val="9"/>
    <w:semiHidden/>
    <w:rsid w:val="7EA06F00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link w:val="Nzev"/>
    <w:uiPriority w:val="10"/>
    <w:rsid w:val="7EA06F00"/>
    <w:rPr>
      <w:rFonts w:ascii="Arial" w:eastAsiaTheme="majorEastAsia" w:hAnsi="Arial" w:cstheme="majorBidi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link w:val="Podnadpis"/>
    <w:uiPriority w:val="11"/>
    <w:rsid w:val="7EA06F00"/>
    <w:rPr>
      <w:rFonts w:ascii="Arial" w:eastAsiaTheme="minorEastAsia" w:hAnsi="Arial"/>
      <w:color w:val="5A5A5A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uiPriority w:val="99"/>
    <w:semiHidden/>
    <w:unhideWhenUsed/>
    <w:rsid w:val="7EA06F00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link w:val="Textkomente"/>
    <w:uiPriority w:val="99"/>
    <w:rsid w:val="7EA06F00"/>
    <w:rPr>
      <w:rFonts w:ascii="Calibri" w:hAnsi="Calibri" w:cs="Calibri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uiPriority w:val="99"/>
    <w:semiHidden/>
    <w:unhideWhenUsed/>
    <w:rsid w:val="7EA06F00"/>
    <w:rPr>
      <w:i/>
      <w:iCs/>
    </w:rPr>
  </w:style>
  <w:style w:type="character" w:styleId="Hypertextovodkaz">
    <w:name w:val="Hyperlink"/>
    <w:uiPriority w:val="99"/>
    <w:unhideWhenUsed/>
    <w:rsid w:val="7EA06F00"/>
    <w:rPr>
      <w:color w:val="0563C1"/>
      <w:u w:val="single"/>
    </w:rPr>
  </w:style>
  <w:style w:type="character" w:styleId="Nevyeenzmnka">
    <w:name w:val="Unresolved Mention"/>
    <w:uiPriority w:val="99"/>
    <w:semiHidden/>
    <w:unhideWhenUsed/>
    <w:rsid w:val="7EA06F00"/>
    <w:rPr>
      <w:color w:val="605E5C"/>
    </w:rPr>
  </w:style>
  <w:style w:type="character" w:customStyle="1" w:styleId="cf01">
    <w:name w:val="cf01"/>
    <w:uiPriority w:val="1"/>
    <w:rsid w:val="7EA06F00"/>
    <w:rPr>
      <w:rFonts w:ascii="Segoe UI" w:hAnsi="Segoe UI" w:cs="Segoe UI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link w:val="Zkladntext"/>
    <w:uiPriority w:val="99"/>
    <w:rsid w:val="7EA06F00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6F14C8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eop">
    <w:name w:val="eop"/>
    <w:uiPriority w:val="1"/>
    <w:rsid w:val="7EA06F00"/>
    <w:rPr>
      <w:rFonts w:asciiTheme="minorHAnsi" w:eastAsiaTheme="minorEastAsia" w:hAnsiTheme="minorHAnsi" w:cstheme="minorBidi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CE6B6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E6B6E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CE6B6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CE6B6E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3390</Words>
  <Characters>20001</Characters>
  <Application>Microsoft Office Word</Application>
  <DocSecurity>0</DocSecurity>
  <Lines>166</Lines>
  <Paragraphs>46</Paragraphs>
  <ScaleCrop>false</ScaleCrop>
  <Company>Ministerstvo pro místní rozvoj</Company>
  <LinksUpToDate>false</LinksUpToDate>
  <CharactersWithSpaces>23345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41</cp:revision>
  <cp:lastPrinted>2026-04-06T12:36:00Z</cp:lastPrinted>
  <dcterms:created xsi:type="dcterms:W3CDTF">2026-02-24T14:53:00Z</dcterms:created>
  <dcterms:modified xsi:type="dcterms:W3CDTF">2026-07-17T10:51:00Z</dcterms:modified>
</cp:coreProperties>
</file>