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EA0D3" w14:textId="26A9D094" w:rsidR="00FD749B" w:rsidRPr="00FD749B" w:rsidRDefault="00FD749B" w:rsidP="00B308AF">
      <w:pPr>
        <w:jc w:val="both"/>
        <w:rPr>
          <w:rFonts w:eastAsia="Times New Roman" w:cstheme="minorHAnsi"/>
          <w:kern w:val="0"/>
          <w:lang w:eastAsia="cs-CZ"/>
          <w14:ligatures w14:val="none"/>
        </w:rPr>
      </w:pPr>
      <w:r w:rsidRPr="00FD749B">
        <w:rPr>
          <w:rFonts w:eastAsia="Times New Roman" w:cstheme="minorHAnsi"/>
          <w:color w:val="000000"/>
          <w:kern w:val="0"/>
          <w:lang w:eastAsia="cs-CZ"/>
          <w14:ligatures w14:val="none"/>
        </w:rPr>
        <w:t xml:space="preserve">V kontextu přípravy programového období </w:t>
      </w:r>
      <w:r w:rsidR="00B308AF">
        <w:rPr>
          <w:rFonts w:eastAsia="Times New Roman" w:cstheme="minorHAnsi"/>
          <w:color w:val="000000"/>
          <w:kern w:val="0"/>
          <w:lang w:eastAsia="cs-CZ"/>
          <w14:ligatures w14:val="none"/>
        </w:rPr>
        <w:t xml:space="preserve">politiky soudržnosti EU </w:t>
      </w:r>
      <w:r w:rsidRPr="00FD749B">
        <w:rPr>
          <w:rFonts w:eastAsia="Times New Roman" w:cstheme="minorHAnsi"/>
          <w:color w:val="000000"/>
          <w:kern w:val="0"/>
          <w:lang w:eastAsia="cs-CZ"/>
          <w14:ligatures w14:val="none"/>
        </w:rPr>
        <w:t xml:space="preserve">po roce 2028 a víceletého finančního rámce územní partneři podporují zachování </w:t>
      </w:r>
      <w:r w:rsidR="00B308AF">
        <w:rPr>
          <w:rFonts w:eastAsia="Times New Roman" w:cstheme="minorHAnsi"/>
          <w:color w:val="000000"/>
          <w:kern w:val="0"/>
          <w:lang w:eastAsia="cs-CZ"/>
          <w14:ligatures w14:val="none"/>
        </w:rPr>
        <w:t xml:space="preserve">této </w:t>
      </w:r>
      <w:r w:rsidRPr="00FD749B">
        <w:rPr>
          <w:rFonts w:eastAsia="Times New Roman" w:cstheme="minorHAnsi"/>
          <w:color w:val="000000"/>
          <w:kern w:val="0"/>
          <w:lang w:eastAsia="cs-CZ"/>
          <w14:ligatures w14:val="none"/>
        </w:rPr>
        <w:t>politiky jako silné investiční politiky EU, která přispívá k vyrovnávání hospodářských a sociálních rozdílů evropských regionů a k jejich konkurenceschopnosti při uplatňování územního přístupu (</w:t>
      </w:r>
      <w:r w:rsidRPr="00DA4A25">
        <w:rPr>
          <w:rFonts w:eastAsia="Times New Roman" w:cstheme="minorHAnsi"/>
          <w:i/>
          <w:iCs/>
          <w:color w:val="000000"/>
          <w:kern w:val="0"/>
          <w:lang w:eastAsia="cs-CZ"/>
          <w14:ligatures w14:val="none"/>
        </w:rPr>
        <w:t>place-</w:t>
      </w:r>
      <w:proofErr w:type="spellStart"/>
      <w:r w:rsidRPr="00DA4A25">
        <w:rPr>
          <w:rFonts w:eastAsia="Times New Roman" w:cstheme="minorHAnsi"/>
          <w:i/>
          <w:iCs/>
          <w:color w:val="000000"/>
          <w:kern w:val="0"/>
          <w:lang w:eastAsia="cs-CZ"/>
          <w14:ligatures w14:val="none"/>
        </w:rPr>
        <w:t>based</w:t>
      </w:r>
      <w:proofErr w:type="spellEnd"/>
      <w:r w:rsidRPr="00DA4A25">
        <w:rPr>
          <w:rFonts w:eastAsia="Times New Roman" w:cstheme="minorHAnsi"/>
          <w:i/>
          <w:iCs/>
          <w:color w:val="000000"/>
          <w:kern w:val="0"/>
          <w:lang w:eastAsia="cs-CZ"/>
          <w14:ligatures w14:val="none"/>
        </w:rPr>
        <w:t xml:space="preserve"> </w:t>
      </w:r>
      <w:proofErr w:type="spellStart"/>
      <w:r w:rsidRPr="00DA4A25">
        <w:rPr>
          <w:rFonts w:eastAsia="Times New Roman" w:cstheme="minorHAnsi"/>
          <w:i/>
          <w:iCs/>
          <w:color w:val="000000"/>
          <w:kern w:val="0"/>
          <w:lang w:eastAsia="cs-CZ"/>
          <w14:ligatures w14:val="none"/>
        </w:rPr>
        <w:t>approach</w:t>
      </w:r>
      <w:proofErr w:type="spellEnd"/>
      <w:r w:rsidRPr="00FD749B">
        <w:rPr>
          <w:rFonts w:eastAsia="Times New Roman" w:cstheme="minorHAnsi"/>
          <w:color w:val="000000"/>
          <w:kern w:val="0"/>
          <w:lang w:eastAsia="cs-CZ"/>
          <w14:ligatures w14:val="none"/>
        </w:rPr>
        <w:t>) a principu partnerství. Územní partneři vyzývají vládu ČR a MMR-NOK a další resorty, aby se při vyjednávání podoby budoucího programového období zasazovaly o zachování politiky soudržnosti jako základního pilíře víceletého finančního rámce s</w:t>
      </w:r>
      <w:r w:rsidR="00D828C3">
        <w:rPr>
          <w:rFonts w:eastAsia="Times New Roman" w:cstheme="minorHAnsi"/>
          <w:color w:val="000000"/>
          <w:kern w:val="0"/>
          <w:lang w:eastAsia="cs-CZ"/>
          <w14:ligatures w14:val="none"/>
        </w:rPr>
        <w:t> </w:t>
      </w:r>
      <w:r w:rsidRPr="00FD749B">
        <w:rPr>
          <w:rFonts w:eastAsia="Times New Roman" w:cstheme="minorHAnsi"/>
          <w:color w:val="000000"/>
          <w:kern w:val="0"/>
          <w:lang w:eastAsia="cs-CZ"/>
          <w14:ligatures w14:val="none"/>
        </w:rPr>
        <w:t>dostatečnou alokací. K tomu vydávají následující stanovisko:</w:t>
      </w:r>
    </w:p>
    <w:p w14:paraId="236CB5B7" w14:textId="77777777" w:rsidR="00FD749B" w:rsidRPr="00FD749B" w:rsidRDefault="00FD749B" w:rsidP="00C35FC5">
      <w:pPr>
        <w:ind w:left="720" w:hanging="360"/>
        <w:jc w:val="center"/>
        <w:rPr>
          <w:b/>
          <w:bCs/>
        </w:rPr>
      </w:pPr>
    </w:p>
    <w:p w14:paraId="1C83F903" w14:textId="77777777" w:rsidR="00FD749B" w:rsidRDefault="00FD749B" w:rsidP="00C35FC5">
      <w:pPr>
        <w:ind w:left="720" w:hanging="360"/>
        <w:jc w:val="center"/>
        <w:rPr>
          <w:b/>
          <w:bCs/>
        </w:rPr>
      </w:pPr>
    </w:p>
    <w:p w14:paraId="7C8AD523" w14:textId="77777777" w:rsidR="00784339" w:rsidRPr="00C35FC5" w:rsidRDefault="00784339" w:rsidP="00C35FC5">
      <w:pPr>
        <w:ind w:left="720" w:hanging="360"/>
        <w:jc w:val="center"/>
        <w:rPr>
          <w:b/>
          <w:bCs/>
        </w:rPr>
      </w:pPr>
      <w:r w:rsidRPr="00C35FC5">
        <w:rPr>
          <w:b/>
          <w:bCs/>
        </w:rPr>
        <w:t>Stanovisko územních partnerů k budoucnosti kohezní politiky</w:t>
      </w:r>
      <w:r w:rsidR="00EF7FCC" w:rsidRPr="00C35FC5">
        <w:rPr>
          <w:b/>
          <w:bCs/>
        </w:rPr>
        <w:t xml:space="preserve"> po roce 2028</w:t>
      </w:r>
    </w:p>
    <w:p w14:paraId="751F9978" w14:textId="77777777" w:rsidR="00784339" w:rsidRDefault="00784339" w:rsidP="0046697A">
      <w:pPr>
        <w:ind w:left="720" w:hanging="360"/>
      </w:pPr>
    </w:p>
    <w:p w14:paraId="584F973D" w14:textId="77777777" w:rsidR="0046697A" w:rsidRDefault="0046697A" w:rsidP="008E3E0B">
      <w:pPr>
        <w:ind w:left="720" w:hanging="360"/>
        <w:jc w:val="both"/>
      </w:pPr>
      <w:r>
        <w:t>Územní partneři ČR:</w:t>
      </w:r>
    </w:p>
    <w:p w14:paraId="0069E8BD" w14:textId="77777777" w:rsidR="0046697A" w:rsidRDefault="0046697A" w:rsidP="008E3E0B">
      <w:pPr>
        <w:ind w:left="720" w:hanging="360"/>
        <w:jc w:val="both"/>
      </w:pPr>
    </w:p>
    <w:p w14:paraId="7A124B83" w14:textId="2AEFD860" w:rsidR="00237E2E" w:rsidRDefault="0046697A" w:rsidP="008E3E0B">
      <w:pPr>
        <w:pStyle w:val="Odstavecseseznamem"/>
        <w:numPr>
          <w:ilvl w:val="0"/>
          <w:numId w:val="1"/>
        </w:numPr>
        <w:jc w:val="both"/>
      </w:pPr>
      <w:r>
        <w:t xml:space="preserve">upozorňují, že regionální a potažmo kohezní politika </w:t>
      </w:r>
      <w:r w:rsidR="00237E2E">
        <w:t>je základní součástí DNA celé EU</w:t>
      </w:r>
      <w:r w:rsidR="00026500">
        <w:t xml:space="preserve">. Je založena na principech </w:t>
      </w:r>
      <w:proofErr w:type="spellStart"/>
      <w:r w:rsidR="00026500">
        <w:t>multiúrovňového</w:t>
      </w:r>
      <w:proofErr w:type="spellEnd"/>
      <w:r w:rsidR="00026500">
        <w:t xml:space="preserve"> řízení partnerství a subsidiarity</w:t>
      </w:r>
      <w:r w:rsidR="00E92D9A">
        <w:t xml:space="preserve"> – sdílené řízení</w:t>
      </w:r>
      <w:r w:rsidR="00026500">
        <w:t>, což ji činí základním stavebním kamenem evropské integrace</w:t>
      </w:r>
      <w:r w:rsidR="001B1AE6">
        <w:t xml:space="preserve">, proto musí být kohezní politika </w:t>
      </w:r>
      <w:r w:rsidR="00B308AF">
        <w:t xml:space="preserve">EU </w:t>
      </w:r>
      <w:r w:rsidR="001B1AE6">
        <w:t xml:space="preserve">dostupná pro všechny </w:t>
      </w:r>
      <w:r w:rsidR="00347282">
        <w:t xml:space="preserve">evropské </w:t>
      </w:r>
      <w:r w:rsidR="001B1AE6">
        <w:t>regiony</w:t>
      </w:r>
      <w:r w:rsidR="00237E2E">
        <w:t>;</w:t>
      </w:r>
    </w:p>
    <w:p w14:paraId="2AE7CAEB" w14:textId="77777777" w:rsidR="00237E2E" w:rsidRDefault="00237E2E" w:rsidP="008E3E0B">
      <w:pPr>
        <w:pStyle w:val="Odstavecseseznamem"/>
        <w:jc w:val="both"/>
      </w:pPr>
    </w:p>
    <w:p w14:paraId="196051A5" w14:textId="77777777" w:rsidR="0046697A" w:rsidRDefault="00237E2E" w:rsidP="008E3E0B">
      <w:pPr>
        <w:pStyle w:val="Odstavecseseznamem"/>
        <w:numPr>
          <w:ilvl w:val="0"/>
          <w:numId w:val="1"/>
        </w:numPr>
        <w:jc w:val="both"/>
      </w:pPr>
      <w:r>
        <w:t xml:space="preserve"> </w:t>
      </w:r>
      <w:r w:rsidR="0046697A">
        <w:t>zdůrazňují, že</w:t>
      </w:r>
      <w:r w:rsidR="00D87577">
        <w:t xml:space="preserve"> </w:t>
      </w:r>
      <w:r w:rsidR="0046697A">
        <w:t xml:space="preserve">intervence v rámci regionální politiky EU a kohezní politiky </w:t>
      </w:r>
      <w:r w:rsidR="0046697A" w:rsidRPr="00C259CB">
        <w:t xml:space="preserve">jsou jedním z mála nástrojů EU, které mají přímý, konkrétní a hmatatelný </w:t>
      </w:r>
      <w:r w:rsidR="0046697A">
        <w:t xml:space="preserve">pozitivní </w:t>
      </w:r>
      <w:r w:rsidR="0046697A" w:rsidRPr="00C259CB">
        <w:t xml:space="preserve">dopad na kvalitu života občanů, a to prostřednictvím tisíců </w:t>
      </w:r>
      <w:r w:rsidR="0046697A">
        <w:t xml:space="preserve">konkrétních </w:t>
      </w:r>
      <w:r w:rsidR="0046697A" w:rsidRPr="00C259CB">
        <w:t xml:space="preserve">projektů, jež jsou realizovány po celé Evropě, a tím mají možnost pozitivně ovlivnit jejich celkový postoj k EU v současné době, kdy její popularita </w:t>
      </w:r>
      <w:r w:rsidR="0046697A">
        <w:t xml:space="preserve">významně </w:t>
      </w:r>
      <w:r w:rsidR="0046697A" w:rsidRPr="00C259CB">
        <w:t>klesá</w:t>
      </w:r>
      <w:r w:rsidR="0046697A">
        <w:t>;</w:t>
      </w:r>
    </w:p>
    <w:p w14:paraId="1F28EA3B" w14:textId="77777777" w:rsidR="0046697A" w:rsidRDefault="0046697A" w:rsidP="008E3E0B">
      <w:pPr>
        <w:jc w:val="both"/>
      </w:pPr>
    </w:p>
    <w:p w14:paraId="7FAE9140" w14:textId="57EDFBA5" w:rsidR="0046697A" w:rsidRDefault="0046697A" w:rsidP="008E3E0B">
      <w:pPr>
        <w:pStyle w:val="Odstavecseseznamem"/>
        <w:numPr>
          <w:ilvl w:val="0"/>
          <w:numId w:val="1"/>
        </w:numPr>
        <w:jc w:val="both"/>
      </w:pPr>
      <w:r>
        <w:t>si jsou vědomi, že EU čelí řadě globálních výzev, nicméně upozorňují, že omezení významu</w:t>
      </w:r>
      <w:r w:rsidR="000A7B11">
        <w:t xml:space="preserve"> </w:t>
      </w:r>
      <w:r>
        <w:t>regionální politiky může ohrozit pozitivní vnímání EU občany</w:t>
      </w:r>
      <w:r w:rsidR="00347282">
        <w:t>,</w:t>
      </w:r>
      <w:r>
        <w:t xml:space="preserve"> a tím ohrozit existenci EU jako takové</w:t>
      </w:r>
      <w:r w:rsidR="000A7B11">
        <w:t>.</w:t>
      </w:r>
      <w:r>
        <w:t xml:space="preserve"> </w:t>
      </w:r>
      <w:r w:rsidR="000A7B11">
        <w:t>K</w:t>
      </w:r>
      <w:r>
        <w:t xml:space="preserve">romě toho upozorňují, že většinu globálních výzev je potřeba řešit </w:t>
      </w:r>
      <w:r w:rsidR="00347282">
        <w:t xml:space="preserve">spíše </w:t>
      </w:r>
      <w:r>
        <w:t>z regionální a místní úrovně, než podporou nadnárodních korporací, protože právě vyvážená podpora</w:t>
      </w:r>
      <w:r w:rsidR="000A7B11">
        <w:t xml:space="preserve"> tvorby prostředí a podmínek pro rozvoj</w:t>
      </w:r>
      <w:r w:rsidR="00C32B49">
        <w:t>,</w:t>
      </w:r>
      <w:r>
        <w:t xml:space="preserve"> jak lokálně stabilizovaných firem udržujících sociální a ekonomickou stabilitu regionu, tak zároveň také flexibilních a kreativních místních a regionálních firem a startupů, může Ev</w:t>
      </w:r>
      <w:r w:rsidR="00D966C7">
        <w:t>ropě přinést jak stabilitu, tak</w:t>
      </w:r>
      <w:r>
        <w:t xml:space="preserve"> zvýšení konkurenceschopnosti a zlepšení pozice EU jako globálního hráče ve světě, která již několik desítek let (dle dat OECD) upadá;</w:t>
      </w:r>
    </w:p>
    <w:p w14:paraId="3021FFBB" w14:textId="77777777" w:rsidR="00BE0F47" w:rsidRDefault="00BE0F47" w:rsidP="008E3E0B">
      <w:pPr>
        <w:pStyle w:val="Odstavecseseznamem"/>
        <w:jc w:val="both"/>
      </w:pPr>
    </w:p>
    <w:p w14:paraId="5A1EDDF3" w14:textId="30D12352" w:rsidR="00E41084" w:rsidRPr="00747F72" w:rsidRDefault="00BE0F47" w:rsidP="008E3E0B">
      <w:pPr>
        <w:pStyle w:val="Odstavecseseznamem"/>
        <w:numPr>
          <w:ilvl w:val="0"/>
          <w:numId w:val="1"/>
        </w:numPr>
        <w:jc w:val="both"/>
      </w:pPr>
      <w:r>
        <w:t>zdůrazňují, že k</w:t>
      </w:r>
      <w:r w:rsidRPr="00BE0F47">
        <w:t xml:space="preserve">onvergence regionů EU je předpokladem silné a robustní EU, a </w:t>
      </w:r>
      <w:r>
        <w:t>pro</w:t>
      </w:r>
      <w:r w:rsidR="00A14365">
        <w:t>to</w:t>
      </w:r>
      <w:r>
        <w:t xml:space="preserve"> je nutné pro kohezní politiku </w:t>
      </w:r>
      <w:r w:rsidRPr="00BE0F47">
        <w:t xml:space="preserve">zajistit odpovídající rozpočet v rámci příštího víceletého finančního rámce, aby bylo možné řešit zásadní výzvy, kterým čelí regiony EU, včetně demografických změn, zelené a digitální transformace a regionálních </w:t>
      </w:r>
      <w:r w:rsidR="00347282" w:rsidRPr="00BE0F47">
        <w:t>rozdíl</w:t>
      </w:r>
      <w:r w:rsidR="00347282">
        <w:t>ů</w:t>
      </w:r>
      <w:r w:rsidRPr="00BE0F47">
        <w:t>.</w:t>
      </w:r>
      <w:r w:rsidR="003B6CBC">
        <w:t xml:space="preserve"> </w:t>
      </w:r>
      <w:r w:rsidR="00E41084" w:rsidRPr="003B6CBC">
        <w:rPr>
          <w:bCs/>
        </w:rPr>
        <w:t xml:space="preserve">Nadále podporují politiku soudržnosti jako živé ztělesnění evropské solidarity, kde žádný region nebo oblast v Unii není opomenuta nebo vyloučena z financování. </w:t>
      </w:r>
      <w:r w:rsidR="00E41084" w:rsidRPr="00445DCD">
        <w:t>Politika soudržnosti 2028+ musí i nadále zahrnovat všechny regiony Evropy na základě soudržného, individuálně uzpůsobeného a potřebně orientovaného přístupu. Všechny druhy regionů si zaslouží podporu při řešení konkrétních problémů, kterým čelí</w:t>
      </w:r>
      <w:r w:rsidR="003B6CBC">
        <w:t>;</w:t>
      </w:r>
    </w:p>
    <w:p w14:paraId="670750D0" w14:textId="77777777" w:rsidR="004B7151" w:rsidRDefault="004B7151" w:rsidP="008E3E0B">
      <w:pPr>
        <w:jc w:val="both"/>
      </w:pPr>
    </w:p>
    <w:p w14:paraId="0297E354" w14:textId="466FE767" w:rsidR="00EF7FCC" w:rsidRDefault="004B7151" w:rsidP="008E3E0B">
      <w:pPr>
        <w:pStyle w:val="Odstavecseseznamem"/>
        <w:numPr>
          <w:ilvl w:val="0"/>
          <w:numId w:val="1"/>
        </w:numPr>
        <w:jc w:val="both"/>
      </w:pPr>
      <w:r>
        <w:t xml:space="preserve">upozorňují, že vzhledem k tomu, že každá země a území má vlastní unikátní potenciál, je </w:t>
      </w:r>
      <w:r w:rsidR="00E92D9A">
        <w:t>neodpovědné</w:t>
      </w:r>
      <w:r>
        <w:t xml:space="preserve"> ho pro naplňování Evropských cílů a konkurenceschopnosti nevyužít </w:t>
      </w:r>
      <w:r>
        <w:lastRenderedPageBreak/>
        <w:t xml:space="preserve">(jak upozorňuje ve zprávě </w:t>
      </w:r>
      <w:proofErr w:type="spellStart"/>
      <w:r>
        <w:t>Refle</w:t>
      </w:r>
      <w:r w:rsidR="00DA4A25">
        <w:t>ct</w:t>
      </w:r>
      <w:r>
        <w:t>ion</w:t>
      </w:r>
      <w:proofErr w:type="spellEnd"/>
      <w:r>
        <w:t xml:space="preserve"> Group</w:t>
      </w:r>
      <w:r w:rsidR="00FD749B">
        <w:t xml:space="preserve"> zřízená EK</w:t>
      </w:r>
      <w:r>
        <w:t xml:space="preserve">). Je proto velmi užitečné a důležité nejen použít </w:t>
      </w:r>
      <w:r w:rsidR="00026500">
        <w:t>princip provádění dle místních podmínek (</w:t>
      </w:r>
      <w:r w:rsidR="00FD749B">
        <w:t>p</w:t>
      </w:r>
      <w:r>
        <w:t>lace</w:t>
      </w:r>
      <w:r w:rsidR="00FD749B">
        <w:t>-</w:t>
      </w:r>
      <w:proofErr w:type="spellStart"/>
      <w:r w:rsidR="00FD749B">
        <w:t>b</w:t>
      </w:r>
      <w:r>
        <w:t>ased</w:t>
      </w:r>
      <w:proofErr w:type="spellEnd"/>
      <w:r>
        <w:t xml:space="preserve"> </w:t>
      </w:r>
      <w:proofErr w:type="spellStart"/>
      <w:r w:rsidR="00FD749B">
        <w:t>a</w:t>
      </w:r>
      <w:r>
        <w:t>pproach</w:t>
      </w:r>
      <w:proofErr w:type="spellEnd"/>
      <w:r w:rsidR="00026500">
        <w:t>)</w:t>
      </w:r>
      <w:r>
        <w:t xml:space="preserve">, ale též </w:t>
      </w:r>
      <w:r w:rsidR="004779DB">
        <w:t>tento reálný unikátní potenciál správně vyhledat a určit způsob jeho rozvíjení</w:t>
      </w:r>
      <w:r>
        <w:t>. Tento potenciál je třeba vnímat z celosvětového pohledu, a nejen z vnitro</w:t>
      </w:r>
      <w:r w:rsidR="001A171D">
        <w:t>evropského</w:t>
      </w:r>
      <w:r>
        <w:t xml:space="preserve">. </w:t>
      </w:r>
      <w:r w:rsidR="00E41084" w:rsidRPr="00E23E2F">
        <w:rPr>
          <w:bCs/>
        </w:rPr>
        <w:t>Politika soudržnosti by měla i nadále přispívat k využívání výhod jednotného trhu, podporovat řádnou správu věcí veřejných a účinnost správy.</w:t>
      </w:r>
    </w:p>
    <w:p w14:paraId="17F8AD4A" w14:textId="77777777" w:rsidR="004779DB" w:rsidRDefault="004779DB" w:rsidP="008E3E0B">
      <w:pPr>
        <w:pStyle w:val="Odstavecseseznamem"/>
        <w:jc w:val="both"/>
      </w:pPr>
    </w:p>
    <w:p w14:paraId="3A1CBAF5" w14:textId="5A01C212" w:rsidR="004B7151" w:rsidRDefault="004B7151" w:rsidP="008E3E0B">
      <w:pPr>
        <w:pStyle w:val="Odstavecseseznamem"/>
        <w:jc w:val="both"/>
      </w:pPr>
      <w:r>
        <w:t xml:space="preserve">Pro zvýšení konkurenceschopnosti EU jako celku je </w:t>
      </w:r>
      <w:r w:rsidR="00EF7FCC">
        <w:t>využití</w:t>
      </w:r>
      <w:r>
        <w:t xml:space="preserve"> veškerých potenciálů jednotlivých území mnohem efektivnější, než </w:t>
      </w:r>
      <w:r w:rsidR="007D08A3">
        <w:t xml:space="preserve">přímá </w:t>
      </w:r>
      <w:r>
        <w:t>podpora některých vybraných sektorů a korporátních firem</w:t>
      </w:r>
      <w:r w:rsidR="004779DB">
        <w:t xml:space="preserve">. Přímá podpora vybraných sektorů </w:t>
      </w:r>
      <w:r>
        <w:t xml:space="preserve">řeší problém pouze daného sektoru v daném okamžiku a nemůže vytvořit podmínky pro dlouhodobý komplexní rozvoj a </w:t>
      </w:r>
      <w:r w:rsidR="00C35FC5">
        <w:t xml:space="preserve">udržitelnou </w:t>
      </w:r>
      <w:r>
        <w:t>konkurenceschopnost EU</w:t>
      </w:r>
      <w:r w:rsidR="001A171D">
        <w:t>;</w:t>
      </w:r>
      <w:r>
        <w:t xml:space="preserve"> </w:t>
      </w:r>
    </w:p>
    <w:p w14:paraId="7B3D1B5E" w14:textId="77777777" w:rsidR="0046697A" w:rsidRDefault="0046697A" w:rsidP="008E3E0B">
      <w:pPr>
        <w:jc w:val="both"/>
      </w:pPr>
    </w:p>
    <w:p w14:paraId="502CF6D5" w14:textId="77777777" w:rsidR="00E41084" w:rsidRDefault="0046697A" w:rsidP="008E3E0B">
      <w:pPr>
        <w:pStyle w:val="Odstavecseseznamem"/>
        <w:numPr>
          <w:ilvl w:val="0"/>
          <w:numId w:val="1"/>
        </w:numPr>
        <w:jc w:val="both"/>
      </w:pPr>
      <w:r>
        <w:t xml:space="preserve">proto zdůrazňují, že pokud chce EU úspěšně čelit současným a budoucím výzvám a </w:t>
      </w:r>
      <w:r w:rsidR="00E92D9A">
        <w:t>poskytovat občanům přida</w:t>
      </w:r>
      <w:r w:rsidR="00044411">
        <w:t>nou hodnotu pro jejich životy</w:t>
      </w:r>
      <w:r>
        <w:t>, musí minimálně zachovat současné postavení regionální a kohezní politiky a alokovat na ni obdobný poměr finančních prostředků Víceletého finančního rámce jako doposud. Za velmi důležité považují to, aby regionální a kohezní politika vzhledem k</w:t>
      </w:r>
      <w:r w:rsidR="00D966C7">
        <w:t>e</w:t>
      </w:r>
      <w:r>
        <w:t xml:space="preserve"> svému významu měla adekvátního </w:t>
      </w:r>
      <w:r w:rsidR="00D966C7">
        <w:t>garanta</w:t>
      </w:r>
      <w:r>
        <w:t xml:space="preserve"> ve struktuře Evropské komise, tedy samostatné Generální ředitelství</w:t>
      </w:r>
      <w:r w:rsidR="00D966C7">
        <w:t xml:space="preserve"> Evropské komise</w:t>
      </w:r>
      <w:r>
        <w:t xml:space="preserve"> pro regionální a městskou politiku, obdobně jako doposud</w:t>
      </w:r>
      <w:r w:rsidR="00784339">
        <w:t>;</w:t>
      </w:r>
    </w:p>
    <w:p w14:paraId="043787F4" w14:textId="77777777" w:rsidR="003B6CBC" w:rsidRDefault="003B6CBC" w:rsidP="008E3E0B">
      <w:pPr>
        <w:pStyle w:val="Odstavecseseznamem"/>
        <w:jc w:val="both"/>
      </w:pPr>
    </w:p>
    <w:p w14:paraId="3249E7AC" w14:textId="65FF13F1" w:rsidR="00E41084" w:rsidRPr="003B6CBC" w:rsidRDefault="003B6CBC" w:rsidP="008E3E0B">
      <w:pPr>
        <w:pStyle w:val="Odstavecseseznamem"/>
        <w:numPr>
          <w:ilvl w:val="0"/>
          <w:numId w:val="1"/>
        </w:numPr>
        <w:jc w:val="both"/>
      </w:pPr>
      <w:r>
        <w:rPr>
          <w:bCs/>
        </w:rPr>
        <w:t>požadují</w:t>
      </w:r>
      <w:r w:rsidR="00E41084" w:rsidRPr="00E41084">
        <w:rPr>
          <w:bCs/>
        </w:rPr>
        <w:t>, aby politika soudržnosti, která je rozvíjena společně s regiony, byla prováděna regiony pro regiony v regionech. Staví</w:t>
      </w:r>
      <w:r w:rsidR="00B712D1">
        <w:rPr>
          <w:bCs/>
        </w:rPr>
        <w:t xml:space="preserve"> se</w:t>
      </w:r>
      <w:r w:rsidR="00E41084" w:rsidRPr="00E41084">
        <w:rPr>
          <w:bCs/>
        </w:rPr>
        <w:t xml:space="preserve"> proti jakémukoliv posunu k</w:t>
      </w:r>
      <w:r w:rsidR="00D828C3">
        <w:rPr>
          <w:bCs/>
        </w:rPr>
        <w:t> </w:t>
      </w:r>
      <w:r w:rsidR="00E41084" w:rsidRPr="00E41084">
        <w:rPr>
          <w:bCs/>
        </w:rPr>
        <w:t xml:space="preserve">centralizovanějšímu přístupu nebo oslabení role a odpovědnosti regionů. </w:t>
      </w:r>
      <w:r w:rsidR="00E41084" w:rsidRPr="00445DCD">
        <w:t xml:space="preserve">Aby byly evropské politiky a iniciativy účinné a trvalé, potřebuje EU skutečné zapojení regionálních subjektů, které </w:t>
      </w:r>
      <w:r w:rsidR="00E41084" w:rsidRPr="00E41084">
        <w:rPr>
          <w:bCs/>
        </w:rPr>
        <w:t xml:space="preserve">jsou nejvhodnější institucionální úrovní pro plánování a provádění územních politik. Jakýkoli centralizační přístup by nedokázal dosáhnout hospodářské, sociální a územní soudržnosti, </w:t>
      </w:r>
      <w:r w:rsidR="00E41084">
        <w:rPr>
          <w:bCs/>
        </w:rPr>
        <w:t>o</w:t>
      </w:r>
      <w:r w:rsidR="00E41084" w:rsidRPr="00E41084">
        <w:rPr>
          <w:bCs/>
        </w:rPr>
        <w:t>hrozilo by to rovnováhu evropské víceúrovňové struktury správy jako celku</w:t>
      </w:r>
      <w:r>
        <w:rPr>
          <w:bCs/>
        </w:rPr>
        <w:t>;</w:t>
      </w:r>
    </w:p>
    <w:p w14:paraId="259F8383" w14:textId="77777777" w:rsidR="003B6CBC" w:rsidRPr="003B6CBC" w:rsidRDefault="003B6CBC" w:rsidP="008E3E0B">
      <w:pPr>
        <w:pStyle w:val="Odstavecseseznamem"/>
        <w:jc w:val="both"/>
      </w:pPr>
    </w:p>
    <w:p w14:paraId="6E166127" w14:textId="4FA2A159" w:rsidR="00E41084" w:rsidRPr="003B6CBC" w:rsidRDefault="003B6CBC" w:rsidP="008E3E0B">
      <w:pPr>
        <w:pStyle w:val="Odstavecseseznamem"/>
        <w:numPr>
          <w:ilvl w:val="0"/>
          <w:numId w:val="1"/>
        </w:numPr>
        <w:jc w:val="both"/>
      </w:pPr>
      <w:r>
        <w:rPr>
          <w:bCs/>
        </w:rPr>
        <w:t>upozorňují</w:t>
      </w:r>
      <w:r w:rsidR="004420FB">
        <w:rPr>
          <w:bCs/>
        </w:rPr>
        <w:t>,</w:t>
      </w:r>
      <w:r>
        <w:rPr>
          <w:bCs/>
        </w:rPr>
        <w:t xml:space="preserve"> že p</w:t>
      </w:r>
      <w:r w:rsidR="00E41084" w:rsidRPr="003B6CBC">
        <w:rPr>
          <w:bCs/>
        </w:rPr>
        <w:t xml:space="preserve">olitika </w:t>
      </w:r>
      <w:r w:rsidRPr="003B6CBC">
        <w:rPr>
          <w:bCs/>
        </w:rPr>
        <w:t>soudržnosti by</w:t>
      </w:r>
      <w:r w:rsidR="00E41084" w:rsidRPr="003B6CBC">
        <w:rPr>
          <w:bCs/>
        </w:rPr>
        <w:t xml:space="preserve"> se měla zaměřit na svůj schválený a úspěšný přístup jako dlouhodobý investiční a strukturální nástroj k posílení konkurenceschopnosti, výzkumu, inovací, zelené a digitální transformace a odolnosti vůči změně klimatu, jakož i sociálnější Evropy. Regionům musí být poskytnuta flexibilita, aby mohly definovat nejvhodnější investice a nástroje v terénu, které přispějí ke společnému souboru cílů budoucí politiky soudržnosti. Js</w:t>
      </w:r>
      <w:r w:rsidR="004F112D">
        <w:rPr>
          <w:bCs/>
        </w:rPr>
        <w:t>ou</w:t>
      </w:r>
      <w:r w:rsidR="00E41084" w:rsidRPr="003B6CBC">
        <w:rPr>
          <w:bCs/>
        </w:rPr>
        <w:t xml:space="preserve"> otevřeni diskusi o dalším posílení orientace politiky soudržnosti na výsledky tam, kde to bude vhodné</w:t>
      </w:r>
      <w:r>
        <w:rPr>
          <w:bCs/>
        </w:rPr>
        <w:t>;</w:t>
      </w:r>
    </w:p>
    <w:p w14:paraId="1383ADFB" w14:textId="77777777" w:rsidR="00E41084" w:rsidRDefault="00E41084" w:rsidP="008E3E0B">
      <w:pPr>
        <w:pStyle w:val="Odstavecseseznamem"/>
        <w:jc w:val="both"/>
      </w:pPr>
    </w:p>
    <w:p w14:paraId="48E61591" w14:textId="700890D6" w:rsidR="00500646" w:rsidRDefault="00500646" w:rsidP="008E3E0B">
      <w:pPr>
        <w:pStyle w:val="Odstavecseseznamem"/>
        <w:numPr>
          <w:ilvl w:val="0"/>
          <w:numId w:val="1"/>
        </w:numPr>
        <w:jc w:val="both"/>
      </w:pPr>
      <w:r>
        <w:t>podotýkají, že f</w:t>
      </w:r>
      <w:r w:rsidRPr="00500646">
        <w:t>inanční nástroje by měly být ve větší míře využívány spolu s granty, aby se zvýšila účinnost fondů EU, zejména v oblastech se silným potenciálem hospodářské návratnosti. Tam, kde je to vhodné, mohou finanční nástroje zlepšit udržitelnost investic, ale musí být navrženy tak, aby doplňovaly regionální potřeby, aniž by zvyšovaly nerovnosti. Jejich používání musí být podpořeno jednoduchou, stabilní a předvídatelnou legislativou, která minimalizuje administrativní zátěž pro správce fondů, finanční zprostředkovatele a příjemce</w:t>
      </w:r>
      <w:r w:rsidR="003B6CBC">
        <w:t>;</w:t>
      </w:r>
    </w:p>
    <w:p w14:paraId="4EB6EE98" w14:textId="77777777" w:rsidR="00D966C7" w:rsidRDefault="00D966C7" w:rsidP="008E3E0B">
      <w:pPr>
        <w:ind w:left="360"/>
        <w:jc w:val="both"/>
      </w:pPr>
    </w:p>
    <w:p w14:paraId="7AC5E5FA" w14:textId="107F1CEF" w:rsidR="00237E2E" w:rsidRDefault="00237E2E" w:rsidP="008E3E0B">
      <w:pPr>
        <w:pStyle w:val="Odstavecseseznamem"/>
        <w:numPr>
          <w:ilvl w:val="0"/>
          <w:numId w:val="1"/>
        </w:numPr>
        <w:jc w:val="both"/>
      </w:pPr>
      <w:r>
        <w:lastRenderedPageBreak/>
        <w:t>zdůrazňují</w:t>
      </w:r>
      <w:r w:rsidR="0072001B">
        <w:t xml:space="preserve"> že, kohezní politika </w:t>
      </w:r>
      <w:r>
        <w:t>musí být efektivnější, a proto musí být jednoduš</w:t>
      </w:r>
      <w:r w:rsidR="00347282">
        <w:t>š</w:t>
      </w:r>
      <w:r>
        <w:t>í, flexibilnější a méně svázaná dodatečnými podmínkami. Musí umožňovat kreativitu v naplňování, tak aby v maximální míře reagovala na podmínky v území a využívala jeho unikátní potenciál. Pokud se mají vytvářet synergie v</w:t>
      </w:r>
      <w:r w:rsidR="00347282">
        <w:t> </w:t>
      </w:r>
      <w:r>
        <w:t>naplňování</w:t>
      </w:r>
      <w:r w:rsidR="00347282">
        <w:t>,</w:t>
      </w:r>
      <w:r>
        <w:t xml:space="preserve"> nelze vytvářet obecné šablony</w:t>
      </w:r>
      <w:r w:rsidR="00711BAA">
        <w:t xml:space="preserve"> svazující implementaci</w:t>
      </w:r>
      <w:r>
        <w:t>!</w:t>
      </w:r>
      <w:r w:rsidR="0072001B">
        <w:t xml:space="preserve"> </w:t>
      </w:r>
      <w:r w:rsidR="001A66B8">
        <w:t xml:space="preserve">Kohezní politika </w:t>
      </w:r>
      <w:r w:rsidR="0072001B">
        <w:t xml:space="preserve">musí získat mnohem významnější regionální a místní rozměr a nelze ji svazovat tematickou koncentrací a dodatečnými podmínkami směřujícími k naplnění </w:t>
      </w:r>
      <w:r w:rsidR="001A66B8">
        <w:t xml:space="preserve">jiných </w:t>
      </w:r>
      <w:r w:rsidR="0072001B">
        <w:t xml:space="preserve">politik EU, na které byly </w:t>
      </w:r>
      <w:r w:rsidR="001A66B8">
        <w:t xml:space="preserve">vytvořeny jiné nástroje, </w:t>
      </w:r>
      <w:r w:rsidR="00B47B4D">
        <w:t>naopak je</w:t>
      </w:r>
      <w:r>
        <w:t xml:space="preserve"> potřeba, aby i ostatní nástroje získaly územní rozměr tak, aby se nesnížil</w:t>
      </w:r>
      <w:r w:rsidR="009E135D">
        <w:t xml:space="preserve"> význam</w:t>
      </w:r>
      <w:r>
        <w:t xml:space="preserve"> regionální politiky v EU. To se týká též podpory rozvoje venkova v rámci zemědělského fondu</w:t>
      </w:r>
      <w:r w:rsidR="001A171D">
        <w:t>;</w:t>
      </w:r>
    </w:p>
    <w:p w14:paraId="1514AF12" w14:textId="77777777" w:rsidR="005E5F01" w:rsidRDefault="005E5F01" w:rsidP="008E3E0B">
      <w:pPr>
        <w:pStyle w:val="Odstavecseseznamem"/>
        <w:jc w:val="both"/>
      </w:pPr>
    </w:p>
    <w:p w14:paraId="558CF3C5" w14:textId="7C1D5AC7" w:rsidR="005E5F01" w:rsidRDefault="00784339" w:rsidP="008E3E0B">
      <w:pPr>
        <w:pStyle w:val="Odstavecseseznamem"/>
        <w:numPr>
          <w:ilvl w:val="0"/>
          <w:numId w:val="1"/>
        </w:numPr>
        <w:jc w:val="both"/>
      </w:pPr>
      <w:r>
        <w:t>uznávají, že vzhledem k současným problémům, kterým EU čelí</w:t>
      </w:r>
      <w:r w:rsidR="00347282">
        <w:t>,</w:t>
      </w:r>
      <w:r>
        <w:t xml:space="preserve"> a nutnosti opětovného nastartování </w:t>
      </w:r>
      <w:r w:rsidR="005E5F01">
        <w:t>konkurenceschopnosti</w:t>
      </w:r>
      <w:r>
        <w:t xml:space="preserve"> je třeba, aby kohezní politika prošla určitou transformací, tak aby převáděla strategické reformy do území, ale zároveň též zajišťovala stabilitu a předvídatelnost prostředí pro všechny aktéry. K tomu je třeba zajistit flexibilitu v naplňování cílů a reforem dle místních podmínek (</w:t>
      </w:r>
      <w:r w:rsidR="00FD749B" w:rsidRPr="00DA4A25">
        <w:rPr>
          <w:i/>
          <w:iCs/>
        </w:rPr>
        <w:t>p</w:t>
      </w:r>
      <w:r w:rsidRPr="00DA4A25">
        <w:rPr>
          <w:i/>
          <w:iCs/>
        </w:rPr>
        <w:t>lace</w:t>
      </w:r>
      <w:r w:rsidR="00FD749B" w:rsidRPr="00DA4A25">
        <w:rPr>
          <w:i/>
          <w:iCs/>
        </w:rPr>
        <w:t>-</w:t>
      </w:r>
      <w:proofErr w:type="spellStart"/>
      <w:r w:rsidRPr="00DA4A25">
        <w:rPr>
          <w:i/>
          <w:iCs/>
        </w:rPr>
        <w:t>based</w:t>
      </w:r>
      <w:proofErr w:type="spellEnd"/>
      <w:r w:rsidRPr="00DA4A25">
        <w:rPr>
          <w:i/>
          <w:iCs/>
        </w:rPr>
        <w:t xml:space="preserve"> </w:t>
      </w:r>
      <w:proofErr w:type="spellStart"/>
      <w:r w:rsidRPr="00DA4A25">
        <w:rPr>
          <w:i/>
          <w:iCs/>
        </w:rPr>
        <w:t>approach</w:t>
      </w:r>
      <w:proofErr w:type="spellEnd"/>
      <w:r>
        <w:t xml:space="preserve">) a namísto procentuálně stanovené tematické koncentrace a dodatečných podmínek využít </w:t>
      </w:r>
      <w:r w:rsidR="005E5F01">
        <w:t>strategický</w:t>
      </w:r>
      <w:r>
        <w:t xml:space="preserve"> přístup</w:t>
      </w:r>
      <w:r w:rsidR="007D08A3">
        <w:t>. Jako efektivní se jeví</w:t>
      </w:r>
      <w:r>
        <w:t xml:space="preserve"> zejména </w:t>
      </w:r>
      <w:r w:rsidR="007D08A3">
        <w:t xml:space="preserve">princip </w:t>
      </w:r>
      <w:r>
        <w:t xml:space="preserve">integrovaných územních </w:t>
      </w:r>
      <w:r w:rsidR="005E5F01">
        <w:t>investic</w:t>
      </w:r>
      <w:r w:rsidR="001465F4">
        <w:t xml:space="preserve"> a nástrojů</w:t>
      </w:r>
      <w:r w:rsidR="005E5F01">
        <w:t>,</w:t>
      </w:r>
      <w:r>
        <w:t xml:space="preserve"> a to na všech úrovní</w:t>
      </w:r>
      <w:r w:rsidR="00D966C7">
        <w:t>ch</w:t>
      </w:r>
      <w:r>
        <w:t xml:space="preserve"> územ</w:t>
      </w:r>
      <w:r w:rsidR="00D966C7">
        <w:t>n</w:t>
      </w:r>
      <w:r>
        <w:t>í</w:t>
      </w:r>
      <w:r w:rsidR="00D966C7">
        <w:t xml:space="preserve"> správy</w:t>
      </w:r>
      <w:r w:rsidR="00C35FC5">
        <w:t>;</w:t>
      </w:r>
    </w:p>
    <w:p w14:paraId="1B70A92E" w14:textId="77777777" w:rsidR="00C35FC5" w:rsidRDefault="00C35FC5" w:rsidP="008E3E0B">
      <w:pPr>
        <w:pStyle w:val="Odstavecseseznamem"/>
        <w:jc w:val="both"/>
      </w:pPr>
    </w:p>
    <w:p w14:paraId="4C1710AB" w14:textId="6A051AF5" w:rsidR="004B7151" w:rsidRDefault="005E5F01" w:rsidP="008E3E0B">
      <w:pPr>
        <w:pStyle w:val="Odstavecseseznamem"/>
        <w:numPr>
          <w:ilvl w:val="0"/>
          <w:numId w:val="1"/>
        </w:numPr>
        <w:jc w:val="both"/>
      </w:pPr>
      <w:r>
        <w:t xml:space="preserve">upozorňují, že pokud chce EU dosáhnout větší </w:t>
      </w:r>
      <w:r w:rsidR="00523952">
        <w:t>konkurenceschopnosti a zvýšení svého globálního významu</w:t>
      </w:r>
      <w:r w:rsidR="00347282">
        <w:t>,</w:t>
      </w:r>
      <w:r w:rsidR="00523952">
        <w:t xml:space="preserve"> potřebuje namísto jednotlivých sektorových cílů a strategií jasnou komplexní vizi budoucnosti EU. Na základě této vize by pak měl být stanoven cíl a vytvořena komplexní strategie, která bude respektovat vazby a dopady mezi jednotlivými sektory. Je třeba jasně </w:t>
      </w:r>
      <w:r w:rsidR="004B7151">
        <w:t>analyzovat a vnímat to</w:t>
      </w:r>
      <w:r w:rsidR="0036013E">
        <w:t>,</w:t>
      </w:r>
      <w:r w:rsidR="004B7151">
        <w:t xml:space="preserve"> jaké dopady má realizace </w:t>
      </w:r>
      <w:r w:rsidR="00026500">
        <w:t>každé politiky</w:t>
      </w:r>
      <w:r w:rsidR="004B7151">
        <w:t xml:space="preserve"> na jiné sektory</w:t>
      </w:r>
      <w:r w:rsidR="00026500">
        <w:t xml:space="preserve"> a politiky</w:t>
      </w:r>
      <w:r w:rsidR="00044411">
        <w:t xml:space="preserve"> včetně dopadů do území</w:t>
      </w:r>
      <w:r w:rsidR="004B7151">
        <w:t>. Tato komplexní strategie je nezbytná pro vytváření efektivních reforem celé EU a následně pro vytváření efektivně zacílených národních a územních strategii dle místních podmínek a potenciálu</w:t>
      </w:r>
      <w:r w:rsidR="00C35FC5">
        <w:t>;</w:t>
      </w:r>
    </w:p>
    <w:p w14:paraId="2BE74A7C" w14:textId="77777777" w:rsidR="00C35FC5" w:rsidRDefault="00C35FC5" w:rsidP="008E3E0B">
      <w:pPr>
        <w:pStyle w:val="Odstavecseseznamem"/>
        <w:jc w:val="both"/>
      </w:pPr>
    </w:p>
    <w:p w14:paraId="63215322" w14:textId="7F457DC9" w:rsidR="00B34940" w:rsidRDefault="004420FB" w:rsidP="008E3E0B">
      <w:pPr>
        <w:pStyle w:val="Odstavecseseznamem"/>
        <w:numPr>
          <w:ilvl w:val="0"/>
          <w:numId w:val="1"/>
        </w:numPr>
        <w:jc w:val="both"/>
      </w:pPr>
      <w:r>
        <w:t>zdůrazňují</w:t>
      </w:r>
      <w:r w:rsidR="00B34940">
        <w:t>, že pro realizaci nejen kohezní, ale jakékoli politiky EU, je třeba vytvořit dostatečnou a kvalitní administrativní, politickou a realizační kapacitu, a to na všech úrovních, včetně té nejnižší</w:t>
      </w:r>
      <w:r w:rsidR="00DC1ECF">
        <w:t>,</w:t>
      </w:r>
      <w:r w:rsidR="00B34940">
        <w:t xml:space="preserve"> tj. projektových manažerů, lokálních politiků a realizátorů projektů. Kvalita provádění je fatálně závislá na kvalitě znalostí a schopností všech </w:t>
      </w:r>
      <w:r w:rsidR="00DC1ECF">
        <w:t>zúčastněných, proto je potřeba jejich vzděláv</w:t>
      </w:r>
      <w:r w:rsidR="00C35FC5">
        <w:t>á</w:t>
      </w:r>
      <w:r w:rsidR="00DC1ECF">
        <w:t>ní a získávání praktických zkušeností věnovat náležitou pozornost</w:t>
      </w:r>
      <w:r w:rsidR="00C35FC5">
        <w:t>;</w:t>
      </w:r>
    </w:p>
    <w:p w14:paraId="107F2243" w14:textId="77777777" w:rsidR="00C35FC5" w:rsidRDefault="00C35FC5" w:rsidP="008E3E0B">
      <w:pPr>
        <w:pStyle w:val="Odstavecseseznamem"/>
        <w:jc w:val="both"/>
      </w:pPr>
    </w:p>
    <w:p w14:paraId="78520ED2" w14:textId="77777777" w:rsidR="00DC1ECF" w:rsidRDefault="001A171D" w:rsidP="008E3E0B">
      <w:pPr>
        <w:pStyle w:val="Odstavecseseznamem"/>
        <w:numPr>
          <w:ilvl w:val="0"/>
          <w:numId w:val="1"/>
        </w:numPr>
        <w:jc w:val="both"/>
      </w:pPr>
      <w:r>
        <w:t>p</w:t>
      </w:r>
      <w:r w:rsidR="00DC1ECF">
        <w:t>odotýk</w:t>
      </w:r>
      <w:r>
        <w:t>ají</w:t>
      </w:r>
      <w:r w:rsidR="00DC1ECF">
        <w:t>, že pro rozvoj EU jako celku je třeba věnovat významnou pozornost přeshraniční spolupráci, která zásadně napomáhá propojování Evropy a také meziregionální a nadnárodní spolupráci</w:t>
      </w:r>
      <w:r w:rsidR="00C35FC5">
        <w:t>.</w:t>
      </w:r>
    </w:p>
    <w:p w14:paraId="7F0F8E1D" w14:textId="77777777" w:rsidR="00FD749B" w:rsidRDefault="00FD749B" w:rsidP="00FD749B"/>
    <w:p w14:paraId="12CBEA3F" w14:textId="77777777" w:rsidR="00FD749B" w:rsidRDefault="00FD749B" w:rsidP="00FD749B"/>
    <w:p w14:paraId="50D72B04" w14:textId="2C5FB369" w:rsidR="004B7151" w:rsidRPr="00A604BB" w:rsidRDefault="00FD749B" w:rsidP="005E5F01">
      <w:pPr>
        <w:rPr>
          <w:i/>
          <w:iCs/>
        </w:rPr>
      </w:pPr>
      <w:r w:rsidRPr="00FD749B">
        <w:rPr>
          <w:i/>
          <w:iCs/>
        </w:rPr>
        <w:t xml:space="preserve">Toto stanovisko schválili zástupci územních partnerů na svém jednání </w:t>
      </w:r>
      <w:r w:rsidR="003B6CBC">
        <w:rPr>
          <w:i/>
          <w:iCs/>
        </w:rPr>
        <w:t>15.10</w:t>
      </w:r>
      <w:r w:rsidRPr="00FD749B">
        <w:rPr>
          <w:i/>
          <w:iCs/>
        </w:rPr>
        <w:t xml:space="preserve">.2024 v </w:t>
      </w:r>
      <w:r w:rsidR="00E23E2F">
        <w:rPr>
          <w:i/>
          <w:iCs/>
        </w:rPr>
        <w:t>Mělníku</w:t>
      </w:r>
    </w:p>
    <w:sectPr w:rsidR="004B7151" w:rsidRPr="00A604BB" w:rsidSect="00D5043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D2131"/>
    <w:multiLevelType w:val="hybridMultilevel"/>
    <w:tmpl w:val="706412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7464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97A"/>
    <w:rsid w:val="00026500"/>
    <w:rsid w:val="00044411"/>
    <w:rsid w:val="000A7B11"/>
    <w:rsid w:val="0012327D"/>
    <w:rsid w:val="001465F4"/>
    <w:rsid w:val="001A171D"/>
    <w:rsid w:val="001A66B8"/>
    <w:rsid w:val="001B1AE6"/>
    <w:rsid w:val="00237E2E"/>
    <w:rsid w:val="00273716"/>
    <w:rsid w:val="0030157C"/>
    <w:rsid w:val="003444EF"/>
    <w:rsid w:val="00347282"/>
    <w:rsid w:val="0036013E"/>
    <w:rsid w:val="0039300F"/>
    <w:rsid w:val="003B6CBC"/>
    <w:rsid w:val="004420FB"/>
    <w:rsid w:val="0045354F"/>
    <w:rsid w:val="00457B89"/>
    <w:rsid w:val="0046697A"/>
    <w:rsid w:val="004779DB"/>
    <w:rsid w:val="004B7151"/>
    <w:rsid w:val="004F112D"/>
    <w:rsid w:val="00500646"/>
    <w:rsid w:val="00523952"/>
    <w:rsid w:val="005E5F01"/>
    <w:rsid w:val="00711BAA"/>
    <w:rsid w:val="0072001B"/>
    <w:rsid w:val="00747F72"/>
    <w:rsid w:val="00784339"/>
    <w:rsid w:val="00795DB4"/>
    <w:rsid w:val="007B4AB1"/>
    <w:rsid w:val="007D08A3"/>
    <w:rsid w:val="007F693D"/>
    <w:rsid w:val="00812272"/>
    <w:rsid w:val="008E3E0B"/>
    <w:rsid w:val="009E135D"/>
    <w:rsid w:val="00A14365"/>
    <w:rsid w:val="00A604BB"/>
    <w:rsid w:val="00B308AF"/>
    <w:rsid w:val="00B30DAC"/>
    <w:rsid w:val="00B34940"/>
    <w:rsid w:val="00B47B4D"/>
    <w:rsid w:val="00B64009"/>
    <w:rsid w:val="00B712D1"/>
    <w:rsid w:val="00B90FD4"/>
    <w:rsid w:val="00BE0F47"/>
    <w:rsid w:val="00C32B49"/>
    <w:rsid w:val="00C35FC5"/>
    <w:rsid w:val="00CC0C91"/>
    <w:rsid w:val="00D16954"/>
    <w:rsid w:val="00D5043E"/>
    <w:rsid w:val="00D828C3"/>
    <w:rsid w:val="00D87577"/>
    <w:rsid w:val="00D966C7"/>
    <w:rsid w:val="00DA4A25"/>
    <w:rsid w:val="00DC1ECF"/>
    <w:rsid w:val="00E23E2F"/>
    <w:rsid w:val="00E41084"/>
    <w:rsid w:val="00E85A70"/>
    <w:rsid w:val="00E92D9A"/>
    <w:rsid w:val="00EF7FCC"/>
    <w:rsid w:val="00F5066B"/>
    <w:rsid w:val="00FD7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DA6E"/>
  <w15:chartTrackingRefBased/>
  <w15:docId w15:val="{4AC891A3-2F4A-E646-A396-ABBB9EDD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697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697A"/>
    <w:pPr>
      <w:ind w:left="720"/>
      <w:contextualSpacing/>
    </w:pPr>
  </w:style>
  <w:style w:type="paragraph" w:styleId="Revize">
    <w:name w:val="Revision"/>
    <w:hidden/>
    <w:uiPriority w:val="99"/>
    <w:semiHidden/>
    <w:rsid w:val="00BE0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2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67a263-4c00-4944-a435-72febfd70997" xsi:nil="true"/>
    <lcf76f155ced4ddcb4097134ff3c332f xmlns="ae529b29-b2bb-4f0f-bf76-47ede62a77b9">
      <Terms xmlns="http://schemas.microsoft.com/office/infopath/2007/PartnerControls"/>
    </lcf76f155ced4ddcb4097134ff3c332f>
    <_Flow_SignoffStatus xmlns="ae529b29-b2bb-4f0f-bf76-47ede62a77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60E23A6042254D9AC27A8652D978CA" ma:contentTypeVersion="21" ma:contentTypeDescription="Vytvoří nový dokument" ma:contentTypeScope="" ma:versionID="a0ff7083511a2e55e6df80269ee12ed7">
  <xsd:schema xmlns:xsd="http://www.w3.org/2001/XMLSchema" xmlns:xs="http://www.w3.org/2001/XMLSchema" xmlns:p="http://schemas.microsoft.com/office/2006/metadata/properties" xmlns:ns2="ae529b29-b2bb-4f0f-bf76-47ede62a77b9" xmlns:ns3="a867a263-4c00-4944-a435-72febfd70997" targetNamespace="http://schemas.microsoft.com/office/2006/metadata/properties" ma:root="true" ma:fieldsID="d464758b8396fbb6ebaa749668e8dc4d" ns2:_="" ns3:_="">
    <xsd:import namespace="ae529b29-b2bb-4f0f-bf76-47ede62a77b9"/>
    <xsd:import namespace="a867a263-4c00-4944-a435-72febfd709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29b29-b2bb-4f0f-bf76-47ede62a7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tav odsouhlasení" ma:internalName="Stav_x0020_odsouhlasen_x00ed_">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7a263-4c00-4944-a435-72febfd7099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4b6e955f-6355-4a61-ae3b-658e8d2c932c}" ma:internalName="TaxCatchAll" ma:showField="CatchAllData" ma:web="a867a263-4c00-4944-a435-72febfd709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3CEBD-6754-4132-8BD8-6DB98FF1C423}">
  <ds:schemaRefs>
    <ds:schemaRef ds:uri="http://schemas.microsoft.com/office/2006/metadata/properties"/>
    <ds:schemaRef ds:uri="http://schemas.microsoft.com/office/infopath/2007/PartnerControls"/>
    <ds:schemaRef ds:uri="a867a263-4c00-4944-a435-72febfd70997"/>
    <ds:schemaRef ds:uri="ae529b29-b2bb-4f0f-bf76-47ede62a77b9"/>
  </ds:schemaRefs>
</ds:datastoreItem>
</file>

<file path=customXml/itemProps2.xml><?xml version="1.0" encoding="utf-8"?>
<ds:datastoreItem xmlns:ds="http://schemas.openxmlformats.org/officeDocument/2006/customXml" ds:itemID="{3EBA9CDD-1CEF-47B3-A96E-6D7283C0ECAB}">
  <ds:schemaRefs>
    <ds:schemaRef ds:uri="http://schemas.microsoft.com/sharepoint/v3/contenttype/forms"/>
  </ds:schemaRefs>
</ds:datastoreItem>
</file>

<file path=customXml/itemProps3.xml><?xml version="1.0" encoding="utf-8"?>
<ds:datastoreItem xmlns:ds="http://schemas.openxmlformats.org/officeDocument/2006/customXml" ds:itemID="{B48BD4D6-01FC-4F1F-97D6-1B7C33352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29b29-b2bb-4f0f-bf76-47ede62a77b9"/>
    <ds:schemaRef ds:uri="a867a263-4c00-4944-a435-72febfd7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1322</Words>
  <Characters>7800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Barcalová Jitka</cp:lastModifiedBy>
  <cp:revision>2</cp:revision>
  <cp:lastPrinted>2024-10-11T20:38:00Z</cp:lastPrinted>
  <dcterms:created xsi:type="dcterms:W3CDTF">2024-10-29T09:02:00Z</dcterms:created>
  <dcterms:modified xsi:type="dcterms:W3CDTF">2024-10-29T09:02:00Z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0x010100FC60E23A6042254D9AC27A8652D978CA</vt:lpwstr>
  </property>
  <property fmtid="{D5CDD505-2E9C-101B-9397-08002B2CF9AE}" pid="3" name="MediaServiceImageTags">
    <vt:lpwstr/>
  </property>
</Properties>
</file>