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E0B9" w14:textId="77777777" w:rsidR="002703E1" w:rsidRDefault="002703E1" w:rsidP="002703E1">
      <w:pPr>
        <w:jc w:val="both"/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</w:pPr>
      <w:proofErr w:type="spellStart"/>
      <w:r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>Subkomponenta</w:t>
      </w:r>
      <w:proofErr w:type="spellEnd"/>
      <w:r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 xml:space="preserve"> 1.4.1.6 (vlastník komponenty MPO)</w:t>
      </w:r>
    </w:p>
    <w:p w14:paraId="0C90D634" w14:textId="59E016AB" w:rsidR="002703E1" w:rsidRDefault="002703E1" w:rsidP="002703E1">
      <w:pPr>
        <w:jc w:val="both"/>
        <w:rPr>
          <w:rFonts w:cstheme="minorHAnsi"/>
        </w:rPr>
      </w:pPr>
      <w:r w:rsidRPr="005A482A">
        <w:rPr>
          <w:rFonts w:cstheme="minorHAnsi"/>
        </w:rPr>
        <w:t>V roce 2019 vyhlásilo Ministerstvo pro místní rozvoj a Ministerstvo průmyslu a obchodu výzvu k</w:t>
      </w:r>
      <w:r w:rsidR="00D80A75">
        <w:rPr>
          <w:rFonts w:cstheme="minorHAnsi"/>
        </w:rPr>
        <w:t> </w:t>
      </w:r>
      <w:r w:rsidRPr="005A482A">
        <w:rPr>
          <w:rFonts w:cstheme="minorHAnsi"/>
        </w:rPr>
        <w:t>podávání soutěžních návrhů</w:t>
      </w:r>
      <w:r>
        <w:rPr>
          <w:rFonts w:cstheme="minorHAnsi"/>
        </w:rPr>
        <w:t xml:space="preserve"> do soutěže </w:t>
      </w:r>
      <w:r w:rsidRPr="007D49E5">
        <w:rPr>
          <w:rFonts w:cstheme="minorHAnsi"/>
          <w:b/>
          <w:bCs/>
          <w:u w:val="single"/>
        </w:rPr>
        <w:t>5G pro 5 měst</w:t>
      </w:r>
      <w:r w:rsidRPr="005A482A">
        <w:rPr>
          <w:rFonts w:cstheme="minorHAnsi"/>
        </w:rPr>
        <w:t>. Vítězná města získala z Národního plánu obnovy finance pro své pilotní projekty</w:t>
      </w:r>
      <w:r>
        <w:rPr>
          <w:rFonts w:cstheme="minorHAnsi"/>
        </w:rPr>
        <w:t xml:space="preserve">, konkrétně se jednalo o výzvu MMR </w:t>
      </w:r>
      <w:r w:rsidRPr="007D49E5">
        <w:rPr>
          <w:rFonts w:cstheme="minorHAnsi"/>
          <w:b/>
          <w:bCs/>
          <w:u w:val="single"/>
        </w:rPr>
        <w:t>Demonstrativní projekty rozvoje aplikací pro města a průmyslové oblasti (např. 5G)</w:t>
      </w:r>
      <w:r>
        <w:rPr>
          <w:rFonts w:cstheme="minorHAnsi"/>
        </w:rPr>
        <w:t xml:space="preserve"> vypsanou v květnu 2022 (alokace 89,5 mil. Kč). 5 pilotních projektů z výzvy bylo úspěšně dokončeno a podpořeno. </w:t>
      </w:r>
    </w:p>
    <w:p w14:paraId="2B7636D3" w14:textId="28B02C77" w:rsidR="002703E1" w:rsidRDefault="002703E1" w:rsidP="002703E1">
      <w:pPr>
        <w:jc w:val="both"/>
        <w:rPr>
          <w:rFonts w:cstheme="minorHAnsi"/>
        </w:rPr>
      </w:pPr>
      <w:r>
        <w:rPr>
          <w:rFonts w:cstheme="minorHAnsi"/>
        </w:rPr>
        <w:t xml:space="preserve">MMR dále v listopadu 2023 vyhlásilo navazující výzvu </w:t>
      </w:r>
      <w:r w:rsidRPr="007D49E5">
        <w:rPr>
          <w:rFonts w:cstheme="minorHAnsi"/>
          <w:b/>
          <w:bCs/>
          <w:u w:val="single"/>
        </w:rPr>
        <w:t>Demonstrativní aplikace ekosystému sítí 5G pro chytrá města, obce a regiony</w:t>
      </w:r>
      <w:r w:rsidRPr="000B31F9">
        <w:rPr>
          <w:rFonts w:cstheme="minorHAnsi"/>
        </w:rPr>
        <w:t xml:space="preserve">. Cílem dotace je </w:t>
      </w:r>
      <w:r w:rsidRPr="00A8251C">
        <w:rPr>
          <w:rFonts w:cstheme="minorHAnsi"/>
        </w:rPr>
        <w:t>demonstrovat využití technologie 5G v prostředí chytrých měst</w:t>
      </w:r>
      <w:r w:rsidRPr="000B31F9">
        <w:rPr>
          <w:rFonts w:cstheme="minorHAnsi"/>
        </w:rPr>
        <w:t>.</w:t>
      </w:r>
      <w:r>
        <w:rPr>
          <w:rFonts w:cstheme="minorHAnsi"/>
        </w:rPr>
        <w:t xml:space="preserve"> Ve lhůtě</w:t>
      </w:r>
      <w:r w:rsidRPr="000B31F9">
        <w:rPr>
          <w:rFonts w:cstheme="minorHAnsi"/>
        </w:rPr>
        <w:t xml:space="preserve"> pro příjem žádostí o podporu</w:t>
      </w:r>
      <w:r>
        <w:rPr>
          <w:rFonts w:cstheme="minorHAnsi"/>
        </w:rPr>
        <w:t xml:space="preserve"> do </w:t>
      </w:r>
      <w:r w:rsidRPr="000B31F9">
        <w:rPr>
          <w:rFonts w:cstheme="minorHAnsi"/>
        </w:rPr>
        <w:t>14. února 2024</w:t>
      </w:r>
      <w:r>
        <w:rPr>
          <w:rFonts w:cstheme="minorHAnsi"/>
        </w:rPr>
        <w:t xml:space="preserve"> resort</w:t>
      </w:r>
      <w:r w:rsidRPr="000B31F9">
        <w:rPr>
          <w:rFonts w:cstheme="minorHAnsi"/>
        </w:rPr>
        <w:t xml:space="preserve"> obdržel</w:t>
      </w:r>
      <w:r>
        <w:rPr>
          <w:rFonts w:cstheme="minorHAnsi"/>
        </w:rPr>
        <w:t xml:space="preserve"> celkem</w:t>
      </w:r>
      <w:r w:rsidRPr="000B31F9">
        <w:rPr>
          <w:rFonts w:cstheme="minorHAnsi"/>
        </w:rPr>
        <w:t xml:space="preserve"> 77 žádostí ve výši 939 milionů korun. Finanční prostředky je možné využít třeba na </w:t>
      </w:r>
      <w:r w:rsidRPr="007D49E5">
        <w:rPr>
          <w:rFonts w:cstheme="minorHAnsi"/>
          <w:b/>
          <w:bCs/>
          <w:u w:val="single"/>
        </w:rPr>
        <w:t>bezpečnostní kamerové systémy, využití moderních technologií (virtuální realita aj.) ve vzdělávání, asistenční a telemedicínské služby nebo moderní systémy řízení dopravy</w:t>
      </w:r>
      <w:r w:rsidRPr="000B31F9">
        <w:rPr>
          <w:rFonts w:cstheme="minorHAnsi"/>
        </w:rPr>
        <w:t xml:space="preserve">. </w:t>
      </w:r>
      <w:r>
        <w:rPr>
          <w:rFonts w:cstheme="minorHAnsi"/>
        </w:rPr>
        <w:t>Celková alokace na výzvu činí</w:t>
      </w:r>
      <w:r w:rsidRPr="000B31F9">
        <w:rPr>
          <w:rFonts w:cstheme="minorHAnsi"/>
        </w:rPr>
        <w:t xml:space="preserve"> </w:t>
      </w:r>
      <w:r>
        <w:rPr>
          <w:rFonts w:cstheme="minorHAnsi"/>
        </w:rPr>
        <w:t>téměř</w:t>
      </w:r>
      <w:r w:rsidRPr="000B31F9">
        <w:rPr>
          <w:rFonts w:cstheme="minorHAnsi"/>
        </w:rPr>
        <w:t xml:space="preserve"> 632 mil</w:t>
      </w:r>
      <w:r>
        <w:rPr>
          <w:rFonts w:cstheme="minorHAnsi"/>
        </w:rPr>
        <w:t>.</w:t>
      </w:r>
      <w:r w:rsidRPr="000B31F9">
        <w:rPr>
          <w:rFonts w:cstheme="minorHAnsi"/>
        </w:rPr>
        <w:t xml:space="preserve"> </w:t>
      </w:r>
      <w:r>
        <w:rPr>
          <w:rFonts w:cstheme="minorHAnsi"/>
        </w:rPr>
        <w:t>Kč (</w:t>
      </w:r>
      <w:r w:rsidRPr="000B31F9">
        <w:rPr>
          <w:rFonts w:cstheme="minorHAnsi"/>
        </w:rPr>
        <w:t>631 980 000 Kč</w:t>
      </w:r>
      <w:r>
        <w:rPr>
          <w:rFonts w:cstheme="minorHAnsi"/>
        </w:rPr>
        <w:t>)</w:t>
      </w:r>
      <w:r w:rsidRPr="000B31F9">
        <w:rPr>
          <w:rFonts w:cstheme="minorHAnsi"/>
        </w:rPr>
        <w:t>.</w:t>
      </w:r>
      <w:r>
        <w:rPr>
          <w:rFonts w:cstheme="minorHAnsi"/>
        </w:rPr>
        <w:t xml:space="preserve"> Bylo dokončeno hodnocení projektových žádostí a byly vydány </w:t>
      </w:r>
      <w:proofErr w:type="spellStart"/>
      <w:r>
        <w:rPr>
          <w:rFonts w:cstheme="minorHAnsi"/>
        </w:rPr>
        <w:t>RoPD</w:t>
      </w:r>
      <w:proofErr w:type="spellEnd"/>
      <w:r>
        <w:rPr>
          <w:rFonts w:cstheme="minorHAnsi"/>
        </w:rPr>
        <w:t xml:space="preserve">. Schváleno k financování bylo celkem 53 projektových žádostí v celkové výši přesahující </w:t>
      </w:r>
      <w:r w:rsidRPr="00895518">
        <w:rPr>
          <w:rFonts w:cstheme="minorHAnsi"/>
        </w:rPr>
        <w:t>60</w:t>
      </w:r>
      <w:r>
        <w:rPr>
          <w:rFonts w:cstheme="minorHAnsi"/>
        </w:rPr>
        <w:t>7 mil. Kč. (</w:t>
      </w:r>
      <w:r w:rsidRPr="00895518">
        <w:rPr>
          <w:rFonts w:cstheme="minorHAnsi"/>
        </w:rPr>
        <w:t>607 769 717,36</w:t>
      </w:r>
      <w:r w:rsidR="00D80A75">
        <w:rPr>
          <w:rFonts w:cstheme="minorHAnsi"/>
        </w:rPr>
        <w:t xml:space="preserve"> Kč</w:t>
      </w:r>
      <w:r>
        <w:rPr>
          <w:rFonts w:cstheme="minorHAnsi"/>
        </w:rPr>
        <w:t>).</w:t>
      </w:r>
    </w:p>
    <w:p w14:paraId="68C8D09B" w14:textId="1C49A0CD" w:rsidR="00560836" w:rsidRPr="00985EA2" w:rsidRDefault="00560836" w:rsidP="007575C2">
      <w:pPr>
        <w:jc w:val="both"/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</w:pPr>
      <w:r w:rsidRPr="00985EA2"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>Komponenta 1.6</w:t>
      </w:r>
    </w:p>
    <w:p w14:paraId="22D1640D" w14:textId="77777777" w:rsidR="008E156C" w:rsidRPr="00985EA2" w:rsidRDefault="008E156C" w:rsidP="008E156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 </w:t>
      </w:r>
      <w:proofErr w:type="spellStart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subkomponentě</w:t>
      </w:r>
      <w:proofErr w:type="spellEnd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985EA2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1.6.1 Zavedení rekodifikace stavebního práva do praxe</w:t>
      </w:r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je řešeno vytvoření nové struktury stavebních úřadů, jejich vybavení a proškolení zaměstnanců úřadu.  </w:t>
      </w:r>
    </w:p>
    <w:p w14:paraId="6AAC2A77" w14:textId="3620D519" w:rsidR="00985EA2" w:rsidRPr="00985EA2" w:rsidRDefault="00985EA2" w:rsidP="00985EA2">
      <w:pPr>
        <w:pStyle w:val="Odstavecseseznamem"/>
        <w:numPr>
          <w:ilvl w:val="0"/>
          <w:numId w:val="19"/>
        </w:numPr>
        <w:tabs>
          <w:tab w:val="num" w:pos="1440"/>
        </w:tabs>
        <w:spacing w:after="120"/>
        <w:jc w:val="both"/>
        <w:rPr>
          <w:rFonts w:eastAsia="Times New Roman"/>
          <w:color w:val="000000"/>
          <w:lang w:eastAsia="cs-CZ"/>
          <w14:ligatures w14:val="none"/>
        </w:rPr>
      </w:pPr>
      <w:r w:rsidRPr="00985EA2">
        <w:rPr>
          <w:rFonts w:eastAsia="Times New Roman"/>
          <w:color w:val="000000"/>
          <w:lang w:eastAsia="cs-CZ"/>
          <w14:ligatures w14:val="none"/>
        </w:rPr>
        <w:t xml:space="preserve">V průběhu května až července 2024 byly stavební úřady vybaveny </w:t>
      </w:r>
      <w:r w:rsidRPr="00985EA2">
        <w:rPr>
          <w:rFonts w:eastAsia="Times New Roman"/>
          <w:b/>
          <w:bCs/>
          <w:color w:val="000000"/>
          <w:lang w:eastAsia="cs-CZ"/>
          <w14:ligatures w14:val="none"/>
        </w:rPr>
        <w:t>IT technikou</w:t>
      </w:r>
      <w:r w:rsidRPr="00985EA2">
        <w:rPr>
          <w:rFonts w:eastAsia="Times New Roman"/>
          <w:color w:val="000000"/>
          <w:lang w:eastAsia="cs-CZ"/>
          <w14:ligatures w14:val="none"/>
        </w:rPr>
        <w:t>. Nákup vybavení byl řešen prostřednictvím dvou centrálních zakázek Ministerstva financí, což umožnilo výrazné snížení nákladů – celková cena za IT vybavení byla 204,7 milionů Kč. Bylo pořízeno 4500 IT balíčků (počet nahlášených úředníků na SÚ) pro 460 stavebních úřadů. Sada IT vybavení obsahuje výkonný notebook a 2x velké monitory.</w:t>
      </w:r>
    </w:p>
    <w:p w14:paraId="69E60A8B" w14:textId="09A68F93" w:rsidR="00985EA2" w:rsidRPr="00985EA2" w:rsidRDefault="00985EA2" w:rsidP="00985EA2">
      <w:pPr>
        <w:pStyle w:val="Odstavecseseznamem"/>
        <w:numPr>
          <w:ilvl w:val="0"/>
          <w:numId w:val="19"/>
        </w:numPr>
        <w:spacing w:after="120"/>
        <w:jc w:val="both"/>
        <w:rPr>
          <w:rFonts w:eastAsia="Times New Roman"/>
          <w:color w:val="000000"/>
          <w:lang w:eastAsia="cs-CZ"/>
          <w14:ligatures w14:val="none"/>
        </w:rPr>
      </w:pPr>
      <w:r w:rsidRPr="00985EA2">
        <w:rPr>
          <w:rFonts w:eastAsia="Times New Roman"/>
          <w:color w:val="000000"/>
          <w:lang w:eastAsia="cs-CZ"/>
          <w14:ligatures w14:val="none"/>
        </w:rPr>
        <w:t xml:space="preserve">Od ledna do srpna 2024 probíhalo celkem </w:t>
      </w:r>
      <w:r w:rsidRPr="00985EA2">
        <w:rPr>
          <w:rFonts w:eastAsia="Times New Roman"/>
          <w:b/>
          <w:bCs/>
          <w:color w:val="000000"/>
          <w:lang w:eastAsia="cs-CZ"/>
          <w14:ligatures w14:val="none"/>
        </w:rPr>
        <w:t>37 fyzických školení k novému stavebnímu zákonu a informačním systémům</w:t>
      </w:r>
      <w:r w:rsidRPr="00985EA2">
        <w:rPr>
          <w:rFonts w:eastAsia="Times New Roman"/>
          <w:color w:val="000000"/>
          <w:lang w:eastAsia="cs-CZ"/>
          <w14:ligatures w14:val="none"/>
        </w:rPr>
        <w:t xml:space="preserve"> ve všech krajích ČR, </w:t>
      </w:r>
      <w:r w:rsidRPr="00985EA2">
        <w:rPr>
          <w:rFonts w:eastAsia="Times New Roman"/>
          <w:b/>
          <w:bCs/>
          <w:color w:val="000000"/>
          <w:lang w:eastAsia="cs-CZ"/>
          <w14:ligatures w14:val="none"/>
        </w:rPr>
        <w:t>26</w:t>
      </w:r>
      <w:r w:rsidRPr="00985EA2">
        <w:rPr>
          <w:rFonts w:eastAsia="Times New Roman"/>
          <w:color w:val="000000"/>
          <w:lang w:eastAsia="cs-CZ"/>
          <w14:ligatures w14:val="none"/>
        </w:rPr>
        <w:t xml:space="preserve"> </w:t>
      </w:r>
      <w:r w:rsidRPr="00985EA2">
        <w:rPr>
          <w:rFonts w:eastAsia="Times New Roman"/>
          <w:b/>
          <w:bCs/>
          <w:color w:val="000000"/>
          <w:lang w:eastAsia="cs-CZ"/>
          <w14:ligatures w14:val="none"/>
        </w:rPr>
        <w:t xml:space="preserve">webinářů </w:t>
      </w:r>
      <w:r w:rsidRPr="00985EA2">
        <w:rPr>
          <w:rFonts w:eastAsia="Times New Roman"/>
          <w:color w:val="000000"/>
          <w:lang w:eastAsia="cs-CZ"/>
          <w14:ligatures w14:val="none"/>
        </w:rPr>
        <w:t xml:space="preserve">a bylo zveřejněno 13 </w:t>
      </w:r>
      <w:r w:rsidRPr="00985EA2">
        <w:rPr>
          <w:rFonts w:eastAsia="Times New Roman"/>
          <w:b/>
          <w:bCs/>
          <w:color w:val="000000"/>
          <w:lang w:eastAsia="cs-CZ"/>
          <w14:ligatures w14:val="none"/>
        </w:rPr>
        <w:t>instruktážních videí</w:t>
      </w:r>
      <w:r w:rsidRPr="00985EA2">
        <w:rPr>
          <w:rFonts w:eastAsia="Times New Roman"/>
          <w:color w:val="000000"/>
          <w:lang w:eastAsia="cs-CZ"/>
          <w14:ligatures w14:val="none"/>
        </w:rPr>
        <w:t xml:space="preserve"> k informačním systémům stavební správy</w:t>
      </w:r>
      <w:r w:rsidR="00D80A75">
        <w:rPr>
          <w:rFonts w:eastAsia="Times New Roman"/>
          <w:color w:val="000000"/>
          <w:lang w:eastAsia="cs-CZ"/>
          <w14:ligatures w14:val="none"/>
        </w:rPr>
        <w:t>.</w:t>
      </w:r>
    </w:p>
    <w:p w14:paraId="00C4B0A7" w14:textId="77777777" w:rsidR="008E156C" w:rsidRPr="00985EA2" w:rsidRDefault="008E156C" w:rsidP="008E156C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 rámci </w:t>
      </w:r>
      <w:proofErr w:type="spellStart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subkomponenty</w:t>
      </w:r>
      <w:proofErr w:type="spellEnd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985EA2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1.6.2 Vytvoření AIS</w:t>
      </w:r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je realizován vývoj informačních systémů stavební správy. </w:t>
      </w:r>
    </w:p>
    <w:p w14:paraId="61341183" w14:textId="55DEB2AC" w:rsidR="00985EA2" w:rsidRPr="00985EA2" w:rsidRDefault="00985EA2" w:rsidP="00985EA2">
      <w:pPr>
        <w:pStyle w:val="Odstavecseseznamem"/>
        <w:numPr>
          <w:ilvl w:val="0"/>
          <w:numId w:val="21"/>
        </w:numPr>
        <w:spacing w:after="120"/>
        <w:jc w:val="both"/>
        <w:rPr>
          <w:rFonts w:eastAsia="Times New Roman"/>
          <w:color w:val="000000"/>
          <w:lang w:eastAsia="cs-CZ"/>
          <w14:ligatures w14:val="none"/>
        </w:rPr>
      </w:pPr>
      <w:r w:rsidRPr="00985EA2">
        <w:rPr>
          <w:rFonts w:eastAsia="Times New Roman"/>
          <w:color w:val="000000"/>
          <w:lang w:eastAsia="cs-CZ"/>
          <w14:ligatures w14:val="none"/>
        </w:rPr>
        <w:t xml:space="preserve">K 1.7. 2024 byla v souladu s novým stavebním zákonem spuštěna základní verze </w:t>
      </w:r>
      <w:r w:rsidRPr="00985EA2">
        <w:rPr>
          <w:rFonts w:eastAsia="Times New Roman"/>
          <w:b/>
          <w:bCs/>
          <w:color w:val="000000"/>
          <w:lang w:eastAsia="cs-CZ"/>
          <w14:ligatures w14:val="none"/>
        </w:rPr>
        <w:t xml:space="preserve">Agendového informačního systému </w:t>
      </w:r>
      <w:r w:rsidRPr="00985EA2">
        <w:rPr>
          <w:rFonts w:eastAsia="Times New Roman"/>
          <w:color w:val="000000"/>
          <w:lang w:eastAsia="cs-CZ"/>
          <w14:ligatures w14:val="none"/>
        </w:rPr>
        <w:t xml:space="preserve">(Informační systém stavebního řízení) a </w:t>
      </w:r>
      <w:r w:rsidRPr="00985EA2">
        <w:rPr>
          <w:rFonts w:eastAsia="Times New Roman"/>
          <w:b/>
          <w:bCs/>
          <w:color w:val="000000"/>
          <w:lang w:eastAsia="cs-CZ"/>
          <w14:ligatures w14:val="none"/>
        </w:rPr>
        <w:t>Portálu stavebníka</w:t>
      </w:r>
      <w:r w:rsidR="00D80A75">
        <w:rPr>
          <w:rFonts w:eastAsia="Times New Roman"/>
          <w:b/>
          <w:bCs/>
          <w:color w:val="000000"/>
          <w:lang w:eastAsia="cs-CZ"/>
          <w14:ligatures w14:val="none"/>
        </w:rPr>
        <w:t>.</w:t>
      </w:r>
    </w:p>
    <w:p w14:paraId="683F8821" w14:textId="271047E3" w:rsidR="00985EA2" w:rsidRPr="00985EA2" w:rsidRDefault="00985EA2" w:rsidP="00985EA2">
      <w:pPr>
        <w:pStyle w:val="Odstavecseseznamem"/>
        <w:numPr>
          <w:ilvl w:val="0"/>
          <w:numId w:val="21"/>
        </w:numPr>
        <w:spacing w:after="120"/>
        <w:jc w:val="both"/>
        <w:rPr>
          <w:rFonts w:eastAsia="Times New Roman"/>
          <w:color w:val="000000"/>
          <w:lang w:eastAsia="cs-CZ"/>
          <w14:ligatures w14:val="none"/>
        </w:rPr>
      </w:pPr>
      <w:r w:rsidRPr="00985EA2">
        <w:rPr>
          <w:rFonts w:eastAsia="Times New Roman"/>
          <w:color w:val="000000"/>
          <w:lang w:eastAsia="cs-CZ"/>
          <w14:ligatures w14:val="none"/>
        </w:rPr>
        <w:t>V průběhu července až září probíhalo nasazování funkčních rozšíření a zajišťování větší automatizace úkonů. K začátku října bylo v agendovém informačním systému zahájeno téměř 29 000 řízení a dokončeno jich bylo téměř 7000. V rámci stavebních úřadů a dotčených orgánů pracuje v systému více než 12 tisíc uživatelů, což je téměř 100 % všech plánovaných uživatelů.</w:t>
      </w:r>
    </w:p>
    <w:p w14:paraId="5E14C447" w14:textId="7A1A800C" w:rsidR="008E156C" w:rsidRPr="00985EA2" w:rsidRDefault="008E156C" w:rsidP="00F654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proofErr w:type="spellStart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Subkomponenta</w:t>
      </w:r>
      <w:proofErr w:type="spellEnd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985EA2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1.6.3 Rozvoj a využití datového fondu veřejné správy v územním plánování</w:t>
      </w:r>
      <w:r w:rsidRPr="00985EA2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 </w:t>
      </w:r>
      <w:r w:rsidR="00985EA2"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je ve fázi realizace veřejné zakázky na databázi dokumentace územního plánování.</w:t>
      </w:r>
    </w:p>
    <w:p w14:paraId="1BD7046C" w14:textId="26A516A6" w:rsidR="008E156C" w:rsidRDefault="008E156C" w:rsidP="00F654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proofErr w:type="spellStart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Subkomponenta</w:t>
      </w:r>
      <w:proofErr w:type="spellEnd"/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985EA2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1.6.4 Plné využití přínosů digitalizace stavebního řízení</w:t>
      </w:r>
      <w:r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985EA2"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je ve fázi plnění, co se týče části zajišťující systém propojující technické normy s prováděcími předpisy. </w:t>
      </w:r>
      <w:r w:rsid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Další dvě části </w:t>
      </w:r>
      <w:proofErr w:type="spellStart"/>
      <w:r w:rsid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subkomponenty</w:t>
      </w:r>
      <w:proofErr w:type="spellEnd"/>
      <w:r w:rsid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(s</w:t>
      </w:r>
      <w:r w:rsidR="00985EA2"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ystém pro strukturované požadavky na stavby a postupy</w:t>
      </w:r>
      <w:r w:rsid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</w:t>
      </w:r>
      <w:r w:rsidR="00985EA2"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</w:t>
      </w:r>
      <w:r w:rsid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</w:t>
      </w:r>
      <w:r w:rsidR="00985EA2"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ystém pro správu datových standardů</w:t>
      </w:r>
      <w:r w:rsid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)</w:t>
      </w:r>
      <w:r w:rsidR="00985EA2" w:rsidRPr="00985E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jsou ve fázi přípravy.</w:t>
      </w:r>
    </w:p>
    <w:p w14:paraId="5983A889" w14:textId="77777777" w:rsidR="00D80A75" w:rsidRDefault="00D80A75" w:rsidP="00F654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3FEBA201" w14:textId="77777777" w:rsidR="00D80A75" w:rsidRDefault="00D80A75" w:rsidP="00F654C8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62EDDD1A" w14:textId="77777777" w:rsidR="00D80A75" w:rsidRPr="008E156C" w:rsidRDefault="00D80A75" w:rsidP="00F654C8">
      <w:pPr>
        <w:spacing w:after="120" w:line="240" w:lineRule="auto"/>
        <w:jc w:val="both"/>
        <w:rPr>
          <w:rFonts w:ascii="Calibri" w:hAnsi="Calibri" w:cs="Calibri"/>
        </w:rPr>
      </w:pPr>
    </w:p>
    <w:p w14:paraId="5D435563" w14:textId="4F690C69" w:rsidR="00560836" w:rsidRDefault="00560836" w:rsidP="007575C2">
      <w:pPr>
        <w:jc w:val="both"/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lastRenderedPageBreak/>
        <w:t>Komponenta 2.8</w:t>
      </w:r>
    </w:p>
    <w:p w14:paraId="3C6B4C89" w14:textId="3FC8D226" w:rsidR="008944AF" w:rsidRPr="008944AF" w:rsidRDefault="7193D4C2" w:rsidP="54B3D247">
      <w:pPr>
        <w:spacing w:line="240" w:lineRule="auto"/>
        <w:jc w:val="both"/>
        <w:rPr>
          <w:rFonts w:ascii="Calibri" w:eastAsia="Times New Roman" w:hAnsi="Calibri" w:cs="Calibri"/>
          <w:color w:val="4472C4" w:themeColor="accent1"/>
          <w:sz w:val="32"/>
          <w:szCs w:val="32"/>
        </w:rPr>
      </w:pPr>
      <w:r w:rsidRPr="54B3D247">
        <w:t xml:space="preserve">Revitalizace území se starou stavební zátěží (brownfieldy) sestává ze dvou </w:t>
      </w:r>
      <w:proofErr w:type="spellStart"/>
      <w:r w:rsidRPr="54B3D247">
        <w:t>subkomponent</w:t>
      </w:r>
      <w:proofErr w:type="spellEnd"/>
      <w:r w:rsidRPr="54B3D247">
        <w:t>:</w:t>
      </w:r>
    </w:p>
    <w:p w14:paraId="130FC4E5" w14:textId="0486D287" w:rsidR="008944AF" w:rsidRPr="008944AF" w:rsidRDefault="7193D4C2" w:rsidP="54B3D247">
      <w:pPr>
        <w:pStyle w:val="Odstavecseseznamem"/>
        <w:numPr>
          <w:ilvl w:val="0"/>
          <w:numId w:val="1"/>
        </w:numPr>
        <w:jc w:val="both"/>
        <w:rPr>
          <w:rFonts w:cstheme="minorBidi"/>
        </w:rPr>
      </w:pPr>
      <w:r w:rsidRPr="54B3D247">
        <w:rPr>
          <w:rFonts w:cstheme="minorBidi"/>
        </w:rPr>
        <w:t>Velké brownfieldy s alokací 2032 mil. Kč a programy rekonstrukce (60 % celkové alokace) a</w:t>
      </w:r>
      <w:r w:rsidR="00C225A7">
        <w:t> </w:t>
      </w:r>
      <w:r w:rsidRPr="54B3D247">
        <w:rPr>
          <w:rFonts w:cstheme="minorBidi"/>
        </w:rPr>
        <w:t>demolice s následnou novou výstavbou občanského (</w:t>
      </w:r>
      <w:proofErr w:type="spellStart"/>
      <w:r w:rsidRPr="54B3D247">
        <w:rPr>
          <w:rFonts w:cstheme="minorBidi"/>
        </w:rPr>
        <w:t>nehospodářského</w:t>
      </w:r>
      <w:proofErr w:type="spellEnd"/>
      <w:r w:rsidR="4C6EEB3B" w:rsidRPr="54B3D247">
        <w:rPr>
          <w:rFonts w:cstheme="minorBidi"/>
        </w:rPr>
        <w:t>) vybavení (40 % alokace)</w:t>
      </w:r>
    </w:p>
    <w:p w14:paraId="035ED0D8" w14:textId="1CEE87E6" w:rsidR="4C6EEB3B" w:rsidRDefault="4C6EEB3B" w:rsidP="54B3D247">
      <w:pPr>
        <w:pStyle w:val="Odstavecseseznamem"/>
        <w:numPr>
          <w:ilvl w:val="0"/>
          <w:numId w:val="1"/>
        </w:numPr>
        <w:jc w:val="both"/>
        <w:rPr>
          <w:rFonts w:cstheme="minorBidi"/>
        </w:rPr>
      </w:pPr>
      <w:r w:rsidRPr="54B3D247">
        <w:rPr>
          <w:rFonts w:cstheme="minorBidi"/>
        </w:rPr>
        <w:t>Malé brownfieldy s alokací 800 mil. Kč pouze pro územně samosprávné celky s programem rekonstrukce (640 mil. Kč) a programem pro vznik přírodního úložiště uhlíku</w:t>
      </w:r>
      <w:r w:rsidR="70617040" w:rsidRPr="54B3D247">
        <w:rPr>
          <w:rFonts w:cstheme="minorBidi"/>
        </w:rPr>
        <w:t xml:space="preserve"> (</w:t>
      </w:r>
      <w:r w:rsidR="57AABB92" w:rsidRPr="54B3D247">
        <w:rPr>
          <w:rFonts w:cstheme="minorBidi"/>
        </w:rPr>
        <w:t>demolice a</w:t>
      </w:r>
      <w:r w:rsidR="00C225A7">
        <w:t> </w:t>
      </w:r>
      <w:r w:rsidR="57AABB92" w:rsidRPr="54B3D247">
        <w:rPr>
          <w:rFonts w:cstheme="minorBidi"/>
        </w:rPr>
        <w:t xml:space="preserve">následná výsadba </w:t>
      </w:r>
      <w:r w:rsidR="70617040" w:rsidRPr="54B3D247">
        <w:rPr>
          <w:rFonts w:cstheme="minorBidi"/>
        </w:rPr>
        <w:t>ve formě lesa či lesoparku) s alokací 160 mil. Kč</w:t>
      </w:r>
    </w:p>
    <w:p w14:paraId="0D7182B4" w14:textId="2D784D27" w:rsidR="54B3D247" w:rsidRDefault="54B3D247" w:rsidP="54B3D247">
      <w:pPr>
        <w:spacing w:line="240" w:lineRule="auto"/>
        <w:jc w:val="both"/>
      </w:pPr>
    </w:p>
    <w:p w14:paraId="1B0E241A" w14:textId="62201EEF" w:rsidR="70617040" w:rsidRDefault="70617040" w:rsidP="54B3D247">
      <w:pPr>
        <w:spacing w:line="240" w:lineRule="auto"/>
        <w:jc w:val="both"/>
      </w:pPr>
      <w:r w:rsidRPr="54B3D247">
        <w:t xml:space="preserve">Cíle v CID 10 velkých a 30 malých projektů s podpisem smlouvy k 31. 12. 2023 </w:t>
      </w:r>
      <w:r w:rsidR="00C225A7">
        <w:t xml:space="preserve">byly </w:t>
      </w:r>
      <w:r w:rsidRPr="54B3D247">
        <w:t>splněny na 160 %. Podepsáno 16 velkých (z toho 11 rekonstrukce a 5 v programu demolice s novou výstavbou</w:t>
      </w:r>
      <w:r w:rsidR="1BD49CF0" w:rsidRPr="54B3D247">
        <w:t>) a 48 malých projektů.</w:t>
      </w:r>
    </w:p>
    <w:p w14:paraId="5264B27A" w14:textId="55907A8F" w:rsidR="1BD49CF0" w:rsidRDefault="1BD49CF0" w:rsidP="54B3D247">
      <w:pPr>
        <w:spacing w:line="240" w:lineRule="auto"/>
        <w:jc w:val="both"/>
      </w:pPr>
      <w:r w:rsidRPr="54B3D247">
        <w:t>Zůstává nevyčerpaná alokace v malých projektech ve výši 200 mil. Kč. Část z toho bude alokována ve</w:t>
      </w:r>
      <w:r w:rsidR="00C225A7">
        <w:rPr>
          <w:rFonts w:cstheme="minorHAnsi"/>
        </w:rPr>
        <w:t> </w:t>
      </w:r>
      <w:r w:rsidRPr="54B3D247">
        <w:t>14. výzvě S</w:t>
      </w:r>
      <w:r w:rsidR="00C225A7">
        <w:t>tátního fondu podpory investic</w:t>
      </w:r>
      <w:r w:rsidRPr="54B3D247">
        <w:t xml:space="preserve"> na vznik přírodního úložiště uhlíku. Ukončení příjmu žádostí je k</w:t>
      </w:r>
      <w:r w:rsidR="00C225A7">
        <w:rPr>
          <w:rFonts w:cstheme="minorHAnsi"/>
        </w:rPr>
        <w:t> </w:t>
      </w:r>
      <w:r w:rsidRPr="54B3D247">
        <w:t xml:space="preserve">16. 10. 2024. Přesné číslo počtu žádostí a požadované výše dotace </w:t>
      </w:r>
      <w:r w:rsidR="45E306EB" w:rsidRPr="54B3D247">
        <w:t>bude známo 17. 10. (</w:t>
      </w:r>
      <w:r w:rsidR="00C225A7">
        <w:t>bude doplněno</w:t>
      </w:r>
      <w:r w:rsidR="45E306EB" w:rsidRPr="54B3D247">
        <w:t xml:space="preserve"> do prezentace NSK).</w:t>
      </w:r>
    </w:p>
    <w:p w14:paraId="1CB2BD4D" w14:textId="41DBEC66" w:rsidR="45E306EB" w:rsidRDefault="45E306EB" w:rsidP="54B3D247">
      <w:pPr>
        <w:spacing w:line="240" w:lineRule="auto"/>
        <w:jc w:val="both"/>
      </w:pPr>
      <w:r w:rsidRPr="54B3D247">
        <w:t xml:space="preserve">Dále jsou již teď </w:t>
      </w:r>
      <w:r w:rsidR="00C225A7">
        <w:t xml:space="preserve">v komponentě </w:t>
      </w:r>
      <w:r w:rsidRPr="54B3D247">
        <w:t>dosaženy úspory cca 400</w:t>
      </w:r>
      <w:r w:rsidR="00C225A7">
        <w:rPr>
          <w:rFonts w:ascii="Arial" w:hAnsi="Arial" w:cs="Arial"/>
        </w:rPr>
        <w:t>‒</w:t>
      </w:r>
      <w:r w:rsidRPr="54B3D247">
        <w:t>500 mil. Kč z titulu VZ s výrazně nižšími realizačními cenami, než bylo v položkových rozpočtech žádostí a smluv o poskytnutí dotace, podepsaných loni a letos na jaře. Tyto úspory nelze převést na jiný program</w:t>
      </w:r>
      <w:r w:rsidR="00C225A7">
        <w:t xml:space="preserve"> </w:t>
      </w:r>
      <w:r w:rsidRPr="54B3D247">
        <w:t xml:space="preserve">a po </w:t>
      </w:r>
      <w:r w:rsidR="3060113D" w:rsidRPr="54B3D247">
        <w:t>ukončení programu a</w:t>
      </w:r>
      <w:r w:rsidR="00C225A7">
        <w:rPr>
          <w:rFonts w:cstheme="minorHAnsi"/>
        </w:rPr>
        <w:t> </w:t>
      </w:r>
      <w:r w:rsidR="3060113D" w:rsidRPr="54B3D247">
        <w:t>závěrečném vyúčtování v roce 2026 budou vráceny do rozpočtové kapitoly M</w:t>
      </w:r>
      <w:r w:rsidR="00C225A7">
        <w:t>inisterstva financí</w:t>
      </w:r>
      <w:r w:rsidR="3060113D" w:rsidRPr="54B3D247">
        <w:t>.</w:t>
      </w:r>
    </w:p>
    <w:p w14:paraId="55977E26" w14:textId="77777777" w:rsidR="002703E1" w:rsidRDefault="002703E1" w:rsidP="002703E1">
      <w:pPr>
        <w:jc w:val="both"/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>Komponenta 2.10</w:t>
      </w:r>
    </w:p>
    <w:p w14:paraId="2FCF5372" w14:textId="0921267B" w:rsidR="002703E1" w:rsidRDefault="002703E1" w:rsidP="002703E1">
      <w:pPr>
        <w:spacing w:after="120" w:line="240" w:lineRule="auto"/>
        <w:jc w:val="both"/>
        <w:rPr>
          <w:rFonts w:eastAsia="+mn-ea" w:cstheme="minorHAnsi"/>
          <w:color w:val="262626"/>
          <w:kern w:val="24"/>
        </w:rPr>
      </w:pPr>
      <w:r w:rsidRPr="003861C1">
        <w:rPr>
          <w:rFonts w:eastAsia="+mn-ea" w:cstheme="minorHAnsi"/>
          <w:color w:val="262626"/>
          <w:kern w:val="24"/>
        </w:rPr>
        <w:t>Skládá se z</w:t>
      </w:r>
      <w:r w:rsidRPr="003861C1">
        <w:rPr>
          <w:rFonts w:eastAsia="+mn-ea" w:cstheme="minorHAnsi"/>
          <w:b/>
          <w:bCs/>
          <w:color w:val="262626"/>
          <w:kern w:val="24"/>
        </w:rPr>
        <w:t xml:space="preserve"> </w:t>
      </w:r>
      <w:r w:rsidRPr="003861C1">
        <w:rPr>
          <w:rFonts w:eastAsia="+mn-ea" w:cstheme="minorHAnsi"/>
          <w:b/>
          <w:bCs/>
          <w:color w:val="262626"/>
          <w:kern w:val="24"/>
          <w:u w:val="single"/>
        </w:rPr>
        <w:t>půjčkové části</w:t>
      </w:r>
      <w:r w:rsidRPr="003861C1">
        <w:rPr>
          <w:rFonts w:eastAsia="+mn-ea" w:cstheme="minorHAnsi"/>
          <w:b/>
          <w:bCs/>
          <w:color w:val="262626"/>
          <w:kern w:val="24"/>
        </w:rPr>
        <w:t xml:space="preserve"> </w:t>
      </w:r>
      <w:r w:rsidRPr="003861C1">
        <w:rPr>
          <w:rFonts w:eastAsia="+mn-ea" w:cstheme="minorHAnsi"/>
          <w:color w:val="262626"/>
          <w:kern w:val="24"/>
        </w:rPr>
        <w:t>(</w:t>
      </w:r>
      <w:r>
        <w:rPr>
          <w:rFonts w:eastAsia="+mn-ea" w:cstheme="minorHAnsi"/>
          <w:color w:val="262626"/>
          <w:kern w:val="24"/>
        </w:rPr>
        <w:t xml:space="preserve">alokace </w:t>
      </w:r>
      <w:r w:rsidRPr="003861C1">
        <w:rPr>
          <w:rFonts w:eastAsia="+mn-ea" w:cstheme="minorHAnsi"/>
          <w:color w:val="262626"/>
          <w:kern w:val="24"/>
        </w:rPr>
        <w:t xml:space="preserve">8,42 mld. Kč </w:t>
      </w:r>
      <w:r>
        <w:rPr>
          <w:rFonts w:eastAsia="+mn-ea" w:cstheme="minorHAnsi"/>
          <w:color w:val="262626"/>
          <w:kern w:val="24"/>
        </w:rPr>
        <w:t xml:space="preserve">určená na </w:t>
      </w:r>
      <w:r w:rsidRPr="003861C1">
        <w:rPr>
          <w:rFonts w:eastAsia="+mn-ea" w:cstheme="minorHAnsi"/>
          <w:color w:val="262626"/>
          <w:kern w:val="24"/>
        </w:rPr>
        <w:t>finanční nástroje</w:t>
      </w:r>
      <w:r>
        <w:rPr>
          <w:rFonts w:eastAsia="+mn-ea" w:cstheme="minorHAnsi"/>
          <w:color w:val="262626"/>
          <w:kern w:val="24"/>
        </w:rPr>
        <w:t xml:space="preserve"> (s implementačními partnery S</w:t>
      </w:r>
      <w:r w:rsidR="00D80A75">
        <w:rPr>
          <w:rFonts w:eastAsia="+mn-ea" w:cstheme="minorHAnsi"/>
          <w:color w:val="262626"/>
          <w:kern w:val="24"/>
        </w:rPr>
        <w:t>tátním fondem podpory investic</w:t>
      </w:r>
      <w:r>
        <w:rPr>
          <w:rFonts w:eastAsia="+mn-ea" w:cstheme="minorHAnsi"/>
          <w:color w:val="262626"/>
          <w:kern w:val="24"/>
        </w:rPr>
        <w:t>, N</w:t>
      </w:r>
      <w:r w:rsidR="00D80A75">
        <w:rPr>
          <w:rFonts w:eastAsia="+mn-ea" w:cstheme="minorHAnsi"/>
          <w:color w:val="262626"/>
          <w:kern w:val="24"/>
        </w:rPr>
        <w:t>árodní rozvojovou bankou</w:t>
      </w:r>
      <w:r>
        <w:rPr>
          <w:rFonts w:eastAsia="+mn-ea" w:cstheme="minorHAnsi"/>
          <w:color w:val="262626"/>
          <w:kern w:val="24"/>
        </w:rPr>
        <w:t xml:space="preserve"> a N</w:t>
      </w:r>
      <w:r w:rsidR="00D80A75">
        <w:rPr>
          <w:rFonts w:eastAsia="+mn-ea" w:cstheme="minorHAnsi"/>
          <w:color w:val="262626"/>
          <w:kern w:val="24"/>
        </w:rPr>
        <w:t>árodní rozvojovou investiční</w:t>
      </w:r>
      <w:r>
        <w:rPr>
          <w:rFonts w:eastAsia="+mn-ea" w:cstheme="minorHAnsi"/>
          <w:color w:val="262626"/>
          <w:kern w:val="24"/>
        </w:rPr>
        <w:t>) a</w:t>
      </w:r>
      <w:r w:rsidRPr="003861C1">
        <w:rPr>
          <w:rFonts w:eastAsia="+mn-ea" w:cstheme="minorHAnsi"/>
          <w:color w:val="262626"/>
          <w:kern w:val="24"/>
        </w:rPr>
        <w:t xml:space="preserve"> regionální centra pro podporu investic do bydlení) a </w:t>
      </w:r>
      <w:r w:rsidRPr="003861C1">
        <w:rPr>
          <w:rFonts w:eastAsia="+mn-ea" w:cstheme="minorHAnsi"/>
          <w:b/>
          <w:bCs/>
          <w:color w:val="262626"/>
          <w:kern w:val="24"/>
          <w:u w:val="single"/>
        </w:rPr>
        <w:t>grantové části</w:t>
      </w:r>
      <w:r w:rsidRPr="003861C1">
        <w:rPr>
          <w:rFonts w:eastAsia="+mn-ea" w:cstheme="minorHAnsi"/>
          <w:color w:val="262626"/>
          <w:kern w:val="24"/>
        </w:rPr>
        <w:t xml:space="preserve"> </w:t>
      </w:r>
      <w:r>
        <w:rPr>
          <w:rFonts w:eastAsia="+mn-ea" w:cstheme="minorHAnsi"/>
          <w:color w:val="262626"/>
          <w:kern w:val="24"/>
        </w:rPr>
        <w:t xml:space="preserve">(alokace </w:t>
      </w:r>
      <w:r w:rsidRPr="003861C1">
        <w:rPr>
          <w:rFonts w:eastAsia="+mn-ea" w:cstheme="minorHAnsi"/>
          <w:color w:val="262626"/>
          <w:kern w:val="24"/>
        </w:rPr>
        <w:t>80 mil. Kč</w:t>
      </w:r>
      <w:r>
        <w:rPr>
          <w:rFonts w:eastAsia="+mn-ea" w:cstheme="minorHAnsi"/>
          <w:color w:val="262626"/>
          <w:kern w:val="24"/>
        </w:rPr>
        <w:t xml:space="preserve"> určená na </w:t>
      </w:r>
      <w:r w:rsidRPr="003861C1">
        <w:rPr>
          <w:rFonts w:eastAsia="+mn-ea" w:cstheme="minorHAnsi"/>
          <w:color w:val="262626"/>
          <w:kern w:val="24"/>
        </w:rPr>
        <w:t>zákon o podpoře bydlení</w:t>
      </w:r>
      <w:r>
        <w:rPr>
          <w:rFonts w:eastAsia="+mn-ea" w:cstheme="minorHAnsi"/>
          <w:color w:val="262626"/>
          <w:kern w:val="24"/>
        </w:rPr>
        <w:t xml:space="preserve">). </w:t>
      </w:r>
    </w:p>
    <w:p w14:paraId="3FC10C83" w14:textId="77777777" w:rsidR="002703E1" w:rsidRPr="009C367E" w:rsidRDefault="002703E1" w:rsidP="002703E1">
      <w:pPr>
        <w:spacing w:after="120" w:line="240" w:lineRule="auto"/>
        <w:jc w:val="both"/>
        <w:rPr>
          <w:rFonts w:eastAsia="+mn-ea" w:cstheme="minorHAnsi"/>
          <w:color w:val="262626"/>
          <w:kern w:val="24"/>
        </w:rPr>
      </w:pPr>
      <w:r>
        <w:rPr>
          <w:rFonts w:eastAsia="Calibri" w:cstheme="minorHAnsi"/>
          <w:kern w:val="0"/>
          <w14:ligatures w14:val="none"/>
        </w:rPr>
        <w:t>V rámci komponenty dojde k</w:t>
      </w:r>
      <w:r w:rsidRPr="00EB35E4">
        <w:rPr>
          <w:rFonts w:eastAsia="Calibri" w:cstheme="minorHAnsi"/>
          <w:kern w:val="0"/>
          <w14:ligatures w14:val="none"/>
        </w:rPr>
        <w:t xml:space="preserve"> vytv</w:t>
      </w:r>
      <w:r>
        <w:rPr>
          <w:rFonts w:eastAsia="Calibri" w:cstheme="minorHAnsi"/>
          <w:kern w:val="0"/>
          <w14:ligatures w14:val="none"/>
        </w:rPr>
        <w:t>o</w:t>
      </w:r>
      <w:r w:rsidRPr="00EB35E4">
        <w:rPr>
          <w:rFonts w:eastAsia="Calibri" w:cstheme="minorHAnsi"/>
          <w:kern w:val="0"/>
          <w14:ligatures w14:val="none"/>
        </w:rPr>
        <w:t>řen</w:t>
      </w:r>
      <w:r>
        <w:rPr>
          <w:rFonts w:eastAsia="Calibri" w:cstheme="minorHAnsi"/>
          <w:kern w:val="0"/>
          <w14:ligatures w14:val="none"/>
        </w:rPr>
        <w:t>í</w:t>
      </w:r>
      <w:r w:rsidRPr="00EB35E4">
        <w:rPr>
          <w:rFonts w:eastAsia="Calibri" w:cstheme="minorHAnsi"/>
          <w:kern w:val="0"/>
          <w14:ligatures w14:val="none"/>
        </w:rPr>
        <w:t xml:space="preserve"> </w:t>
      </w:r>
      <w:r w:rsidRPr="00EB35E4">
        <w:rPr>
          <w:rFonts w:eastAsia="Calibri" w:cstheme="minorHAnsi"/>
          <w:b/>
          <w:bCs/>
          <w:kern w:val="0"/>
          <w:u w:val="single"/>
          <w14:ligatures w14:val="none"/>
        </w:rPr>
        <w:t>zákona o podpoře bydlení</w:t>
      </w:r>
      <w:r w:rsidRPr="007B5599">
        <w:rPr>
          <w:rFonts w:eastAsia="Calibri" w:cstheme="minorHAnsi"/>
          <w:kern w:val="0"/>
          <w:u w:val="single"/>
          <w14:ligatures w14:val="none"/>
        </w:rPr>
        <w:t>,</w:t>
      </w:r>
      <w:r w:rsidRPr="007B5599">
        <w:rPr>
          <w:rFonts w:eastAsia="Calibri" w:cstheme="minorHAnsi"/>
          <w:kern w:val="0"/>
          <w14:ligatures w14:val="none"/>
        </w:rPr>
        <w:t xml:space="preserve"> který zavádí</w:t>
      </w:r>
      <w:r>
        <w:rPr>
          <w:rFonts w:eastAsia="Calibri" w:cstheme="minorHAnsi"/>
          <w:kern w:val="0"/>
          <w14:ligatures w14:val="none"/>
        </w:rPr>
        <w:t xml:space="preserve"> </w:t>
      </w:r>
      <w:r w:rsidRPr="007B5599">
        <w:rPr>
          <w:rFonts w:eastAsia="Calibri" w:cstheme="minorHAnsi"/>
          <w:kern w:val="0"/>
          <w14:ligatures w14:val="none"/>
        </w:rPr>
        <w:t>kontaktní místa pro bydlení, systém garancí pro nájemníky a pronajímatele, podporu asistence v bydlení.</w:t>
      </w:r>
      <w:r w:rsidRPr="00A733B3">
        <w:rPr>
          <w:rFonts w:eastAsia="Calibri" w:cstheme="minorHAnsi"/>
          <w:kern w:val="0"/>
          <w14:ligatures w14:val="none"/>
        </w:rPr>
        <w:t xml:space="preserve"> Zákon</w:t>
      </w:r>
      <w:r>
        <w:rPr>
          <w:rFonts w:eastAsia="Calibri" w:cstheme="minorHAnsi"/>
          <w:b/>
          <w:bCs/>
          <w:kern w:val="0"/>
          <w14:ligatures w14:val="none"/>
        </w:rPr>
        <w:t xml:space="preserve"> </w:t>
      </w:r>
      <w:r>
        <w:rPr>
          <w:rFonts w:eastAsia="Calibri" w:cstheme="minorHAnsi"/>
          <w:kern w:val="0"/>
          <w14:ligatures w14:val="none"/>
        </w:rPr>
        <w:t xml:space="preserve">prošel prvním čtením v Poslanecké sněmovně a nyní je projednáván ve výborech. </w:t>
      </w:r>
      <w:r>
        <w:rPr>
          <w:rFonts w:eastAsia="+mn-ea" w:cstheme="minorHAnsi"/>
          <w:color w:val="262626"/>
          <w:kern w:val="24"/>
        </w:rPr>
        <w:t>P</w:t>
      </w:r>
      <w:r w:rsidRPr="009C367E">
        <w:rPr>
          <w:rFonts w:eastAsia="+mn-ea" w:cstheme="minorHAnsi"/>
          <w:color w:val="262626"/>
          <w:kern w:val="24"/>
        </w:rPr>
        <w:t xml:space="preserve">robíhá tvorba evidenčního IT systému </w:t>
      </w:r>
      <w:r>
        <w:rPr>
          <w:rFonts w:eastAsia="+mn-ea" w:cstheme="minorHAnsi"/>
          <w:color w:val="262626"/>
          <w:kern w:val="24"/>
        </w:rPr>
        <w:t xml:space="preserve">a tvorba metodických podkladů k zákonu </w:t>
      </w:r>
      <w:r w:rsidRPr="009C367E">
        <w:rPr>
          <w:rFonts w:eastAsia="+mn-ea" w:cstheme="minorHAnsi"/>
          <w:color w:val="262626"/>
          <w:kern w:val="24"/>
        </w:rPr>
        <w:t>v součinnosti s</w:t>
      </w:r>
      <w:r>
        <w:rPr>
          <w:rFonts w:eastAsia="+mn-ea" w:cstheme="minorHAnsi"/>
          <w:color w:val="262626"/>
          <w:kern w:val="24"/>
        </w:rPr>
        <w:t> </w:t>
      </w:r>
      <w:r w:rsidRPr="009C367E">
        <w:rPr>
          <w:rFonts w:eastAsia="+mn-ea" w:cstheme="minorHAnsi"/>
          <w:color w:val="262626"/>
          <w:kern w:val="24"/>
        </w:rPr>
        <w:t>MPSV</w:t>
      </w:r>
      <w:r>
        <w:rPr>
          <w:rFonts w:eastAsia="+mn-ea" w:cstheme="minorHAnsi"/>
          <w:color w:val="262626"/>
          <w:kern w:val="24"/>
        </w:rPr>
        <w:t>.</w:t>
      </w:r>
    </w:p>
    <w:p w14:paraId="6C09DE18" w14:textId="77777777" w:rsidR="002703E1" w:rsidRDefault="002703E1" w:rsidP="002703E1">
      <w:pPr>
        <w:spacing w:after="120" w:line="240" w:lineRule="auto"/>
        <w:jc w:val="both"/>
        <w:rPr>
          <w:rFonts w:eastAsia="+mn-ea" w:cstheme="minorHAnsi"/>
          <w:color w:val="262626"/>
          <w:kern w:val="24"/>
        </w:rPr>
      </w:pPr>
      <w:r>
        <w:rPr>
          <w:rFonts w:eastAsia="+mn-ea" w:cstheme="minorHAnsi"/>
          <w:color w:val="262626"/>
          <w:kern w:val="24"/>
        </w:rPr>
        <w:t xml:space="preserve">V dubnu tohoto roku byl finalizován </w:t>
      </w:r>
      <w:r w:rsidRPr="009C367E">
        <w:rPr>
          <w:rFonts w:eastAsia="+mn-ea" w:cstheme="minorHAnsi"/>
          <w:color w:val="262626"/>
          <w:kern w:val="24"/>
        </w:rPr>
        <w:t xml:space="preserve">notifikační proces programu dostupného bydlení u </w:t>
      </w:r>
      <w:r>
        <w:rPr>
          <w:rFonts w:eastAsia="+mn-ea" w:cstheme="minorHAnsi"/>
          <w:color w:val="262626"/>
          <w:kern w:val="24"/>
        </w:rPr>
        <w:t>Evropské komise (finanční nástroj 1, implementační partner SFPI) a v procesu je notifikace pro finanční nástroj 2 (implementační partner NRB).</w:t>
      </w:r>
    </w:p>
    <w:p w14:paraId="519A3D1F" w14:textId="77777777" w:rsidR="002703E1" w:rsidRPr="009C367E" w:rsidRDefault="002703E1" w:rsidP="002703E1">
      <w:pPr>
        <w:spacing w:after="120" w:line="240" w:lineRule="auto"/>
        <w:jc w:val="both"/>
        <w:rPr>
          <w:rFonts w:eastAsia="+mn-ea" w:cstheme="minorHAnsi"/>
          <w:color w:val="262626"/>
          <w:kern w:val="24"/>
        </w:rPr>
      </w:pPr>
      <w:r>
        <w:rPr>
          <w:rFonts w:eastAsia="+mn-ea" w:cstheme="minorHAnsi"/>
          <w:color w:val="262626"/>
          <w:kern w:val="24"/>
        </w:rPr>
        <w:t xml:space="preserve">V červenci vstoupila v platnost </w:t>
      </w:r>
      <w:r w:rsidRPr="009C367E">
        <w:rPr>
          <w:rFonts w:eastAsia="+mn-ea" w:cstheme="minorHAnsi"/>
          <w:color w:val="262626"/>
          <w:kern w:val="24"/>
        </w:rPr>
        <w:t>novel</w:t>
      </w:r>
      <w:r>
        <w:rPr>
          <w:rFonts w:eastAsia="+mn-ea" w:cstheme="minorHAnsi"/>
          <w:color w:val="262626"/>
          <w:kern w:val="24"/>
        </w:rPr>
        <w:t>a</w:t>
      </w:r>
      <w:r w:rsidRPr="009C367E">
        <w:rPr>
          <w:rFonts w:eastAsia="+mn-ea" w:cstheme="minorHAnsi"/>
          <w:color w:val="262626"/>
          <w:kern w:val="24"/>
        </w:rPr>
        <w:t xml:space="preserve"> zákona o SFPI</w:t>
      </w:r>
      <w:r>
        <w:rPr>
          <w:rFonts w:eastAsia="+mn-ea" w:cstheme="minorHAnsi"/>
          <w:color w:val="262626"/>
          <w:kern w:val="24"/>
        </w:rPr>
        <w:t xml:space="preserve"> obsahující </w:t>
      </w:r>
      <w:r w:rsidRPr="009C367E">
        <w:rPr>
          <w:rFonts w:eastAsia="+mn-ea" w:cstheme="minorHAnsi"/>
          <w:b/>
          <w:bCs/>
          <w:color w:val="262626"/>
          <w:kern w:val="24"/>
          <w:u w:val="single"/>
        </w:rPr>
        <w:t>definici</w:t>
      </w:r>
      <w:r w:rsidRPr="009C367E">
        <w:rPr>
          <w:rFonts w:eastAsia="+mn-ea" w:cstheme="minorHAnsi"/>
          <w:color w:val="262626"/>
          <w:kern w:val="24"/>
          <w:u w:val="single"/>
        </w:rPr>
        <w:t xml:space="preserve"> </w:t>
      </w:r>
      <w:r w:rsidRPr="009C367E">
        <w:rPr>
          <w:rFonts w:eastAsia="+mn-ea" w:cstheme="minorHAnsi"/>
          <w:b/>
          <w:bCs/>
          <w:color w:val="262626"/>
          <w:kern w:val="24"/>
          <w:u w:val="single"/>
        </w:rPr>
        <w:t>cílových skupin pro programy dostupného bydlení</w:t>
      </w:r>
      <w:r w:rsidRPr="009C367E">
        <w:rPr>
          <w:rFonts w:eastAsia="+mn-ea" w:cstheme="minorHAnsi"/>
          <w:color w:val="262626"/>
          <w:kern w:val="24"/>
        </w:rPr>
        <w:t xml:space="preserve"> (mladí do 35 let </w:t>
      </w:r>
      <w:r>
        <w:rPr>
          <w:rFonts w:eastAsia="+mn-ea" w:cstheme="minorHAnsi"/>
          <w:color w:val="262626"/>
          <w:kern w:val="24"/>
        </w:rPr>
        <w:t xml:space="preserve">včetně </w:t>
      </w:r>
      <w:r w:rsidRPr="009C367E">
        <w:rPr>
          <w:rFonts w:eastAsia="+mn-ea" w:cstheme="minorHAnsi"/>
          <w:color w:val="262626"/>
          <w:kern w:val="24"/>
        </w:rPr>
        <w:t xml:space="preserve">v max. 9. příjmovém decilu všech domácností, vybrané profese (zdravotnictví, školství, veřejná bezpečnost, integrovaný záchranný systému, sociální služby, veřejná správa), a domácnosti s příjmem do 8. decilu, tj. včetně většiny seniorů bez vlastního bydlení), </w:t>
      </w:r>
      <w:r w:rsidRPr="009C367E">
        <w:rPr>
          <w:rFonts w:eastAsia="+mn-ea" w:cstheme="minorHAnsi"/>
          <w:b/>
          <w:bCs/>
          <w:color w:val="262626"/>
          <w:kern w:val="24"/>
          <w:u w:val="single"/>
        </w:rPr>
        <w:t>definici dostupného nájemného</w:t>
      </w:r>
      <w:r w:rsidRPr="009C367E">
        <w:rPr>
          <w:rFonts w:eastAsia="+mn-ea" w:cstheme="minorHAnsi"/>
          <w:color w:val="262626"/>
          <w:kern w:val="24"/>
        </w:rPr>
        <w:t xml:space="preserve"> pro tyto programy (max. 90 % ceny obvyklého nájemného v bytech srovnatelné kvality, nákladové nájemné pro veřejné subjekty a příjemce podpory SFPI (zároveň nižší než tržní v bytech obdobné kvality), růst nájemného stropován mírou meziroční inflace, avšak max. 4 %) a </w:t>
      </w:r>
      <w:r w:rsidRPr="009C367E">
        <w:rPr>
          <w:rFonts w:eastAsia="+mn-ea" w:cstheme="minorHAnsi"/>
          <w:b/>
          <w:bCs/>
          <w:color w:val="262626"/>
          <w:kern w:val="24"/>
          <w:u w:val="single"/>
        </w:rPr>
        <w:t>parametry nájemních smluv</w:t>
      </w:r>
      <w:r w:rsidRPr="009C367E">
        <w:rPr>
          <w:rFonts w:eastAsia="+mn-ea" w:cstheme="minorHAnsi"/>
          <w:color w:val="262626"/>
          <w:kern w:val="24"/>
        </w:rPr>
        <w:t xml:space="preserve"> (dvouleté smlouvy a kontrola podmínek 6 měsíců před prodloužením, 1. smlouva může být na 1 rok, u seniorů možnost i smlouvy delší než 2 roky).</w:t>
      </w:r>
    </w:p>
    <w:p w14:paraId="2527B896" w14:textId="318AE325" w:rsidR="002703E1" w:rsidRDefault="002703E1" w:rsidP="002703E1">
      <w:pPr>
        <w:spacing w:after="120" w:line="240" w:lineRule="auto"/>
        <w:jc w:val="both"/>
        <w:rPr>
          <w:rFonts w:eastAsia="+mn-ea" w:cstheme="minorHAnsi"/>
          <w:color w:val="262626"/>
          <w:kern w:val="24"/>
        </w:rPr>
      </w:pPr>
      <w:r w:rsidRPr="009C367E">
        <w:rPr>
          <w:rFonts w:eastAsia="+mn-ea" w:cstheme="minorHAnsi"/>
          <w:color w:val="262626"/>
          <w:kern w:val="24"/>
        </w:rPr>
        <w:t>V</w:t>
      </w:r>
      <w:r>
        <w:rPr>
          <w:rFonts w:eastAsia="+mn-ea" w:cstheme="minorHAnsi"/>
          <w:color w:val="262626"/>
          <w:kern w:val="24"/>
        </w:rPr>
        <w:t xml:space="preserve"> září byla vypsána </w:t>
      </w:r>
      <w:r w:rsidRPr="005E5106">
        <w:rPr>
          <w:rFonts w:eastAsia="+mn-ea" w:cstheme="minorHAnsi"/>
          <w:b/>
          <w:bCs/>
          <w:color w:val="262626"/>
          <w:kern w:val="24"/>
        </w:rPr>
        <w:t>výzva programu Dostupného nájemního bydlení</w:t>
      </w:r>
      <w:r>
        <w:rPr>
          <w:rFonts w:eastAsia="+mn-ea" w:cstheme="minorHAnsi"/>
          <w:color w:val="262626"/>
          <w:kern w:val="24"/>
        </w:rPr>
        <w:t xml:space="preserve"> SFPI, příjem žádostí byl zahájen 1. října.</w:t>
      </w:r>
    </w:p>
    <w:p w14:paraId="7FE122A9" w14:textId="0F8C421A" w:rsidR="002703E1" w:rsidRPr="009C367E" w:rsidRDefault="002703E1" w:rsidP="002703E1">
      <w:pPr>
        <w:spacing w:after="120" w:line="240" w:lineRule="auto"/>
        <w:jc w:val="both"/>
        <w:rPr>
          <w:rFonts w:eastAsia="Calibri" w:cstheme="minorHAnsi"/>
          <w:kern w:val="0"/>
          <w14:ligatures w14:val="none"/>
        </w:rPr>
      </w:pPr>
      <w:r w:rsidRPr="00A733B3">
        <w:rPr>
          <w:rFonts w:eastAsia="+mn-ea" w:cstheme="minorHAnsi"/>
          <w:color w:val="262626"/>
          <w:kern w:val="24"/>
        </w:rPr>
        <w:t xml:space="preserve">Finalizuje se také </w:t>
      </w:r>
      <w:r w:rsidRPr="005E5106">
        <w:rPr>
          <w:rFonts w:eastAsia="+mn-ea" w:cstheme="minorHAnsi"/>
          <w:b/>
          <w:bCs/>
          <w:color w:val="262626"/>
          <w:kern w:val="24"/>
        </w:rPr>
        <w:t>příprava prováděcích dohod</w:t>
      </w:r>
      <w:r w:rsidR="00D80A75">
        <w:rPr>
          <w:rFonts w:eastAsia="+mn-ea" w:cstheme="minorHAnsi"/>
          <w:color w:val="262626"/>
          <w:kern w:val="24"/>
        </w:rPr>
        <w:t>, jejich uzavření se předpokládá do konce října.</w:t>
      </w:r>
    </w:p>
    <w:p w14:paraId="7AFBBB3B" w14:textId="77777777" w:rsidR="002703E1" w:rsidRPr="009C367E" w:rsidRDefault="002703E1" w:rsidP="002703E1">
      <w:pPr>
        <w:spacing w:after="0" w:line="240" w:lineRule="auto"/>
        <w:jc w:val="both"/>
        <w:rPr>
          <w:rFonts w:eastAsia="Calibri" w:cstheme="minorHAnsi"/>
          <w:b/>
          <w:bCs/>
          <w:kern w:val="0"/>
          <w14:ligatures w14:val="none"/>
        </w:rPr>
      </w:pPr>
    </w:p>
    <w:p w14:paraId="264AC0CB" w14:textId="77777777" w:rsidR="002703E1" w:rsidRPr="003861C1" w:rsidRDefault="002703E1" w:rsidP="002703E1">
      <w:pPr>
        <w:spacing w:after="0" w:line="240" w:lineRule="auto"/>
        <w:jc w:val="both"/>
        <w:rPr>
          <w:rFonts w:eastAsia="Calibri" w:cstheme="minorHAnsi"/>
          <w:b/>
          <w:bCs/>
          <w:kern w:val="0"/>
          <w14:ligatures w14:val="none"/>
        </w:rPr>
      </w:pPr>
      <w:r w:rsidRPr="009C367E">
        <w:rPr>
          <w:rFonts w:eastAsia="Calibri" w:cstheme="minorHAnsi"/>
          <w:b/>
          <w:bCs/>
          <w:kern w:val="0"/>
          <w14:ligatures w14:val="none"/>
        </w:rPr>
        <w:t>Charakteristika finančních nástrojů:</w:t>
      </w:r>
    </w:p>
    <w:p w14:paraId="1CD2F70D" w14:textId="77777777" w:rsidR="002703E1" w:rsidRPr="003861C1" w:rsidRDefault="002703E1" w:rsidP="002703E1">
      <w:pPr>
        <w:spacing w:after="0" w:line="240" w:lineRule="auto"/>
        <w:jc w:val="both"/>
        <w:rPr>
          <w:rFonts w:eastAsia="Calibri" w:cstheme="minorHAnsi"/>
          <w:b/>
          <w:bCs/>
          <w:kern w:val="0"/>
          <w14:ligatures w14:val="none"/>
        </w:rPr>
      </w:pPr>
    </w:p>
    <w:p w14:paraId="645C7640" w14:textId="77777777" w:rsidR="002703E1" w:rsidRPr="008320D4" w:rsidRDefault="002703E1" w:rsidP="002703E1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320D4">
        <w:rPr>
          <w:rFonts w:asciiTheme="minorHAnsi" w:hAnsiTheme="minorHAnsi" w:cstheme="minorHAnsi"/>
          <w:b/>
          <w:bCs/>
          <w:sz w:val="22"/>
          <w:szCs w:val="22"/>
          <w:u w:val="single"/>
        </w:rPr>
        <w:t>1. Zvýhodněné úvěry: 4,5 mld. Kč (SFPI)</w:t>
      </w:r>
    </w:p>
    <w:p w14:paraId="4A316EDC" w14:textId="3B5F6A5D" w:rsidR="002703E1" w:rsidRPr="003861C1" w:rsidRDefault="002703E1" w:rsidP="002703E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Účel: novostavba (min. 4 b</w:t>
      </w:r>
      <w:r>
        <w:rPr>
          <w:rFonts w:asciiTheme="minorHAnsi" w:hAnsiTheme="minorHAnsi" w:cstheme="minorHAnsi"/>
          <w:sz w:val="22"/>
          <w:szCs w:val="22"/>
        </w:rPr>
        <w:t xml:space="preserve">ytové </w:t>
      </w:r>
      <w:r w:rsidRPr="003861C1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ednotky</w:t>
      </w:r>
      <w:r w:rsidRPr="003861C1">
        <w:rPr>
          <w:rFonts w:asciiTheme="minorHAnsi" w:hAnsiTheme="minorHAnsi" w:cstheme="minorHAnsi"/>
          <w:sz w:val="22"/>
          <w:szCs w:val="22"/>
        </w:rPr>
        <w:t xml:space="preserve">), rekonstrukce, přístavba/ nástavba, pořízení bytového domu </w:t>
      </w:r>
    </w:p>
    <w:p w14:paraId="6576C031" w14:textId="77777777" w:rsidR="002703E1" w:rsidRPr="003861C1" w:rsidRDefault="002703E1" w:rsidP="002703E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Struktura financování:</w:t>
      </w:r>
    </w:p>
    <w:p w14:paraId="17B80294" w14:textId="77777777" w:rsidR="002703E1" w:rsidRPr="003861C1" w:rsidRDefault="002703E1" w:rsidP="002703E1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Vlastní kapitál: 10 %</w:t>
      </w:r>
    </w:p>
    <w:p w14:paraId="09479507" w14:textId="77777777" w:rsidR="002703E1" w:rsidRPr="003861C1" w:rsidRDefault="002703E1" w:rsidP="002703E1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Dotace: 25 % (možnost 5 % bonifikace za výraznou energetickou účinnost, sociální mix, strukturálně ohrožená území či památkové zóny)</w:t>
      </w:r>
    </w:p>
    <w:p w14:paraId="1A2CD5EF" w14:textId="77777777" w:rsidR="002703E1" w:rsidRPr="003861C1" w:rsidRDefault="002703E1" w:rsidP="002703E1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 xml:space="preserve">Půjčka SFPI: splatnost 20–30 let, minimálně ve výši dotace, úroková sazba 1–3 % </w:t>
      </w:r>
      <w:proofErr w:type="spellStart"/>
      <w:r w:rsidRPr="003861C1">
        <w:rPr>
          <w:rFonts w:asciiTheme="minorHAnsi" w:hAnsiTheme="minorHAnsi" w:cstheme="minorHAnsi"/>
          <w:sz w:val="22"/>
          <w:szCs w:val="22"/>
        </w:rPr>
        <w:t>p.a</w:t>
      </w:r>
      <w:proofErr w:type="spellEnd"/>
      <w:r w:rsidRPr="003861C1">
        <w:rPr>
          <w:rFonts w:asciiTheme="minorHAnsi" w:hAnsiTheme="minorHAnsi" w:cstheme="minorHAnsi"/>
          <w:sz w:val="22"/>
          <w:szCs w:val="22"/>
        </w:rPr>
        <w:t>. (dle predikce ČNB předpoklad 1,5 % - 2 %)</w:t>
      </w:r>
    </w:p>
    <w:p w14:paraId="4517E1A1" w14:textId="77777777" w:rsidR="002703E1" w:rsidRPr="003861C1" w:rsidRDefault="002703E1" w:rsidP="002703E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Strop pro nájemné: nákladové nájemné (veřejní i soukromí investoři)</w:t>
      </w:r>
    </w:p>
    <w:p w14:paraId="4037B2FB" w14:textId="77777777" w:rsidR="002703E1" w:rsidRPr="003861C1" w:rsidRDefault="002703E1" w:rsidP="002703E1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Žadatelé: právnické osoby (zejména obce)</w:t>
      </w:r>
    </w:p>
    <w:p w14:paraId="33DA2AB0" w14:textId="77777777" w:rsidR="002703E1" w:rsidRPr="003861C1" w:rsidRDefault="002703E1" w:rsidP="002703E1">
      <w:pPr>
        <w:pStyle w:val="Default"/>
        <w:numPr>
          <w:ilvl w:val="1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Výzva vyhlášena 19. září </w:t>
      </w:r>
      <w:r w:rsidRPr="003861C1">
        <w:rPr>
          <w:rFonts w:asciiTheme="minorHAnsi" w:hAnsiTheme="minorHAnsi" w:cstheme="minorHAnsi"/>
          <w:sz w:val="22"/>
          <w:szCs w:val="22"/>
        </w:rPr>
        <w:t>2024</w:t>
      </w:r>
    </w:p>
    <w:p w14:paraId="53A4842B" w14:textId="77777777" w:rsidR="002703E1" w:rsidRPr="003861C1" w:rsidRDefault="002703E1" w:rsidP="002703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96F447A" w14:textId="77777777" w:rsidR="002703E1" w:rsidRPr="008320D4" w:rsidRDefault="002703E1" w:rsidP="002703E1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8320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2. Podřízené úvěry: 2,5 mld. (NRB)</w:t>
      </w:r>
    </w:p>
    <w:p w14:paraId="6CA2FADF" w14:textId="77777777" w:rsidR="002703E1" w:rsidRPr="003861C1" w:rsidRDefault="002703E1" w:rsidP="002703E1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Účel: výstavba nových bytů a rekonstrukce stávajících nemovitos</w:t>
      </w:r>
      <w:r w:rsidRPr="003861C1">
        <w:rPr>
          <w:rFonts w:asciiTheme="minorHAnsi" w:eastAsia="Calibri" w:hAnsiTheme="minorHAnsi" w:cstheme="minorHAnsi"/>
          <w:sz w:val="22"/>
          <w:szCs w:val="22"/>
        </w:rPr>
        <w:t>tí</w:t>
      </w:r>
    </w:p>
    <w:p w14:paraId="437F3532" w14:textId="77777777" w:rsidR="002703E1" w:rsidRPr="003861C1" w:rsidRDefault="002703E1" w:rsidP="002703E1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Struktura financování:</w:t>
      </w:r>
    </w:p>
    <w:p w14:paraId="0228A67F" w14:textId="77777777" w:rsidR="002703E1" w:rsidRPr="003861C1" w:rsidRDefault="002703E1" w:rsidP="002703E1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Vlastní kapitál: 10 %</w:t>
      </w:r>
    </w:p>
    <w:p w14:paraId="6C87F5C1" w14:textId="77777777" w:rsidR="002703E1" w:rsidRDefault="002703E1" w:rsidP="002703E1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Mezaninový úvěr: Podřízený úvěr do 40 % celkových způsobilých nákladů, Pevná úroková sazba 1 – 1,5 %,</w:t>
      </w:r>
    </w:p>
    <w:p w14:paraId="36EBDFFB" w14:textId="77777777" w:rsidR="002703E1" w:rsidRPr="008F7E37" w:rsidRDefault="002703E1" w:rsidP="002703E1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F7E37">
        <w:rPr>
          <w:rFonts w:asciiTheme="minorHAnsi" w:hAnsiTheme="minorHAnsi" w:cstheme="minorHAnsi"/>
          <w:sz w:val="22"/>
          <w:szCs w:val="22"/>
        </w:rPr>
        <w:t>Platný strop nájemného: 90 % tržního nájemného ve srovnatelných bytech (pro soukromé investory)</w:t>
      </w:r>
    </w:p>
    <w:p w14:paraId="11FC7C20" w14:textId="77777777" w:rsidR="002703E1" w:rsidRPr="003861C1" w:rsidRDefault="002703E1" w:rsidP="002703E1">
      <w:pPr>
        <w:pStyle w:val="Default"/>
        <w:numPr>
          <w:ilvl w:val="1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Předpokládané vyhlášení výzvy: 2025</w:t>
      </w:r>
    </w:p>
    <w:p w14:paraId="1E32863C" w14:textId="77777777" w:rsidR="002703E1" w:rsidRPr="003861C1" w:rsidRDefault="002703E1" w:rsidP="002703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3545E87" w14:textId="77777777" w:rsidR="002703E1" w:rsidRPr="008320D4" w:rsidRDefault="002703E1" w:rsidP="002703E1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320D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3. </w:t>
      </w:r>
      <w:proofErr w:type="spellStart"/>
      <w:r w:rsidRPr="008320D4">
        <w:rPr>
          <w:rFonts w:asciiTheme="minorHAnsi" w:hAnsiTheme="minorHAnsi" w:cstheme="minorHAnsi"/>
          <w:b/>
          <w:bCs/>
          <w:sz w:val="22"/>
          <w:szCs w:val="22"/>
          <w:u w:val="single"/>
        </w:rPr>
        <w:t>Koinves</w:t>
      </w:r>
      <w:r w:rsidRPr="008320D4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ti</w:t>
      </w:r>
      <w:r w:rsidRPr="008320D4">
        <w:rPr>
          <w:rFonts w:asciiTheme="minorHAnsi" w:hAnsiTheme="minorHAnsi" w:cstheme="minorHAnsi"/>
          <w:b/>
          <w:bCs/>
          <w:sz w:val="22"/>
          <w:szCs w:val="22"/>
          <w:u w:val="single"/>
        </w:rPr>
        <w:t>ční</w:t>
      </w:r>
      <w:proofErr w:type="spellEnd"/>
      <w:r w:rsidRPr="008320D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fond: 1 mld. Kč (NRI)</w:t>
      </w:r>
    </w:p>
    <w:p w14:paraId="26BB1366" w14:textId="77777777" w:rsidR="002703E1" w:rsidRPr="003861C1" w:rsidRDefault="002703E1" w:rsidP="002703E1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 xml:space="preserve">Účel: přímé akvizice existujících nájemních bytů a projektů. </w:t>
      </w:r>
    </w:p>
    <w:p w14:paraId="71E3E5ED" w14:textId="77777777" w:rsidR="002703E1" w:rsidRPr="003861C1" w:rsidRDefault="002703E1" w:rsidP="002703E1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Platný strop nájemného: 90 % tržního nájemného ve srovnatelných bytech</w:t>
      </w:r>
    </w:p>
    <w:p w14:paraId="4EF8A5F0" w14:textId="77777777" w:rsidR="002703E1" w:rsidRPr="003861C1" w:rsidRDefault="002703E1" w:rsidP="002703E1">
      <w:pPr>
        <w:pStyle w:val="Default"/>
        <w:numPr>
          <w:ilvl w:val="1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61C1">
        <w:rPr>
          <w:rFonts w:asciiTheme="minorHAnsi" w:hAnsiTheme="minorHAnsi" w:cstheme="minorHAnsi"/>
          <w:sz w:val="22"/>
          <w:szCs w:val="22"/>
        </w:rPr>
        <w:t>Předpokládané založení: 2025</w:t>
      </w:r>
    </w:p>
    <w:p w14:paraId="3402D74F" w14:textId="77777777" w:rsidR="002703E1" w:rsidRPr="003861C1" w:rsidRDefault="002703E1" w:rsidP="002703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C0AB37C" w14:textId="694A7AC1" w:rsidR="002703E1" w:rsidRPr="003861C1" w:rsidRDefault="002703E1" w:rsidP="002703E1">
      <w:pPr>
        <w:spacing w:after="0" w:line="240" w:lineRule="auto"/>
        <w:jc w:val="both"/>
        <w:rPr>
          <w:rFonts w:eastAsia="+mn-ea" w:cstheme="minorHAnsi"/>
          <w:color w:val="262626"/>
          <w:kern w:val="24"/>
        </w:rPr>
      </w:pPr>
      <w:r w:rsidRPr="008320D4">
        <w:rPr>
          <w:rFonts w:eastAsia="Calibri" w:cstheme="minorHAnsi"/>
          <w:kern w:val="0"/>
          <w14:ligatures w14:val="none"/>
        </w:rPr>
        <w:t>Komponenta 2.10 také zahrnuje</w:t>
      </w:r>
      <w:r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Pr="008320D4">
        <w:rPr>
          <w:rFonts w:eastAsia="Calibri" w:cstheme="minorHAnsi"/>
          <w:b/>
          <w:bCs/>
          <w:kern w:val="0"/>
          <w:u w:val="single"/>
          <w14:ligatures w14:val="none"/>
        </w:rPr>
        <w:t>vytvoření 8 regionálních center pro podporu investic do bydlení</w:t>
      </w:r>
      <w:r w:rsidRPr="003861C1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Pr="008320D4">
        <w:rPr>
          <w:rFonts w:eastAsia="Calibri" w:cstheme="minorHAnsi"/>
          <w:kern w:val="0"/>
          <w14:ligatures w14:val="none"/>
        </w:rPr>
        <w:t>ve</w:t>
      </w:r>
      <w:r w:rsidR="00D80A75">
        <w:rPr>
          <w:rFonts w:eastAsia="Calibri" w:cstheme="minorHAnsi"/>
          <w:kern w:val="0"/>
          <w14:ligatures w14:val="none"/>
        </w:rPr>
        <w:t> </w:t>
      </w:r>
      <w:r w:rsidRPr="008320D4">
        <w:rPr>
          <w:rFonts w:eastAsia="Calibri" w:cstheme="minorHAnsi"/>
          <w:kern w:val="0"/>
          <w14:ligatures w14:val="none"/>
        </w:rPr>
        <w:t xml:space="preserve">spolupráci SFPI s regionálními rozvojovými agenturami. Centra </w:t>
      </w:r>
      <w:r>
        <w:rPr>
          <w:rFonts w:eastAsia="Calibri" w:cstheme="minorHAnsi"/>
          <w:kern w:val="0"/>
          <w14:ligatures w14:val="none"/>
        </w:rPr>
        <w:t>fungují</w:t>
      </w:r>
      <w:r w:rsidRPr="008320D4">
        <w:rPr>
          <w:rFonts w:eastAsia="Calibri" w:cstheme="minorHAnsi"/>
          <w:kern w:val="0"/>
          <w14:ligatures w14:val="none"/>
        </w:rPr>
        <w:t xml:space="preserve"> </w:t>
      </w:r>
      <w:r w:rsidRPr="008320D4">
        <w:rPr>
          <w:rFonts w:eastAsia="Calibri" w:cstheme="minorHAnsi"/>
          <w:b/>
          <w:bCs/>
          <w:kern w:val="0"/>
          <w:u w:val="single"/>
          <w14:ligatures w14:val="none"/>
        </w:rPr>
        <w:t>od dubna 2024</w:t>
      </w:r>
      <w:r>
        <w:rPr>
          <w:rFonts w:eastAsia="Calibri" w:cstheme="minorHAnsi"/>
          <w:kern w:val="0"/>
          <w14:ligatures w14:val="none"/>
        </w:rPr>
        <w:t xml:space="preserve"> a poskytují </w:t>
      </w:r>
      <w:r w:rsidRPr="003861C1">
        <w:rPr>
          <w:rFonts w:eastAsia="+mn-ea" w:cstheme="minorHAnsi"/>
          <w:color w:val="262626"/>
          <w:kern w:val="24"/>
        </w:rPr>
        <w:t>expertní podpor</w:t>
      </w:r>
      <w:r>
        <w:rPr>
          <w:rFonts w:eastAsia="+mn-ea" w:cstheme="minorHAnsi"/>
          <w:color w:val="262626"/>
          <w:kern w:val="24"/>
        </w:rPr>
        <w:t>u</w:t>
      </w:r>
      <w:r w:rsidRPr="003861C1">
        <w:rPr>
          <w:rFonts w:eastAsia="+mn-ea" w:cstheme="minorHAnsi"/>
          <w:color w:val="262626"/>
          <w:kern w:val="24"/>
        </w:rPr>
        <w:t xml:space="preserve"> přímo v regionu, zvětšení odborných kapacit obcí pro identifikaci, přípravu a realizaci projektů dostupného nájemního bydlení vč. finančního poradenství</w:t>
      </w:r>
      <w:r>
        <w:rPr>
          <w:rFonts w:eastAsia="+mn-ea" w:cstheme="minorHAnsi"/>
          <w:color w:val="262626"/>
          <w:kern w:val="24"/>
        </w:rPr>
        <w:t>.</w:t>
      </w:r>
    </w:p>
    <w:p w14:paraId="71948851" w14:textId="77777777" w:rsidR="002703E1" w:rsidRPr="003861C1" w:rsidRDefault="002703E1" w:rsidP="002703E1">
      <w:pPr>
        <w:pStyle w:val="Odstavecseseznamem"/>
        <w:ind w:left="709"/>
        <w:jc w:val="both"/>
        <w:rPr>
          <w:rFonts w:asciiTheme="minorHAnsi" w:eastAsia="+mn-ea" w:hAnsiTheme="minorHAnsi" w:cstheme="minorHAnsi"/>
          <w:color w:val="262626"/>
          <w:kern w:val="24"/>
        </w:rPr>
      </w:pPr>
    </w:p>
    <w:p w14:paraId="6A3E7765" w14:textId="77777777" w:rsidR="002703E1" w:rsidRPr="00CD2D54" w:rsidRDefault="002703E1" w:rsidP="002703E1">
      <w:pPr>
        <w:jc w:val="both"/>
        <w:rPr>
          <w:rFonts w:ascii="Calibri" w:hAnsi="Calibri" w:cs="Calibri"/>
        </w:rPr>
      </w:pPr>
      <w:r w:rsidRPr="00982A1F">
        <w:rPr>
          <w:rFonts w:eastAsia="+mn-ea" w:cstheme="minorHAnsi"/>
          <w:noProof/>
          <w:color w:val="262626"/>
          <w:kern w:val="24"/>
        </w:rPr>
        <w:drawing>
          <wp:inline distT="0" distB="0" distL="0" distR="0" wp14:anchorId="79775426" wp14:editId="71E43CAC">
            <wp:extent cx="5760720" cy="3402330"/>
            <wp:effectExtent l="0" t="0" r="0" b="7620"/>
            <wp:docPr id="15913582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582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87382" w14:textId="56C16FE6" w:rsidR="00640A55" w:rsidRPr="00CD2D54" w:rsidRDefault="00560836" w:rsidP="007575C2">
      <w:pPr>
        <w:jc w:val="both"/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>K</w:t>
      </w:r>
      <w:r w:rsidR="00640A55" w:rsidRPr="00CD2D54"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>omponent</w:t>
      </w:r>
      <w:r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>a</w:t>
      </w:r>
      <w:r w:rsidR="00640A55" w:rsidRPr="00CD2D54">
        <w:rPr>
          <w:rFonts w:ascii="Calibri" w:eastAsia="Times New Roman" w:hAnsi="Calibri" w:cs="Calibri"/>
          <w:b/>
          <w:bCs/>
          <w:color w:val="4472C4" w:themeColor="accent1"/>
          <w:sz w:val="32"/>
          <w:szCs w:val="32"/>
        </w:rPr>
        <w:t xml:space="preserve"> 4.1 Systémová podpora veřejných investic</w:t>
      </w:r>
    </w:p>
    <w:p w14:paraId="3C4670F8" w14:textId="65775752" w:rsidR="00640A55" w:rsidRPr="00CD2D54" w:rsidRDefault="00640A55" w:rsidP="007575C2">
      <w:pPr>
        <w:jc w:val="both"/>
        <w:rPr>
          <w:rFonts w:ascii="Calibri" w:eastAsia="Times New Roman" w:hAnsi="Calibri" w:cs="Calibri"/>
        </w:rPr>
      </w:pPr>
      <w:r w:rsidRPr="00CD2D54">
        <w:rPr>
          <w:rFonts w:ascii="Calibri" w:eastAsia="Times New Roman" w:hAnsi="Calibri" w:cs="Calibri"/>
        </w:rPr>
        <w:t xml:space="preserve">V rámci </w:t>
      </w:r>
      <w:proofErr w:type="spellStart"/>
      <w:r w:rsidRPr="00CD2D54">
        <w:rPr>
          <w:rFonts w:ascii="Calibri" w:eastAsia="Times New Roman" w:hAnsi="Calibri" w:cs="Calibri"/>
        </w:rPr>
        <w:t>subkomponenty</w:t>
      </w:r>
      <w:proofErr w:type="spellEnd"/>
      <w:r w:rsidRPr="00CD2D54">
        <w:rPr>
          <w:rFonts w:ascii="Calibri" w:eastAsia="Times New Roman" w:hAnsi="Calibri" w:cs="Calibri"/>
        </w:rPr>
        <w:t xml:space="preserve"> </w:t>
      </w:r>
      <w:r w:rsidR="00F654C8" w:rsidRPr="00F654C8">
        <w:rPr>
          <w:rFonts w:ascii="Calibri" w:eastAsia="Times New Roman" w:hAnsi="Calibri" w:cs="Calibri"/>
          <w:b/>
          <w:bCs/>
          <w:u w:val="single"/>
        </w:rPr>
        <w:t>4</w:t>
      </w:r>
      <w:r w:rsidR="00F654C8" w:rsidRP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.1</w:t>
      </w:r>
      <w:r w:rsid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.1</w:t>
      </w:r>
      <w:r w:rsidR="00F654C8" w:rsidRP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 xml:space="preserve"> </w:t>
      </w:r>
      <w:r w:rsid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Metodick</w:t>
      </w:r>
      <w:r w:rsidR="00D80A75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á</w:t>
      </w:r>
      <w:r w:rsid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 xml:space="preserve"> podpora přípravy projektů souladných s cíli EU</w:t>
      </w:r>
      <w:r w:rsidR="00F654C8" w:rsidRPr="008E156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CD2D54">
        <w:rPr>
          <w:rFonts w:ascii="Calibri" w:eastAsia="Times New Roman" w:hAnsi="Calibri" w:cs="Calibri"/>
        </w:rPr>
        <w:t>je na S</w:t>
      </w:r>
      <w:r w:rsidR="00D80A75">
        <w:rPr>
          <w:rFonts w:ascii="Calibri" w:eastAsia="Times New Roman" w:hAnsi="Calibri" w:cs="Calibri"/>
        </w:rPr>
        <w:t>tátním fondu podpory investic</w:t>
      </w:r>
      <w:r w:rsidRPr="00CD2D54">
        <w:rPr>
          <w:rFonts w:ascii="Calibri" w:eastAsia="Times New Roman" w:hAnsi="Calibri" w:cs="Calibri"/>
        </w:rPr>
        <w:t xml:space="preserve"> vybudováno </w:t>
      </w:r>
      <w:r w:rsidRPr="00CD2D54">
        <w:rPr>
          <w:rFonts w:ascii="Calibri" w:eastAsia="Times New Roman" w:hAnsi="Calibri" w:cs="Calibri"/>
          <w:b/>
          <w:bCs/>
          <w:u w:val="single"/>
        </w:rPr>
        <w:t>Koordinační a kompetenční centrum</w:t>
      </w:r>
      <w:r w:rsidRPr="00CD2D54">
        <w:rPr>
          <w:rFonts w:ascii="Calibri" w:eastAsia="Times New Roman" w:hAnsi="Calibri" w:cs="Calibri"/>
        </w:rPr>
        <w:t>, které vyvíjí aktivity na</w:t>
      </w:r>
      <w:r w:rsidR="00D80A75">
        <w:rPr>
          <w:rFonts w:ascii="Calibri" w:eastAsia="Times New Roman" w:hAnsi="Calibri" w:cs="Calibri"/>
        </w:rPr>
        <w:t> </w:t>
      </w:r>
      <w:r w:rsidRPr="00CD2D54">
        <w:rPr>
          <w:rFonts w:ascii="Calibri" w:eastAsia="Times New Roman" w:hAnsi="Calibri" w:cs="Calibri"/>
        </w:rPr>
        <w:t xml:space="preserve">podporu rozvoje kapacit pro implementaci projektů kofinancovaných z veřejných zdrojů. </w:t>
      </w:r>
      <w:r w:rsidR="00D80A75">
        <w:rPr>
          <w:rFonts w:ascii="Calibri" w:eastAsia="Times New Roman" w:hAnsi="Calibri" w:cs="Calibri"/>
        </w:rPr>
        <w:t>Poskytováno je o</w:t>
      </w:r>
      <w:r w:rsidRPr="00CD2D54">
        <w:rPr>
          <w:rFonts w:ascii="Calibri" w:eastAsia="Times New Roman" w:hAnsi="Calibri" w:cs="Calibri"/>
        </w:rPr>
        <w:t>dborné poradenství v přípravě projektů, finančních modelů, udržitelnosti apod.</w:t>
      </w:r>
      <w:r w:rsidR="00664725">
        <w:rPr>
          <w:rFonts w:ascii="Calibri" w:eastAsia="Times New Roman" w:hAnsi="Calibri" w:cs="Calibri"/>
        </w:rPr>
        <w:t xml:space="preserve"> Nově je </w:t>
      </w:r>
      <w:r w:rsidR="00D80A75">
        <w:rPr>
          <w:rFonts w:ascii="Calibri" w:eastAsia="Times New Roman" w:hAnsi="Calibri" w:cs="Calibri"/>
        </w:rPr>
        <w:t xml:space="preserve">poskytováno </w:t>
      </w:r>
      <w:r w:rsidR="00664725">
        <w:rPr>
          <w:rFonts w:ascii="Calibri" w:eastAsia="Times New Roman" w:hAnsi="Calibri" w:cs="Calibri"/>
        </w:rPr>
        <w:t xml:space="preserve">také poradenství v oblasti dotačních příležitostí. </w:t>
      </w:r>
      <w:r w:rsidRPr="00CD2D54">
        <w:rPr>
          <w:rFonts w:ascii="Calibri" w:eastAsia="Times New Roman" w:hAnsi="Calibri" w:cs="Calibri"/>
        </w:rPr>
        <w:t xml:space="preserve"> </w:t>
      </w:r>
    </w:p>
    <w:p w14:paraId="2040F922" w14:textId="6171C99A" w:rsidR="00640A55" w:rsidRPr="00CD2D54" w:rsidRDefault="00F654C8" w:rsidP="007575C2">
      <w:pPr>
        <w:jc w:val="both"/>
        <w:rPr>
          <w:rFonts w:ascii="Calibri" w:eastAsia="Times New Roman" w:hAnsi="Calibri" w:cs="Calibri"/>
        </w:rPr>
      </w:pPr>
      <w:r w:rsidRPr="00CD2D54">
        <w:rPr>
          <w:rFonts w:ascii="Calibri" w:eastAsia="Times New Roman" w:hAnsi="Calibri" w:cs="Calibri"/>
        </w:rPr>
        <w:t xml:space="preserve">V rámci </w:t>
      </w:r>
      <w:proofErr w:type="spellStart"/>
      <w:r w:rsidRPr="00CD2D54">
        <w:rPr>
          <w:rFonts w:ascii="Calibri" w:eastAsia="Times New Roman" w:hAnsi="Calibri" w:cs="Calibri"/>
        </w:rPr>
        <w:t>subkomponenty</w:t>
      </w:r>
      <w:proofErr w:type="spellEnd"/>
      <w:r w:rsidRPr="00CD2D54">
        <w:rPr>
          <w:rFonts w:ascii="Calibri" w:eastAsia="Times New Roman" w:hAnsi="Calibri" w:cs="Calibri"/>
        </w:rPr>
        <w:t xml:space="preserve"> </w:t>
      </w:r>
      <w:r w:rsidRPr="00F654C8">
        <w:rPr>
          <w:rFonts w:ascii="Calibri" w:eastAsia="Times New Roman" w:hAnsi="Calibri" w:cs="Calibri"/>
          <w:b/>
          <w:bCs/>
          <w:u w:val="single"/>
        </w:rPr>
        <w:t>4</w:t>
      </w:r>
      <w:r w:rsidRP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.1</w: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.2</w:t>
      </w:r>
      <w:r w:rsidRP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Metodická podpora a modernizace veřejného zadávání</w:t>
      </w:r>
      <w:r w:rsidRPr="00F654C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b</w:t>
      </w:r>
      <w:r w:rsidR="00640A55" w:rsidRPr="00F654C8">
        <w:rPr>
          <w:rFonts w:ascii="Calibri" w:eastAsia="Times New Roman" w:hAnsi="Calibri" w:cs="Calibri"/>
        </w:rPr>
        <w:t>yla přijata</w:t>
      </w:r>
      <w:r w:rsidR="00640A55" w:rsidRPr="00CD2D54">
        <w:rPr>
          <w:rFonts w:ascii="Calibri" w:eastAsia="Times New Roman" w:hAnsi="Calibri" w:cs="Calibri"/>
          <w:b/>
          <w:bCs/>
          <w:u w:val="single"/>
        </w:rPr>
        <w:t xml:space="preserve"> Národní strategie zadávání </w:t>
      </w:r>
      <w:r>
        <w:rPr>
          <w:rFonts w:ascii="Calibri" w:eastAsia="Times New Roman" w:hAnsi="Calibri" w:cs="Calibri"/>
          <w:b/>
          <w:bCs/>
          <w:u w:val="single"/>
        </w:rPr>
        <w:t>veřejných zakázek</w:t>
      </w:r>
      <w:r w:rsidR="00640A55" w:rsidRPr="00CD2D54">
        <w:rPr>
          <w:rFonts w:ascii="Calibri" w:eastAsia="Times New Roman" w:hAnsi="Calibri" w:cs="Calibri"/>
          <w:b/>
          <w:bCs/>
          <w:u w:val="single"/>
        </w:rPr>
        <w:t>,</w:t>
      </w:r>
      <w:r w:rsidR="00640A55" w:rsidRPr="00CD2D54">
        <w:rPr>
          <w:rFonts w:ascii="Calibri" w:eastAsia="Times New Roman" w:hAnsi="Calibri" w:cs="Calibri"/>
        </w:rPr>
        <w:t xml:space="preserve"> nyní se pracuje na implementaci a podpoře schválených cílů do praxe – profesionalizace zadavatelů, udržitelnost nákupů, centralizace nákupů…, příklady </w:t>
      </w:r>
      <w:proofErr w:type="spellStart"/>
      <w:r w:rsidR="00640A55" w:rsidRPr="00CD2D54">
        <w:rPr>
          <w:rFonts w:ascii="Calibri" w:eastAsia="Times New Roman" w:hAnsi="Calibri" w:cs="Calibri"/>
        </w:rPr>
        <w:t>best</w:t>
      </w:r>
      <w:proofErr w:type="spellEnd"/>
      <w:r w:rsidR="00640A55" w:rsidRPr="00CD2D54">
        <w:rPr>
          <w:rFonts w:ascii="Calibri" w:eastAsia="Times New Roman" w:hAnsi="Calibri" w:cs="Calibri"/>
        </w:rPr>
        <w:t xml:space="preserve"> </w:t>
      </w:r>
      <w:proofErr w:type="spellStart"/>
      <w:r w:rsidR="00640A55" w:rsidRPr="00CD2D54">
        <w:rPr>
          <w:rFonts w:ascii="Calibri" w:eastAsia="Times New Roman" w:hAnsi="Calibri" w:cs="Calibri"/>
        </w:rPr>
        <w:t>practice</w:t>
      </w:r>
      <w:proofErr w:type="spellEnd"/>
      <w:r w:rsidR="00D80A75">
        <w:rPr>
          <w:rFonts w:ascii="Calibri" w:eastAsia="Times New Roman" w:hAnsi="Calibri" w:cs="Calibri"/>
        </w:rPr>
        <w:t>.</w:t>
      </w:r>
    </w:p>
    <w:p w14:paraId="0BBAB214" w14:textId="72BBDD24" w:rsidR="00E20198" w:rsidRPr="00F654C8" w:rsidRDefault="00E20198" w:rsidP="00E20198">
      <w:pPr>
        <w:spacing w:after="60"/>
        <w:jc w:val="both"/>
        <w:rPr>
          <w:rFonts w:eastAsia="Times New Roman"/>
        </w:rPr>
      </w:pPr>
      <w:proofErr w:type="spellStart"/>
      <w:r w:rsidRPr="00F654C8">
        <w:rPr>
          <w:rFonts w:eastAsia="Times New Roman"/>
        </w:rPr>
        <w:t>Subkomponenta</w:t>
      </w:r>
      <w:proofErr w:type="spellEnd"/>
      <w:r w:rsidRPr="00F654C8">
        <w:rPr>
          <w:rFonts w:eastAsia="Times New Roman"/>
        </w:rPr>
        <w:t xml:space="preserve"> </w:t>
      </w:r>
      <w:r w:rsidRPr="00F654C8">
        <w:rPr>
          <w:rFonts w:ascii="Calibri" w:eastAsia="Times New Roman" w:hAnsi="Calibri" w:cs="Calibri"/>
          <w:b/>
          <w:bCs/>
          <w:u w:val="single"/>
        </w:rPr>
        <w:t>4</w:t>
      </w:r>
      <w:r w:rsidRP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>.1.</w:t>
      </w:r>
      <w:r w:rsidRPr="00F654C8">
        <w:rPr>
          <w:rFonts w:eastAsia="Times New Roman"/>
          <w:b/>
          <w:bCs/>
          <w:color w:val="000000"/>
          <w:u w:val="single"/>
          <w:lang w:eastAsia="cs-CZ"/>
          <w14:ligatures w14:val="none"/>
        </w:rPr>
        <w:t>3</w:t>
      </w:r>
      <w:r w:rsidRPr="00F654C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cs-CZ"/>
          <w14:ligatures w14:val="none"/>
        </w:rPr>
        <w:t xml:space="preserve"> </w:t>
      </w:r>
      <w:r w:rsidRPr="00F654C8">
        <w:rPr>
          <w:rFonts w:eastAsia="Times New Roman"/>
          <w:b/>
          <w:bCs/>
          <w:color w:val="000000"/>
          <w:u w:val="single"/>
          <w:lang w:eastAsia="cs-CZ"/>
          <w14:ligatures w14:val="none"/>
        </w:rPr>
        <w:t>Finanční podpora přípravy projektů souladných s cíli EU</w:t>
      </w:r>
      <w:r w:rsidRPr="00F654C8">
        <w:rPr>
          <w:rFonts w:eastAsia="Times New Roman"/>
          <w:color w:val="000000"/>
          <w:lang w:eastAsia="cs-CZ"/>
          <w14:ligatures w14:val="none"/>
        </w:rPr>
        <w:t xml:space="preserve"> p</w:t>
      </w:r>
      <w:r w:rsidRPr="00F654C8">
        <w:rPr>
          <w:rFonts w:eastAsia="Times New Roman"/>
        </w:rPr>
        <w:t xml:space="preserve">odporuje </w:t>
      </w:r>
      <w:r w:rsidRPr="00F654C8">
        <w:rPr>
          <w:rFonts w:eastAsia="Times New Roman"/>
          <w:b/>
          <w:bCs/>
          <w:u w:val="single"/>
        </w:rPr>
        <w:t>přípravu širokého spektra projektů vedoucích ke zvýšení investic veřejných investorů</w:t>
      </w:r>
      <w:r w:rsidRPr="00F654C8">
        <w:rPr>
          <w:rFonts w:eastAsia="Times New Roman"/>
        </w:rPr>
        <w:t xml:space="preserve"> do veřejného prostoru – podpora bydlení, zkvalitňování veřejného prostranství, občanské vybavenosti, veřejných služeb</w:t>
      </w:r>
      <w:r w:rsidR="00D80A75">
        <w:rPr>
          <w:rFonts w:eastAsia="Times New Roman"/>
        </w:rPr>
        <w:t xml:space="preserve"> atp.</w:t>
      </w:r>
    </w:p>
    <w:p w14:paraId="144E5121" w14:textId="77777777" w:rsidR="00E20198" w:rsidRPr="002C0002" w:rsidRDefault="00E20198" w:rsidP="00E20198">
      <w:pPr>
        <w:pStyle w:val="Odstavecseseznamem"/>
        <w:numPr>
          <w:ilvl w:val="0"/>
          <w:numId w:val="6"/>
        </w:numPr>
        <w:spacing w:after="60"/>
        <w:ind w:left="714" w:hanging="357"/>
        <w:jc w:val="both"/>
        <w:rPr>
          <w:rFonts w:eastAsia="Times New Roman"/>
        </w:rPr>
      </w:pPr>
      <w:r w:rsidRPr="002C0002">
        <w:rPr>
          <w:rFonts w:eastAsia="Times New Roman"/>
        </w:rPr>
        <w:t xml:space="preserve">Na podporu přípravy projektů je zde </w:t>
      </w:r>
      <w:r w:rsidRPr="002C0002">
        <w:rPr>
          <w:rFonts w:eastAsia="Times New Roman"/>
          <w:b/>
          <w:bCs/>
          <w:u w:val="single"/>
        </w:rPr>
        <w:t>alokováno celkem 1,420 miliardy Kč.</w:t>
      </w:r>
      <w:r w:rsidRPr="002C0002">
        <w:rPr>
          <w:rFonts w:eastAsia="Times New Roman"/>
        </w:rPr>
        <w:t xml:space="preserve"> </w:t>
      </w:r>
    </w:p>
    <w:p w14:paraId="1B8B2ABE" w14:textId="69911349" w:rsidR="00E20198" w:rsidRPr="002C0002" w:rsidRDefault="00E20198" w:rsidP="00E20198">
      <w:pPr>
        <w:pStyle w:val="Odstavecseseznamem"/>
        <w:numPr>
          <w:ilvl w:val="0"/>
          <w:numId w:val="6"/>
        </w:numPr>
        <w:spacing w:after="60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  <w:u w:val="single"/>
        </w:rPr>
        <w:t xml:space="preserve">Do této chvíle bylo </w:t>
      </w:r>
      <w:r w:rsidRPr="002C0002">
        <w:rPr>
          <w:rFonts w:eastAsia="Times New Roman"/>
          <w:b/>
          <w:bCs/>
          <w:u w:val="single"/>
        </w:rPr>
        <w:t>vyhlášen</w:t>
      </w:r>
      <w:r>
        <w:rPr>
          <w:rFonts w:eastAsia="Times New Roman"/>
          <w:b/>
          <w:bCs/>
          <w:u w:val="single"/>
        </w:rPr>
        <w:t>o</w:t>
      </w:r>
      <w:r w:rsidRPr="002C0002">
        <w:rPr>
          <w:rFonts w:eastAsia="Times New Roman"/>
          <w:b/>
          <w:bCs/>
          <w:u w:val="single"/>
        </w:rPr>
        <w:t xml:space="preserve"> </w:t>
      </w:r>
      <w:r>
        <w:rPr>
          <w:rFonts w:eastAsia="Times New Roman"/>
          <w:b/>
          <w:bCs/>
          <w:u w:val="single"/>
        </w:rPr>
        <w:t>celkem pět</w:t>
      </w:r>
      <w:r w:rsidRPr="002C0002">
        <w:rPr>
          <w:rFonts w:eastAsia="Times New Roman"/>
          <w:b/>
          <w:bCs/>
          <w:u w:val="single"/>
        </w:rPr>
        <w:t xml:space="preserve"> výz</w:t>
      </w:r>
      <w:r>
        <w:rPr>
          <w:rFonts w:eastAsia="Times New Roman"/>
          <w:b/>
          <w:bCs/>
          <w:u w:val="single"/>
        </w:rPr>
        <w:t>ev</w:t>
      </w:r>
      <w:r w:rsidRPr="002C0002">
        <w:rPr>
          <w:rFonts w:eastAsia="Times New Roman"/>
        </w:rPr>
        <w:t xml:space="preserve"> (bytové projekty, velké projekty a malé projekty</w:t>
      </w:r>
      <w:r>
        <w:rPr>
          <w:rFonts w:eastAsia="Times New Roman"/>
        </w:rPr>
        <w:t xml:space="preserve">, malé projekty </w:t>
      </w:r>
      <w:r w:rsidRPr="002C0002">
        <w:rPr>
          <w:rFonts w:eastAsia="Times New Roman"/>
        </w:rPr>
        <w:t>pro podporu projektů v</w:t>
      </w:r>
      <w:r>
        <w:rPr>
          <w:rFonts w:eastAsia="Times New Roman"/>
        </w:rPr>
        <w:t> </w:t>
      </w:r>
      <w:r w:rsidRPr="002C0002">
        <w:rPr>
          <w:rFonts w:eastAsia="Times New Roman"/>
        </w:rPr>
        <w:t>realizaci</w:t>
      </w:r>
      <w:r>
        <w:rPr>
          <w:rFonts w:eastAsia="Times New Roman"/>
        </w:rPr>
        <w:t xml:space="preserve"> a </w:t>
      </w:r>
      <w:r w:rsidR="00664725">
        <w:rPr>
          <w:rFonts w:eastAsia="Times New Roman"/>
        </w:rPr>
        <w:t>p</w:t>
      </w:r>
      <w:r>
        <w:t>říprava projektů dostupného (vč. sociálního) a udržitelného nájemního bydlení</w:t>
      </w:r>
      <w:r w:rsidRPr="002C0002">
        <w:rPr>
          <w:rFonts w:eastAsia="Times New Roman"/>
        </w:rPr>
        <w:t>)</w:t>
      </w:r>
      <w:r w:rsidR="00664725">
        <w:rPr>
          <w:rFonts w:eastAsia="Times New Roman"/>
        </w:rPr>
        <w:t>)</w:t>
      </w:r>
      <w:r w:rsidRPr="002C0002">
        <w:rPr>
          <w:rFonts w:eastAsia="Times New Roman"/>
        </w:rPr>
        <w:t xml:space="preserve">. </w:t>
      </w:r>
    </w:p>
    <w:p w14:paraId="44F38700" w14:textId="4C011EA8" w:rsidR="00E20198" w:rsidRDefault="00E20198" w:rsidP="00E20198">
      <w:pPr>
        <w:pStyle w:val="Odstavecseseznamem"/>
        <w:numPr>
          <w:ilvl w:val="0"/>
          <w:numId w:val="6"/>
        </w:numPr>
        <w:spacing w:after="60"/>
        <w:ind w:left="714" w:hanging="357"/>
        <w:jc w:val="both"/>
        <w:rPr>
          <w:rFonts w:eastAsia="Times New Roman"/>
        </w:rPr>
      </w:pPr>
      <w:r>
        <w:rPr>
          <w:rFonts w:eastAsia="Times New Roman"/>
          <w:b/>
          <w:bCs/>
          <w:u w:val="single"/>
        </w:rPr>
        <w:t xml:space="preserve">Čtyři výzvy </w:t>
      </w:r>
      <w:r w:rsidR="00664725">
        <w:rPr>
          <w:rFonts w:eastAsia="Times New Roman"/>
          <w:b/>
          <w:bCs/>
          <w:u w:val="single"/>
        </w:rPr>
        <w:t xml:space="preserve">již byly </w:t>
      </w:r>
      <w:r w:rsidRPr="002C0002">
        <w:rPr>
          <w:rFonts w:eastAsia="Times New Roman"/>
          <w:b/>
          <w:bCs/>
          <w:u w:val="single"/>
        </w:rPr>
        <w:t>uzavřen</w:t>
      </w:r>
      <w:r>
        <w:rPr>
          <w:rFonts w:eastAsia="Times New Roman"/>
          <w:b/>
          <w:bCs/>
          <w:u w:val="single"/>
        </w:rPr>
        <w:t>y</w:t>
      </w:r>
      <w:r w:rsidR="00664725">
        <w:rPr>
          <w:rFonts w:eastAsia="Times New Roman"/>
          <w:b/>
          <w:bCs/>
          <w:u w:val="single"/>
        </w:rPr>
        <w:t xml:space="preserve">: </w:t>
      </w:r>
      <w:r w:rsidRPr="002C0002">
        <w:rPr>
          <w:rFonts w:eastAsia="Times New Roman"/>
        </w:rPr>
        <w:t xml:space="preserve"> </w:t>
      </w:r>
    </w:p>
    <w:p w14:paraId="4D8EEBE2" w14:textId="420967D5" w:rsidR="00E20198" w:rsidRPr="00B35F1F" w:rsidRDefault="00E20198" w:rsidP="00E20198">
      <w:pPr>
        <w:pStyle w:val="Odstavecseseznamem"/>
        <w:numPr>
          <w:ilvl w:val="0"/>
          <w:numId w:val="13"/>
        </w:numPr>
        <w:spacing w:after="60"/>
        <w:jc w:val="both"/>
        <w:rPr>
          <w:rFonts w:eastAsia="Times New Roman"/>
          <w:u w:val="single"/>
        </w:rPr>
      </w:pPr>
      <w:r w:rsidRPr="00B35F1F">
        <w:rPr>
          <w:rFonts w:eastAsia="Times New Roman"/>
          <w:u w:val="single"/>
        </w:rPr>
        <w:t>1. výzva na bytové projekty</w:t>
      </w:r>
      <w:r>
        <w:rPr>
          <w:rFonts w:eastAsia="Times New Roman"/>
        </w:rPr>
        <w:t xml:space="preserve"> – </w:t>
      </w:r>
      <w:r w:rsidRPr="00101AE9">
        <w:rPr>
          <w:rFonts w:eastAsia="Times New Roman"/>
        </w:rPr>
        <w:t xml:space="preserve">podpořeno </w:t>
      </w:r>
      <w:r w:rsidRPr="00E64ABD">
        <w:rPr>
          <w:rFonts w:eastAsia="Times New Roman"/>
          <w:b/>
          <w:bCs/>
        </w:rPr>
        <w:t>72 projektů za 150 mil. Kč</w:t>
      </w:r>
      <w:r w:rsidR="00E64ABD">
        <w:rPr>
          <w:rFonts w:eastAsia="Times New Roman"/>
          <w:b/>
          <w:bCs/>
        </w:rPr>
        <w:t>,</w:t>
      </w:r>
      <w:r w:rsidR="00E64ABD">
        <w:rPr>
          <w:rFonts w:eastAsia="Times New Roman"/>
        </w:rPr>
        <w:t xml:space="preserve"> celkem bylo podáno 157 projektů v hodnotě 528 mil Kč;</w:t>
      </w:r>
    </w:p>
    <w:p w14:paraId="7EFC119E" w14:textId="5D0AF15E" w:rsidR="00E20198" w:rsidRPr="00B35F1F" w:rsidRDefault="00E20198" w:rsidP="00E20198">
      <w:pPr>
        <w:pStyle w:val="Odstavecseseznamem"/>
        <w:numPr>
          <w:ilvl w:val="0"/>
          <w:numId w:val="13"/>
        </w:numPr>
        <w:spacing w:after="60"/>
        <w:jc w:val="both"/>
        <w:rPr>
          <w:rFonts w:eastAsia="Times New Roman"/>
          <w:u w:val="single"/>
        </w:rPr>
      </w:pPr>
      <w:r w:rsidRPr="00B35F1F">
        <w:rPr>
          <w:rFonts w:eastAsia="Times New Roman"/>
          <w:u w:val="single"/>
        </w:rPr>
        <w:t xml:space="preserve">2. výzva na velké projekty </w:t>
      </w:r>
      <w:r w:rsidRPr="00DA0BAB">
        <w:rPr>
          <w:rFonts w:eastAsia="Times New Roman"/>
        </w:rPr>
        <w:t>– uzavřena 31.</w:t>
      </w:r>
      <w:r w:rsidR="00D80A75">
        <w:rPr>
          <w:rFonts w:eastAsia="Times New Roman"/>
        </w:rPr>
        <w:t xml:space="preserve"> </w:t>
      </w:r>
      <w:r w:rsidRPr="00DA0BAB">
        <w:rPr>
          <w:rFonts w:eastAsia="Times New Roman"/>
        </w:rPr>
        <w:t>5. 2024</w:t>
      </w:r>
      <w:r w:rsidR="00D80A75">
        <w:rPr>
          <w:rFonts w:eastAsia="Times New Roman"/>
        </w:rPr>
        <w:t xml:space="preserve"> </w:t>
      </w:r>
      <w:r>
        <w:rPr>
          <w:rFonts w:eastAsia="Times New Roman"/>
        </w:rPr>
        <w:t>–</w:t>
      </w:r>
      <w:r w:rsidR="00D80A75">
        <w:rPr>
          <w:rFonts w:eastAsia="Times New Roman"/>
        </w:rPr>
        <w:t xml:space="preserve"> </w:t>
      </w:r>
      <w:r>
        <w:rPr>
          <w:rFonts w:eastAsia="Times New Roman"/>
        </w:rPr>
        <w:t>v</w:t>
      </w:r>
      <w:r w:rsidRPr="00DA0BAB">
        <w:rPr>
          <w:rFonts w:eastAsia="Times New Roman"/>
        </w:rPr>
        <w:t xml:space="preserve"> současné chvíli probíhá hodnocení </w:t>
      </w:r>
      <w:r w:rsidR="00D80A75">
        <w:rPr>
          <w:rFonts w:eastAsia="Times New Roman"/>
        </w:rPr>
        <w:t xml:space="preserve">posledních žádostí </w:t>
      </w:r>
      <w:r w:rsidRPr="00DA0BAB">
        <w:rPr>
          <w:rFonts w:eastAsia="Times New Roman"/>
        </w:rPr>
        <w:t xml:space="preserve">a výběr </w:t>
      </w:r>
      <w:r w:rsidR="00D80A75">
        <w:rPr>
          <w:rFonts w:eastAsia="Times New Roman"/>
        </w:rPr>
        <w:t xml:space="preserve">doporučených </w:t>
      </w:r>
      <w:r w:rsidRPr="00DA0BAB">
        <w:rPr>
          <w:rFonts w:eastAsia="Times New Roman"/>
        </w:rPr>
        <w:t>projektů ze strany R</w:t>
      </w:r>
      <w:r w:rsidR="00D80A75">
        <w:rPr>
          <w:rFonts w:eastAsia="Times New Roman"/>
        </w:rPr>
        <w:t>egionálních stálých konferencí</w:t>
      </w:r>
      <w:r w:rsidRPr="00DA0BAB">
        <w:rPr>
          <w:rFonts w:eastAsia="Times New Roman"/>
        </w:rPr>
        <w:t xml:space="preserve"> (celkem podáno 74 projektů</w:t>
      </w:r>
      <w:r w:rsidR="00664725">
        <w:rPr>
          <w:rFonts w:eastAsia="Times New Roman"/>
        </w:rPr>
        <w:t xml:space="preserve"> v celkové hodnotě</w:t>
      </w:r>
      <w:r w:rsidR="00E64ABD">
        <w:rPr>
          <w:rFonts w:eastAsia="Times New Roman"/>
        </w:rPr>
        <w:t xml:space="preserve"> 1,4 mld Kč</w:t>
      </w:r>
      <w:r w:rsidRPr="00DA0BAB">
        <w:rPr>
          <w:rFonts w:eastAsia="Times New Roman"/>
        </w:rPr>
        <w:t>)</w:t>
      </w:r>
      <w:r w:rsidR="00664725">
        <w:rPr>
          <w:rFonts w:eastAsia="Times New Roman"/>
        </w:rPr>
        <w:t>;</w:t>
      </w:r>
    </w:p>
    <w:p w14:paraId="273CD668" w14:textId="63F127F8" w:rsidR="00E20198" w:rsidRPr="00B35F1F" w:rsidRDefault="00E20198" w:rsidP="00E20198">
      <w:pPr>
        <w:pStyle w:val="Odstavecseseznamem"/>
        <w:numPr>
          <w:ilvl w:val="0"/>
          <w:numId w:val="13"/>
        </w:numPr>
        <w:spacing w:after="60"/>
        <w:jc w:val="both"/>
        <w:rPr>
          <w:rFonts w:eastAsia="Times New Roman"/>
          <w:u w:val="single"/>
        </w:rPr>
      </w:pPr>
      <w:r w:rsidRPr="00B35F1F">
        <w:rPr>
          <w:rFonts w:eastAsia="Times New Roman"/>
          <w:u w:val="single"/>
        </w:rPr>
        <w:t xml:space="preserve">3. výzva na malé projekty </w:t>
      </w:r>
      <w:r>
        <w:rPr>
          <w:rFonts w:eastAsia="Times New Roman"/>
        </w:rPr>
        <w:t>– uzavřena</w:t>
      </w:r>
      <w:r w:rsidRPr="00101AE9">
        <w:rPr>
          <w:rFonts w:eastAsia="Times New Roman"/>
        </w:rPr>
        <w:t xml:space="preserve"> 15. 3. 2024 – velký zájem žadatelů, celkem podáno 391 žádostí v celkové hodnotě cca 831 mil. Kč</w:t>
      </w:r>
      <w:r>
        <w:rPr>
          <w:rFonts w:eastAsia="Times New Roman"/>
        </w:rPr>
        <w:t xml:space="preserve"> – </w:t>
      </w:r>
      <w:r w:rsidRPr="00E64ABD">
        <w:rPr>
          <w:rFonts w:eastAsia="Times New Roman"/>
          <w:b/>
          <w:bCs/>
        </w:rPr>
        <w:t>podpořeno celkem 140 projektů za 300 mil. Kč</w:t>
      </w:r>
      <w:r w:rsidR="00E64ABD">
        <w:rPr>
          <w:rFonts w:eastAsia="Times New Roman"/>
          <w:b/>
          <w:bCs/>
        </w:rPr>
        <w:t>;</w:t>
      </w:r>
    </w:p>
    <w:p w14:paraId="63FA1EEF" w14:textId="08DABFA1" w:rsidR="00E20198" w:rsidRPr="00B35F1F" w:rsidRDefault="00E20198" w:rsidP="00E20198">
      <w:pPr>
        <w:pStyle w:val="Odstavecseseznamem"/>
        <w:numPr>
          <w:ilvl w:val="0"/>
          <w:numId w:val="13"/>
        </w:numPr>
        <w:spacing w:after="60"/>
        <w:jc w:val="both"/>
        <w:rPr>
          <w:rFonts w:eastAsia="Times New Roman"/>
        </w:rPr>
      </w:pPr>
      <w:r w:rsidRPr="00B35F1F">
        <w:rPr>
          <w:rFonts w:eastAsia="Times New Roman"/>
          <w:u w:val="single"/>
        </w:rPr>
        <w:t>4. výzv</w:t>
      </w:r>
      <w:r>
        <w:rPr>
          <w:rFonts w:eastAsia="Times New Roman"/>
          <w:u w:val="single"/>
        </w:rPr>
        <w:t>a</w:t>
      </w:r>
      <w:r w:rsidRPr="00B35F1F">
        <w:rPr>
          <w:rFonts w:eastAsia="Times New Roman"/>
          <w:u w:val="single"/>
        </w:rPr>
        <w:t xml:space="preserve"> na malé projekty předložen</w:t>
      </w:r>
      <w:r w:rsidR="00D80A75">
        <w:rPr>
          <w:rFonts w:eastAsia="Times New Roman"/>
          <w:u w:val="single"/>
        </w:rPr>
        <w:t xml:space="preserve">é </w:t>
      </w:r>
      <w:r w:rsidRPr="00B35F1F">
        <w:rPr>
          <w:rFonts w:eastAsia="Times New Roman"/>
          <w:u w:val="single"/>
        </w:rPr>
        <w:t>do výzev</w:t>
      </w:r>
      <w:r w:rsidR="00D80A75">
        <w:rPr>
          <w:rFonts w:eastAsia="Times New Roman"/>
          <w:u w:val="single"/>
        </w:rPr>
        <w:t xml:space="preserve"> k realizaci</w:t>
      </w:r>
      <w:r>
        <w:rPr>
          <w:rFonts w:eastAsia="Times New Roman"/>
        </w:rPr>
        <w:t xml:space="preserve"> – uzavřena</w:t>
      </w:r>
      <w:r w:rsidRPr="002B7FAD">
        <w:rPr>
          <w:rFonts w:eastAsia="Times New Roman"/>
        </w:rPr>
        <w:t xml:space="preserve"> 28. 6. 2024 – celkem </w:t>
      </w:r>
      <w:r w:rsidRPr="00E64ABD">
        <w:rPr>
          <w:rFonts w:eastAsia="Times New Roman"/>
          <w:b/>
          <w:bCs/>
        </w:rPr>
        <w:t>podpořeno 40 projektů za 20,1 mil. Kč</w:t>
      </w:r>
      <w:r>
        <w:rPr>
          <w:rFonts w:eastAsia="Times New Roman"/>
        </w:rPr>
        <w:t xml:space="preserve"> (realizace projektů ukončena – probíhá proces </w:t>
      </w:r>
      <w:r w:rsidR="00D80A75">
        <w:rPr>
          <w:rFonts w:eastAsia="Times New Roman"/>
        </w:rPr>
        <w:t>proplácení</w:t>
      </w:r>
      <w:r>
        <w:rPr>
          <w:rFonts w:eastAsia="Times New Roman"/>
        </w:rPr>
        <w:t xml:space="preserve"> projektů)</w:t>
      </w:r>
    </w:p>
    <w:p w14:paraId="0D8197C9" w14:textId="419EA8DB" w:rsidR="00E20198" w:rsidRDefault="00E20198" w:rsidP="00E20198">
      <w:pPr>
        <w:pStyle w:val="Odstavecseseznamem"/>
        <w:numPr>
          <w:ilvl w:val="0"/>
          <w:numId w:val="6"/>
        </w:numPr>
        <w:spacing w:after="60"/>
        <w:ind w:left="714" w:hanging="357"/>
        <w:jc w:val="both"/>
        <w:rPr>
          <w:rFonts w:eastAsia="Times New Roman"/>
        </w:rPr>
      </w:pPr>
      <w:r w:rsidRPr="00DA0BAB">
        <w:rPr>
          <w:rFonts w:eastAsia="Times New Roman"/>
          <w:u w:val="single"/>
        </w:rPr>
        <w:t xml:space="preserve"> </w:t>
      </w:r>
      <w:r w:rsidR="00D80A75">
        <w:rPr>
          <w:rFonts w:eastAsia="Times New Roman"/>
          <w:b/>
          <w:bCs/>
          <w:u w:val="single"/>
        </w:rPr>
        <w:t>Otevřena je nadále</w:t>
      </w:r>
      <w:r>
        <w:rPr>
          <w:rFonts w:eastAsia="Times New Roman"/>
          <w:b/>
          <w:bCs/>
          <w:u w:val="single"/>
        </w:rPr>
        <w:t xml:space="preserve"> </w:t>
      </w:r>
      <w:r w:rsidRPr="00DA0BAB">
        <w:rPr>
          <w:rFonts w:eastAsia="Times New Roman"/>
          <w:b/>
          <w:bCs/>
          <w:u w:val="single"/>
        </w:rPr>
        <w:t>5. výzva</w:t>
      </w:r>
      <w:r w:rsidRPr="00DA0BAB">
        <w:rPr>
          <w:rFonts w:eastAsia="Times New Roman"/>
        </w:rPr>
        <w:t xml:space="preserve"> – </w:t>
      </w:r>
      <w:r w:rsidR="00E64ABD">
        <w:rPr>
          <w:rFonts w:eastAsia="Times New Roman"/>
        </w:rPr>
        <w:t xml:space="preserve">otevřena do 30. 10. 2024; </w:t>
      </w:r>
      <w:r w:rsidRPr="00DA0BAB">
        <w:rPr>
          <w:rFonts w:eastAsia="Times New Roman"/>
        </w:rPr>
        <w:t>podpora přípravy projektů pro dostupné nájemní bydlení</w:t>
      </w:r>
      <w:r w:rsidR="00E64ABD">
        <w:rPr>
          <w:rFonts w:eastAsia="Times New Roman"/>
        </w:rPr>
        <w:t xml:space="preserve"> </w:t>
      </w:r>
      <w:r w:rsidRPr="00DA0BAB">
        <w:rPr>
          <w:rFonts w:eastAsia="Times New Roman"/>
        </w:rPr>
        <w:t xml:space="preserve">– alokace 400 mil. Kč </w:t>
      </w:r>
      <w:r>
        <w:rPr>
          <w:rFonts w:eastAsia="Times New Roman"/>
        </w:rPr>
        <w:t>(</w:t>
      </w:r>
      <w:r w:rsidRPr="00DA0BAB">
        <w:rPr>
          <w:rFonts w:eastAsia="Times New Roman"/>
        </w:rPr>
        <w:t xml:space="preserve">probíhá příjem </w:t>
      </w:r>
      <w:r>
        <w:rPr>
          <w:rFonts w:eastAsia="Times New Roman"/>
        </w:rPr>
        <w:t xml:space="preserve">a formální hodnocení </w:t>
      </w:r>
      <w:r w:rsidRPr="00DA0BAB">
        <w:rPr>
          <w:rFonts w:eastAsia="Times New Roman"/>
        </w:rPr>
        <w:t>žádostí</w:t>
      </w:r>
      <w:r>
        <w:rPr>
          <w:rFonts w:eastAsia="Times New Roman"/>
        </w:rPr>
        <w:t>)</w:t>
      </w:r>
      <w:r w:rsidR="00D80A75">
        <w:rPr>
          <w:rFonts w:eastAsia="Times New Roman"/>
        </w:rPr>
        <w:t>, aktuální stav požadavků ve výzvě lze sledovat na webových stránkách MMR</w:t>
      </w:r>
      <w:r w:rsidR="00E64ABD">
        <w:rPr>
          <w:rFonts w:eastAsia="Times New Roman"/>
        </w:rPr>
        <w:t>;</w:t>
      </w:r>
    </w:p>
    <w:p w14:paraId="4553EFF7" w14:textId="3FD0874C" w:rsidR="00E20198" w:rsidRPr="002C0002" w:rsidRDefault="00E20198" w:rsidP="00E20198">
      <w:pPr>
        <w:pStyle w:val="Odstavecseseznamem"/>
        <w:numPr>
          <w:ilvl w:val="0"/>
          <w:numId w:val="6"/>
        </w:numPr>
        <w:spacing w:after="120"/>
        <w:ind w:left="714" w:hanging="357"/>
        <w:jc w:val="both"/>
        <w:rPr>
          <w:rFonts w:eastAsia="Times New Roman"/>
        </w:rPr>
      </w:pPr>
      <w:r w:rsidRPr="002C0002">
        <w:rPr>
          <w:rFonts w:eastAsia="Times New Roman"/>
        </w:rPr>
        <w:t xml:space="preserve">K aktivitám, které je možné v rámci výzev realizovat, </w:t>
      </w:r>
      <w:proofErr w:type="gramStart"/>
      <w:r w:rsidRPr="002C0002">
        <w:rPr>
          <w:rFonts w:eastAsia="Times New Roman"/>
        </w:rPr>
        <w:t>patří</w:t>
      </w:r>
      <w:proofErr w:type="gramEnd"/>
      <w:r w:rsidRPr="002C0002">
        <w:rPr>
          <w:rFonts w:eastAsia="Times New Roman"/>
        </w:rPr>
        <w:t xml:space="preserve"> zejména </w:t>
      </w:r>
      <w:r w:rsidRPr="002C0002">
        <w:rPr>
          <w:rFonts w:eastAsia="Times New Roman"/>
          <w:b/>
          <w:bCs/>
        </w:rPr>
        <w:t>příprava projektové dokumentace ve všech jejích fázích, dále zpracování architektonické studie nebo studie proveditelnosti, příprava soutěžní dokumentace a architektonické soutěže, příprava PPP smluv</w:t>
      </w:r>
      <w:r w:rsidRPr="002C0002">
        <w:rPr>
          <w:rFonts w:eastAsia="Times New Roman"/>
        </w:rPr>
        <w:t xml:space="preserve"> apod. Podporovány jsou tak aktivity, které eliminují prodlevu přípravných prací a</w:t>
      </w:r>
      <w:r w:rsidR="00D80A75">
        <w:rPr>
          <w:rFonts w:eastAsia="Times New Roman"/>
        </w:rPr>
        <w:t> </w:t>
      </w:r>
      <w:r w:rsidRPr="002C0002">
        <w:rPr>
          <w:rFonts w:eastAsia="Times New Roman"/>
        </w:rPr>
        <w:t xml:space="preserve">motivují veřejné investory k přípravě kvalitních projektů. </w:t>
      </w:r>
    </w:p>
    <w:p w14:paraId="71B9F691" w14:textId="023B7A9B" w:rsidR="00362740" w:rsidRPr="00CD2D54" w:rsidRDefault="00F654C8" w:rsidP="007575C2">
      <w:pPr>
        <w:jc w:val="both"/>
        <w:rPr>
          <w:rFonts w:ascii="Calibri" w:hAnsi="Calibri" w:cs="Calibri"/>
        </w:rPr>
      </w:pPr>
      <w:proofErr w:type="spellStart"/>
      <w:r w:rsidRPr="00F654C8">
        <w:rPr>
          <w:rFonts w:ascii="Calibri" w:hAnsi="Calibri" w:cs="Calibri"/>
        </w:rPr>
        <w:t>Subkomponenta</w:t>
      </w:r>
      <w:proofErr w:type="spellEnd"/>
      <w:r w:rsidRPr="00F654C8">
        <w:rPr>
          <w:rFonts w:ascii="Calibri" w:hAnsi="Calibri" w:cs="Calibri"/>
          <w:b/>
          <w:bCs/>
          <w:u w:val="single"/>
        </w:rPr>
        <w:t xml:space="preserve"> 4.1.4 Zefektivnění a posílení implementace NPO</w:t>
      </w:r>
      <w:r>
        <w:rPr>
          <w:rFonts w:ascii="Calibri" w:hAnsi="Calibri" w:cs="Calibri"/>
        </w:rPr>
        <w:t xml:space="preserve"> spočívá v z</w:t>
      </w:r>
      <w:r w:rsidR="00F739A7" w:rsidRPr="00CD2D54">
        <w:rPr>
          <w:rFonts w:ascii="Calibri" w:hAnsi="Calibri" w:cs="Calibri"/>
        </w:rPr>
        <w:t>ajištění</w:t>
      </w:r>
      <w:r w:rsidR="002C0002">
        <w:rPr>
          <w:rFonts w:ascii="Calibri" w:hAnsi="Calibri" w:cs="Calibri"/>
        </w:rPr>
        <w:t xml:space="preserve"> administrace a</w:t>
      </w:r>
      <w:r w:rsidR="00D80A75">
        <w:rPr>
          <w:rFonts w:ascii="Calibri" w:hAnsi="Calibri" w:cs="Calibri"/>
        </w:rPr>
        <w:t> </w:t>
      </w:r>
      <w:r w:rsidR="002C0002">
        <w:rPr>
          <w:rFonts w:ascii="Calibri" w:hAnsi="Calibri" w:cs="Calibri"/>
        </w:rPr>
        <w:t xml:space="preserve">implementace NPO – zajištění </w:t>
      </w:r>
      <w:r w:rsidR="00F739A7" w:rsidRPr="00CD2D54">
        <w:rPr>
          <w:rFonts w:ascii="Calibri" w:hAnsi="Calibri" w:cs="Calibri"/>
        </w:rPr>
        <w:t>personálních kapacit</w:t>
      </w:r>
      <w:r w:rsidR="002C0002">
        <w:rPr>
          <w:rFonts w:ascii="Calibri" w:hAnsi="Calibri" w:cs="Calibri"/>
        </w:rPr>
        <w:t>, informačních systémů, mediální kampaně na</w:t>
      </w:r>
      <w:r w:rsidR="00D80A75">
        <w:rPr>
          <w:rFonts w:ascii="Calibri" w:hAnsi="Calibri" w:cs="Calibri"/>
        </w:rPr>
        <w:t> </w:t>
      </w:r>
      <w:r w:rsidR="002C0002">
        <w:rPr>
          <w:rFonts w:ascii="Calibri" w:hAnsi="Calibri" w:cs="Calibri"/>
        </w:rPr>
        <w:t xml:space="preserve">podporu NPO). </w:t>
      </w:r>
      <w:r w:rsidR="00F739A7" w:rsidRPr="00CD2D54">
        <w:rPr>
          <w:rFonts w:ascii="Calibri" w:hAnsi="Calibri" w:cs="Calibri"/>
        </w:rPr>
        <w:t xml:space="preserve"> </w:t>
      </w:r>
    </w:p>
    <w:sectPr w:rsidR="00362740" w:rsidRPr="00CD2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A1D21"/>
    <w:multiLevelType w:val="hybridMultilevel"/>
    <w:tmpl w:val="F6C21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7AD9"/>
    <w:multiLevelType w:val="hybridMultilevel"/>
    <w:tmpl w:val="3ADEB38E"/>
    <w:lvl w:ilvl="0" w:tplc="E418EB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32352C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E5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C61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C6AF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8EB7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EDD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0630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8B3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279"/>
    <w:multiLevelType w:val="hybridMultilevel"/>
    <w:tmpl w:val="B1C0B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DA561"/>
    <w:multiLevelType w:val="hybridMultilevel"/>
    <w:tmpl w:val="36BE920C"/>
    <w:lvl w:ilvl="0" w:tplc="587020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4A1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AB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46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2C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3A6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E7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0C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41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259E"/>
    <w:multiLevelType w:val="multilevel"/>
    <w:tmpl w:val="AA70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C2310"/>
    <w:multiLevelType w:val="multilevel"/>
    <w:tmpl w:val="A8B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D461C"/>
    <w:multiLevelType w:val="multilevel"/>
    <w:tmpl w:val="DB3E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B7EFB"/>
    <w:multiLevelType w:val="hybridMultilevel"/>
    <w:tmpl w:val="762CF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D0754"/>
    <w:multiLevelType w:val="hybridMultilevel"/>
    <w:tmpl w:val="BC5209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919E6"/>
    <w:multiLevelType w:val="hybridMultilevel"/>
    <w:tmpl w:val="1562BAC6"/>
    <w:lvl w:ilvl="0" w:tplc="370069B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D4445"/>
    <w:multiLevelType w:val="multilevel"/>
    <w:tmpl w:val="9E5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729B6"/>
    <w:multiLevelType w:val="hybridMultilevel"/>
    <w:tmpl w:val="AB846960"/>
    <w:lvl w:ilvl="0" w:tplc="370069B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B3603"/>
    <w:multiLevelType w:val="hybridMultilevel"/>
    <w:tmpl w:val="7F00B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04750"/>
    <w:multiLevelType w:val="hybridMultilevel"/>
    <w:tmpl w:val="09F43994"/>
    <w:lvl w:ilvl="0" w:tplc="4350D6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616B0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283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AF9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5A9C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747F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DCAB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0A08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AD7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8044C"/>
    <w:multiLevelType w:val="hybridMultilevel"/>
    <w:tmpl w:val="B62A0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F1640"/>
    <w:multiLevelType w:val="hybridMultilevel"/>
    <w:tmpl w:val="91ACD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6E46"/>
    <w:multiLevelType w:val="hybridMultilevel"/>
    <w:tmpl w:val="811EBD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7A0C07"/>
    <w:multiLevelType w:val="hybridMultilevel"/>
    <w:tmpl w:val="3A121A68"/>
    <w:lvl w:ilvl="0" w:tplc="370069B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5BBD"/>
    <w:multiLevelType w:val="hybridMultilevel"/>
    <w:tmpl w:val="B6D47ACC"/>
    <w:lvl w:ilvl="0" w:tplc="ADA8B4BA"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78E405B0"/>
    <w:multiLevelType w:val="hybridMultilevel"/>
    <w:tmpl w:val="159EBFA8"/>
    <w:lvl w:ilvl="0" w:tplc="17BA8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8516">
    <w:abstractNumId w:val="3"/>
  </w:num>
  <w:num w:numId="2" w16cid:durableId="699553741">
    <w:abstractNumId w:val="9"/>
  </w:num>
  <w:num w:numId="3" w16cid:durableId="1964193632">
    <w:abstractNumId w:val="9"/>
  </w:num>
  <w:num w:numId="4" w16cid:durableId="1742169691">
    <w:abstractNumId w:val="17"/>
  </w:num>
  <w:num w:numId="5" w16cid:durableId="270091340">
    <w:abstractNumId w:val="11"/>
  </w:num>
  <w:num w:numId="6" w16cid:durableId="1689525597">
    <w:abstractNumId w:val="2"/>
  </w:num>
  <w:num w:numId="7" w16cid:durableId="1915387127">
    <w:abstractNumId w:val="16"/>
  </w:num>
  <w:num w:numId="8" w16cid:durableId="1895964001">
    <w:abstractNumId w:val="6"/>
  </w:num>
  <w:num w:numId="9" w16cid:durableId="1003633278">
    <w:abstractNumId w:val="5"/>
  </w:num>
  <w:num w:numId="10" w16cid:durableId="1139298282">
    <w:abstractNumId w:val="10"/>
  </w:num>
  <w:num w:numId="11" w16cid:durableId="2020499709">
    <w:abstractNumId w:val="4"/>
  </w:num>
  <w:num w:numId="12" w16cid:durableId="568543442">
    <w:abstractNumId w:val="19"/>
  </w:num>
  <w:num w:numId="13" w16cid:durableId="967012127">
    <w:abstractNumId w:val="18"/>
  </w:num>
  <w:num w:numId="14" w16cid:durableId="995914358">
    <w:abstractNumId w:val="14"/>
  </w:num>
  <w:num w:numId="15" w16cid:durableId="586961918">
    <w:abstractNumId w:val="15"/>
  </w:num>
  <w:num w:numId="16" w16cid:durableId="1105880122">
    <w:abstractNumId w:val="8"/>
  </w:num>
  <w:num w:numId="17" w16cid:durableId="1280645035">
    <w:abstractNumId w:val="12"/>
  </w:num>
  <w:num w:numId="18" w16cid:durableId="716777231">
    <w:abstractNumId w:val="1"/>
  </w:num>
  <w:num w:numId="19" w16cid:durableId="1215045445">
    <w:abstractNumId w:val="7"/>
  </w:num>
  <w:num w:numId="20" w16cid:durableId="1370491725">
    <w:abstractNumId w:val="13"/>
  </w:num>
  <w:num w:numId="21" w16cid:durableId="129571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C2"/>
    <w:rsid w:val="001234BE"/>
    <w:rsid w:val="00207000"/>
    <w:rsid w:val="002703E1"/>
    <w:rsid w:val="002B6BCB"/>
    <w:rsid w:val="002C0002"/>
    <w:rsid w:val="002E34C9"/>
    <w:rsid w:val="00331B78"/>
    <w:rsid w:val="00362740"/>
    <w:rsid w:val="003718A7"/>
    <w:rsid w:val="00380817"/>
    <w:rsid w:val="003861C1"/>
    <w:rsid w:val="00404D59"/>
    <w:rsid w:val="00424387"/>
    <w:rsid w:val="00560836"/>
    <w:rsid w:val="006240CE"/>
    <w:rsid w:val="00640A55"/>
    <w:rsid w:val="0065700D"/>
    <w:rsid w:val="00664725"/>
    <w:rsid w:val="006746D7"/>
    <w:rsid w:val="007575C2"/>
    <w:rsid w:val="0076045D"/>
    <w:rsid w:val="007D49E5"/>
    <w:rsid w:val="00800EE0"/>
    <w:rsid w:val="008320D4"/>
    <w:rsid w:val="0087262E"/>
    <w:rsid w:val="008944AF"/>
    <w:rsid w:val="008E156C"/>
    <w:rsid w:val="00985EA2"/>
    <w:rsid w:val="00A06D1C"/>
    <w:rsid w:val="00A55FCA"/>
    <w:rsid w:val="00A87893"/>
    <w:rsid w:val="00AA45AB"/>
    <w:rsid w:val="00AD3E0E"/>
    <w:rsid w:val="00AD55D0"/>
    <w:rsid w:val="00B2124C"/>
    <w:rsid w:val="00B85967"/>
    <w:rsid w:val="00BD4174"/>
    <w:rsid w:val="00C12D96"/>
    <w:rsid w:val="00C206E9"/>
    <w:rsid w:val="00C225A7"/>
    <w:rsid w:val="00C25D9E"/>
    <w:rsid w:val="00C64078"/>
    <w:rsid w:val="00C979F8"/>
    <w:rsid w:val="00CB1408"/>
    <w:rsid w:val="00CD2D54"/>
    <w:rsid w:val="00CE6AC1"/>
    <w:rsid w:val="00CE785B"/>
    <w:rsid w:val="00D80A75"/>
    <w:rsid w:val="00E00760"/>
    <w:rsid w:val="00E0210F"/>
    <w:rsid w:val="00E20198"/>
    <w:rsid w:val="00E348FE"/>
    <w:rsid w:val="00E36BEF"/>
    <w:rsid w:val="00E64ABD"/>
    <w:rsid w:val="00EB35E4"/>
    <w:rsid w:val="00F654C8"/>
    <w:rsid w:val="00F739A7"/>
    <w:rsid w:val="00FE2580"/>
    <w:rsid w:val="0EC68358"/>
    <w:rsid w:val="10948407"/>
    <w:rsid w:val="13E72A2C"/>
    <w:rsid w:val="15AF80D8"/>
    <w:rsid w:val="1BD49CF0"/>
    <w:rsid w:val="1E82C93E"/>
    <w:rsid w:val="1F79FC14"/>
    <w:rsid w:val="278ED55A"/>
    <w:rsid w:val="2DF842E5"/>
    <w:rsid w:val="3060113D"/>
    <w:rsid w:val="3CE0E363"/>
    <w:rsid w:val="45E306EB"/>
    <w:rsid w:val="4C6EEB3B"/>
    <w:rsid w:val="54B3D247"/>
    <w:rsid w:val="56776CE3"/>
    <w:rsid w:val="57AABB92"/>
    <w:rsid w:val="6452978D"/>
    <w:rsid w:val="69932BE3"/>
    <w:rsid w:val="6DE71250"/>
    <w:rsid w:val="6E0FB0A9"/>
    <w:rsid w:val="70617040"/>
    <w:rsid w:val="7193D4C2"/>
    <w:rsid w:val="7EE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FF99"/>
  <w15:chartTrackingRefBased/>
  <w15:docId w15:val="{FC2D8798-F19E-45CC-A620-47729CE6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4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75C2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8726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262E"/>
    <w:pPr>
      <w:spacing w:line="240" w:lineRule="auto"/>
    </w:pPr>
    <w:rPr>
      <w:color w:val="000000" w:themeColor="text1"/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262E"/>
    <w:rPr>
      <w:color w:val="000000" w:themeColor="text1"/>
      <w:kern w:val="0"/>
      <w:sz w:val="20"/>
      <w:szCs w:val="20"/>
      <w14:ligatures w14:val="none"/>
    </w:rPr>
  </w:style>
  <w:style w:type="paragraph" w:customStyle="1" w:styleId="Default">
    <w:name w:val="Default"/>
    <w:rsid w:val="003861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688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75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83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03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21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310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41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60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80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721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1" ma:contentTypeDescription="Vytvoří nový dokument" ma:contentTypeScope="" ma:versionID="a0ff7083511a2e55e6df80269ee12ed7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d464758b8396fbb6ebaa749668e8dc4d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61D4D08B-766A-4059-A103-BC08FD857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1A397-964C-4AA9-AC82-99EE2F499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A350E-DFCA-45C9-972C-33494DF98BB7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a867a263-4c00-4944-a435-72febfd70997"/>
    <ds:schemaRef ds:uri="http://schemas.openxmlformats.org/package/2006/metadata/core-properties"/>
    <ds:schemaRef ds:uri="http://schemas.microsoft.com/office/infopath/2007/PartnerControls"/>
    <ds:schemaRef ds:uri="ae529b29-b2bb-4f0f-bf76-47ede62a77b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9678</Characters>
  <Application>Microsoft Office Word</Application>
  <DocSecurity>0</DocSecurity>
  <Lines>80</Lines>
  <Paragraphs>22</Paragraphs>
  <ScaleCrop>false</ScaleCrop>
  <Company>Ministerstvo pro místní rozvoj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Krůpová Martina</dc:creator>
  <cp:keywords/>
  <dc:description/>
  <cp:lastModifiedBy>Barcalová Jitka</cp:lastModifiedBy>
  <cp:revision>2</cp:revision>
  <dcterms:created xsi:type="dcterms:W3CDTF">2024-10-10T09:46:00Z</dcterms:created>
  <dcterms:modified xsi:type="dcterms:W3CDTF">2024-10-10T09:46:00Z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