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8A1541" w:rsidRDefault="001B1D5D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A1541">
        <w:rPr>
          <w:rFonts w:ascii="Arial" w:hAnsi="Arial" w:cs="Arial"/>
          <w:b/>
          <w:sz w:val="28"/>
          <w:szCs w:val="28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208D0" w:rsidRPr="008A1541" w14:paraId="43713F54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60BE08FD" w14:textId="32949395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Dílčí AKTIVITA/PODPROJEKT</w:t>
            </w:r>
          </w:p>
        </w:tc>
        <w:tc>
          <w:tcPr>
            <w:tcW w:w="5742" w:type="dxa"/>
            <w:vAlign w:val="center"/>
          </w:tcPr>
          <w:p w14:paraId="756BCBAA" w14:textId="77777777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8A1541">
        <w:rPr>
          <w:rFonts w:ascii="Arial" w:hAnsi="Arial" w:cs="Arial"/>
          <w:b/>
          <w:bCs/>
          <w:u w:val="single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hodnocení nabídek včetně členů komise, pokud ji zadavatel k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hodnocení sestavil, nebo přizvaných 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FEFC548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programu/podprogramu.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2F538141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B47AFA" w:rsidRPr="00B47AFA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05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13B8F721" w14:textId="36851493" w:rsidR="003A4C7F" w:rsidRDefault="00B47AFA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B47AFA">
            <w:rPr>
              <w:rFonts w:ascii="Arial" w:hAnsi="Arial" w:cs="Arial"/>
              <w:smallCaps/>
              <w:sz w:val="16"/>
              <w:szCs w:val="16"/>
              <w:lang w:val="pl-PL"/>
            </w:rPr>
            <w:t xml:space="preserve">117D7623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vesnice roku</w:t>
          </w:r>
        </w:p>
        <w:p w14:paraId="04F2E72F" w14:textId="3F805012" w:rsidR="003A4C7F" w:rsidRPr="006C77D4" w:rsidRDefault="00B47AFA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výzva č</w:t>
          </w:r>
          <w:r w:rsidRPr="00842376">
            <w:rPr>
              <w:rFonts w:ascii="Arial" w:hAnsi="Arial" w:cs="Arial"/>
              <w:smallCaps/>
              <w:sz w:val="16"/>
              <w:szCs w:val="16"/>
              <w:lang w:val="pl-PL"/>
            </w:rPr>
            <w:t>.1/2025/117D7623</w:t>
          </w:r>
        </w:p>
        <w:p w14:paraId="75455900" w14:textId="597DF71F" w:rsidR="006E0656" w:rsidRPr="00C31BCD" w:rsidRDefault="006E0656" w:rsidP="003A4C7F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</w:t>
          </w:r>
          <w:r w:rsidR="00F208D0">
            <w:rPr>
              <w:rFonts w:ascii="Arial" w:hAnsi="Arial" w:cs="Arial"/>
              <w:smallCaps/>
              <w:sz w:val="18"/>
              <w:szCs w:val="18"/>
              <w:lang w:val="pl-PL"/>
            </w:rPr>
            <w:t>předkládaná před vydáním rozhodnutí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50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554526">
    <w:abstractNumId w:val="8"/>
  </w:num>
  <w:num w:numId="3" w16cid:durableId="279999529">
    <w:abstractNumId w:val="1"/>
  </w:num>
  <w:num w:numId="4" w16cid:durableId="689792787">
    <w:abstractNumId w:val="7"/>
  </w:num>
  <w:num w:numId="5" w16cid:durableId="1760714259">
    <w:abstractNumId w:val="2"/>
  </w:num>
  <w:num w:numId="6" w16cid:durableId="1070151306">
    <w:abstractNumId w:val="9"/>
  </w:num>
  <w:num w:numId="7" w16cid:durableId="1612972487">
    <w:abstractNumId w:val="10"/>
  </w:num>
  <w:num w:numId="8" w16cid:durableId="1742631885">
    <w:abstractNumId w:val="12"/>
  </w:num>
  <w:num w:numId="9" w16cid:durableId="1749569254">
    <w:abstractNumId w:val="0"/>
  </w:num>
  <w:num w:numId="10" w16cid:durableId="80782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206941">
    <w:abstractNumId w:val="4"/>
  </w:num>
  <w:num w:numId="12" w16cid:durableId="880630220">
    <w:abstractNumId w:val="13"/>
  </w:num>
  <w:num w:numId="13" w16cid:durableId="1115369980">
    <w:abstractNumId w:val="3"/>
  </w:num>
  <w:num w:numId="14" w16cid:durableId="173225381">
    <w:abstractNumId w:val="5"/>
  </w:num>
  <w:num w:numId="15" w16cid:durableId="2032683403">
    <w:abstractNumId w:val="14"/>
  </w:num>
  <w:num w:numId="16" w16cid:durableId="1444379301">
    <w:abstractNumId w:val="11"/>
  </w:num>
  <w:num w:numId="17" w16cid:durableId="2112315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F63C0"/>
    <w:rsid w:val="00605B14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AA5"/>
    <w:rsid w:val="007E22ED"/>
    <w:rsid w:val="00814F26"/>
    <w:rsid w:val="00820E06"/>
    <w:rsid w:val="0084000D"/>
    <w:rsid w:val="00842376"/>
    <w:rsid w:val="0084743B"/>
    <w:rsid w:val="008629AD"/>
    <w:rsid w:val="00862BD3"/>
    <w:rsid w:val="00873A68"/>
    <w:rsid w:val="00874D26"/>
    <w:rsid w:val="00877774"/>
    <w:rsid w:val="00883F24"/>
    <w:rsid w:val="00894F7A"/>
    <w:rsid w:val="008A1541"/>
    <w:rsid w:val="008D1898"/>
    <w:rsid w:val="008D5F2C"/>
    <w:rsid w:val="008E4F3B"/>
    <w:rsid w:val="008E6F45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9F55E7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47AFA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33312"/>
    <w:rsid w:val="00C4788B"/>
    <w:rsid w:val="00C553D9"/>
    <w:rsid w:val="00C63D59"/>
    <w:rsid w:val="00C6428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326D7"/>
    <w:rsid w:val="00D41B2A"/>
    <w:rsid w:val="00D464FD"/>
    <w:rsid w:val="00D51FCF"/>
    <w:rsid w:val="00D52FBA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17AFE"/>
    <w:rsid w:val="00F208D0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9</cp:revision>
  <cp:lastPrinted>2025-01-20T17:59:00Z</cp:lastPrinted>
  <dcterms:created xsi:type="dcterms:W3CDTF">2025-05-07T10:43:00Z</dcterms:created>
  <dcterms:modified xsi:type="dcterms:W3CDTF">2025-06-11T10:48:00Z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