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89" w:rsidRPr="00E546B4" w:rsidRDefault="00522989" w:rsidP="00522989">
      <w:pPr>
        <w:rPr>
          <w:rFonts w:cs="Arial"/>
          <w:szCs w:val="20"/>
        </w:rPr>
      </w:pPr>
    </w:p>
    <w:p w:rsidR="00522989" w:rsidRDefault="00522989" w:rsidP="00B3605A">
      <w:pPr>
        <w:pStyle w:val="Zkladntext7"/>
        <w:numPr>
          <w:ilvl w:val="0"/>
          <w:numId w:val="5"/>
        </w:numPr>
        <w:shd w:val="clear" w:color="auto" w:fill="auto"/>
        <w:tabs>
          <w:tab w:val="left" w:pos="299"/>
        </w:tabs>
        <w:spacing w:before="0" w:after="300" w:line="274" w:lineRule="exact"/>
        <w:ind w:right="20"/>
        <w:jc w:val="center"/>
        <w:rPr>
          <w:rStyle w:val="Zkladntext11pt"/>
          <w:rFonts w:ascii="Arial" w:hAnsi="Arial"/>
          <w:b/>
          <w:sz w:val="24"/>
          <w:szCs w:val="24"/>
        </w:rPr>
      </w:pPr>
      <w:r w:rsidRPr="00CA10A3">
        <w:rPr>
          <w:rStyle w:val="Zkladntext11pt"/>
          <w:rFonts w:ascii="Arial" w:hAnsi="Arial" w:cs="Arial"/>
          <w:b/>
          <w:sz w:val="24"/>
          <w:szCs w:val="24"/>
        </w:rPr>
        <w:t>PŘEDKLÁDACÍ</w:t>
      </w:r>
      <w:r w:rsidRPr="00CA10A3">
        <w:rPr>
          <w:rStyle w:val="Zkladntext11pt"/>
          <w:rFonts w:ascii="Arial" w:hAnsi="Arial"/>
          <w:sz w:val="24"/>
          <w:szCs w:val="24"/>
        </w:rPr>
        <w:t xml:space="preserve"> </w:t>
      </w:r>
      <w:r w:rsidRPr="00CA10A3">
        <w:rPr>
          <w:rStyle w:val="Zkladntext11pt"/>
          <w:rFonts w:ascii="Arial" w:hAnsi="Arial"/>
          <w:b/>
          <w:sz w:val="24"/>
          <w:szCs w:val="24"/>
        </w:rPr>
        <w:t>ZPRÁVA</w:t>
      </w:r>
    </w:p>
    <w:p w:rsidR="00E6235E"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 xml:space="preserve">Zákon č. 256/2001 Sb., o pohřebnictví a o změně některých zákonů, ve znění pozdějších předpisů (dále jen „zákon o pohřebnictví“), nakládání s tělem </w:t>
      </w:r>
      <w:r w:rsidR="00025C7F" w:rsidRPr="001B263E">
        <w:rPr>
          <w:rStyle w:val="Zkladntext11pt"/>
          <w:rFonts w:ascii="Arial" w:hAnsi="Arial"/>
          <w:sz w:val="20"/>
          <w:szCs w:val="20"/>
        </w:rPr>
        <w:t>nakaženým nebezpečnou nemocí</w:t>
      </w:r>
      <w:r w:rsidRPr="001B263E">
        <w:rPr>
          <w:rStyle w:val="Zkladntext11pt"/>
          <w:rFonts w:ascii="Arial" w:hAnsi="Arial"/>
          <w:sz w:val="20"/>
          <w:szCs w:val="20"/>
        </w:rPr>
        <w:t xml:space="preserve"> upravuje v § 4 odst. 1 písm. a). Ustanovení zákona o pohřebnictví lze aplikovat zpravidla v případě ojedinělého výskytu </w:t>
      </w:r>
      <w:r w:rsidR="00025C7F" w:rsidRPr="001B263E">
        <w:rPr>
          <w:rStyle w:val="Zkladntext11pt"/>
          <w:rFonts w:ascii="Arial" w:hAnsi="Arial"/>
          <w:sz w:val="20"/>
          <w:szCs w:val="20"/>
        </w:rPr>
        <w:t>vysoce nakažlivé nemoci (dále jen „VNN“) na jednom těle zemřelého</w:t>
      </w:r>
      <w:r w:rsidRPr="001B263E">
        <w:rPr>
          <w:rStyle w:val="Zkladntext11pt"/>
          <w:rFonts w:ascii="Arial" w:hAnsi="Arial"/>
          <w:sz w:val="20"/>
          <w:szCs w:val="20"/>
        </w:rPr>
        <w:t xml:space="preserve">, přičemž vypravitel pohřbu i provozovatel pohřební služby (dále jen „PS“) jsou povinni řídit se příkazy krajské hygienické stanice (dále jen „KHS“) pouze tehdy, pokud mají na pohřbení soukromoprávní zájem. </w:t>
      </w:r>
      <w:r w:rsidR="00603AC8" w:rsidRPr="001B263E">
        <w:rPr>
          <w:rStyle w:val="Zkladntext11pt"/>
          <w:rFonts w:ascii="Arial" w:hAnsi="Arial"/>
          <w:sz w:val="20"/>
          <w:szCs w:val="20"/>
        </w:rPr>
        <w:t>Jinými slovy, kdykoli smějí fyzické nebo právnické osoby vypravující pohřeb nebo podnikající v pohřebnictví KHS oznámit, že pohřeb za takto stanovených podmínek ne</w:t>
      </w:r>
      <w:r w:rsidR="009023C9">
        <w:rPr>
          <w:rStyle w:val="Zkladntext11pt"/>
          <w:rFonts w:ascii="Arial" w:hAnsi="Arial"/>
          <w:sz w:val="20"/>
          <w:szCs w:val="20"/>
        </w:rPr>
        <w:t>vypraví. Pohřbívací povinnost má</w:t>
      </w:r>
      <w:r w:rsidR="00603AC8" w:rsidRPr="001B263E">
        <w:rPr>
          <w:rStyle w:val="Zkladntext11pt"/>
          <w:rFonts w:ascii="Arial" w:hAnsi="Arial"/>
          <w:sz w:val="20"/>
          <w:szCs w:val="20"/>
        </w:rPr>
        <w:t xml:space="preserve"> podle § 5 zákona o pohřebnictví pouze obec. </w:t>
      </w: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Orgán ochrany veřejného zdraví (dále jen „OOVZ“), v této souvislosti, je dle zákona č. 258/2000 Sb., o ochraně veřejného zdraví a o změně některých souvisejících zákonů, oprávněn vyzvat složky integrovaného záchranného systému (dále jen „IZS“) – Policii ČR a Hasičský záchranný sbor ČR – k součinnosti při následných opatřeních zamezujících šíření epidemie VNN. Tyto výzvy nelze směrovat na pohřební služby, jelikož do IZS nespadají.</w:t>
      </w: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Dle ustanovení § 80 odst. 1 písm. g) téhož zákona Ministerstvo zdravotnictví nařizuje mimořádná opatření při epidemii a nebezpečí jejího vzniku a mimořádná opatření k ochraně zdraví fyzických osob při mimořádných událostech, pokud mají být provedena celostátně nebo na území několika krajů</w:t>
      </w:r>
      <w:r w:rsidR="00740E4C" w:rsidRPr="001B263E">
        <w:rPr>
          <w:rStyle w:val="Zkladntext11pt"/>
          <w:rFonts w:ascii="Arial" w:hAnsi="Arial"/>
          <w:sz w:val="20"/>
          <w:szCs w:val="20"/>
        </w:rPr>
        <w:t>, a rozhoduje o jejich ukončení. D</w:t>
      </w:r>
      <w:r w:rsidRPr="001B263E">
        <w:rPr>
          <w:rStyle w:val="Zkladntext11pt"/>
          <w:rFonts w:ascii="Arial" w:hAnsi="Arial"/>
          <w:sz w:val="20"/>
          <w:szCs w:val="20"/>
        </w:rPr>
        <w:t>ále, dle § 80 odst. 1 písm. j), Ministerstvo zdravotnictví stanoví další infekční onemocnění vyvolaná vysoce rizikovými biologickými agens a toxiny, která se považují za nebezpečnou nemoc.</w:t>
      </w:r>
    </w:p>
    <w:p w:rsidR="006E0103"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 xml:space="preserve">V souladu s § 4 odst. 1 písm. a) zákona o pohřebnictví je zakázáno upravit, konzervovat, balzamovat nebo vystavit tělo zemřelého nakažené infekčními onemocněními vyvolanými jinými vysoce rizikovými biologickými agens a jejich toxiny, která stanoví opatřením obecné povahy příslušný </w:t>
      </w:r>
      <w:r w:rsidR="0005012F">
        <w:rPr>
          <w:rStyle w:val="Zkladntext11pt"/>
          <w:rFonts w:ascii="Arial" w:hAnsi="Arial"/>
          <w:sz w:val="20"/>
          <w:szCs w:val="20"/>
        </w:rPr>
        <w:t>KHS</w:t>
      </w:r>
      <w:r w:rsidRPr="001B263E">
        <w:rPr>
          <w:rStyle w:val="Zkladntext11pt"/>
          <w:rFonts w:ascii="Arial" w:hAnsi="Arial"/>
          <w:sz w:val="20"/>
          <w:szCs w:val="20"/>
        </w:rPr>
        <w:t xml:space="preserve">. </w:t>
      </w: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Zákon o pohřebnictví výše citovaným ustanovením upravuje postup pouze v případě úmrtí osoby nakažené nebezpečnou nemocí, tzn.</w:t>
      </w:r>
      <w:r w:rsidR="009023C9">
        <w:rPr>
          <w:rStyle w:val="Zkladntext11pt"/>
          <w:rFonts w:ascii="Arial" w:hAnsi="Arial"/>
          <w:sz w:val="20"/>
          <w:szCs w:val="20"/>
        </w:rPr>
        <w:t>,</w:t>
      </w:r>
      <w:r w:rsidRPr="001B263E">
        <w:rPr>
          <w:rStyle w:val="Zkladntext11pt"/>
          <w:rFonts w:ascii="Arial" w:hAnsi="Arial"/>
          <w:sz w:val="20"/>
          <w:szCs w:val="20"/>
        </w:rPr>
        <w:t xml:space="preserve"> diagnóza byla poskytovatelem zdravotních služeb již nezpochybnitelně stanovena. Ambicí návrhu této směrnice je upravit jednotný postup při vzniku mimořádné události podléhající Mezinárodním zdravotnickým předpisům (2005) v souvislosti s nakládáním s tělem zemřelého, u kterého je podezření na VNN</w:t>
      </w:r>
      <w:r w:rsidR="00740E4C" w:rsidRPr="001B263E">
        <w:rPr>
          <w:rStyle w:val="Zkladntext11pt"/>
          <w:rFonts w:ascii="Arial" w:hAnsi="Arial"/>
          <w:sz w:val="20"/>
          <w:szCs w:val="20"/>
        </w:rPr>
        <w:t xml:space="preserve">. Toto podezření získal lékař prohlížející tělo nikoli během prohlídky nebo pitvy, ale až </w:t>
      </w:r>
      <w:r w:rsidRPr="001B263E">
        <w:rPr>
          <w:rStyle w:val="Zkladntext11pt"/>
          <w:rFonts w:ascii="Arial" w:hAnsi="Arial"/>
          <w:sz w:val="20"/>
          <w:szCs w:val="20"/>
        </w:rPr>
        <w:t xml:space="preserve">po předání </w:t>
      </w:r>
      <w:r w:rsidR="00740E4C" w:rsidRPr="001B263E">
        <w:rPr>
          <w:rStyle w:val="Zkladntext11pt"/>
          <w:rFonts w:ascii="Arial" w:hAnsi="Arial"/>
          <w:sz w:val="20"/>
          <w:szCs w:val="20"/>
        </w:rPr>
        <w:t xml:space="preserve">těla zemřelého </w:t>
      </w:r>
      <w:r w:rsidRPr="001B263E">
        <w:rPr>
          <w:rStyle w:val="Zkladntext11pt"/>
          <w:rFonts w:ascii="Arial" w:hAnsi="Arial"/>
          <w:sz w:val="20"/>
          <w:szCs w:val="20"/>
        </w:rPr>
        <w:t>pohřební službě</w:t>
      </w:r>
      <w:r w:rsidR="00740E4C" w:rsidRPr="001B263E">
        <w:rPr>
          <w:rStyle w:val="Zkladntext11pt"/>
          <w:rFonts w:ascii="Arial" w:hAnsi="Arial"/>
          <w:sz w:val="20"/>
          <w:szCs w:val="20"/>
        </w:rPr>
        <w:t>, krematoriu nebo pohřebišti</w:t>
      </w:r>
      <w:r w:rsidRPr="001B263E">
        <w:rPr>
          <w:rStyle w:val="Zkladntext11pt"/>
          <w:rFonts w:ascii="Arial" w:hAnsi="Arial"/>
          <w:sz w:val="20"/>
          <w:szCs w:val="20"/>
        </w:rPr>
        <w:t>.</w:t>
      </w:r>
    </w:p>
    <w:p w:rsidR="006E0103" w:rsidRDefault="00740E4C"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N</w:t>
      </w:r>
      <w:r w:rsidR="00522989" w:rsidRPr="001B263E">
        <w:rPr>
          <w:rStyle w:val="Zkladntext11pt"/>
          <w:rFonts w:ascii="Arial" w:hAnsi="Arial"/>
          <w:sz w:val="20"/>
          <w:szCs w:val="20"/>
        </w:rPr>
        <w:t>elze vyloučit možnost, že </w:t>
      </w:r>
      <w:r w:rsidRPr="001B263E">
        <w:rPr>
          <w:rStyle w:val="Zkladntext11pt"/>
          <w:rFonts w:ascii="Arial" w:hAnsi="Arial"/>
          <w:sz w:val="20"/>
          <w:szCs w:val="20"/>
        </w:rPr>
        <w:t xml:space="preserve">v takovém případě </w:t>
      </w:r>
      <w:r w:rsidR="00522989" w:rsidRPr="001B263E">
        <w:rPr>
          <w:rStyle w:val="Zkladntext11pt"/>
          <w:rFonts w:ascii="Arial" w:hAnsi="Arial"/>
          <w:sz w:val="20"/>
          <w:szCs w:val="20"/>
        </w:rPr>
        <w:t xml:space="preserve">OOVZ nařídí z důvodu ochrany veřejného zdraví </w:t>
      </w:r>
      <w:r w:rsidRPr="001B263E">
        <w:rPr>
          <w:rStyle w:val="Zkladntext11pt"/>
          <w:rFonts w:ascii="Arial" w:hAnsi="Arial"/>
          <w:sz w:val="20"/>
          <w:szCs w:val="20"/>
        </w:rPr>
        <w:t xml:space="preserve">převoz těla z provozovny PS a jeho </w:t>
      </w:r>
      <w:r w:rsidR="00522989" w:rsidRPr="001B263E">
        <w:rPr>
          <w:rStyle w:val="Zkladntext11pt"/>
          <w:rFonts w:ascii="Arial" w:hAnsi="Arial"/>
          <w:sz w:val="20"/>
          <w:szCs w:val="20"/>
        </w:rPr>
        <w:t>likvidaci ve specializovaném zdravotnickém zařízení Armády České republiky – Odbor biologické ochrany Těchonín (dále jen „OBO Těchonín“), tj. zcela mimo působnost zákona o</w:t>
      </w:r>
      <w:r w:rsidR="002D163C" w:rsidRPr="001B263E">
        <w:rPr>
          <w:rStyle w:val="Zkladntext11pt"/>
          <w:rFonts w:ascii="Arial" w:hAnsi="Arial"/>
          <w:sz w:val="20"/>
          <w:szCs w:val="20"/>
        </w:rPr>
        <w:t> </w:t>
      </w:r>
      <w:r w:rsidR="00522989" w:rsidRPr="001B263E">
        <w:rPr>
          <w:rStyle w:val="Zkladntext11pt"/>
          <w:rFonts w:ascii="Arial" w:hAnsi="Arial"/>
          <w:sz w:val="20"/>
          <w:szCs w:val="20"/>
        </w:rPr>
        <w:t xml:space="preserve">pohřebnictví. Příkazem OOVZ zlikvidovat tělo zemřelého formálně jako „odpad“ namísto jeho pohřbení by </w:t>
      </w:r>
      <w:r w:rsidRPr="001B263E">
        <w:rPr>
          <w:rStyle w:val="Zkladntext11pt"/>
          <w:rFonts w:ascii="Arial" w:hAnsi="Arial"/>
          <w:sz w:val="20"/>
          <w:szCs w:val="20"/>
        </w:rPr>
        <w:t>podle našeho názoru nemělo</w:t>
      </w:r>
      <w:r w:rsidR="00522989" w:rsidRPr="001B263E">
        <w:rPr>
          <w:rStyle w:val="Zkladntext11pt"/>
          <w:rFonts w:ascii="Arial" w:hAnsi="Arial"/>
          <w:sz w:val="20"/>
          <w:szCs w:val="20"/>
        </w:rPr>
        <w:t xml:space="preserve"> dojít k porušení jak § 4 písm. e) zákona o pohřebnictví, tak i § 493 občanského zákoníku. OOVZ dle § 27 odst. 1 písm. c) zákona o pohřebnictví </w:t>
      </w:r>
      <w:r w:rsidRPr="001B263E">
        <w:rPr>
          <w:rStyle w:val="Zkladntext11pt"/>
          <w:rFonts w:ascii="Arial" w:hAnsi="Arial"/>
          <w:sz w:val="20"/>
          <w:szCs w:val="20"/>
        </w:rPr>
        <w:t>ne</w:t>
      </w:r>
      <w:r w:rsidR="00522989" w:rsidRPr="001B263E">
        <w:rPr>
          <w:rStyle w:val="Zkladntext11pt"/>
          <w:rFonts w:ascii="Arial" w:hAnsi="Arial"/>
          <w:sz w:val="20"/>
          <w:szCs w:val="20"/>
        </w:rPr>
        <w:t>hrozí za takové rozhodnutí pokuta až 200 000 Kč</w:t>
      </w:r>
      <w:r w:rsidRPr="001B263E">
        <w:rPr>
          <w:rStyle w:val="Zkladntext11pt"/>
          <w:rFonts w:ascii="Arial" w:hAnsi="Arial"/>
          <w:sz w:val="20"/>
          <w:szCs w:val="20"/>
        </w:rPr>
        <w:t>, a to z důvodu princip</w:t>
      </w:r>
      <w:r w:rsidR="00A42A20" w:rsidRPr="001B263E">
        <w:rPr>
          <w:rStyle w:val="Zkladntext11pt"/>
          <w:rFonts w:ascii="Arial" w:hAnsi="Arial"/>
          <w:sz w:val="20"/>
          <w:szCs w:val="20"/>
        </w:rPr>
        <w:t>u</w:t>
      </w:r>
      <w:r w:rsidRPr="001B263E">
        <w:rPr>
          <w:rStyle w:val="Zkladntext11pt"/>
          <w:rFonts w:ascii="Arial" w:hAnsi="Arial"/>
          <w:sz w:val="20"/>
          <w:szCs w:val="20"/>
        </w:rPr>
        <w:t xml:space="preserve"> proporcionality. Mnohem vyšší společenská škodlivost by spočívala v nečinnosti OOVZ kvůli </w:t>
      </w:r>
      <w:r w:rsidR="006E0103">
        <w:rPr>
          <w:rStyle w:val="Zkladntext11pt"/>
          <w:rFonts w:ascii="Arial" w:hAnsi="Arial"/>
          <w:sz w:val="20"/>
          <w:szCs w:val="20"/>
        </w:rPr>
        <w:t xml:space="preserve">zachování postmortální </w:t>
      </w:r>
      <w:r w:rsidRPr="001B263E">
        <w:rPr>
          <w:rStyle w:val="Zkladntext11pt"/>
          <w:rFonts w:ascii="Arial" w:hAnsi="Arial"/>
          <w:sz w:val="20"/>
          <w:szCs w:val="20"/>
        </w:rPr>
        <w:t xml:space="preserve">lidské důstojnosti, </w:t>
      </w:r>
      <w:r w:rsidR="00A42A20" w:rsidRPr="001B263E">
        <w:rPr>
          <w:rStyle w:val="Zkladntext11pt"/>
          <w:rFonts w:ascii="Arial" w:hAnsi="Arial"/>
          <w:sz w:val="20"/>
          <w:szCs w:val="20"/>
        </w:rPr>
        <w:t xml:space="preserve">aby tělo smělo být řádně pohřbeno, </w:t>
      </w:r>
      <w:r w:rsidRPr="001B263E">
        <w:rPr>
          <w:rStyle w:val="Zkladntext11pt"/>
          <w:rFonts w:ascii="Arial" w:hAnsi="Arial"/>
          <w:sz w:val="20"/>
          <w:szCs w:val="20"/>
        </w:rPr>
        <w:t>než v jejím příkazu chránit životy žijícím osobám</w:t>
      </w:r>
      <w:r w:rsidR="00A42A20" w:rsidRPr="001B263E">
        <w:rPr>
          <w:rStyle w:val="Zkladntext11pt"/>
          <w:rFonts w:ascii="Arial" w:hAnsi="Arial"/>
          <w:sz w:val="20"/>
          <w:szCs w:val="20"/>
        </w:rPr>
        <w:t xml:space="preserve"> nepohřbením těla v krematoriu</w:t>
      </w:r>
      <w:r w:rsidRPr="001B263E">
        <w:rPr>
          <w:rStyle w:val="Zkladntext11pt"/>
          <w:rFonts w:ascii="Arial" w:hAnsi="Arial"/>
          <w:sz w:val="20"/>
          <w:szCs w:val="20"/>
        </w:rPr>
        <w:t>.</w:t>
      </w:r>
      <w:r w:rsidR="006E0103">
        <w:rPr>
          <w:rStyle w:val="Zkladntext11pt"/>
          <w:rFonts w:ascii="Arial" w:hAnsi="Arial"/>
          <w:sz w:val="20"/>
          <w:szCs w:val="20"/>
        </w:rPr>
        <w:t xml:space="preserve"> </w:t>
      </w:r>
    </w:p>
    <w:p w:rsidR="00522989" w:rsidRDefault="006E0103"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Pr>
          <w:rStyle w:val="Zkladntext11pt"/>
          <w:rFonts w:ascii="Arial" w:hAnsi="Arial"/>
          <w:sz w:val="20"/>
          <w:szCs w:val="20"/>
        </w:rPr>
        <w:t xml:space="preserve">Navíc návrh směrnice doporučuje OBO Těchonín, aby spálení těla zemřelého proběhlo důstojně, jednotlivě v samostatné rakvi a popel byl uložen do urny, kterou si rodina převezme. Postup bude tedy obdobný jako v krematoriu. I provozovatel krematoria může být zcela legálně v souladu s § 91 zákona č. </w:t>
      </w:r>
      <w:r w:rsidRPr="006E0103">
        <w:rPr>
          <w:rStyle w:val="Zkladntext11pt"/>
          <w:rFonts w:ascii="Arial" w:hAnsi="Arial"/>
          <w:sz w:val="20"/>
          <w:szCs w:val="20"/>
        </w:rPr>
        <w:t xml:space="preserve">372/2011 Sb., o zdravotních službách </w:t>
      </w:r>
      <w:r w:rsidR="009023C9">
        <w:rPr>
          <w:rStyle w:val="Zkladntext11pt"/>
          <w:rFonts w:ascii="Arial" w:hAnsi="Arial"/>
          <w:sz w:val="20"/>
          <w:szCs w:val="20"/>
        </w:rPr>
        <w:t>a podmínkách jejich poskytování,</w:t>
      </w:r>
      <w:r>
        <w:rPr>
          <w:rStyle w:val="Zkladntext11pt"/>
          <w:rFonts w:ascii="Arial" w:hAnsi="Arial"/>
          <w:sz w:val="20"/>
          <w:szCs w:val="20"/>
        </w:rPr>
        <w:t xml:space="preserve"> spalovnou a</w:t>
      </w:r>
      <w:r w:rsidR="003158E8">
        <w:rPr>
          <w:rStyle w:val="Zkladntext11pt"/>
          <w:rFonts w:ascii="Arial" w:hAnsi="Arial"/>
          <w:sz w:val="20"/>
          <w:szCs w:val="20"/>
        </w:rPr>
        <w:t xml:space="preserve">natomicko-patologického odpadu. Domníváme se proto, že by se i naopak </w:t>
      </w:r>
      <w:r>
        <w:rPr>
          <w:rStyle w:val="Zkladntext11pt"/>
          <w:rFonts w:ascii="Arial" w:hAnsi="Arial"/>
          <w:sz w:val="20"/>
          <w:szCs w:val="20"/>
        </w:rPr>
        <w:t>mohla</w:t>
      </w:r>
      <w:r w:rsidR="003158E8">
        <w:rPr>
          <w:rStyle w:val="Zkladntext11pt"/>
          <w:rFonts w:ascii="Arial" w:hAnsi="Arial"/>
          <w:sz w:val="20"/>
          <w:szCs w:val="20"/>
        </w:rPr>
        <w:t>, při mimořádném opatření,</w:t>
      </w:r>
      <w:r>
        <w:rPr>
          <w:rStyle w:val="Zkladntext11pt"/>
          <w:rFonts w:ascii="Arial" w:hAnsi="Arial"/>
          <w:sz w:val="20"/>
          <w:szCs w:val="20"/>
        </w:rPr>
        <w:t xml:space="preserve"> specializ</w:t>
      </w:r>
      <w:r w:rsidR="003158E8">
        <w:rPr>
          <w:rStyle w:val="Zkladntext11pt"/>
          <w:rFonts w:ascii="Arial" w:hAnsi="Arial"/>
          <w:sz w:val="20"/>
          <w:szCs w:val="20"/>
        </w:rPr>
        <w:t>ovaná spalovna zdravotnického od</w:t>
      </w:r>
      <w:r>
        <w:rPr>
          <w:rStyle w:val="Zkladntext11pt"/>
          <w:rFonts w:ascii="Arial" w:hAnsi="Arial"/>
          <w:sz w:val="20"/>
          <w:szCs w:val="20"/>
        </w:rPr>
        <w:t xml:space="preserve">padu </w:t>
      </w:r>
      <w:r w:rsidR="003158E8">
        <w:rPr>
          <w:rStyle w:val="Zkladntext11pt"/>
          <w:rFonts w:ascii="Arial" w:hAnsi="Arial"/>
          <w:sz w:val="20"/>
          <w:szCs w:val="20"/>
        </w:rPr>
        <w:t xml:space="preserve">stát </w:t>
      </w:r>
      <w:r w:rsidR="0005012F">
        <w:rPr>
          <w:rStyle w:val="Zkladntext11pt"/>
          <w:rFonts w:ascii="Arial" w:hAnsi="Arial"/>
          <w:sz w:val="20"/>
          <w:szCs w:val="20"/>
        </w:rPr>
        <w:t>„</w:t>
      </w:r>
      <w:r>
        <w:rPr>
          <w:rStyle w:val="Zkladntext11pt"/>
          <w:rFonts w:ascii="Arial" w:hAnsi="Arial"/>
          <w:sz w:val="20"/>
          <w:szCs w:val="20"/>
        </w:rPr>
        <w:t>krematoriem</w:t>
      </w:r>
      <w:r w:rsidR="0005012F">
        <w:rPr>
          <w:rStyle w:val="Zkladntext11pt"/>
          <w:rFonts w:ascii="Arial" w:hAnsi="Arial"/>
          <w:sz w:val="20"/>
          <w:szCs w:val="20"/>
        </w:rPr>
        <w:t xml:space="preserve"> ad hoc“, aniž by muselo být za krematorium trvale prohlášeno orgánem veřejné moci</w:t>
      </w:r>
      <w:r>
        <w:rPr>
          <w:rStyle w:val="Zkladntext11pt"/>
          <w:rFonts w:ascii="Arial" w:hAnsi="Arial"/>
          <w:sz w:val="20"/>
          <w:szCs w:val="20"/>
        </w:rPr>
        <w:t>.</w:t>
      </w:r>
    </w:p>
    <w:p w:rsidR="006E0103" w:rsidRPr="001B263E" w:rsidRDefault="006E0103"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lastRenderedPageBreak/>
        <w:t>Návrh této směrnice vychází z již vládou schválené směrnice pro jednotný postup při vzniku mimořádné události podléhající Mezinárodním zdravotnickým předpisům (2005) v souvislosti s výskytem vysoce nakažlivé nemoci ve zdravotnickém zařízení poskytovatele zdravotních služeb (dále jen „Směrnice pro ZZ 2018“)</w:t>
      </w:r>
      <w:r w:rsidRPr="001B263E">
        <w:rPr>
          <w:rStyle w:val="Zkladntext11pt"/>
          <w:rFonts w:ascii="Arial" w:hAnsi="Arial"/>
          <w:sz w:val="20"/>
          <w:szCs w:val="20"/>
        </w:rPr>
        <w:footnoteReference w:id="1"/>
      </w:r>
      <w:r w:rsidRPr="001B263E">
        <w:rPr>
          <w:rStyle w:val="Zkladntext11pt"/>
          <w:rFonts w:ascii="Arial" w:hAnsi="Arial"/>
          <w:sz w:val="20"/>
          <w:szCs w:val="20"/>
        </w:rPr>
        <w:t>, zejména s její přílohou č. 9 „Opatření k zamezení ohrožení veřejného zdraví při transportu osob, které zemřely v souvislosti s onemocněním vysoce nakažlivou nemocí“ (dále jen „Příloha směrnice pro ZZ 2018“).</w:t>
      </w:r>
    </w:p>
    <w:p w:rsidR="00522989" w:rsidRPr="006E0103" w:rsidRDefault="00522989" w:rsidP="006E0103">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6E0103">
        <w:rPr>
          <w:rStyle w:val="Zkladntext11pt"/>
          <w:rFonts w:ascii="Arial" w:hAnsi="Arial"/>
          <w:sz w:val="20"/>
          <w:szCs w:val="20"/>
        </w:rPr>
        <w:t>Ministerstvo zdravotnictví má v souladu s bodem 4. Směrnice pro ZZ 2018 v případě potřeby zajistit další informace nad rámec těch, které jsou uvedeny v Příloze směrnice pro ZZ 2018. Uvedená příloha podle našeho názoru chybně dovoluje komukoli:</w:t>
      </w:r>
    </w:p>
    <w:p w:rsidR="00522989" w:rsidRPr="00E546B4" w:rsidRDefault="00522989" w:rsidP="00522989">
      <w:pPr>
        <w:numPr>
          <w:ilvl w:val="0"/>
          <w:numId w:val="3"/>
        </w:numPr>
        <w:tabs>
          <w:tab w:val="num" w:pos="1440"/>
        </w:tabs>
        <w:spacing w:after="160" w:line="259" w:lineRule="auto"/>
        <w:rPr>
          <w:rFonts w:cs="Arial"/>
          <w:szCs w:val="20"/>
        </w:rPr>
      </w:pPr>
      <w:r w:rsidRPr="00E546B4">
        <w:rPr>
          <w:rFonts w:cs="Arial"/>
          <w:szCs w:val="20"/>
        </w:rPr>
        <w:t>repatriaci mezi státy</w:t>
      </w:r>
    </w:p>
    <w:p w:rsidR="00522989" w:rsidRPr="00E546B4" w:rsidRDefault="00522989" w:rsidP="00522989">
      <w:pPr>
        <w:numPr>
          <w:ilvl w:val="0"/>
          <w:numId w:val="3"/>
        </w:numPr>
        <w:tabs>
          <w:tab w:val="num" w:pos="1440"/>
        </w:tabs>
        <w:spacing w:after="160" w:line="259" w:lineRule="auto"/>
        <w:rPr>
          <w:rFonts w:cs="Arial"/>
          <w:szCs w:val="20"/>
        </w:rPr>
      </w:pPr>
      <w:r w:rsidRPr="00E546B4">
        <w:rPr>
          <w:rFonts w:cs="Arial"/>
          <w:szCs w:val="20"/>
        </w:rPr>
        <w:t>drážní nákladní i leteckou dopravu</w:t>
      </w:r>
    </w:p>
    <w:p w:rsidR="00522989" w:rsidRPr="00E546B4" w:rsidRDefault="00522989" w:rsidP="00522989">
      <w:pPr>
        <w:numPr>
          <w:ilvl w:val="0"/>
          <w:numId w:val="3"/>
        </w:numPr>
        <w:tabs>
          <w:tab w:val="num" w:pos="1440"/>
        </w:tabs>
        <w:spacing w:after="160" w:line="259" w:lineRule="auto"/>
        <w:rPr>
          <w:rFonts w:cs="Arial"/>
          <w:szCs w:val="20"/>
        </w:rPr>
      </w:pPr>
      <w:r w:rsidRPr="00E546B4">
        <w:rPr>
          <w:rFonts w:cs="Arial"/>
          <w:szCs w:val="20"/>
        </w:rPr>
        <w:t>jednoplášťový plastový vak</w:t>
      </w:r>
    </w:p>
    <w:p w:rsidR="00522989" w:rsidRPr="00E546B4" w:rsidRDefault="00522989" w:rsidP="00522989">
      <w:pPr>
        <w:numPr>
          <w:ilvl w:val="0"/>
          <w:numId w:val="3"/>
        </w:numPr>
        <w:tabs>
          <w:tab w:val="num" w:pos="1440"/>
        </w:tabs>
        <w:spacing w:after="160" w:line="259" w:lineRule="auto"/>
        <w:rPr>
          <w:rFonts w:cs="Arial"/>
          <w:szCs w:val="20"/>
        </w:rPr>
      </w:pPr>
      <w:r w:rsidRPr="00E546B4">
        <w:rPr>
          <w:rFonts w:cs="Arial"/>
          <w:szCs w:val="20"/>
        </w:rPr>
        <w:t>vložku ze zinkového plechu opatřen</w:t>
      </w:r>
      <w:r>
        <w:rPr>
          <w:rFonts w:cs="Arial"/>
          <w:szCs w:val="20"/>
        </w:rPr>
        <w:t>o</w:t>
      </w:r>
      <w:r w:rsidRPr="00E546B4">
        <w:rPr>
          <w:rFonts w:cs="Arial"/>
          <w:szCs w:val="20"/>
        </w:rPr>
        <w:t xml:space="preserve">u okénkem </w:t>
      </w:r>
    </w:p>
    <w:p w:rsidR="00522989" w:rsidRPr="00E546B4" w:rsidRDefault="00522989" w:rsidP="00522989">
      <w:pPr>
        <w:numPr>
          <w:ilvl w:val="0"/>
          <w:numId w:val="3"/>
        </w:numPr>
        <w:tabs>
          <w:tab w:val="num" w:pos="1440"/>
        </w:tabs>
        <w:spacing w:after="160" w:line="259" w:lineRule="auto"/>
        <w:rPr>
          <w:rFonts w:cs="Arial"/>
          <w:szCs w:val="20"/>
        </w:rPr>
      </w:pPr>
      <w:r w:rsidRPr="00E546B4">
        <w:rPr>
          <w:rFonts w:cs="Arial"/>
          <w:szCs w:val="20"/>
        </w:rPr>
        <w:t xml:space="preserve">vložení zinkové </w:t>
      </w:r>
      <w:r w:rsidR="003158E8">
        <w:rPr>
          <w:rFonts w:cs="Arial"/>
          <w:szCs w:val="20"/>
        </w:rPr>
        <w:t>vložky s tělem do kremační pece.</w:t>
      </w:r>
    </w:p>
    <w:p w:rsidR="00522989" w:rsidRPr="006E0103" w:rsidRDefault="00522989" w:rsidP="006E0103">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6E0103">
        <w:rPr>
          <w:rStyle w:val="Zkladntext11pt"/>
          <w:rFonts w:ascii="Arial" w:hAnsi="Arial"/>
          <w:sz w:val="20"/>
          <w:szCs w:val="20"/>
        </w:rPr>
        <w:t>Návrh této směrnice je tedy v přímém rozporu se Směrnicí pro ZZ 2018. Zakazuje nebo omezuje nejen výše uvedené, ale nadto dále ještě odmítá:</w:t>
      </w:r>
    </w:p>
    <w:p w:rsidR="00522989" w:rsidRPr="00E546B4" w:rsidRDefault="00522989" w:rsidP="00522989">
      <w:pPr>
        <w:numPr>
          <w:ilvl w:val="0"/>
          <w:numId w:val="4"/>
        </w:numPr>
        <w:spacing w:after="160" w:line="259" w:lineRule="auto"/>
        <w:rPr>
          <w:rFonts w:cs="Arial"/>
          <w:szCs w:val="20"/>
        </w:rPr>
      </w:pPr>
      <w:r w:rsidRPr="00E546B4">
        <w:rPr>
          <w:rFonts w:cs="Arial"/>
          <w:szCs w:val="20"/>
        </w:rPr>
        <w:t>ukládání těl zemřelých do hromadných hrobů (šachet)</w:t>
      </w:r>
    </w:p>
    <w:p w:rsidR="00522989" w:rsidRPr="00E546B4" w:rsidRDefault="00522989" w:rsidP="00522989">
      <w:pPr>
        <w:numPr>
          <w:ilvl w:val="0"/>
          <w:numId w:val="4"/>
        </w:numPr>
        <w:spacing w:after="160" w:line="259" w:lineRule="auto"/>
        <w:rPr>
          <w:rFonts w:cs="Arial"/>
          <w:szCs w:val="20"/>
        </w:rPr>
      </w:pPr>
      <w:r>
        <w:rPr>
          <w:rFonts w:cs="Arial"/>
          <w:szCs w:val="20"/>
        </w:rPr>
        <w:t>použití dez</w:t>
      </w:r>
      <w:r w:rsidRPr="00E546B4">
        <w:rPr>
          <w:rFonts w:cs="Arial"/>
          <w:szCs w:val="20"/>
        </w:rPr>
        <w:t xml:space="preserve">infekčních prostředků přímo na těla a v hrobech </w:t>
      </w:r>
    </w:p>
    <w:p w:rsidR="00522989" w:rsidRPr="00E546B4" w:rsidRDefault="00522989" w:rsidP="00522989">
      <w:pPr>
        <w:numPr>
          <w:ilvl w:val="0"/>
          <w:numId w:val="4"/>
        </w:numPr>
        <w:spacing w:after="160" w:line="259" w:lineRule="auto"/>
        <w:rPr>
          <w:rFonts w:cs="Arial"/>
          <w:szCs w:val="20"/>
        </w:rPr>
      </w:pPr>
      <w:r w:rsidRPr="00E546B4">
        <w:rPr>
          <w:rFonts w:cs="Arial"/>
          <w:szCs w:val="20"/>
        </w:rPr>
        <w:t xml:space="preserve">spalování ve spalovnách zdravotnického odpadu, v kafilériích nebo </w:t>
      </w:r>
      <w:r>
        <w:rPr>
          <w:rFonts w:cs="Arial"/>
          <w:szCs w:val="20"/>
        </w:rPr>
        <w:t>na</w:t>
      </w:r>
      <w:r w:rsidRPr="00E546B4">
        <w:rPr>
          <w:rFonts w:cs="Arial"/>
          <w:szCs w:val="20"/>
        </w:rPr>
        <w:t> otevřeném terénu</w:t>
      </w:r>
    </w:p>
    <w:p w:rsidR="00522989" w:rsidRDefault="00522989" w:rsidP="00522989">
      <w:pPr>
        <w:numPr>
          <w:ilvl w:val="0"/>
          <w:numId w:val="4"/>
        </w:numPr>
        <w:spacing w:after="160" w:line="259" w:lineRule="auto"/>
        <w:rPr>
          <w:rFonts w:cs="Arial"/>
          <w:szCs w:val="20"/>
        </w:rPr>
      </w:pPr>
      <w:r w:rsidRPr="00E546B4">
        <w:rPr>
          <w:rFonts w:cs="Arial"/>
          <w:szCs w:val="20"/>
        </w:rPr>
        <w:t>zpopelňování neidentifikovaných lidských pozůstatků bez povolení Policie ČR nebo státního zastupitelství</w:t>
      </w:r>
    </w:p>
    <w:p w:rsidR="00522989" w:rsidRPr="003E6FE1" w:rsidRDefault="00522989" w:rsidP="00522989">
      <w:pPr>
        <w:numPr>
          <w:ilvl w:val="0"/>
          <w:numId w:val="4"/>
        </w:numPr>
        <w:spacing w:after="160" w:line="259" w:lineRule="auto"/>
        <w:rPr>
          <w:rFonts w:cs="Arial"/>
          <w:szCs w:val="20"/>
        </w:rPr>
      </w:pPr>
      <w:r w:rsidRPr="003E6FE1">
        <w:rPr>
          <w:rFonts w:cs="Arial"/>
          <w:szCs w:val="20"/>
        </w:rPr>
        <w:t>manipulaci s tělem pozůstalými včetně manipulace s jeho oblečením, osobními věcmi a ozdobami, které měl zemřelý na sobě nebo u sebe; tyto předměty denní potřeby se musejí před vrácením rodině dekontaminovat</w:t>
      </w:r>
    </w:p>
    <w:p w:rsidR="00522989" w:rsidRPr="00E546B4" w:rsidRDefault="00522989" w:rsidP="00522989">
      <w:pPr>
        <w:numPr>
          <w:ilvl w:val="0"/>
          <w:numId w:val="4"/>
        </w:numPr>
        <w:spacing w:after="160" w:line="259" w:lineRule="auto"/>
        <w:rPr>
          <w:rFonts w:cs="Arial"/>
          <w:szCs w:val="20"/>
        </w:rPr>
      </w:pPr>
      <w:r w:rsidRPr="00E546B4">
        <w:rPr>
          <w:rFonts w:cs="Arial"/>
          <w:szCs w:val="20"/>
        </w:rPr>
        <w:t>otevírat rakev i patologický vak</w:t>
      </w:r>
    </w:p>
    <w:p w:rsidR="00522989" w:rsidRPr="00E546B4" w:rsidRDefault="00522989" w:rsidP="00522989">
      <w:pPr>
        <w:numPr>
          <w:ilvl w:val="0"/>
          <w:numId w:val="4"/>
        </w:numPr>
        <w:spacing w:after="160" w:line="259" w:lineRule="auto"/>
        <w:rPr>
          <w:rFonts w:cs="Arial"/>
          <w:szCs w:val="20"/>
        </w:rPr>
      </w:pPr>
      <w:r w:rsidRPr="00E546B4">
        <w:rPr>
          <w:rFonts w:cs="Arial"/>
          <w:szCs w:val="20"/>
        </w:rPr>
        <w:t xml:space="preserve">konzervaci a </w:t>
      </w:r>
      <w:proofErr w:type="spellStart"/>
      <w:r w:rsidRPr="00E546B4">
        <w:rPr>
          <w:rFonts w:cs="Arial"/>
          <w:szCs w:val="20"/>
        </w:rPr>
        <w:t>balzamaci</w:t>
      </w:r>
      <w:proofErr w:type="spellEnd"/>
      <w:r w:rsidRPr="00E546B4">
        <w:rPr>
          <w:rFonts w:cs="Arial"/>
          <w:szCs w:val="20"/>
        </w:rPr>
        <w:t>.</w:t>
      </w: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eastAsiaTheme="minorHAnsi" w:hAnsi="Arial"/>
          <w:sz w:val="20"/>
          <w:szCs w:val="20"/>
        </w:rPr>
      </w:pPr>
      <w:r w:rsidRPr="001B263E">
        <w:rPr>
          <w:rStyle w:val="Zkladntext11pt"/>
          <w:rFonts w:ascii="Arial" w:eastAsiaTheme="minorHAnsi" w:hAnsi="Arial"/>
          <w:sz w:val="20"/>
          <w:szCs w:val="20"/>
        </w:rPr>
        <w:t xml:space="preserve">Klíčovým technickým vybavením </w:t>
      </w:r>
      <w:r w:rsidRPr="001B263E">
        <w:rPr>
          <w:rStyle w:val="Zkladntext11pt"/>
          <w:rFonts w:ascii="Arial" w:hAnsi="Arial"/>
          <w:sz w:val="20"/>
          <w:szCs w:val="20"/>
        </w:rPr>
        <w:t>poskytovatele</w:t>
      </w:r>
      <w:r w:rsidRPr="001B263E">
        <w:rPr>
          <w:rStyle w:val="Zkladntext11pt"/>
          <w:rFonts w:ascii="Arial" w:eastAsiaTheme="minorHAnsi" w:hAnsi="Arial"/>
          <w:sz w:val="20"/>
          <w:szCs w:val="20"/>
        </w:rPr>
        <w:t xml:space="preserve"> zdravotních služeb pro aplikaci návrhu této směrnice by měl být vak pro zemřelé. Vaky pro zemřelé však nemají v právním řádu jakékoli vymezení, a to ani pomocí technických norem. Podle našeho názoru by měly mít minimálně dvě samostatně uzavírací komory vyrobené technologií tepelného svařování z nepropustné polyetylénové fólie s aditivy, dále spirálová zdrhovadla </w:t>
      </w:r>
      <w:r w:rsidRPr="001B263E">
        <w:rPr>
          <w:rStyle w:val="Zkladntext11pt"/>
          <w:rFonts w:ascii="Arial" w:hAnsi="Arial"/>
          <w:sz w:val="20"/>
          <w:szCs w:val="20"/>
        </w:rPr>
        <w:t>překrytá</w:t>
      </w:r>
      <w:r w:rsidRPr="001B263E">
        <w:rPr>
          <w:rStyle w:val="Zkladntext11pt"/>
          <w:rFonts w:ascii="Arial" w:eastAsiaTheme="minorHAnsi" w:hAnsi="Arial"/>
          <w:sz w:val="20"/>
          <w:szCs w:val="20"/>
        </w:rPr>
        <w:t xml:space="preserve"> krycími </w:t>
      </w:r>
      <w:r w:rsidRPr="001B263E">
        <w:rPr>
          <w:rStyle w:val="Zkladntext11pt"/>
          <w:rFonts w:ascii="Arial" w:hAnsi="Arial"/>
          <w:sz w:val="20"/>
          <w:szCs w:val="20"/>
        </w:rPr>
        <w:t>klopami</w:t>
      </w:r>
      <w:r w:rsidRPr="001B263E">
        <w:rPr>
          <w:rStyle w:val="Zkladntext11pt"/>
          <w:rFonts w:ascii="Arial" w:eastAsiaTheme="minorHAnsi" w:hAnsi="Arial"/>
          <w:sz w:val="20"/>
          <w:szCs w:val="20"/>
        </w:rPr>
        <w:t xml:space="preserve"> se samolepicí páskou zabezpečující </w:t>
      </w:r>
      <w:proofErr w:type="spellStart"/>
      <w:r w:rsidRPr="001B263E">
        <w:rPr>
          <w:rStyle w:val="Zkladntext11pt"/>
          <w:rFonts w:ascii="Arial" w:eastAsiaTheme="minorHAnsi" w:hAnsi="Arial"/>
          <w:sz w:val="20"/>
          <w:szCs w:val="20"/>
        </w:rPr>
        <w:t>vzduchonepropustné</w:t>
      </w:r>
      <w:proofErr w:type="spellEnd"/>
      <w:r w:rsidRPr="001B263E">
        <w:rPr>
          <w:rStyle w:val="Zkladntext11pt"/>
          <w:rFonts w:ascii="Arial" w:eastAsiaTheme="minorHAnsi" w:hAnsi="Arial"/>
          <w:sz w:val="20"/>
          <w:szCs w:val="20"/>
        </w:rPr>
        <w:t xml:space="preserve"> uzavření celého vaku. Klíčovými vlastnostmi by mělo být zároveň to, že se postupně (po tlecí době těla) rozloží v zemi podobně jako zinek. Dalším důležitým testem kvality je jeho chování v rakvi během závozu rakve do kremační pece.</w:t>
      </w:r>
    </w:p>
    <w:p w:rsidR="00522989" w:rsidRDefault="00522989" w:rsidP="001B263E">
      <w:pPr>
        <w:pStyle w:val="Zkladntext7"/>
        <w:shd w:val="clear" w:color="auto" w:fill="auto"/>
        <w:tabs>
          <w:tab w:val="left" w:pos="299"/>
        </w:tabs>
        <w:spacing w:before="0" w:after="160" w:line="240" w:lineRule="auto"/>
        <w:ind w:right="20" w:firstLine="0"/>
        <w:rPr>
          <w:rStyle w:val="Zkladntext11pt"/>
          <w:rFonts w:ascii="Arial" w:eastAsiaTheme="minorHAnsi" w:hAnsi="Arial"/>
          <w:sz w:val="20"/>
          <w:szCs w:val="20"/>
        </w:rPr>
      </w:pPr>
      <w:r w:rsidRPr="001B263E">
        <w:rPr>
          <w:rStyle w:val="Zkladntext11pt"/>
          <w:rFonts w:ascii="Arial" w:eastAsiaTheme="minorHAnsi" w:hAnsi="Arial"/>
          <w:sz w:val="20"/>
          <w:szCs w:val="20"/>
        </w:rPr>
        <w:t xml:space="preserve">Zaměstnanci PS a krematorií </w:t>
      </w:r>
      <w:r w:rsidR="0069383A">
        <w:rPr>
          <w:rStyle w:val="Zkladntext11pt"/>
          <w:rFonts w:ascii="Arial" w:eastAsiaTheme="minorHAnsi" w:hAnsi="Arial"/>
          <w:sz w:val="20"/>
          <w:szCs w:val="20"/>
        </w:rPr>
        <w:t>nemají představu, co VNN obnáší</w:t>
      </w:r>
      <w:r w:rsidRPr="001B263E">
        <w:rPr>
          <w:rStyle w:val="Zkladntext11pt"/>
          <w:rFonts w:ascii="Arial" w:eastAsiaTheme="minorHAnsi" w:hAnsi="Arial"/>
          <w:sz w:val="20"/>
          <w:szCs w:val="20"/>
        </w:rPr>
        <w:t xml:space="preserve"> a jak se přenáší. Tím pádem nemají ani představu o prevenci. Domníváme se proto, že předkládaný návrh musí projít ještě značnými úpravami, a</w:t>
      </w:r>
      <w:r w:rsidR="002E389F" w:rsidRPr="001B263E">
        <w:rPr>
          <w:rStyle w:val="Zkladntext11pt"/>
          <w:rFonts w:ascii="Arial" w:eastAsiaTheme="minorHAnsi" w:hAnsi="Arial"/>
          <w:sz w:val="20"/>
          <w:szCs w:val="20"/>
        </w:rPr>
        <w:t> </w:t>
      </w:r>
      <w:r w:rsidRPr="001B263E">
        <w:rPr>
          <w:rStyle w:val="Zkladntext11pt"/>
          <w:rFonts w:ascii="Arial" w:eastAsiaTheme="minorHAnsi" w:hAnsi="Arial"/>
          <w:sz w:val="20"/>
          <w:szCs w:val="20"/>
        </w:rPr>
        <w:t>současně s nimi musí probíhat vzdělávání dobrovolných pracovníků – zaměstnanců PS a krematorií.</w:t>
      </w:r>
    </w:p>
    <w:p w:rsidR="001B263E" w:rsidRDefault="00522989" w:rsidP="001B263E">
      <w:pPr>
        <w:pStyle w:val="Zkladntext7"/>
        <w:numPr>
          <w:ilvl w:val="0"/>
          <w:numId w:val="5"/>
        </w:numPr>
        <w:shd w:val="clear" w:color="auto" w:fill="auto"/>
        <w:tabs>
          <w:tab w:val="left" w:pos="299"/>
        </w:tabs>
        <w:spacing w:before="0" w:after="300" w:line="274" w:lineRule="exact"/>
        <w:ind w:right="20"/>
        <w:jc w:val="center"/>
        <w:rPr>
          <w:rStyle w:val="Zkladntext11pt"/>
          <w:rFonts w:ascii="Arial" w:hAnsi="Arial" w:cs="Arial"/>
          <w:b/>
          <w:sz w:val="24"/>
          <w:szCs w:val="24"/>
        </w:rPr>
      </w:pPr>
      <w:r>
        <w:rPr>
          <w:rStyle w:val="Zkladntext11pt"/>
          <w:rFonts w:ascii="Arial" w:hAnsi="Arial" w:cs="Arial"/>
          <w:b/>
          <w:sz w:val="24"/>
          <w:szCs w:val="24"/>
        </w:rPr>
        <w:lastRenderedPageBreak/>
        <w:t>NÁVRH SMĚRNICE</w:t>
      </w:r>
    </w:p>
    <w:p w:rsidR="00522989" w:rsidRPr="001B263E" w:rsidRDefault="00522989" w:rsidP="001B263E">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Postupy a činnosti upravené touto směrnicí se týkají mimořádné události, kdy tělo zemřelého vykazuje přítomnost vysoce nakažlivé nemoci (dále jen „VNN“) a/nebo je zde podezření na přítomnost VNN s ohledem na anamnestické údaje o pobytu zemřelé osoby v endemické oblasti a/nebo v souvislosti s epidemiologicky významným kontaktem zemřelého pacienta s jinou osobou nakaženou VNN. Pro účely této směrnice se za tělo</w:t>
      </w:r>
      <w:r w:rsidR="0069383A">
        <w:rPr>
          <w:rStyle w:val="Zkladntext11pt"/>
          <w:rFonts w:ascii="Arial" w:hAnsi="Arial"/>
          <w:sz w:val="20"/>
          <w:szCs w:val="20"/>
        </w:rPr>
        <w:t xml:space="preserve"> zemřelého považují i jeho části</w:t>
      </w:r>
      <w:r w:rsidRPr="001B263E">
        <w:rPr>
          <w:rStyle w:val="Zkladntext11pt"/>
          <w:rFonts w:ascii="Arial" w:hAnsi="Arial"/>
          <w:sz w:val="20"/>
          <w:szCs w:val="20"/>
        </w:rPr>
        <w:t xml:space="preserve"> včetně jeho oblečení, osobních věcí a dalších předmětů, se kterými přišel do kontaktu.</w:t>
      </w:r>
    </w:p>
    <w:p w:rsidR="00522989" w:rsidRPr="001B263E" w:rsidRDefault="00522989" w:rsidP="00522989">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Cílem směrnice je popsat postup pouze u takového těla zemřelého, u kterého měl lékař podezření na nakažení původcem VNN nikoli bezprostředně po úmrtí nebo po pitvě, ale až po předání těla zemřelého provozovateli pohřební služby (dále jen „PS“). Pokud má lékař prohlížející tělo zemřelého podezření na nakažení původcem VNN bezprostředně během prohlídky nebo pitvající lékař během pitvy, tělo zemřelého nesmí být PS nikdy předáno.</w:t>
      </w:r>
    </w:p>
    <w:p w:rsidR="00522989" w:rsidRPr="001B263E" w:rsidRDefault="00522989" w:rsidP="00522989">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Účelem směrnice je zajistit jednotný a účinný systém připravenosti a reakce na ohrožení veřejného zdraví v důsledku šíření VNN, a to v souladu s příslušnými právními předpisy a požadavky revidovaných Mezinárodních zdravotnických předpisů z roku 2005 (dále jen „MZP 2005“), které je Česká republika, jako smluvní stát Světové zdravotnické organizace (</w:t>
      </w:r>
      <w:proofErr w:type="spellStart"/>
      <w:r w:rsidRPr="001B263E">
        <w:rPr>
          <w:rStyle w:val="Zkladntext11pt"/>
          <w:rFonts w:ascii="Arial" w:hAnsi="Arial"/>
          <w:sz w:val="20"/>
          <w:szCs w:val="20"/>
        </w:rPr>
        <w:t>World</w:t>
      </w:r>
      <w:proofErr w:type="spellEnd"/>
      <w:r w:rsidRPr="001B263E">
        <w:rPr>
          <w:rStyle w:val="Zkladntext11pt"/>
          <w:rFonts w:ascii="Arial" w:hAnsi="Arial"/>
          <w:sz w:val="20"/>
          <w:szCs w:val="20"/>
        </w:rPr>
        <w:t xml:space="preserve"> </w:t>
      </w:r>
      <w:proofErr w:type="spellStart"/>
      <w:r w:rsidRPr="001B263E">
        <w:rPr>
          <w:rStyle w:val="Zkladntext11pt"/>
          <w:rFonts w:ascii="Arial" w:hAnsi="Arial"/>
          <w:sz w:val="20"/>
          <w:szCs w:val="20"/>
        </w:rPr>
        <w:t>Health</w:t>
      </w:r>
      <w:proofErr w:type="spellEnd"/>
      <w:r w:rsidRPr="001B263E">
        <w:rPr>
          <w:rStyle w:val="Zkladntext11pt"/>
          <w:rFonts w:ascii="Arial" w:hAnsi="Arial"/>
          <w:sz w:val="20"/>
          <w:szCs w:val="20"/>
        </w:rPr>
        <w:t xml:space="preserve"> </w:t>
      </w:r>
      <w:proofErr w:type="spellStart"/>
      <w:r w:rsidRPr="001B263E">
        <w:rPr>
          <w:rStyle w:val="Zkladntext11pt"/>
          <w:rFonts w:ascii="Arial" w:hAnsi="Arial"/>
          <w:sz w:val="20"/>
          <w:szCs w:val="20"/>
        </w:rPr>
        <w:t>Organization</w:t>
      </w:r>
      <w:proofErr w:type="spellEnd"/>
      <w:r w:rsidRPr="001B263E">
        <w:rPr>
          <w:rStyle w:val="Zkladntext11pt"/>
          <w:rFonts w:ascii="Arial" w:hAnsi="Arial"/>
          <w:sz w:val="20"/>
          <w:szCs w:val="20"/>
        </w:rPr>
        <w:t>) zavázána implementovat. Jinými slovy, při vzniku takové události je třeba zejména chránit ty, kteří se na jejím řešení účastní. V tomto případě se jedná zejména o zaměstnance PS a krematorií. Složky integrovaného záchranného systému (dále jen „IZS“) jsou na událost vybaveny a pravidelně proškolovány a cvičeny</w:t>
      </w:r>
      <w:r w:rsidR="00ED3A7A">
        <w:rPr>
          <w:rStyle w:val="Zkladntext11pt"/>
          <w:rFonts w:ascii="Arial" w:hAnsi="Arial"/>
          <w:sz w:val="20"/>
          <w:szCs w:val="20"/>
        </w:rPr>
        <w:t>.</w:t>
      </w:r>
    </w:p>
    <w:p w:rsidR="00522989" w:rsidRPr="003E6FE1" w:rsidRDefault="00522989" w:rsidP="00522989">
      <w:pPr>
        <w:pStyle w:val="Zkladntext7"/>
        <w:shd w:val="clear" w:color="auto" w:fill="auto"/>
        <w:tabs>
          <w:tab w:val="left" w:pos="299"/>
        </w:tabs>
        <w:spacing w:before="0" w:after="160" w:line="240" w:lineRule="auto"/>
        <w:ind w:right="20" w:firstLine="0"/>
        <w:rPr>
          <w:rFonts w:ascii="Arial" w:hAnsi="Arial" w:cs="Arial"/>
          <w:sz w:val="20"/>
          <w:szCs w:val="20"/>
        </w:rPr>
      </w:pPr>
      <w:r w:rsidRPr="003E6FE1">
        <w:rPr>
          <w:rStyle w:val="Zkladntext11pt"/>
          <w:rFonts w:ascii="Arial" w:hAnsi="Arial" w:cs="Arial"/>
          <w:sz w:val="20"/>
          <w:szCs w:val="20"/>
        </w:rPr>
        <w:t xml:space="preserve">Onemocnění typu VNN nelze </w:t>
      </w:r>
      <w:r w:rsidRPr="003E6FE1">
        <w:rPr>
          <w:rFonts w:ascii="Arial" w:hAnsi="Arial" w:cs="Arial"/>
          <w:sz w:val="20"/>
          <w:szCs w:val="20"/>
        </w:rPr>
        <w:t>spolehlivě</w:t>
      </w:r>
      <w:r w:rsidRPr="003E6FE1">
        <w:rPr>
          <w:rStyle w:val="Zkladntext11pt"/>
          <w:rFonts w:ascii="Arial" w:hAnsi="Arial" w:cs="Arial"/>
          <w:sz w:val="20"/>
          <w:szCs w:val="20"/>
        </w:rPr>
        <w:t xml:space="preserve"> vymezit na základě předem daného seznamu diagnóz. Hlavními společnými a určujícími znaky </w:t>
      </w:r>
      <w:r w:rsidRPr="003E6FE1">
        <w:rPr>
          <w:rFonts w:ascii="Arial" w:hAnsi="Arial" w:cs="Arial"/>
          <w:sz w:val="20"/>
          <w:szCs w:val="20"/>
        </w:rPr>
        <w:t>pro</w:t>
      </w:r>
      <w:r w:rsidRPr="003E6FE1">
        <w:rPr>
          <w:rStyle w:val="Zkladntext11pt"/>
          <w:rFonts w:ascii="Arial" w:hAnsi="Arial" w:cs="Arial"/>
          <w:sz w:val="20"/>
          <w:szCs w:val="20"/>
        </w:rPr>
        <w:t xml:space="preserve"> zařazení do relativně heterogenní skupiny VNN jsou vysoká úmrtnost (dosahující přibližně 90 </w:t>
      </w:r>
      <w:r w:rsidRPr="003E6FE1">
        <w:rPr>
          <w:rStyle w:val="Zkladntext11pt"/>
          <w:rFonts w:ascii="Arial" w:hAnsi="Arial" w:cs="Arial"/>
          <w:i/>
          <w:iCs/>
          <w:sz w:val="20"/>
          <w:szCs w:val="20"/>
        </w:rPr>
        <w:t>%</w:t>
      </w:r>
      <w:r w:rsidRPr="003E6FE1">
        <w:rPr>
          <w:rStyle w:val="Zkladntext11pt"/>
          <w:rFonts w:ascii="Arial" w:hAnsi="Arial" w:cs="Arial"/>
          <w:sz w:val="20"/>
          <w:szCs w:val="20"/>
        </w:rPr>
        <w:t xml:space="preserve"> a více),</w:t>
      </w:r>
      <w:r w:rsidRPr="003E6FE1">
        <w:rPr>
          <w:rFonts w:ascii="Arial" w:hAnsi="Arial" w:cs="Arial"/>
          <w:sz w:val="20"/>
          <w:szCs w:val="20"/>
        </w:rPr>
        <w:t xml:space="preserve"> </w:t>
      </w:r>
      <w:r w:rsidRPr="003E6FE1">
        <w:rPr>
          <w:rStyle w:val="Zkladntext11pt"/>
          <w:rFonts w:ascii="Arial" w:hAnsi="Arial" w:cs="Arial"/>
          <w:sz w:val="20"/>
          <w:szCs w:val="20"/>
        </w:rPr>
        <w:t>vysoká nakažlivost,</w:t>
      </w:r>
      <w:r w:rsidRPr="003E6FE1">
        <w:rPr>
          <w:rFonts w:ascii="Arial" w:hAnsi="Arial" w:cs="Arial"/>
          <w:sz w:val="20"/>
          <w:szCs w:val="20"/>
        </w:rPr>
        <w:t xml:space="preserve"> </w:t>
      </w:r>
      <w:r w:rsidRPr="003E6FE1">
        <w:rPr>
          <w:rStyle w:val="Zkladntext11pt"/>
          <w:rFonts w:ascii="Arial" w:hAnsi="Arial" w:cs="Arial"/>
          <w:sz w:val="20"/>
          <w:szCs w:val="20"/>
        </w:rPr>
        <w:t xml:space="preserve">vysoká vnímavost populace, omezené možnosti diagnostiky, léčby a prevence. V případě onemocnění typu VNN náleží </w:t>
      </w:r>
      <w:r>
        <w:rPr>
          <w:rStyle w:val="Zkladntext11pt"/>
          <w:rFonts w:ascii="Arial" w:hAnsi="Arial" w:cs="Arial"/>
          <w:sz w:val="20"/>
          <w:szCs w:val="20"/>
        </w:rPr>
        <w:t xml:space="preserve">odborné </w:t>
      </w:r>
      <w:r w:rsidRPr="003E6FE1">
        <w:rPr>
          <w:rStyle w:val="Zkladntext11pt"/>
          <w:rFonts w:ascii="Arial" w:hAnsi="Arial" w:cs="Arial"/>
          <w:sz w:val="20"/>
          <w:szCs w:val="20"/>
        </w:rPr>
        <w:t xml:space="preserve">posouzení </w:t>
      </w:r>
      <w:r>
        <w:rPr>
          <w:rStyle w:val="Zkladntext11pt"/>
          <w:rFonts w:ascii="Arial" w:hAnsi="Arial" w:cs="Arial"/>
          <w:sz w:val="20"/>
          <w:szCs w:val="20"/>
        </w:rPr>
        <w:t xml:space="preserve">pouze </w:t>
      </w:r>
      <w:r w:rsidRPr="003E6FE1">
        <w:rPr>
          <w:rStyle w:val="Zkladntext11pt"/>
          <w:rFonts w:ascii="Arial" w:hAnsi="Arial" w:cs="Arial"/>
          <w:sz w:val="20"/>
          <w:szCs w:val="20"/>
        </w:rPr>
        <w:t>místně příslušnému orgánu ochrany veřejného zdraví (dále jen „OOVZ“).</w:t>
      </w:r>
    </w:p>
    <w:p w:rsidR="00522989" w:rsidRPr="001B263E" w:rsidRDefault="00522989" w:rsidP="00522989">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V případě, že dojde k úmrtí postižené osoby pravděpodobně v souvislosti s infekčním onemocněním vyvolaným původcem VNN, je nezbytné, aby při nakládání s tělem zemřelého byly dodržovány zásady, které upravují příslušné právní předpisy. Jedná se především o § 92 zákona č. 89/2012 Sb., občanský zákoník, § 83 až § 92 zákona č. 372/2011 Sb., o zdravotních službách a podmínkách jejich poskytování, zákon č. 256/2001 Sb., o pohřebnictví a o změně některých zákonů ve znění pozdějších předpisů (dále jen „zákon o pohřebnictví“) a zákon č. 258/2000 Sb., o ochraně veřejného zdraví a o změně některých souvisejících zákonů, Mezinárodní ujednání č. 44/1938 Sb., o přepravě mrtvol, Sdělení Ministerstva zahraničních věcí č. 22/2012 Sb. m. s. k podpisu Dohody o převozu těl zemřelých a nařízení vlády č. 1/2000 Sb., o přepravním řádu pro veřejnou drážní nákladní dopravu, ve znění pozdějších předpisů.</w:t>
      </w:r>
    </w:p>
    <w:p w:rsidR="00522989" w:rsidRPr="001B263E" w:rsidRDefault="00522989" w:rsidP="00522989">
      <w:pPr>
        <w:pStyle w:val="Zkladntext7"/>
        <w:shd w:val="clear" w:color="auto" w:fill="auto"/>
        <w:tabs>
          <w:tab w:val="left" w:pos="299"/>
        </w:tabs>
        <w:spacing w:before="0" w:after="160" w:line="240" w:lineRule="auto"/>
        <w:ind w:right="20" w:firstLine="0"/>
        <w:rPr>
          <w:rStyle w:val="Zkladntext11pt"/>
          <w:rFonts w:ascii="Arial" w:hAnsi="Arial"/>
          <w:sz w:val="20"/>
          <w:szCs w:val="20"/>
        </w:rPr>
      </w:pPr>
      <w:r w:rsidRPr="001B263E">
        <w:rPr>
          <w:rStyle w:val="Zkladntext11pt"/>
          <w:rFonts w:ascii="Arial" w:hAnsi="Arial"/>
          <w:sz w:val="20"/>
          <w:szCs w:val="20"/>
        </w:rPr>
        <w:t>Hromadné hroby</w:t>
      </w:r>
      <w:r w:rsidR="00DA4B0D" w:rsidRPr="001B263E">
        <w:rPr>
          <w:rStyle w:val="Zkladntext11pt"/>
          <w:rFonts w:ascii="Arial" w:hAnsi="Arial"/>
          <w:sz w:val="20"/>
          <w:szCs w:val="20"/>
        </w:rPr>
        <w:t xml:space="preserve"> na pohřebišti nebo mimo pohřebiště,</w:t>
      </w:r>
      <w:r w:rsidRPr="001B263E">
        <w:rPr>
          <w:rStyle w:val="Zkladntext11pt"/>
          <w:rFonts w:ascii="Arial" w:hAnsi="Arial"/>
          <w:sz w:val="20"/>
          <w:szCs w:val="20"/>
        </w:rPr>
        <w:t xml:space="preserve"> </w:t>
      </w:r>
      <w:r w:rsidRPr="00DA4B0D">
        <w:rPr>
          <w:rStyle w:val="Zkladntext11pt"/>
          <w:rFonts w:ascii="Arial" w:hAnsi="Arial"/>
          <w:sz w:val="20"/>
          <w:szCs w:val="20"/>
        </w:rPr>
        <w:t>použití</w:t>
      </w:r>
      <w:r w:rsidRPr="001B263E">
        <w:rPr>
          <w:rStyle w:val="Zkladntext11pt"/>
          <w:rFonts w:ascii="Arial" w:hAnsi="Arial"/>
          <w:sz w:val="20"/>
          <w:szCs w:val="20"/>
        </w:rPr>
        <w:t xml:space="preserve"> </w:t>
      </w:r>
      <w:r w:rsidR="00DA4B0D" w:rsidRPr="001B263E">
        <w:rPr>
          <w:rStyle w:val="Zkladntext11pt"/>
          <w:rFonts w:ascii="Arial" w:hAnsi="Arial"/>
          <w:sz w:val="20"/>
          <w:szCs w:val="20"/>
        </w:rPr>
        <w:t xml:space="preserve">nehašeného vápna nebo jiných </w:t>
      </w:r>
      <w:r w:rsidRPr="001B263E">
        <w:rPr>
          <w:rStyle w:val="Zkladntext11pt"/>
          <w:rFonts w:ascii="Arial" w:hAnsi="Arial"/>
          <w:sz w:val="20"/>
          <w:szCs w:val="20"/>
        </w:rPr>
        <w:t>dezinfekčních prostředků v</w:t>
      </w:r>
      <w:r w:rsidR="00DA4B0D" w:rsidRPr="001B263E">
        <w:rPr>
          <w:rStyle w:val="Zkladntext11pt"/>
          <w:rFonts w:ascii="Arial" w:hAnsi="Arial"/>
          <w:sz w:val="20"/>
          <w:szCs w:val="20"/>
        </w:rPr>
        <w:t xml:space="preserve"> individuálních </w:t>
      </w:r>
      <w:r w:rsidRPr="001B263E">
        <w:rPr>
          <w:rStyle w:val="Zkladntext11pt"/>
          <w:rFonts w:ascii="Arial" w:hAnsi="Arial"/>
          <w:sz w:val="20"/>
          <w:szCs w:val="20"/>
        </w:rPr>
        <w:t xml:space="preserve">hrobech jsou výše uvedenými předpisy </w:t>
      </w:r>
      <w:r w:rsidR="00DA4B0D" w:rsidRPr="001B263E">
        <w:rPr>
          <w:rStyle w:val="Zkladntext11pt"/>
          <w:rFonts w:ascii="Arial" w:hAnsi="Arial"/>
          <w:sz w:val="20"/>
          <w:szCs w:val="20"/>
        </w:rPr>
        <w:t xml:space="preserve">implicitně </w:t>
      </w:r>
      <w:r w:rsidRPr="001B263E">
        <w:rPr>
          <w:rStyle w:val="Zkladntext11pt"/>
          <w:rFonts w:ascii="Arial" w:hAnsi="Arial"/>
          <w:sz w:val="20"/>
          <w:szCs w:val="20"/>
        </w:rPr>
        <w:t xml:space="preserve">zakázány. Stejně tak je zakázáno pohřbení spálením ve spalovnách zdravotnického odpadu nebo v kafilériích. Zcela výjimečně – pro účely této směrnice – nemusí být tělo zemřelého pohřbeno ani zpopelněním v krematoriu nebo do země na pohřebišti. A to i v případě, že se jedná o tělo zemřelého státního příslušníka cizího státu. Odvolání proti rozhodnutí krajské hygienické stanice </w:t>
      </w:r>
      <w:r w:rsidR="00DA4B0D" w:rsidRPr="001B263E">
        <w:rPr>
          <w:rStyle w:val="Zkladntext11pt"/>
          <w:rFonts w:ascii="Arial" w:hAnsi="Arial"/>
          <w:sz w:val="20"/>
          <w:szCs w:val="20"/>
        </w:rPr>
        <w:t xml:space="preserve">o spálení těla zemřelého v OBO Těchonín </w:t>
      </w:r>
      <w:r w:rsidRPr="001B263E">
        <w:rPr>
          <w:rStyle w:val="Zkladntext11pt"/>
          <w:rFonts w:ascii="Arial" w:hAnsi="Arial"/>
          <w:sz w:val="20"/>
          <w:szCs w:val="20"/>
        </w:rPr>
        <w:t>nemá odkladný účinek.</w:t>
      </w:r>
      <w:r w:rsidR="00DA4B0D" w:rsidRPr="001B263E">
        <w:rPr>
          <w:rStyle w:val="Zkladntext11pt"/>
          <w:rFonts w:ascii="Arial" w:hAnsi="Arial"/>
          <w:sz w:val="20"/>
          <w:szCs w:val="20"/>
        </w:rPr>
        <w:t xml:space="preserve"> Neidentifikované lidské pozůstatky nelze bez povolení Policie ČR nebo státního zastupitelství zpopelnit v krematoriu ani spálit v OBO Těchonín.</w:t>
      </w:r>
    </w:p>
    <w:p w:rsidR="00522989" w:rsidRPr="007E5A60" w:rsidRDefault="00522989" w:rsidP="00522989">
      <w:pPr>
        <w:pStyle w:val="Zkladntext7"/>
        <w:shd w:val="clear" w:color="auto" w:fill="auto"/>
        <w:spacing w:before="0" w:after="0" w:line="274" w:lineRule="exact"/>
        <w:ind w:right="20" w:firstLine="0"/>
        <w:rPr>
          <w:rStyle w:val="Zkladntext11pt"/>
          <w:rFonts w:ascii="Arial" w:hAnsi="Arial" w:cs="Arial"/>
          <w:b/>
          <w:sz w:val="20"/>
          <w:szCs w:val="20"/>
        </w:rPr>
      </w:pPr>
      <w:r w:rsidRPr="00CD04C4">
        <w:rPr>
          <w:rStyle w:val="Zkladntext11pt"/>
          <w:rFonts w:ascii="Arial" w:hAnsi="Arial" w:cs="Arial"/>
          <w:b/>
          <w:sz w:val="20"/>
          <w:szCs w:val="20"/>
        </w:rPr>
        <w:t>Při manipulaci s</w:t>
      </w:r>
      <w:r>
        <w:rPr>
          <w:rStyle w:val="Zkladntext11pt"/>
          <w:rFonts w:ascii="Arial" w:hAnsi="Arial" w:cs="Arial"/>
          <w:b/>
          <w:sz w:val="20"/>
          <w:szCs w:val="20"/>
        </w:rPr>
        <w:t xml:space="preserve"> tělem zemřelého </w:t>
      </w:r>
      <w:r w:rsidRPr="00CD04C4">
        <w:rPr>
          <w:rStyle w:val="Zkladntext11pt"/>
          <w:rFonts w:ascii="Arial" w:hAnsi="Arial" w:cs="Arial"/>
          <w:b/>
          <w:sz w:val="20"/>
          <w:szCs w:val="20"/>
        </w:rPr>
        <w:t>je nezbytné respektovat zejména tyto zásady:</w:t>
      </w:r>
    </w:p>
    <w:p w:rsidR="00522989" w:rsidRPr="005661E7"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sidRPr="005661E7">
        <w:rPr>
          <w:rStyle w:val="Zkladntext11pt"/>
          <w:rFonts w:ascii="Arial" w:hAnsi="Arial" w:cs="Arial"/>
          <w:sz w:val="20"/>
          <w:szCs w:val="20"/>
        </w:rPr>
        <w:t>OOVZ stanoví způ</w:t>
      </w:r>
      <w:r w:rsidR="001B263E">
        <w:rPr>
          <w:rStyle w:val="Zkladntext11pt"/>
          <w:rFonts w:ascii="Arial" w:hAnsi="Arial" w:cs="Arial"/>
          <w:sz w:val="20"/>
          <w:szCs w:val="20"/>
        </w:rPr>
        <w:t>sob zacházení s tělem zemřelého v provozovně pohřební nebo kremační služby</w:t>
      </w:r>
      <w:r w:rsidRPr="005661E7">
        <w:rPr>
          <w:rStyle w:val="Zkladntext11pt"/>
          <w:rFonts w:ascii="Arial" w:hAnsi="Arial" w:cs="Arial"/>
          <w:sz w:val="20"/>
          <w:szCs w:val="20"/>
        </w:rPr>
        <w:t>. Do doby stanovení těchto podmínek nesmí být s tělem zemřelého v provozovně PS jakkoli manipulováno.</w:t>
      </w:r>
    </w:p>
    <w:p w:rsidR="00522989" w:rsidRPr="005661E7" w:rsidRDefault="00522989" w:rsidP="00522989">
      <w:pPr>
        <w:pStyle w:val="Zkladntext7"/>
        <w:numPr>
          <w:ilvl w:val="0"/>
          <w:numId w:val="2"/>
        </w:numPr>
        <w:shd w:val="clear" w:color="auto" w:fill="auto"/>
        <w:tabs>
          <w:tab w:val="left" w:pos="740"/>
        </w:tabs>
        <w:spacing w:before="0" w:after="0" w:line="274" w:lineRule="exact"/>
        <w:ind w:right="20"/>
        <w:rPr>
          <w:rStyle w:val="Zkladntext11pt"/>
          <w:rFonts w:ascii="Arial" w:hAnsi="Arial" w:cs="Arial"/>
          <w:sz w:val="20"/>
          <w:szCs w:val="20"/>
        </w:rPr>
      </w:pPr>
      <w:r w:rsidRPr="005661E7">
        <w:rPr>
          <w:rStyle w:val="Zkladntext11pt"/>
          <w:rFonts w:ascii="Arial" w:hAnsi="Arial" w:cs="Arial"/>
          <w:sz w:val="20"/>
          <w:szCs w:val="20"/>
        </w:rPr>
        <w:t>OOVZ informuje jednatele provozovatele pohřební služby,</w:t>
      </w:r>
      <w:r>
        <w:rPr>
          <w:rStyle w:val="Zkladntext11pt"/>
          <w:rFonts w:ascii="Arial" w:hAnsi="Arial" w:cs="Arial"/>
          <w:sz w:val="20"/>
          <w:szCs w:val="20"/>
        </w:rPr>
        <w:t xml:space="preserve"> </w:t>
      </w:r>
      <w:r w:rsidRPr="005661E7">
        <w:rPr>
          <w:rStyle w:val="Zkladntext11pt"/>
          <w:rFonts w:ascii="Arial" w:hAnsi="Arial" w:cs="Arial"/>
          <w:sz w:val="20"/>
          <w:szCs w:val="20"/>
        </w:rPr>
        <w:t xml:space="preserve">krematoria nebo pohřebiště, který je provozovatelem dotčeného technického vybavení či provozovny, o pravděpodobném výskytu VNN </w:t>
      </w:r>
      <w:r w:rsidRPr="005661E7">
        <w:rPr>
          <w:rStyle w:val="Zkladntext11pt"/>
          <w:rFonts w:ascii="Arial" w:hAnsi="Arial" w:cs="Arial"/>
          <w:sz w:val="20"/>
          <w:szCs w:val="20"/>
        </w:rPr>
        <w:lastRenderedPageBreak/>
        <w:t xml:space="preserve">v provozovně pohřební služby, krematoria nebo pohřebiště a </w:t>
      </w:r>
      <w:bookmarkStart w:id="0" w:name="bookmark77"/>
      <w:r w:rsidRPr="005661E7">
        <w:rPr>
          <w:rStyle w:val="Zkladntext11pt"/>
          <w:rFonts w:ascii="Arial" w:hAnsi="Arial" w:cs="Arial"/>
          <w:sz w:val="20"/>
          <w:szCs w:val="20"/>
        </w:rPr>
        <w:t xml:space="preserve">o zahájení mimořádných opatření. Provozovatel pohřební služby, krematoria nebo pohřebiště </w:t>
      </w:r>
      <w:bookmarkEnd w:id="0"/>
      <w:r w:rsidRPr="005661E7">
        <w:rPr>
          <w:rStyle w:val="Zkladntext11pt"/>
          <w:rFonts w:ascii="Arial" w:hAnsi="Arial" w:cs="Arial"/>
          <w:sz w:val="20"/>
          <w:szCs w:val="20"/>
        </w:rPr>
        <w:t>poskytne osobní údaje o zemřelém a</w:t>
      </w:r>
      <w:r w:rsidR="002E389F">
        <w:rPr>
          <w:rStyle w:val="Zkladntext11pt"/>
          <w:rFonts w:ascii="Arial" w:hAnsi="Arial" w:cs="Arial"/>
          <w:sz w:val="20"/>
          <w:szCs w:val="20"/>
        </w:rPr>
        <w:t> </w:t>
      </w:r>
      <w:r w:rsidRPr="005661E7">
        <w:rPr>
          <w:rStyle w:val="Zkladntext11pt"/>
          <w:rFonts w:ascii="Arial" w:hAnsi="Arial" w:cs="Arial"/>
          <w:sz w:val="20"/>
          <w:szCs w:val="20"/>
        </w:rPr>
        <w:t>svých zaměstnancích jako podklad pro epidemiologické šetření.</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Součástí pokynů OOVZ bude zákaz rakev i patologický vak otevírat. Tento zákaz bude </w:t>
      </w:r>
      <w:r w:rsidRPr="005661E7">
        <w:rPr>
          <w:rStyle w:val="Zkladntext11pt"/>
          <w:rFonts w:ascii="Arial" w:hAnsi="Arial" w:cs="Arial"/>
          <w:sz w:val="20"/>
          <w:szCs w:val="20"/>
        </w:rPr>
        <w:t>uveden nesmazatelně v českém a anglickém jazyce, pevně a viditelně připevněn na spodní i vrchní části vnější rakve, vnitřní rakve a po obou stranách patologického vaku. Štítek</w:t>
      </w:r>
      <w:r>
        <w:rPr>
          <w:rStyle w:val="Zkladntext11pt"/>
          <w:rFonts w:ascii="Arial" w:hAnsi="Arial" w:cs="Arial"/>
          <w:sz w:val="20"/>
          <w:szCs w:val="20"/>
        </w:rPr>
        <w:t xml:space="preserve"> na rakvi i na vaku bude dále obsahovat list o prohlídce zemřelého se záznamem o nebezpečné nemoci, název, adresu a</w:t>
      </w:r>
      <w:r w:rsidR="002E389F">
        <w:rPr>
          <w:rStyle w:val="Zkladntext11pt"/>
          <w:rFonts w:ascii="Arial" w:hAnsi="Arial" w:cs="Arial"/>
          <w:sz w:val="20"/>
          <w:szCs w:val="20"/>
        </w:rPr>
        <w:t> </w:t>
      </w:r>
      <w:r>
        <w:rPr>
          <w:rStyle w:val="Zkladntext11pt"/>
          <w:rFonts w:ascii="Arial" w:hAnsi="Arial" w:cs="Arial"/>
          <w:sz w:val="20"/>
          <w:szCs w:val="20"/>
        </w:rPr>
        <w:t>číslo telefonu zvoleného pohřebiště nebo krematoria, název a IČO PS.</w:t>
      </w:r>
    </w:p>
    <w:p w:rsidR="00522989" w:rsidRPr="006B5B70" w:rsidRDefault="00522989" w:rsidP="00522989">
      <w:pPr>
        <w:pStyle w:val="Zkladntext7"/>
        <w:numPr>
          <w:ilvl w:val="0"/>
          <w:numId w:val="2"/>
        </w:numPr>
        <w:shd w:val="clear" w:color="auto" w:fill="auto"/>
        <w:tabs>
          <w:tab w:val="left" w:pos="735"/>
        </w:tabs>
        <w:spacing w:before="0" w:after="0" w:line="274" w:lineRule="exact"/>
        <w:ind w:right="20"/>
        <w:rPr>
          <w:rStyle w:val="Zkladntext11pt"/>
          <w:rFonts w:ascii="Arial" w:hAnsi="Arial" w:cs="Arial"/>
          <w:sz w:val="20"/>
          <w:szCs w:val="20"/>
        </w:rPr>
      </w:pPr>
      <w:r w:rsidRPr="006B5B70">
        <w:rPr>
          <w:rStyle w:val="Zkladntext11pt"/>
          <w:rFonts w:ascii="Arial" w:hAnsi="Arial" w:cs="Arial"/>
          <w:sz w:val="20"/>
          <w:szCs w:val="20"/>
        </w:rPr>
        <w:t>Provozovatel pohřební služby, krematoria nebo pohřebiště poskytne potřebnou součinnost při řešení mimořádné události, tj. vyřadí kontaminované pohřební vozidlo a provozovnu z</w:t>
      </w:r>
      <w:r>
        <w:rPr>
          <w:rStyle w:val="Zkladntext11pt"/>
          <w:rFonts w:ascii="Arial" w:hAnsi="Arial" w:cs="Arial"/>
          <w:sz w:val="20"/>
          <w:szCs w:val="20"/>
        </w:rPr>
        <w:t> </w:t>
      </w:r>
      <w:r w:rsidRPr="006B5B70">
        <w:rPr>
          <w:rStyle w:val="Zkladntext11pt"/>
          <w:rFonts w:ascii="Arial" w:hAnsi="Arial" w:cs="Arial"/>
          <w:sz w:val="20"/>
          <w:szCs w:val="20"/>
        </w:rPr>
        <w:t>provozu</w:t>
      </w:r>
      <w:r>
        <w:rPr>
          <w:rStyle w:val="Zkladntext11pt"/>
          <w:rFonts w:ascii="Arial" w:hAnsi="Arial" w:cs="Arial"/>
          <w:sz w:val="20"/>
          <w:szCs w:val="20"/>
        </w:rPr>
        <w:t>, a</w:t>
      </w:r>
      <w:r w:rsidR="002E389F">
        <w:rPr>
          <w:rStyle w:val="Zkladntext11pt"/>
          <w:rFonts w:ascii="Arial" w:hAnsi="Arial" w:cs="Arial"/>
          <w:sz w:val="20"/>
          <w:szCs w:val="20"/>
        </w:rPr>
        <w:t> </w:t>
      </w:r>
      <w:r>
        <w:rPr>
          <w:rStyle w:val="Zkladntext11pt"/>
          <w:rFonts w:ascii="Arial" w:hAnsi="Arial" w:cs="Arial"/>
          <w:sz w:val="20"/>
          <w:szCs w:val="20"/>
        </w:rPr>
        <w:t>to až do doby,</w:t>
      </w:r>
      <w:r w:rsidRPr="006B5B70">
        <w:rPr>
          <w:rStyle w:val="Zkladntext11pt"/>
          <w:rFonts w:ascii="Arial" w:hAnsi="Arial" w:cs="Arial"/>
          <w:sz w:val="20"/>
          <w:szCs w:val="20"/>
        </w:rPr>
        <w:t xml:space="preserve"> než OOVZ rozhodne o dalším postupu.</w:t>
      </w:r>
      <w:bookmarkStart w:id="1" w:name="bookmark99"/>
    </w:p>
    <w:p w:rsidR="00522989" w:rsidRPr="00ED1B7B"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Speciální dezinfekci uskuteční vždy Hasičský záchranný sbor ČR. </w:t>
      </w:r>
      <w:r w:rsidRPr="00EB45C7">
        <w:rPr>
          <w:rStyle w:val="Zkladntext11pt"/>
          <w:rFonts w:ascii="Arial" w:hAnsi="Arial" w:cs="Arial"/>
          <w:sz w:val="20"/>
          <w:szCs w:val="20"/>
        </w:rPr>
        <w:t xml:space="preserve">Zdravotní ústav </w:t>
      </w:r>
      <w:r>
        <w:rPr>
          <w:rStyle w:val="Zkladntext11pt"/>
          <w:rFonts w:ascii="Arial" w:hAnsi="Arial" w:cs="Arial"/>
          <w:sz w:val="20"/>
          <w:szCs w:val="20"/>
        </w:rPr>
        <w:t xml:space="preserve">provede </w:t>
      </w:r>
      <w:bookmarkEnd w:id="1"/>
      <w:r w:rsidRPr="00DF0F32">
        <w:rPr>
          <w:rStyle w:val="Zkladntext11pt"/>
          <w:rFonts w:ascii="Arial" w:hAnsi="Arial" w:cs="Arial"/>
          <w:sz w:val="20"/>
          <w:szCs w:val="20"/>
        </w:rPr>
        <w:t>zá</w:t>
      </w:r>
      <w:r>
        <w:rPr>
          <w:rStyle w:val="Zkladntext11pt"/>
          <w:rFonts w:ascii="Arial" w:hAnsi="Arial" w:cs="Arial"/>
          <w:sz w:val="20"/>
          <w:szCs w:val="20"/>
        </w:rPr>
        <w:t xml:space="preserve">věrečnou ohniskovou dezinfekci </w:t>
      </w:r>
      <w:r w:rsidRPr="00DF0F32">
        <w:rPr>
          <w:rStyle w:val="Zkladntext11pt"/>
          <w:rFonts w:ascii="Arial" w:hAnsi="Arial" w:cs="Arial"/>
          <w:sz w:val="20"/>
          <w:szCs w:val="20"/>
        </w:rPr>
        <w:t>na základě rozhodnutí OOVZ.</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sidRPr="007770E3">
        <w:rPr>
          <w:rStyle w:val="Zkladntext11pt"/>
          <w:rFonts w:ascii="Arial" w:hAnsi="Arial" w:cs="Arial"/>
          <w:sz w:val="20"/>
          <w:szCs w:val="20"/>
        </w:rPr>
        <w:t xml:space="preserve">Osoby provádějící </w:t>
      </w:r>
      <w:r>
        <w:rPr>
          <w:rStyle w:val="Zkladntext11pt"/>
          <w:rFonts w:ascii="Arial" w:hAnsi="Arial" w:cs="Arial"/>
          <w:sz w:val="20"/>
          <w:szCs w:val="20"/>
        </w:rPr>
        <w:t>jakoukoli manipulaci s tělem</w:t>
      </w:r>
      <w:r w:rsidRPr="007770E3">
        <w:rPr>
          <w:rStyle w:val="Zkladntext11pt"/>
          <w:rFonts w:ascii="Arial" w:hAnsi="Arial" w:cs="Arial"/>
          <w:sz w:val="20"/>
          <w:szCs w:val="20"/>
        </w:rPr>
        <w:t xml:space="preserve"> </w:t>
      </w:r>
      <w:r>
        <w:rPr>
          <w:rStyle w:val="Zkladntext11pt"/>
          <w:rFonts w:ascii="Arial" w:hAnsi="Arial" w:cs="Arial"/>
          <w:sz w:val="20"/>
          <w:szCs w:val="20"/>
        </w:rPr>
        <w:t xml:space="preserve">zemřelého musejí </w:t>
      </w:r>
      <w:r w:rsidRPr="007770E3">
        <w:rPr>
          <w:rStyle w:val="Zkladntext11pt"/>
          <w:rFonts w:ascii="Arial" w:hAnsi="Arial" w:cs="Arial"/>
          <w:sz w:val="20"/>
          <w:szCs w:val="20"/>
        </w:rPr>
        <w:t>být vybaveny osobními ochrannými pomůckami</w:t>
      </w:r>
      <w:r>
        <w:rPr>
          <w:rStyle w:val="Zkladntext11pt"/>
          <w:rFonts w:ascii="Arial" w:hAnsi="Arial" w:cs="Arial"/>
          <w:sz w:val="20"/>
          <w:szCs w:val="20"/>
        </w:rPr>
        <w:t xml:space="preserve"> (</w:t>
      </w:r>
      <w:r w:rsidRPr="003E6FE1">
        <w:rPr>
          <w:rStyle w:val="Zkladntext11pt"/>
          <w:rFonts w:ascii="Arial" w:hAnsi="Arial" w:cs="Arial"/>
          <w:sz w:val="20"/>
          <w:szCs w:val="20"/>
        </w:rPr>
        <w:t>dále jen „</w:t>
      </w:r>
      <w:r>
        <w:rPr>
          <w:rStyle w:val="Zkladntext11pt"/>
          <w:rFonts w:ascii="Arial" w:hAnsi="Arial" w:cs="Arial"/>
          <w:sz w:val="20"/>
          <w:szCs w:val="20"/>
        </w:rPr>
        <w:t xml:space="preserve">OOPP“), které stanoví OOVZ, minimálně to budou dvoje </w:t>
      </w:r>
      <w:r w:rsidRPr="007770E3">
        <w:rPr>
          <w:rStyle w:val="Zkladntext11pt"/>
          <w:rFonts w:ascii="Arial" w:hAnsi="Arial" w:cs="Arial"/>
          <w:sz w:val="20"/>
          <w:szCs w:val="20"/>
        </w:rPr>
        <w:t>rukavic</w:t>
      </w:r>
      <w:r>
        <w:rPr>
          <w:rStyle w:val="Zkladntext11pt"/>
          <w:rFonts w:ascii="Arial" w:hAnsi="Arial" w:cs="Arial"/>
          <w:sz w:val="20"/>
          <w:szCs w:val="20"/>
        </w:rPr>
        <w:t>e, overaly</w:t>
      </w:r>
      <w:r w:rsidRPr="007770E3">
        <w:rPr>
          <w:rStyle w:val="Zkladntext11pt"/>
          <w:rFonts w:ascii="Arial" w:hAnsi="Arial" w:cs="Arial"/>
          <w:sz w:val="20"/>
          <w:szCs w:val="20"/>
        </w:rPr>
        <w:t xml:space="preserve"> a poloma</w:t>
      </w:r>
      <w:r>
        <w:rPr>
          <w:rStyle w:val="Zkladntext11pt"/>
          <w:rFonts w:ascii="Arial" w:hAnsi="Arial" w:cs="Arial"/>
          <w:sz w:val="20"/>
          <w:szCs w:val="20"/>
        </w:rPr>
        <w:t>sky s rozměrem pórů zabraňujícím</w:t>
      </w:r>
      <w:r w:rsidRPr="007770E3">
        <w:rPr>
          <w:rStyle w:val="Zkladntext11pt"/>
          <w:rFonts w:ascii="Arial" w:hAnsi="Arial" w:cs="Arial"/>
          <w:sz w:val="20"/>
          <w:szCs w:val="20"/>
        </w:rPr>
        <w:t xml:space="preserve"> pronikání virů.</w:t>
      </w:r>
      <w:r>
        <w:rPr>
          <w:rStyle w:val="Zkladntext11pt"/>
          <w:rFonts w:ascii="Arial" w:hAnsi="Arial" w:cs="Arial"/>
          <w:sz w:val="20"/>
          <w:szCs w:val="20"/>
        </w:rPr>
        <w:t xml:space="preserve"> OOPP k tomuto účelu musejí být speciálně vyrobeny.</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OOPP </w:t>
      </w:r>
      <w:r w:rsidRPr="004B7470">
        <w:rPr>
          <w:rStyle w:val="Zkladntext11pt"/>
          <w:rFonts w:ascii="Arial" w:hAnsi="Arial" w:cs="Arial"/>
          <w:sz w:val="20"/>
          <w:szCs w:val="20"/>
        </w:rPr>
        <w:t>je nutno řádně používat, a to počínaje samotným způsobem oblékání tak, aby byla chráněna každá sebemenší část těla manipulujícího, aby byly důsledně chráněny nejen pokožka, ale i dýchací cesty osob manipulujících s tělem nemocného/zemřelého, až po způsob svlékání kontaminovaných OOPP. Tyto postupy je však nutno pravidelně procvičovat.</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Tělo zemřelého </w:t>
      </w:r>
      <w:r w:rsidRPr="00FD1D68">
        <w:rPr>
          <w:rStyle w:val="Zkladntext11pt"/>
          <w:rFonts w:ascii="Arial" w:hAnsi="Arial" w:cs="Arial"/>
          <w:sz w:val="20"/>
          <w:szCs w:val="20"/>
        </w:rPr>
        <w:t>sm</w:t>
      </w:r>
      <w:r>
        <w:rPr>
          <w:rStyle w:val="Zkladntext11pt"/>
          <w:rFonts w:ascii="Arial" w:hAnsi="Arial" w:cs="Arial"/>
          <w:sz w:val="20"/>
          <w:szCs w:val="20"/>
        </w:rPr>
        <w:t>í</w:t>
      </w:r>
      <w:r w:rsidRPr="00FD1D68">
        <w:rPr>
          <w:rStyle w:val="Zkladntext11pt"/>
          <w:rFonts w:ascii="Arial" w:hAnsi="Arial" w:cs="Arial"/>
          <w:sz w:val="20"/>
          <w:szCs w:val="20"/>
        </w:rPr>
        <w:t xml:space="preserve"> být</w:t>
      </w:r>
      <w:r>
        <w:rPr>
          <w:rStyle w:val="Zkladntext11pt"/>
          <w:rFonts w:ascii="Arial" w:hAnsi="Arial" w:cs="Arial"/>
          <w:sz w:val="20"/>
          <w:szCs w:val="20"/>
        </w:rPr>
        <w:t xml:space="preserve"> uloženo pouze do konečné </w:t>
      </w:r>
      <w:r w:rsidRPr="00ED1B7B">
        <w:rPr>
          <w:rStyle w:val="Zkladntext11pt"/>
          <w:rFonts w:ascii="Arial" w:hAnsi="Arial"/>
          <w:sz w:val="20"/>
          <w:szCs w:val="20"/>
        </w:rPr>
        <w:t xml:space="preserve">neprodyšně zavřené zinkové </w:t>
      </w:r>
      <w:r>
        <w:rPr>
          <w:rStyle w:val="Zkladntext11pt"/>
          <w:rFonts w:ascii="Arial" w:hAnsi="Arial"/>
          <w:sz w:val="20"/>
          <w:szCs w:val="20"/>
        </w:rPr>
        <w:t>vložky</w:t>
      </w:r>
      <w:r w:rsidRPr="00ED1B7B">
        <w:rPr>
          <w:rStyle w:val="Zkladntext11pt"/>
          <w:rFonts w:ascii="Arial" w:hAnsi="Arial"/>
          <w:sz w:val="20"/>
          <w:szCs w:val="20"/>
        </w:rPr>
        <w:t xml:space="preserve">, nebo fólie </w:t>
      </w:r>
      <w:r>
        <w:rPr>
          <w:rStyle w:val="Zkladntext11pt"/>
          <w:rFonts w:ascii="Arial" w:hAnsi="Arial" w:cs="Arial"/>
          <w:sz w:val="20"/>
          <w:szCs w:val="20"/>
        </w:rPr>
        <w:t>s tím, že tělo zemřelého je do hermeticky uzavřené vložky uloženo v tzv. patologickém vaku pro osoby s VNN (ideálně patologický vak EBOLA), pokud OOVZ vzhledem k nebezpečnosti nákazy nestanoví jinak.</w:t>
      </w:r>
    </w:p>
    <w:p w:rsidR="00522989" w:rsidRPr="00EB24C1"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sidRPr="00EB24C1">
        <w:rPr>
          <w:rStyle w:val="Zkladntext11pt"/>
          <w:rFonts w:ascii="Arial" w:hAnsi="Arial" w:cs="Arial"/>
          <w:sz w:val="20"/>
          <w:szCs w:val="20"/>
        </w:rPr>
        <w:t>Zinková vložka/rakev se hermeticky uzavře letováním. Povrch zinkové vl</w:t>
      </w:r>
      <w:r>
        <w:rPr>
          <w:rStyle w:val="Zkladntext11pt"/>
          <w:rFonts w:ascii="Arial" w:hAnsi="Arial" w:cs="Arial"/>
          <w:sz w:val="20"/>
          <w:szCs w:val="20"/>
        </w:rPr>
        <w:t>ožky/rakve se ošetří vhodným dez</w:t>
      </w:r>
      <w:r w:rsidRPr="00EB24C1">
        <w:rPr>
          <w:rStyle w:val="Zkladntext11pt"/>
          <w:rFonts w:ascii="Arial" w:hAnsi="Arial" w:cs="Arial"/>
          <w:sz w:val="20"/>
          <w:szCs w:val="20"/>
        </w:rPr>
        <w:t xml:space="preserve">infekčním prostředkem. Zinková vložka/rakev s tělem zemřelé osoby se vloží do </w:t>
      </w:r>
      <w:r>
        <w:rPr>
          <w:rStyle w:val="Zkladntext11pt"/>
          <w:rFonts w:ascii="Arial" w:hAnsi="Arial" w:cs="Arial"/>
          <w:sz w:val="20"/>
          <w:szCs w:val="20"/>
        </w:rPr>
        <w:t xml:space="preserve">dřevěné </w:t>
      </w:r>
      <w:r w:rsidRPr="00EB24C1">
        <w:rPr>
          <w:rStyle w:val="Zkladntext11pt"/>
          <w:rFonts w:ascii="Arial" w:hAnsi="Arial" w:cs="Arial"/>
          <w:sz w:val="20"/>
          <w:szCs w:val="20"/>
        </w:rPr>
        <w:t xml:space="preserve">transportní rakve </w:t>
      </w:r>
      <w:r>
        <w:rPr>
          <w:rStyle w:val="Zkladntext11pt"/>
          <w:rFonts w:ascii="Arial" w:hAnsi="Arial" w:cs="Arial"/>
          <w:sz w:val="20"/>
          <w:szCs w:val="20"/>
        </w:rPr>
        <w:t xml:space="preserve">(z masivu, </w:t>
      </w:r>
      <w:r w:rsidRPr="00EB24C1">
        <w:rPr>
          <w:rStyle w:val="Zkladntext11pt"/>
          <w:rFonts w:ascii="Arial" w:hAnsi="Arial" w:cs="Arial"/>
          <w:sz w:val="20"/>
          <w:szCs w:val="20"/>
        </w:rPr>
        <w:t>síla stěn minimálně 2 centimetry).</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Veškeré oblečení zemřelého, jeho osobní věci a ozdoby, musejí být uloženy do zinkové vložky nebo fólie společně s tělem zemřelého. </w:t>
      </w:r>
      <w:r w:rsidRPr="00690292">
        <w:rPr>
          <w:rStyle w:val="Zkladntext11pt"/>
          <w:rFonts w:ascii="Arial" w:hAnsi="Arial" w:cs="Arial"/>
          <w:sz w:val="20"/>
          <w:szCs w:val="20"/>
        </w:rPr>
        <w:t xml:space="preserve">Pouze některé předměty, které mají pro pozůstalé mimořádný </w:t>
      </w:r>
      <w:proofErr w:type="spellStart"/>
      <w:r w:rsidRPr="00690292">
        <w:rPr>
          <w:rStyle w:val="Zkladntext11pt"/>
          <w:rFonts w:ascii="Arial" w:hAnsi="Arial" w:cs="Arial"/>
          <w:sz w:val="20"/>
          <w:szCs w:val="20"/>
        </w:rPr>
        <w:t>komemor</w:t>
      </w:r>
      <w:r>
        <w:rPr>
          <w:rStyle w:val="Zkladntext11pt"/>
          <w:rFonts w:ascii="Arial" w:hAnsi="Arial" w:cs="Arial"/>
          <w:sz w:val="20"/>
          <w:szCs w:val="20"/>
        </w:rPr>
        <w:t>a</w:t>
      </w:r>
      <w:r w:rsidRPr="00690292">
        <w:rPr>
          <w:rStyle w:val="Zkladntext11pt"/>
          <w:rFonts w:ascii="Arial" w:hAnsi="Arial" w:cs="Arial"/>
          <w:sz w:val="20"/>
          <w:szCs w:val="20"/>
        </w:rPr>
        <w:t>ční</w:t>
      </w:r>
      <w:proofErr w:type="spellEnd"/>
      <w:r w:rsidRPr="00690292">
        <w:rPr>
          <w:rStyle w:val="Zkladntext11pt"/>
          <w:rFonts w:ascii="Arial" w:hAnsi="Arial" w:cs="Arial"/>
          <w:sz w:val="20"/>
          <w:szCs w:val="20"/>
        </w:rPr>
        <w:t xml:space="preserve"> význam</w:t>
      </w:r>
      <w:r>
        <w:rPr>
          <w:rStyle w:val="Zkladntext11pt"/>
          <w:rFonts w:ascii="Arial" w:hAnsi="Arial" w:cs="Arial"/>
          <w:sz w:val="20"/>
          <w:szCs w:val="20"/>
        </w:rPr>
        <w:t>,</w:t>
      </w:r>
      <w:r w:rsidRPr="00690292">
        <w:rPr>
          <w:rStyle w:val="Zkladntext11pt"/>
          <w:rFonts w:ascii="Arial" w:hAnsi="Arial" w:cs="Arial"/>
          <w:sz w:val="20"/>
          <w:szCs w:val="20"/>
        </w:rPr>
        <w:t xml:space="preserve"> se mus</w:t>
      </w:r>
      <w:r>
        <w:rPr>
          <w:rStyle w:val="Zkladntext11pt"/>
          <w:rFonts w:ascii="Arial" w:hAnsi="Arial" w:cs="Arial"/>
          <w:sz w:val="20"/>
          <w:szCs w:val="20"/>
        </w:rPr>
        <w:t>ej</w:t>
      </w:r>
      <w:r w:rsidRPr="00690292">
        <w:rPr>
          <w:rStyle w:val="Zkladntext11pt"/>
          <w:rFonts w:ascii="Arial" w:hAnsi="Arial" w:cs="Arial"/>
          <w:sz w:val="20"/>
          <w:szCs w:val="20"/>
        </w:rPr>
        <w:t>í před vrácením rodině dekontaminovat.</w:t>
      </w:r>
    </w:p>
    <w:p w:rsidR="00522989" w:rsidRPr="001C131F"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sidRPr="001C131F">
        <w:rPr>
          <w:rStyle w:val="Zkladntext11pt"/>
          <w:rFonts w:ascii="Arial" w:hAnsi="Arial" w:cs="Arial"/>
          <w:sz w:val="20"/>
          <w:szCs w:val="20"/>
        </w:rPr>
        <w:t>Výjezdová skupina zdravotnické záchranné služb</w:t>
      </w:r>
      <w:r>
        <w:rPr>
          <w:rStyle w:val="Zkladntext11pt"/>
          <w:rFonts w:ascii="Arial" w:hAnsi="Arial" w:cs="Arial"/>
          <w:sz w:val="20"/>
          <w:szCs w:val="20"/>
        </w:rPr>
        <w:t>y</w:t>
      </w:r>
      <w:r w:rsidRPr="001C131F">
        <w:rPr>
          <w:rStyle w:val="Zkladntext11pt"/>
          <w:rFonts w:ascii="Arial" w:hAnsi="Arial" w:cs="Arial"/>
          <w:sz w:val="20"/>
          <w:szCs w:val="20"/>
        </w:rPr>
        <w:t xml:space="preserve"> převezme tělo zemřelého od PS, a předá toto tělo k uložení poskytovateli zdravotních služeb, kterého určil místně příslušný OOVZ (v současné době Nemocnice Na Bulovce Praha nebo OBO Těchonín).</w:t>
      </w:r>
    </w:p>
    <w:p w:rsidR="00522989" w:rsidRDefault="00522989" w:rsidP="00522989">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Pr>
          <w:rStyle w:val="Zkladntext11pt"/>
          <w:rFonts w:ascii="Arial" w:hAnsi="Arial" w:cs="Arial"/>
          <w:sz w:val="20"/>
          <w:szCs w:val="20"/>
        </w:rPr>
        <w:t xml:space="preserve">Jakmile se podezření na VNN potvrdí, a </w:t>
      </w:r>
      <w:r w:rsidRPr="00BD2044">
        <w:rPr>
          <w:rStyle w:val="Zkladntext11pt"/>
          <w:rFonts w:ascii="Arial" w:hAnsi="Arial" w:cs="Arial"/>
          <w:sz w:val="20"/>
          <w:szCs w:val="20"/>
        </w:rPr>
        <w:t>není-li možné vyloučit riziko nákazy ani v průběhu pohřbení v</w:t>
      </w:r>
      <w:r>
        <w:rPr>
          <w:rStyle w:val="Zkladntext11pt"/>
          <w:rFonts w:ascii="Arial" w:hAnsi="Arial" w:cs="Arial"/>
          <w:sz w:val="20"/>
          <w:szCs w:val="20"/>
        </w:rPr>
        <w:t> </w:t>
      </w:r>
      <w:r w:rsidRPr="00BD2044">
        <w:rPr>
          <w:rStyle w:val="Zkladntext11pt"/>
          <w:rFonts w:ascii="Arial" w:hAnsi="Arial" w:cs="Arial"/>
          <w:sz w:val="20"/>
          <w:szCs w:val="20"/>
        </w:rPr>
        <w:t>krematori</w:t>
      </w:r>
      <w:r>
        <w:rPr>
          <w:rStyle w:val="Zkladntext11pt"/>
          <w:rFonts w:ascii="Arial" w:hAnsi="Arial" w:cs="Arial"/>
          <w:sz w:val="20"/>
          <w:szCs w:val="20"/>
        </w:rPr>
        <w:t xml:space="preserve">u, KHS smí rozhodnout o spálení těla zemřelého v </w:t>
      </w:r>
      <w:r w:rsidRPr="003073F2">
        <w:rPr>
          <w:rStyle w:val="Zkladntext11pt"/>
          <w:rFonts w:ascii="Arial" w:hAnsi="Arial" w:cs="Arial"/>
          <w:sz w:val="20"/>
          <w:szCs w:val="20"/>
        </w:rPr>
        <w:t>OBO Těchonín</w:t>
      </w:r>
      <w:r w:rsidRPr="006B3512">
        <w:rPr>
          <w:rStyle w:val="Zkladntext11pt"/>
          <w:rFonts w:ascii="Arial" w:hAnsi="Arial" w:cs="Arial"/>
          <w:sz w:val="20"/>
          <w:szCs w:val="20"/>
        </w:rPr>
        <w:t>.</w:t>
      </w:r>
    </w:p>
    <w:p w:rsidR="00663885" w:rsidRDefault="00522989" w:rsidP="00663885">
      <w:pPr>
        <w:pStyle w:val="Zkladntext7"/>
        <w:numPr>
          <w:ilvl w:val="0"/>
          <w:numId w:val="2"/>
        </w:numPr>
        <w:shd w:val="clear" w:color="auto" w:fill="auto"/>
        <w:tabs>
          <w:tab w:val="left" w:pos="730"/>
        </w:tabs>
        <w:spacing w:before="0" w:after="0" w:line="274" w:lineRule="exact"/>
        <w:ind w:right="20"/>
        <w:rPr>
          <w:rStyle w:val="Zkladntext11pt"/>
          <w:rFonts w:ascii="Arial" w:hAnsi="Arial" w:cs="Arial"/>
          <w:sz w:val="20"/>
          <w:szCs w:val="20"/>
        </w:rPr>
      </w:pPr>
      <w:r w:rsidRPr="00BD2044">
        <w:rPr>
          <w:rStyle w:val="Zkladntext11pt"/>
          <w:rFonts w:ascii="Arial" w:hAnsi="Arial" w:cs="Arial"/>
          <w:sz w:val="20"/>
          <w:szCs w:val="20"/>
        </w:rPr>
        <w:t xml:space="preserve">KHS o svém rozhodnutí, </w:t>
      </w:r>
      <w:proofErr w:type="spellStart"/>
      <w:r w:rsidRPr="00BD2044">
        <w:rPr>
          <w:rStyle w:val="Zkladntext11pt"/>
          <w:rFonts w:ascii="Arial" w:hAnsi="Arial" w:cs="Arial"/>
          <w:sz w:val="20"/>
          <w:szCs w:val="20"/>
        </w:rPr>
        <w:t>vypravitel</w:t>
      </w:r>
      <w:proofErr w:type="spellEnd"/>
      <w:r w:rsidRPr="00BD2044">
        <w:rPr>
          <w:rStyle w:val="Zkladntext11pt"/>
          <w:rFonts w:ascii="Arial" w:hAnsi="Arial" w:cs="Arial"/>
          <w:sz w:val="20"/>
          <w:szCs w:val="20"/>
        </w:rPr>
        <w:t xml:space="preserve"> pohřbu je KHS znám, informuje </w:t>
      </w:r>
      <w:proofErr w:type="spellStart"/>
      <w:r w:rsidRPr="00BD2044">
        <w:rPr>
          <w:rStyle w:val="Zkladntext11pt"/>
          <w:rFonts w:ascii="Arial" w:hAnsi="Arial" w:cs="Arial"/>
          <w:sz w:val="20"/>
          <w:szCs w:val="20"/>
        </w:rPr>
        <w:t>vypravitele</w:t>
      </w:r>
      <w:proofErr w:type="spellEnd"/>
      <w:r w:rsidRPr="00BD2044">
        <w:rPr>
          <w:rStyle w:val="Zkladntext11pt"/>
          <w:rFonts w:ascii="Arial" w:hAnsi="Arial" w:cs="Arial"/>
          <w:sz w:val="20"/>
          <w:szCs w:val="20"/>
        </w:rPr>
        <w:t xml:space="preserve"> pohřbu o</w:t>
      </w:r>
      <w:r>
        <w:rPr>
          <w:rStyle w:val="Zkladntext11pt"/>
          <w:rFonts w:ascii="Arial" w:hAnsi="Arial" w:cs="Arial"/>
          <w:sz w:val="20"/>
          <w:szCs w:val="20"/>
        </w:rPr>
        <w:t> </w:t>
      </w:r>
      <w:r w:rsidRPr="00BD2044">
        <w:rPr>
          <w:rStyle w:val="Zkladntext11pt"/>
          <w:rFonts w:ascii="Arial" w:hAnsi="Arial" w:cs="Arial"/>
          <w:sz w:val="20"/>
          <w:szCs w:val="20"/>
        </w:rPr>
        <w:t>přijatých opatřeních, zejména o tom, že spálení těla zemřelého se uskuteční v</w:t>
      </w:r>
      <w:r>
        <w:rPr>
          <w:rStyle w:val="Zkladntext11pt"/>
          <w:rFonts w:ascii="Arial" w:hAnsi="Arial" w:cs="Arial"/>
          <w:sz w:val="20"/>
          <w:szCs w:val="20"/>
        </w:rPr>
        <w:t> </w:t>
      </w:r>
      <w:r w:rsidRPr="0099520C">
        <w:rPr>
          <w:rStyle w:val="Zkladntext11pt"/>
          <w:rFonts w:ascii="Arial" w:hAnsi="Arial" w:cs="Arial"/>
          <w:sz w:val="20"/>
          <w:szCs w:val="20"/>
        </w:rPr>
        <w:t xml:space="preserve">OBO </w:t>
      </w:r>
      <w:r>
        <w:rPr>
          <w:rStyle w:val="Zkladntext11pt"/>
          <w:rFonts w:ascii="Arial" w:hAnsi="Arial" w:cs="Arial"/>
          <w:sz w:val="20"/>
          <w:szCs w:val="20"/>
        </w:rPr>
        <w:t>Těchonín</w:t>
      </w:r>
      <w:r w:rsidRPr="00BD2044">
        <w:rPr>
          <w:rStyle w:val="Zkladntext11pt"/>
          <w:rFonts w:ascii="Arial" w:hAnsi="Arial" w:cs="Arial"/>
          <w:sz w:val="20"/>
          <w:szCs w:val="20"/>
        </w:rPr>
        <w:t xml:space="preserve"> </w:t>
      </w:r>
      <w:r>
        <w:rPr>
          <w:rStyle w:val="Zkladntext11pt"/>
          <w:rFonts w:ascii="Arial" w:hAnsi="Arial" w:cs="Arial"/>
          <w:sz w:val="20"/>
          <w:szCs w:val="20"/>
        </w:rPr>
        <w:t>pietně a</w:t>
      </w:r>
      <w:r w:rsidR="002E389F">
        <w:rPr>
          <w:rStyle w:val="Zkladntext11pt"/>
          <w:rFonts w:ascii="Arial" w:hAnsi="Arial" w:cs="Arial"/>
          <w:sz w:val="20"/>
          <w:szCs w:val="20"/>
        </w:rPr>
        <w:t> </w:t>
      </w:r>
      <w:r>
        <w:rPr>
          <w:rStyle w:val="Zkladntext11pt"/>
          <w:rFonts w:ascii="Arial" w:hAnsi="Arial" w:cs="Arial"/>
          <w:sz w:val="20"/>
          <w:szCs w:val="20"/>
        </w:rPr>
        <w:t>samostatně</w:t>
      </w:r>
      <w:r w:rsidRPr="00BD2044">
        <w:rPr>
          <w:rStyle w:val="Zkladntext11pt"/>
          <w:rFonts w:ascii="Arial" w:hAnsi="Arial" w:cs="Arial"/>
          <w:sz w:val="20"/>
          <w:szCs w:val="20"/>
        </w:rPr>
        <w:t xml:space="preserve"> </w:t>
      </w:r>
      <w:r>
        <w:rPr>
          <w:rStyle w:val="Zkladntext11pt"/>
          <w:rFonts w:ascii="Arial" w:hAnsi="Arial" w:cs="Arial"/>
          <w:sz w:val="20"/>
          <w:szCs w:val="20"/>
        </w:rPr>
        <w:t>v rakvi</w:t>
      </w:r>
      <w:r w:rsidRPr="00BD2044">
        <w:rPr>
          <w:rStyle w:val="Zkladntext11pt"/>
          <w:rFonts w:ascii="Arial" w:hAnsi="Arial" w:cs="Arial"/>
          <w:sz w:val="20"/>
          <w:szCs w:val="20"/>
        </w:rPr>
        <w:t xml:space="preserve">. Popel bude </w:t>
      </w:r>
      <w:proofErr w:type="spellStart"/>
      <w:r w:rsidRPr="00BD2044">
        <w:rPr>
          <w:rStyle w:val="Zkladntext11pt"/>
          <w:rFonts w:ascii="Arial" w:hAnsi="Arial" w:cs="Arial"/>
          <w:sz w:val="20"/>
          <w:szCs w:val="20"/>
        </w:rPr>
        <w:t>vy</w:t>
      </w:r>
      <w:r w:rsidR="00ED3A7A">
        <w:rPr>
          <w:rStyle w:val="Zkladntext11pt"/>
          <w:rFonts w:ascii="Arial" w:hAnsi="Arial" w:cs="Arial"/>
          <w:sz w:val="20"/>
          <w:szCs w:val="20"/>
        </w:rPr>
        <w:t>praviteli</w:t>
      </w:r>
      <w:proofErr w:type="spellEnd"/>
      <w:r w:rsidR="00ED3A7A">
        <w:rPr>
          <w:rStyle w:val="Zkladntext11pt"/>
          <w:rFonts w:ascii="Arial" w:hAnsi="Arial" w:cs="Arial"/>
          <w:sz w:val="20"/>
          <w:szCs w:val="20"/>
        </w:rPr>
        <w:t xml:space="preserve"> pohřbu předán v urně.</w:t>
      </w:r>
    </w:p>
    <w:p w:rsidR="00ED3A7A" w:rsidRPr="00663885" w:rsidRDefault="00ED3A7A" w:rsidP="00ED3A7A">
      <w:pPr>
        <w:pStyle w:val="Zkladntext7"/>
        <w:shd w:val="clear" w:color="auto" w:fill="auto"/>
        <w:tabs>
          <w:tab w:val="left" w:pos="730"/>
        </w:tabs>
        <w:spacing w:before="0" w:after="0" w:line="274" w:lineRule="exact"/>
        <w:ind w:left="720" w:right="20" w:firstLine="0"/>
        <w:rPr>
          <w:rStyle w:val="Zkladntext11pt"/>
          <w:rFonts w:ascii="Arial" w:hAnsi="Arial" w:cs="Arial"/>
          <w:sz w:val="20"/>
          <w:szCs w:val="20"/>
        </w:rPr>
      </w:pPr>
    </w:p>
    <w:p w:rsidR="00522989" w:rsidRDefault="00522989" w:rsidP="00522989">
      <w:pPr>
        <w:pStyle w:val="Zkladntext7"/>
        <w:shd w:val="clear" w:color="auto" w:fill="auto"/>
        <w:tabs>
          <w:tab w:val="left" w:pos="299"/>
        </w:tabs>
        <w:spacing w:before="0" w:after="160" w:line="240" w:lineRule="auto"/>
        <w:ind w:right="20" w:firstLine="0"/>
        <w:rPr>
          <w:rStyle w:val="Zkladntext11pt"/>
          <w:rFonts w:ascii="Arial" w:eastAsiaTheme="minorHAnsi" w:hAnsi="Arial" w:cs="Arial"/>
          <w:sz w:val="20"/>
          <w:szCs w:val="20"/>
        </w:rPr>
      </w:pPr>
      <w:r w:rsidRPr="002F5CAF">
        <w:rPr>
          <w:rStyle w:val="Zkladntext11pt"/>
          <w:rFonts w:ascii="Arial" w:eastAsiaTheme="minorHAnsi" w:hAnsi="Arial" w:cs="Arial"/>
          <w:sz w:val="20"/>
          <w:szCs w:val="20"/>
        </w:rPr>
        <w:t xml:space="preserve">Každý subjekt, </w:t>
      </w:r>
      <w:r w:rsidRPr="003E6FE1">
        <w:rPr>
          <w:rStyle w:val="Zkladntext11pt"/>
          <w:rFonts w:ascii="Arial" w:hAnsi="Arial" w:cs="Arial"/>
          <w:sz w:val="20"/>
          <w:szCs w:val="20"/>
        </w:rPr>
        <w:t>jenž</w:t>
      </w:r>
      <w:r w:rsidRPr="002F5CAF">
        <w:rPr>
          <w:rStyle w:val="Zkladntext11pt"/>
          <w:rFonts w:ascii="Arial" w:eastAsiaTheme="minorHAnsi" w:hAnsi="Arial" w:cs="Arial"/>
          <w:sz w:val="20"/>
          <w:szCs w:val="20"/>
        </w:rPr>
        <w:t xml:space="preserve"> se bude podílet na řešení </w:t>
      </w:r>
      <w:r>
        <w:rPr>
          <w:rStyle w:val="Zkladntext11pt"/>
          <w:rFonts w:ascii="Arial" w:eastAsiaTheme="minorHAnsi" w:hAnsi="Arial" w:cs="Arial"/>
          <w:sz w:val="20"/>
          <w:szCs w:val="20"/>
        </w:rPr>
        <w:t>mimořádné události</w:t>
      </w:r>
      <w:r w:rsidRPr="002F5CAF">
        <w:rPr>
          <w:rStyle w:val="Zkladntext11pt"/>
          <w:rFonts w:ascii="Arial" w:eastAsiaTheme="minorHAnsi" w:hAnsi="Arial" w:cs="Arial"/>
          <w:sz w:val="20"/>
          <w:szCs w:val="20"/>
        </w:rPr>
        <w:t xml:space="preserve"> tohoto typu, si pro svou potřebu samostatně rozpracuje vlastní a konkrétní postupy vycházející z této směrnice a implementuje je do svých plánovacích dokumentů a závazných předpisů, zejména do provozního řádu pohřební služby, krematoria a veřejného pohřebiště.</w:t>
      </w:r>
      <w:r>
        <w:rPr>
          <w:rStyle w:val="Zkladntext11pt"/>
          <w:rFonts w:ascii="Arial" w:eastAsiaTheme="minorHAnsi" w:hAnsi="Arial" w:cs="Arial"/>
          <w:sz w:val="20"/>
          <w:szCs w:val="20"/>
        </w:rPr>
        <w:t xml:space="preserve"> Provozní řád pohřební služby a krematoria schvaluj</w:t>
      </w:r>
      <w:r w:rsidR="00663885">
        <w:rPr>
          <w:rStyle w:val="Zkladntext11pt"/>
          <w:rFonts w:ascii="Arial" w:eastAsiaTheme="minorHAnsi" w:hAnsi="Arial" w:cs="Arial"/>
          <w:sz w:val="20"/>
          <w:szCs w:val="20"/>
        </w:rPr>
        <w:t>e v souladu s § 7 odst. 1 písm. </w:t>
      </w:r>
      <w:r>
        <w:rPr>
          <w:rStyle w:val="Zkladntext11pt"/>
          <w:rFonts w:ascii="Arial" w:eastAsiaTheme="minorHAnsi" w:hAnsi="Arial" w:cs="Arial"/>
          <w:sz w:val="20"/>
          <w:szCs w:val="20"/>
        </w:rPr>
        <w:t>b) a § 14 odst. 3 písm. b) zákona o pohřebnictví KHS.</w:t>
      </w:r>
    </w:p>
    <w:p w:rsidR="00522989" w:rsidRPr="000F5899" w:rsidRDefault="006B6E75" w:rsidP="006B6E75">
      <w:pPr>
        <w:pStyle w:val="Zkladntext7"/>
        <w:shd w:val="clear" w:color="auto" w:fill="auto"/>
        <w:tabs>
          <w:tab w:val="left" w:pos="438"/>
        </w:tabs>
        <w:spacing w:before="0" w:after="240" w:line="274" w:lineRule="exact"/>
        <w:ind w:firstLine="0"/>
        <w:jc w:val="right"/>
        <w:rPr>
          <w:rStyle w:val="Zkladntext11pt"/>
          <w:rFonts w:ascii="Arial" w:eastAsiaTheme="minorHAnsi" w:hAnsi="Arial" w:cs="Arial"/>
          <w:b/>
          <w:sz w:val="20"/>
          <w:szCs w:val="20"/>
        </w:rPr>
      </w:pPr>
      <w:r>
        <w:rPr>
          <w:rStyle w:val="Zkladntext11pt"/>
          <w:rFonts w:ascii="Arial" w:eastAsiaTheme="minorHAnsi" w:hAnsi="Arial" w:cs="Arial"/>
          <w:b/>
          <w:sz w:val="20"/>
          <w:szCs w:val="20"/>
        </w:rPr>
        <w:t xml:space="preserve">Zveřejněno dne: </w:t>
      </w:r>
      <w:bookmarkStart w:id="2" w:name="_GoBack"/>
      <w:bookmarkEnd w:id="2"/>
      <w:r>
        <w:rPr>
          <w:rStyle w:val="Zkladntext11pt"/>
          <w:rFonts w:ascii="Arial" w:eastAsiaTheme="minorHAnsi" w:hAnsi="Arial" w:cs="Arial"/>
          <w:b/>
          <w:sz w:val="20"/>
          <w:szCs w:val="20"/>
        </w:rPr>
        <w:t>2. 12. 2019</w:t>
      </w:r>
    </w:p>
    <w:p w:rsidR="00522989" w:rsidRPr="000F5899" w:rsidRDefault="00522989" w:rsidP="00522989">
      <w:pPr>
        <w:pStyle w:val="Zkladntext7"/>
        <w:shd w:val="clear" w:color="auto" w:fill="auto"/>
        <w:tabs>
          <w:tab w:val="left" w:pos="438"/>
        </w:tabs>
        <w:spacing w:before="0" w:after="240" w:line="274" w:lineRule="exact"/>
        <w:ind w:firstLine="0"/>
        <w:jc w:val="center"/>
        <w:rPr>
          <w:rStyle w:val="Zkladntext11pt"/>
          <w:rFonts w:ascii="Arial" w:eastAsiaTheme="minorHAnsi" w:hAnsi="Arial" w:cs="Arial"/>
          <w:b/>
          <w:sz w:val="20"/>
          <w:szCs w:val="20"/>
        </w:rPr>
      </w:pPr>
      <w:r w:rsidRPr="000F5899">
        <w:rPr>
          <w:rStyle w:val="Zkladntext11pt"/>
          <w:rFonts w:ascii="Arial" w:eastAsiaTheme="minorHAnsi" w:hAnsi="Arial" w:cs="Arial"/>
          <w:b/>
          <w:sz w:val="20"/>
          <w:szCs w:val="20"/>
        </w:rPr>
        <w:lastRenderedPageBreak/>
        <w:t>Seznam použitých zkratek</w:t>
      </w:r>
    </w:p>
    <w:tbl>
      <w:tblPr>
        <w:tblStyle w:val="Mkatabulky"/>
        <w:tblW w:w="0" w:type="auto"/>
        <w:tblLook w:val="04A0" w:firstRow="1" w:lastRow="0" w:firstColumn="1" w:lastColumn="0" w:noHBand="0" w:noVBand="1"/>
      </w:tblPr>
      <w:tblGrid>
        <w:gridCol w:w="1980"/>
        <w:gridCol w:w="7082"/>
      </w:tblGrid>
      <w:tr w:rsidR="00522989" w:rsidTr="00146870">
        <w:tc>
          <w:tcPr>
            <w:tcW w:w="1980" w:type="dxa"/>
          </w:tcPr>
          <w:p w:rsidR="00522989" w:rsidRPr="0035320E"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HZS</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Fonts w:ascii="Arial" w:hAnsi="Arial" w:cs="Arial"/>
                <w:sz w:val="20"/>
                <w:szCs w:val="20"/>
              </w:rPr>
            </w:pPr>
            <w:r>
              <w:rPr>
                <w:rFonts w:ascii="Arial" w:hAnsi="Arial" w:cs="Arial"/>
                <w:sz w:val="20"/>
                <w:szCs w:val="20"/>
              </w:rPr>
              <w:t>Hasičský záchranný sbor</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KHS</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Fonts w:ascii="Arial" w:hAnsi="Arial" w:cs="Arial"/>
                <w:sz w:val="20"/>
                <w:szCs w:val="20"/>
              </w:rPr>
            </w:pPr>
            <w:r>
              <w:rPr>
                <w:rFonts w:ascii="Arial" w:hAnsi="Arial" w:cs="Arial"/>
                <w:sz w:val="20"/>
                <w:szCs w:val="20"/>
              </w:rPr>
              <w:t>Krajská hygienická stanice</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sidRPr="003073F2">
              <w:rPr>
                <w:rStyle w:val="Zkladntext11pt"/>
                <w:rFonts w:ascii="Arial" w:hAnsi="Arial" w:cs="Arial"/>
                <w:sz w:val="20"/>
                <w:szCs w:val="20"/>
              </w:rPr>
              <w:t>OBO Těchonín</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Fonts w:ascii="Arial" w:hAnsi="Arial" w:cs="Arial"/>
                <w:sz w:val="20"/>
                <w:szCs w:val="20"/>
              </w:rPr>
            </w:pPr>
            <w:r w:rsidRPr="003073F2">
              <w:rPr>
                <w:rFonts w:ascii="Arial" w:hAnsi="Arial" w:cs="Arial"/>
                <w:sz w:val="20"/>
                <w:szCs w:val="20"/>
              </w:rPr>
              <w:t xml:space="preserve">Odbor biologické ochrany </w:t>
            </w:r>
            <w:r>
              <w:rPr>
                <w:rFonts w:ascii="Arial" w:hAnsi="Arial" w:cs="Arial"/>
                <w:sz w:val="20"/>
                <w:szCs w:val="20"/>
              </w:rPr>
              <w:t>–</w:t>
            </w:r>
            <w:r w:rsidRPr="003073F2">
              <w:rPr>
                <w:rFonts w:ascii="Arial" w:hAnsi="Arial" w:cs="Arial"/>
                <w:sz w:val="20"/>
                <w:szCs w:val="20"/>
              </w:rPr>
              <w:t xml:space="preserve"> Těchonín</w:t>
            </w:r>
            <w:r>
              <w:rPr>
                <w:rFonts w:ascii="Arial" w:hAnsi="Arial" w:cs="Arial"/>
                <w:sz w:val="20"/>
                <w:szCs w:val="20"/>
              </w:rPr>
              <w:t xml:space="preserve">, </w:t>
            </w:r>
            <w:r w:rsidRPr="003073F2">
              <w:rPr>
                <w:rStyle w:val="Zkladntext11pt"/>
                <w:rFonts w:ascii="Arial" w:hAnsi="Arial" w:cs="Arial"/>
                <w:sz w:val="20"/>
                <w:szCs w:val="20"/>
              </w:rPr>
              <w:t>Vojensk</w:t>
            </w:r>
            <w:r>
              <w:rPr>
                <w:rStyle w:val="Zkladntext11pt"/>
                <w:rFonts w:ascii="Arial" w:hAnsi="Arial" w:cs="Arial"/>
                <w:sz w:val="20"/>
                <w:szCs w:val="20"/>
              </w:rPr>
              <w:t>ý</w:t>
            </w:r>
            <w:r w:rsidRPr="003073F2">
              <w:rPr>
                <w:rStyle w:val="Zkladntext11pt"/>
                <w:rFonts w:ascii="Arial" w:hAnsi="Arial" w:cs="Arial"/>
                <w:sz w:val="20"/>
                <w:szCs w:val="20"/>
              </w:rPr>
              <w:t xml:space="preserve"> zdravotní ústav</w:t>
            </w:r>
            <w:r>
              <w:rPr>
                <w:rStyle w:val="Zkladntext11pt"/>
                <w:rFonts w:ascii="Arial" w:hAnsi="Arial" w:cs="Arial"/>
                <w:sz w:val="20"/>
                <w:szCs w:val="20"/>
              </w:rPr>
              <w:t>, Armáda ČR</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OOPP</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Ochranné osobní pomůcky</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eastAsiaTheme="minorHAnsi" w:hAnsi="Arial" w:cs="Arial"/>
                <w:sz w:val="20"/>
                <w:szCs w:val="20"/>
              </w:rPr>
            </w:pPr>
            <w:r>
              <w:rPr>
                <w:rStyle w:val="Zkladntext11pt"/>
                <w:rFonts w:ascii="Arial" w:hAnsi="Arial" w:cs="Arial"/>
                <w:sz w:val="20"/>
                <w:szCs w:val="20"/>
              </w:rPr>
              <w:t>OOVZ</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eastAsiaTheme="minorHAnsi" w:hAnsi="Arial" w:cs="Arial"/>
                <w:sz w:val="20"/>
                <w:szCs w:val="20"/>
              </w:rPr>
            </w:pPr>
            <w:r>
              <w:rPr>
                <w:rStyle w:val="Zkladntext11pt"/>
                <w:rFonts w:ascii="Arial" w:hAnsi="Arial" w:cs="Arial"/>
                <w:sz w:val="20"/>
                <w:szCs w:val="20"/>
              </w:rPr>
              <w:t>Orgán</w:t>
            </w:r>
            <w:r w:rsidRPr="00FD1D68">
              <w:rPr>
                <w:rStyle w:val="Zkladntext11pt"/>
                <w:rFonts w:ascii="Arial" w:hAnsi="Arial" w:cs="Arial"/>
                <w:sz w:val="20"/>
                <w:szCs w:val="20"/>
              </w:rPr>
              <w:t xml:space="preserve"> ochrany veřejného zdraví</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PS</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Fonts w:ascii="Arial" w:hAnsi="Arial" w:cs="Arial"/>
                <w:sz w:val="20"/>
                <w:szCs w:val="20"/>
              </w:rPr>
            </w:pPr>
            <w:r>
              <w:rPr>
                <w:rFonts w:ascii="Arial" w:hAnsi="Arial" w:cs="Arial"/>
                <w:sz w:val="20"/>
                <w:szCs w:val="20"/>
              </w:rPr>
              <w:t>Provozovatel pohřební služby</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tělo zemřelého</w:t>
            </w:r>
          </w:p>
        </w:tc>
        <w:tc>
          <w:tcPr>
            <w:tcW w:w="7082" w:type="dxa"/>
          </w:tcPr>
          <w:p w:rsidR="00522989" w:rsidRPr="0099520C"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sidRPr="0099520C">
              <w:rPr>
                <w:rStyle w:val="Zkladntext11pt"/>
                <w:rFonts w:ascii="Arial" w:hAnsi="Arial" w:cs="Arial"/>
                <w:sz w:val="20"/>
                <w:szCs w:val="20"/>
              </w:rPr>
              <w:t>tělo zemřelého nebo jeho části včetně jeho oblečení a osobních věcí, u kterého měl lékař podezření na nakažení původcem VNN nikoli bezprostředně po úmrtí nebo po pitvě, ale až po předání těla zemřelého provozovateli pohřební služby</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eastAsiaTheme="minorHAnsi" w:hAnsi="Arial" w:cs="Arial"/>
                <w:sz w:val="20"/>
                <w:szCs w:val="20"/>
              </w:rPr>
            </w:pPr>
            <w:r w:rsidRPr="0035320E">
              <w:rPr>
                <w:rStyle w:val="Zkladntext11pt"/>
                <w:rFonts w:ascii="Arial" w:hAnsi="Arial" w:cs="Arial"/>
                <w:sz w:val="20"/>
                <w:szCs w:val="20"/>
              </w:rPr>
              <w:t>VNN</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eastAsiaTheme="minorHAnsi" w:hAnsi="Arial" w:cs="Arial"/>
                <w:sz w:val="20"/>
                <w:szCs w:val="20"/>
              </w:rPr>
            </w:pPr>
            <w:r>
              <w:rPr>
                <w:rFonts w:ascii="Arial" w:hAnsi="Arial" w:cs="Arial"/>
                <w:sz w:val="20"/>
                <w:szCs w:val="20"/>
              </w:rPr>
              <w:t>Vysoce nakažlivá</w:t>
            </w:r>
            <w:r w:rsidRPr="003D09A1">
              <w:rPr>
                <w:rFonts w:ascii="Arial" w:hAnsi="Arial" w:cs="Arial"/>
                <w:sz w:val="20"/>
                <w:szCs w:val="20"/>
              </w:rPr>
              <w:t xml:space="preserve"> nemoc</w:t>
            </w:r>
          </w:p>
        </w:tc>
      </w:tr>
      <w:tr w:rsidR="00522989" w:rsidTr="00146870">
        <w:tc>
          <w:tcPr>
            <w:tcW w:w="1980" w:type="dxa"/>
          </w:tcPr>
          <w:p w:rsidR="00522989" w:rsidRDefault="00522989" w:rsidP="00146870">
            <w:pPr>
              <w:pStyle w:val="Zkladntext7"/>
              <w:shd w:val="clear" w:color="auto" w:fill="auto"/>
              <w:tabs>
                <w:tab w:val="left" w:pos="438"/>
              </w:tabs>
              <w:spacing w:before="0" w:after="240" w:line="274" w:lineRule="exact"/>
              <w:ind w:firstLine="0"/>
              <w:rPr>
                <w:rStyle w:val="Zkladntext11pt"/>
                <w:rFonts w:ascii="Arial" w:hAnsi="Arial" w:cs="Arial"/>
                <w:sz w:val="20"/>
                <w:szCs w:val="20"/>
              </w:rPr>
            </w:pPr>
            <w:r>
              <w:rPr>
                <w:rStyle w:val="Zkladntext11pt"/>
                <w:rFonts w:ascii="Arial" w:hAnsi="Arial" w:cs="Arial"/>
                <w:sz w:val="20"/>
                <w:szCs w:val="20"/>
              </w:rPr>
              <w:t>ZZS</w:t>
            </w:r>
          </w:p>
        </w:tc>
        <w:tc>
          <w:tcPr>
            <w:tcW w:w="7082" w:type="dxa"/>
          </w:tcPr>
          <w:p w:rsidR="00522989" w:rsidRDefault="00522989" w:rsidP="00146870">
            <w:pPr>
              <w:pStyle w:val="Zkladntext7"/>
              <w:shd w:val="clear" w:color="auto" w:fill="auto"/>
              <w:tabs>
                <w:tab w:val="left" w:pos="438"/>
              </w:tabs>
              <w:spacing w:before="0" w:after="240" w:line="274" w:lineRule="exact"/>
              <w:ind w:firstLine="0"/>
              <w:rPr>
                <w:rFonts w:ascii="Arial" w:hAnsi="Arial" w:cs="Arial"/>
                <w:sz w:val="20"/>
                <w:szCs w:val="20"/>
              </w:rPr>
            </w:pPr>
            <w:r>
              <w:rPr>
                <w:rFonts w:ascii="Arial" w:hAnsi="Arial" w:cs="Arial"/>
                <w:sz w:val="20"/>
                <w:szCs w:val="20"/>
              </w:rPr>
              <w:t>Zdravotní záchranná služba</w:t>
            </w:r>
          </w:p>
        </w:tc>
      </w:tr>
    </w:tbl>
    <w:p w:rsidR="00522989" w:rsidRPr="00CD04C4" w:rsidRDefault="00522989" w:rsidP="00522989">
      <w:pPr>
        <w:pStyle w:val="Zkladntext7"/>
        <w:tabs>
          <w:tab w:val="left" w:pos="438"/>
        </w:tabs>
        <w:spacing w:after="240" w:line="274" w:lineRule="exact"/>
        <w:rPr>
          <w:rFonts w:ascii="Arial" w:hAnsi="Arial" w:cs="Arial"/>
          <w:color w:val="000000"/>
          <w:sz w:val="20"/>
          <w:szCs w:val="20"/>
          <w:shd w:val="clear" w:color="auto" w:fill="FFFFFF"/>
        </w:rPr>
      </w:pPr>
    </w:p>
    <w:sectPr w:rsidR="00522989" w:rsidRPr="00CD04C4" w:rsidSect="00CE3646">
      <w:headerReference w:type="default" r:id="rId8"/>
      <w:footerReference w:type="default" r:id="rId9"/>
      <w:headerReference w:type="first" r:id="rId10"/>
      <w:footerReference w:type="first" r:id="rId11"/>
      <w:pgSz w:w="11907" w:h="16839"/>
      <w:pgMar w:top="1985" w:right="1134"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D33" w:rsidRDefault="00DD5D33" w:rsidP="00FB693D">
      <w:r>
        <w:separator/>
      </w:r>
    </w:p>
  </w:endnote>
  <w:endnote w:type="continuationSeparator" w:id="0">
    <w:p w:rsidR="00DD5D33" w:rsidRDefault="00DD5D33" w:rsidP="00FB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C72" w:rsidRDefault="00F82C72">
    <w:pPr>
      <w:pStyle w:val="Zpat"/>
      <w:jc w:val="center"/>
    </w:pPr>
  </w:p>
  <w:p w:rsidR="00F82C72" w:rsidRDefault="00F82C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11" w:rsidRPr="00A42B7F" w:rsidRDefault="005C7511" w:rsidP="00A42B7F">
    <w:pPr>
      <w:pStyle w:val="Zpat"/>
    </w:pPr>
    <w:bookmarkStart w:id="4" w:name="zapati_logo"/>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D33" w:rsidRDefault="00DD5D33" w:rsidP="00FB693D">
      <w:r>
        <w:separator/>
      </w:r>
    </w:p>
  </w:footnote>
  <w:footnote w:type="continuationSeparator" w:id="0">
    <w:p w:rsidR="00DD5D33" w:rsidRDefault="00DD5D33" w:rsidP="00FB693D">
      <w:r>
        <w:continuationSeparator/>
      </w:r>
    </w:p>
  </w:footnote>
  <w:footnote w:id="1">
    <w:p w:rsidR="00522989" w:rsidRPr="00C5424F" w:rsidRDefault="00522989" w:rsidP="00522989">
      <w:pPr>
        <w:pStyle w:val="Default"/>
        <w:rPr>
          <w:sz w:val="18"/>
          <w:szCs w:val="18"/>
        </w:rPr>
      </w:pPr>
      <w:r w:rsidRPr="00C5424F">
        <w:rPr>
          <w:rStyle w:val="Znakapoznpodarou"/>
          <w:sz w:val="18"/>
          <w:szCs w:val="18"/>
        </w:rPr>
        <w:footnoteRef/>
      </w:r>
      <w:r>
        <w:t xml:space="preserve"> </w:t>
      </w:r>
      <w:r w:rsidRPr="00D03469">
        <w:rPr>
          <w:rFonts w:ascii="Arial" w:hAnsi="Arial" w:cs="Arial"/>
          <w:sz w:val="16"/>
          <w:szCs w:val="16"/>
        </w:rPr>
        <w:t>Viz usnesení vlády České republiky ze dne 11. ledna 2019 č. 35 o aktualizované Směrnici pro jednotný postup při vzniku mimořádné události podléhající Mezinárodním zdravotnickým předpisům (2005) v souvislosti s výskytem vysoce nakažlivé nemoci ve zdravotnickém zařízení poskytovatele zdravotních služeb.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11" w:rsidRDefault="005C7511">
    <w:pPr>
      <w:pStyle w:val="Zhlav"/>
    </w:pPr>
    <w:r>
      <w:rPr>
        <w:noProof/>
        <w:lang w:eastAsia="cs-CZ"/>
      </w:rPr>
      <w:drawing>
        <wp:anchor distT="0" distB="0" distL="114300" distR="114300" simplePos="0" relativeHeight="251662336" behindDoc="0" locked="0" layoutInCell="1" allowOverlap="0">
          <wp:simplePos x="0" y="0"/>
          <wp:positionH relativeFrom="margin">
            <wp:posOffset>-170597</wp:posOffset>
          </wp:positionH>
          <wp:positionV relativeFrom="paragraph">
            <wp:posOffset>137937</wp:posOffset>
          </wp:positionV>
          <wp:extent cx="2159635" cy="467995"/>
          <wp:effectExtent l="0" t="0" r="0" b="8255"/>
          <wp:wrapNone/>
          <wp:docPr id="26"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11" w:rsidRDefault="005C7511" w:rsidP="005B7C5B">
    <w:pPr>
      <w:pStyle w:val="Zhlav"/>
      <w:spacing w:before="600"/>
      <w:ind w:firstLine="5103"/>
      <w:jc w:val="left"/>
      <w:rPr>
        <w:rFonts w:cs="Arial"/>
        <w:b/>
        <w:sz w:val="22"/>
      </w:rPr>
    </w:pPr>
    <w:r>
      <w:rPr>
        <w:rFonts w:cs="Arial"/>
        <w:b/>
        <w:noProof/>
        <w:sz w:val="22"/>
        <w:lang w:eastAsia="cs-CZ"/>
      </w:rPr>
      <w:drawing>
        <wp:anchor distT="0" distB="0" distL="114300" distR="114300" simplePos="0" relativeHeight="251658240" behindDoc="0" locked="0" layoutInCell="1" allowOverlap="0" wp14:anchorId="69A14695" wp14:editId="6B1DBAE9">
          <wp:simplePos x="0" y="0"/>
          <wp:positionH relativeFrom="column">
            <wp:posOffset>-101600</wp:posOffset>
          </wp:positionH>
          <wp:positionV relativeFrom="page">
            <wp:posOffset>586105</wp:posOffset>
          </wp:positionV>
          <wp:extent cx="2159635" cy="467995"/>
          <wp:effectExtent l="19050" t="0" r="0" b="0"/>
          <wp:wrapNone/>
          <wp:docPr id="27" name="obrázek 1"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anchor>
      </w:drawing>
    </w:r>
    <w:bookmarkStart w:id="3" w:name="nazev_dokumentu"/>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4FC"/>
    <w:multiLevelType w:val="hybridMultilevel"/>
    <w:tmpl w:val="F1DC31A0"/>
    <w:lvl w:ilvl="0" w:tplc="23CCBB72">
      <w:start w:val="1"/>
      <w:numFmt w:val="decimal"/>
      <w:lvlText w:val="%1."/>
      <w:lvlJc w:val="left"/>
      <w:pPr>
        <w:tabs>
          <w:tab w:val="num" w:pos="720"/>
        </w:tabs>
        <w:ind w:left="720" w:hanging="360"/>
      </w:pPr>
    </w:lvl>
    <w:lvl w:ilvl="1" w:tplc="AF0A7DDE" w:tentative="1">
      <w:start w:val="1"/>
      <w:numFmt w:val="decimal"/>
      <w:lvlText w:val="%2."/>
      <w:lvlJc w:val="left"/>
      <w:pPr>
        <w:tabs>
          <w:tab w:val="num" w:pos="1440"/>
        </w:tabs>
        <w:ind w:left="1440" w:hanging="360"/>
      </w:pPr>
    </w:lvl>
    <w:lvl w:ilvl="2" w:tplc="52CA6B84" w:tentative="1">
      <w:start w:val="1"/>
      <w:numFmt w:val="decimal"/>
      <w:lvlText w:val="%3."/>
      <w:lvlJc w:val="left"/>
      <w:pPr>
        <w:tabs>
          <w:tab w:val="num" w:pos="2160"/>
        </w:tabs>
        <w:ind w:left="2160" w:hanging="360"/>
      </w:pPr>
    </w:lvl>
    <w:lvl w:ilvl="3" w:tplc="3806C48A" w:tentative="1">
      <w:start w:val="1"/>
      <w:numFmt w:val="decimal"/>
      <w:lvlText w:val="%4."/>
      <w:lvlJc w:val="left"/>
      <w:pPr>
        <w:tabs>
          <w:tab w:val="num" w:pos="2880"/>
        </w:tabs>
        <w:ind w:left="2880" w:hanging="360"/>
      </w:pPr>
    </w:lvl>
    <w:lvl w:ilvl="4" w:tplc="6A2802F8" w:tentative="1">
      <w:start w:val="1"/>
      <w:numFmt w:val="decimal"/>
      <w:lvlText w:val="%5."/>
      <w:lvlJc w:val="left"/>
      <w:pPr>
        <w:tabs>
          <w:tab w:val="num" w:pos="3600"/>
        </w:tabs>
        <w:ind w:left="3600" w:hanging="360"/>
      </w:pPr>
    </w:lvl>
    <w:lvl w:ilvl="5" w:tplc="48E4D4A8" w:tentative="1">
      <w:start w:val="1"/>
      <w:numFmt w:val="decimal"/>
      <w:lvlText w:val="%6."/>
      <w:lvlJc w:val="left"/>
      <w:pPr>
        <w:tabs>
          <w:tab w:val="num" w:pos="4320"/>
        </w:tabs>
        <w:ind w:left="4320" w:hanging="360"/>
      </w:pPr>
    </w:lvl>
    <w:lvl w:ilvl="6" w:tplc="AB0C68FC" w:tentative="1">
      <w:start w:val="1"/>
      <w:numFmt w:val="decimal"/>
      <w:lvlText w:val="%7."/>
      <w:lvlJc w:val="left"/>
      <w:pPr>
        <w:tabs>
          <w:tab w:val="num" w:pos="5040"/>
        </w:tabs>
        <w:ind w:left="5040" w:hanging="360"/>
      </w:pPr>
    </w:lvl>
    <w:lvl w:ilvl="7" w:tplc="20B6718A" w:tentative="1">
      <w:start w:val="1"/>
      <w:numFmt w:val="decimal"/>
      <w:lvlText w:val="%8."/>
      <w:lvlJc w:val="left"/>
      <w:pPr>
        <w:tabs>
          <w:tab w:val="num" w:pos="5760"/>
        </w:tabs>
        <w:ind w:left="5760" w:hanging="360"/>
      </w:pPr>
    </w:lvl>
    <w:lvl w:ilvl="8" w:tplc="40709408" w:tentative="1">
      <w:start w:val="1"/>
      <w:numFmt w:val="decimal"/>
      <w:lvlText w:val="%9."/>
      <w:lvlJc w:val="left"/>
      <w:pPr>
        <w:tabs>
          <w:tab w:val="num" w:pos="6480"/>
        </w:tabs>
        <w:ind w:left="6480" w:hanging="360"/>
      </w:pPr>
    </w:lvl>
  </w:abstractNum>
  <w:abstractNum w:abstractNumId="1" w15:restartNumberingAfterBreak="0">
    <w:nsid w:val="25375FC1"/>
    <w:multiLevelType w:val="hybridMultilevel"/>
    <w:tmpl w:val="77FED6E6"/>
    <w:lvl w:ilvl="0" w:tplc="773842A8">
      <w:start w:val="1"/>
      <w:numFmt w:val="upperRoman"/>
      <w:lvlText w:val="%1."/>
      <w:lvlJc w:val="left"/>
      <w:pPr>
        <w:ind w:left="760" w:hanging="720"/>
      </w:pPr>
      <w:rPr>
        <w:rFonts w:cs="Arial"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 w15:restartNumberingAfterBreak="0">
    <w:nsid w:val="420A37D8"/>
    <w:multiLevelType w:val="hybridMultilevel"/>
    <w:tmpl w:val="F1DC31A0"/>
    <w:lvl w:ilvl="0" w:tplc="23CCBB72">
      <w:start w:val="1"/>
      <w:numFmt w:val="decimal"/>
      <w:lvlText w:val="%1."/>
      <w:lvlJc w:val="left"/>
      <w:pPr>
        <w:tabs>
          <w:tab w:val="num" w:pos="720"/>
        </w:tabs>
        <w:ind w:left="720" w:hanging="360"/>
      </w:pPr>
    </w:lvl>
    <w:lvl w:ilvl="1" w:tplc="AF0A7DDE" w:tentative="1">
      <w:start w:val="1"/>
      <w:numFmt w:val="decimal"/>
      <w:lvlText w:val="%2."/>
      <w:lvlJc w:val="left"/>
      <w:pPr>
        <w:tabs>
          <w:tab w:val="num" w:pos="1440"/>
        </w:tabs>
        <w:ind w:left="1440" w:hanging="360"/>
      </w:pPr>
    </w:lvl>
    <w:lvl w:ilvl="2" w:tplc="52CA6B84" w:tentative="1">
      <w:start w:val="1"/>
      <w:numFmt w:val="decimal"/>
      <w:lvlText w:val="%3."/>
      <w:lvlJc w:val="left"/>
      <w:pPr>
        <w:tabs>
          <w:tab w:val="num" w:pos="2160"/>
        </w:tabs>
        <w:ind w:left="2160" w:hanging="360"/>
      </w:pPr>
    </w:lvl>
    <w:lvl w:ilvl="3" w:tplc="3806C48A" w:tentative="1">
      <w:start w:val="1"/>
      <w:numFmt w:val="decimal"/>
      <w:lvlText w:val="%4."/>
      <w:lvlJc w:val="left"/>
      <w:pPr>
        <w:tabs>
          <w:tab w:val="num" w:pos="2880"/>
        </w:tabs>
        <w:ind w:left="2880" w:hanging="360"/>
      </w:pPr>
    </w:lvl>
    <w:lvl w:ilvl="4" w:tplc="6A2802F8" w:tentative="1">
      <w:start w:val="1"/>
      <w:numFmt w:val="decimal"/>
      <w:lvlText w:val="%5."/>
      <w:lvlJc w:val="left"/>
      <w:pPr>
        <w:tabs>
          <w:tab w:val="num" w:pos="3600"/>
        </w:tabs>
        <w:ind w:left="3600" w:hanging="360"/>
      </w:pPr>
    </w:lvl>
    <w:lvl w:ilvl="5" w:tplc="48E4D4A8" w:tentative="1">
      <w:start w:val="1"/>
      <w:numFmt w:val="decimal"/>
      <w:lvlText w:val="%6."/>
      <w:lvlJc w:val="left"/>
      <w:pPr>
        <w:tabs>
          <w:tab w:val="num" w:pos="4320"/>
        </w:tabs>
        <w:ind w:left="4320" w:hanging="360"/>
      </w:pPr>
    </w:lvl>
    <w:lvl w:ilvl="6" w:tplc="AB0C68FC" w:tentative="1">
      <w:start w:val="1"/>
      <w:numFmt w:val="decimal"/>
      <w:lvlText w:val="%7."/>
      <w:lvlJc w:val="left"/>
      <w:pPr>
        <w:tabs>
          <w:tab w:val="num" w:pos="5040"/>
        </w:tabs>
        <w:ind w:left="5040" w:hanging="360"/>
      </w:pPr>
    </w:lvl>
    <w:lvl w:ilvl="7" w:tplc="20B6718A" w:tentative="1">
      <w:start w:val="1"/>
      <w:numFmt w:val="decimal"/>
      <w:lvlText w:val="%8."/>
      <w:lvlJc w:val="left"/>
      <w:pPr>
        <w:tabs>
          <w:tab w:val="num" w:pos="5760"/>
        </w:tabs>
        <w:ind w:left="5760" w:hanging="360"/>
      </w:pPr>
    </w:lvl>
    <w:lvl w:ilvl="8" w:tplc="40709408" w:tentative="1">
      <w:start w:val="1"/>
      <w:numFmt w:val="decimal"/>
      <w:lvlText w:val="%9."/>
      <w:lvlJc w:val="left"/>
      <w:pPr>
        <w:tabs>
          <w:tab w:val="num" w:pos="6480"/>
        </w:tabs>
        <w:ind w:left="6480" w:hanging="360"/>
      </w:pPr>
    </w:lvl>
  </w:abstractNum>
  <w:abstractNum w:abstractNumId="3" w15:restartNumberingAfterBreak="0">
    <w:nsid w:val="75A74F6D"/>
    <w:multiLevelType w:val="hybridMultilevel"/>
    <w:tmpl w:val="C74A1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E67EEA"/>
    <w:multiLevelType w:val="hybridMultilevel"/>
    <w:tmpl w:val="221837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A1"/>
    <w:rsid w:val="000032D9"/>
    <w:rsid w:val="000048F4"/>
    <w:rsid w:val="000075C2"/>
    <w:rsid w:val="00025C7F"/>
    <w:rsid w:val="00026DCC"/>
    <w:rsid w:val="000423CC"/>
    <w:rsid w:val="0005012F"/>
    <w:rsid w:val="00053516"/>
    <w:rsid w:val="000624A5"/>
    <w:rsid w:val="00075AE5"/>
    <w:rsid w:val="000868E3"/>
    <w:rsid w:val="000A5817"/>
    <w:rsid w:val="000B0FE9"/>
    <w:rsid w:val="000B778E"/>
    <w:rsid w:val="000C381B"/>
    <w:rsid w:val="000C4651"/>
    <w:rsid w:val="000D1582"/>
    <w:rsid w:val="000D1939"/>
    <w:rsid w:val="000D31A8"/>
    <w:rsid w:val="000D36BC"/>
    <w:rsid w:val="000E1040"/>
    <w:rsid w:val="000E5FE8"/>
    <w:rsid w:val="000F5991"/>
    <w:rsid w:val="000F7D9E"/>
    <w:rsid w:val="00105C59"/>
    <w:rsid w:val="00111CF1"/>
    <w:rsid w:val="00116048"/>
    <w:rsid w:val="00120A5D"/>
    <w:rsid w:val="00126B07"/>
    <w:rsid w:val="001365B9"/>
    <w:rsid w:val="00144E27"/>
    <w:rsid w:val="0016111D"/>
    <w:rsid w:val="00164F99"/>
    <w:rsid w:val="0017159C"/>
    <w:rsid w:val="001963F0"/>
    <w:rsid w:val="001A030A"/>
    <w:rsid w:val="001A79E9"/>
    <w:rsid w:val="001B263E"/>
    <w:rsid w:val="001B672B"/>
    <w:rsid w:val="001C1B3D"/>
    <w:rsid w:val="001D6EF4"/>
    <w:rsid w:val="001E301B"/>
    <w:rsid w:val="001E7352"/>
    <w:rsid w:val="001F74FE"/>
    <w:rsid w:val="00206559"/>
    <w:rsid w:val="00210E9C"/>
    <w:rsid w:val="002123B5"/>
    <w:rsid w:val="002168A4"/>
    <w:rsid w:val="00224A69"/>
    <w:rsid w:val="00241E23"/>
    <w:rsid w:val="00253C71"/>
    <w:rsid w:val="002672FA"/>
    <w:rsid w:val="0027414D"/>
    <w:rsid w:val="002776CB"/>
    <w:rsid w:val="00286756"/>
    <w:rsid w:val="002A4D22"/>
    <w:rsid w:val="002A7478"/>
    <w:rsid w:val="002B5EBF"/>
    <w:rsid w:val="002B7106"/>
    <w:rsid w:val="002D163C"/>
    <w:rsid w:val="002D23A1"/>
    <w:rsid w:val="002D3FAB"/>
    <w:rsid w:val="002D7D46"/>
    <w:rsid w:val="002E389F"/>
    <w:rsid w:val="002F0961"/>
    <w:rsid w:val="002F5F2F"/>
    <w:rsid w:val="00302D3B"/>
    <w:rsid w:val="003112B8"/>
    <w:rsid w:val="00313E00"/>
    <w:rsid w:val="00314B6A"/>
    <w:rsid w:val="003158E8"/>
    <w:rsid w:val="003166C4"/>
    <w:rsid w:val="00325B01"/>
    <w:rsid w:val="00327795"/>
    <w:rsid w:val="00341EEC"/>
    <w:rsid w:val="0034245C"/>
    <w:rsid w:val="003553A8"/>
    <w:rsid w:val="00374D28"/>
    <w:rsid w:val="00381435"/>
    <w:rsid w:val="00382043"/>
    <w:rsid w:val="00392D10"/>
    <w:rsid w:val="00393D23"/>
    <w:rsid w:val="003A1185"/>
    <w:rsid w:val="003A1FB2"/>
    <w:rsid w:val="003A3C6F"/>
    <w:rsid w:val="003A77C4"/>
    <w:rsid w:val="003B12CD"/>
    <w:rsid w:val="003B46A9"/>
    <w:rsid w:val="003C0BFC"/>
    <w:rsid w:val="003F4950"/>
    <w:rsid w:val="003F7865"/>
    <w:rsid w:val="004104C9"/>
    <w:rsid w:val="004112F0"/>
    <w:rsid w:val="00412527"/>
    <w:rsid w:val="004157F3"/>
    <w:rsid w:val="0042144C"/>
    <w:rsid w:val="00421ABE"/>
    <w:rsid w:val="004227A3"/>
    <w:rsid w:val="00422832"/>
    <w:rsid w:val="0043037B"/>
    <w:rsid w:val="00434B63"/>
    <w:rsid w:val="00450790"/>
    <w:rsid w:val="00487791"/>
    <w:rsid w:val="0049199D"/>
    <w:rsid w:val="0049548D"/>
    <w:rsid w:val="00496403"/>
    <w:rsid w:val="004A1874"/>
    <w:rsid w:val="004A7477"/>
    <w:rsid w:val="004D2841"/>
    <w:rsid w:val="004E00B4"/>
    <w:rsid w:val="004F2713"/>
    <w:rsid w:val="004F6C40"/>
    <w:rsid w:val="00511974"/>
    <w:rsid w:val="00512716"/>
    <w:rsid w:val="00513CB1"/>
    <w:rsid w:val="00516EEE"/>
    <w:rsid w:val="00517404"/>
    <w:rsid w:val="00522989"/>
    <w:rsid w:val="00525B7F"/>
    <w:rsid w:val="00527B4D"/>
    <w:rsid w:val="00530200"/>
    <w:rsid w:val="00540D83"/>
    <w:rsid w:val="00550000"/>
    <w:rsid w:val="0056130E"/>
    <w:rsid w:val="00562BE9"/>
    <w:rsid w:val="00564382"/>
    <w:rsid w:val="00564682"/>
    <w:rsid w:val="00567631"/>
    <w:rsid w:val="00571472"/>
    <w:rsid w:val="00592943"/>
    <w:rsid w:val="005A0DE3"/>
    <w:rsid w:val="005A2F82"/>
    <w:rsid w:val="005A42D8"/>
    <w:rsid w:val="005B6453"/>
    <w:rsid w:val="005B7C5B"/>
    <w:rsid w:val="005C4DFD"/>
    <w:rsid w:val="005C7511"/>
    <w:rsid w:val="005D097A"/>
    <w:rsid w:val="005D444A"/>
    <w:rsid w:val="005D5702"/>
    <w:rsid w:val="006036A8"/>
    <w:rsid w:val="00603AC8"/>
    <w:rsid w:val="00607E43"/>
    <w:rsid w:val="00612EEB"/>
    <w:rsid w:val="0061737C"/>
    <w:rsid w:val="00621D02"/>
    <w:rsid w:val="006278A6"/>
    <w:rsid w:val="00630D01"/>
    <w:rsid w:val="00631874"/>
    <w:rsid w:val="00651268"/>
    <w:rsid w:val="00653F14"/>
    <w:rsid w:val="00660C50"/>
    <w:rsid w:val="00663885"/>
    <w:rsid w:val="0067182B"/>
    <w:rsid w:val="00682E81"/>
    <w:rsid w:val="00687F71"/>
    <w:rsid w:val="0069383A"/>
    <w:rsid w:val="00696C75"/>
    <w:rsid w:val="00697A4B"/>
    <w:rsid w:val="006A3645"/>
    <w:rsid w:val="006B5CD1"/>
    <w:rsid w:val="006B6E75"/>
    <w:rsid w:val="006C2B57"/>
    <w:rsid w:val="006D275A"/>
    <w:rsid w:val="006D36CE"/>
    <w:rsid w:val="006E0103"/>
    <w:rsid w:val="006E29C2"/>
    <w:rsid w:val="006F28F8"/>
    <w:rsid w:val="00720E34"/>
    <w:rsid w:val="00736FE6"/>
    <w:rsid w:val="00740E4C"/>
    <w:rsid w:val="00755DEF"/>
    <w:rsid w:val="00761367"/>
    <w:rsid w:val="00762B6A"/>
    <w:rsid w:val="00763DCB"/>
    <w:rsid w:val="00764349"/>
    <w:rsid w:val="0077354B"/>
    <w:rsid w:val="00792A9E"/>
    <w:rsid w:val="00797ABE"/>
    <w:rsid w:val="007A1912"/>
    <w:rsid w:val="007A65D5"/>
    <w:rsid w:val="007D5DDB"/>
    <w:rsid w:val="007E64B0"/>
    <w:rsid w:val="007F3ADF"/>
    <w:rsid w:val="008057BE"/>
    <w:rsid w:val="0080596F"/>
    <w:rsid w:val="0080750C"/>
    <w:rsid w:val="00826065"/>
    <w:rsid w:val="00826403"/>
    <w:rsid w:val="008307B9"/>
    <w:rsid w:val="00830CC1"/>
    <w:rsid w:val="00840634"/>
    <w:rsid w:val="008408D8"/>
    <w:rsid w:val="00846BE1"/>
    <w:rsid w:val="00856B84"/>
    <w:rsid w:val="00860DB7"/>
    <w:rsid w:val="008769CD"/>
    <w:rsid w:val="00883966"/>
    <w:rsid w:val="00896DFC"/>
    <w:rsid w:val="00897E0F"/>
    <w:rsid w:val="008A2032"/>
    <w:rsid w:val="008A397E"/>
    <w:rsid w:val="008A47A8"/>
    <w:rsid w:val="008A6EAC"/>
    <w:rsid w:val="008B02F2"/>
    <w:rsid w:val="008B6CC1"/>
    <w:rsid w:val="008D0E2A"/>
    <w:rsid w:val="008E673D"/>
    <w:rsid w:val="008F46EE"/>
    <w:rsid w:val="00900A11"/>
    <w:rsid w:val="009023C9"/>
    <w:rsid w:val="0092220C"/>
    <w:rsid w:val="00950C15"/>
    <w:rsid w:val="00954AB2"/>
    <w:rsid w:val="009561EE"/>
    <w:rsid w:val="00957F5C"/>
    <w:rsid w:val="00976E9F"/>
    <w:rsid w:val="009809A9"/>
    <w:rsid w:val="009955C4"/>
    <w:rsid w:val="00995E9A"/>
    <w:rsid w:val="009A65F1"/>
    <w:rsid w:val="009B22DE"/>
    <w:rsid w:val="009C432E"/>
    <w:rsid w:val="009C43E4"/>
    <w:rsid w:val="009C57B2"/>
    <w:rsid w:val="009C7A33"/>
    <w:rsid w:val="009D03D1"/>
    <w:rsid w:val="009D701C"/>
    <w:rsid w:val="00A04AF7"/>
    <w:rsid w:val="00A148C3"/>
    <w:rsid w:val="00A15479"/>
    <w:rsid w:val="00A1692C"/>
    <w:rsid w:val="00A20C9B"/>
    <w:rsid w:val="00A242C6"/>
    <w:rsid w:val="00A30172"/>
    <w:rsid w:val="00A42A20"/>
    <w:rsid w:val="00A42B7F"/>
    <w:rsid w:val="00A53D69"/>
    <w:rsid w:val="00A57916"/>
    <w:rsid w:val="00A612FB"/>
    <w:rsid w:val="00A62ED5"/>
    <w:rsid w:val="00A6703A"/>
    <w:rsid w:val="00A71C5F"/>
    <w:rsid w:val="00A742F1"/>
    <w:rsid w:val="00A90804"/>
    <w:rsid w:val="00AB591B"/>
    <w:rsid w:val="00AC4725"/>
    <w:rsid w:val="00AD01FE"/>
    <w:rsid w:val="00AE1B88"/>
    <w:rsid w:val="00AE7B87"/>
    <w:rsid w:val="00B174F7"/>
    <w:rsid w:val="00B23200"/>
    <w:rsid w:val="00B23739"/>
    <w:rsid w:val="00B3605A"/>
    <w:rsid w:val="00B3680E"/>
    <w:rsid w:val="00B4428D"/>
    <w:rsid w:val="00B6215B"/>
    <w:rsid w:val="00B632BE"/>
    <w:rsid w:val="00B7074A"/>
    <w:rsid w:val="00B7151E"/>
    <w:rsid w:val="00B80033"/>
    <w:rsid w:val="00BA10C7"/>
    <w:rsid w:val="00BA7080"/>
    <w:rsid w:val="00BB07B8"/>
    <w:rsid w:val="00BC3439"/>
    <w:rsid w:val="00BC47F2"/>
    <w:rsid w:val="00BE4649"/>
    <w:rsid w:val="00C06408"/>
    <w:rsid w:val="00C15EFB"/>
    <w:rsid w:val="00C2447A"/>
    <w:rsid w:val="00C27143"/>
    <w:rsid w:val="00C370C6"/>
    <w:rsid w:val="00C40727"/>
    <w:rsid w:val="00C4491D"/>
    <w:rsid w:val="00C66548"/>
    <w:rsid w:val="00C82953"/>
    <w:rsid w:val="00C93331"/>
    <w:rsid w:val="00C945C9"/>
    <w:rsid w:val="00CB2037"/>
    <w:rsid w:val="00CD392C"/>
    <w:rsid w:val="00CE0AE4"/>
    <w:rsid w:val="00CE3646"/>
    <w:rsid w:val="00CE7F3F"/>
    <w:rsid w:val="00D0257D"/>
    <w:rsid w:val="00D064DD"/>
    <w:rsid w:val="00D16089"/>
    <w:rsid w:val="00D25A9A"/>
    <w:rsid w:val="00D34848"/>
    <w:rsid w:val="00D361FC"/>
    <w:rsid w:val="00D4552B"/>
    <w:rsid w:val="00D84B5E"/>
    <w:rsid w:val="00DA0F23"/>
    <w:rsid w:val="00DA4B0D"/>
    <w:rsid w:val="00DA742E"/>
    <w:rsid w:val="00DB1AD2"/>
    <w:rsid w:val="00DB5717"/>
    <w:rsid w:val="00DB66D4"/>
    <w:rsid w:val="00DC0BDB"/>
    <w:rsid w:val="00DD3A27"/>
    <w:rsid w:val="00DD5D33"/>
    <w:rsid w:val="00DD6E7A"/>
    <w:rsid w:val="00DF639C"/>
    <w:rsid w:val="00E00812"/>
    <w:rsid w:val="00E05B43"/>
    <w:rsid w:val="00E11573"/>
    <w:rsid w:val="00E1555D"/>
    <w:rsid w:val="00E20F65"/>
    <w:rsid w:val="00E2345F"/>
    <w:rsid w:val="00E319D7"/>
    <w:rsid w:val="00E42AED"/>
    <w:rsid w:val="00E4524C"/>
    <w:rsid w:val="00E46674"/>
    <w:rsid w:val="00E51433"/>
    <w:rsid w:val="00E527CC"/>
    <w:rsid w:val="00E534E3"/>
    <w:rsid w:val="00E56190"/>
    <w:rsid w:val="00E6235E"/>
    <w:rsid w:val="00E64FAB"/>
    <w:rsid w:val="00E77A14"/>
    <w:rsid w:val="00E801D6"/>
    <w:rsid w:val="00E842BB"/>
    <w:rsid w:val="00EA5F46"/>
    <w:rsid w:val="00ED3A7A"/>
    <w:rsid w:val="00EE12F2"/>
    <w:rsid w:val="00EE29D7"/>
    <w:rsid w:val="00EF5499"/>
    <w:rsid w:val="00EF7337"/>
    <w:rsid w:val="00F059AA"/>
    <w:rsid w:val="00F10954"/>
    <w:rsid w:val="00F16D96"/>
    <w:rsid w:val="00F172D3"/>
    <w:rsid w:val="00F17911"/>
    <w:rsid w:val="00F542D2"/>
    <w:rsid w:val="00F76825"/>
    <w:rsid w:val="00F778C3"/>
    <w:rsid w:val="00F81F19"/>
    <w:rsid w:val="00F82C72"/>
    <w:rsid w:val="00F91F55"/>
    <w:rsid w:val="00FB0082"/>
    <w:rsid w:val="00FB015A"/>
    <w:rsid w:val="00FB0845"/>
    <w:rsid w:val="00FB64B7"/>
    <w:rsid w:val="00FB693D"/>
    <w:rsid w:val="00FB72DA"/>
    <w:rsid w:val="00FC0BC2"/>
    <w:rsid w:val="00FE2CF5"/>
    <w:rsid w:val="00FE4FA2"/>
    <w:rsid w:val="00FE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F791"/>
  <w15:docId w15:val="{020391D1-80DD-4A85-A5B8-BC8E93FD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1E23"/>
    <w:pPr>
      <w:spacing w:line="280" w:lineRule="exact"/>
      <w:jc w:val="both"/>
    </w:pPr>
    <w:rPr>
      <w:szCs w:val="22"/>
      <w:lang w:eastAsia="en-US"/>
    </w:rPr>
  </w:style>
  <w:style w:type="paragraph" w:styleId="Nadpis1">
    <w:name w:val="heading 1"/>
    <w:basedOn w:val="Normln"/>
    <w:next w:val="Normln"/>
    <w:link w:val="Nadpis1Char"/>
    <w:uiPriority w:val="9"/>
    <w:qFormat/>
    <w:rsid w:val="00FB693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rsid w:val="00FB693D"/>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rsid w:val="00FB693D"/>
    <w:pPr>
      <w:keepNext/>
      <w:spacing w:before="240" w:after="60"/>
      <w:outlineLvl w:val="2"/>
    </w:pPr>
    <w:rPr>
      <w:rFonts w:ascii="Cambria" w:eastAsia="Times New Roman"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
    <w:name w:val="Věc"/>
    <w:basedOn w:val="Normln"/>
    <w:next w:val="Normln"/>
    <w:rsid w:val="003F4950"/>
    <w:rPr>
      <w:b/>
    </w:rPr>
  </w:style>
  <w:style w:type="paragraph" w:styleId="Zhlav">
    <w:name w:val="header"/>
    <w:basedOn w:val="Normln"/>
    <w:link w:val="ZhlavChar"/>
    <w:uiPriority w:val="99"/>
    <w:unhideWhenUsed/>
    <w:rsid w:val="00164F99"/>
    <w:pPr>
      <w:tabs>
        <w:tab w:val="center" w:pos="4536"/>
        <w:tab w:val="right" w:pos="9072"/>
      </w:tabs>
    </w:pPr>
  </w:style>
  <w:style w:type="character" w:customStyle="1" w:styleId="ZhlavChar">
    <w:name w:val="Záhlaví Char"/>
    <w:link w:val="Zhlav"/>
    <w:uiPriority w:val="99"/>
    <w:rsid w:val="00164F99"/>
    <w:rPr>
      <w:szCs w:val="22"/>
      <w:lang w:val="en-US" w:eastAsia="en-US"/>
    </w:rPr>
  </w:style>
  <w:style w:type="paragraph" w:styleId="Zpat">
    <w:name w:val="footer"/>
    <w:basedOn w:val="Normln"/>
    <w:link w:val="ZpatChar"/>
    <w:uiPriority w:val="99"/>
    <w:unhideWhenUsed/>
    <w:rsid w:val="00164F99"/>
    <w:pPr>
      <w:tabs>
        <w:tab w:val="center" w:pos="4536"/>
        <w:tab w:val="right" w:pos="9072"/>
      </w:tabs>
    </w:pPr>
  </w:style>
  <w:style w:type="character" w:customStyle="1" w:styleId="ZpatChar">
    <w:name w:val="Zápatí Char"/>
    <w:link w:val="Zpat"/>
    <w:uiPriority w:val="99"/>
    <w:rsid w:val="00164F99"/>
    <w:rPr>
      <w:szCs w:val="22"/>
      <w:lang w:val="en-US" w:eastAsia="en-US"/>
    </w:rPr>
  </w:style>
  <w:style w:type="paragraph" w:customStyle="1" w:styleId="NzevDokumentu">
    <w:name w:val="NázevDokumentu"/>
    <w:basedOn w:val="Normln"/>
    <w:next w:val="Hlavika"/>
    <w:rsid w:val="00720E34"/>
    <w:pPr>
      <w:spacing w:before="680" w:line="240" w:lineRule="auto"/>
    </w:pPr>
    <w:rPr>
      <w:b/>
      <w:sz w:val="22"/>
    </w:rPr>
  </w:style>
  <w:style w:type="paragraph" w:customStyle="1" w:styleId="Hlavika">
    <w:name w:val="Hlavička"/>
    <w:basedOn w:val="Normln"/>
    <w:rsid w:val="00883966"/>
    <w:pPr>
      <w:spacing w:after="100" w:line="200" w:lineRule="exact"/>
    </w:pPr>
    <w:rPr>
      <w:sz w:val="16"/>
    </w:rPr>
  </w:style>
  <w:style w:type="paragraph" w:customStyle="1" w:styleId="Patika">
    <w:name w:val="Patička"/>
    <w:basedOn w:val="Normln"/>
    <w:rsid w:val="00B632BE"/>
    <w:pPr>
      <w:spacing w:after="100" w:line="200" w:lineRule="exact"/>
    </w:pPr>
    <w:rPr>
      <w:sz w:val="16"/>
    </w:rPr>
  </w:style>
  <w:style w:type="paragraph" w:customStyle="1" w:styleId="HeaderOdKoho">
    <w:name w:val="HeaderOdKoho"/>
    <w:basedOn w:val="Normln"/>
    <w:rsid w:val="002B7106"/>
    <w:pPr>
      <w:spacing w:line="240" w:lineRule="auto"/>
      <w:jc w:val="center"/>
    </w:pPr>
    <w:rPr>
      <w:b/>
      <w:sz w:val="22"/>
    </w:rPr>
  </w:style>
  <w:style w:type="paragraph" w:customStyle="1" w:styleId="HeaderFunkce">
    <w:name w:val="HeaderFunkce"/>
    <w:basedOn w:val="HeaderOdKoho"/>
    <w:next w:val="Hlavika"/>
    <w:rsid w:val="00896DFC"/>
    <w:pPr>
      <w:spacing w:after="120"/>
    </w:pPr>
    <w:rPr>
      <w:b w:val="0"/>
    </w:rPr>
  </w:style>
  <w:style w:type="character" w:customStyle="1" w:styleId="Nadpis2Char">
    <w:name w:val="Nadpis 2 Char"/>
    <w:link w:val="Nadpis2"/>
    <w:uiPriority w:val="9"/>
    <w:rsid w:val="00FB693D"/>
    <w:rPr>
      <w:rFonts w:ascii="Cambria" w:eastAsia="Times New Roman" w:hAnsi="Cambria" w:cs="Times New Roman"/>
      <w:b/>
      <w:bCs/>
      <w:i/>
      <w:iCs/>
      <w:sz w:val="28"/>
      <w:szCs w:val="28"/>
      <w:lang w:val="en-US" w:eastAsia="en-US"/>
    </w:rPr>
  </w:style>
  <w:style w:type="character" w:customStyle="1" w:styleId="Nadpis1Char">
    <w:name w:val="Nadpis 1 Char"/>
    <w:link w:val="Nadpis1"/>
    <w:uiPriority w:val="9"/>
    <w:rsid w:val="00FB693D"/>
    <w:rPr>
      <w:rFonts w:ascii="Cambria" w:eastAsia="Times New Roman" w:hAnsi="Cambria" w:cs="Times New Roman"/>
      <w:b/>
      <w:bCs/>
      <w:kern w:val="32"/>
      <w:sz w:val="32"/>
      <w:szCs w:val="32"/>
      <w:lang w:val="en-US" w:eastAsia="en-US"/>
    </w:rPr>
  </w:style>
  <w:style w:type="character" w:customStyle="1" w:styleId="Nadpis3Char">
    <w:name w:val="Nadpis 3 Char"/>
    <w:link w:val="Nadpis3"/>
    <w:uiPriority w:val="9"/>
    <w:rsid w:val="00FB693D"/>
    <w:rPr>
      <w:rFonts w:ascii="Cambria" w:eastAsia="Times New Roman" w:hAnsi="Cambria" w:cs="Times New Roman"/>
      <w:b/>
      <w:bCs/>
      <w:sz w:val="26"/>
      <w:szCs w:val="26"/>
      <w:lang w:val="en-US" w:eastAsia="en-US"/>
    </w:rPr>
  </w:style>
  <w:style w:type="paragraph" w:styleId="Nzev">
    <w:name w:val="Title"/>
    <w:basedOn w:val="Normln"/>
    <w:next w:val="Normln"/>
    <w:link w:val="NzevChar"/>
    <w:uiPriority w:val="10"/>
    <w:rsid w:val="00FB693D"/>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FB693D"/>
    <w:rPr>
      <w:rFonts w:ascii="Cambria" w:eastAsia="Times New Roman" w:hAnsi="Cambria" w:cs="Times New Roman"/>
      <w:b/>
      <w:bCs/>
      <w:kern w:val="28"/>
      <w:sz w:val="32"/>
      <w:szCs w:val="32"/>
      <w:lang w:val="en-US" w:eastAsia="en-US"/>
    </w:rPr>
  </w:style>
  <w:style w:type="paragraph" w:styleId="Podnadpis">
    <w:name w:val="Subtitle"/>
    <w:basedOn w:val="Normln"/>
    <w:next w:val="Normln"/>
    <w:link w:val="PodnadpisChar"/>
    <w:uiPriority w:val="11"/>
    <w:rsid w:val="00FB693D"/>
    <w:pPr>
      <w:spacing w:after="60"/>
      <w:jc w:val="center"/>
      <w:outlineLvl w:val="1"/>
    </w:pPr>
    <w:rPr>
      <w:rFonts w:ascii="Cambria" w:eastAsia="Times New Roman" w:hAnsi="Cambria"/>
      <w:sz w:val="24"/>
      <w:szCs w:val="24"/>
    </w:rPr>
  </w:style>
  <w:style w:type="character" w:customStyle="1" w:styleId="PodnadpisChar">
    <w:name w:val="Podnadpis Char"/>
    <w:link w:val="Podnadpis"/>
    <w:uiPriority w:val="11"/>
    <w:rsid w:val="00FB693D"/>
    <w:rPr>
      <w:rFonts w:ascii="Cambria" w:eastAsia="Times New Roman" w:hAnsi="Cambria" w:cs="Times New Roman"/>
      <w:sz w:val="24"/>
      <w:szCs w:val="24"/>
      <w:lang w:val="en-US" w:eastAsia="en-US"/>
    </w:rPr>
  </w:style>
  <w:style w:type="character" w:styleId="Zdraznnjemn">
    <w:name w:val="Subtle Emphasis"/>
    <w:uiPriority w:val="19"/>
    <w:rsid w:val="00FB693D"/>
    <w:rPr>
      <w:i/>
      <w:iCs/>
      <w:color w:val="808080"/>
    </w:rPr>
  </w:style>
  <w:style w:type="paragraph" w:styleId="Odstavecseseznamem">
    <w:name w:val="List Paragraph"/>
    <w:basedOn w:val="Normln"/>
    <w:uiPriority w:val="34"/>
    <w:qFormat/>
    <w:rsid w:val="00FB693D"/>
    <w:pPr>
      <w:ind w:left="708"/>
    </w:pPr>
  </w:style>
  <w:style w:type="paragraph" w:customStyle="1" w:styleId="Default">
    <w:name w:val="Default"/>
    <w:rsid w:val="002168A4"/>
    <w:pPr>
      <w:autoSpaceDE w:val="0"/>
      <w:autoSpaceDN w:val="0"/>
      <w:adjustRightInd w:val="0"/>
    </w:pPr>
    <w:rPr>
      <w:rFonts w:ascii="Times New Roman" w:hAnsi="Times New Roman"/>
      <w:color w:val="000000"/>
      <w:sz w:val="24"/>
      <w:szCs w:val="24"/>
    </w:rPr>
  </w:style>
  <w:style w:type="paragraph" w:styleId="Textbubliny">
    <w:name w:val="Balloon Text"/>
    <w:basedOn w:val="Normln"/>
    <w:link w:val="TextbublinyChar"/>
    <w:uiPriority w:val="99"/>
    <w:semiHidden/>
    <w:unhideWhenUsed/>
    <w:rsid w:val="009561E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61EE"/>
    <w:rPr>
      <w:rFonts w:ascii="Segoe UI" w:hAnsi="Segoe UI" w:cs="Segoe UI"/>
      <w:sz w:val="18"/>
      <w:szCs w:val="18"/>
      <w:lang w:eastAsia="en-US"/>
    </w:rPr>
  </w:style>
  <w:style w:type="character" w:styleId="Hypertextovodkaz">
    <w:name w:val="Hyperlink"/>
    <w:basedOn w:val="Standardnpsmoodstavce"/>
    <w:uiPriority w:val="99"/>
    <w:unhideWhenUsed/>
    <w:rsid w:val="008769CD"/>
    <w:rPr>
      <w:color w:val="0563C1"/>
      <w:u w:val="single"/>
    </w:rPr>
  </w:style>
  <w:style w:type="character" w:customStyle="1" w:styleId="Zkladntext">
    <w:name w:val="Základní text_"/>
    <w:basedOn w:val="Standardnpsmoodstavce"/>
    <w:link w:val="Zkladntext7"/>
    <w:rsid w:val="00522989"/>
    <w:rPr>
      <w:rFonts w:ascii="Times New Roman" w:eastAsia="Times New Roman" w:hAnsi="Times New Roman"/>
      <w:sz w:val="23"/>
      <w:szCs w:val="23"/>
      <w:shd w:val="clear" w:color="auto" w:fill="FFFFFF"/>
    </w:rPr>
  </w:style>
  <w:style w:type="character" w:customStyle="1" w:styleId="Zkladntext11pt">
    <w:name w:val="Základní text + 11 pt"/>
    <w:basedOn w:val="Zkladntext"/>
    <w:rsid w:val="00522989"/>
    <w:rPr>
      <w:rFonts w:ascii="Times New Roman" w:eastAsia="Times New Roman" w:hAnsi="Times New Roman"/>
      <w:color w:val="000000"/>
      <w:spacing w:val="0"/>
      <w:w w:val="100"/>
      <w:position w:val="0"/>
      <w:sz w:val="22"/>
      <w:szCs w:val="22"/>
      <w:shd w:val="clear" w:color="auto" w:fill="FFFFFF"/>
      <w:lang w:val="cs-CZ"/>
    </w:rPr>
  </w:style>
  <w:style w:type="paragraph" w:customStyle="1" w:styleId="Zkladntext7">
    <w:name w:val="Základní text7"/>
    <w:basedOn w:val="Normln"/>
    <w:link w:val="Zkladntext"/>
    <w:rsid w:val="00522989"/>
    <w:pPr>
      <w:widowControl w:val="0"/>
      <w:shd w:val="clear" w:color="auto" w:fill="FFFFFF"/>
      <w:spacing w:before="900" w:after="900" w:line="0" w:lineRule="atLeast"/>
      <w:ind w:hanging="2080"/>
    </w:pPr>
    <w:rPr>
      <w:rFonts w:ascii="Times New Roman" w:eastAsia="Times New Roman" w:hAnsi="Times New Roman"/>
      <w:sz w:val="23"/>
      <w:szCs w:val="23"/>
      <w:lang w:eastAsia="cs-CZ"/>
    </w:rPr>
  </w:style>
  <w:style w:type="table" w:styleId="Mkatabulky">
    <w:name w:val="Table Grid"/>
    <w:basedOn w:val="Normlntabulka"/>
    <w:uiPriority w:val="39"/>
    <w:rsid w:val="00522989"/>
    <w:rPr>
      <w:rFonts w:asciiTheme="minorHAnsi" w:eastAsiaTheme="minorHAnsi" w:hAnsi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522989"/>
    <w:rPr>
      <w:vertAlign w:val="superscript"/>
    </w:rPr>
  </w:style>
  <w:style w:type="character" w:styleId="Zdraznn">
    <w:name w:val="Emphasis"/>
    <w:basedOn w:val="Standardnpsmoodstavce"/>
    <w:uiPriority w:val="20"/>
    <w:qFormat/>
    <w:rsid w:val="00740E4C"/>
    <w:rPr>
      <w:b/>
      <w:bCs/>
      <w:i w:val="0"/>
      <w:iCs w:val="0"/>
    </w:rPr>
  </w:style>
  <w:style w:type="character" w:customStyle="1" w:styleId="st1">
    <w:name w:val="st1"/>
    <w:basedOn w:val="Standardnpsmoodstavce"/>
    <w:rsid w:val="0074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2058">
      <w:bodyDiv w:val="1"/>
      <w:marLeft w:val="0"/>
      <w:marRight w:val="0"/>
      <w:marTop w:val="0"/>
      <w:marBottom w:val="0"/>
      <w:divBdr>
        <w:top w:val="none" w:sz="0" w:space="0" w:color="auto"/>
        <w:left w:val="none" w:sz="0" w:space="0" w:color="auto"/>
        <w:bottom w:val="none" w:sz="0" w:space="0" w:color="auto"/>
        <w:right w:val="none" w:sz="0" w:space="0" w:color="auto"/>
      </w:divBdr>
    </w:div>
    <w:div w:id="13729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ablony\data\sablony\Dopisn&#237;%20pap&#237;r\Dopis\0.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5DF0-E174-4B38-AD50-5706BF06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101</TotalTime>
  <Pages>5</Pages>
  <Words>2220</Words>
  <Characters>13102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Šablona dokumentu</vt:lpstr>
    </vt:vector>
  </TitlesOfParts>
  <Company>Ansuz, s. r. o.</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dokumentu</dc:title>
  <dc:creator>Dobrovolná Tamara</dc:creator>
  <cp:lastModifiedBy>Dobrovolná Tamara</cp:lastModifiedBy>
  <cp:revision>9</cp:revision>
  <cp:lastPrinted>2019-11-20T10:43:00Z</cp:lastPrinted>
  <dcterms:created xsi:type="dcterms:W3CDTF">2019-11-20T07:36:00Z</dcterms:created>
  <dcterms:modified xsi:type="dcterms:W3CDTF">2019-12-02T14:35:00Z</dcterms:modified>
</cp:coreProperties>
</file>