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E59B6" w14:textId="77777777" w:rsidR="00A540C1" w:rsidRDefault="00A540C1" w:rsidP="00A540C1">
      <w:pPr>
        <w:pStyle w:val="-wm-msonormal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Stav nouze vyhlášený podle úst. zák. č. 110/1998 Sb., o bezpečnosti České republiky, pro celé území státu (dále jen nouzový stav) může zadavatelům provádějícím zadávací řízení způsobit řadu komplikací a problémů. Ty lze rozdělit na </w:t>
      </w:r>
      <w:r>
        <w:rPr>
          <w:rFonts w:ascii="Calibri" w:hAnsi="Calibri" w:cs="Calibri"/>
          <w:color w:val="1F497D"/>
          <w:bdr w:val="none" w:sz="0" w:space="0" w:color="auto" w:frame="1"/>
        </w:rPr>
        <w:t>tři </w:t>
      </w:r>
      <w:r>
        <w:rPr>
          <w:rFonts w:ascii="Calibri" w:hAnsi="Calibri" w:cs="Calibri"/>
          <w:color w:val="000000"/>
          <w:bdr w:val="none" w:sz="0" w:space="0" w:color="auto" w:frame="1"/>
        </w:rPr>
        <w:t>oblasti.</w:t>
      </w:r>
    </w:p>
    <w:p w14:paraId="5F6FF9EE" w14:textId="77777777" w:rsidR="00E20CAC" w:rsidRDefault="00E20CAC" w:rsidP="00A540C1">
      <w:pPr>
        <w:pStyle w:val="-wm-msonormal"/>
        <w:shd w:val="clear" w:color="auto" w:fill="FFFFFF"/>
        <w:spacing w:before="0" w:beforeAutospacing="0" w:after="0" w:afterAutospacing="0"/>
        <w:jc w:val="both"/>
        <w:textAlignment w:val="baseline"/>
        <w:rPr>
          <w:rStyle w:val="Siln"/>
          <w:rFonts w:ascii="Calibri" w:hAnsi="Calibri" w:cs="Calibri"/>
          <w:color w:val="333333"/>
          <w:bdr w:val="none" w:sz="0" w:space="0" w:color="auto" w:frame="1"/>
        </w:rPr>
      </w:pPr>
    </w:p>
    <w:p w14:paraId="40D44394" w14:textId="76316155" w:rsidR="00A540C1" w:rsidRDefault="00A540C1" w:rsidP="00A540C1">
      <w:pPr>
        <w:pStyle w:val="-wm-msonormal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iln"/>
          <w:rFonts w:ascii="Calibri" w:hAnsi="Calibri" w:cs="Calibri"/>
          <w:color w:val="333333"/>
          <w:bdr w:val="none" w:sz="0" w:space="0" w:color="auto" w:frame="1"/>
        </w:rPr>
        <w:t>Prodlužování lhůt pro podání nabídek</w:t>
      </w:r>
    </w:p>
    <w:p w14:paraId="2A3161E7" w14:textId="77777777" w:rsidR="00A540C1" w:rsidRDefault="00A540C1" w:rsidP="00A540C1">
      <w:pPr>
        <w:pStyle w:val="-wm-msonormal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Zadavatel nemusí automaticky prodlužovat lhůtu pro podání nabídek pouze z obecného důvodu, že byl vyhlášen nouzový stav – samotné vyhlášení nouzového stavu nemusí mít nijaký dopad na zadávací řízení jako takové. Je však možné, aby zadavatel zvážil u každého konkrétního zadávacího řízení všechny okolnosti, které vyhlášením nouzového stavu vzniknou a mají případný dopad na konkrétní zadávací řízení. Pokud by nouzový stav mohl mít dopad na zpracování nabídek dodavatelů (např. administrativní pracovníci dodavatelů mohou být v karanténě, některá část/oblast hospodářství by byla výrazně omezena personálně, technickou nebo výrobní kapacitou), případně by i na straně zadavatele došlo k situaci, že by po podání nabídek s ohledem na vnitřní situaci zadavatele (opět – administrativní pracovníci, kteří mají přístup do elektronického nástroje zadavatele jsou v karanténě a zároveň zadavatel ví, že nebude schopen v krátkém budoucím čase otevřít obálky, posoudit a vyhodnotit nabídky) nebyl schopen pokračovat v zadávacím řízení, tak potom zadavatel může (nemusí – zákon nestanoví termín pro otevírání nabídek) zvážit prodloužení lhůty pro podání nabídek na takovou lhůtu, která bude vzhledem k okolnostem odpovídající. Primárně však platí, že obecně již původní lhůta pro podání nabídek musela být dostatečná a přiměřená pro zpracování a podání nabídek, samotné vyhlášení nouzového stavu není důvodem pro automatické prodlužování lhůt pro podání nabídek a případné prodloužení lhůt pro podání nabídek je na zvážení zadavatele s ohledem na konkrétní okolnosti zadávacího řízení.</w:t>
      </w:r>
    </w:p>
    <w:p w14:paraId="3915036E" w14:textId="77777777" w:rsidR="00E20CAC" w:rsidRDefault="00E20CAC" w:rsidP="00A540C1">
      <w:pPr>
        <w:pStyle w:val="-wm-msonormal"/>
        <w:shd w:val="clear" w:color="auto" w:fill="FFFFFF"/>
        <w:spacing w:before="0" w:beforeAutospacing="0" w:after="0" w:afterAutospacing="0"/>
        <w:jc w:val="both"/>
        <w:textAlignment w:val="baseline"/>
        <w:rPr>
          <w:rStyle w:val="Siln"/>
          <w:rFonts w:ascii="Calibri" w:hAnsi="Calibri" w:cs="Calibri"/>
          <w:color w:val="333333"/>
          <w:bdr w:val="none" w:sz="0" w:space="0" w:color="auto" w:frame="1"/>
        </w:rPr>
      </w:pPr>
    </w:p>
    <w:p w14:paraId="4385AC4A" w14:textId="4138BF70" w:rsidR="00A540C1" w:rsidRDefault="00A540C1" w:rsidP="00A540C1">
      <w:pPr>
        <w:pStyle w:val="-wm-msonormal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iln"/>
          <w:rFonts w:ascii="Calibri" w:hAnsi="Calibri" w:cs="Calibri"/>
          <w:color w:val="333333"/>
          <w:bdr w:val="none" w:sz="0" w:space="0" w:color="auto" w:frame="1"/>
        </w:rPr>
        <w:t>Zrušení zadávacího řízení</w:t>
      </w:r>
    </w:p>
    <w:p w14:paraId="7A2F76C2" w14:textId="5785210B" w:rsidR="00A540C1" w:rsidRDefault="00A540C1" w:rsidP="00A540C1">
      <w:pPr>
        <w:pStyle w:val="-wm-msonormal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iln"/>
          <w:rFonts w:ascii="Calibri" w:hAnsi="Calibri" w:cs="Calibri"/>
          <w:b w:val="0"/>
          <w:bCs w:val="0"/>
          <w:color w:val="333333"/>
          <w:bdr w:val="none" w:sz="0" w:space="0" w:color="auto" w:frame="1"/>
        </w:rPr>
        <w:t>V souvislosti s vyhlášením nouzového stavu se zadavatel může dostat do situace, kdy realizaci veřejné zakázky s ohledem na nouzový stav nelze prakticky provést (předmět veřejné zakázky nebo podmínky plnění veřejné zakázky nejsou dostupné z důvodu zavedení nouzového stavu a z něho vyplývajících okolností, předmět veřejné zakázky zanikne nebo se stane s ohledem na nové skutečnosti bezpředmětný), případně nastane komplikace na straně dodavatele z důvodů administrativních/kapacitních/výrobních/právních (omezení pohybu osob, karanténa, uzavření oblasti, zrušení dodavatelských vztahů apod.), na základě kterých nelze po dodavateli vyžadovat plnění veřejné zakázky. V takové případě může zadavatel zvážit zrušení zadávacího řízení podle § 127 odst. 2, písm. c)</w:t>
      </w:r>
      <w:r w:rsidR="00E20CAC">
        <w:rPr>
          <w:rStyle w:val="Siln"/>
          <w:rFonts w:ascii="Calibri" w:hAnsi="Calibri" w:cs="Calibri"/>
          <w:b w:val="0"/>
          <w:bCs w:val="0"/>
          <w:color w:val="333333"/>
          <w:bdr w:val="none" w:sz="0" w:space="0" w:color="auto" w:frame="1"/>
        </w:rPr>
        <w:t xml:space="preserve"> nebo</w:t>
      </w:r>
      <w:r>
        <w:rPr>
          <w:rStyle w:val="Siln"/>
          <w:rFonts w:ascii="Calibri" w:hAnsi="Calibri" w:cs="Calibri"/>
          <w:b w:val="0"/>
          <w:bCs w:val="0"/>
          <w:color w:val="333333"/>
          <w:bdr w:val="none" w:sz="0" w:space="0" w:color="auto" w:frame="1"/>
        </w:rPr>
        <w:t xml:space="preserve"> písm. d).</w:t>
      </w:r>
    </w:p>
    <w:p w14:paraId="09EBF58E" w14:textId="77777777" w:rsidR="00A540C1" w:rsidRPr="00E20CAC" w:rsidRDefault="00A540C1" w:rsidP="00A540C1">
      <w:pPr>
        <w:pStyle w:val="-wm-msonormal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000000"/>
        </w:rPr>
      </w:pPr>
      <w:r w:rsidRPr="00E20CAC">
        <w:rPr>
          <w:rFonts w:ascii="Calibri" w:hAnsi="Calibri" w:cs="Calibri"/>
          <w:i/>
          <w:iCs/>
          <w:color w:val="000000"/>
          <w:bdr w:val="none" w:sz="0" w:space="0" w:color="auto" w:frame="1"/>
        </w:rPr>
        <w:t>c) odpadly důvody pro pokračování v zadávacím řízení v důsledku podstatné změny okolností, která nastala po zahájení zadávacího řízení a kterou zadavatel jednající s řádnou péčí nemohl předvídat a ani ji nezpůsobil, d) v průběhu zadávacího řízení se vyskytly důvody hodné zvláštního zřetele, včetně důvodů ekonomických, pro které nelze po zadavateli požadovat, aby v zadávacím řízení pokračoval, bez ohledu na to, zda tyto důvody zadavatel způsobil či nikoliv,</w:t>
      </w:r>
    </w:p>
    <w:p w14:paraId="73F60C0A" w14:textId="77777777" w:rsidR="00E20CAC" w:rsidRDefault="00E20CAC" w:rsidP="00E20CAC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cs-CZ"/>
        </w:rPr>
      </w:pPr>
    </w:p>
    <w:p w14:paraId="793B008C" w14:textId="4CFBD3B8" w:rsidR="00E20CAC" w:rsidRPr="00630D7F" w:rsidRDefault="00E20CAC" w:rsidP="00E20C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0D7F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cs-CZ"/>
        </w:rPr>
        <w:t>Prodlužování doby realizace plnění veřejných zakázek</w:t>
      </w:r>
    </w:p>
    <w:p w14:paraId="6791058D" w14:textId="77777777" w:rsidR="00E20CAC" w:rsidRPr="00630D7F" w:rsidRDefault="00E20CAC" w:rsidP="00E20CAC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cs-CZ"/>
        </w:rPr>
      </w:pPr>
      <w:r w:rsidRPr="00630D7F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cs-CZ"/>
        </w:rPr>
        <w:t xml:space="preserve">Nouzový stav může ovlivňovat již uzavřené smlouvy, na </w:t>
      </w:r>
      <w:proofErr w:type="gramStart"/>
      <w:r w:rsidRPr="00630D7F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cs-CZ"/>
        </w:rPr>
        <w:t>základě</w:t>
      </w:r>
      <w:proofErr w:type="gramEnd"/>
      <w:r w:rsidRPr="00630D7F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cs-CZ"/>
        </w:rPr>
        <w:t xml:space="preserve"> kterých probíhá plnění. Pokud by vyhlášení nouzového stavu přímo ovlivnilo průběh plnění veřejné zakázky, může zadavatel zvažovat po vyhodnocení všech rozhodných okolností, prodloužení doby realizace plnění veřejné zakázky. </w:t>
      </w:r>
    </w:p>
    <w:p w14:paraId="418ED474" w14:textId="77777777" w:rsidR="00E20CAC" w:rsidRPr="00630D7F" w:rsidRDefault="00E20CAC" w:rsidP="00E20CAC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cs-CZ"/>
        </w:rPr>
      </w:pPr>
      <w:r w:rsidRPr="00630D7F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cs-CZ"/>
        </w:rPr>
        <w:t>Na tyto případy mohou zadavatelé aplikovat § 222 odst. 6.</w:t>
      </w:r>
    </w:p>
    <w:p w14:paraId="1F794501" w14:textId="77777777" w:rsidR="00E20CAC" w:rsidRPr="00630D7F" w:rsidRDefault="00E20CAC" w:rsidP="00E20CAC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cs-CZ"/>
        </w:rPr>
      </w:pPr>
    </w:p>
    <w:p w14:paraId="0A58E932" w14:textId="77777777" w:rsidR="00E20CAC" w:rsidRPr="00630D7F" w:rsidRDefault="00E20CAC" w:rsidP="00E20CAC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cs-CZ"/>
        </w:rPr>
      </w:pPr>
      <w:r w:rsidRPr="00630D7F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cs-CZ"/>
        </w:rPr>
        <w:lastRenderedPageBreak/>
        <w:t>Vyhlášení nouzového stavu není obecně samo o sobě automatickým naplněním podmínek § 222 odst. 6) a s tím souvisejícího provádění změny závazku. Primárně je každý zadavatel povinen postupovat v souladu se ZZVZ, pokud jde tedy o možnou změnu závazku, je nezbytné, aby zadavatel, pokud má zájem provádět změnu závazku, zároveň věděl, že případná změna závazku dle § 222 je jeho právem, nikoli povinností. Pokud taková situace nastane</w:t>
      </w:r>
      <w:r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cs-CZ"/>
        </w:rPr>
        <w:t>,</w:t>
      </w:r>
      <w:r w:rsidRPr="00630D7F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cs-CZ"/>
        </w:rPr>
        <w:t xml:space="preserve"> může jednat o změně závazku s dodavatelem. Změny nejsou vynutitelné. Nutným předpokladem pro možnou změnu závazku je bezpodmínečné naplnění všech okolností, které jsou podmínkou pro takovou změnu (podle § 222 odst. 6), tedy:</w:t>
      </w:r>
    </w:p>
    <w:p w14:paraId="0FF6CEA0" w14:textId="77777777" w:rsidR="00E20CAC" w:rsidRPr="00630D7F" w:rsidRDefault="00E20CAC" w:rsidP="00E20CAC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cs-CZ"/>
        </w:rPr>
      </w:pPr>
    </w:p>
    <w:p w14:paraId="0A619117" w14:textId="77777777" w:rsidR="00E20CAC" w:rsidRPr="00630D7F" w:rsidRDefault="00E20CAC" w:rsidP="00E20CAC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cs-CZ"/>
        </w:rPr>
      </w:pPr>
      <w:r w:rsidRPr="00630D7F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cs-CZ"/>
        </w:rPr>
        <w:t xml:space="preserve">Za podstatnou změnu závazku se nepovažuje změna, </w:t>
      </w:r>
    </w:p>
    <w:p w14:paraId="5C07E556" w14:textId="77777777" w:rsidR="00E20CAC" w:rsidRPr="00630D7F" w:rsidRDefault="00E20CAC" w:rsidP="00E20C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0D7F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cs-CZ"/>
        </w:rPr>
        <w:t>a) jejíž potřeba vznikla v důsledku okolností, které zadavatel jednající s náležitou péčí nemohl předvídat,</w:t>
      </w:r>
    </w:p>
    <w:p w14:paraId="35F6071C" w14:textId="77777777" w:rsidR="00E20CAC" w:rsidRPr="00630D7F" w:rsidRDefault="00E20CAC" w:rsidP="00E20C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0D7F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cs-CZ"/>
        </w:rPr>
        <w:t>b) nemění celkovou povahu veřejné zakázky,</w:t>
      </w:r>
    </w:p>
    <w:p w14:paraId="3A7B821B" w14:textId="77777777" w:rsidR="00E20CAC" w:rsidRDefault="00E20CAC" w:rsidP="00E20CAC">
      <w:pPr>
        <w:shd w:val="clear" w:color="auto" w:fill="FFFFFF"/>
        <w:spacing w:after="0" w:line="240" w:lineRule="auto"/>
        <w:jc w:val="both"/>
        <w:textAlignment w:val="baseline"/>
      </w:pPr>
      <w:r w:rsidRPr="00630D7F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cs-CZ"/>
        </w:rPr>
        <w:t>c) hodnota změny nepřekročí 50 % původní hodnoty závazku</w:t>
      </w:r>
      <w:r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cs-CZ"/>
        </w:rPr>
        <w:t xml:space="preserve"> </w:t>
      </w:r>
      <w:r>
        <w:t xml:space="preserve">a zároveň cenový narůst </w:t>
      </w:r>
      <w:r w:rsidRPr="00E70F3C">
        <w:t>při odečtení stavebních prací, služeb nebo dodávek, které nebyly s ohledem na tyto změny realizovány</w:t>
      </w:r>
      <w:r>
        <w:t>,</w:t>
      </w:r>
      <w:r w:rsidRPr="00E70F3C">
        <w:t xml:space="preserve"> nepřesáhne 30 % původní hodnoty závazku</w:t>
      </w:r>
      <w:r>
        <w:t>.</w:t>
      </w:r>
    </w:p>
    <w:p w14:paraId="2F3B23D8" w14:textId="77777777" w:rsidR="00E20CAC" w:rsidRDefault="00E20CAC" w:rsidP="00E20CAC">
      <w:pPr>
        <w:shd w:val="clear" w:color="auto" w:fill="FFFFFF"/>
        <w:spacing w:after="0" w:line="240" w:lineRule="auto"/>
        <w:jc w:val="both"/>
        <w:textAlignment w:val="baseline"/>
      </w:pPr>
    </w:p>
    <w:p w14:paraId="0ADAEDBD" w14:textId="77777777" w:rsidR="00E20CAC" w:rsidRPr="00630D7F" w:rsidRDefault="00E20CAC" w:rsidP="00E20C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DF1E17" w14:textId="77777777" w:rsidR="00E20CAC" w:rsidRPr="00630D7F" w:rsidRDefault="00E20CAC" w:rsidP="00E20CAC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cs-CZ"/>
        </w:rPr>
      </w:pPr>
      <w:r w:rsidRPr="00630D7F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cs-CZ"/>
        </w:rPr>
        <w:t>Změna závazku musí odpovídat konkrétním okolnostem a může být provedena pouze taková změna, která je skutečně vynucena nouzovým stavem a kterou je nezbytně nutné provést pro provedení závazku s ohledem na nové, nepředvídatelné okolnosti (např. veřejná zakázka na průzkum veřejného mínění, který má být proveden v ulicích měst, obcí - nouzový stav je vyhlášen na měsíc – změna reflektuje všechny okolnosti, vyplývající z nouzového stavu – prodloužení např. také o měsíc nebo další okolnosti, které mají konkrétní dopad na plnění  (doba karantén apod.)). V žádném případě závazky nelze rozšiřovat nad rámec změny, vynucené nepředvídatelnými okolnostmi.</w:t>
      </w:r>
    </w:p>
    <w:p w14:paraId="09921533" w14:textId="77777777" w:rsidR="00E20CAC" w:rsidRPr="00630D7F" w:rsidRDefault="00E20CAC" w:rsidP="00E20C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cs-CZ"/>
        </w:rPr>
      </w:pPr>
      <w:r w:rsidRPr="00630D7F">
        <w:rPr>
          <w:rFonts w:ascii="Calibri" w:eastAsia="Times New Roman" w:hAnsi="Calibri" w:cs="Calibri"/>
          <w:sz w:val="24"/>
          <w:szCs w:val="24"/>
          <w:shd w:val="clear" w:color="auto" w:fill="FFFFFF"/>
          <w:lang w:eastAsia="cs-CZ"/>
        </w:rPr>
        <w:t xml:space="preserve">Pokud zadavatel bude provádět změny závazku, musí dokumentovat vznik a průběh změn pro prokázání příčinné souvislosti mezi změnou závazku a opatřeními vlády. V tomto ohledu se nic nemění oproti běžné praxi – je na zadavateli, aby prokázal, že změnu nemohl předvídat, že změna závazku se váže na jím uvedené okolnosti a takové okolnosti jsou příčinou (objektivně) vynucené změny závazku. Dodavatelé by tedy měli předkládat zadavatelům konkrétní důkazy, že nemohou z důvodu nových okolností (např. pracovníci v karanténě, odstavení subdodavatelských kapacit z důvodu karantény, z důvodu autoritami nařízené výroby jiných výrobků (filtry, roušky), z důvodu uzavřené oblasti nemohou realizovat atp.) plnit řádně veřejnou zakázku. </w:t>
      </w:r>
    </w:p>
    <w:p w14:paraId="44440BE3" w14:textId="77777777" w:rsidR="00E20CAC" w:rsidRPr="00630D7F" w:rsidRDefault="00E20CAC" w:rsidP="00E20CAC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cs-CZ"/>
        </w:rPr>
      </w:pPr>
      <w:r w:rsidRPr="00630D7F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cs-CZ"/>
        </w:rPr>
        <w:t xml:space="preserve">Změny nesmí být prováděny nad rámec skutečnosti, vyplývající z nových okolností (např. veřejná zakázka na průzkum veřejného mínění, který má být proveden v ulicích měst, </w:t>
      </w:r>
      <w:proofErr w:type="gramStart"/>
      <w:r w:rsidRPr="00630D7F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cs-CZ"/>
        </w:rPr>
        <w:t>obcí - nouzový</w:t>
      </w:r>
      <w:proofErr w:type="gramEnd"/>
      <w:r w:rsidRPr="00630D7F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cs-CZ"/>
        </w:rPr>
        <w:t xml:space="preserve"> stav je vyhlášen na měsíc – prodloužení o 6 měsíců). Změna závazku by tedy měla pouze nezbytně nutným způsobem překlenout nový, nepředvídatelný stav, který zadavatel nemohl předvídat a který skutečně dopadá na realizaci veřejné zakázky. </w:t>
      </w:r>
    </w:p>
    <w:p w14:paraId="0188CC73" w14:textId="77777777" w:rsidR="00E20CAC" w:rsidRPr="00630D7F" w:rsidRDefault="00E20CAC" w:rsidP="00E20C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cs-CZ"/>
        </w:rPr>
      </w:pPr>
      <w:r w:rsidRPr="00630D7F">
        <w:rPr>
          <w:rFonts w:ascii="Calibri" w:eastAsia="Times New Roman" w:hAnsi="Calibri" w:cs="Calibri"/>
          <w:sz w:val="24"/>
          <w:szCs w:val="24"/>
          <w:shd w:val="clear" w:color="auto" w:fill="FFFFFF"/>
          <w:lang w:eastAsia="cs-CZ"/>
        </w:rPr>
        <w:t xml:space="preserve">Zadavatelé také mohou vzít v úvahu využití § 223 odst. 1 (vypovězení závazku), pokud by změny byly takové povahy, že v plnění nelze pokračovat, aniž by nebyla porušena pravidla uvedená v § 222. </w:t>
      </w:r>
    </w:p>
    <w:p w14:paraId="7818081A" w14:textId="77777777" w:rsidR="00E20CAC" w:rsidRPr="00630D7F" w:rsidRDefault="00E20CAC" w:rsidP="00E20C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cs-CZ"/>
        </w:rPr>
      </w:pPr>
      <w:r w:rsidRPr="00630D7F">
        <w:rPr>
          <w:rFonts w:ascii="Calibri" w:eastAsia="Times New Roman" w:hAnsi="Calibri" w:cs="Calibri"/>
          <w:sz w:val="24"/>
          <w:szCs w:val="24"/>
          <w:shd w:val="clear" w:color="auto" w:fill="FFFFFF"/>
          <w:lang w:eastAsia="cs-CZ"/>
        </w:rPr>
        <w:t>Pokud zadavatel postupuje podle § 222 odst. 6, je povinen do 30 dnů od provedené změny závazku odeslat oznámení o změně závazku k uveřejnění na formuláři a způsobem podle § 212.</w:t>
      </w:r>
    </w:p>
    <w:p w14:paraId="2A14C149" w14:textId="77777777" w:rsidR="00A05402" w:rsidRPr="00A5268E" w:rsidRDefault="00A05402" w:rsidP="00A540C1">
      <w:pPr>
        <w:pStyle w:val="-wm-msonormal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2637194" w14:textId="77777777" w:rsidR="00E85A5F" w:rsidRPr="00A5268E" w:rsidRDefault="00E85A5F">
      <w:pPr>
        <w:rPr>
          <w:sz w:val="24"/>
          <w:szCs w:val="24"/>
        </w:rPr>
      </w:pPr>
    </w:p>
    <w:sectPr w:rsidR="00E85A5F" w:rsidRPr="00A52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C1"/>
    <w:rsid w:val="000B316B"/>
    <w:rsid w:val="000E648D"/>
    <w:rsid w:val="0017039D"/>
    <w:rsid w:val="001F4D3F"/>
    <w:rsid w:val="00273E00"/>
    <w:rsid w:val="00307150"/>
    <w:rsid w:val="003A2C58"/>
    <w:rsid w:val="004620E4"/>
    <w:rsid w:val="0047417D"/>
    <w:rsid w:val="005B5ACE"/>
    <w:rsid w:val="00685337"/>
    <w:rsid w:val="007700D4"/>
    <w:rsid w:val="0081476E"/>
    <w:rsid w:val="008844EA"/>
    <w:rsid w:val="0088480D"/>
    <w:rsid w:val="008B2D67"/>
    <w:rsid w:val="009C6AC5"/>
    <w:rsid w:val="00A05402"/>
    <w:rsid w:val="00A22B1A"/>
    <w:rsid w:val="00A5268E"/>
    <w:rsid w:val="00A540C1"/>
    <w:rsid w:val="00BE7699"/>
    <w:rsid w:val="00C50090"/>
    <w:rsid w:val="00CF0AFC"/>
    <w:rsid w:val="00D65C4E"/>
    <w:rsid w:val="00DC341E"/>
    <w:rsid w:val="00E20CAC"/>
    <w:rsid w:val="00E85A5F"/>
    <w:rsid w:val="00F2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375B"/>
  <w15:chartTrackingRefBased/>
  <w15:docId w15:val="{7E972CD6-FAFF-47C5-9A1C-CD5A169E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A5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540C1"/>
    <w:rPr>
      <w:b/>
      <w:bCs/>
    </w:rPr>
  </w:style>
  <w:style w:type="paragraph" w:customStyle="1" w:styleId="Normln1">
    <w:name w:val="Normální1"/>
    <w:basedOn w:val="Normln"/>
    <w:rsid w:val="00A0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5C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C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C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C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C4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B0FA1-4AAF-44D4-B73A-60761ECB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983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2020-04-14T12:10:00Z</dcterms:created>
  <dcterms:modified xsi:type="dcterms:W3CDTF">2020-04-14T12:10:00Z</dcterms:modified>
</cp:coreProperties>
</file>