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5CA4" w14:textId="10000E36" w:rsidR="008526A9" w:rsidRDefault="008526A9" w:rsidP="00B64D5D">
      <w:pPr>
        <w:jc w:val="center"/>
        <w:rPr>
          <w:b/>
          <w:bCs/>
          <w:sz w:val="36"/>
          <w:szCs w:val="36"/>
        </w:rPr>
      </w:pPr>
      <w:r>
        <w:rPr>
          <w:rFonts w:cs="Tahoma"/>
          <w:b/>
          <w:noProof/>
          <w:color w:val="2B579A"/>
          <w:sz w:val="32"/>
          <w:szCs w:val="32"/>
          <w:shd w:val="clear" w:color="auto" w:fill="E6E6E6"/>
          <w:lang w:eastAsia="cs-CZ"/>
        </w:rPr>
        <w:drawing>
          <wp:inline distT="0" distB="0" distL="0" distR="0" wp14:anchorId="11F78A5B" wp14:editId="608390F6">
            <wp:extent cx="5760000" cy="619200"/>
            <wp:effectExtent l="0" t="0" r="0" b="0"/>
            <wp:docPr id="23" name="Obrázek 23" descr="DA9700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97006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6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20C26" w14:textId="78A1BC29" w:rsidR="00587A1F" w:rsidRDefault="00D44A70" w:rsidP="00D44A70">
      <w:pPr>
        <w:jc w:val="center"/>
        <w:rPr>
          <w:b/>
          <w:bCs/>
          <w:sz w:val="36"/>
          <w:szCs w:val="36"/>
        </w:rPr>
      </w:pPr>
      <w:r w:rsidRPr="00D44A70">
        <w:rPr>
          <w:b/>
          <w:bCs/>
          <w:sz w:val="36"/>
          <w:szCs w:val="36"/>
        </w:rPr>
        <w:t xml:space="preserve">Často kladené dotazy k výzvě </w:t>
      </w:r>
      <w:r w:rsidR="008A4E47">
        <w:rPr>
          <w:b/>
          <w:bCs/>
          <w:sz w:val="36"/>
          <w:szCs w:val="36"/>
        </w:rPr>
        <w:t>č. 2 na f</w:t>
      </w:r>
      <w:r w:rsidRPr="00D44A70">
        <w:rPr>
          <w:b/>
          <w:bCs/>
          <w:sz w:val="36"/>
          <w:szCs w:val="36"/>
        </w:rPr>
        <w:t>inanční podpor</w:t>
      </w:r>
      <w:r w:rsidR="008A4E47">
        <w:rPr>
          <w:b/>
          <w:bCs/>
          <w:sz w:val="36"/>
          <w:szCs w:val="36"/>
        </w:rPr>
        <w:t>u</w:t>
      </w:r>
      <w:r w:rsidRPr="00D44A70">
        <w:rPr>
          <w:b/>
          <w:bCs/>
          <w:sz w:val="36"/>
          <w:szCs w:val="36"/>
        </w:rPr>
        <w:t xml:space="preserve"> </w:t>
      </w:r>
      <w:r w:rsidR="008A4E47">
        <w:rPr>
          <w:b/>
          <w:bCs/>
          <w:sz w:val="36"/>
          <w:szCs w:val="36"/>
        </w:rPr>
        <w:t xml:space="preserve">přípravy </w:t>
      </w:r>
      <w:r w:rsidRPr="00D44A70">
        <w:rPr>
          <w:b/>
          <w:bCs/>
          <w:sz w:val="36"/>
          <w:szCs w:val="36"/>
        </w:rPr>
        <w:t>projektů v souladu s cíli EU (</w:t>
      </w:r>
      <w:r w:rsidR="008A4E47">
        <w:rPr>
          <w:b/>
          <w:bCs/>
          <w:sz w:val="36"/>
          <w:szCs w:val="36"/>
        </w:rPr>
        <w:t xml:space="preserve">příprava </w:t>
      </w:r>
      <w:r w:rsidR="00A10349">
        <w:rPr>
          <w:b/>
          <w:bCs/>
          <w:sz w:val="36"/>
          <w:szCs w:val="36"/>
        </w:rPr>
        <w:t>velkých</w:t>
      </w:r>
      <w:r w:rsidR="008A4E47">
        <w:rPr>
          <w:b/>
          <w:bCs/>
          <w:sz w:val="36"/>
          <w:szCs w:val="36"/>
        </w:rPr>
        <w:t xml:space="preserve"> projektů)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8"/>
        <w:gridCol w:w="5956"/>
        <w:gridCol w:w="6230"/>
      </w:tblGrid>
      <w:tr w:rsidR="00D44A70" w14:paraId="51190468" w14:textId="77777777" w:rsidTr="000A2DAE">
        <w:trPr>
          <w:trHeight w:val="349"/>
        </w:trPr>
        <w:tc>
          <w:tcPr>
            <w:tcW w:w="1808" w:type="dxa"/>
            <w:shd w:val="clear" w:color="auto" w:fill="B4C6E7" w:themeFill="accent1" w:themeFillTint="66"/>
          </w:tcPr>
          <w:p w14:paraId="67507087" w14:textId="47FC0E71" w:rsidR="00D44A70" w:rsidRPr="00D44A70" w:rsidRDefault="00D44A70" w:rsidP="00D44A70">
            <w:pPr>
              <w:rPr>
                <w:b/>
                <w:bCs/>
                <w:sz w:val="24"/>
                <w:szCs w:val="24"/>
              </w:rPr>
            </w:pPr>
            <w:r w:rsidRPr="00D44A70">
              <w:rPr>
                <w:b/>
                <w:bCs/>
                <w:sz w:val="24"/>
                <w:szCs w:val="24"/>
              </w:rPr>
              <w:t>Téma</w:t>
            </w:r>
          </w:p>
        </w:tc>
        <w:tc>
          <w:tcPr>
            <w:tcW w:w="5956" w:type="dxa"/>
            <w:shd w:val="clear" w:color="auto" w:fill="B4C6E7" w:themeFill="accent1" w:themeFillTint="66"/>
          </w:tcPr>
          <w:p w14:paraId="13F9D6A5" w14:textId="03C1C709" w:rsidR="00D44A70" w:rsidRPr="00D44A70" w:rsidRDefault="00D44A70" w:rsidP="00D44A70">
            <w:pPr>
              <w:rPr>
                <w:b/>
                <w:bCs/>
                <w:sz w:val="24"/>
                <w:szCs w:val="24"/>
              </w:rPr>
            </w:pPr>
            <w:r w:rsidRPr="00D44A70">
              <w:rPr>
                <w:b/>
                <w:bCs/>
                <w:sz w:val="24"/>
                <w:szCs w:val="24"/>
              </w:rPr>
              <w:t>Dotaz</w:t>
            </w:r>
          </w:p>
        </w:tc>
        <w:tc>
          <w:tcPr>
            <w:tcW w:w="6230" w:type="dxa"/>
            <w:shd w:val="clear" w:color="auto" w:fill="B4C6E7" w:themeFill="accent1" w:themeFillTint="66"/>
          </w:tcPr>
          <w:p w14:paraId="72AC251F" w14:textId="3F6ADA2A" w:rsidR="00D44A70" w:rsidRPr="00D44A70" w:rsidRDefault="00D44A70" w:rsidP="00D44A70">
            <w:pPr>
              <w:rPr>
                <w:b/>
                <w:bCs/>
                <w:sz w:val="24"/>
                <w:szCs w:val="24"/>
              </w:rPr>
            </w:pPr>
            <w:r w:rsidRPr="00D44A70">
              <w:rPr>
                <w:b/>
                <w:bCs/>
                <w:sz w:val="24"/>
                <w:szCs w:val="24"/>
              </w:rPr>
              <w:t>Odpověď</w:t>
            </w:r>
          </w:p>
        </w:tc>
      </w:tr>
      <w:tr w:rsidR="001E3379" w:rsidRPr="006B0E1E" w14:paraId="07FDEDFA" w14:textId="77777777" w:rsidTr="000A2DAE">
        <w:tc>
          <w:tcPr>
            <w:tcW w:w="1808" w:type="dxa"/>
          </w:tcPr>
          <w:p w14:paraId="7FEC1D99" w14:textId="0F6FDE4E" w:rsidR="001E3379" w:rsidRPr="00687B6E" w:rsidRDefault="001E3379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 w:rsidR="00327232"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čet žádostí na žadatele</w:t>
            </w:r>
          </w:p>
        </w:tc>
        <w:tc>
          <w:tcPr>
            <w:tcW w:w="5956" w:type="dxa"/>
          </w:tcPr>
          <w:p w14:paraId="20387EBB" w14:textId="51A4B4CF" w:rsidR="001E3379" w:rsidRPr="00687B6E" w:rsidRDefault="00327232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Kolik může žadatel podat žádostí?</w:t>
            </w:r>
            <w:r w:rsidR="001E3379" w:rsidRPr="00687B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0" w:type="dxa"/>
          </w:tcPr>
          <w:p w14:paraId="3262810F" w14:textId="5512FBC5" w:rsidR="001E3379" w:rsidRPr="00687B6E" w:rsidRDefault="00327232" w:rsidP="006B0E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Maximálně 2, s tím, že 1 žádost = 1 </w:t>
            </w:r>
            <w:r w:rsidR="00954101" w:rsidRPr="00687B6E">
              <w:rPr>
                <w:rFonts w:ascii="Arial" w:hAnsi="Arial" w:cs="Arial"/>
                <w:sz w:val="20"/>
                <w:szCs w:val="20"/>
              </w:rPr>
              <w:t xml:space="preserve">projekt (1 </w:t>
            </w:r>
            <w:r w:rsidRPr="00687B6E">
              <w:rPr>
                <w:rFonts w:ascii="Arial" w:hAnsi="Arial" w:cs="Arial"/>
                <w:sz w:val="20"/>
                <w:szCs w:val="20"/>
              </w:rPr>
              <w:t>projektová dokumentace</w:t>
            </w:r>
            <w:r w:rsidR="00954101" w:rsidRPr="00687B6E">
              <w:rPr>
                <w:rFonts w:ascii="Arial" w:hAnsi="Arial" w:cs="Arial"/>
                <w:sz w:val="20"/>
                <w:szCs w:val="20"/>
              </w:rPr>
              <w:t>)</w:t>
            </w:r>
            <w:r w:rsidR="001E3379" w:rsidRPr="00687B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529B0" w:rsidRPr="006B0E1E" w14:paraId="14AD9F34" w14:textId="77777777" w:rsidTr="000A2DAE">
        <w:tc>
          <w:tcPr>
            <w:tcW w:w="1808" w:type="dxa"/>
          </w:tcPr>
          <w:p w14:paraId="0013FD4D" w14:textId="2BA545AB" w:rsidR="001529B0" w:rsidRPr="00687B6E" w:rsidRDefault="001529B0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Smlouva o dílo</w:t>
            </w:r>
          </w:p>
        </w:tc>
        <w:tc>
          <w:tcPr>
            <w:tcW w:w="5956" w:type="dxa"/>
          </w:tcPr>
          <w:p w14:paraId="5725F27F" w14:textId="08E1ACD0" w:rsidR="003643AA" w:rsidRPr="00687B6E" w:rsidRDefault="003643AA" w:rsidP="003643AA">
            <w:pPr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Obracím se na Vás s dotazem, týkající se smlouvy o dílo na přípravnou dokumentaci. Ta byla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podepsána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 10. 12. 2022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s účinností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 v roce 2023. Veškeré faktury byly hrazeny po 1. lednu 2023. </w:t>
            </w:r>
          </w:p>
          <w:p w14:paraId="19E92840" w14:textId="77777777" w:rsidR="001529B0" w:rsidRPr="00687B6E" w:rsidRDefault="001529B0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0" w:type="dxa"/>
          </w:tcPr>
          <w:p w14:paraId="5ECBEDE8" w14:textId="05F97B78" w:rsidR="003643AA" w:rsidRPr="00687B6E" w:rsidRDefault="003643AA" w:rsidP="003643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Vaše smlouva obsahuje odkládací podmínku, tzn., že platnost je sice stanovena podpisem smlouvy, ale účinnosti smlouva nabývá dnem jejího zveřejnění v registru smluv podle zákona č. 340/2015 Sb., o zvláštních podmínkách účinnosti některých smluv. Ustanovení § 6 odst. 1 cit. zákona podmínilo účinnost (tj. nabytí účinnosti) smlouvy registrací v registru smluv. V podstatě se jedná o stanovení zákonné odkládací podmínky. Tato smlouva by bez registrace do registru smluv účinnosti nenabyla, a tudíž by povinnosti z ní vyplývající nemohli být plněny. Na základě uvedeného jsme konstatovali, že pro účely podání žádosti o podporu v naší výzvě je pro nás směrodatné datum zveřejnění smlouvy v registru smluv,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resp. nabytí účinnosti dané smlouvy.</w:t>
            </w:r>
          </w:p>
          <w:p w14:paraId="20B9D859" w14:textId="77777777" w:rsidR="001529B0" w:rsidRPr="00687B6E" w:rsidRDefault="001529B0" w:rsidP="003643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A70" w:rsidRPr="006B0E1E" w14:paraId="69676753" w14:textId="77777777" w:rsidTr="000A2DAE">
        <w:tc>
          <w:tcPr>
            <w:tcW w:w="1808" w:type="dxa"/>
          </w:tcPr>
          <w:p w14:paraId="47CAE438" w14:textId="32D48442" w:rsidR="00D44A70" w:rsidRPr="00687B6E" w:rsidRDefault="003643AA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50936156"/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Příloha Popis projektu; povinnost naplnění </w:t>
            </w:r>
            <w:r w:rsidR="001B6054"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DNSH</w:t>
            </w:r>
          </w:p>
        </w:tc>
        <w:tc>
          <w:tcPr>
            <w:tcW w:w="5956" w:type="dxa"/>
          </w:tcPr>
          <w:p w14:paraId="4DA21B66" w14:textId="0DE98F36" w:rsidR="00D44A70" w:rsidRPr="00687B6E" w:rsidRDefault="003643AA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Jak máme vyplnit</w:t>
            </w:r>
            <w:r w:rsidR="00D25AC6">
              <w:rPr>
                <w:rFonts w:ascii="Arial" w:hAnsi="Arial" w:cs="Arial"/>
                <w:sz w:val="20"/>
                <w:szCs w:val="20"/>
              </w:rPr>
              <w:t xml:space="preserve"> přílohu Povinnost naplnění DNSH</w:t>
            </w:r>
            <w:r w:rsidRPr="00687B6E">
              <w:rPr>
                <w:rFonts w:ascii="Arial" w:hAnsi="Arial" w:cs="Arial"/>
                <w:sz w:val="20"/>
                <w:szCs w:val="20"/>
              </w:rPr>
              <w:t>, jestliže je předmětem projektu projektová příprava (tzn. nemáme ještě zpracovanou PD) a do popisu projektu máme popsat, jak jsou v PD splněny požadavky na energetický standart s doložením en. průkazu, a dále např. jak je splněno DNSH atd? Znamená o tedy, že už musíme mít projektovou přípravu hotovou, abychom o dotaci mohli požádat?</w:t>
            </w:r>
          </w:p>
        </w:tc>
        <w:tc>
          <w:tcPr>
            <w:tcW w:w="6230" w:type="dxa"/>
          </w:tcPr>
          <w:p w14:paraId="6C9D7D83" w14:textId="46A302F6" w:rsidR="003643AA" w:rsidRPr="00687B6E" w:rsidRDefault="003643AA" w:rsidP="00A6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Příloha popis projektu je nutná vyplnit. Nicméně pokud v současné době nedokážete vše vyplnit, bude doložení provedeno čestným prohlášením. Můžete </w:t>
            </w:r>
            <w:r w:rsidR="00A6364B">
              <w:rPr>
                <w:rFonts w:ascii="Arial" w:hAnsi="Arial" w:cs="Arial"/>
                <w:sz w:val="20"/>
                <w:szCs w:val="20"/>
              </w:rPr>
              <w:t>tedy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 napsat, že se zavážete čestným prohlášením.  </w:t>
            </w:r>
          </w:p>
          <w:p w14:paraId="70E5059F" w14:textId="77777777" w:rsidR="003643AA" w:rsidRPr="00687B6E" w:rsidRDefault="003643AA" w:rsidP="00A6364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Viz text Přílohy:</w:t>
            </w:r>
          </w:p>
          <w:p w14:paraId="5F01F6D6" w14:textId="27664B37" w:rsidR="009A0D7D" w:rsidRPr="00687B6E" w:rsidRDefault="003643AA" w:rsidP="00A6364B">
            <w:pPr>
              <w:spacing w:after="160" w:line="259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87B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Pozn: výše uvedené podmínky souladu s jednotlivými pilíři DNSH budou doloženy v případě, že předmětem žádosti je projektová dokumentace, která obsahuje dostatek informací. V opačném případě bude doložení provedeno čestným </w:t>
            </w:r>
            <w:r w:rsidR="00A6364B" w:rsidRPr="00687B6E">
              <w:rPr>
                <w:rFonts w:ascii="Arial" w:hAnsi="Arial" w:cs="Arial"/>
                <w:i/>
                <w:iCs/>
                <w:sz w:val="20"/>
                <w:szCs w:val="20"/>
              </w:rPr>
              <w:t>prohlášením – příslibem</w:t>
            </w:r>
            <w:r w:rsidRPr="00687B6E">
              <w:rPr>
                <w:rFonts w:ascii="Arial" w:hAnsi="Arial" w:cs="Arial"/>
                <w:i/>
                <w:iCs/>
                <w:sz w:val="20"/>
                <w:szCs w:val="20"/>
              </w:rPr>
              <w:t>, že podmínky DNSH budou splněny.</w:t>
            </w:r>
          </w:p>
        </w:tc>
      </w:tr>
      <w:bookmarkEnd w:id="0"/>
      <w:tr w:rsidR="00D44A70" w:rsidRPr="006B0E1E" w14:paraId="78D051D5" w14:textId="77777777" w:rsidTr="000A2DAE">
        <w:tc>
          <w:tcPr>
            <w:tcW w:w="1808" w:type="dxa"/>
          </w:tcPr>
          <w:p w14:paraId="3EF3D775" w14:textId="74C221FB" w:rsidR="00D44A70" w:rsidRPr="00687B6E" w:rsidRDefault="008D36A1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Doklad o vlastnictví nemovitého majetku</w:t>
            </w:r>
          </w:p>
        </w:tc>
        <w:tc>
          <w:tcPr>
            <w:tcW w:w="5956" w:type="dxa"/>
          </w:tcPr>
          <w:p w14:paraId="2B9D8A75" w14:textId="0018D18C" w:rsidR="00D44A70" w:rsidRPr="00687B6E" w:rsidRDefault="00271D32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Lze k prokázání </w:t>
            </w:r>
            <w:r w:rsidR="00177077" w:rsidRPr="00687B6E">
              <w:rPr>
                <w:rFonts w:ascii="Arial" w:hAnsi="Arial" w:cs="Arial"/>
                <w:sz w:val="20"/>
                <w:szCs w:val="20"/>
              </w:rPr>
              <w:t xml:space="preserve">právního vztahu k nemovitému majetku </w:t>
            </w:r>
            <w:r w:rsidRPr="00687B6E">
              <w:rPr>
                <w:rFonts w:ascii="Arial" w:hAnsi="Arial" w:cs="Arial"/>
                <w:sz w:val="20"/>
                <w:szCs w:val="20"/>
              </w:rPr>
              <w:t>předložit také smlouvu o smlouvě budoucí kupní?</w:t>
            </w:r>
          </w:p>
        </w:tc>
        <w:tc>
          <w:tcPr>
            <w:tcW w:w="6230" w:type="dxa"/>
          </w:tcPr>
          <w:p w14:paraId="55D57402" w14:textId="32739301" w:rsidR="00D44A70" w:rsidRPr="00687B6E" w:rsidRDefault="00177077" w:rsidP="006B0E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Za doklad o právním vztahu k nemovitému majetku bude považována také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smlouva o smlouvě budoucí kupní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. V tomto případě je podmínkou, aby příjemce dotace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v rámci závěrečného vyhodnocení akce doložil doklad prokazující vlastnictví nemovitého majetku.</w:t>
            </w:r>
          </w:p>
        </w:tc>
      </w:tr>
      <w:tr w:rsidR="00954101" w:rsidRPr="006B0E1E" w14:paraId="5FBE6193" w14:textId="77777777" w:rsidTr="00954101">
        <w:trPr>
          <w:trHeight w:val="2652"/>
        </w:trPr>
        <w:tc>
          <w:tcPr>
            <w:tcW w:w="1808" w:type="dxa"/>
          </w:tcPr>
          <w:p w14:paraId="3620302B" w14:textId="77777777" w:rsidR="00954101" w:rsidRPr="00687B6E" w:rsidRDefault="00954101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6" w:type="dxa"/>
          </w:tcPr>
          <w:p w14:paraId="0BE4A62F" w14:textId="64F03FC2" w:rsidR="00954101" w:rsidRPr="00687B6E" w:rsidRDefault="00954101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Výpis z KN můžeme získat pouze dálkovým přístupem do KN nebo přímo osobně na katastrálním úřadu? Protože když nám udělá výpis z KN </w:t>
            </w:r>
            <w:proofErr w:type="spellStart"/>
            <w:r w:rsidRPr="00687B6E">
              <w:rPr>
                <w:rFonts w:ascii="Arial" w:hAnsi="Arial" w:cs="Arial"/>
                <w:sz w:val="20"/>
                <w:szCs w:val="20"/>
              </w:rPr>
              <w:t>CzechPOINT</w:t>
            </w:r>
            <w:proofErr w:type="spellEnd"/>
            <w:r w:rsidRPr="00687B6E">
              <w:rPr>
                <w:rFonts w:ascii="Arial" w:hAnsi="Arial" w:cs="Arial"/>
                <w:sz w:val="20"/>
                <w:szCs w:val="20"/>
              </w:rPr>
              <w:t>, tak vydán katastrálním úřadem není.</w:t>
            </w:r>
          </w:p>
        </w:tc>
        <w:tc>
          <w:tcPr>
            <w:tcW w:w="6230" w:type="dxa"/>
          </w:tcPr>
          <w:p w14:paraId="5DC81444" w14:textId="46C613FE" w:rsidR="00954101" w:rsidRPr="00687B6E" w:rsidRDefault="00954101" w:rsidP="009541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Katastr nemovitostí je jedním z Informačních systému veřejné správy, spravovaný úřadem zeměměřickým a katastrálním, který za informace v systému </w:t>
            </w:r>
            <w:proofErr w:type="gramStart"/>
            <w:r w:rsidRPr="00687B6E">
              <w:rPr>
                <w:rFonts w:ascii="Arial" w:hAnsi="Arial" w:cs="Arial"/>
                <w:sz w:val="20"/>
                <w:szCs w:val="20"/>
              </w:rPr>
              <w:t>ručí</w:t>
            </w:r>
            <w:proofErr w:type="gramEnd"/>
            <w:r w:rsidRPr="00687B6E">
              <w:rPr>
                <w:rFonts w:ascii="Arial" w:hAnsi="Arial" w:cs="Arial"/>
                <w:sz w:val="20"/>
                <w:szCs w:val="20"/>
              </w:rPr>
              <w:t xml:space="preserve">. Czech point do tohoto systému pouze nahlíží a může z něho pro potřeby populace provádět výpis, který má identickou právní hodnotu jako výpis z katastrálního úřadu, takže tyto informace jsou zaručeny a stále by měli naplňovat požadavky, které jsou na žadatele kladeny ve výzvě. </w:t>
            </w:r>
          </w:p>
        </w:tc>
      </w:tr>
      <w:tr w:rsidR="009654FB" w:rsidRPr="006B0E1E" w14:paraId="6FA071DF" w14:textId="77777777" w:rsidTr="000A2DAE">
        <w:tc>
          <w:tcPr>
            <w:tcW w:w="1808" w:type="dxa"/>
          </w:tcPr>
          <w:p w14:paraId="33CB316E" w14:textId="53CC8809" w:rsidR="009654FB" w:rsidRPr="00687B6E" w:rsidRDefault="009654FB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Veřejné zakázky</w:t>
            </w:r>
          </w:p>
        </w:tc>
        <w:tc>
          <w:tcPr>
            <w:tcW w:w="5956" w:type="dxa"/>
          </w:tcPr>
          <w:p w14:paraId="15341B3C" w14:textId="690A712D" w:rsidR="009654FB" w:rsidRPr="00687B6E" w:rsidRDefault="009654FB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Musí zadávací dokumentace</w:t>
            </w:r>
            <w:r w:rsidR="00A31495" w:rsidRPr="00687B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87B6E">
              <w:rPr>
                <w:rFonts w:ascii="Arial" w:hAnsi="Arial" w:cs="Arial"/>
                <w:sz w:val="20"/>
                <w:szCs w:val="20"/>
              </w:rPr>
              <w:t>smlouva o dílo a veškerá dokumentace</w:t>
            </w:r>
            <w:r w:rsidR="00A31495" w:rsidRPr="00687B6E">
              <w:rPr>
                <w:rFonts w:ascii="Arial" w:hAnsi="Arial" w:cs="Arial"/>
                <w:sz w:val="20"/>
                <w:szCs w:val="20"/>
              </w:rPr>
              <w:t xml:space="preserve"> k VZ</w:t>
            </w:r>
            <w:r w:rsidRPr="00687B6E">
              <w:rPr>
                <w:rFonts w:ascii="Arial" w:hAnsi="Arial" w:cs="Arial"/>
                <w:sz w:val="20"/>
                <w:szCs w:val="20"/>
              </w:rPr>
              <w:t>, která byla uzavřena před zveřejněním výzvy obsahovat závazek „DNSH“.</w:t>
            </w:r>
          </w:p>
        </w:tc>
        <w:tc>
          <w:tcPr>
            <w:tcW w:w="6230" w:type="dxa"/>
          </w:tcPr>
          <w:p w14:paraId="0B059136" w14:textId="2605C610" w:rsidR="009654FB" w:rsidRPr="00687B6E" w:rsidRDefault="00B02F59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Ano, </w:t>
            </w:r>
            <w:r w:rsidR="00186493" w:rsidRPr="00687B6E">
              <w:rPr>
                <w:rFonts w:ascii="Arial" w:hAnsi="Arial" w:cs="Arial"/>
                <w:sz w:val="20"/>
                <w:szCs w:val="20"/>
              </w:rPr>
              <w:t xml:space="preserve">pokud Vaše stávající smlouva s dodavatelem závazek k DNSH neobsahuje, 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doporučujeme uzavřít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dodatek ke smlouvě</w:t>
            </w:r>
            <w:r w:rsidRPr="00687B6E">
              <w:rPr>
                <w:rFonts w:ascii="Arial" w:hAnsi="Arial" w:cs="Arial"/>
                <w:sz w:val="20"/>
                <w:szCs w:val="20"/>
              </w:rPr>
              <w:t>,</w:t>
            </w:r>
            <w:r w:rsidR="00812A8F" w:rsidRPr="00687B6E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="00812A8F"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Čestné prohlášení dodavatele</w:t>
            </w:r>
            <w:r w:rsidR="00812A8F" w:rsidRPr="00687B6E">
              <w:rPr>
                <w:rFonts w:ascii="Arial" w:hAnsi="Arial" w:cs="Arial"/>
                <w:sz w:val="20"/>
                <w:szCs w:val="20"/>
              </w:rPr>
              <w:t>,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 kd</w:t>
            </w:r>
            <w:r w:rsidR="002B079B" w:rsidRPr="00687B6E">
              <w:rPr>
                <w:rFonts w:ascii="Arial" w:hAnsi="Arial" w:cs="Arial"/>
                <w:sz w:val="20"/>
                <w:szCs w:val="20"/>
              </w:rPr>
              <w:t>e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 bude závazek dodavatele s plněním zásady významně nepoškozovat environmentální cíle (dále jen „DNSH“) doplněn.</w:t>
            </w:r>
          </w:p>
        </w:tc>
      </w:tr>
      <w:tr w:rsidR="00F0028C" w:rsidRPr="006B0E1E" w14:paraId="3BBC2D18" w14:textId="77777777" w:rsidTr="000A2DAE">
        <w:tc>
          <w:tcPr>
            <w:tcW w:w="1808" w:type="dxa"/>
          </w:tcPr>
          <w:p w14:paraId="1AC9ED08" w14:textId="77777777" w:rsidR="00F0028C" w:rsidRPr="00687B6E" w:rsidRDefault="00F0028C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6" w:type="dxa"/>
          </w:tcPr>
          <w:p w14:paraId="0C37C54B" w14:textId="77777777" w:rsidR="00F0028C" w:rsidRPr="00F0028C" w:rsidRDefault="00F0028C" w:rsidP="00F0028C">
            <w:pPr>
              <w:pStyle w:val="Normlnweb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028C">
              <w:rPr>
                <w:rFonts w:ascii="Arial" w:hAnsi="Arial" w:cs="Arial"/>
                <w:sz w:val="20"/>
                <w:szCs w:val="20"/>
                <w:lang w:eastAsia="en-US"/>
              </w:rPr>
              <w:t>Jaká jsou pravidla pro zadávání VZMR v rámci této dotační výzvy?</w:t>
            </w:r>
          </w:p>
          <w:p w14:paraId="4F970FA4" w14:textId="77777777" w:rsidR="00F0028C" w:rsidRPr="00687B6E" w:rsidRDefault="00F0028C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0" w:type="dxa"/>
          </w:tcPr>
          <w:p w14:paraId="713FE835" w14:textId="0F80B701" w:rsidR="00F0028C" w:rsidRPr="00687B6E" w:rsidRDefault="00F0028C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MMR nemá stanovena žádná </w:t>
            </w:r>
            <w:r w:rsidR="003D7E04">
              <w:rPr>
                <w:rFonts w:ascii="Arial" w:hAnsi="Arial" w:cs="Arial"/>
                <w:sz w:val="20"/>
                <w:szCs w:val="20"/>
              </w:rPr>
              <w:t xml:space="preserve">konkrétní </w:t>
            </w:r>
            <w:r w:rsidRPr="003D7E04">
              <w:rPr>
                <w:rFonts w:ascii="Arial" w:hAnsi="Arial" w:cs="Arial"/>
                <w:sz w:val="20"/>
                <w:szCs w:val="20"/>
              </w:rPr>
              <w:t>pravidl</w:t>
            </w:r>
            <w:r w:rsidR="003D7E04" w:rsidRPr="003D7E04">
              <w:rPr>
                <w:rFonts w:ascii="Arial" w:hAnsi="Arial" w:cs="Arial"/>
                <w:sz w:val="20"/>
                <w:szCs w:val="20"/>
              </w:rPr>
              <w:t>a</w:t>
            </w:r>
            <w:r w:rsidR="003D7E04">
              <w:rPr>
                <w:rFonts w:ascii="Arial" w:hAnsi="Arial" w:cs="Arial"/>
                <w:sz w:val="20"/>
                <w:szCs w:val="20"/>
              </w:rPr>
              <w:t xml:space="preserve"> pro zadávání VZMR</w:t>
            </w:r>
            <w:r w:rsidR="003D7E04" w:rsidRPr="003D7E04">
              <w:rPr>
                <w:rFonts w:ascii="Arial" w:hAnsi="Arial" w:cs="Arial"/>
                <w:sz w:val="20"/>
                <w:szCs w:val="20"/>
              </w:rPr>
              <w:t>.</w:t>
            </w:r>
            <w:r w:rsidRPr="003D7E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7E04" w:rsidRPr="003D7E04">
              <w:rPr>
                <w:rFonts w:ascii="Arial" w:hAnsi="Arial" w:cs="Arial"/>
                <w:sz w:val="20"/>
                <w:szCs w:val="20"/>
              </w:rPr>
              <w:t>J</w:t>
            </w:r>
            <w:r w:rsidRPr="003D7E04">
              <w:rPr>
                <w:rFonts w:ascii="Arial" w:hAnsi="Arial" w:cs="Arial"/>
                <w:sz w:val="20"/>
                <w:szCs w:val="20"/>
              </w:rPr>
              <w:t>e potřeba</w:t>
            </w:r>
            <w:r>
              <w:rPr>
                <w:rFonts w:ascii="Arial" w:hAnsi="Arial" w:cs="Arial"/>
                <w:sz w:val="20"/>
                <w:szCs w:val="20"/>
              </w:rPr>
              <w:t xml:space="preserve"> se řídit zákonem o veřejných zakázkách a svými vnitřními pravidly. </w:t>
            </w:r>
          </w:p>
        </w:tc>
      </w:tr>
      <w:tr w:rsidR="00D44A70" w:rsidRPr="006B0E1E" w14:paraId="229D4EC4" w14:textId="77777777" w:rsidTr="000A2DAE">
        <w:tc>
          <w:tcPr>
            <w:tcW w:w="1808" w:type="dxa"/>
          </w:tcPr>
          <w:p w14:paraId="2BC26B69" w14:textId="57EF3182" w:rsidR="00D44A70" w:rsidRPr="00687B6E" w:rsidRDefault="00790A49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Příloha č.</w:t>
            </w:r>
            <w:r w:rsidR="003D7E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Finanční model</w:t>
            </w:r>
          </w:p>
        </w:tc>
        <w:tc>
          <w:tcPr>
            <w:tcW w:w="5956" w:type="dxa"/>
          </w:tcPr>
          <w:p w14:paraId="5C9F5570" w14:textId="4A73FCD2" w:rsidR="00D44A70" w:rsidRPr="00687B6E" w:rsidRDefault="00327232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Týká se tato příloha jen projektů na bytové domy? </w:t>
            </w:r>
            <w:r w:rsidR="006E0C96" w:rsidRPr="00687B6E">
              <w:rPr>
                <w:rFonts w:ascii="Arial" w:hAnsi="Arial" w:cs="Arial"/>
                <w:sz w:val="20"/>
                <w:szCs w:val="20"/>
              </w:rPr>
              <w:t>Neznáme procentuální výši vlastních, případně úvěrových zdrojů. Prosím o informaci, zda v této fázi procenta odhadnout a v budoucnu změnit? Případně přehodnotit situaci, jakmile bude zveřejněn program nájemní bydlení?</w:t>
            </w:r>
          </w:p>
        </w:tc>
        <w:tc>
          <w:tcPr>
            <w:tcW w:w="6230" w:type="dxa"/>
          </w:tcPr>
          <w:p w14:paraId="26E1FBC5" w14:textId="4C634721" w:rsidR="00327232" w:rsidRPr="00687B6E" w:rsidRDefault="00327232" w:rsidP="00A6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Ano, příloha se přikládá pouze v případě projektů na bytové domy.</w:t>
            </w:r>
          </w:p>
          <w:p w14:paraId="45D72BDB" w14:textId="5EB6D3A3" w:rsidR="006E0C96" w:rsidRPr="00687B6E" w:rsidRDefault="009654FB" w:rsidP="00A6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Jedná se pouze o orientační</w:t>
            </w:r>
            <w:r w:rsidR="008D36A1" w:rsidRPr="00687B6E">
              <w:rPr>
                <w:rFonts w:ascii="Arial" w:hAnsi="Arial" w:cs="Arial"/>
                <w:sz w:val="20"/>
                <w:szCs w:val="20"/>
              </w:rPr>
              <w:t xml:space="preserve"> finanční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 rozvahu, která nebude závazná pro následnou realizaci a lze ji v budoucnu měnit.</w:t>
            </w:r>
            <w:r w:rsidR="00A31495" w:rsidRPr="00687B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9D8FAA" w14:textId="4578F4D1" w:rsidR="00D44A70" w:rsidRPr="00687B6E" w:rsidRDefault="006E0C96" w:rsidP="00A6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Nicméně je</w:t>
            </w:r>
            <w:r w:rsidR="00A31495" w:rsidRPr="00687B6E">
              <w:rPr>
                <w:rFonts w:ascii="Arial" w:hAnsi="Arial" w:cs="Arial"/>
                <w:sz w:val="20"/>
                <w:szCs w:val="20"/>
              </w:rPr>
              <w:t xml:space="preserve"> důležité mít dopředu rozmyšleno</w:t>
            </w:r>
            <w:r w:rsidRPr="00687B6E">
              <w:rPr>
                <w:rFonts w:ascii="Arial" w:hAnsi="Arial" w:cs="Arial"/>
                <w:sz w:val="20"/>
                <w:szCs w:val="20"/>
              </w:rPr>
              <w:t>, jak a za jakých podmínek bude následná realizace stavby probíhat</w:t>
            </w:r>
            <w:r w:rsidR="008E3698" w:rsidRPr="00687B6E">
              <w:rPr>
                <w:rFonts w:ascii="Arial" w:hAnsi="Arial" w:cs="Arial"/>
                <w:sz w:val="20"/>
                <w:szCs w:val="20"/>
              </w:rPr>
              <w:t>.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AE0" w:rsidRPr="00687B6E">
              <w:rPr>
                <w:rFonts w:ascii="Arial" w:hAnsi="Arial" w:cs="Arial"/>
                <w:sz w:val="20"/>
                <w:szCs w:val="20"/>
              </w:rPr>
              <w:t>Žadatelé mají možnost tuto přílohu využít jako vzor, ale nejsou k tomu povinni. Mohou doložit vlastní finanční model.</w:t>
            </w:r>
          </w:p>
        </w:tc>
      </w:tr>
      <w:tr w:rsidR="001E3379" w:rsidRPr="006B0E1E" w14:paraId="743E33D3" w14:textId="77777777" w:rsidTr="000A2DAE">
        <w:tc>
          <w:tcPr>
            <w:tcW w:w="1808" w:type="dxa"/>
            <w:vMerge w:val="restart"/>
          </w:tcPr>
          <w:p w14:paraId="07E37F29" w14:textId="573C6515" w:rsidR="001E3379" w:rsidRPr="00687B6E" w:rsidRDefault="001E3379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Čestná prohlášení/plná moc</w:t>
            </w:r>
          </w:p>
        </w:tc>
        <w:tc>
          <w:tcPr>
            <w:tcW w:w="5956" w:type="dxa"/>
          </w:tcPr>
          <w:p w14:paraId="3D920616" w14:textId="45C273A1" w:rsidR="001E3379" w:rsidRPr="00687B6E" w:rsidRDefault="001E3379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Stačí plná moc elektronicky podepsaná, nebo je potřeba ji mít jinak ověřenou?</w:t>
            </w:r>
          </w:p>
        </w:tc>
        <w:tc>
          <w:tcPr>
            <w:tcW w:w="6230" w:type="dxa"/>
          </w:tcPr>
          <w:p w14:paraId="26004AB1" w14:textId="42FEBA82" w:rsidR="001E3379" w:rsidRPr="00687B6E" w:rsidRDefault="001E3379" w:rsidP="00A6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Plná moc stačí elektronicky podepsaná, pokud jde o autorizovaný elektronický podpis.</w:t>
            </w:r>
          </w:p>
        </w:tc>
      </w:tr>
      <w:tr w:rsidR="001E3379" w:rsidRPr="006B0E1E" w14:paraId="469E427C" w14:textId="77777777" w:rsidTr="000A2DAE">
        <w:tc>
          <w:tcPr>
            <w:tcW w:w="1808" w:type="dxa"/>
            <w:vMerge/>
          </w:tcPr>
          <w:p w14:paraId="1178D06E" w14:textId="77777777" w:rsidR="001E3379" w:rsidRPr="00687B6E" w:rsidRDefault="001E3379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6" w:type="dxa"/>
          </w:tcPr>
          <w:p w14:paraId="62E0C474" w14:textId="4433CA6F" w:rsidR="001E3379" w:rsidRPr="00687B6E" w:rsidRDefault="001E3379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Musíme k žádosti o podporu dokládat i ČP ke střetu zájmů u veřejných zakázek i v případě, že VZ prozatím nebyla realizována.</w:t>
            </w:r>
          </w:p>
        </w:tc>
        <w:tc>
          <w:tcPr>
            <w:tcW w:w="6230" w:type="dxa"/>
          </w:tcPr>
          <w:p w14:paraId="63DD94B1" w14:textId="307A769A" w:rsidR="001E3379" w:rsidRPr="00687B6E" w:rsidRDefault="001E3379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Ano, dané ČP vyplňte i v případě, že jste VZ prozatím nerealizovali. Do kolonek (seznam ke střetu zájmu), které nemůžete vyplnit, protože aktuálně nevíte (např. členy hodnotící komise; osobu, </w:t>
            </w:r>
            <w:r w:rsidRPr="00687B6E">
              <w:rPr>
                <w:rFonts w:ascii="Arial" w:hAnsi="Arial" w:cs="Arial"/>
                <w:sz w:val="20"/>
                <w:szCs w:val="20"/>
              </w:rPr>
              <w:lastRenderedPageBreak/>
              <w:t xml:space="preserve">smluvně zastupující zadavatele aj.) napište „v současné chvíli z důvodu nerealizace VZ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nerelevantní</w:t>
            </w:r>
            <w:r w:rsidRPr="00687B6E">
              <w:rPr>
                <w:rFonts w:ascii="Arial" w:hAnsi="Arial" w:cs="Arial"/>
                <w:sz w:val="20"/>
                <w:szCs w:val="20"/>
              </w:rPr>
              <w:t>“.</w:t>
            </w:r>
          </w:p>
        </w:tc>
      </w:tr>
      <w:tr w:rsidR="001E3379" w:rsidRPr="006B0E1E" w14:paraId="40E1298B" w14:textId="77777777" w:rsidTr="000A2DAE">
        <w:tc>
          <w:tcPr>
            <w:tcW w:w="1808" w:type="dxa"/>
            <w:vMerge/>
          </w:tcPr>
          <w:p w14:paraId="58F5ED24" w14:textId="77777777" w:rsidR="001E3379" w:rsidRPr="00687B6E" w:rsidRDefault="001E3379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6" w:type="dxa"/>
          </w:tcPr>
          <w:p w14:paraId="6D976015" w14:textId="083A05AD" w:rsidR="001E3379" w:rsidRPr="00687B6E" w:rsidRDefault="001E3379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Seznam a čestné prohlášení ke střetu zájmů u VZ obsahuje informace, jež se u zakázky mohou v budoucnu změnit (název zakázky, pracovníci, jež ji budou na úřadě připravovat atd.). Je nutné prohlášení předložit rovnou při podán žádosti?</w:t>
            </w:r>
          </w:p>
        </w:tc>
        <w:tc>
          <w:tcPr>
            <w:tcW w:w="6230" w:type="dxa"/>
          </w:tcPr>
          <w:p w14:paraId="634DF5F2" w14:textId="4DF50C3B" w:rsidR="001E3379" w:rsidRPr="00687B6E" w:rsidRDefault="001E3379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Ano. V budoucích výzvách toto prohlášení bude vyžadováno až po proběhlé soutěži, ale v této výzvě je nutné předložit uvedenou přílohu rovnou.</w:t>
            </w:r>
          </w:p>
        </w:tc>
      </w:tr>
      <w:tr w:rsidR="00D44A70" w:rsidRPr="006B0E1E" w14:paraId="468A8480" w14:textId="77777777" w:rsidTr="000A2DAE">
        <w:tc>
          <w:tcPr>
            <w:tcW w:w="1808" w:type="dxa"/>
          </w:tcPr>
          <w:p w14:paraId="11572974" w14:textId="414B4D17" w:rsidR="00D44A70" w:rsidRPr="00687B6E" w:rsidRDefault="009654FB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Následná podmínka realizace</w:t>
            </w:r>
          </w:p>
        </w:tc>
        <w:tc>
          <w:tcPr>
            <w:tcW w:w="5956" w:type="dxa"/>
          </w:tcPr>
          <w:p w14:paraId="57DE0E19" w14:textId="30E1C377" w:rsidR="00D44A70" w:rsidRPr="00687B6E" w:rsidRDefault="002A630B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Když nestihneme do 10 let postavit, budeme dotaci vracet. Bude k tomu ještě nějaká sankce nebo jen výše dotace?</w:t>
            </w:r>
          </w:p>
        </w:tc>
        <w:tc>
          <w:tcPr>
            <w:tcW w:w="6230" w:type="dxa"/>
          </w:tcPr>
          <w:p w14:paraId="7CCFAF71" w14:textId="024562DD" w:rsidR="00D44A70" w:rsidRPr="00687B6E" w:rsidRDefault="009654FB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V případě nedodržení následné podmínky realizace projektu ve stanovené lhůtě, je příjemce povinen vrátit 100 % dotace poskytovateli dotace. K dané vratce není stanovena další sankce či finanční oprava (nejedná se o porušení rozpočtové kázně dle rozpočtových pravidel).</w:t>
            </w:r>
          </w:p>
        </w:tc>
      </w:tr>
    </w:tbl>
    <w:p w14:paraId="2CD8169D" w14:textId="78E858A7" w:rsidR="00EE27D7" w:rsidRDefault="00EE27D7" w:rsidP="00D44A70">
      <w:pPr>
        <w:jc w:val="center"/>
        <w:rPr>
          <w:b/>
          <w:bCs/>
          <w:sz w:val="24"/>
          <w:szCs w:val="24"/>
        </w:rPr>
      </w:pPr>
    </w:p>
    <w:p w14:paraId="049DF3C9" w14:textId="13C0269E" w:rsidR="00EE27D7" w:rsidRDefault="00EE27D7" w:rsidP="00EE27D7">
      <w:pPr>
        <w:rPr>
          <w:rFonts w:ascii="Arial" w:hAnsi="Arial" w:cs="Arial"/>
          <w:b/>
          <w:bCs/>
          <w:sz w:val="20"/>
          <w:szCs w:val="20"/>
        </w:rPr>
      </w:pPr>
      <w:r w:rsidRPr="00F0028C">
        <w:rPr>
          <w:rFonts w:ascii="Arial" w:hAnsi="Arial" w:cs="Arial"/>
          <w:sz w:val="20"/>
          <w:szCs w:val="20"/>
        </w:rPr>
        <w:t>Konzultaci konkrétních projektových záměrů provádí Koordinační a kompetenční centrum</w:t>
      </w:r>
      <w:r w:rsidRPr="00F0028C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7" w:history="1">
        <w:r w:rsidR="00B64D5D" w:rsidRPr="00C572A2">
          <w:rPr>
            <w:rStyle w:val="Hypertextovodkaz"/>
            <w:rFonts w:ascii="Arial" w:hAnsi="Arial" w:cs="Arial"/>
            <w:b/>
            <w:bCs/>
            <w:sz w:val="20"/>
            <w:szCs w:val="20"/>
          </w:rPr>
          <w:t>https://sfpi.cz/kompetencni-a-koordinacni-centrum/</w:t>
        </w:r>
      </w:hyperlink>
    </w:p>
    <w:p w14:paraId="13A86CD3" w14:textId="77777777" w:rsidR="00B64D5D" w:rsidRDefault="00B64D5D" w:rsidP="00EE27D7">
      <w:pPr>
        <w:rPr>
          <w:rFonts w:ascii="Arial" w:hAnsi="Arial" w:cs="Arial"/>
          <w:b/>
          <w:bCs/>
          <w:sz w:val="20"/>
          <w:szCs w:val="20"/>
        </w:rPr>
      </w:pPr>
    </w:p>
    <w:p w14:paraId="2D312979" w14:textId="77777777" w:rsidR="00B64D5D" w:rsidRDefault="00B64D5D" w:rsidP="00B64D5D">
      <w:pPr>
        <w:pStyle w:val="Zpat"/>
      </w:pPr>
      <w:r>
        <w:t>Připravilo Oddělení komponenty veřejného investování NPO, únor 2024</w:t>
      </w:r>
    </w:p>
    <w:p w14:paraId="0BF410B2" w14:textId="77777777" w:rsidR="00B64D5D" w:rsidRPr="00F0028C" w:rsidRDefault="00B64D5D" w:rsidP="00EE27D7">
      <w:pPr>
        <w:rPr>
          <w:rFonts w:ascii="Arial" w:hAnsi="Arial" w:cs="Arial"/>
          <w:b/>
          <w:bCs/>
          <w:sz w:val="20"/>
          <w:szCs w:val="20"/>
        </w:rPr>
      </w:pPr>
    </w:p>
    <w:sectPr w:rsidR="00B64D5D" w:rsidRPr="00F0028C" w:rsidSect="00D44A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C62FE"/>
    <w:multiLevelType w:val="hybridMultilevel"/>
    <w:tmpl w:val="E01C21E0"/>
    <w:lvl w:ilvl="0" w:tplc="07AC9D90">
      <w:start w:val="1"/>
      <w:numFmt w:val="decimal"/>
      <w:lvlText w:val="%1."/>
      <w:lvlJc w:val="left"/>
      <w:pPr>
        <w:ind w:left="397" w:hanging="397"/>
      </w:pPr>
      <w:rPr>
        <w:rFonts w:hint="default"/>
        <w:sz w:val="24"/>
        <w:szCs w:val="24"/>
      </w:rPr>
    </w:lvl>
    <w:lvl w:ilvl="1" w:tplc="5EAEC34C" w:tentative="1">
      <w:start w:val="1"/>
      <w:numFmt w:val="lowerLetter"/>
      <w:lvlText w:val="%2."/>
      <w:lvlJc w:val="left"/>
      <w:pPr>
        <w:ind w:left="1440" w:hanging="360"/>
      </w:pPr>
    </w:lvl>
    <w:lvl w:ilvl="2" w:tplc="B88A1FC2" w:tentative="1">
      <w:start w:val="1"/>
      <w:numFmt w:val="lowerRoman"/>
      <w:lvlText w:val="%3."/>
      <w:lvlJc w:val="right"/>
      <w:pPr>
        <w:ind w:left="2160" w:hanging="180"/>
      </w:pPr>
    </w:lvl>
    <w:lvl w:ilvl="3" w:tplc="D44E38E0" w:tentative="1">
      <w:start w:val="1"/>
      <w:numFmt w:val="decimal"/>
      <w:lvlText w:val="%4."/>
      <w:lvlJc w:val="left"/>
      <w:pPr>
        <w:ind w:left="2880" w:hanging="360"/>
      </w:pPr>
    </w:lvl>
    <w:lvl w:ilvl="4" w:tplc="53DED6C6" w:tentative="1">
      <w:start w:val="1"/>
      <w:numFmt w:val="lowerLetter"/>
      <w:lvlText w:val="%5."/>
      <w:lvlJc w:val="left"/>
      <w:pPr>
        <w:ind w:left="3600" w:hanging="360"/>
      </w:pPr>
    </w:lvl>
    <w:lvl w:ilvl="5" w:tplc="27DA1DBC" w:tentative="1">
      <w:start w:val="1"/>
      <w:numFmt w:val="lowerRoman"/>
      <w:lvlText w:val="%6."/>
      <w:lvlJc w:val="right"/>
      <w:pPr>
        <w:ind w:left="4320" w:hanging="180"/>
      </w:pPr>
    </w:lvl>
    <w:lvl w:ilvl="6" w:tplc="0B6EFB86" w:tentative="1">
      <w:start w:val="1"/>
      <w:numFmt w:val="decimal"/>
      <w:lvlText w:val="%7."/>
      <w:lvlJc w:val="left"/>
      <w:pPr>
        <w:ind w:left="5040" w:hanging="360"/>
      </w:pPr>
    </w:lvl>
    <w:lvl w:ilvl="7" w:tplc="EB76D170" w:tentative="1">
      <w:start w:val="1"/>
      <w:numFmt w:val="lowerLetter"/>
      <w:lvlText w:val="%8."/>
      <w:lvlJc w:val="left"/>
      <w:pPr>
        <w:ind w:left="5760" w:hanging="360"/>
      </w:pPr>
    </w:lvl>
    <w:lvl w:ilvl="8" w:tplc="532AF2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12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70"/>
    <w:rsid w:val="0002096F"/>
    <w:rsid w:val="00066287"/>
    <w:rsid w:val="00095495"/>
    <w:rsid w:val="000A2DAE"/>
    <w:rsid w:val="001529B0"/>
    <w:rsid w:val="00177077"/>
    <w:rsid w:val="00186493"/>
    <w:rsid w:val="001B6054"/>
    <w:rsid w:val="001E3379"/>
    <w:rsid w:val="00246F89"/>
    <w:rsid w:val="00271D32"/>
    <w:rsid w:val="002A630B"/>
    <w:rsid w:val="002A7AE0"/>
    <w:rsid w:val="002B079B"/>
    <w:rsid w:val="002C2ADE"/>
    <w:rsid w:val="00327232"/>
    <w:rsid w:val="003643AA"/>
    <w:rsid w:val="00397F7C"/>
    <w:rsid w:val="003B0700"/>
    <w:rsid w:val="003D7E04"/>
    <w:rsid w:val="004F0320"/>
    <w:rsid w:val="00541642"/>
    <w:rsid w:val="00554076"/>
    <w:rsid w:val="00587A1F"/>
    <w:rsid w:val="005E0E4E"/>
    <w:rsid w:val="005F29D8"/>
    <w:rsid w:val="00654079"/>
    <w:rsid w:val="00687B6E"/>
    <w:rsid w:val="006A04A7"/>
    <w:rsid w:val="006B0E1E"/>
    <w:rsid w:val="006E0C96"/>
    <w:rsid w:val="00782773"/>
    <w:rsid w:val="00790A49"/>
    <w:rsid w:val="00812A8F"/>
    <w:rsid w:val="00847DED"/>
    <w:rsid w:val="008526A9"/>
    <w:rsid w:val="008A4E47"/>
    <w:rsid w:val="008D36A1"/>
    <w:rsid w:val="008E3698"/>
    <w:rsid w:val="00954101"/>
    <w:rsid w:val="009654FB"/>
    <w:rsid w:val="009A0D7D"/>
    <w:rsid w:val="00A10349"/>
    <w:rsid w:val="00A31495"/>
    <w:rsid w:val="00A6364B"/>
    <w:rsid w:val="00B02F59"/>
    <w:rsid w:val="00B64D5D"/>
    <w:rsid w:val="00D25AC6"/>
    <w:rsid w:val="00D44A70"/>
    <w:rsid w:val="00E96084"/>
    <w:rsid w:val="00EA5B42"/>
    <w:rsid w:val="00EE27D7"/>
    <w:rsid w:val="00F0028C"/>
    <w:rsid w:val="00F22BB3"/>
    <w:rsid w:val="00F75BBC"/>
    <w:rsid w:val="00F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77A7"/>
  <w15:chartTrackingRefBased/>
  <w15:docId w15:val="{EAD75E3B-073B-4804-A87F-7401C9F9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Barevný seznam – zvýraznění 11,Bullet list,List Paragraph compact,Nad,Normal bullet 2,Numbered List,Odstavec cíl se seznamem,Odstavec se seznamem1,Odstavec se seznamem5,Odstavec_muj,Paragraphe de liste 2,Reference list"/>
    <w:basedOn w:val="Normln"/>
    <w:link w:val="OdstavecseseznamemChar"/>
    <w:uiPriority w:val="34"/>
    <w:unhideWhenUsed/>
    <w:qFormat/>
    <w:rsid w:val="00FC19F2"/>
    <w:pPr>
      <w:spacing w:line="293" w:lineRule="auto"/>
      <w:ind w:left="720"/>
      <w:contextualSpacing/>
    </w:pPr>
    <w:rPr>
      <w:color w:val="000000" w:themeColor="text1"/>
    </w:rPr>
  </w:style>
  <w:style w:type="character" w:customStyle="1" w:styleId="OdstavecseseznamemChar">
    <w:name w:val="Odstavec se seznamem Char"/>
    <w:aliases w:val="Barevný seznam – zvýraznění 11 Char,Bullet list Char,List Paragraph compact Char,Nad Char,Normal bullet 2 Char,Numbered List Char,Odstavec cíl se seznamem Char,Odstavec se seznamem1 Char,Odstavec se seznamem5 Char"/>
    <w:link w:val="Odstavecseseznamem"/>
    <w:uiPriority w:val="34"/>
    <w:qFormat/>
    <w:rsid w:val="00FC19F2"/>
    <w:rPr>
      <w:color w:val="000000" w:themeColor="text1"/>
    </w:rPr>
  </w:style>
  <w:style w:type="paragraph" w:styleId="Normlnweb">
    <w:name w:val="Normal (Web)"/>
    <w:basedOn w:val="Normln"/>
    <w:uiPriority w:val="99"/>
    <w:semiHidden/>
    <w:unhideWhenUsed/>
    <w:rsid w:val="00F0028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4D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D5D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B64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fpi.cz/kompetencni-a-koordinacni-centru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9BAE-107E-4815-9937-997644FA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Štípková Hana</dc:creator>
  <cp:keywords/>
  <dc:description/>
  <cp:lastModifiedBy>Hipmannová Eva</cp:lastModifiedBy>
  <cp:revision>3</cp:revision>
  <dcterms:created xsi:type="dcterms:W3CDTF">2024-02-27T14:24:00Z</dcterms:created>
  <dcterms:modified xsi:type="dcterms:W3CDTF">2024-02-27T14:30:00Z</dcterms:modified>
</cp:coreProperties>
</file>