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0C9E" w14:textId="77777777" w:rsidR="005841AF" w:rsidRPr="00FF7DA1" w:rsidRDefault="001A1FBB" w:rsidP="009151A9">
      <w:pPr>
        <w:spacing w:after="24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V</w:t>
      </w:r>
      <w:r w:rsidR="005841AF" w:rsidRPr="00FF7DA1">
        <w:rPr>
          <w:rFonts w:asciiTheme="minorHAnsi" w:hAnsiTheme="minorHAnsi" w:cstheme="minorHAnsi"/>
          <w:b/>
          <w:bCs/>
          <w:sz w:val="28"/>
          <w:szCs w:val="28"/>
          <w:u w:val="single"/>
        </w:rPr>
        <w:t>ymezení nižších a malých center v 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Ústeckém</w:t>
      </w:r>
      <w:r w:rsidR="005841AF" w:rsidRPr="00FF7DA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kraji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důvodová zpráva</w:t>
      </w:r>
    </w:p>
    <w:p w14:paraId="00CD0D80" w14:textId="77777777" w:rsidR="00D43EF9" w:rsidRDefault="00D43EF9" w:rsidP="009C6DA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Ústecký</w:t>
      </w:r>
      <w:r w:rsidR="005841AF" w:rsidRPr="00FF7DA1">
        <w:rPr>
          <w:rFonts w:asciiTheme="minorHAnsi" w:hAnsiTheme="minorHAnsi" w:cstheme="minorHAnsi"/>
        </w:rPr>
        <w:t xml:space="preserve"> kraj prověřil </w:t>
      </w:r>
      <w:r>
        <w:rPr>
          <w:rFonts w:asciiTheme="minorHAnsi" w:hAnsiTheme="minorHAnsi" w:cstheme="minorHAnsi"/>
        </w:rPr>
        <w:t>hierarchii</w:t>
      </w:r>
      <w:r w:rsidR="005841AF" w:rsidRPr="00FF7DA1">
        <w:rPr>
          <w:rFonts w:asciiTheme="minorHAnsi" w:hAnsiTheme="minorHAnsi" w:cstheme="minorHAnsi"/>
        </w:rPr>
        <w:t xml:space="preserve"> sídel</w:t>
      </w:r>
      <w:r>
        <w:rPr>
          <w:rFonts w:asciiTheme="minorHAnsi" w:hAnsiTheme="minorHAnsi" w:cstheme="minorHAnsi"/>
        </w:rPr>
        <w:t xml:space="preserve"> </w:t>
      </w:r>
      <w:r w:rsidR="002F25D0" w:rsidRPr="00FF7DA1">
        <w:rPr>
          <w:rFonts w:asciiTheme="minorHAnsi" w:hAnsiTheme="minorHAnsi" w:cstheme="minorHAnsi"/>
        </w:rPr>
        <w:t>na svém</w:t>
      </w:r>
      <w:r>
        <w:rPr>
          <w:rFonts w:asciiTheme="minorHAnsi" w:hAnsiTheme="minorHAnsi" w:cstheme="minorHAnsi"/>
        </w:rPr>
        <w:t xml:space="preserve"> území v rámci pořízení a zpracování územně plánovací dokumentace kraje – Zásad územního rozvoje Ústeckého kraje</w:t>
      </w:r>
      <w:r w:rsidR="00EE247C">
        <w:rPr>
          <w:rFonts w:asciiTheme="minorHAnsi" w:hAnsiTheme="minorHAnsi" w:cstheme="minorHAnsi"/>
        </w:rPr>
        <w:t xml:space="preserve"> </w:t>
      </w:r>
      <w:r w:rsidR="009F1E5F">
        <w:rPr>
          <w:rStyle w:val="Znakapoznpodarou"/>
          <w:rFonts w:asciiTheme="minorHAnsi" w:hAnsiTheme="minorHAnsi" w:cstheme="minorHAnsi"/>
        </w:rPr>
        <w:footnoteReference w:id="1"/>
      </w:r>
      <w:r w:rsidR="00EE247C">
        <w:rPr>
          <w:rFonts w:asciiTheme="minorHAnsi" w:hAnsiTheme="minorHAnsi" w:cstheme="minorHAnsi"/>
        </w:rPr>
        <w:t>(dále jen „ZÚR ÚK“)</w:t>
      </w:r>
      <w:r>
        <w:rPr>
          <w:rFonts w:asciiTheme="minorHAnsi" w:hAnsiTheme="minorHAnsi" w:cstheme="minorHAnsi"/>
        </w:rPr>
        <w:t xml:space="preserve">, kterou zpracovala odborně způsobilá osoba s odpovídající autorizací k projektování v oblasti územního plánování </w:t>
      </w:r>
      <w:r w:rsidRPr="00D43EF9">
        <w:rPr>
          <w:rFonts w:asciiTheme="minorHAnsi" w:hAnsiTheme="minorHAnsi" w:cstheme="minorHAnsi"/>
        </w:rPr>
        <w:t>Ing. arch. Karel Beránek</w:t>
      </w:r>
      <w:r w:rsidR="009C6DAB">
        <w:rPr>
          <w:rFonts w:asciiTheme="minorHAnsi" w:hAnsiTheme="minorHAnsi" w:cstheme="minorHAnsi"/>
        </w:rPr>
        <w:t>, CSc. (</w:t>
      </w:r>
      <w:r w:rsidR="00846BB8">
        <w:rPr>
          <w:rFonts w:asciiTheme="minorHAnsi" w:hAnsiTheme="minorHAnsi" w:cstheme="minorHAnsi"/>
        </w:rPr>
        <w:t>č</w:t>
      </w:r>
      <w:r w:rsidR="009C6DAB" w:rsidRPr="009C6DAB">
        <w:rPr>
          <w:rFonts w:asciiTheme="minorHAnsi" w:hAnsiTheme="minorHAnsi" w:cstheme="minorHAnsi"/>
        </w:rPr>
        <w:t>íslo autorizace</w:t>
      </w:r>
      <w:r w:rsidR="009C6DAB">
        <w:rPr>
          <w:rFonts w:asciiTheme="minorHAnsi" w:hAnsiTheme="minorHAnsi" w:cstheme="minorHAnsi"/>
        </w:rPr>
        <w:t xml:space="preserve"> </w:t>
      </w:r>
      <w:r w:rsidR="009C6DAB" w:rsidRPr="009C6DAB">
        <w:rPr>
          <w:rFonts w:asciiTheme="minorHAnsi" w:hAnsiTheme="minorHAnsi" w:cstheme="minorHAnsi"/>
        </w:rPr>
        <w:t>01942</w:t>
      </w:r>
      <w:r w:rsidR="009C6DAB">
        <w:rPr>
          <w:rFonts w:asciiTheme="minorHAnsi" w:hAnsiTheme="minorHAnsi" w:cstheme="minorHAnsi"/>
        </w:rPr>
        <w:t xml:space="preserve">). Podle § 158 odst. 1 zákona č. 183/2006 SB., o územním plánování (stavební zákon) patří zpracování územně plánovací dokumentace mezi vybrané činnosti ve </w:t>
      </w:r>
      <w:r w:rsidR="00E83D3D">
        <w:rPr>
          <w:rFonts w:asciiTheme="minorHAnsi" w:hAnsiTheme="minorHAnsi" w:cstheme="minorHAnsi"/>
        </w:rPr>
        <w:t>výstavbě, jejichž</w:t>
      </w:r>
      <w:r w:rsidR="009C6DAB" w:rsidRPr="009C6DAB">
        <w:rPr>
          <w:rFonts w:asciiTheme="minorHAnsi" w:hAnsiTheme="minorHAnsi" w:cstheme="minorHAnsi"/>
        </w:rPr>
        <w:t xml:space="preserve"> výsledek ovlivňuje ochranu veřejných zájmů ve výstavbě, </w:t>
      </w:r>
      <w:r w:rsidR="009C6DAB">
        <w:rPr>
          <w:rFonts w:asciiTheme="minorHAnsi" w:hAnsiTheme="minorHAnsi" w:cstheme="minorHAnsi"/>
        </w:rPr>
        <w:t xml:space="preserve">a </w:t>
      </w:r>
      <w:r w:rsidR="009C6DAB" w:rsidRPr="009C6DAB">
        <w:rPr>
          <w:rFonts w:asciiTheme="minorHAnsi" w:hAnsiTheme="minorHAnsi" w:cstheme="minorHAnsi"/>
        </w:rPr>
        <w:t xml:space="preserve">mohou </w:t>
      </w:r>
      <w:r w:rsidR="009C6DAB">
        <w:rPr>
          <w:rFonts w:asciiTheme="minorHAnsi" w:hAnsiTheme="minorHAnsi" w:cstheme="minorHAnsi"/>
        </w:rPr>
        <w:t xml:space="preserve">je </w:t>
      </w:r>
      <w:r w:rsidR="009C6DAB" w:rsidRPr="009C6DAB">
        <w:rPr>
          <w:rFonts w:asciiTheme="minorHAnsi" w:hAnsiTheme="minorHAnsi" w:cstheme="minorHAnsi"/>
        </w:rPr>
        <w:t>vykonávat pouze fyzické osoby, které získaly oprávnění k jejich výkonu podle zvláštního právního předpisu</w:t>
      </w:r>
      <w:r w:rsidR="009C6DAB">
        <w:rPr>
          <w:rStyle w:val="Znakapoznpodarou"/>
          <w:rFonts w:asciiTheme="minorHAnsi" w:hAnsiTheme="minorHAnsi" w:cstheme="minorHAnsi"/>
        </w:rPr>
        <w:footnoteReference w:id="2"/>
      </w:r>
      <w:r w:rsidR="00777AA8">
        <w:rPr>
          <w:rFonts w:asciiTheme="minorHAnsi" w:hAnsiTheme="minorHAnsi" w:cstheme="minorHAnsi"/>
        </w:rPr>
        <w:t xml:space="preserve">. </w:t>
      </w:r>
      <w:r w:rsidR="00E83D3D">
        <w:rPr>
          <w:rFonts w:asciiTheme="minorHAnsi" w:hAnsiTheme="minorHAnsi" w:cstheme="minorHAnsi"/>
        </w:rPr>
        <w:t>Zásady</w:t>
      </w:r>
      <w:r w:rsidR="00777AA8">
        <w:rPr>
          <w:rFonts w:asciiTheme="minorHAnsi" w:hAnsiTheme="minorHAnsi" w:cstheme="minorHAnsi"/>
        </w:rPr>
        <w:t xml:space="preserve"> územního rozvoje byly projednány Zastupitelstvem Ústeckého kraje</w:t>
      </w:r>
      <w:r w:rsidR="00475322">
        <w:rPr>
          <w:rStyle w:val="Znakapoznpodarou"/>
          <w:rFonts w:asciiTheme="minorHAnsi" w:hAnsiTheme="minorHAnsi" w:cstheme="minorHAnsi"/>
        </w:rPr>
        <w:footnoteReference w:id="3"/>
      </w:r>
      <w:r w:rsidR="00777AA8">
        <w:rPr>
          <w:rFonts w:asciiTheme="minorHAnsi" w:hAnsiTheme="minorHAnsi" w:cstheme="minorHAnsi"/>
        </w:rPr>
        <w:t xml:space="preserve"> na zasedání </w:t>
      </w:r>
      <w:r w:rsidR="00E83D3D">
        <w:rPr>
          <w:rFonts w:asciiTheme="minorHAnsi" w:hAnsiTheme="minorHAnsi" w:cstheme="minorHAnsi"/>
        </w:rPr>
        <w:t>7. 9. 2011</w:t>
      </w:r>
      <w:r w:rsidR="00777AA8">
        <w:rPr>
          <w:rFonts w:asciiTheme="minorHAnsi" w:hAnsiTheme="minorHAnsi" w:cstheme="minorHAnsi"/>
        </w:rPr>
        <w:t xml:space="preserve"> a vydány usnesením 23/25Z/2011 opatřením obecné povahy</w:t>
      </w:r>
      <w:r w:rsidR="00777AA8">
        <w:rPr>
          <w:rStyle w:val="Znakapoznpodarou"/>
          <w:rFonts w:asciiTheme="minorHAnsi" w:hAnsiTheme="minorHAnsi" w:cstheme="minorHAnsi"/>
        </w:rPr>
        <w:footnoteReference w:id="4"/>
      </w:r>
      <w:r w:rsidR="0047170E">
        <w:rPr>
          <w:rFonts w:asciiTheme="minorHAnsi" w:hAnsiTheme="minorHAnsi" w:cstheme="minorHAnsi"/>
        </w:rPr>
        <w:t>, které nabylo účinnosti 20. 10. 2011.</w:t>
      </w:r>
      <w:r w:rsidR="00EE247C">
        <w:rPr>
          <w:rFonts w:asciiTheme="minorHAnsi" w:hAnsiTheme="minorHAnsi" w:cstheme="minorHAnsi"/>
        </w:rPr>
        <w:t xml:space="preserve"> V následujících aktualizacích ZÚR ÚK</w:t>
      </w:r>
      <w:r w:rsidR="009C0419">
        <w:rPr>
          <w:rFonts w:asciiTheme="minorHAnsi" w:hAnsiTheme="minorHAnsi" w:cstheme="minorHAnsi"/>
        </w:rPr>
        <w:t xml:space="preserve"> č. 1., 2., a 3 nebyla tato hierarchie měněna. </w:t>
      </w:r>
      <w:r w:rsidR="009C0419" w:rsidRPr="009C0419">
        <w:rPr>
          <w:rFonts w:asciiTheme="minorHAnsi" w:hAnsiTheme="minorHAnsi" w:cstheme="minorHAnsi"/>
        </w:rPr>
        <w:t>Zásady územního rozvoje jsou závazné pro pořizování a vydávání územních plánů, regulačních plánů a pro rozhodování v území</w:t>
      </w:r>
      <w:r w:rsidR="009C0419">
        <w:rPr>
          <w:rStyle w:val="Znakapoznpodarou"/>
          <w:rFonts w:asciiTheme="minorHAnsi" w:hAnsiTheme="minorHAnsi" w:cstheme="minorHAnsi"/>
        </w:rPr>
        <w:footnoteReference w:id="5"/>
      </w:r>
      <w:r w:rsidR="009C0419" w:rsidRPr="009C0419">
        <w:rPr>
          <w:rFonts w:asciiTheme="minorHAnsi" w:hAnsiTheme="minorHAnsi" w:cstheme="minorHAnsi"/>
        </w:rPr>
        <w:t>.</w:t>
      </w:r>
    </w:p>
    <w:p w14:paraId="558BA3F7" w14:textId="77777777" w:rsidR="00D43EF9" w:rsidRDefault="00782093" w:rsidP="009151A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ZÚR ÚK stanovují hierarchické uspořádání sídelní struktury následovně:</w:t>
      </w:r>
    </w:p>
    <w:p w14:paraId="691E2AF9" w14:textId="77777777" w:rsidR="00782093" w:rsidRPr="00782093" w:rsidRDefault="00782093" w:rsidP="00782093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782093">
        <w:rPr>
          <w:rFonts w:asciiTheme="minorHAnsi" w:hAnsiTheme="minorHAnsi" w:cstheme="minorHAnsi"/>
        </w:rPr>
        <w:t xml:space="preserve"> Nadregionální centrum: Ústí nad Labem</w:t>
      </w:r>
    </w:p>
    <w:p w14:paraId="45637B82" w14:textId="77777777" w:rsidR="00782093" w:rsidRPr="00782093" w:rsidRDefault="00782093" w:rsidP="00782093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782093">
        <w:rPr>
          <w:rFonts w:asciiTheme="minorHAnsi" w:hAnsiTheme="minorHAnsi" w:cstheme="minorHAnsi"/>
        </w:rPr>
        <w:t xml:space="preserve"> Regionální centra: Teplice, Chomutov, Most, Děčín</w:t>
      </w:r>
    </w:p>
    <w:p w14:paraId="1485F708" w14:textId="77777777" w:rsidR="00782093" w:rsidRPr="00782093" w:rsidRDefault="00782093" w:rsidP="00782093">
      <w:pPr>
        <w:ind w:left="284" w:hanging="284"/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782093">
        <w:rPr>
          <w:rFonts w:asciiTheme="minorHAnsi" w:hAnsiTheme="minorHAnsi" w:cstheme="minorHAnsi"/>
        </w:rPr>
        <w:t xml:space="preserve"> Mikroregionální centra: Litoměřice, Lovosice, Louny, Roudnice nad Labem, Žatec,</w:t>
      </w:r>
      <w:r>
        <w:rPr>
          <w:rFonts w:asciiTheme="minorHAnsi" w:hAnsiTheme="minorHAnsi" w:cstheme="minorHAnsi"/>
        </w:rPr>
        <w:t xml:space="preserve"> </w:t>
      </w:r>
      <w:r w:rsidRPr="00782093">
        <w:rPr>
          <w:rFonts w:asciiTheme="minorHAnsi" w:hAnsiTheme="minorHAnsi" w:cstheme="minorHAnsi"/>
        </w:rPr>
        <w:t>Kadaň, Litvínov, Varnsdorf, Bílina, Rumburk, Podbořany</w:t>
      </w:r>
    </w:p>
    <w:p w14:paraId="7262A859" w14:textId="77777777" w:rsidR="00782093" w:rsidRPr="00782093" w:rsidRDefault="00782093" w:rsidP="00782093">
      <w:pPr>
        <w:ind w:left="284" w:hanging="284"/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782093">
        <w:rPr>
          <w:rFonts w:asciiTheme="minorHAnsi" w:hAnsiTheme="minorHAnsi" w:cstheme="minorHAnsi"/>
        </w:rPr>
        <w:t xml:space="preserve"> </w:t>
      </w:r>
      <w:proofErr w:type="spellStart"/>
      <w:r w:rsidRPr="00782093">
        <w:rPr>
          <w:rFonts w:asciiTheme="minorHAnsi" w:hAnsiTheme="minorHAnsi" w:cstheme="minorHAnsi"/>
        </w:rPr>
        <w:t>Subregionální</w:t>
      </w:r>
      <w:proofErr w:type="spellEnd"/>
      <w:r w:rsidRPr="00782093">
        <w:rPr>
          <w:rFonts w:asciiTheme="minorHAnsi" w:hAnsiTheme="minorHAnsi" w:cstheme="minorHAnsi"/>
        </w:rPr>
        <w:t xml:space="preserve"> centra: Šluknov, Česká Kamenice, Velké Březno, Libochovice, Štětí,</w:t>
      </w:r>
      <w:r>
        <w:rPr>
          <w:rFonts w:asciiTheme="minorHAnsi" w:hAnsiTheme="minorHAnsi" w:cstheme="minorHAnsi"/>
        </w:rPr>
        <w:t xml:space="preserve"> </w:t>
      </w:r>
      <w:r w:rsidRPr="00782093">
        <w:rPr>
          <w:rFonts w:asciiTheme="minorHAnsi" w:hAnsiTheme="minorHAnsi" w:cstheme="minorHAnsi"/>
        </w:rPr>
        <w:t>Klášterec nad Ohří, Krupka, Postoloprty, Benešov nad Ploučnicí, Vejprty, Úštěk,</w:t>
      </w:r>
      <w:r>
        <w:rPr>
          <w:rFonts w:asciiTheme="minorHAnsi" w:hAnsiTheme="minorHAnsi" w:cstheme="minorHAnsi"/>
        </w:rPr>
        <w:t xml:space="preserve"> </w:t>
      </w:r>
      <w:r w:rsidRPr="00782093">
        <w:rPr>
          <w:rFonts w:asciiTheme="minorHAnsi" w:hAnsiTheme="minorHAnsi" w:cstheme="minorHAnsi"/>
        </w:rPr>
        <w:t>Libouchec, Duchcov, Jirkov</w:t>
      </w:r>
    </w:p>
    <w:p w14:paraId="4DE1523F" w14:textId="77777777" w:rsidR="00782093" w:rsidRDefault="00782093" w:rsidP="00782093">
      <w:pPr>
        <w:spacing w:after="240"/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782093">
        <w:rPr>
          <w:rFonts w:asciiTheme="minorHAnsi" w:hAnsiTheme="minorHAnsi" w:cstheme="minorHAnsi"/>
        </w:rPr>
        <w:t xml:space="preserve"> Ostatní obce se vztahy k jednotlivým typům center.</w:t>
      </w:r>
    </w:p>
    <w:p w14:paraId="581D14B9" w14:textId="77777777" w:rsidR="007A4CC9" w:rsidRDefault="007A4CC9" w:rsidP="009151A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Aktuálnost vymezení </w:t>
      </w:r>
      <w:r w:rsidRPr="007A4CC9">
        <w:rPr>
          <w:rFonts w:asciiTheme="minorHAnsi" w:hAnsiTheme="minorHAnsi" w:cstheme="minorHAnsi"/>
        </w:rPr>
        <w:t>hierarchické</w:t>
      </w:r>
      <w:r>
        <w:rPr>
          <w:rFonts w:asciiTheme="minorHAnsi" w:hAnsiTheme="minorHAnsi" w:cstheme="minorHAnsi"/>
        </w:rPr>
        <w:t>ho</w:t>
      </w:r>
      <w:r w:rsidRPr="007A4CC9">
        <w:rPr>
          <w:rFonts w:asciiTheme="minorHAnsi" w:hAnsiTheme="minorHAnsi" w:cstheme="minorHAnsi"/>
        </w:rPr>
        <w:t xml:space="preserve"> uspořádání sídelní struktury</w:t>
      </w:r>
      <w:r>
        <w:rPr>
          <w:rFonts w:asciiTheme="minorHAnsi" w:hAnsiTheme="minorHAnsi" w:cstheme="minorHAnsi"/>
        </w:rPr>
        <w:t xml:space="preserve"> Ústeckého kraje je pravidelně prověřována v Územně analytických podkladech Ústeckého kraje</w:t>
      </w:r>
      <w:r w:rsidR="001F5FAC">
        <w:rPr>
          <w:rFonts w:asciiTheme="minorHAnsi" w:hAnsiTheme="minorHAnsi" w:cstheme="minorHAnsi"/>
        </w:rPr>
        <w:t xml:space="preserve"> (dále jen „ÚAP ÚK“)</w:t>
      </w:r>
      <w:r>
        <w:rPr>
          <w:rFonts w:asciiTheme="minorHAnsi" w:hAnsiTheme="minorHAnsi" w:cstheme="minorHAnsi"/>
        </w:rPr>
        <w:t xml:space="preserve">, které </w:t>
      </w:r>
      <w:r w:rsidRPr="007A4CC9">
        <w:rPr>
          <w:rFonts w:asciiTheme="minorHAnsi" w:hAnsiTheme="minorHAnsi" w:cstheme="minorHAnsi"/>
        </w:rPr>
        <w:t xml:space="preserve">zjišťují a vyhodnocují stav a vývoj území </w:t>
      </w:r>
      <w:r>
        <w:rPr>
          <w:rFonts w:asciiTheme="minorHAnsi" w:hAnsiTheme="minorHAnsi" w:cstheme="minorHAnsi"/>
        </w:rPr>
        <w:t xml:space="preserve">a </w:t>
      </w:r>
      <w:r w:rsidRPr="007A4CC9">
        <w:rPr>
          <w:rFonts w:asciiTheme="minorHAnsi" w:hAnsiTheme="minorHAnsi" w:cstheme="minorHAnsi"/>
        </w:rPr>
        <w:t>slouží jako podklad k pořizování politiky územního rozvoje, územně plánovací dokumentace, jejich změně a pro rozhodování v území</w:t>
      </w:r>
      <w:r>
        <w:rPr>
          <w:rStyle w:val="Znakapoznpodarou"/>
          <w:rFonts w:asciiTheme="minorHAnsi" w:hAnsiTheme="minorHAnsi" w:cstheme="minorHAnsi"/>
        </w:rPr>
        <w:footnoteReference w:id="6"/>
      </w:r>
      <w:r w:rsidRPr="007A4CC9">
        <w:rPr>
          <w:rFonts w:asciiTheme="minorHAnsi" w:hAnsiTheme="minorHAnsi" w:cstheme="minorHAnsi"/>
        </w:rPr>
        <w:t>.</w:t>
      </w:r>
      <w:r w:rsidR="00DD092B">
        <w:rPr>
          <w:rFonts w:asciiTheme="minorHAnsi" w:hAnsiTheme="minorHAnsi" w:cstheme="minorHAnsi"/>
        </w:rPr>
        <w:t xml:space="preserve"> </w:t>
      </w:r>
      <w:r w:rsidR="00B67444">
        <w:rPr>
          <w:rFonts w:asciiTheme="minorHAnsi" w:hAnsiTheme="minorHAnsi" w:cstheme="minorHAnsi"/>
        </w:rPr>
        <w:t>Zpracování územně analytických podkladů nepatří mezi vybrané činnosti ve výstavbě, tudíž je mohou zpracovávat pracovníci kraje, kteří však musí splňovat příslušné kvalifikační požadavky na výkon územně plánovací činnosti</w:t>
      </w:r>
      <w:r w:rsidR="00B67444">
        <w:rPr>
          <w:rStyle w:val="Znakapoznpodarou"/>
          <w:rFonts w:asciiTheme="minorHAnsi" w:hAnsiTheme="minorHAnsi" w:cstheme="minorHAnsi"/>
        </w:rPr>
        <w:footnoteReference w:id="7"/>
      </w:r>
      <w:r w:rsidR="00B67444">
        <w:rPr>
          <w:rFonts w:asciiTheme="minorHAnsi" w:hAnsiTheme="minorHAnsi" w:cstheme="minorHAnsi"/>
        </w:rPr>
        <w:t xml:space="preserve">. </w:t>
      </w:r>
      <w:r w:rsidR="00DD092B">
        <w:rPr>
          <w:rFonts w:asciiTheme="minorHAnsi" w:hAnsiTheme="minorHAnsi" w:cstheme="minorHAnsi"/>
        </w:rPr>
        <w:t>K datu zpracování této zprávy byla sídelní struktura Ústeckého kraje prověřena 5. úplnou aktualizací územně analytických podkladů Ústeckého kraje</w:t>
      </w:r>
      <w:r w:rsidR="00DD092B">
        <w:rPr>
          <w:rStyle w:val="Znakapoznpodarou"/>
          <w:rFonts w:asciiTheme="minorHAnsi" w:hAnsiTheme="minorHAnsi" w:cstheme="minorHAnsi"/>
        </w:rPr>
        <w:footnoteReference w:id="8"/>
      </w:r>
      <w:r w:rsidR="00DD092B">
        <w:rPr>
          <w:rFonts w:asciiTheme="minorHAnsi" w:hAnsiTheme="minorHAnsi" w:cstheme="minorHAnsi"/>
        </w:rPr>
        <w:t>, která byla projednána Zastupitelstvem Ústeckého kraje 1. 11. 2021 usnesením 010/10Z/2021</w:t>
      </w:r>
      <w:r w:rsidR="001F5FAC">
        <w:rPr>
          <w:rFonts w:asciiTheme="minorHAnsi" w:hAnsiTheme="minorHAnsi" w:cstheme="minorHAnsi"/>
        </w:rPr>
        <w:t>.</w:t>
      </w:r>
    </w:p>
    <w:p w14:paraId="6EB0F53D" w14:textId="77777777" w:rsidR="00AA41DE" w:rsidRDefault="00AA41DE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5BD24EA" w14:textId="77777777" w:rsidR="001F5FAC" w:rsidRPr="001F5FAC" w:rsidRDefault="001F5FAC" w:rsidP="001F5FAC">
      <w:pPr>
        <w:spacing w:after="240"/>
        <w:jc w:val="both"/>
        <w:rPr>
          <w:rFonts w:asciiTheme="minorHAnsi" w:hAnsiTheme="minorHAnsi" w:cstheme="minorHAnsi"/>
        </w:rPr>
      </w:pPr>
      <w:r w:rsidRPr="001F5FAC">
        <w:rPr>
          <w:rFonts w:asciiTheme="minorHAnsi" w:hAnsiTheme="minorHAnsi" w:cstheme="minorHAnsi"/>
        </w:rPr>
        <w:lastRenderedPageBreak/>
        <w:t xml:space="preserve">Sídelní struktura byla </w:t>
      </w:r>
      <w:r>
        <w:rPr>
          <w:rFonts w:asciiTheme="minorHAnsi" w:hAnsiTheme="minorHAnsi" w:cstheme="minorHAnsi"/>
        </w:rPr>
        <w:t>v ÚAP ÚK prověřena</w:t>
      </w:r>
      <w:r w:rsidRPr="001F5FAC">
        <w:rPr>
          <w:rFonts w:asciiTheme="minorHAnsi" w:hAnsiTheme="minorHAnsi" w:cstheme="minorHAnsi"/>
        </w:rPr>
        <w:t xml:space="preserve"> na základě </w:t>
      </w:r>
      <w:r>
        <w:rPr>
          <w:rFonts w:asciiTheme="minorHAnsi" w:hAnsiTheme="minorHAnsi" w:cstheme="minorHAnsi"/>
        </w:rPr>
        <w:t>těchto</w:t>
      </w:r>
      <w:r w:rsidRPr="001F5FAC">
        <w:rPr>
          <w:rFonts w:asciiTheme="minorHAnsi" w:hAnsiTheme="minorHAnsi" w:cstheme="minorHAnsi"/>
        </w:rPr>
        <w:t xml:space="preserve"> ukazatelů:</w:t>
      </w:r>
    </w:p>
    <w:p w14:paraId="143DF350" w14:textId="77777777" w:rsidR="001F5FAC" w:rsidRDefault="001F5FAC" w:rsidP="001F5FAC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1F5FAC">
        <w:rPr>
          <w:rFonts w:asciiTheme="minorHAnsi" w:hAnsiTheme="minorHAnsi" w:cstheme="minorHAnsi"/>
        </w:rPr>
        <w:t xml:space="preserve"> hustota zalidnění,</w:t>
      </w:r>
    </w:p>
    <w:p w14:paraId="27ABF06C" w14:textId="77777777" w:rsidR="001F5FAC" w:rsidRPr="001F5FAC" w:rsidRDefault="001F5FAC" w:rsidP="001F5FAC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1F5FAC">
        <w:rPr>
          <w:rFonts w:asciiTheme="minorHAnsi" w:hAnsiTheme="minorHAnsi" w:cstheme="minorHAnsi"/>
        </w:rPr>
        <w:t xml:space="preserve"> hustota bytů na 1 km</w:t>
      </w:r>
      <w:r w:rsidRPr="001F5FAC">
        <w:rPr>
          <w:rFonts w:asciiTheme="minorHAnsi" w:hAnsiTheme="minorHAnsi" w:cstheme="minorHAnsi"/>
          <w:vertAlign w:val="superscript"/>
        </w:rPr>
        <w:t>2</w:t>
      </w:r>
      <w:r w:rsidRPr="001F5FAC">
        <w:rPr>
          <w:rFonts w:asciiTheme="minorHAnsi" w:hAnsiTheme="minorHAnsi" w:cstheme="minorHAnsi"/>
        </w:rPr>
        <w:t>,</w:t>
      </w:r>
    </w:p>
    <w:p w14:paraId="0A332718" w14:textId="77777777" w:rsidR="001F5FAC" w:rsidRPr="001F5FAC" w:rsidRDefault="001F5FAC" w:rsidP="001F5FAC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1F5FAC">
        <w:rPr>
          <w:rFonts w:asciiTheme="minorHAnsi" w:hAnsiTheme="minorHAnsi" w:cstheme="minorHAnsi"/>
        </w:rPr>
        <w:t xml:space="preserve"> podíl autochtonní složky obyvatelstva,</w:t>
      </w:r>
    </w:p>
    <w:p w14:paraId="676F7E9C" w14:textId="77777777" w:rsidR="001F5FAC" w:rsidRPr="001F5FAC" w:rsidRDefault="001F5FAC" w:rsidP="001F5FAC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1F5FAC">
        <w:rPr>
          <w:rFonts w:asciiTheme="minorHAnsi" w:hAnsiTheme="minorHAnsi" w:cstheme="minorHAnsi"/>
        </w:rPr>
        <w:t xml:space="preserve"> hrubá míra celkového přírůstku obyvatel 2009-2019,</w:t>
      </w:r>
    </w:p>
    <w:p w14:paraId="3B591E09" w14:textId="77777777" w:rsidR="001F5FAC" w:rsidRPr="001F5FAC" w:rsidRDefault="001F5FAC" w:rsidP="001F5FAC">
      <w:pPr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1F5FAC">
        <w:rPr>
          <w:rFonts w:asciiTheme="minorHAnsi" w:hAnsiTheme="minorHAnsi" w:cstheme="minorHAnsi"/>
        </w:rPr>
        <w:t xml:space="preserve"> dlouhodobá míra nezaměstnanosti,</w:t>
      </w:r>
    </w:p>
    <w:p w14:paraId="64E2004E" w14:textId="77777777" w:rsidR="001F5FAC" w:rsidRPr="001F5FAC" w:rsidRDefault="001F5FAC" w:rsidP="00AA41DE">
      <w:pPr>
        <w:spacing w:after="240"/>
        <w:jc w:val="both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1F5FAC">
        <w:rPr>
          <w:rFonts w:asciiTheme="minorHAnsi" w:hAnsiTheme="minorHAnsi" w:cstheme="minorHAnsi"/>
        </w:rPr>
        <w:t xml:space="preserve"> dost</w:t>
      </w:r>
      <w:r>
        <w:rPr>
          <w:rFonts w:asciiTheme="minorHAnsi" w:hAnsiTheme="minorHAnsi" w:cstheme="minorHAnsi"/>
        </w:rPr>
        <w:t>upnost administrativních center.</w:t>
      </w:r>
    </w:p>
    <w:p w14:paraId="4D32A3A6" w14:textId="77777777" w:rsidR="001F5FAC" w:rsidRPr="001F5FAC" w:rsidRDefault="001F5FAC" w:rsidP="00874D25">
      <w:pPr>
        <w:jc w:val="both"/>
        <w:rPr>
          <w:rFonts w:asciiTheme="minorHAnsi" w:hAnsiTheme="minorHAnsi" w:cstheme="minorHAnsi"/>
        </w:rPr>
      </w:pPr>
      <w:r w:rsidRPr="001F5FAC">
        <w:rPr>
          <w:rFonts w:asciiTheme="minorHAnsi" w:hAnsiTheme="minorHAnsi" w:cstheme="minorHAnsi"/>
        </w:rPr>
        <w:t>Obce byly za každý ukazatel ohodnocené a to dle vztahu hodnoty ukazatele za danou obec vůči</w:t>
      </w:r>
      <w:r w:rsidR="00874D25">
        <w:rPr>
          <w:rFonts w:asciiTheme="minorHAnsi" w:hAnsiTheme="minorHAnsi" w:cstheme="minorHAnsi"/>
        </w:rPr>
        <w:t xml:space="preserve"> </w:t>
      </w:r>
      <w:r w:rsidRPr="001F5FAC">
        <w:rPr>
          <w:rFonts w:asciiTheme="minorHAnsi" w:hAnsiTheme="minorHAnsi" w:cstheme="minorHAnsi"/>
        </w:rPr>
        <w:t>krajské hodnotě. Na základě kombinace ohodnocení jednotlivých ukazatelů byla dané obci přiřazena</w:t>
      </w:r>
    </w:p>
    <w:p w14:paraId="2ABD060D" w14:textId="77777777" w:rsidR="007A4CC9" w:rsidRDefault="001F5FAC" w:rsidP="00874D25">
      <w:pPr>
        <w:jc w:val="both"/>
        <w:rPr>
          <w:rFonts w:asciiTheme="minorHAnsi" w:hAnsiTheme="minorHAnsi" w:cstheme="minorHAnsi"/>
        </w:rPr>
      </w:pPr>
      <w:r w:rsidRPr="001F5FAC">
        <w:rPr>
          <w:rFonts w:asciiTheme="minorHAnsi" w:hAnsiTheme="minorHAnsi" w:cstheme="minorHAnsi"/>
        </w:rPr>
        <w:t>celková hodnota – jinými slovy bylo provedeno vyhodnocení, jakou významnost má daná obec</w:t>
      </w:r>
      <w:r w:rsidR="00874D25">
        <w:rPr>
          <w:rFonts w:asciiTheme="minorHAnsi" w:hAnsiTheme="minorHAnsi" w:cstheme="minorHAnsi"/>
        </w:rPr>
        <w:t xml:space="preserve"> </w:t>
      </w:r>
      <w:r w:rsidRPr="001F5FAC">
        <w:rPr>
          <w:rFonts w:asciiTheme="minorHAnsi" w:hAnsiTheme="minorHAnsi" w:cstheme="minorHAnsi"/>
        </w:rPr>
        <w:t>z hlediska sídelní struktury Ústeckého kraje.</w:t>
      </w:r>
      <w:r w:rsidRPr="001F5FAC">
        <w:rPr>
          <w:rFonts w:asciiTheme="minorHAnsi" w:hAnsiTheme="minorHAnsi" w:cstheme="minorHAnsi"/>
        </w:rPr>
        <w:cr/>
      </w:r>
    </w:p>
    <w:p w14:paraId="309DE608" w14:textId="77777777" w:rsidR="00874D25" w:rsidRDefault="00874D25" w:rsidP="00874D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základě uvedeného hodnocení byla sídelní struktura stanovena takto:</w:t>
      </w:r>
    </w:p>
    <w:p w14:paraId="348E9B6C" w14:textId="77777777" w:rsidR="00874D25" w:rsidRDefault="00874D25" w:rsidP="00874D25">
      <w:pPr>
        <w:jc w:val="both"/>
        <w:rPr>
          <w:rFonts w:asciiTheme="minorHAnsi" w:hAnsiTheme="minorHAnsi" w:cstheme="minorHAnsi"/>
        </w:rPr>
      </w:pPr>
    </w:p>
    <w:p w14:paraId="5DED41E5" w14:textId="77777777" w:rsidR="00874D25" w:rsidRPr="00874D25" w:rsidRDefault="00874D25" w:rsidP="00874D25">
      <w:pPr>
        <w:ind w:left="284" w:hanging="284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874D25">
        <w:rPr>
          <w:rFonts w:asciiTheme="minorHAnsi" w:hAnsiTheme="minorHAnsi" w:cstheme="minorHAnsi"/>
        </w:rPr>
        <w:t xml:space="preserve"> I. kategorie: Ústí nad Labem (Krajské město), Varnsdorf (ORP), Litoměřice (ORP), Chomutov</w:t>
      </w:r>
      <w:r>
        <w:rPr>
          <w:rFonts w:asciiTheme="minorHAnsi" w:hAnsiTheme="minorHAnsi" w:cstheme="minorHAnsi"/>
        </w:rPr>
        <w:t xml:space="preserve"> </w:t>
      </w:r>
      <w:r w:rsidRPr="00874D25">
        <w:rPr>
          <w:rFonts w:asciiTheme="minorHAnsi" w:hAnsiTheme="minorHAnsi" w:cstheme="minorHAnsi"/>
        </w:rPr>
        <w:t>(ORP), Most (ORP), Teplice (ORP),</w:t>
      </w:r>
    </w:p>
    <w:p w14:paraId="7205C8DA" w14:textId="77777777" w:rsidR="00874D25" w:rsidRPr="00874D25" w:rsidRDefault="00874D25" w:rsidP="00874D25">
      <w:pPr>
        <w:ind w:left="284" w:hanging="284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874D25">
        <w:rPr>
          <w:rFonts w:asciiTheme="minorHAnsi" w:hAnsiTheme="minorHAnsi" w:cstheme="minorHAnsi"/>
        </w:rPr>
        <w:t xml:space="preserve"> II. kategorie: Děčín (ORP), Rumburk (ORP), Žatec (ORP), Roudnice nad Labem (ORP), Bílina</w:t>
      </w:r>
      <w:r>
        <w:rPr>
          <w:rFonts w:asciiTheme="minorHAnsi" w:hAnsiTheme="minorHAnsi" w:cstheme="minorHAnsi"/>
        </w:rPr>
        <w:t xml:space="preserve"> </w:t>
      </w:r>
      <w:r w:rsidRPr="00874D25">
        <w:rPr>
          <w:rFonts w:asciiTheme="minorHAnsi" w:hAnsiTheme="minorHAnsi" w:cstheme="minorHAnsi"/>
        </w:rPr>
        <w:t>(ORP), Lovosice (ORP), Louny (ORP),</w:t>
      </w:r>
    </w:p>
    <w:p w14:paraId="62F74B27" w14:textId="77777777" w:rsidR="00874D25" w:rsidRPr="00874D25" w:rsidRDefault="00874D25" w:rsidP="00874D25">
      <w:pPr>
        <w:ind w:left="284" w:hanging="284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874D25">
        <w:rPr>
          <w:rFonts w:asciiTheme="minorHAnsi" w:hAnsiTheme="minorHAnsi" w:cstheme="minorHAnsi"/>
        </w:rPr>
        <w:t xml:space="preserve"> III. kategorie: Benešov nad Ploučnicí (obec s POÚ), Česká Kamenice (obec s POÚ), Velké</w:t>
      </w:r>
      <w:r>
        <w:rPr>
          <w:rFonts w:asciiTheme="minorHAnsi" w:hAnsiTheme="minorHAnsi" w:cstheme="minorHAnsi"/>
        </w:rPr>
        <w:t xml:space="preserve"> </w:t>
      </w:r>
      <w:r w:rsidRPr="00874D25">
        <w:rPr>
          <w:rFonts w:asciiTheme="minorHAnsi" w:hAnsiTheme="minorHAnsi" w:cstheme="minorHAnsi"/>
        </w:rPr>
        <w:t>Březno (obec s POÚ), Duchcov (obec s POÚ), Libouchec (obec s POÚ), Jirkov (obec s POÚ),</w:t>
      </w:r>
    </w:p>
    <w:p w14:paraId="440B1007" w14:textId="77777777" w:rsidR="00874D25" w:rsidRDefault="00874D25" w:rsidP="00AA41DE">
      <w:pPr>
        <w:spacing w:after="240"/>
        <w:ind w:left="284" w:hanging="284"/>
        <w:rPr>
          <w:rFonts w:asciiTheme="minorHAnsi" w:hAnsiTheme="minorHAnsi" w:cstheme="minorHAnsi"/>
        </w:rPr>
      </w:pPr>
      <w:r w:rsidRPr="00782093">
        <w:rPr>
          <w:rFonts w:ascii="Cambria Math" w:hAnsi="Cambria Math" w:cs="Cambria Math"/>
        </w:rPr>
        <w:t>⇒</w:t>
      </w:r>
      <w:r w:rsidRPr="00874D25">
        <w:rPr>
          <w:rFonts w:asciiTheme="minorHAnsi" w:hAnsiTheme="minorHAnsi" w:cstheme="minorHAnsi"/>
        </w:rPr>
        <w:t xml:space="preserve"> IV. kategorie: Šluknov (obec s POÚ), Kadaň (ORP), Klášterec nad Ohří (obec s POÚ), Vejprty</w:t>
      </w:r>
      <w:r>
        <w:rPr>
          <w:rFonts w:asciiTheme="minorHAnsi" w:hAnsiTheme="minorHAnsi" w:cstheme="minorHAnsi"/>
        </w:rPr>
        <w:t xml:space="preserve"> </w:t>
      </w:r>
      <w:r w:rsidRPr="00874D25">
        <w:rPr>
          <w:rFonts w:asciiTheme="minorHAnsi" w:hAnsiTheme="minorHAnsi" w:cstheme="minorHAnsi"/>
        </w:rPr>
        <w:t>(obec s POÚ), Libochovice (obec s POÚ), Krupka (obec s POÚ), Štětí (obec s POÚ), Litvínov</w:t>
      </w:r>
      <w:r>
        <w:rPr>
          <w:rFonts w:asciiTheme="minorHAnsi" w:hAnsiTheme="minorHAnsi" w:cstheme="minorHAnsi"/>
        </w:rPr>
        <w:t xml:space="preserve"> </w:t>
      </w:r>
      <w:r w:rsidRPr="00874D25">
        <w:rPr>
          <w:rFonts w:asciiTheme="minorHAnsi" w:hAnsiTheme="minorHAnsi" w:cstheme="minorHAnsi"/>
        </w:rPr>
        <w:t>(ORP), Úštěk (obec s POÚ), Podbořany (ORP), Postoloprty (obec s POÚ).</w:t>
      </w:r>
    </w:p>
    <w:p w14:paraId="7772B5DB" w14:textId="77777777" w:rsidR="00874D25" w:rsidRDefault="00AA41DE" w:rsidP="00AA4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Dne 9. 8. 2022 byl Ústecký kraj kontaktován </w:t>
      </w:r>
      <w:r w:rsidR="00B17360">
        <w:rPr>
          <w:rFonts w:asciiTheme="minorHAnsi" w:hAnsiTheme="minorHAnsi" w:cstheme="minorHAnsi"/>
        </w:rPr>
        <w:t>prostřednictv</w:t>
      </w:r>
      <w:r w:rsidR="00B4521F">
        <w:rPr>
          <w:rFonts w:asciiTheme="minorHAnsi" w:hAnsiTheme="minorHAnsi" w:cstheme="minorHAnsi"/>
        </w:rPr>
        <w:t>ím emailové komunikace</w:t>
      </w:r>
      <w:r w:rsidR="0009735B">
        <w:rPr>
          <w:rStyle w:val="Znakapoznpodarou"/>
          <w:rFonts w:asciiTheme="minorHAnsi" w:hAnsiTheme="minorHAnsi" w:cstheme="minorHAnsi"/>
        </w:rPr>
        <w:footnoteReference w:id="9"/>
      </w:r>
      <w:r w:rsidR="00B452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Ministerstvem pro místní rozvoj ČR, o</w:t>
      </w:r>
      <w:r w:rsidRPr="00AA41DE">
        <w:rPr>
          <w:rFonts w:asciiTheme="minorHAnsi" w:hAnsiTheme="minorHAnsi" w:cstheme="minorHAnsi"/>
        </w:rPr>
        <w:t>dbor</w:t>
      </w:r>
      <w:r>
        <w:rPr>
          <w:rFonts w:asciiTheme="minorHAnsi" w:hAnsiTheme="minorHAnsi" w:cstheme="minorHAnsi"/>
        </w:rPr>
        <w:t>em</w:t>
      </w:r>
      <w:r w:rsidRPr="00AA41DE">
        <w:rPr>
          <w:rFonts w:asciiTheme="minorHAnsi" w:hAnsiTheme="minorHAnsi" w:cstheme="minorHAnsi"/>
        </w:rPr>
        <w:t xml:space="preserve"> strategií a analýz regionální politiky a politiky bydlení a </w:t>
      </w:r>
      <w:r>
        <w:rPr>
          <w:rFonts w:asciiTheme="minorHAnsi" w:hAnsiTheme="minorHAnsi" w:cstheme="minorHAnsi"/>
        </w:rPr>
        <w:t>o</w:t>
      </w:r>
      <w:r w:rsidRPr="00AA41DE">
        <w:rPr>
          <w:rFonts w:asciiTheme="minorHAnsi" w:hAnsiTheme="minorHAnsi" w:cstheme="minorHAnsi"/>
        </w:rPr>
        <w:t>dbor</w:t>
      </w:r>
      <w:r>
        <w:rPr>
          <w:rFonts w:asciiTheme="minorHAnsi" w:hAnsiTheme="minorHAnsi" w:cstheme="minorHAnsi"/>
        </w:rPr>
        <w:t>em</w:t>
      </w:r>
      <w:r w:rsidRPr="00AA41DE">
        <w:rPr>
          <w:rFonts w:asciiTheme="minorHAnsi" w:hAnsiTheme="minorHAnsi" w:cstheme="minorHAnsi"/>
        </w:rPr>
        <w:t xml:space="preserve"> územního plánování</w:t>
      </w:r>
      <w:r>
        <w:rPr>
          <w:rFonts w:asciiTheme="minorHAnsi" w:hAnsiTheme="minorHAnsi" w:cstheme="minorHAnsi"/>
        </w:rPr>
        <w:t xml:space="preserve"> (dále jen „MMR“)</w:t>
      </w:r>
      <w:r w:rsidRPr="00AA41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 požadavkem </w:t>
      </w:r>
      <w:r w:rsidRPr="00AA41DE">
        <w:rPr>
          <w:rFonts w:asciiTheme="minorHAnsi" w:hAnsiTheme="minorHAnsi" w:cstheme="minorHAnsi"/>
        </w:rPr>
        <w:t>pro připomínkování a následné řešení úkolu ve věci center osídlení ČR</w:t>
      </w:r>
      <w:r>
        <w:rPr>
          <w:rFonts w:asciiTheme="minorHAnsi" w:hAnsiTheme="minorHAnsi" w:cstheme="minorHAnsi"/>
        </w:rPr>
        <w:t xml:space="preserve">. MMR připravilo </w:t>
      </w:r>
      <w:r w:rsidRPr="00AA41DE">
        <w:rPr>
          <w:rFonts w:asciiTheme="minorHAnsi" w:hAnsiTheme="minorHAnsi" w:cstheme="minorHAnsi"/>
        </w:rPr>
        <w:t>materiál Centra osídlení České republiky, vymezení vyšších a středních center a metodický postup pro vymezení nižších a malých center</w:t>
      </w:r>
      <w:r w:rsidR="00141623">
        <w:rPr>
          <w:rFonts w:asciiTheme="minorHAnsi" w:hAnsiTheme="minorHAnsi" w:cstheme="minorHAnsi"/>
        </w:rPr>
        <w:t xml:space="preserve"> (dále jen </w:t>
      </w:r>
      <w:r w:rsidR="00F100F6">
        <w:rPr>
          <w:rFonts w:asciiTheme="minorHAnsi" w:hAnsiTheme="minorHAnsi" w:cstheme="minorHAnsi"/>
        </w:rPr>
        <w:t>„</w:t>
      </w:r>
      <w:r w:rsidR="00141623">
        <w:rPr>
          <w:rFonts w:asciiTheme="minorHAnsi" w:hAnsiTheme="minorHAnsi" w:cstheme="minorHAnsi"/>
        </w:rPr>
        <w:t>metodický návod</w:t>
      </w:r>
      <w:r w:rsidR="00F100F6">
        <w:rPr>
          <w:rFonts w:asciiTheme="minorHAnsi" w:hAnsiTheme="minorHAnsi" w:cstheme="minorHAnsi"/>
        </w:rPr>
        <w:t>“</w:t>
      </w:r>
      <w:r w:rsidR="001416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AA41DE">
        <w:t xml:space="preserve"> </w:t>
      </w:r>
      <w:r>
        <w:rPr>
          <w:rFonts w:asciiTheme="minorHAnsi" w:hAnsiTheme="minorHAnsi" w:cstheme="minorHAnsi"/>
        </w:rPr>
        <w:t>H</w:t>
      </w:r>
      <w:r w:rsidRPr="00AA41DE">
        <w:rPr>
          <w:rFonts w:asciiTheme="minorHAnsi" w:hAnsiTheme="minorHAnsi" w:cstheme="minorHAnsi"/>
        </w:rPr>
        <w:t>lavní účel materiálu</w:t>
      </w:r>
      <w:r w:rsidR="00B4521F">
        <w:rPr>
          <w:rFonts w:asciiTheme="minorHAnsi" w:hAnsiTheme="minorHAnsi" w:cstheme="minorHAnsi"/>
        </w:rPr>
        <w:t>, jak bylo uvedeno v emailu,</w:t>
      </w:r>
      <w:r w:rsidRPr="00AA41DE">
        <w:rPr>
          <w:rFonts w:asciiTheme="minorHAnsi" w:hAnsiTheme="minorHAnsi" w:cstheme="minorHAnsi"/>
        </w:rPr>
        <w:t xml:space="preserve"> je </w:t>
      </w:r>
      <w:r w:rsidR="003F192F">
        <w:rPr>
          <w:rFonts w:asciiTheme="minorHAnsi" w:hAnsiTheme="minorHAnsi" w:cstheme="minorHAnsi"/>
        </w:rPr>
        <w:t>„</w:t>
      </w:r>
      <w:r w:rsidRPr="003F192F">
        <w:rPr>
          <w:rFonts w:asciiTheme="minorHAnsi" w:hAnsiTheme="minorHAnsi" w:cstheme="minorHAnsi"/>
          <w:i/>
        </w:rPr>
        <w:t>vytvoření jednotného podkladu pro pořizovatele územně analytických podkladů krajů, kdy se znalostí území a konkrétní situace, budou moci stanovit zařazení vybraných sídel do jednotlivých kategorií center osídlení. Zařazení sídel do vybraných kategorií center osídlení bude sloužit i pro účely strategického plánování na úrovní státu a krajů (implementace Strategie regionálního rozvoje ČR, Strategie územního obvodu kraje). Vytvoření seznamu center osídlení bude sloužit i pro možné využití finanční podpory z IROP, specifického cíle 6.1</w:t>
      </w:r>
      <w:r w:rsidR="003F192F">
        <w:rPr>
          <w:rFonts w:asciiTheme="minorHAnsi" w:hAnsiTheme="minorHAnsi" w:cstheme="minorHAnsi"/>
          <w:i/>
        </w:rPr>
        <w:t>“</w:t>
      </w:r>
      <w:r>
        <w:rPr>
          <w:rFonts w:asciiTheme="minorHAnsi" w:hAnsiTheme="minorHAnsi" w:cstheme="minorHAnsi"/>
        </w:rPr>
        <w:t>.</w:t>
      </w:r>
      <w:r w:rsidR="003F31F2">
        <w:rPr>
          <w:rFonts w:asciiTheme="minorHAnsi" w:hAnsiTheme="minorHAnsi" w:cstheme="minorHAnsi"/>
        </w:rPr>
        <w:t xml:space="preserve"> </w:t>
      </w:r>
      <w:r w:rsidR="006A7C0F">
        <w:rPr>
          <w:rFonts w:asciiTheme="minorHAnsi" w:hAnsiTheme="minorHAnsi" w:cstheme="minorHAnsi"/>
        </w:rPr>
        <w:t>Materiál obsahuje návrh</w:t>
      </w:r>
      <w:r w:rsidR="006A7C0F" w:rsidRPr="006A7C0F">
        <w:rPr>
          <w:rFonts w:asciiTheme="minorHAnsi" w:hAnsiTheme="minorHAnsi" w:cstheme="minorHAnsi"/>
        </w:rPr>
        <w:t xml:space="preserve"> k</w:t>
      </w:r>
      <w:r w:rsidR="006A7C0F">
        <w:rPr>
          <w:rFonts w:asciiTheme="minorHAnsi" w:hAnsiTheme="minorHAnsi" w:cstheme="minorHAnsi"/>
        </w:rPr>
        <w:t>ategorizace center osídlení ČR kategorie A</w:t>
      </w:r>
      <w:r w:rsidR="000C09B4">
        <w:rPr>
          <w:rFonts w:asciiTheme="minorHAnsi" w:hAnsiTheme="minorHAnsi" w:cstheme="minorHAnsi"/>
        </w:rPr>
        <w:t xml:space="preserve"> </w:t>
      </w:r>
      <w:r w:rsidR="006A7C0F">
        <w:rPr>
          <w:rFonts w:asciiTheme="minorHAnsi" w:hAnsiTheme="minorHAnsi" w:cstheme="minorHAnsi"/>
        </w:rPr>
        <w:t>–</w:t>
      </w:r>
      <w:r w:rsidR="000C09B4">
        <w:rPr>
          <w:rFonts w:asciiTheme="minorHAnsi" w:hAnsiTheme="minorHAnsi" w:cstheme="minorHAnsi"/>
        </w:rPr>
        <w:t xml:space="preserve"> </w:t>
      </w:r>
      <w:r w:rsidR="006A7C0F">
        <w:rPr>
          <w:rFonts w:asciiTheme="minorHAnsi" w:hAnsiTheme="minorHAnsi" w:cstheme="minorHAnsi"/>
        </w:rPr>
        <w:t>D, v</w:t>
      </w:r>
      <w:r w:rsidR="006A7C0F" w:rsidRPr="006A7C0F">
        <w:rPr>
          <w:rFonts w:asciiTheme="minorHAnsi" w:hAnsiTheme="minorHAnsi" w:cstheme="minorHAnsi"/>
        </w:rPr>
        <w:t>ymezení center osídlení v kategorii nižších a malých center (E</w:t>
      </w:r>
      <w:r w:rsidR="000C09B4">
        <w:rPr>
          <w:rFonts w:asciiTheme="minorHAnsi" w:hAnsiTheme="minorHAnsi" w:cstheme="minorHAnsi"/>
        </w:rPr>
        <w:t xml:space="preserve"> </w:t>
      </w:r>
      <w:r w:rsidR="006A7C0F" w:rsidRPr="006A7C0F">
        <w:rPr>
          <w:rFonts w:asciiTheme="minorHAnsi" w:hAnsiTheme="minorHAnsi" w:cstheme="minorHAnsi"/>
        </w:rPr>
        <w:t>–</w:t>
      </w:r>
      <w:r w:rsidR="000C09B4">
        <w:rPr>
          <w:rFonts w:asciiTheme="minorHAnsi" w:hAnsiTheme="minorHAnsi" w:cstheme="minorHAnsi"/>
        </w:rPr>
        <w:t xml:space="preserve"> </w:t>
      </w:r>
      <w:r w:rsidR="006A7C0F" w:rsidRPr="006A7C0F">
        <w:rPr>
          <w:rFonts w:asciiTheme="minorHAnsi" w:hAnsiTheme="minorHAnsi" w:cstheme="minorHAnsi"/>
        </w:rPr>
        <w:t>G) je úkol pro krajské samosprávy, zejména pro odbory územního a strategické (regionálního) rozvoje.</w:t>
      </w:r>
      <w:r w:rsidR="006A7C0F">
        <w:rPr>
          <w:rFonts w:asciiTheme="minorHAnsi" w:hAnsiTheme="minorHAnsi" w:cstheme="minorHAnsi"/>
        </w:rPr>
        <w:t xml:space="preserve"> Termín pro splnění úkolu </w:t>
      </w:r>
      <w:r w:rsidR="006A7C0F" w:rsidRPr="006A7C0F">
        <w:rPr>
          <w:rFonts w:asciiTheme="minorHAnsi" w:hAnsiTheme="minorHAnsi" w:cstheme="minorHAnsi"/>
        </w:rPr>
        <w:t>vymezení center osídlení v kategorii nižších a malých center (E</w:t>
      </w:r>
      <w:r w:rsidR="000C09B4">
        <w:rPr>
          <w:rFonts w:asciiTheme="minorHAnsi" w:hAnsiTheme="minorHAnsi" w:cstheme="minorHAnsi"/>
        </w:rPr>
        <w:t xml:space="preserve"> </w:t>
      </w:r>
      <w:r w:rsidR="006A7C0F" w:rsidRPr="006A7C0F">
        <w:rPr>
          <w:rFonts w:asciiTheme="minorHAnsi" w:hAnsiTheme="minorHAnsi" w:cstheme="minorHAnsi"/>
        </w:rPr>
        <w:t>–</w:t>
      </w:r>
      <w:r w:rsidR="000C09B4">
        <w:rPr>
          <w:rFonts w:asciiTheme="minorHAnsi" w:hAnsiTheme="minorHAnsi" w:cstheme="minorHAnsi"/>
        </w:rPr>
        <w:t xml:space="preserve"> </w:t>
      </w:r>
      <w:r w:rsidR="006A7C0F" w:rsidRPr="006A7C0F">
        <w:rPr>
          <w:rFonts w:asciiTheme="minorHAnsi" w:hAnsiTheme="minorHAnsi" w:cstheme="minorHAnsi"/>
        </w:rPr>
        <w:t>G)</w:t>
      </w:r>
      <w:r w:rsidR="006A7C0F">
        <w:rPr>
          <w:rFonts w:asciiTheme="minorHAnsi" w:hAnsiTheme="minorHAnsi" w:cstheme="minorHAnsi"/>
        </w:rPr>
        <w:t xml:space="preserve"> byl stanoven na 30. 9. 2022 (následně prodloužen do 10. 10. 2022).</w:t>
      </w:r>
    </w:p>
    <w:p w14:paraId="06B7802F" w14:textId="77777777" w:rsidR="00F75D65" w:rsidRDefault="00F75D65" w:rsidP="00AA41DE">
      <w:pPr>
        <w:jc w:val="both"/>
        <w:rPr>
          <w:rFonts w:asciiTheme="minorHAnsi" w:hAnsiTheme="minorHAnsi" w:cstheme="minorHAnsi"/>
        </w:rPr>
      </w:pPr>
    </w:p>
    <w:p w14:paraId="48BD34A9" w14:textId="77777777" w:rsidR="00564D8B" w:rsidRDefault="00F75D65" w:rsidP="00564D8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MMR</w:t>
      </w:r>
      <w:r w:rsidRPr="00F75D65">
        <w:rPr>
          <w:rFonts w:asciiTheme="minorHAnsi" w:hAnsiTheme="minorHAnsi" w:cstheme="minorHAnsi"/>
        </w:rPr>
        <w:t xml:space="preserve"> je ústředním správním úřadem ve věcech územního plánování</w:t>
      </w:r>
      <w:r>
        <w:rPr>
          <w:rStyle w:val="Znakapoznpodarou"/>
          <w:rFonts w:asciiTheme="minorHAnsi" w:hAnsiTheme="minorHAnsi" w:cstheme="minorHAnsi"/>
        </w:rPr>
        <w:footnoteReference w:id="10"/>
      </w:r>
      <w:r w:rsidR="00DA7FE2">
        <w:rPr>
          <w:rFonts w:asciiTheme="minorHAnsi" w:hAnsiTheme="minorHAnsi" w:cstheme="minorHAnsi"/>
        </w:rPr>
        <w:t xml:space="preserve"> a jednou z jeho povinností je </w:t>
      </w:r>
      <w:r w:rsidR="00DA7FE2" w:rsidRPr="00DA7FE2">
        <w:rPr>
          <w:rFonts w:asciiTheme="minorHAnsi" w:hAnsiTheme="minorHAnsi" w:cstheme="minorHAnsi"/>
        </w:rPr>
        <w:t>zkouma</w:t>
      </w:r>
      <w:r w:rsidR="00DA7FE2">
        <w:rPr>
          <w:rFonts w:asciiTheme="minorHAnsi" w:hAnsiTheme="minorHAnsi" w:cstheme="minorHAnsi"/>
        </w:rPr>
        <w:t>t</w:t>
      </w:r>
      <w:r w:rsidR="00DA7FE2" w:rsidRPr="00DA7FE2">
        <w:rPr>
          <w:rFonts w:asciiTheme="minorHAnsi" w:hAnsiTheme="minorHAnsi" w:cstheme="minorHAnsi"/>
        </w:rPr>
        <w:t xml:space="preserve"> společenskou problematiku v okruhu své působnosti, analyz</w:t>
      </w:r>
      <w:r w:rsidR="00DA7FE2">
        <w:rPr>
          <w:rFonts w:asciiTheme="minorHAnsi" w:hAnsiTheme="minorHAnsi" w:cstheme="minorHAnsi"/>
        </w:rPr>
        <w:t xml:space="preserve">ovat dosahované výsledky a </w:t>
      </w:r>
      <w:r w:rsidR="00DA7FE2">
        <w:rPr>
          <w:rFonts w:asciiTheme="minorHAnsi" w:hAnsiTheme="minorHAnsi" w:cstheme="minorHAnsi"/>
        </w:rPr>
        <w:lastRenderedPageBreak/>
        <w:t>činit</w:t>
      </w:r>
      <w:r w:rsidR="00DA7FE2" w:rsidRPr="00DA7FE2">
        <w:rPr>
          <w:rFonts w:asciiTheme="minorHAnsi" w:hAnsiTheme="minorHAnsi" w:cstheme="minorHAnsi"/>
        </w:rPr>
        <w:t xml:space="preserve"> opatření k řešení aktuálních otázek</w:t>
      </w:r>
      <w:r w:rsidR="00DA7FE2">
        <w:rPr>
          <w:rStyle w:val="Znakapoznpodarou"/>
          <w:rFonts w:asciiTheme="minorHAnsi" w:hAnsiTheme="minorHAnsi" w:cstheme="minorHAnsi"/>
        </w:rPr>
        <w:footnoteReference w:id="11"/>
      </w:r>
      <w:r w:rsidR="00DA7FE2" w:rsidRPr="00DA7FE2">
        <w:rPr>
          <w:rFonts w:asciiTheme="minorHAnsi" w:hAnsiTheme="minorHAnsi" w:cstheme="minorHAnsi"/>
        </w:rPr>
        <w:t>.</w:t>
      </w:r>
      <w:r w:rsidR="00A37FE8">
        <w:rPr>
          <w:rFonts w:asciiTheme="minorHAnsi" w:hAnsiTheme="minorHAnsi" w:cstheme="minorHAnsi"/>
        </w:rPr>
        <w:t xml:space="preserve"> </w:t>
      </w:r>
      <w:r w:rsidR="00A37FE8" w:rsidRPr="00A37FE8">
        <w:rPr>
          <w:rFonts w:asciiTheme="minorHAnsi" w:hAnsiTheme="minorHAnsi" w:cstheme="minorHAnsi"/>
        </w:rPr>
        <w:t>Orgány kraje vykonávají působnost ve věcech územního plánování podle tohoto zákona jako působnost přenesenou, nestanoví-li zákon, že o věci rozhoduje zastupitelstvo obce nebo kraje</w:t>
      </w:r>
      <w:r w:rsidR="00A37FE8">
        <w:rPr>
          <w:rStyle w:val="Znakapoznpodarou"/>
          <w:rFonts w:asciiTheme="minorHAnsi" w:hAnsiTheme="minorHAnsi" w:cstheme="minorHAnsi"/>
        </w:rPr>
        <w:footnoteReference w:id="12"/>
      </w:r>
      <w:r w:rsidR="00A37FE8" w:rsidRPr="00A37FE8">
        <w:rPr>
          <w:rFonts w:asciiTheme="minorHAnsi" w:hAnsiTheme="minorHAnsi" w:cstheme="minorHAnsi"/>
        </w:rPr>
        <w:t>.</w:t>
      </w:r>
      <w:r w:rsidR="00900133">
        <w:rPr>
          <w:rFonts w:asciiTheme="minorHAnsi" w:hAnsiTheme="minorHAnsi" w:cstheme="minorHAnsi"/>
        </w:rPr>
        <w:t xml:space="preserve"> M</w:t>
      </w:r>
      <w:r w:rsidR="00900133" w:rsidRPr="00900133">
        <w:rPr>
          <w:rFonts w:asciiTheme="minorHAnsi" w:hAnsiTheme="minorHAnsi" w:cstheme="minorHAnsi"/>
        </w:rPr>
        <w:t xml:space="preserve">etodické pokyny, metodická sdělení či metodická doporučení </w:t>
      </w:r>
      <w:r w:rsidR="00900133">
        <w:rPr>
          <w:rFonts w:asciiTheme="minorHAnsi" w:hAnsiTheme="minorHAnsi" w:cstheme="minorHAnsi"/>
        </w:rPr>
        <w:t>MMR</w:t>
      </w:r>
      <w:r w:rsidR="00900133" w:rsidRPr="00900133">
        <w:rPr>
          <w:rFonts w:asciiTheme="minorHAnsi" w:hAnsiTheme="minorHAnsi" w:cstheme="minorHAnsi"/>
        </w:rPr>
        <w:t xml:space="preserve"> jsou</w:t>
      </w:r>
      <w:r w:rsidR="00900133">
        <w:rPr>
          <w:rFonts w:asciiTheme="minorHAnsi" w:hAnsiTheme="minorHAnsi" w:cstheme="minorHAnsi"/>
        </w:rPr>
        <w:t xml:space="preserve"> tedy</w:t>
      </w:r>
      <w:r w:rsidR="00900133" w:rsidRPr="00900133">
        <w:rPr>
          <w:rFonts w:asciiTheme="minorHAnsi" w:hAnsiTheme="minorHAnsi" w:cstheme="minorHAnsi"/>
        </w:rPr>
        <w:t xml:space="preserve"> pro </w:t>
      </w:r>
      <w:r w:rsidR="00900133">
        <w:rPr>
          <w:rFonts w:asciiTheme="minorHAnsi" w:hAnsiTheme="minorHAnsi" w:cstheme="minorHAnsi"/>
        </w:rPr>
        <w:t>orgány kraje vykonávající přenesenou působnost na úseku územního plánování</w:t>
      </w:r>
      <w:r w:rsidR="00900133" w:rsidRPr="00900133">
        <w:rPr>
          <w:rFonts w:asciiTheme="minorHAnsi" w:hAnsiTheme="minorHAnsi" w:cstheme="minorHAnsi"/>
        </w:rPr>
        <w:t xml:space="preserve"> zásadně závazné</w:t>
      </w:r>
      <w:r w:rsidR="00900133">
        <w:rPr>
          <w:rFonts w:asciiTheme="minorHAnsi" w:hAnsiTheme="minorHAnsi" w:cstheme="minorHAnsi"/>
        </w:rPr>
        <w:t>.</w:t>
      </w:r>
      <w:r w:rsidR="00141623">
        <w:rPr>
          <w:rFonts w:asciiTheme="minorHAnsi" w:hAnsiTheme="minorHAnsi" w:cstheme="minorHAnsi"/>
        </w:rPr>
        <w:t xml:space="preserve"> Z tohoto důvodu přistoupil Krajský úřad Ústeckého kraje, odbor územního plánování a stavebního řádu, jako orgán územního plánování (dále jen „OÚP“) k </w:t>
      </w:r>
      <w:r w:rsidR="00141623" w:rsidRPr="00141623">
        <w:rPr>
          <w:rFonts w:asciiTheme="minorHAnsi" w:hAnsiTheme="minorHAnsi" w:cstheme="minorHAnsi"/>
        </w:rPr>
        <w:t>vymezení center osídlení v kategorii nižších a malých center (E</w:t>
      </w:r>
      <w:r w:rsidR="000C09B4">
        <w:rPr>
          <w:rFonts w:asciiTheme="minorHAnsi" w:hAnsiTheme="minorHAnsi" w:cstheme="minorHAnsi"/>
        </w:rPr>
        <w:t xml:space="preserve"> </w:t>
      </w:r>
      <w:r w:rsidR="00141623" w:rsidRPr="00141623">
        <w:rPr>
          <w:rFonts w:asciiTheme="minorHAnsi" w:hAnsiTheme="minorHAnsi" w:cstheme="minorHAnsi"/>
        </w:rPr>
        <w:t>–</w:t>
      </w:r>
      <w:r w:rsidR="000C09B4">
        <w:rPr>
          <w:rFonts w:asciiTheme="minorHAnsi" w:hAnsiTheme="minorHAnsi" w:cstheme="minorHAnsi"/>
        </w:rPr>
        <w:t xml:space="preserve"> </w:t>
      </w:r>
      <w:r w:rsidR="00141623" w:rsidRPr="00141623">
        <w:rPr>
          <w:rFonts w:asciiTheme="minorHAnsi" w:hAnsiTheme="minorHAnsi" w:cstheme="minorHAnsi"/>
        </w:rPr>
        <w:t>G)</w:t>
      </w:r>
      <w:r w:rsidR="00141623">
        <w:rPr>
          <w:rFonts w:asciiTheme="minorHAnsi" w:hAnsiTheme="minorHAnsi" w:cstheme="minorHAnsi"/>
        </w:rPr>
        <w:t xml:space="preserve"> v souladu s předloženým </w:t>
      </w:r>
      <w:r w:rsidR="00564D8B">
        <w:rPr>
          <w:rFonts w:asciiTheme="minorHAnsi" w:hAnsiTheme="minorHAnsi" w:cstheme="minorHAnsi"/>
        </w:rPr>
        <w:t>metodickým návodem.</w:t>
      </w:r>
    </w:p>
    <w:p w14:paraId="1D9A09F8" w14:textId="77777777" w:rsidR="00E74931" w:rsidRDefault="00E74931" w:rsidP="009151A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metodického návodu jsou v Ústeckém kraji v kategoriích A – D vymezena tato centra:</w:t>
      </w:r>
    </w:p>
    <w:p w14:paraId="397D2904" w14:textId="77777777" w:rsidR="00E74931" w:rsidRPr="00E74931" w:rsidRDefault="00E74931" w:rsidP="00E7493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>⇒</w:t>
      </w:r>
      <w:r w:rsidR="00912087">
        <w:rPr>
          <w:rFonts w:ascii="Cambria Math" w:hAnsi="Cambria Math" w:cs="Cambria Math"/>
        </w:rPr>
        <w:t xml:space="preserve"> </w:t>
      </w:r>
      <w:r w:rsidRPr="00E74931">
        <w:rPr>
          <w:rFonts w:asciiTheme="minorHAnsi" w:hAnsiTheme="minorHAnsi" w:cstheme="minorHAnsi"/>
        </w:rPr>
        <w:t>A1 – vyšší centrum republikové</w:t>
      </w:r>
      <w:r w:rsidR="00912087">
        <w:rPr>
          <w:rFonts w:asciiTheme="minorHAnsi" w:hAnsiTheme="minorHAnsi" w:cstheme="minorHAnsi"/>
        </w:rPr>
        <w:t>:</w:t>
      </w:r>
      <w:r w:rsidRPr="00E74931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nevyskytuje se</w:t>
      </w:r>
      <w:r w:rsidRPr="00E74931">
        <w:rPr>
          <w:rFonts w:asciiTheme="minorHAnsi" w:hAnsiTheme="minorHAnsi" w:cstheme="minorHAnsi"/>
        </w:rPr>
        <w:t>)</w:t>
      </w:r>
      <w:r w:rsidR="00912087">
        <w:rPr>
          <w:rFonts w:asciiTheme="minorHAnsi" w:hAnsiTheme="minorHAnsi" w:cstheme="minorHAnsi"/>
        </w:rPr>
        <w:t>,</w:t>
      </w:r>
    </w:p>
    <w:p w14:paraId="119B4198" w14:textId="77777777" w:rsidR="00E74931" w:rsidRPr="00E74931" w:rsidRDefault="00E74931" w:rsidP="00E7493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>⇒</w:t>
      </w:r>
      <w:r w:rsidR="00912087">
        <w:rPr>
          <w:rFonts w:ascii="Cambria Math" w:hAnsi="Cambria Math" w:cs="Cambria Math"/>
        </w:rPr>
        <w:t xml:space="preserve"> </w:t>
      </w:r>
      <w:r w:rsidRPr="00E74931">
        <w:rPr>
          <w:rFonts w:asciiTheme="minorHAnsi" w:hAnsiTheme="minorHAnsi" w:cstheme="minorHAnsi"/>
        </w:rPr>
        <w:t>A2 – vyšší centrum nadregionální</w:t>
      </w:r>
      <w:r w:rsidR="00912087">
        <w:rPr>
          <w:rFonts w:asciiTheme="minorHAnsi" w:hAnsiTheme="minorHAnsi" w:cstheme="minorHAnsi"/>
        </w:rPr>
        <w:t>:</w:t>
      </w:r>
      <w:r w:rsidRPr="00E749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(nevyskytuje se</w:t>
      </w:r>
      <w:r w:rsidRPr="00E74931">
        <w:rPr>
          <w:rFonts w:asciiTheme="minorHAnsi" w:hAnsiTheme="minorHAnsi" w:cstheme="minorHAnsi"/>
        </w:rPr>
        <w:t>)</w:t>
      </w:r>
      <w:r w:rsidR="00912087">
        <w:rPr>
          <w:rFonts w:asciiTheme="minorHAnsi" w:hAnsiTheme="minorHAnsi" w:cstheme="minorHAnsi"/>
        </w:rPr>
        <w:t>,</w:t>
      </w:r>
    </w:p>
    <w:p w14:paraId="0C300E1B" w14:textId="77777777" w:rsidR="00E74931" w:rsidRPr="00E74931" w:rsidRDefault="00E74931" w:rsidP="00E7493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>⇒</w:t>
      </w:r>
      <w:r w:rsidR="00912087">
        <w:rPr>
          <w:rFonts w:ascii="Cambria Math" w:hAnsi="Cambria Math" w:cs="Cambria Math"/>
        </w:rPr>
        <w:t xml:space="preserve"> </w:t>
      </w:r>
      <w:r w:rsidR="00912087">
        <w:rPr>
          <w:rFonts w:asciiTheme="minorHAnsi" w:hAnsiTheme="minorHAnsi" w:cstheme="minorHAnsi"/>
        </w:rPr>
        <w:t>A3 – vyšší centra regionální:</w:t>
      </w:r>
      <w:r w:rsidRPr="00E749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Ústí nad Labem</w:t>
      </w:r>
      <w:r w:rsidR="00912087">
        <w:rPr>
          <w:rFonts w:asciiTheme="minorHAnsi" w:hAnsiTheme="minorHAnsi" w:cstheme="minorHAnsi"/>
        </w:rPr>
        <w:t xml:space="preserve">, Chomutov, </w:t>
      </w:r>
    </w:p>
    <w:p w14:paraId="2A99E9E4" w14:textId="77777777" w:rsidR="00E74931" w:rsidRPr="00E74931" w:rsidRDefault="00E74931" w:rsidP="00E7493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>⇒</w:t>
      </w:r>
      <w:r w:rsidR="00912087">
        <w:rPr>
          <w:rFonts w:ascii="Cambria Math" w:hAnsi="Cambria Math" w:cs="Cambria Math"/>
        </w:rPr>
        <w:t xml:space="preserve"> </w:t>
      </w:r>
      <w:r w:rsidR="00912087" w:rsidRPr="00912087">
        <w:rPr>
          <w:rFonts w:asciiTheme="minorHAnsi" w:hAnsiTheme="minorHAnsi" w:cstheme="minorHAnsi"/>
        </w:rPr>
        <w:t xml:space="preserve">B </w:t>
      </w:r>
      <w:r w:rsidR="00912087">
        <w:rPr>
          <w:rFonts w:asciiTheme="minorHAnsi" w:hAnsiTheme="minorHAnsi" w:cstheme="minorHAnsi"/>
        </w:rPr>
        <w:t>–</w:t>
      </w:r>
      <w:r w:rsidR="00912087">
        <w:rPr>
          <w:rFonts w:ascii="Cambria Math" w:hAnsi="Cambria Math" w:cs="Cambria Math"/>
        </w:rPr>
        <w:t xml:space="preserve"> </w:t>
      </w:r>
      <w:r w:rsidRPr="00E74931">
        <w:rPr>
          <w:rFonts w:asciiTheme="minorHAnsi" w:hAnsiTheme="minorHAnsi" w:cstheme="minorHAnsi"/>
        </w:rPr>
        <w:t xml:space="preserve">Vyšší centra ostatní: Most, Teplice, Děčín, </w:t>
      </w:r>
    </w:p>
    <w:p w14:paraId="6DAE9FA0" w14:textId="77777777" w:rsidR="00E74931" w:rsidRPr="00E74931" w:rsidRDefault="00E74931" w:rsidP="00E74931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>⇒</w:t>
      </w:r>
      <w:r w:rsidR="00912087">
        <w:rPr>
          <w:rFonts w:ascii="Cambria Math" w:hAnsi="Cambria Math" w:cs="Cambria Math"/>
        </w:rPr>
        <w:t xml:space="preserve"> </w:t>
      </w:r>
      <w:r w:rsidR="00912087" w:rsidRPr="00912087">
        <w:rPr>
          <w:rFonts w:asciiTheme="minorHAnsi" w:hAnsiTheme="minorHAnsi" w:cs="Cambria Math"/>
        </w:rPr>
        <w:t xml:space="preserve">C </w:t>
      </w:r>
      <w:r w:rsidR="00912087">
        <w:rPr>
          <w:rFonts w:asciiTheme="minorHAnsi" w:hAnsiTheme="minorHAnsi" w:cs="Cambria Math"/>
        </w:rPr>
        <w:t>–</w:t>
      </w:r>
      <w:r w:rsidR="00912087" w:rsidRPr="00912087">
        <w:rPr>
          <w:rFonts w:asciiTheme="minorHAnsi" w:hAnsiTheme="minorHAnsi" w:cs="Cambria Math"/>
        </w:rPr>
        <w:t xml:space="preserve"> </w:t>
      </w:r>
      <w:r w:rsidRPr="00912087">
        <w:rPr>
          <w:rFonts w:asciiTheme="minorHAnsi" w:hAnsiTheme="minorHAnsi" w:cstheme="minorHAnsi"/>
        </w:rPr>
        <w:t>Střední</w:t>
      </w:r>
      <w:r w:rsidR="00912087">
        <w:rPr>
          <w:rFonts w:asciiTheme="minorHAnsi" w:hAnsiTheme="minorHAnsi" w:cstheme="minorHAnsi"/>
        </w:rPr>
        <w:t xml:space="preserve"> centra významná</w:t>
      </w:r>
      <w:r w:rsidRPr="00E74931">
        <w:rPr>
          <w:rFonts w:asciiTheme="minorHAnsi" w:hAnsiTheme="minorHAnsi" w:cstheme="minorHAnsi"/>
        </w:rPr>
        <w:t xml:space="preserve">: Kadaň - Klášterec nad </w:t>
      </w:r>
      <w:r w:rsidR="00912087">
        <w:rPr>
          <w:rFonts w:asciiTheme="minorHAnsi" w:hAnsiTheme="minorHAnsi" w:cstheme="minorHAnsi"/>
        </w:rPr>
        <w:t>Ohří, Litoměřice, Louny, Žatec,</w:t>
      </w:r>
    </w:p>
    <w:p w14:paraId="5F2EA81F" w14:textId="77777777" w:rsidR="00E74931" w:rsidRDefault="00E74931" w:rsidP="00E7493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>⇒</w:t>
      </w:r>
      <w:r w:rsidR="00912087">
        <w:rPr>
          <w:rFonts w:asciiTheme="minorHAnsi" w:hAnsiTheme="minorHAnsi" w:cs="Cambria Math"/>
        </w:rPr>
        <w:t xml:space="preserve"> D – </w:t>
      </w:r>
      <w:r w:rsidRPr="00E74931">
        <w:rPr>
          <w:rFonts w:asciiTheme="minorHAnsi" w:hAnsiTheme="minorHAnsi" w:cstheme="minorHAnsi"/>
        </w:rPr>
        <w:t xml:space="preserve">Střední centra ostatní: </w:t>
      </w:r>
      <w:r w:rsidR="00A70B6C">
        <w:rPr>
          <w:rFonts w:asciiTheme="minorHAnsi" w:hAnsiTheme="minorHAnsi" w:cstheme="minorHAnsi"/>
        </w:rPr>
        <w:t>Litvínov, Rumburk – Varnsdorf</w:t>
      </w:r>
      <w:r w:rsidRPr="00E74931">
        <w:rPr>
          <w:rFonts w:asciiTheme="minorHAnsi" w:hAnsiTheme="minorHAnsi" w:cstheme="minorHAnsi"/>
        </w:rPr>
        <w:t>.</w:t>
      </w:r>
    </w:p>
    <w:p w14:paraId="1BF495CA" w14:textId="77777777" w:rsidR="005841AF" w:rsidRPr="00FF7DA1" w:rsidRDefault="00EA57B2" w:rsidP="009151A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tabulka uvádí přibližnou komparaci</w:t>
      </w:r>
      <w:r w:rsidR="00564D8B">
        <w:rPr>
          <w:rFonts w:asciiTheme="minorHAnsi" w:hAnsiTheme="minorHAnsi" w:cstheme="minorHAnsi"/>
        </w:rPr>
        <w:t xml:space="preserve"> kategorizace center v kategorii A-D v</w:t>
      </w:r>
      <w:r w:rsidR="005841AF" w:rsidRPr="00FF7DA1">
        <w:rPr>
          <w:rFonts w:asciiTheme="minorHAnsi" w:hAnsiTheme="minorHAnsi" w:cstheme="minorHAnsi"/>
        </w:rPr>
        <w:t xml:space="preserve"> předloženém </w:t>
      </w:r>
      <w:r w:rsidR="00564D8B">
        <w:rPr>
          <w:rFonts w:asciiTheme="minorHAnsi" w:hAnsiTheme="minorHAnsi" w:cstheme="minorHAnsi"/>
        </w:rPr>
        <w:t>metodickém návodu ve vztahu k již zpracovaným dokumentům ZÚR ÚK a ÚAP ÚK</w:t>
      </w:r>
      <w:r w:rsidR="005841AF" w:rsidRPr="00FF7DA1">
        <w:rPr>
          <w:rFonts w:asciiTheme="minorHAnsi" w:hAnsiTheme="minorHAnsi" w:cstheme="minorHAnsi"/>
        </w:rPr>
        <w:t>:</w:t>
      </w:r>
    </w:p>
    <w:p w14:paraId="112328C6" w14:textId="77777777" w:rsidR="004F28D8" w:rsidRDefault="004F28D8" w:rsidP="004F28D8">
      <w:pPr>
        <w:pStyle w:val="Titulek"/>
        <w:keepNext/>
      </w:pPr>
      <w:r>
        <w:t xml:space="preserve">Tabulka </w:t>
      </w:r>
      <w:r w:rsidR="00B43C61">
        <w:fldChar w:fldCharType="begin"/>
      </w:r>
      <w:r w:rsidR="00B43C61">
        <w:instrText xml:space="preserve"> SEQ Tabulka \* ARABIC </w:instrText>
      </w:r>
      <w:r w:rsidR="00B43C61">
        <w:fldChar w:fldCharType="separate"/>
      </w:r>
      <w:r w:rsidR="005263B8">
        <w:rPr>
          <w:noProof/>
        </w:rPr>
        <w:t>1</w:t>
      </w:r>
      <w:r w:rsidR="00B43C61">
        <w:rPr>
          <w:noProof/>
        </w:rPr>
        <w:fldChar w:fldCharType="end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89"/>
        <w:gridCol w:w="3047"/>
        <w:gridCol w:w="2650"/>
        <w:gridCol w:w="2650"/>
      </w:tblGrid>
      <w:tr w:rsidR="005A3B45" w:rsidRPr="00FF7DA1" w14:paraId="38DE780F" w14:textId="77777777" w:rsidTr="005A3B45"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0CDFE4DC" w14:textId="77777777" w:rsidR="005A3B45" w:rsidRPr="005263B8" w:rsidRDefault="005A3B45" w:rsidP="009151A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Zpracovatel</w:t>
            </w:r>
          </w:p>
        </w:tc>
        <w:tc>
          <w:tcPr>
            <w:tcW w:w="1565" w:type="pct"/>
            <w:shd w:val="clear" w:color="auto" w:fill="D9D9D9" w:themeFill="background1" w:themeFillShade="D9"/>
            <w:vAlign w:val="center"/>
          </w:tcPr>
          <w:p w14:paraId="045B96DB" w14:textId="77777777" w:rsidR="005A3B45" w:rsidRPr="005263B8" w:rsidRDefault="005A3B45" w:rsidP="005A3B4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Kategorizace center osídlení dle metodického návodu</w:t>
            </w:r>
          </w:p>
        </w:tc>
        <w:tc>
          <w:tcPr>
            <w:tcW w:w="1361" w:type="pct"/>
            <w:shd w:val="clear" w:color="auto" w:fill="D9D9D9" w:themeFill="background1" w:themeFillShade="D9"/>
            <w:vAlign w:val="center"/>
          </w:tcPr>
          <w:p w14:paraId="48B6F53F" w14:textId="77777777" w:rsidR="005A3B45" w:rsidRPr="005263B8" w:rsidRDefault="005A3B45" w:rsidP="005A3B4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Hierarchie center dle ZÚR ÚK 2011 </w:t>
            </w:r>
          </w:p>
        </w:tc>
        <w:tc>
          <w:tcPr>
            <w:tcW w:w="1361" w:type="pct"/>
            <w:shd w:val="clear" w:color="auto" w:fill="D9D9D9" w:themeFill="background1" w:themeFillShade="D9"/>
          </w:tcPr>
          <w:p w14:paraId="2DEB59BD" w14:textId="77777777" w:rsidR="005A3B45" w:rsidRPr="005263B8" w:rsidRDefault="005A3B45" w:rsidP="005A3B4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Hierarchie center dle ÚAP ÚK 2021</w:t>
            </w:r>
          </w:p>
        </w:tc>
      </w:tr>
      <w:tr w:rsidR="005A3B45" w:rsidRPr="00FF7DA1" w14:paraId="4D1EEA4B" w14:textId="77777777" w:rsidTr="00C8619B">
        <w:tc>
          <w:tcPr>
            <w:tcW w:w="713" w:type="pct"/>
            <w:vMerge w:val="restart"/>
            <w:vAlign w:val="center"/>
          </w:tcPr>
          <w:p w14:paraId="49B0AD77" w14:textId="77777777" w:rsidR="005A3B45" w:rsidRPr="005263B8" w:rsidRDefault="005A3B45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MMR</w:t>
            </w:r>
          </w:p>
        </w:tc>
        <w:tc>
          <w:tcPr>
            <w:tcW w:w="1565" w:type="pct"/>
            <w:vAlign w:val="center"/>
          </w:tcPr>
          <w:p w14:paraId="19FB9C27" w14:textId="77777777" w:rsidR="005A3B45" w:rsidRPr="005263B8" w:rsidRDefault="005A3B45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A1 – vyšší centrum republikové</w:t>
            </w:r>
          </w:p>
        </w:tc>
        <w:tc>
          <w:tcPr>
            <w:tcW w:w="1361" w:type="pct"/>
            <w:vAlign w:val="center"/>
          </w:tcPr>
          <w:p w14:paraId="64A2498D" w14:textId="77777777" w:rsidR="005A3B45" w:rsidRPr="005263B8" w:rsidRDefault="005A3B45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Nevyskytuje se v ÚK</w:t>
            </w:r>
          </w:p>
        </w:tc>
        <w:tc>
          <w:tcPr>
            <w:tcW w:w="1361" w:type="pct"/>
            <w:vAlign w:val="center"/>
          </w:tcPr>
          <w:p w14:paraId="40EC87B4" w14:textId="77777777" w:rsidR="005A3B45" w:rsidRPr="005263B8" w:rsidRDefault="0086438A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Nevyskytuje se v ÚK</w:t>
            </w:r>
          </w:p>
        </w:tc>
      </w:tr>
      <w:tr w:rsidR="005A3B45" w:rsidRPr="00FF7DA1" w14:paraId="7D8FF981" w14:textId="77777777" w:rsidTr="00C8619B">
        <w:tc>
          <w:tcPr>
            <w:tcW w:w="713" w:type="pct"/>
            <w:vMerge/>
            <w:vAlign w:val="center"/>
          </w:tcPr>
          <w:p w14:paraId="360F1A49" w14:textId="77777777" w:rsidR="005A3B45" w:rsidRPr="005263B8" w:rsidRDefault="005A3B45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7C703097" w14:textId="77777777" w:rsidR="005A3B45" w:rsidRPr="005263B8" w:rsidRDefault="005A3B45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A2 – vyšší centrum nadregionální</w:t>
            </w:r>
          </w:p>
        </w:tc>
        <w:tc>
          <w:tcPr>
            <w:tcW w:w="1361" w:type="pct"/>
            <w:vAlign w:val="center"/>
          </w:tcPr>
          <w:p w14:paraId="77051B65" w14:textId="77777777" w:rsidR="005A3B45" w:rsidRPr="005263B8" w:rsidRDefault="005A3B45" w:rsidP="009151A9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Nadregionální centrum</w:t>
            </w:r>
          </w:p>
        </w:tc>
        <w:tc>
          <w:tcPr>
            <w:tcW w:w="1361" w:type="pct"/>
            <w:vAlign w:val="center"/>
          </w:tcPr>
          <w:p w14:paraId="19F8EC5A" w14:textId="77777777" w:rsidR="005A3B45" w:rsidRPr="005263B8" w:rsidRDefault="0086438A" w:rsidP="009151A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Nevyskytuje se v ÚK</w:t>
            </w:r>
          </w:p>
        </w:tc>
      </w:tr>
      <w:tr w:rsidR="0086438A" w:rsidRPr="00FF7DA1" w14:paraId="56122ED3" w14:textId="77777777" w:rsidTr="00C8619B">
        <w:tc>
          <w:tcPr>
            <w:tcW w:w="713" w:type="pct"/>
            <w:vMerge/>
            <w:vAlign w:val="center"/>
          </w:tcPr>
          <w:p w14:paraId="1763CEA4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6AFB17F5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A3 – vyšší centra regionální</w:t>
            </w:r>
          </w:p>
        </w:tc>
        <w:tc>
          <w:tcPr>
            <w:tcW w:w="1361" w:type="pct"/>
            <w:vMerge w:val="restart"/>
            <w:vAlign w:val="center"/>
          </w:tcPr>
          <w:p w14:paraId="3DD2FC8D" w14:textId="77777777" w:rsidR="0086438A" w:rsidRPr="005263B8" w:rsidRDefault="0086438A" w:rsidP="00564D8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iCs/>
                <w:sz w:val="18"/>
                <w:szCs w:val="18"/>
              </w:rPr>
              <w:t>Regionální centra</w:t>
            </w:r>
          </w:p>
        </w:tc>
        <w:tc>
          <w:tcPr>
            <w:tcW w:w="1361" w:type="pct"/>
            <w:vMerge w:val="restart"/>
            <w:vAlign w:val="center"/>
          </w:tcPr>
          <w:p w14:paraId="622F9273" w14:textId="77777777" w:rsidR="0086438A" w:rsidRPr="005263B8" w:rsidRDefault="0086438A" w:rsidP="00564D8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iCs/>
                <w:sz w:val="18"/>
                <w:szCs w:val="18"/>
              </w:rPr>
              <w:t>I. kategorie</w:t>
            </w:r>
          </w:p>
        </w:tc>
      </w:tr>
      <w:tr w:rsidR="0086438A" w:rsidRPr="00FF7DA1" w14:paraId="5FD65049" w14:textId="77777777" w:rsidTr="00C8619B">
        <w:tc>
          <w:tcPr>
            <w:tcW w:w="713" w:type="pct"/>
            <w:vMerge/>
            <w:vAlign w:val="center"/>
          </w:tcPr>
          <w:p w14:paraId="129B47D2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6A1EFDBB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B – Vyšší centra ostatní</w:t>
            </w:r>
          </w:p>
        </w:tc>
        <w:tc>
          <w:tcPr>
            <w:tcW w:w="1361" w:type="pct"/>
            <w:vMerge/>
            <w:vAlign w:val="center"/>
          </w:tcPr>
          <w:p w14:paraId="41F8E2D9" w14:textId="77777777" w:rsidR="0086438A" w:rsidRPr="005263B8" w:rsidRDefault="0086438A" w:rsidP="00564D8B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361" w:type="pct"/>
            <w:vMerge/>
            <w:vAlign w:val="center"/>
          </w:tcPr>
          <w:p w14:paraId="0423789A" w14:textId="77777777" w:rsidR="0086438A" w:rsidRPr="005263B8" w:rsidRDefault="0086438A" w:rsidP="00564D8B">
            <w:pPr>
              <w:rPr>
                <w:rFonts w:asciiTheme="minorHAnsi" w:hAnsiTheme="minorHAnsi" w:cstheme="minorHAnsi"/>
                <w:iCs/>
                <w:sz w:val="18"/>
                <w:szCs w:val="18"/>
              </w:rPr>
            </w:pPr>
          </w:p>
        </w:tc>
      </w:tr>
      <w:tr w:rsidR="0086438A" w:rsidRPr="00FF7DA1" w14:paraId="2B9CD0E4" w14:textId="77777777" w:rsidTr="00C8619B">
        <w:tc>
          <w:tcPr>
            <w:tcW w:w="713" w:type="pct"/>
            <w:vMerge/>
            <w:vAlign w:val="center"/>
          </w:tcPr>
          <w:p w14:paraId="3BD2DE08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239CA6C2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C – Střední centra významná</w:t>
            </w:r>
          </w:p>
        </w:tc>
        <w:tc>
          <w:tcPr>
            <w:tcW w:w="1361" w:type="pct"/>
            <w:vMerge w:val="restart"/>
            <w:vAlign w:val="center"/>
          </w:tcPr>
          <w:p w14:paraId="4BB62FC0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Mikroregionální centra</w:t>
            </w:r>
          </w:p>
        </w:tc>
        <w:tc>
          <w:tcPr>
            <w:tcW w:w="1361" w:type="pct"/>
            <w:vMerge w:val="restart"/>
            <w:vAlign w:val="center"/>
          </w:tcPr>
          <w:p w14:paraId="2752B956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iCs/>
                <w:sz w:val="18"/>
                <w:szCs w:val="18"/>
              </w:rPr>
              <w:t>II. kategorie</w:t>
            </w:r>
          </w:p>
        </w:tc>
      </w:tr>
      <w:tr w:rsidR="0086438A" w:rsidRPr="00FF7DA1" w14:paraId="15BFB6E5" w14:textId="77777777" w:rsidTr="00C8619B">
        <w:tc>
          <w:tcPr>
            <w:tcW w:w="713" w:type="pct"/>
            <w:vMerge/>
            <w:vAlign w:val="center"/>
          </w:tcPr>
          <w:p w14:paraId="3A067A98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2599E2CD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D – Střední centra ostatní</w:t>
            </w:r>
          </w:p>
        </w:tc>
        <w:tc>
          <w:tcPr>
            <w:tcW w:w="1361" w:type="pct"/>
            <w:vMerge/>
            <w:vAlign w:val="center"/>
          </w:tcPr>
          <w:p w14:paraId="1B9E9430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1" w:type="pct"/>
            <w:vMerge/>
            <w:vAlign w:val="center"/>
          </w:tcPr>
          <w:p w14:paraId="2DA7B461" w14:textId="77777777" w:rsidR="0086438A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3B45" w:rsidRPr="00FF7DA1" w14:paraId="11AFE89F" w14:textId="77777777" w:rsidTr="00C8619B">
        <w:tc>
          <w:tcPr>
            <w:tcW w:w="713" w:type="pct"/>
            <w:vMerge w:val="restart"/>
            <w:vAlign w:val="center"/>
          </w:tcPr>
          <w:p w14:paraId="76D837DE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Ústecký kraj</w:t>
            </w:r>
          </w:p>
        </w:tc>
        <w:tc>
          <w:tcPr>
            <w:tcW w:w="1565" w:type="pct"/>
            <w:vAlign w:val="center"/>
          </w:tcPr>
          <w:p w14:paraId="5FE44731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E Nižší centra významná</w:t>
            </w:r>
          </w:p>
        </w:tc>
        <w:tc>
          <w:tcPr>
            <w:tcW w:w="1361" w:type="pct"/>
            <w:vMerge w:val="restart"/>
            <w:vAlign w:val="center"/>
          </w:tcPr>
          <w:p w14:paraId="538C1344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Subregionální</w:t>
            </w:r>
            <w:proofErr w:type="spellEnd"/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 centra</w:t>
            </w:r>
          </w:p>
        </w:tc>
        <w:tc>
          <w:tcPr>
            <w:tcW w:w="1361" w:type="pct"/>
            <w:vAlign w:val="center"/>
          </w:tcPr>
          <w:p w14:paraId="3FCC0A32" w14:textId="77777777" w:rsidR="005A3B45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III. kategorie</w:t>
            </w:r>
          </w:p>
        </w:tc>
      </w:tr>
      <w:tr w:rsidR="005A3B45" w:rsidRPr="00FF7DA1" w14:paraId="09E081A4" w14:textId="77777777" w:rsidTr="00C8619B">
        <w:tc>
          <w:tcPr>
            <w:tcW w:w="713" w:type="pct"/>
            <w:vMerge/>
            <w:vAlign w:val="center"/>
          </w:tcPr>
          <w:p w14:paraId="247BE80A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40819E07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F Nižší centra ostatní</w:t>
            </w:r>
          </w:p>
        </w:tc>
        <w:tc>
          <w:tcPr>
            <w:tcW w:w="1361" w:type="pct"/>
            <w:vMerge/>
            <w:vAlign w:val="center"/>
          </w:tcPr>
          <w:p w14:paraId="47983694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1" w:type="pct"/>
            <w:vAlign w:val="center"/>
          </w:tcPr>
          <w:p w14:paraId="3572A2E8" w14:textId="77777777" w:rsidR="005A3B45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IV. kategorie</w:t>
            </w:r>
          </w:p>
        </w:tc>
      </w:tr>
      <w:tr w:rsidR="005A3B45" w:rsidRPr="00FF7DA1" w14:paraId="492F1EF9" w14:textId="77777777" w:rsidTr="00C8619B">
        <w:tc>
          <w:tcPr>
            <w:tcW w:w="713" w:type="pct"/>
            <w:vMerge/>
            <w:vAlign w:val="center"/>
          </w:tcPr>
          <w:p w14:paraId="04DA1E83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5" w:type="pct"/>
            <w:vAlign w:val="center"/>
          </w:tcPr>
          <w:p w14:paraId="3ED14854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G Malá centra</w:t>
            </w:r>
          </w:p>
        </w:tc>
        <w:tc>
          <w:tcPr>
            <w:tcW w:w="1361" w:type="pct"/>
            <w:vAlign w:val="center"/>
          </w:tcPr>
          <w:p w14:paraId="7DD095F4" w14:textId="77777777" w:rsidR="005A3B45" w:rsidRPr="005263B8" w:rsidRDefault="005A3B45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Ostatní obce se vztahy k jednotlivým typům center</w:t>
            </w:r>
          </w:p>
        </w:tc>
        <w:tc>
          <w:tcPr>
            <w:tcW w:w="1361" w:type="pct"/>
            <w:vAlign w:val="center"/>
          </w:tcPr>
          <w:p w14:paraId="4615B0DE" w14:textId="77777777" w:rsidR="005A3B45" w:rsidRPr="005263B8" w:rsidRDefault="0086438A" w:rsidP="00564D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V. – VI. kategorie</w:t>
            </w:r>
          </w:p>
        </w:tc>
      </w:tr>
    </w:tbl>
    <w:p w14:paraId="2FC406A2" w14:textId="77777777" w:rsidR="00BD5766" w:rsidRDefault="00BD5766" w:rsidP="005263B8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kategoriích A </w:t>
      </w:r>
      <w:proofErr w:type="spellStart"/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 xml:space="preserve"> B panuje shoda se ZÚR ÚK, Chomutov je řazen do kategorie A</w:t>
      </w:r>
      <w:r w:rsidR="004767DC" w:rsidRPr="004767DC">
        <w:rPr>
          <w:rFonts w:asciiTheme="minorHAnsi" w:hAnsiTheme="minorHAnsi" w:cstheme="minorHAnsi"/>
        </w:rPr>
        <w:t xml:space="preserve"> </w:t>
      </w:r>
      <w:r w:rsidR="004767DC">
        <w:rPr>
          <w:rFonts w:asciiTheme="minorHAnsi" w:hAnsiTheme="minorHAnsi" w:cstheme="minorHAnsi"/>
        </w:rPr>
        <w:t>pravděpodobně z toho důvodu, že byl hodnocen jako souměstí Chomutov – Jirkov, což ovšem není v metodickém návodu nikde výslovně uvedeno (!)</w:t>
      </w:r>
      <w:r w:rsidR="00C8619B">
        <w:rPr>
          <w:rFonts w:asciiTheme="minorHAnsi" w:hAnsiTheme="minorHAnsi" w:cstheme="minorHAnsi"/>
        </w:rPr>
        <w:t xml:space="preserve">. </w:t>
      </w:r>
      <w:r w:rsidR="00406E6A">
        <w:rPr>
          <w:rFonts w:asciiTheme="minorHAnsi" w:hAnsiTheme="minorHAnsi" w:cstheme="minorHAnsi"/>
        </w:rPr>
        <w:t xml:space="preserve">Podobně řadí uvedená centra i ÚAP ÚK, které však centra A </w:t>
      </w:r>
      <w:proofErr w:type="spellStart"/>
      <w:r w:rsidR="00406E6A">
        <w:rPr>
          <w:rFonts w:asciiTheme="minorHAnsi" w:hAnsiTheme="minorHAnsi" w:cstheme="minorHAnsi"/>
        </w:rPr>
        <w:t>a</w:t>
      </w:r>
      <w:proofErr w:type="spellEnd"/>
      <w:r w:rsidR="00406E6A">
        <w:rPr>
          <w:rFonts w:asciiTheme="minorHAnsi" w:hAnsiTheme="minorHAnsi" w:cstheme="minorHAnsi"/>
        </w:rPr>
        <w:t xml:space="preserve"> B uvádí v jedné společné kategorii</w:t>
      </w:r>
      <w:r w:rsidR="00B85304">
        <w:rPr>
          <w:rFonts w:asciiTheme="minorHAnsi" w:hAnsiTheme="minorHAnsi" w:cstheme="minorHAnsi"/>
        </w:rPr>
        <w:t>, zároveň však poukazují na posilování centra Varnsdorf</w:t>
      </w:r>
      <w:r w:rsidR="00406E6A">
        <w:rPr>
          <w:rFonts w:asciiTheme="minorHAnsi" w:hAnsiTheme="minorHAnsi" w:cstheme="minorHAnsi"/>
        </w:rPr>
        <w:t xml:space="preserve">. </w:t>
      </w:r>
      <w:r w:rsidR="00C8619B">
        <w:rPr>
          <w:rFonts w:asciiTheme="minorHAnsi" w:hAnsiTheme="minorHAnsi" w:cstheme="minorHAnsi"/>
        </w:rPr>
        <w:t xml:space="preserve">Kategorie C – D odpovídající mikroregionálním centrům vymezeným v ZÚR ÚK oproti tomuto dokumentu neobsahují centra Bílina, Lovosice, Podbořany a Roudnice nad Labem. </w:t>
      </w:r>
      <w:r w:rsidR="00C55F47">
        <w:rPr>
          <w:rFonts w:asciiTheme="minorHAnsi" w:hAnsiTheme="minorHAnsi" w:cstheme="minorHAnsi"/>
        </w:rPr>
        <w:t xml:space="preserve">U Podbořan příslušnost k centrům nižších kategorií potvrzují i ÚAP ÚK, avšak </w:t>
      </w:r>
      <w:r w:rsidR="00C55F47" w:rsidRPr="00C55F47">
        <w:rPr>
          <w:rFonts w:asciiTheme="minorHAnsi" w:hAnsiTheme="minorHAnsi" w:cstheme="minorHAnsi"/>
        </w:rPr>
        <w:t>Bílin</w:t>
      </w:r>
      <w:r w:rsidR="00C55F47">
        <w:rPr>
          <w:rFonts w:asciiTheme="minorHAnsi" w:hAnsiTheme="minorHAnsi" w:cstheme="minorHAnsi"/>
        </w:rPr>
        <w:t>u</w:t>
      </w:r>
      <w:r w:rsidR="00C55F47" w:rsidRPr="00C55F47">
        <w:rPr>
          <w:rFonts w:asciiTheme="minorHAnsi" w:hAnsiTheme="minorHAnsi" w:cstheme="minorHAnsi"/>
        </w:rPr>
        <w:t>, Lovosice, a Roudnic</w:t>
      </w:r>
      <w:r w:rsidR="00406E6A">
        <w:rPr>
          <w:rFonts w:asciiTheme="minorHAnsi" w:hAnsiTheme="minorHAnsi" w:cstheme="minorHAnsi"/>
        </w:rPr>
        <w:t>i</w:t>
      </w:r>
      <w:r w:rsidR="00C55F47" w:rsidRPr="00C55F47">
        <w:rPr>
          <w:rFonts w:asciiTheme="minorHAnsi" w:hAnsiTheme="minorHAnsi" w:cstheme="minorHAnsi"/>
        </w:rPr>
        <w:t xml:space="preserve"> nad Labem</w:t>
      </w:r>
      <w:r w:rsidR="00406E6A">
        <w:rPr>
          <w:rFonts w:asciiTheme="minorHAnsi" w:hAnsiTheme="minorHAnsi" w:cstheme="minorHAnsi"/>
        </w:rPr>
        <w:t xml:space="preserve"> řadí do úrovně kategorií C – D. Tyto centra </w:t>
      </w:r>
      <w:proofErr w:type="spellStart"/>
      <w:r w:rsidR="00406E6A">
        <w:rPr>
          <w:rFonts w:asciiTheme="minorHAnsi" w:hAnsiTheme="minorHAnsi" w:cstheme="minorHAnsi"/>
        </w:rPr>
        <w:t>benefitují</w:t>
      </w:r>
      <w:proofErr w:type="spellEnd"/>
      <w:r w:rsidR="00406E6A">
        <w:rPr>
          <w:rFonts w:asciiTheme="minorHAnsi" w:hAnsiTheme="minorHAnsi" w:cstheme="minorHAnsi"/>
        </w:rPr>
        <w:t xml:space="preserve"> z polohy na republikově významných rozvojových osách a jejich spádové území, které se navzájem překrývá a překrývá se i centry vyšších kategorií, obsluhuje </w:t>
      </w:r>
      <w:r w:rsidR="00540D1C">
        <w:rPr>
          <w:rFonts w:asciiTheme="minorHAnsi" w:hAnsiTheme="minorHAnsi" w:cstheme="minorHAnsi"/>
        </w:rPr>
        <w:t xml:space="preserve">území čítající </w:t>
      </w:r>
      <w:r w:rsidR="00406E6A">
        <w:rPr>
          <w:rFonts w:asciiTheme="minorHAnsi" w:hAnsiTheme="minorHAnsi" w:cstheme="minorHAnsi"/>
        </w:rPr>
        <w:t>vyšší desítky tisíc obyvatel.</w:t>
      </w:r>
      <w:r w:rsidR="00540D1C">
        <w:rPr>
          <w:rFonts w:asciiTheme="minorHAnsi" w:hAnsiTheme="minorHAnsi" w:cstheme="minorHAnsi"/>
        </w:rPr>
        <w:t xml:space="preserve"> Z uvedených center pouze Roudnice nad Labem vykazuje potenciál </w:t>
      </w:r>
      <w:r w:rsidR="00D671BE">
        <w:rPr>
          <w:rFonts w:asciiTheme="minorHAnsi" w:hAnsiTheme="minorHAnsi" w:cstheme="minorHAnsi"/>
        </w:rPr>
        <w:t>budoucího</w:t>
      </w:r>
      <w:r w:rsidR="00540D1C">
        <w:rPr>
          <w:rFonts w:asciiTheme="minorHAnsi" w:hAnsiTheme="minorHAnsi" w:cstheme="minorHAnsi"/>
        </w:rPr>
        <w:t> růstu jako centrum osídlení. Lovosice zažívají rozvoj</w:t>
      </w:r>
      <w:r w:rsidR="00DF04A8">
        <w:rPr>
          <w:rFonts w:asciiTheme="minorHAnsi" w:hAnsiTheme="minorHAnsi" w:cstheme="minorHAnsi"/>
        </w:rPr>
        <w:t xml:space="preserve"> zejména</w:t>
      </w:r>
      <w:r w:rsidR="00540D1C">
        <w:rPr>
          <w:rFonts w:asciiTheme="minorHAnsi" w:hAnsiTheme="minorHAnsi" w:cstheme="minorHAnsi"/>
        </w:rPr>
        <w:t xml:space="preserve"> v souvislosti s přítomností multimodálního dopravního uzlu na dálnici D8 a hlavním železničním koridoru Praha – Drážďany a </w:t>
      </w:r>
      <w:r w:rsidR="00540D1C">
        <w:rPr>
          <w:rFonts w:asciiTheme="minorHAnsi" w:hAnsiTheme="minorHAnsi" w:cstheme="minorHAnsi"/>
        </w:rPr>
        <w:lastRenderedPageBreak/>
        <w:t>rozvinutého chemického průmyslu. Bílina za</w:t>
      </w:r>
      <w:r w:rsidR="0029774A">
        <w:rPr>
          <w:rFonts w:asciiTheme="minorHAnsi" w:hAnsiTheme="minorHAnsi" w:cstheme="minorHAnsi"/>
        </w:rPr>
        <w:t>žívá výrazný úbytek obyvatelstva</w:t>
      </w:r>
      <w:r w:rsidR="0029774A">
        <w:rPr>
          <w:rStyle w:val="Znakapoznpodarou"/>
          <w:rFonts w:asciiTheme="minorHAnsi" w:hAnsiTheme="minorHAnsi" w:cstheme="minorHAnsi"/>
        </w:rPr>
        <w:footnoteReference w:id="13"/>
      </w:r>
      <w:r w:rsidR="0029774A">
        <w:rPr>
          <w:rFonts w:asciiTheme="minorHAnsi" w:hAnsiTheme="minorHAnsi" w:cstheme="minorHAnsi"/>
        </w:rPr>
        <w:t>.</w:t>
      </w:r>
      <w:r w:rsidR="00DF04A8">
        <w:rPr>
          <w:rFonts w:asciiTheme="minorHAnsi" w:hAnsiTheme="minorHAnsi" w:cstheme="minorHAnsi"/>
        </w:rPr>
        <w:t xml:space="preserve"> Vzhledem k tomu že se velikostně jedná o centra do 15 tis. respektive 10 tis. obyvatel, což je hlavním měřítkem kategorizace center osídlení dle metodického návodu, nepožaduje OÚ</w:t>
      </w:r>
      <w:r w:rsidR="00332D1B">
        <w:rPr>
          <w:rFonts w:asciiTheme="minorHAnsi" w:hAnsiTheme="minorHAnsi" w:cstheme="minorHAnsi"/>
        </w:rPr>
        <w:t>P jejich přeřazení do kategorie </w:t>
      </w:r>
      <w:r w:rsidR="00DF04A8">
        <w:rPr>
          <w:rFonts w:asciiTheme="minorHAnsi" w:hAnsiTheme="minorHAnsi" w:cstheme="minorHAnsi"/>
        </w:rPr>
        <w:t>D.</w:t>
      </w:r>
    </w:p>
    <w:p w14:paraId="0E3F35F8" w14:textId="77777777" w:rsidR="0029774A" w:rsidRDefault="00DF6342" w:rsidP="004F28D8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Vymezení center osídlení v kategorii E – F bylo provedeno, jak uvádí metodický návod</w:t>
      </w:r>
      <w:r w:rsidR="00A63857">
        <w:rPr>
          <w:rFonts w:asciiTheme="minorHAnsi" w:hAnsiTheme="minorHAnsi" w:cstheme="minorHAnsi"/>
        </w:rPr>
        <w:t xml:space="preserve">, dle následujících </w:t>
      </w:r>
      <w:proofErr w:type="spellStart"/>
      <w:r w:rsidR="00A63857">
        <w:rPr>
          <w:rFonts w:asciiTheme="minorHAnsi" w:hAnsiTheme="minorHAnsi" w:cstheme="minorHAnsi"/>
        </w:rPr>
        <w:t>kriterií</w:t>
      </w:r>
      <w:proofErr w:type="spellEnd"/>
      <w:r w:rsidR="00A63857">
        <w:rPr>
          <w:rFonts w:asciiTheme="minorHAnsi" w:hAnsiTheme="minorHAnsi" w:cstheme="minorHAnsi"/>
        </w:rPr>
        <w:t>:</w:t>
      </w:r>
    </w:p>
    <w:p w14:paraId="2A0618A7" w14:textId="77777777" w:rsidR="004F28D8" w:rsidRDefault="004F28D8" w:rsidP="004F28D8">
      <w:pPr>
        <w:pStyle w:val="Titulek"/>
        <w:keepNext/>
        <w:spacing w:after="0"/>
      </w:pPr>
    </w:p>
    <w:tbl>
      <w:tblPr>
        <w:tblStyle w:val="Mkatabulky1"/>
        <w:tblpPr w:leftFromText="141" w:rightFromText="141" w:vertAnchor="text" w:horzAnchor="margin" w:tblpY="421"/>
        <w:tblW w:w="9634" w:type="dxa"/>
        <w:tblLook w:val="04A0" w:firstRow="1" w:lastRow="0" w:firstColumn="1" w:lastColumn="0" w:noHBand="0" w:noVBand="1"/>
      </w:tblPr>
      <w:tblGrid>
        <w:gridCol w:w="1738"/>
        <w:gridCol w:w="1518"/>
        <w:gridCol w:w="1344"/>
        <w:gridCol w:w="1422"/>
        <w:gridCol w:w="1528"/>
        <w:gridCol w:w="2084"/>
      </w:tblGrid>
      <w:tr w:rsidR="00DF6342" w14:paraId="229C1A8E" w14:textId="77777777" w:rsidTr="00DF6342">
        <w:trPr>
          <w:cantSplit/>
          <w:trHeight w:val="1126"/>
          <w:tblHeader/>
        </w:trPr>
        <w:tc>
          <w:tcPr>
            <w:tcW w:w="1738" w:type="dxa"/>
            <w:shd w:val="clear" w:color="auto" w:fill="000099"/>
            <w:vAlign w:val="center"/>
          </w:tcPr>
          <w:p w14:paraId="46EC82ED" w14:textId="77777777" w:rsidR="00DF6342" w:rsidRPr="00DF6342" w:rsidRDefault="00DF6342" w:rsidP="00A63857">
            <w:pPr>
              <w:spacing w:line="264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Typ území</w:t>
            </w:r>
          </w:p>
        </w:tc>
        <w:tc>
          <w:tcPr>
            <w:tcW w:w="1518" w:type="dxa"/>
            <w:shd w:val="clear" w:color="auto" w:fill="000099"/>
            <w:vAlign w:val="center"/>
          </w:tcPr>
          <w:p w14:paraId="7A67AA24" w14:textId="77777777" w:rsidR="00DF6342" w:rsidRPr="00DF6342" w:rsidRDefault="00DF6342" w:rsidP="00A63857">
            <w:pPr>
              <w:spacing w:line="264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Počet obyvatel v centrální obci (minimum)</w:t>
            </w:r>
          </w:p>
        </w:tc>
        <w:tc>
          <w:tcPr>
            <w:tcW w:w="1344" w:type="dxa"/>
            <w:shd w:val="clear" w:color="auto" w:fill="000099"/>
            <w:vAlign w:val="center"/>
          </w:tcPr>
          <w:p w14:paraId="75F7246E" w14:textId="77777777" w:rsidR="00DF6342" w:rsidRPr="00DF6342" w:rsidRDefault="00DF6342" w:rsidP="00A63857">
            <w:pPr>
              <w:spacing w:line="264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Počet obyvatel v centrální obci a v okruhu její dostupnosti (minimum)</w:t>
            </w:r>
          </w:p>
        </w:tc>
        <w:tc>
          <w:tcPr>
            <w:tcW w:w="1422" w:type="dxa"/>
            <w:shd w:val="clear" w:color="auto" w:fill="000099"/>
            <w:vAlign w:val="center"/>
          </w:tcPr>
          <w:p w14:paraId="253D8BD2" w14:textId="77777777" w:rsidR="00DF6342" w:rsidRPr="00DF6342" w:rsidRDefault="00DF6342" w:rsidP="00A63857">
            <w:pPr>
              <w:spacing w:line="264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Vývoj počtu obyvatel v uplynulých 20 letech</w:t>
            </w:r>
          </w:p>
        </w:tc>
        <w:tc>
          <w:tcPr>
            <w:tcW w:w="1528" w:type="dxa"/>
            <w:shd w:val="clear" w:color="auto" w:fill="000099"/>
            <w:vAlign w:val="center"/>
          </w:tcPr>
          <w:p w14:paraId="4529B481" w14:textId="77777777" w:rsidR="00DF6342" w:rsidRPr="00DF6342" w:rsidRDefault="00DF6342" w:rsidP="00A63857">
            <w:pPr>
              <w:spacing w:line="264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Vývoj počtu trvale obydlených bytů v uplynulých 20 letech</w:t>
            </w:r>
          </w:p>
        </w:tc>
        <w:tc>
          <w:tcPr>
            <w:tcW w:w="2084" w:type="dxa"/>
            <w:shd w:val="clear" w:color="auto" w:fill="000099"/>
            <w:vAlign w:val="center"/>
          </w:tcPr>
          <w:p w14:paraId="6BFEA20F" w14:textId="77777777" w:rsidR="00DF6342" w:rsidRPr="00DF6342" w:rsidRDefault="00DF6342" w:rsidP="00A63857">
            <w:pPr>
              <w:spacing w:line="264" w:lineRule="auto"/>
              <w:ind w:right="5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Časová dostupnost centra ze sídel s trvalou obytnou funkcí (maximum)</w:t>
            </w:r>
          </w:p>
        </w:tc>
      </w:tr>
      <w:tr w:rsidR="00DF6342" w14:paraId="533DD28D" w14:textId="77777777" w:rsidTr="00DF6342">
        <w:trPr>
          <w:cantSplit/>
          <w:trHeight w:val="73"/>
        </w:trPr>
        <w:tc>
          <w:tcPr>
            <w:tcW w:w="9634" w:type="dxa"/>
            <w:gridSpan w:val="6"/>
            <w:vAlign w:val="center"/>
          </w:tcPr>
          <w:p w14:paraId="59B36BDD" w14:textId="77777777" w:rsidR="00DF6342" w:rsidRPr="00DF6342" w:rsidRDefault="00DF6342" w:rsidP="00A63857">
            <w:pPr>
              <w:spacing w:line="264" w:lineRule="auto"/>
              <w:ind w:right="57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 – nižší centra významná</w:t>
            </w:r>
          </w:p>
        </w:tc>
      </w:tr>
      <w:tr w:rsidR="00DF6342" w14:paraId="10A97EBA" w14:textId="77777777" w:rsidTr="00DF6342">
        <w:trPr>
          <w:cantSplit/>
        </w:trPr>
        <w:tc>
          <w:tcPr>
            <w:tcW w:w="1738" w:type="dxa"/>
          </w:tcPr>
          <w:p w14:paraId="05C36031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metropolitní oblasti / aglomerace</w:t>
            </w:r>
          </w:p>
        </w:tc>
        <w:tc>
          <w:tcPr>
            <w:tcW w:w="1518" w:type="dxa"/>
          </w:tcPr>
          <w:p w14:paraId="334DD9AB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10 000</w:t>
            </w:r>
          </w:p>
        </w:tc>
        <w:tc>
          <w:tcPr>
            <w:tcW w:w="1344" w:type="dxa"/>
          </w:tcPr>
          <w:p w14:paraId="4CA452DB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422" w:type="dxa"/>
          </w:tcPr>
          <w:p w14:paraId="570B7E50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růst</w:t>
            </w:r>
            <w:r w:rsidRPr="00DF634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6EF9AC56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růst</w:t>
            </w:r>
          </w:p>
        </w:tc>
        <w:tc>
          <w:tcPr>
            <w:tcW w:w="2084" w:type="dxa"/>
          </w:tcPr>
          <w:p w14:paraId="7B5540F2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nesleduje se</w:t>
            </w:r>
          </w:p>
        </w:tc>
      </w:tr>
      <w:tr w:rsidR="00DF6342" w14:paraId="434C436E" w14:textId="77777777" w:rsidTr="00DF6342">
        <w:trPr>
          <w:cantSplit/>
          <w:trHeight w:val="284"/>
        </w:trPr>
        <w:tc>
          <w:tcPr>
            <w:tcW w:w="1738" w:type="dxa"/>
          </w:tcPr>
          <w:p w14:paraId="516F4DF5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ostatní území</w:t>
            </w:r>
          </w:p>
        </w:tc>
        <w:tc>
          <w:tcPr>
            <w:tcW w:w="1518" w:type="dxa"/>
          </w:tcPr>
          <w:p w14:paraId="360E862C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10 000</w:t>
            </w:r>
          </w:p>
        </w:tc>
        <w:tc>
          <w:tcPr>
            <w:tcW w:w="1344" w:type="dxa"/>
          </w:tcPr>
          <w:p w14:paraId="663E1B7A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20 000</w:t>
            </w:r>
          </w:p>
        </w:tc>
        <w:tc>
          <w:tcPr>
            <w:tcW w:w="1422" w:type="dxa"/>
          </w:tcPr>
          <w:p w14:paraId="77B0FAD2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528" w:type="dxa"/>
          </w:tcPr>
          <w:p w14:paraId="5B9352E2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růst či stagnace</w:t>
            </w:r>
          </w:p>
        </w:tc>
        <w:tc>
          <w:tcPr>
            <w:tcW w:w="2084" w:type="dxa"/>
          </w:tcPr>
          <w:p w14:paraId="3DDF8709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30 minut jízdy VHD</w:t>
            </w:r>
          </w:p>
        </w:tc>
      </w:tr>
      <w:tr w:rsidR="00DF6342" w14:paraId="45012F72" w14:textId="77777777" w:rsidTr="00DF6342">
        <w:trPr>
          <w:cantSplit/>
        </w:trPr>
        <w:tc>
          <w:tcPr>
            <w:tcW w:w="1738" w:type="dxa"/>
          </w:tcPr>
          <w:p w14:paraId="5FC3A0A9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 xml:space="preserve">řídce osídlené </w:t>
            </w:r>
          </w:p>
        </w:tc>
        <w:tc>
          <w:tcPr>
            <w:tcW w:w="1518" w:type="dxa"/>
          </w:tcPr>
          <w:p w14:paraId="6EF75B18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10 000</w:t>
            </w:r>
          </w:p>
        </w:tc>
        <w:tc>
          <w:tcPr>
            <w:tcW w:w="1344" w:type="dxa"/>
          </w:tcPr>
          <w:p w14:paraId="226E908C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422" w:type="dxa"/>
          </w:tcPr>
          <w:p w14:paraId="06AC02D6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528" w:type="dxa"/>
          </w:tcPr>
          <w:p w14:paraId="0FF57328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2084" w:type="dxa"/>
          </w:tcPr>
          <w:p w14:paraId="564F8DD6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30 minut jízdy VHD</w:t>
            </w:r>
          </w:p>
        </w:tc>
      </w:tr>
      <w:tr w:rsidR="00DF6342" w14:paraId="05C94103" w14:textId="77777777" w:rsidTr="00DF6342">
        <w:trPr>
          <w:cantSplit/>
        </w:trPr>
        <w:tc>
          <w:tcPr>
            <w:tcW w:w="9634" w:type="dxa"/>
            <w:gridSpan w:val="6"/>
            <w:vAlign w:val="center"/>
          </w:tcPr>
          <w:p w14:paraId="5986070C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F – nižší centra ostatní</w:t>
            </w:r>
          </w:p>
        </w:tc>
      </w:tr>
      <w:tr w:rsidR="00DF6342" w14:paraId="4A7C76CC" w14:textId="77777777" w:rsidTr="00DF6342">
        <w:trPr>
          <w:cantSplit/>
        </w:trPr>
        <w:tc>
          <w:tcPr>
            <w:tcW w:w="1738" w:type="dxa"/>
          </w:tcPr>
          <w:p w14:paraId="14CFC7EA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metropolitní oblasti / aglomerace</w:t>
            </w:r>
          </w:p>
        </w:tc>
        <w:tc>
          <w:tcPr>
            <w:tcW w:w="1518" w:type="dxa"/>
          </w:tcPr>
          <w:p w14:paraId="02351BDA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5 000</w:t>
            </w:r>
          </w:p>
        </w:tc>
        <w:tc>
          <w:tcPr>
            <w:tcW w:w="1344" w:type="dxa"/>
          </w:tcPr>
          <w:p w14:paraId="4A7A2461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422" w:type="dxa"/>
          </w:tcPr>
          <w:p w14:paraId="4AD28132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růst</w:t>
            </w:r>
            <w:r w:rsidRPr="00DF634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</w:tcPr>
          <w:p w14:paraId="08B3317C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růst</w:t>
            </w:r>
          </w:p>
        </w:tc>
        <w:tc>
          <w:tcPr>
            <w:tcW w:w="2084" w:type="dxa"/>
          </w:tcPr>
          <w:p w14:paraId="5D7E1F1D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nesleduje se</w:t>
            </w:r>
          </w:p>
        </w:tc>
      </w:tr>
      <w:tr w:rsidR="00DF6342" w14:paraId="03FABC1F" w14:textId="77777777" w:rsidTr="00DF6342">
        <w:trPr>
          <w:cantSplit/>
        </w:trPr>
        <w:tc>
          <w:tcPr>
            <w:tcW w:w="1738" w:type="dxa"/>
          </w:tcPr>
          <w:p w14:paraId="23E65317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ostatní území</w:t>
            </w:r>
          </w:p>
        </w:tc>
        <w:tc>
          <w:tcPr>
            <w:tcW w:w="1518" w:type="dxa"/>
          </w:tcPr>
          <w:p w14:paraId="560E712C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5 000</w:t>
            </w:r>
          </w:p>
        </w:tc>
        <w:tc>
          <w:tcPr>
            <w:tcW w:w="1344" w:type="dxa"/>
          </w:tcPr>
          <w:p w14:paraId="03187A55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00AF3F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20 000</w:t>
            </w:r>
          </w:p>
        </w:tc>
        <w:tc>
          <w:tcPr>
            <w:tcW w:w="1422" w:type="dxa"/>
          </w:tcPr>
          <w:p w14:paraId="5D19BE15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528" w:type="dxa"/>
          </w:tcPr>
          <w:p w14:paraId="3F9E161B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2084" w:type="dxa"/>
          </w:tcPr>
          <w:p w14:paraId="2EC2D88F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20 minut jízdy VHD</w:t>
            </w:r>
          </w:p>
        </w:tc>
      </w:tr>
      <w:tr w:rsidR="00DF6342" w14:paraId="6FB125BE" w14:textId="77777777" w:rsidTr="00DF6342">
        <w:trPr>
          <w:cantSplit/>
        </w:trPr>
        <w:tc>
          <w:tcPr>
            <w:tcW w:w="1738" w:type="dxa"/>
          </w:tcPr>
          <w:p w14:paraId="450FA064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 xml:space="preserve">řídce osídlené </w:t>
            </w:r>
          </w:p>
        </w:tc>
        <w:tc>
          <w:tcPr>
            <w:tcW w:w="1518" w:type="dxa"/>
          </w:tcPr>
          <w:p w14:paraId="0388FFD6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3 000</w:t>
            </w:r>
          </w:p>
        </w:tc>
        <w:tc>
          <w:tcPr>
            <w:tcW w:w="1344" w:type="dxa"/>
          </w:tcPr>
          <w:p w14:paraId="39CB709C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422" w:type="dxa"/>
          </w:tcPr>
          <w:p w14:paraId="4CABEF88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528" w:type="dxa"/>
          </w:tcPr>
          <w:p w14:paraId="7B110C98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2084" w:type="dxa"/>
          </w:tcPr>
          <w:p w14:paraId="581D1B67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20 minut jízdy VHD</w:t>
            </w:r>
          </w:p>
        </w:tc>
      </w:tr>
      <w:tr w:rsidR="00DF6342" w14:paraId="3389C72A" w14:textId="77777777" w:rsidTr="00DF6342">
        <w:trPr>
          <w:cantSplit/>
        </w:trPr>
        <w:tc>
          <w:tcPr>
            <w:tcW w:w="9634" w:type="dxa"/>
            <w:gridSpan w:val="6"/>
            <w:vAlign w:val="center"/>
          </w:tcPr>
          <w:p w14:paraId="7A01D65E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 – malá centra</w:t>
            </w:r>
          </w:p>
        </w:tc>
      </w:tr>
      <w:tr w:rsidR="00DF6342" w14:paraId="05A6F693" w14:textId="77777777" w:rsidTr="00DF6342">
        <w:trPr>
          <w:cantSplit/>
        </w:trPr>
        <w:tc>
          <w:tcPr>
            <w:tcW w:w="1738" w:type="dxa"/>
          </w:tcPr>
          <w:p w14:paraId="47AA6934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metropolitní oblasti / aglomerace</w:t>
            </w:r>
          </w:p>
        </w:tc>
        <w:tc>
          <w:tcPr>
            <w:tcW w:w="1518" w:type="dxa"/>
          </w:tcPr>
          <w:p w14:paraId="6F92CCA6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2 000</w:t>
            </w:r>
            <w:r w:rsidRPr="00DF6342">
              <w:rPr>
                <w:rFonts w:asciiTheme="minorHAnsi" w:hAnsiTheme="minorHAnsi" w:cs="Arial"/>
                <w:color w:val="FF0000"/>
                <w:sz w:val="18"/>
                <w:szCs w:val="18"/>
              </w:rPr>
              <w:t xml:space="preserve"> </w:t>
            </w:r>
            <w:r w:rsidRPr="00DF6342">
              <w:rPr>
                <w:rFonts w:asciiTheme="minorHAnsi" w:hAnsiTheme="minorHAnsi" w:cs="Arial"/>
                <w:sz w:val="18"/>
                <w:szCs w:val="18"/>
              </w:rPr>
              <w:t>(doporučeno 3 000)</w:t>
            </w:r>
          </w:p>
        </w:tc>
        <w:tc>
          <w:tcPr>
            <w:tcW w:w="1344" w:type="dxa"/>
          </w:tcPr>
          <w:p w14:paraId="6DC1F78F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422" w:type="dxa"/>
          </w:tcPr>
          <w:p w14:paraId="45432182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 xml:space="preserve">růst </w:t>
            </w:r>
          </w:p>
        </w:tc>
        <w:tc>
          <w:tcPr>
            <w:tcW w:w="1528" w:type="dxa"/>
          </w:tcPr>
          <w:p w14:paraId="3B695C1B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růst</w:t>
            </w:r>
          </w:p>
        </w:tc>
        <w:tc>
          <w:tcPr>
            <w:tcW w:w="2084" w:type="dxa"/>
          </w:tcPr>
          <w:p w14:paraId="53FF5684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15 minut jízdy VHD</w:t>
            </w:r>
          </w:p>
        </w:tc>
      </w:tr>
      <w:tr w:rsidR="00DF6342" w14:paraId="616E5E0D" w14:textId="77777777" w:rsidTr="00DF6342">
        <w:trPr>
          <w:cantSplit/>
        </w:trPr>
        <w:tc>
          <w:tcPr>
            <w:tcW w:w="1738" w:type="dxa"/>
          </w:tcPr>
          <w:p w14:paraId="714E191A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ostatní území</w:t>
            </w:r>
          </w:p>
        </w:tc>
        <w:tc>
          <w:tcPr>
            <w:tcW w:w="1518" w:type="dxa"/>
          </w:tcPr>
          <w:p w14:paraId="5C25E105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2 000</w:t>
            </w:r>
          </w:p>
        </w:tc>
        <w:tc>
          <w:tcPr>
            <w:tcW w:w="1344" w:type="dxa"/>
          </w:tcPr>
          <w:p w14:paraId="34367048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5 000</w:t>
            </w:r>
          </w:p>
        </w:tc>
        <w:tc>
          <w:tcPr>
            <w:tcW w:w="1422" w:type="dxa"/>
          </w:tcPr>
          <w:p w14:paraId="277E507A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528" w:type="dxa"/>
          </w:tcPr>
          <w:p w14:paraId="33E21563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2084" w:type="dxa"/>
          </w:tcPr>
          <w:p w14:paraId="035B523B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00AF3F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15 minut jízdy VHD</w:t>
            </w:r>
          </w:p>
        </w:tc>
      </w:tr>
      <w:tr w:rsidR="00DF6342" w14:paraId="6F297436" w14:textId="77777777" w:rsidTr="00DF6342">
        <w:trPr>
          <w:cantSplit/>
        </w:trPr>
        <w:tc>
          <w:tcPr>
            <w:tcW w:w="1738" w:type="dxa"/>
          </w:tcPr>
          <w:p w14:paraId="621AF089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 xml:space="preserve">řídce osídlené </w:t>
            </w:r>
          </w:p>
        </w:tc>
        <w:tc>
          <w:tcPr>
            <w:tcW w:w="1518" w:type="dxa"/>
          </w:tcPr>
          <w:p w14:paraId="3E8AB37A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 xml:space="preserve">2 000 </w:t>
            </w:r>
            <w:r w:rsidRPr="00DF6342">
              <w:rPr>
                <w:rFonts w:asciiTheme="minorHAnsi" w:hAnsiTheme="minorHAnsi" w:cs="Arial"/>
                <w:sz w:val="18"/>
                <w:szCs w:val="18"/>
              </w:rPr>
              <w:t xml:space="preserve">(v odůvodněných případech 1 000) </w:t>
            </w:r>
          </w:p>
        </w:tc>
        <w:tc>
          <w:tcPr>
            <w:tcW w:w="1344" w:type="dxa"/>
          </w:tcPr>
          <w:p w14:paraId="6A1424E3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422" w:type="dxa"/>
          </w:tcPr>
          <w:p w14:paraId="21D802F1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1528" w:type="dxa"/>
          </w:tcPr>
          <w:p w14:paraId="76F58F4B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sz w:val="18"/>
                <w:szCs w:val="18"/>
              </w:rPr>
              <w:t>neurčeno</w:t>
            </w:r>
          </w:p>
        </w:tc>
        <w:tc>
          <w:tcPr>
            <w:tcW w:w="2084" w:type="dxa"/>
          </w:tcPr>
          <w:p w14:paraId="458735D8" w14:textId="77777777" w:rsidR="00DF6342" w:rsidRPr="00DF6342" w:rsidRDefault="00DF6342" w:rsidP="00A63857">
            <w:pPr>
              <w:spacing w:line="264" w:lineRule="auto"/>
              <w:rPr>
                <w:rFonts w:asciiTheme="minorHAnsi" w:hAnsiTheme="minorHAnsi" w:cs="Arial"/>
                <w:color w:val="FF0000"/>
                <w:sz w:val="18"/>
                <w:szCs w:val="18"/>
              </w:rPr>
            </w:pPr>
            <w:r w:rsidRPr="00DF6342">
              <w:rPr>
                <w:rFonts w:asciiTheme="minorHAnsi" w:hAnsiTheme="minorHAnsi" w:cs="Arial"/>
                <w:color w:val="00AF3F"/>
                <w:sz w:val="18"/>
                <w:szCs w:val="18"/>
              </w:rPr>
              <w:t>15 minut jízdy VHD</w:t>
            </w:r>
          </w:p>
        </w:tc>
      </w:tr>
    </w:tbl>
    <w:p w14:paraId="245C262B" w14:textId="77777777" w:rsidR="00DF6342" w:rsidRPr="004F28D8" w:rsidRDefault="004F28D8" w:rsidP="004F28D8">
      <w:pPr>
        <w:pStyle w:val="Titulek"/>
        <w:keepNext/>
        <w:spacing w:after="0"/>
      </w:pPr>
      <w:r w:rsidRPr="004F28D8">
        <w:t>Tabulka 2</w:t>
      </w:r>
    </w:p>
    <w:p w14:paraId="7E30FE7C" w14:textId="77777777" w:rsidR="00A63857" w:rsidRDefault="00A63857" w:rsidP="005263B8">
      <w:pPr>
        <w:jc w:val="both"/>
        <w:rPr>
          <w:rFonts w:asciiTheme="minorHAnsi" w:hAnsiTheme="minorHAnsi" w:cs="Arial"/>
          <w:szCs w:val="20"/>
        </w:rPr>
      </w:pPr>
    </w:p>
    <w:p w14:paraId="389FC419" w14:textId="77777777" w:rsidR="00783500" w:rsidRPr="00783500" w:rsidRDefault="00783500" w:rsidP="00783500">
      <w:pPr>
        <w:spacing w:after="240"/>
        <w:jc w:val="both"/>
        <w:rPr>
          <w:rFonts w:asciiTheme="minorHAnsi" w:hAnsiTheme="minorHAnsi" w:cs="Arial"/>
          <w:szCs w:val="20"/>
        </w:rPr>
      </w:pPr>
      <w:r>
        <w:rPr>
          <w:rFonts w:ascii="Cambria Math" w:hAnsi="Cambria Math" w:cs="Cambria Math"/>
          <w:szCs w:val="20"/>
        </w:rPr>
        <w:t xml:space="preserve">⇒ </w:t>
      </w:r>
      <w:r w:rsidRPr="00783500">
        <w:rPr>
          <w:rFonts w:asciiTheme="minorHAnsi" w:hAnsiTheme="minorHAnsi" w:cs="Arial"/>
          <w:szCs w:val="20"/>
        </w:rPr>
        <w:t xml:space="preserve">Pro vymezení nižšího centra osídlení se především sleduje, zda dosahuje kritických hodnot vybraných kritérií jako rozhodující kritérium (v tabulce značeny </w:t>
      </w:r>
      <w:r w:rsidRPr="00783500">
        <w:rPr>
          <w:rFonts w:asciiTheme="minorHAnsi" w:hAnsiTheme="minorHAnsi" w:cs="Arial"/>
          <w:color w:val="00B050"/>
          <w:szCs w:val="20"/>
        </w:rPr>
        <w:t>zeleně</w:t>
      </w:r>
      <w:r w:rsidRPr="00783500">
        <w:rPr>
          <w:rFonts w:asciiTheme="minorHAnsi" w:hAnsiTheme="minorHAnsi" w:cs="Arial"/>
          <w:szCs w:val="20"/>
        </w:rPr>
        <w:t xml:space="preserve">), jako další indikativní ukazatele se sledují další požadované kriteriální hodnoty (v tabulce značeny normálním písmem). </w:t>
      </w:r>
    </w:p>
    <w:p w14:paraId="6432C008" w14:textId="77777777" w:rsidR="00783500" w:rsidRPr="00783500" w:rsidRDefault="00783500" w:rsidP="00783500">
      <w:pPr>
        <w:spacing w:after="240"/>
        <w:jc w:val="both"/>
        <w:rPr>
          <w:rFonts w:asciiTheme="minorHAnsi" w:hAnsiTheme="minorHAnsi" w:cs="Arial"/>
          <w:szCs w:val="20"/>
        </w:rPr>
      </w:pPr>
      <w:r>
        <w:rPr>
          <w:rFonts w:ascii="Cambria Math" w:hAnsi="Cambria Math" w:cs="Cambria Math"/>
          <w:szCs w:val="20"/>
        </w:rPr>
        <w:t xml:space="preserve">⇒ </w:t>
      </w:r>
      <w:r w:rsidRPr="00783500">
        <w:rPr>
          <w:rFonts w:asciiTheme="minorHAnsi" w:hAnsiTheme="minorHAnsi" w:cs="Arial"/>
          <w:szCs w:val="20"/>
        </w:rPr>
        <w:t>Za růst počtu obyvatel se považuje průměrný roční nárůst v posledních 20 letech větší než 2 procentní body základu (zdroj: ÚAP krajů), za růst počtu trvale obydlených bytů se považuje roční nárůst v posledních 20 letech větší než 1 procentní bod základu (zdroj: ÚAP krajů).</w:t>
      </w:r>
    </w:p>
    <w:p w14:paraId="09FDE1A7" w14:textId="77777777" w:rsidR="00DF6342" w:rsidRDefault="00783500" w:rsidP="00783500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  <w:szCs w:val="20"/>
        </w:rPr>
        <w:t xml:space="preserve">⇒ </w:t>
      </w:r>
      <w:r w:rsidRPr="00783500">
        <w:rPr>
          <w:rFonts w:asciiTheme="minorHAnsi" w:hAnsiTheme="minorHAnsi" w:cs="Arial"/>
          <w:szCs w:val="20"/>
        </w:rPr>
        <w:t xml:space="preserve">Časová dostupnost se zjišťuje jako jízdní doba prostředky veřejné hromadné dopravy osob (vlak, autobus) podle platného jízdního řádu ve všední den (zdroj: např. IDOS, datové sady CHAPS apod.), popřípadě se může uvažovat jako dvojnásobek jízdní doby automobilem (zdroj: např. mapy.cz, GIS analýza na základě údajů o dopravní infrastruktuře v územně analytických podkladech apod.). Do této jízdní doby se nezapočítává čas strávený cestou na zastávku hromadné dopravy ani cesta ze zastávky k cíli cesty.  </w:t>
      </w:r>
    </w:p>
    <w:p w14:paraId="6BC688F9" w14:textId="77777777" w:rsidR="00AA179B" w:rsidRPr="00AA179B" w:rsidRDefault="00AA179B" w:rsidP="00AA179B">
      <w:pPr>
        <w:spacing w:after="120"/>
        <w:rPr>
          <w:rFonts w:asciiTheme="minorHAnsi" w:hAnsiTheme="minorHAnsi" w:cstheme="minorHAnsi"/>
        </w:rPr>
      </w:pPr>
      <w:r w:rsidRPr="00AA179B">
        <w:rPr>
          <w:rFonts w:asciiTheme="minorHAnsi" w:hAnsiTheme="minorHAnsi" w:cstheme="minorHAnsi"/>
        </w:rPr>
        <w:lastRenderedPageBreak/>
        <w:t xml:space="preserve">V případě rozhodování o volbě centra osídlení </w:t>
      </w:r>
      <w:r>
        <w:rPr>
          <w:rFonts w:asciiTheme="minorHAnsi" w:hAnsiTheme="minorHAnsi" w:cstheme="minorHAnsi"/>
        </w:rPr>
        <w:t>byla použi</w:t>
      </w:r>
      <w:r w:rsidRPr="00AA179B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a</w:t>
      </w:r>
      <w:r w:rsidRPr="00AA179B">
        <w:rPr>
          <w:rFonts w:asciiTheme="minorHAnsi" w:hAnsiTheme="minorHAnsi" w:cstheme="minorHAnsi"/>
        </w:rPr>
        <w:t xml:space="preserve"> doplňkově ještě další specifická kritéria</w:t>
      </w:r>
      <w:r w:rsidR="00404D5B">
        <w:rPr>
          <w:rFonts w:asciiTheme="minorHAnsi" w:hAnsiTheme="minorHAnsi" w:cstheme="minorHAnsi"/>
        </w:rPr>
        <w:t>, což metodický návod připouští</w:t>
      </w:r>
      <w:r w:rsidRPr="00AA179B">
        <w:rPr>
          <w:rFonts w:asciiTheme="minorHAnsi" w:hAnsiTheme="minorHAnsi" w:cstheme="minorHAnsi"/>
        </w:rPr>
        <w:t>:</w:t>
      </w:r>
    </w:p>
    <w:p w14:paraId="3A81B956" w14:textId="77777777" w:rsidR="00AA179B" w:rsidRPr="00AA179B" w:rsidRDefault="00AA179B" w:rsidP="00AA179B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 xml:space="preserve">⇒ </w:t>
      </w:r>
      <w:proofErr w:type="spellStart"/>
      <w:r w:rsidRPr="00AA179B">
        <w:rPr>
          <w:rFonts w:asciiTheme="minorHAnsi" w:hAnsiTheme="minorHAnsi" w:cstheme="minorHAnsi"/>
        </w:rPr>
        <w:t>pracovištní</w:t>
      </w:r>
      <w:proofErr w:type="spellEnd"/>
      <w:r w:rsidRPr="00AA179B">
        <w:rPr>
          <w:rFonts w:asciiTheme="minorHAnsi" w:hAnsiTheme="minorHAnsi" w:cstheme="minorHAnsi"/>
        </w:rPr>
        <w:t xml:space="preserve"> význam, tj. velký počet obsazených pracovních míst v obci, </w:t>
      </w:r>
    </w:p>
    <w:p w14:paraId="1DAFDBE8" w14:textId="77777777" w:rsidR="00AA179B" w:rsidRPr="00AA179B" w:rsidRDefault="00AA179B" w:rsidP="00AA179B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="Cambria Math" w:hAnsi="Cambria Math" w:cs="Cambria Math"/>
        </w:rPr>
        <w:t xml:space="preserve">⇒ </w:t>
      </w:r>
      <w:r w:rsidRPr="00AA179B">
        <w:rPr>
          <w:rFonts w:asciiTheme="minorHAnsi" w:hAnsiTheme="minorHAnsi" w:cstheme="minorHAnsi"/>
        </w:rPr>
        <w:t>specifická nadmístní komunitní funkce –</w:t>
      </w:r>
      <w:r w:rsidR="00404D5B">
        <w:rPr>
          <w:rFonts w:asciiTheme="minorHAnsi" w:hAnsiTheme="minorHAnsi" w:cstheme="minorHAnsi"/>
        </w:rPr>
        <w:t xml:space="preserve"> </w:t>
      </w:r>
      <w:r w:rsidRPr="00AA179B">
        <w:rPr>
          <w:rFonts w:asciiTheme="minorHAnsi" w:hAnsiTheme="minorHAnsi" w:cstheme="minorHAnsi"/>
        </w:rPr>
        <w:t>funkce cestovního ruchu (lázně, rekreační a volnočasové aktivity), která dominuje hospodářskému a sociálnímu charakteru obce, jež nesplňuje základní kritéria pro centrum osídlení, ale jejíž územně strukturální účinek zřetelně přesahuje vlastní obec nebo představuje funkci zřetelně prominentní ve srovnání s ostatními úkoly centra,</w:t>
      </w:r>
    </w:p>
    <w:p w14:paraId="7E940794" w14:textId="77777777" w:rsidR="00404D5B" w:rsidRDefault="00AA179B" w:rsidP="00404D5B">
      <w:pPr>
        <w:spacing w:after="120"/>
        <w:jc w:val="both"/>
        <w:rPr>
          <w:rFonts w:asciiTheme="minorHAnsi" w:hAnsiTheme="minorHAnsi" w:cs="Cambria Math"/>
        </w:rPr>
      </w:pPr>
      <w:r>
        <w:rPr>
          <w:rFonts w:ascii="Cambria Math" w:hAnsi="Cambria Math" w:cs="Cambria Math"/>
        </w:rPr>
        <w:t>⇒</w:t>
      </w:r>
      <w:r w:rsidR="00404D5B">
        <w:rPr>
          <w:rFonts w:ascii="Cambria Math" w:hAnsi="Cambria Math" w:cs="Cambria Math"/>
        </w:rPr>
        <w:t xml:space="preserve"> </w:t>
      </w:r>
      <w:r w:rsidR="00404D5B" w:rsidRPr="00404D5B">
        <w:rPr>
          <w:rFonts w:asciiTheme="minorHAnsi" w:hAnsiTheme="minorHAnsi" w:cstheme="minorHAnsi"/>
        </w:rPr>
        <w:t>Dostupnost a intenzita</w:t>
      </w:r>
      <w:r w:rsidR="00404D5B" w:rsidRPr="00404D5B">
        <w:rPr>
          <w:rFonts w:asciiTheme="minorHAnsi" w:hAnsiTheme="minorHAnsi" w:cs="Cambria Math"/>
        </w:rPr>
        <w:t xml:space="preserve"> </w:t>
      </w:r>
      <w:r w:rsidR="00404D5B">
        <w:rPr>
          <w:rFonts w:asciiTheme="minorHAnsi" w:hAnsiTheme="minorHAnsi" w:cs="Cambria Math"/>
        </w:rPr>
        <w:t>d</w:t>
      </w:r>
      <w:r w:rsidR="00404D5B" w:rsidRPr="00404D5B">
        <w:rPr>
          <w:rFonts w:asciiTheme="minorHAnsi" w:hAnsiTheme="minorHAnsi" w:cs="Cambria Math"/>
        </w:rPr>
        <w:t>oporučen</w:t>
      </w:r>
      <w:r w:rsidR="00404D5B">
        <w:rPr>
          <w:rFonts w:asciiTheme="minorHAnsi" w:hAnsiTheme="minorHAnsi" w:cs="Cambria Math"/>
        </w:rPr>
        <w:t>é úrovně</w:t>
      </w:r>
      <w:r w:rsidR="00404D5B" w:rsidRPr="00404D5B">
        <w:rPr>
          <w:rFonts w:asciiTheme="minorHAnsi" w:hAnsiTheme="minorHAnsi" w:cs="Cambria Math"/>
        </w:rPr>
        <w:t xml:space="preserve"> občanského vybavení</w:t>
      </w:r>
    </w:p>
    <w:p w14:paraId="0FF3B0BB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mateřská škola</w:t>
      </w:r>
    </w:p>
    <w:p w14:paraId="12CFA212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 xml:space="preserve">základní škola </w:t>
      </w:r>
    </w:p>
    <w:p w14:paraId="42893F7E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lékař</w:t>
      </w:r>
    </w:p>
    <w:p w14:paraId="26558C08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pošta</w:t>
      </w:r>
    </w:p>
    <w:p w14:paraId="3AE9DEC8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zařízení veřejného stravování</w:t>
      </w:r>
    </w:p>
    <w:p w14:paraId="39146A42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sportoviště</w:t>
      </w:r>
    </w:p>
    <w:p w14:paraId="5F3D4A61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veřejná knihovna</w:t>
      </w:r>
    </w:p>
    <w:p w14:paraId="4D5B545D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maloobchodní zařízení základní potřeby</w:t>
      </w:r>
    </w:p>
    <w:p w14:paraId="43C0478E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střední škola</w:t>
      </w:r>
    </w:p>
    <w:p w14:paraId="4285EF46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zařízení pro seniory</w:t>
      </w:r>
    </w:p>
    <w:p w14:paraId="27391E5B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 xml:space="preserve">zařízení pro společenské a kulturní akce, klubovny </w:t>
      </w:r>
    </w:p>
    <w:p w14:paraId="554E5F4D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sportovní hala a hřiště</w:t>
      </w:r>
    </w:p>
    <w:p w14:paraId="3AAAE96F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pobočky bank, pojišťoven</w:t>
      </w:r>
    </w:p>
    <w:p w14:paraId="49CA26B5" w14:textId="77777777" w:rsidR="005F5910" w:rsidRPr="005F5910" w:rsidRDefault="005F5910" w:rsidP="0096464F">
      <w:pPr>
        <w:pStyle w:val="Odstavecseseznamem"/>
        <w:numPr>
          <w:ilvl w:val="0"/>
          <w:numId w:val="1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5F5910">
        <w:rPr>
          <w:rFonts w:asciiTheme="minorHAnsi" w:hAnsiTheme="minorHAnsi" w:cstheme="minorHAnsi"/>
        </w:rPr>
        <w:t>městská policie</w:t>
      </w:r>
    </w:p>
    <w:p w14:paraId="6B3BD05B" w14:textId="77777777" w:rsidR="005F5910" w:rsidRPr="005F5910" w:rsidRDefault="008A7D0B" w:rsidP="005F5910">
      <w:pPr>
        <w:spacing w:after="120"/>
        <w:ind w:left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základě výše uvedeného byla jako centra osídlení v kategorii E – F vymezena tato centra:</w:t>
      </w:r>
    </w:p>
    <w:p w14:paraId="70B534C2" w14:textId="77777777" w:rsidR="005263B8" w:rsidRDefault="005263B8" w:rsidP="005263B8">
      <w:pPr>
        <w:pStyle w:val="Titulek"/>
        <w:keepNext/>
      </w:pPr>
      <w:r>
        <w:t>Tabulka 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63"/>
        <w:gridCol w:w="2884"/>
        <w:gridCol w:w="2835"/>
        <w:gridCol w:w="2654"/>
      </w:tblGrid>
      <w:tr w:rsidR="00375440" w:rsidRPr="00FF7DA1" w14:paraId="2E3C21CD" w14:textId="77777777" w:rsidTr="00BB40BF">
        <w:trPr>
          <w:trHeight w:val="300"/>
        </w:trPr>
        <w:tc>
          <w:tcPr>
            <w:tcW w:w="700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2B5E07F" w14:textId="77777777" w:rsidR="00375440" w:rsidRPr="005263B8" w:rsidRDefault="00375440" w:rsidP="00BB40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Kategorie</w:t>
            </w:r>
          </w:p>
        </w:tc>
        <w:tc>
          <w:tcPr>
            <w:tcW w:w="4300" w:type="pct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672693D" w14:textId="77777777" w:rsidR="00375440" w:rsidRPr="005263B8" w:rsidRDefault="00375440" w:rsidP="00BB40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území</w:t>
            </w:r>
          </w:p>
        </w:tc>
      </w:tr>
      <w:tr w:rsidR="00375440" w:rsidRPr="00FF7DA1" w14:paraId="18582D81" w14:textId="77777777" w:rsidTr="00BB40BF">
        <w:trPr>
          <w:trHeight w:val="300"/>
        </w:trPr>
        <w:tc>
          <w:tcPr>
            <w:tcW w:w="700" w:type="pct"/>
            <w:vMerge/>
            <w:shd w:val="clear" w:color="auto" w:fill="D9D9D9" w:themeFill="background1" w:themeFillShade="D9"/>
            <w:vAlign w:val="center"/>
            <w:hideMark/>
          </w:tcPr>
          <w:p w14:paraId="53E98ABD" w14:textId="77777777" w:rsidR="00375440" w:rsidRPr="005263B8" w:rsidRDefault="00375440" w:rsidP="00BB40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81" w:type="pct"/>
            <w:shd w:val="clear" w:color="auto" w:fill="D9D9D9" w:themeFill="background1" w:themeFillShade="D9"/>
            <w:noWrap/>
            <w:vAlign w:val="center"/>
            <w:hideMark/>
          </w:tcPr>
          <w:p w14:paraId="417C69A0" w14:textId="77777777" w:rsidR="00375440" w:rsidRPr="005263B8" w:rsidRDefault="00375440" w:rsidP="00BB40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Metropolitní oblast</w:t>
            </w:r>
          </w:p>
        </w:tc>
        <w:tc>
          <w:tcPr>
            <w:tcW w:w="1456" w:type="pct"/>
            <w:shd w:val="clear" w:color="auto" w:fill="D9D9D9" w:themeFill="background1" w:themeFillShade="D9"/>
            <w:noWrap/>
            <w:vAlign w:val="center"/>
            <w:hideMark/>
          </w:tcPr>
          <w:p w14:paraId="5CECE75B" w14:textId="77777777" w:rsidR="00375440" w:rsidRPr="005263B8" w:rsidRDefault="00375440" w:rsidP="00BB40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Ostatní území</w:t>
            </w:r>
          </w:p>
        </w:tc>
        <w:tc>
          <w:tcPr>
            <w:tcW w:w="1363" w:type="pct"/>
            <w:shd w:val="clear" w:color="auto" w:fill="D9D9D9" w:themeFill="background1" w:themeFillShade="D9"/>
            <w:noWrap/>
            <w:vAlign w:val="center"/>
            <w:hideMark/>
          </w:tcPr>
          <w:p w14:paraId="07746BCC" w14:textId="77777777" w:rsidR="00375440" w:rsidRPr="005263B8" w:rsidRDefault="00375440" w:rsidP="00BB40B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Řídce osídlená území</w:t>
            </w:r>
          </w:p>
        </w:tc>
      </w:tr>
      <w:tr w:rsidR="00375440" w:rsidRPr="00FF7DA1" w14:paraId="3D512CBE" w14:textId="77777777" w:rsidTr="00BB40BF">
        <w:trPr>
          <w:trHeight w:val="537"/>
        </w:trPr>
        <w:tc>
          <w:tcPr>
            <w:tcW w:w="700" w:type="pct"/>
            <w:vAlign w:val="center"/>
            <w:hideMark/>
          </w:tcPr>
          <w:p w14:paraId="09D670C7" w14:textId="77777777" w:rsidR="00375440" w:rsidRPr="005263B8" w:rsidRDefault="00375440" w:rsidP="00BB40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 – nižší centra významná</w:t>
            </w:r>
          </w:p>
        </w:tc>
        <w:tc>
          <w:tcPr>
            <w:tcW w:w="1481" w:type="pct"/>
            <w:vAlign w:val="center"/>
            <w:hideMark/>
          </w:tcPr>
          <w:p w14:paraId="02B13DA4" w14:textId="77777777" w:rsidR="00375440" w:rsidRPr="005263B8" w:rsidRDefault="00F42D25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Krupka, </w:t>
            </w:r>
            <w:r w:rsidRPr="007C3353">
              <w:rPr>
                <w:rFonts w:asciiTheme="minorHAnsi" w:hAnsiTheme="minorHAnsi" w:cstheme="minorHAnsi"/>
                <w:sz w:val="18"/>
                <w:szCs w:val="18"/>
              </w:rPr>
              <w:t>Dubí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, Jirkov, Bílina</w:t>
            </w:r>
          </w:p>
        </w:tc>
        <w:tc>
          <w:tcPr>
            <w:tcW w:w="1456" w:type="pct"/>
            <w:vAlign w:val="center"/>
            <w:hideMark/>
          </w:tcPr>
          <w:p w14:paraId="64966AA8" w14:textId="77777777" w:rsidR="00375440" w:rsidRPr="005263B8" w:rsidRDefault="00F658BA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Roudnice nad Labem,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Lovosice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Štětí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Podbořany</w:t>
            </w:r>
          </w:p>
        </w:tc>
        <w:tc>
          <w:tcPr>
            <w:tcW w:w="1363" w:type="pct"/>
            <w:noWrap/>
            <w:vAlign w:val="center"/>
            <w:hideMark/>
          </w:tcPr>
          <w:p w14:paraId="7986A412" w14:textId="77777777" w:rsidR="00375440" w:rsidRPr="005263B8" w:rsidRDefault="0081025B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Česká Kamenice</w:t>
            </w:r>
          </w:p>
        </w:tc>
      </w:tr>
      <w:tr w:rsidR="00375440" w:rsidRPr="00FF7DA1" w14:paraId="5EA22C89" w14:textId="77777777" w:rsidTr="00BB40BF">
        <w:trPr>
          <w:trHeight w:val="990"/>
        </w:trPr>
        <w:tc>
          <w:tcPr>
            <w:tcW w:w="700" w:type="pct"/>
            <w:vAlign w:val="center"/>
            <w:hideMark/>
          </w:tcPr>
          <w:p w14:paraId="6E2E4592" w14:textId="77777777" w:rsidR="00375440" w:rsidRPr="005263B8" w:rsidRDefault="00375440" w:rsidP="00BB40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 – nižší centra ostatní</w:t>
            </w:r>
          </w:p>
        </w:tc>
        <w:tc>
          <w:tcPr>
            <w:tcW w:w="1481" w:type="pct"/>
            <w:vAlign w:val="center"/>
            <w:hideMark/>
          </w:tcPr>
          <w:p w14:paraId="002FD5FF" w14:textId="77777777" w:rsidR="00375440" w:rsidRPr="005263B8" w:rsidRDefault="00F42D25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Jílové, Duchcov</w:t>
            </w:r>
          </w:p>
        </w:tc>
        <w:tc>
          <w:tcPr>
            <w:tcW w:w="1456" w:type="pct"/>
            <w:vAlign w:val="center"/>
            <w:hideMark/>
          </w:tcPr>
          <w:p w14:paraId="4631571A" w14:textId="77777777" w:rsidR="00375440" w:rsidRPr="005263B8" w:rsidRDefault="00B44D0F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Šluknov, Krásná Lípa</w:t>
            </w:r>
          </w:p>
        </w:tc>
        <w:tc>
          <w:tcPr>
            <w:tcW w:w="1363" w:type="pct"/>
            <w:vAlign w:val="center"/>
            <w:hideMark/>
          </w:tcPr>
          <w:p w14:paraId="6DE75484" w14:textId="77777777" w:rsidR="00375440" w:rsidRPr="005263B8" w:rsidRDefault="0081025B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Vejprty, Úštěk, Postoloprty</w:t>
            </w:r>
          </w:p>
        </w:tc>
      </w:tr>
      <w:tr w:rsidR="00375440" w:rsidRPr="00FF7DA1" w14:paraId="42C862E3" w14:textId="77777777" w:rsidTr="00BB40BF">
        <w:trPr>
          <w:trHeight w:val="869"/>
        </w:trPr>
        <w:tc>
          <w:tcPr>
            <w:tcW w:w="700" w:type="pct"/>
            <w:vAlign w:val="center"/>
            <w:hideMark/>
          </w:tcPr>
          <w:p w14:paraId="0E9362DB" w14:textId="77777777" w:rsidR="00375440" w:rsidRPr="005263B8" w:rsidRDefault="00375440" w:rsidP="00BB40B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 – malá centra</w:t>
            </w:r>
          </w:p>
        </w:tc>
        <w:tc>
          <w:tcPr>
            <w:tcW w:w="1481" w:type="pct"/>
            <w:vAlign w:val="center"/>
            <w:hideMark/>
          </w:tcPr>
          <w:p w14:paraId="4744324A" w14:textId="77777777" w:rsidR="00375440" w:rsidRPr="005263B8" w:rsidRDefault="00F42D25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Hřensko</w:t>
            </w:r>
            <w:r w:rsidRPr="007C335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Telnice</w:t>
            </w:r>
            <w:r w:rsidRPr="007C335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Řehlovice</w:t>
            </w:r>
            <w:r w:rsidR="00BC11D5" w:rsidRPr="007C335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BC11D5" w:rsidRPr="005263B8">
              <w:rPr>
                <w:rFonts w:asciiTheme="minorHAnsi" w:hAnsiTheme="minorHAnsi" w:cstheme="minorHAnsi"/>
                <w:sz w:val="18"/>
                <w:szCs w:val="18"/>
              </w:rPr>
              <w:t>Obrnice, Povrly, Chabařovice, Proboštov, Košťany, Trmice, Lom, Chlumec, Osek, Meziboří</w:t>
            </w:r>
          </w:p>
        </w:tc>
        <w:tc>
          <w:tcPr>
            <w:tcW w:w="1456" w:type="pct"/>
            <w:vAlign w:val="center"/>
            <w:hideMark/>
          </w:tcPr>
          <w:p w14:paraId="1E4A2CB5" w14:textId="77777777" w:rsidR="00375440" w:rsidRPr="005263B8" w:rsidRDefault="009971A2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Moldava, Chbany, Jiřetín pod Jedlovou, Vědomice, Perštejn, Chřibská, Dolní Poustevna, Mšené-lázně, Třebenice, Mikulášovice, Budyně nad Ohří, Peruc, Kryry, Bohušovice nad Ohří, Terezín, Jiříkov</w:t>
            </w:r>
          </w:p>
        </w:tc>
        <w:tc>
          <w:tcPr>
            <w:tcW w:w="1363" w:type="pct"/>
            <w:vAlign w:val="center"/>
            <w:hideMark/>
          </w:tcPr>
          <w:p w14:paraId="1EA1DDD8" w14:textId="77777777" w:rsidR="00375440" w:rsidRPr="005263B8" w:rsidRDefault="0081025B" w:rsidP="00BB40B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Loučná pod Klínovcem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Srbská Kamenice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Jetřichovice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Kytlice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Tisá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7C335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Kovářská</w:t>
            </w:r>
            <w:r w:rsidRPr="005263B8">
              <w:rPr>
                <w:rFonts w:asciiTheme="minorHAnsi" w:hAnsiTheme="minorHAnsi" w:cstheme="minorHAnsi"/>
                <w:sz w:val="18"/>
                <w:szCs w:val="18"/>
              </w:rPr>
              <w:t>, Libouchec, Velké Březno, Libochovice, Benešov nad Ploučnicí</w:t>
            </w:r>
          </w:p>
        </w:tc>
      </w:tr>
    </w:tbl>
    <w:p w14:paraId="1C8679E1" w14:textId="77777777" w:rsidR="00A05C12" w:rsidRDefault="00F3122D" w:rsidP="005263B8">
      <w:pPr>
        <w:spacing w:before="240" w:after="120"/>
        <w:jc w:val="both"/>
        <w:rPr>
          <w:rFonts w:asciiTheme="minorHAnsi" w:hAnsiTheme="minorHAnsi" w:cstheme="minorHAnsi"/>
        </w:rPr>
      </w:pPr>
      <w:r w:rsidRPr="00110515">
        <w:rPr>
          <w:rFonts w:asciiTheme="minorHAnsi" w:hAnsiTheme="minorHAnsi" w:cstheme="minorHAnsi"/>
          <w:color w:val="FF0000"/>
        </w:rPr>
        <w:t xml:space="preserve">Červeně zvýrazněná </w:t>
      </w:r>
      <w:r>
        <w:rPr>
          <w:rFonts w:asciiTheme="minorHAnsi" w:hAnsiTheme="minorHAnsi" w:cstheme="minorHAnsi"/>
        </w:rPr>
        <w:t xml:space="preserve">centra v tabulce č. 3 </w:t>
      </w:r>
      <w:r w:rsidRPr="00F3122D">
        <w:rPr>
          <w:rFonts w:asciiTheme="minorHAnsi" w:hAnsiTheme="minorHAnsi" w:cstheme="minorHAnsi"/>
        </w:rPr>
        <w:t>nesplňuj</w:t>
      </w:r>
      <w:r>
        <w:rPr>
          <w:rFonts w:asciiTheme="minorHAnsi" w:hAnsiTheme="minorHAnsi" w:cstheme="minorHAnsi"/>
        </w:rPr>
        <w:t>í</w:t>
      </w:r>
      <w:r w:rsidRPr="00F3122D">
        <w:rPr>
          <w:rFonts w:asciiTheme="minorHAnsi" w:hAnsiTheme="minorHAnsi" w:cstheme="minorHAnsi"/>
        </w:rPr>
        <w:t xml:space="preserve"> základní kritéria pro centrum osídlení</w:t>
      </w:r>
      <w:r>
        <w:rPr>
          <w:rFonts w:asciiTheme="minorHAnsi" w:hAnsiTheme="minorHAnsi" w:cstheme="minorHAnsi"/>
        </w:rPr>
        <w:t xml:space="preserve"> (počet obyvatel)</w:t>
      </w:r>
      <w:r w:rsidRPr="00F3122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nicméně jejich</w:t>
      </w:r>
      <w:r w:rsidRPr="00F3122D">
        <w:rPr>
          <w:rFonts w:asciiTheme="minorHAnsi" w:hAnsiTheme="minorHAnsi" w:cstheme="minorHAnsi"/>
        </w:rPr>
        <w:t xml:space="preserve"> územně strukturální účinek zřetelně přesahuje vlastní obec</w:t>
      </w:r>
      <w:r>
        <w:rPr>
          <w:rFonts w:asciiTheme="minorHAnsi" w:hAnsiTheme="minorHAnsi" w:cstheme="minorHAnsi"/>
        </w:rPr>
        <w:t>,</w:t>
      </w:r>
      <w:r w:rsidRPr="00F312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resp.</w:t>
      </w:r>
      <w:r w:rsidRPr="00F3122D">
        <w:rPr>
          <w:rFonts w:asciiTheme="minorHAnsi" w:hAnsiTheme="minorHAnsi" w:cstheme="minorHAnsi"/>
        </w:rPr>
        <w:t xml:space="preserve"> představuje funkci zřetelně prominentní ve srovnání s ostatními úkoly cent</w:t>
      </w:r>
      <w:r>
        <w:rPr>
          <w:rFonts w:asciiTheme="minorHAnsi" w:hAnsiTheme="minorHAnsi" w:cstheme="minorHAnsi"/>
        </w:rPr>
        <w:t xml:space="preserve">er. Touto funkcí je zejména funkce rekreačních a </w:t>
      </w:r>
      <w:proofErr w:type="spellStart"/>
      <w:r>
        <w:rPr>
          <w:rFonts w:asciiTheme="minorHAnsi" w:hAnsiTheme="minorHAnsi" w:cstheme="minorHAnsi"/>
        </w:rPr>
        <w:t>pracovištních</w:t>
      </w:r>
      <w:proofErr w:type="spellEnd"/>
      <w:r>
        <w:rPr>
          <w:rFonts w:asciiTheme="minorHAnsi" w:hAnsiTheme="minorHAnsi" w:cstheme="minorHAnsi"/>
        </w:rPr>
        <w:t xml:space="preserve"> center. Zároveň obecně možné nebylo splnit kritérium růstu počtu obyvatel. V Ústeckém kraji dlouhodobě probíhá vysidlování center všech kategorií ve prospěch venkova</w:t>
      </w:r>
      <w:r w:rsidR="00450B07">
        <w:rPr>
          <w:rFonts w:asciiTheme="minorHAnsi" w:hAnsiTheme="minorHAnsi" w:cstheme="minorHAnsi"/>
        </w:rPr>
        <w:t>.</w:t>
      </w:r>
    </w:p>
    <w:p w14:paraId="6DFE774A" w14:textId="77777777" w:rsidR="00A05C12" w:rsidRDefault="00A05C12" w:rsidP="005263B8">
      <w:pPr>
        <w:spacing w:before="240" w:after="120"/>
        <w:jc w:val="both"/>
        <w:rPr>
          <w:rFonts w:asciiTheme="minorHAnsi" w:hAnsiTheme="minorHAnsi" w:cstheme="minorHAnsi"/>
        </w:rPr>
      </w:pPr>
    </w:p>
    <w:p w14:paraId="563347D2" w14:textId="77777777" w:rsidR="00D61B5B" w:rsidRDefault="005263B8" w:rsidP="005263B8">
      <w:pPr>
        <w:spacing w:before="24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Závěrem je třeba uvést, že </w:t>
      </w:r>
      <w:r w:rsidR="00801F9A">
        <w:rPr>
          <w:rFonts w:asciiTheme="minorHAnsi" w:hAnsiTheme="minorHAnsi" w:cstheme="minorHAnsi"/>
        </w:rPr>
        <w:t>v</w:t>
      </w:r>
      <w:r w:rsidR="00801F9A" w:rsidRPr="00801F9A">
        <w:rPr>
          <w:rFonts w:asciiTheme="minorHAnsi" w:hAnsiTheme="minorHAnsi" w:cstheme="minorHAnsi"/>
        </w:rPr>
        <w:t>ytvoření seznamu center osídlení</w:t>
      </w:r>
      <w:r w:rsidR="00801F9A">
        <w:rPr>
          <w:rFonts w:asciiTheme="minorHAnsi" w:hAnsiTheme="minorHAnsi" w:cstheme="minorHAnsi"/>
        </w:rPr>
        <w:t xml:space="preserve"> na podkladu předloženého metodického návodu nenahrazuje hierarchii sídelní struktury Ústeckého kraje vymezenou závazně v ZÚR ÚK, která je do doby její aktualizace a zohlednění metodického pokynu</w:t>
      </w:r>
      <w:r w:rsidR="00934C1E">
        <w:rPr>
          <w:rFonts w:asciiTheme="minorHAnsi" w:hAnsiTheme="minorHAnsi" w:cstheme="minorHAnsi"/>
        </w:rPr>
        <w:t>,</w:t>
      </w:r>
      <w:r w:rsidR="00801F9A">
        <w:rPr>
          <w:rFonts w:asciiTheme="minorHAnsi" w:hAnsiTheme="minorHAnsi" w:cstheme="minorHAnsi"/>
        </w:rPr>
        <w:t xml:space="preserve"> závazná. Vytvořený seznam bude zapracován do příští úplné aktualizace ÚAP ÚK a bude sloužit jako podklad pro aktualizaci ZÚR ÚK.</w:t>
      </w:r>
    </w:p>
    <w:p w14:paraId="08571989" w14:textId="77777777" w:rsidR="00D61B5B" w:rsidRDefault="00D61B5B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07B52DF" w14:textId="77777777" w:rsidR="00D61B5B" w:rsidRDefault="00D61B5B" w:rsidP="005263B8">
      <w:pPr>
        <w:spacing w:before="240" w:after="120"/>
        <w:jc w:val="both"/>
        <w:rPr>
          <w:rFonts w:asciiTheme="minorHAnsi" w:hAnsiTheme="minorHAnsi" w:cstheme="minorHAnsi"/>
        </w:rPr>
        <w:sectPr w:rsidR="00D61B5B" w:rsidSect="005841AF">
          <w:headerReference w:type="default" r:id="rId11"/>
          <w:footerReference w:type="default" r:id="rId12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6626EE08" w14:textId="77777777" w:rsidR="00D61B5B" w:rsidRDefault="00D61B5B" w:rsidP="00D61B5B">
      <w:pPr>
        <w:keepNext/>
        <w:spacing w:before="240" w:after="120"/>
        <w:jc w:val="both"/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AA2FBEE" wp14:editId="29A79D1F">
            <wp:extent cx="8438322" cy="5973904"/>
            <wp:effectExtent l="0" t="0" r="127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Osidleni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8548" cy="599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68B82" w14:textId="77777777" w:rsidR="00B17142" w:rsidRPr="00404D5B" w:rsidRDefault="00D61B5B" w:rsidP="00D61B5B">
      <w:pPr>
        <w:pStyle w:val="Titulek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Obrázek 1: Celkový přehled center osídlení Ústeckého kraje v kategorii A - G</w:t>
      </w:r>
    </w:p>
    <w:sectPr w:rsidR="00B17142" w:rsidRPr="00404D5B" w:rsidSect="00D61B5B">
      <w:pgSz w:w="16838" w:h="11906" w:orient="landscape"/>
      <w:pgMar w:top="770" w:right="1440" w:bottom="1077" w:left="1440" w:header="426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22FC" w14:textId="77777777" w:rsidR="008F49D8" w:rsidRDefault="008F49D8" w:rsidP="00B44007">
      <w:r>
        <w:separator/>
      </w:r>
    </w:p>
  </w:endnote>
  <w:endnote w:type="continuationSeparator" w:id="0">
    <w:p w14:paraId="3666B47C" w14:textId="77777777" w:rsidR="008F49D8" w:rsidRDefault="008F49D8" w:rsidP="00B4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EB79" w14:textId="77777777" w:rsidR="00C47F57" w:rsidRDefault="00C47F57" w:rsidP="00C47F57">
    <w:pPr>
      <w:pStyle w:val="Zpat"/>
      <w:jc w:val="right"/>
    </w:pPr>
    <w:r>
      <w:t xml:space="preserve">Krajský úřad </w:t>
    </w:r>
    <w:r w:rsidR="00F2663B">
      <w:t>Ú</w:t>
    </w:r>
    <w:r>
      <w:t>steckého kraje, 23. 9.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88ED" w14:textId="77777777" w:rsidR="008F49D8" w:rsidRDefault="008F49D8" w:rsidP="00B44007">
      <w:r>
        <w:separator/>
      </w:r>
    </w:p>
  </w:footnote>
  <w:footnote w:type="continuationSeparator" w:id="0">
    <w:p w14:paraId="3EC22816" w14:textId="77777777" w:rsidR="008F49D8" w:rsidRDefault="008F49D8" w:rsidP="00B44007">
      <w:r>
        <w:continuationSeparator/>
      </w:r>
    </w:p>
  </w:footnote>
  <w:footnote w:id="1">
    <w:p w14:paraId="667385C7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B774F2">
          <w:rPr>
            <w:rStyle w:val="Hypertextovodkaz"/>
          </w:rPr>
          <w:t>https://geoportal.kr-ustecky.cz/gs/zasady-uzemniho-rozvoje/</w:t>
        </w:r>
      </w:hyperlink>
      <w:r>
        <w:t xml:space="preserve"> </w:t>
      </w:r>
    </w:p>
  </w:footnote>
  <w:footnote w:id="2">
    <w:p w14:paraId="78E0037F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C6DAB">
        <w:t>Zákon č. 360/1992 Sb., o výkonu povolání autorizovaných architektů a o výkonu povolání autorizovaných inženýrů a techniků činných ve výstavbě, ve znění pozdějších předpisů.</w:t>
      </w:r>
    </w:p>
  </w:footnote>
  <w:footnote w:id="3">
    <w:p w14:paraId="44F32808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7 </w:t>
      </w:r>
      <w:proofErr w:type="spellStart"/>
      <w:r>
        <w:t>odst</w:t>
      </w:r>
      <w:proofErr w:type="spellEnd"/>
      <w:r>
        <w:t xml:space="preserve"> 2 písm. a) zákona č. 186/2006 Sb., o územním plánování a stavebním řádu</w:t>
      </w:r>
    </w:p>
  </w:footnote>
  <w:footnote w:id="4">
    <w:p w14:paraId="3F538F5A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36 </w:t>
      </w:r>
      <w:proofErr w:type="spellStart"/>
      <w:r>
        <w:t>odst</w:t>
      </w:r>
      <w:proofErr w:type="spellEnd"/>
      <w:r>
        <w:t xml:space="preserve"> 4 zákona č. 186/2006 Sb., o územním plánování a stavebním řádu</w:t>
      </w:r>
    </w:p>
  </w:footnote>
  <w:footnote w:id="5">
    <w:p w14:paraId="03AF3E60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36 odst. 5 zákona č. 186/2006 Sb., o územním plánování a stavebním řádu</w:t>
      </w:r>
    </w:p>
  </w:footnote>
  <w:footnote w:id="6">
    <w:p w14:paraId="74F891B5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25 zákona č. 186/2006 Sb., o územním plánování a stavebním řádu</w:t>
      </w:r>
    </w:p>
  </w:footnote>
  <w:footnote w:id="7">
    <w:p w14:paraId="7EFACCBA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24 zákona č. 186/2006 Sb., o územním plánování a stavebním řádu</w:t>
      </w:r>
    </w:p>
  </w:footnote>
  <w:footnote w:id="8">
    <w:p w14:paraId="768D0510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B774F2">
          <w:rPr>
            <w:rStyle w:val="Hypertextovodkaz"/>
          </w:rPr>
          <w:t>https://geoportal.kr-ustecky.cz/gs/uzemne-analyticke-podklady/</w:t>
        </w:r>
      </w:hyperlink>
      <w:r>
        <w:t xml:space="preserve"> </w:t>
      </w:r>
    </w:p>
  </w:footnote>
  <w:footnote w:id="9">
    <w:p w14:paraId="1B081CA5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Zaevidován ve spisové službě pod číslem jednacím </w:t>
      </w:r>
      <w:r w:rsidRPr="0009735B">
        <w:t>KUUK/141943/2022</w:t>
      </w:r>
      <w:r>
        <w:t xml:space="preserve">, spisová zn.: </w:t>
      </w:r>
      <w:r w:rsidRPr="0009735B">
        <w:t>KUUK/141943/2022/1</w:t>
      </w:r>
    </w:p>
  </w:footnote>
  <w:footnote w:id="10">
    <w:p w14:paraId="213F93BA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11 odst. 1 zákona č. 186/2006 Sb., o územním plánování a stavebním řádu</w:t>
      </w:r>
    </w:p>
  </w:footnote>
  <w:footnote w:id="11">
    <w:p w14:paraId="1F12F960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22 zákona č. </w:t>
      </w:r>
      <w:r w:rsidRPr="00DA7FE2">
        <w:t>2/1969 Sb.</w:t>
      </w:r>
      <w:r>
        <w:t xml:space="preserve"> o </w:t>
      </w:r>
      <w:r w:rsidRPr="00DA7FE2">
        <w:t>zřízení ministerstev a jiných ústředních orgánů státní správy České republiky</w:t>
      </w:r>
    </w:p>
  </w:footnote>
  <w:footnote w:id="12">
    <w:p w14:paraId="35F59132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§ 5 odst. 2 zákona č. 186/2006 Sb., o územním plánování a stavebním řádu</w:t>
      </w:r>
    </w:p>
  </w:footnote>
  <w:footnote w:id="13">
    <w:p w14:paraId="28D00348" w14:textId="77777777" w:rsidR="00AA179B" w:rsidRDefault="00AA17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774A">
        <w:t>https://vdb.czso.cz/vdbvo2/faces/cs/index.jsf?page=profil-uzemi&amp;uzemiprofil=31548&amp;u=__VUZEMI__43__567451#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12C8D" w14:textId="77777777" w:rsidR="00C47F57" w:rsidRDefault="00C47F57">
    <w:pPr>
      <w:pStyle w:val="Zhlav"/>
      <w:rPr>
        <w:rFonts w:ascii="Verdana" w:hAnsi="Verdana"/>
        <w:color w:val="000000"/>
        <w:sz w:val="18"/>
        <w:szCs w:val="18"/>
        <w:shd w:val="clear" w:color="auto" w:fill="FFFFFF"/>
      </w:rPr>
    </w:pPr>
    <w:r>
      <w:rPr>
        <w:rFonts w:ascii="Verdana" w:hAnsi="Verdana"/>
        <w:color w:val="000000"/>
        <w:sz w:val="18"/>
        <w:szCs w:val="18"/>
        <w:shd w:val="clear" w:color="auto" w:fill="FFFFFF"/>
      </w:rPr>
      <w:t>Číslo jednací:</w:t>
    </w:r>
    <w:r w:rsidRPr="00C47F57">
      <w:t xml:space="preserve"> </w:t>
    </w:r>
    <w:r w:rsidRPr="00C47F57">
      <w:rPr>
        <w:rFonts w:ascii="Verdana" w:hAnsi="Verdana"/>
        <w:color w:val="000000"/>
        <w:sz w:val="18"/>
        <w:szCs w:val="18"/>
        <w:shd w:val="clear" w:color="auto" w:fill="FFFFFF"/>
      </w:rPr>
      <w:t>KUUK/142371/2022</w:t>
    </w:r>
  </w:p>
  <w:p w14:paraId="4EF7029A" w14:textId="77777777" w:rsidR="00C47F57" w:rsidRDefault="00C47F57">
    <w:pPr>
      <w:pStyle w:val="Zhlav"/>
    </w:pPr>
    <w:r>
      <w:rPr>
        <w:rFonts w:ascii="Verdana" w:hAnsi="Verdana"/>
        <w:color w:val="000000"/>
        <w:sz w:val="18"/>
        <w:szCs w:val="18"/>
        <w:shd w:val="clear" w:color="auto" w:fill="FFFFFF"/>
      </w:rPr>
      <w:t xml:space="preserve">Spisová značka: </w:t>
    </w:r>
    <w:r w:rsidRPr="00C47F57">
      <w:rPr>
        <w:rFonts w:ascii="Verdana" w:hAnsi="Verdana"/>
        <w:color w:val="000000"/>
        <w:sz w:val="18"/>
        <w:szCs w:val="18"/>
        <w:shd w:val="clear" w:color="auto" w:fill="FFFFFF"/>
      </w:rPr>
      <w:t>KUUK/141943/2022/2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5561F"/>
    <w:multiLevelType w:val="hybridMultilevel"/>
    <w:tmpl w:val="0CD0ECFA"/>
    <w:lvl w:ilvl="0" w:tplc="936E8684">
      <w:start w:val="15"/>
      <w:numFmt w:val="bullet"/>
      <w:lvlText w:val="-"/>
      <w:lvlJc w:val="left"/>
      <w:pPr>
        <w:ind w:left="420" w:hanging="360"/>
      </w:pPr>
      <w:rPr>
        <w:rFonts w:ascii="Calibri" w:eastAsia="Times New Roman" w:hAnsi="Calibri" w:cs="Cambria Math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AF"/>
    <w:rsid w:val="00053474"/>
    <w:rsid w:val="000724C7"/>
    <w:rsid w:val="0009735B"/>
    <w:rsid w:val="000A110A"/>
    <w:rsid w:val="000C09B4"/>
    <w:rsid w:val="00110515"/>
    <w:rsid w:val="00140B47"/>
    <w:rsid w:val="00141623"/>
    <w:rsid w:val="001763D6"/>
    <w:rsid w:val="00181619"/>
    <w:rsid w:val="001A1FBB"/>
    <w:rsid w:val="001D04B7"/>
    <w:rsid w:val="001F5FAC"/>
    <w:rsid w:val="00247C7D"/>
    <w:rsid w:val="0029774A"/>
    <w:rsid w:val="002F25D0"/>
    <w:rsid w:val="00332D1B"/>
    <w:rsid w:val="00342E34"/>
    <w:rsid w:val="00375440"/>
    <w:rsid w:val="003A3384"/>
    <w:rsid w:val="003F192F"/>
    <w:rsid w:val="003F31F2"/>
    <w:rsid w:val="00404D5B"/>
    <w:rsid w:val="00406E6A"/>
    <w:rsid w:val="00450B07"/>
    <w:rsid w:val="0047170E"/>
    <w:rsid w:val="00475322"/>
    <w:rsid w:val="004767DC"/>
    <w:rsid w:val="004F28D8"/>
    <w:rsid w:val="005163AD"/>
    <w:rsid w:val="005263B8"/>
    <w:rsid w:val="00540D1C"/>
    <w:rsid w:val="005645EA"/>
    <w:rsid w:val="00564D8B"/>
    <w:rsid w:val="005841AF"/>
    <w:rsid w:val="005A3B45"/>
    <w:rsid w:val="005F5910"/>
    <w:rsid w:val="00645FE2"/>
    <w:rsid w:val="00655721"/>
    <w:rsid w:val="006A7C0F"/>
    <w:rsid w:val="00744E94"/>
    <w:rsid w:val="007474D7"/>
    <w:rsid w:val="00777AA8"/>
    <w:rsid w:val="0078131A"/>
    <w:rsid w:val="00782093"/>
    <w:rsid w:val="00783500"/>
    <w:rsid w:val="007A4CC9"/>
    <w:rsid w:val="007C3353"/>
    <w:rsid w:val="00801F9A"/>
    <w:rsid w:val="0081025B"/>
    <w:rsid w:val="00841EE1"/>
    <w:rsid w:val="00846BB8"/>
    <w:rsid w:val="0086438A"/>
    <w:rsid w:val="00874D25"/>
    <w:rsid w:val="00890FFB"/>
    <w:rsid w:val="008A7D0B"/>
    <w:rsid w:val="008C1342"/>
    <w:rsid w:val="008F49D8"/>
    <w:rsid w:val="00900133"/>
    <w:rsid w:val="00912087"/>
    <w:rsid w:val="009151A9"/>
    <w:rsid w:val="00931911"/>
    <w:rsid w:val="00934C1E"/>
    <w:rsid w:val="0096464F"/>
    <w:rsid w:val="009971A2"/>
    <w:rsid w:val="009C0419"/>
    <w:rsid w:val="009C6DAB"/>
    <w:rsid w:val="009F1E5F"/>
    <w:rsid w:val="00A05C12"/>
    <w:rsid w:val="00A07925"/>
    <w:rsid w:val="00A17C92"/>
    <w:rsid w:val="00A37FE8"/>
    <w:rsid w:val="00A47619"/>
    <w:rsid w:val="00A63857"/>
    <w:rsid w:val="00A70B6C"/>
    <w:rsid w:val="00AA179B"/>
    <w:rsid w:val="00AA41DE"/>
    <w:rsid w:val="00B17142"/>
    <w:rsid w:val="00B17360"/>
    <w:rsid w:val="00B44007"/>
    <w:rsid w:val="00B44D0F"/>
    <w:rsid w:val="00B4521F"/>
    <w:rsid w:val="00B67444"/>
    <w:rsid w:val="00B72BA0"/>
    <w:rsid w:val="00B85304"/>
    <w:rsid w:val="00B97C09"/>
    <w:rsid w:val="00BC11D5"/>
    <w:rsid w:val="00BD5766"/>
    <w:rsid w:val="00C05FD1"/>
    <w:rsid w:val="00C207DD"/>
    <w:rsid w:val="00C33436"/>
    <w:rsid w:val="00C365F3"/>
    <w:rsid w:val="00C47F57"/>
    <w:rsid w:val="00C55F47"/>
    <w:rsid w:val="00C83E1E"/>
    <w:rsid w:val="00C8619B"/>
    <w:rsid w:val="00CC66DC"/>
    <w:rsid w:val="00D27876"/>
    <w:rsid w:val="00D43EF9"/>
    <w:rsid w:val="00D61B5B"/>
    <w:rsid w:val="00D671BE"/>
    <w:rsid w:val="00D76037"/>
    <w:rsid w:val="00DA7FE2"/>
    <w:rsid w:val="00DD092B"/>
    <w:rsid w:val="00DF04A8"/>
    <w:rsid w:val="00DF6342"/>
    <w:rsid w:val="00E02689"/>
    <w:rsid w:val="00E65B6C"/>
    <w:rsid w:val="00E74931"/>
    <w:rsid w:val="00E83D3D"/>
    <w:rsid w:val="00EA1F8A"/>
    <w:rsid w:val="00EA4A89"/>
    <w:rsid w:val="00EA57B2"/>
    <w:rsid w:val="00EA78B6"/>
    <w:rsid w:val="00EB20A4"/>
    <w:rsid w:val="00ED447E"/>
    <w:rsid w:val="00EE247C"/>
    <w:rsid w:val="00F100F6"/>
    <w:rsid w:val="00F2663B"/>
    <w:rsid w:val="00F3122D"/>
    <w:rsid w:val="00F42D25"/>
    <w:rsid w:val="00F658BA"/>
    <w:rsid w:val="00F75D65"/>
    <w:rsid w:val="00FA08C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1DE7F6"/>
  <w15:chartTrackingRefBased/>
  <w15:docId w15:val="{7C92E998-0645-4B66-8B49-7B3432DE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0A4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41AF"/>
    <w:pPr>
      <w:spacing w:after="0" w:line="240" w:lineRule="auto"/>
    </w:pPr>
    <w:rPr>
      <w:rFonts w:asciiTheme="minorHAnsi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40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4007"/>
    <w:rPr>
      <w:rFonts w:ascii="Times New Roman" w:eastAsia="Times New Roman" w:hAnsi="Times New Roman" w:cs="Times New Roman"/>
      <w:color w:val="auto"/>
      <w:sz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44007"/>
    <w:rPr>
      <w:vertAlign w:val="superscript"/>
    </w:rPr>
  </w:style>
  <w:style w:type="paragraph" w:styleId="Revize">
    <w:name w:val="Revision"/>
    <w:hidden/>
    <w:uiPriority w:val="99"/>
    <w:semiHidden/>
    <w:rsid w:val="00EA78B6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D092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B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B45"/>
    <w:rPr>
      <w:rFonts w:ascii="Segoe UI" w:eastAsia="Times New Roman" w:hAnsi="Segoe UI" w:cs="Segoe UI"/>
      <w:color w:val="auto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DF6342"/>
    <w:pPr>
      <w:spacing w:after="0" w:line="240" w:lineRule="auto"/>
    </w:pPr>
    <w:rPr>
      <w:rFonts w:asciiTheme="minorHAnsi" w:hAnsiTheme="minorHAnsi" w:cstheme="minorBidi"/>
      <w:color w:val="auto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5910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4F28D8"/>
    <w:pPr>
      <w:spacing w:after="200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47F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F57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7F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F57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eoportal.kr-ustecky.cz/gs/uzemne-analyticke-podklady/" TargetMode="External"/><Relationship Id="rId1" Type="http://schemas.openxmlformats.org/officeDocument/2006/relationships/hyperlink" Target="https://geoportal.kr-ustecky.cz/gs/zasady-uzemniho-rozvoj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9" ma:contentTypeDescription="Vytvoří nový dokument" ma:contentTypeScope="" ma:versionID="ed381681f88c5a65880af36e43e52388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78a231ee8dacb1aca20c30cd34283bc4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370CBE4E-9CA8-4C31-B010-7EA46548B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B9BF1-A13D-4407-89F5-804DF1D9E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3C6F5-7B14-43FB-A66A-2034FC467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34AF3-EB28-4185-9BFA-000F94D7518F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ae529b29-b2bb-4f0f-bf76-47ede62a77b9"/>
    <ds:schemaRef ds:uri="a867a263-4c00-4944-a435-72febfd70997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2030</Words>
  <Characters>11979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Bravencová Lucie</dc:creator>
  <cp:keywords/>
  <dc:description/>
  <cp:lastModifiedBy>Barcalová Jitka</cp:lastModifiedBy>
  <cp:revision>2</cp:revision>
  <cp:lastPrinted>2022-09-20T11:46:00Z</cp:lastPrinted>
  <dcterms:created xsi:type="dcterms:W3CDTF">2022-09-26T08:30:00Z</dcterms:created>
  <dcterms:modified xsi:type="dcterms:W3CDTF">2022-09-26T08:30:00Z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bravencova.lucie@kr-jihomoravsky.cz</vt:lpwstr>
  </property>
  <property fmtid="{D5CDD505-2E9C-101B-9397-08002B2CF9AE}" pid="5" name="MSIP_Label_690ebb53-23a2-471a-9c6e-17bd0d11311e_SetDate">
    <vt:lpwstr>2022-09-16T11:38:40.4600381Z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0x010100FC60E23A6042254D9AC27A8652D978CA</vt:lpwstr>
  </property>
</Properties>
</file>