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A7" w:rsidRDefault="00C307A7" w:rsidP="00B464CE">
      <w:pPr>
        <w:pStyle w:val="Normlnweb"/>
        <w:jc w:val="both"/>
        <w:rPr>
          <w:rStyle w:val="Siln"/>
          <w:sz w:val="27"/>
          <w:szCs w:val="27"/>
        </w:rPr>
      </w:pPr>
      <w:r>
        <w:rPr>
          <w:rStyle w:val="Siln"/>
          <w:sz w:val="27"/>
          <w:szCs w:val="27"/>
        </w:rPr>
        <w:t>Mezinárodní příjezdy dosáhly v roce 2018 dle UNWTO 1,4 miliardy osob</w:t>
      </w:r>
    </w:p>
    <w:p w:rsidR="00B464CE" w:rsidRPr="00C307A7" w:rsidRDefault="00C307A7" w:rsidP="00B464CE">
      <w:pPr>
        <w:pStyle w:val="Normlnweb"/>
        <w:jc w:val="both"/>
        <w:rPr>
          <w:rStyle w:val="Zvraznn"/>
          <w:b/>
          <w:bCs/>
          <w:i w:val="0"/>
          <w:iCs w:val="0"/>
        </w:rPr>
      </w:pPr>
      <w:r w:rsidRPr="00C307A7">
        <w:rPr>
          <w:rStyle w:val="Siln"/>
        </w:rPr>
        <w:t>P</w:t>
      </w:r>
      <w:r w:rsidR="00B464CE" w:rsidRPr="00C307A7">
        <w:rPr>
          <w:rStyle w:val="Siln"/>
        </w:rPr>
        <w:t>odle tiskové zprávy UNWTO z 21. 1. 2019 dosáhly celkové mezinárodní příjezdy v roce 2018 hranice 1,4 miliardy osob – a to o 2 roky dříve, než predikovala dlouhodobá prognóza UNWTO z roku 2010</w:t>
      </w:r>
      <w:r w:rsidRPr="00C307A7">
        <w:rPr>
          <w:rStyle w:val="Siln"/>
        </w:rPr>
        <w:t xml:space="preserve">. </w:t>
      </w:r>
      <w:r w:rsidR="00B464CE" w:rsidRPr="00C307A7">
        <w:rPr>
          <w:rStyle w:val="Zvraznn"/>
          <w:b/>
          <w:i w:val="0"/>
        </w:rPr>
        <w:t>Byly tak výrazně překonány již tak velmi dobré výsledky roku 2017 a rok 2018 se tak stal druhým nejlepším obdobím od roku 2010. Pro rok 2019 prognózuje UNWTO v souladu s dlouhodobými trendy růst mezinárodních pří</w:t>
      </w:r>
      <w:r w:rsidR="00D34E29" w:rsidRPr="00C307A7">
        <w:rPr>
          <w:rStyle w:val="Zvraznn"/>
          <w:b/>
          <w:i w:val="0"/>
        </w:rPr>
        <w:t xml:space="preserve">jezdů </w:t>
      </w:r>
      <w:r w:rsidR="00B464CE" w:rsidRPr="00C307A7">
        <w:rPr>
          <w:rStyle w:val="Zvraznn"/>
          <w:b/>
          <w:i w:val="0"/>
        </w:rPr>
        <w:t>o 3-4%.</w:t>
      </w:r>
    </w:p>
    <w:p w:rsidR="00B464CE" w:rsidRDefault="00B464CE" w:rsidP="00B464CE">
      <w:pPr>
        <w:pStyle w:val="Normlnweb"/>
        <w:spacing w:after="120" w:afterAutospacing="0"/>
        <w:jc w:val="both"/>
        <w:rPr>
          <w:rStyle w:val="Siln"/>
        </w:rPr>
      </w:pPr>
      <w:r>
        <w:rPr>
          <w:rStyle w:val="Siln"/>
        </w:rPr>
        <w:t>Rozvoj celosvětového turismu probíhal rychleji, než se předpokládalo</w:t>
      </w:r>
    </w:p>
    <w:p w:rsidR="00B464CE" w:rsidRDefault="00B464CE" w:rsidP="00B464CE">
      <w:pPr>
        <w:pStyle w:val="Normlnweb"/>
        <w:spacing w:before="0" w:beforeAutospacing="0" w:after="0" w:afterAutospacing="0"/>
        <w:jc w:val="both"/>
      </w:pPr>
      <w:r>
        <w:t xml:space="preserve">UNWTO odhaduje, že celkové mezinárodní příjezdy turistů vzrostly v roce 2018 </w:t>
      </w:r>
      <w:r w:rsidRPr="00C24995">
        <w:rPr>
          <w:b/>
        </w:rPr>
        <w:t>o 6%  na 1.4 m</w:t>
      </w:r>
      <w:r>
        <w:rPr>
          <w:b/>
        </w:rPr>
        <w:t>i</w:t>
      </w:r>
      <w:r w:rsidRPr="00C24995">
        <w:rPr>
          <w:b/>
        </w:rPr>
        <w:t>l</w:t>
      </w:r>
      <w:r>
        <w:rPr>
          <w:b/>
        </w:rPr>
        <w:t>iardy</w:t>
      </w:r>
      <w:r>
        <w:t xml:space="preserve"> osob (návštěvníci s přenocováním, resp. turisté), což bylo 3,7% nad růstem celosvětové ekonomiky.</w:t>
      </w:r>
    </w:p>
    <w:p w:rsidR="00B464CE" w:rsidRDefault="00B464CE" w:rsidP="00B464CE">
      <w:pPr>
        <w:pStyle w:val="Normlnweb"/>
        <w:jc w:val="both"/>
      </w:pPr>
      <w:r>
        <w:t xml:space="preserve">V relativním </w:t>
      </w:r>
      <w:r w:rsidRPr="00295721">
        <w:t xml:space="preserve">vyjádření </w:t>
      </w:r>
      <w:r>
        <w:t xml:space="preserve">rostly příjezdy nejvíce na </w:t>
      </w:r>
      <w:r w:rsidRPr="00C24995">
        <w:rPr>
          <w:rStyle w:val="Zvraznn"/>
          <w:b/>
        </w:rPr>
        <w:t>Středním východě (+10%)</w:t>
      </w:r>
      <w:r w:rsidRPr="00295721">
        <w:rPr>
          <w:rStyle w:val="Zvraznn"/>
        </w:rPr>
        <w:t xml:space="preserve"> a </w:t>
      </w:r>
      <w:r>
        <w:rPr>
          <w:rStyle w:val="Zvraznn"/>
        </w:rPr>
        <w:t xml:space="preserve">v </w:t>
      </w:r>
      <w:r w:rsidRPr="00C24995">
        <w:rPr>
          <w:rStyle w:val="Zvraznn"/>
          <w:b/>
        </w:rPr>
        <w:t>Africe (+7%)</w:t>
      </w:r>
      <w:r>
        <w:rPr>
          <w:rStyle w:val="Zvraznn"/>
        </w:rPr>
        <w:t>,</w:t>
      </w:r>
      <w:r w:rsidRPr="00295721">
        <w:rPr>
          <w:rStyle w:val="Zvraznn"/>
        </w:rPr>
        <w:t xml:space="preserve"> </w:t>
      </w:r>
      <w:r>
        <w:rPr>
          <w:rStyle w:val="Zvraznn"/>
        </w:rPr>
        <w:t>a to r</w:t>
      </w:r>
      <w:r w:rsidRPr="00295721">
        <w:rPr>
          <w:rStyle w:val="Zvraznn"/>
        </w:rPr>
        <w:t xml:space="preserve">ychleji, než </w:t>
      </w:r>
      <w:r>
        <w:rPr>
          <w:rStyle w:val="Zvraznn"/>
        </w:rPr>
        <w:t xml:space="preserve">činil </w:t>
      </w:r>
      <w:r w:rsidRPr="00295721">
        <w:rPr>
          <w:rStyle w:val="Zvraznn"/>
        </w:rPr>
        <w:t>celosvětový průměr</w:t>
      </w:r>
      <w:r>
        <w:rPr>
          <w:rStyle w:val="Zvraznn"/>
        </w:rPr>
        <w:t>. V </w:t>
      </w:r>
      <w:r w:rsidRPr="00C24995">
        <w:rPr>
          <w:rStyle w:val="Zvraznn"/>
          <w:b/>
        </w:rPr>
        <w:t>Asii</w:t>
      </w:r>
      <w:r>
        <w:rPr>
          <w:rStyle w:val="Zvraznn"/>
        </w:rPr>
        <w:t xml:space="preserve"> </w:t>
      </w:r>
      <w:r w:rsidRPr="00C24995">
        <w:rPr>
          <w:rStyle w:val="Zvraznn"/>
          <w:b/>
        </w:rPr>
        <w:t>a Tichomoří</w:t>
      </w:r>
      <w:r w:rsidRPr="00295721">
        <w:rPr>
          <w:rStyle w:val="Zvraznn"/>
        </w:rPr>
        <w:t xml:space="preserve"> </w:t>
      </w:r>
      <w:r>
        <w:rPr>
          <w:rStyle w:val="Zvraznn"/>
        </w:rPr>
        <w:t>či</w:t>
      </w:r>
      <w:r w:rsidRPr="00295721">
        <w:rPr>
          <w:rStyle w:val="Zvraznn"/>
        </w:rPr>
        <w:t xml:space="preserve"> </w:t>
      </w:r>
      <w:r>
        <w:rPr>
          <w:rStyle w:val="Zvraznn"/>
        </w:rPr>
        <w:t xml:space="preserve">v </w:t>
      </w:r>
      <w:r w:rsidRPr="00C24995">
        <w:rPr>
          <w:rStyle w:val="Zvraznn"/>
          <w:b/>
        </w:rPr>
        <w:t>Evropě</w:t>
      </w:r>
      <w:r w:rsidRPr="00295721">
        <w:rPr>
          <w:rStyle w:val="Zvraznn"/>
        </w:rPr>
        <w:t xml:space="preserve"> </w:t>
      </w:r>
      <w:r>
        <w:rPr>
          <w:rStyle w:val="Zvraznn"/>
        </w:rPr>
        <w:t xml:space="preserve">dosáhl meziroční růst </w:t>
      </w:r>
      <w:r w:rsidRPr="00295721">
        <w:rPr>
          <w:rStyle w:val="Zvraznn"/>
        </w:rPr>
        <w:t>hranic</w:t>
      </w:r>
      <w:r>
        <w:rPr>
          <w:rStyle w:val="Zvraznn"/>
        </w:rPr>
        <w:t xml:space="preserve">e </w:t>
      </w:r>
      <w:r w:rsidRPr="00C24995">
        <w:rPr>
          <w:rStyle w:val="Zvraznn"/>
          <w:b/>
        </w:rPr>
        <w:t>6 %</w:t>
      </w:r>
      <w:r>
        <w:rPr>
          <w:rStyle w:val="Zvraznn"/>
        </w:rPr>
        <w:t>. Na druhou stranu pozitivní vývoj p</w:t>
      </w:r>
      <w:r>
        <w:t xml:space="preserve">říjezdů do </w:t>
      </w:r>
      <w:r w:rsidRPr="00C24995">
        <w:rPr>
          <w:b/>
        </w:rPr>
        <w:t>Ameriky (+ 3 %)</w:t>
      </w:r>
      <w:r>
        <w:t xml:space="preserve"> však skončil pod celosvětovým průměrem.</w:t>
      </w:r>
    </w:p>
    <w:p w:rsidR="00B464CE" w:rsidRDefault="00B464CE" w:rsidP="00B464CE">
      <w:pPr>
        <w:pStyle w:val="Normlnweb"/>
        <w:jc w:val="both"/>
      </w:pPr>
      <w:r>
        <w:t>“</w:t>
      </w:r>
      <w:r w:rsidRPr="001E1DB7">
        <w:rPr>
          <w:i/>
        </w:rPr>
        <w:t xml:space="preserve">Růst turismu v předchozích několika letech potvrzuje, že toto odvětví je nyní jedním z nejvýkonnějších hnacích mechanismů světového ekonomického růstu a rozvoje.  Naší zodpovědností je řídit tento růst v rámci udržitelnosti a </w:t>
      </w:r>
      <w:r>
        <w:rPr>
          <w:i/>
        </w:rPr>
        <w:t xml:space="preserve">snažit se </w:t>
      </w:r>
      <w:r w:rsidRPr="001E1DB7">
        <w:rPr>
          <w:i/>
        </w:rPr>
        <w:t>transf</w:t>
      </w:r>
      <w:r>
        <w:rPr>
          <w:i/>
        </w:rPr>
        <w:t>ormovat jeho benefity pro </w:t>
      </w:r>
      <w:r w:rsidRPr="001E1DB7">
        <w:rPr>
          <w:i/>
        </w:rPr>
        <w:t xml:space="preserve">všechny země, a především pro </w:t>
      </w:r>
      <w:r>
        <w:rPr>
          <w:i/>
        </w:rPr>
        <w:t>konkrétní</w:t>
      </w:r>
      <w:r w:rsidRPr="001E1DB7">
        <w:rPr>
          <w:i/>
        </w:rPr>
        <w:t xml:space="preserve"> regiony, v</w:t>
      </w:r>
      <w:r>
        <w:rPr>
          <w:i/>
        </w:rPr>
        <w:t>ytvářením pracovních možností a </w:t>
      </w:r>
      <w:r w:rsidRPr="001E1DB7">
        <w:rPr>
          <w:i/>
        </w:rPr>
        <w:t>podnikatelských příležitostí, a</w:t>
      </w:r>
      <w:r>
        <w:rPr>
          <w:i/>
        </w:rPr>
        <w:t>by</w:t>
      </w:r>
      <w:r w:rsidRPr="001E1DB7">
        <w:rPr>
          <w:i/>
        </w:rPr>
        <w:t xml:space="preserve"> žádn</w:t>
      </w:r>
      <w:r>
        <w:rPr>
          <w:i/>
        </w:rPr>
        <w:t xml:space="preserve">á oblast </w:t>
      </w:r>
      <w:r w:rsidRPr="001E1DB7">
        <w:rPr>
          <w:i/>
        </w:rPr>
        <w:t>ne</w:t>
      </w:r>
      <w:r>
        <w:rPr>
          <w:i/>
        </w:rPr>
        <w:t>zůstala</w:t>
      </w:r>
      <w:r w:rsidRPr="001E1DB7">
        <w:rPr>
          <w:i/>
        </w:rPr>
        <w:t xml:space="preserve"> stát opodál</w:t>
      </w:r>
      <w:r>
        <w:t>“ řekl generální tajemník UNWTO Zurab Pololikashvili. “</w:t>
      </w:r>
      <w:r w:rsidRPr="001E1DB7">
        <w:rPr>
          <w:i/>
        </w:rPr>
        <w:t xml:space="preserve">To je důvodem, proč </w:t>
      </w:r>
      <w:r>
        <w:rPr>
          <w:i/>
        </w:rPr>
        <w:t xml:space="preserve">se </w:t>
      </w:r>
      <w:r w:rsidRPr="001E1DB7">
        <w:rPr>
          <w:i/>
        </w:rPr>
        <w:t>UNWTO bude v roce 2019 zaměřovat především na vzdělání, dovednosti a tvorbu pracovních míst</w:t>
      </w:r>
      <w:r>
        <w:t>“ dodal.</w:t>
      </w:r>
    </w:p>
    <w:p w:rsidR="00B464CE" w:rsidRDefault="00B464CE" w:rsidP="00B464CE">
      <w:pPr>
        <w:pStyle w:val="Normlnweb"/>
        <w:jc w:val="both"/>
      </w:pPr>
      <w:r>
        <w:t xml:space="preserve">Dlouhodobá předpověď UNWTO publikovaná v roce 2010 odhadovala, že hranice 1,4 mld. mezinárodních příjezdů turistů bude dosaženo až v roce 2020. Jejich růst však probíhal rychleji - a to především díky celkovému ekonomickému růstu, cenově dostupnější letecké dopravě, technologickým změnám, novým </w:t>
      </w:r>
      <w:r w:rsidRPr="00D90AF9">
        <w:t>trendům v cestovním ruchu a usnadnění vízového styku v rámci celého světa.</w:t>
      </w:r>
    </w:p>
    <w:p w:rsidR="00B464CE" w:rsidRDefault="00B464CE" w:rsidP="00B464CE">
      <w:pPr>
        <w:pStyle w:val="Normlnweb"/>
        <w:spacing w:after="120" w:afterAutospacing="0"/>
        <w:jc w:val="both"/>
        <w:rPr>
          <w:rStyle w:val="Siln"/>
        </w:rPr>
      </w:pPr>
      <w:r>
        <w:rPr>
          <w:rStyle w:val="Siln"/>
        </w:rPr>
        <w:t>Výsledky roku 2018 dle jednotlivých regionů</w:t>
      </w:r>
    </w:p>
    <w:p w:rsidR="00B464CE" w:rsidRPr="00D90AF9" w:rsidRDefault="00B464CE" w:rsidP="00B464CE">
      <w:pPr>
        <w:pStyle w:val="Normlnweb"/>
        <w:spacing w:before="0" w:beforeAutospacing="0" w:after="0" w:afterAutospacing="0"/>
        <w:jc w:val="both"/>
      </w:pPr>
      <w:r>
        <w:rPr>
          <w:rStyle w:val="Siln"/>
        </w:rPr>
        <w:t>V </w:t>
      </w:r>
      <w:r w:rsidRPr="004A119B">
        <w:rPr>
          <w:rStyle w:val="Siln"/>
        </w:rPr>
        <w:t xml:space="preserve">Evropě </w:t>
      </w:r>
      <w:r>
        <w:rPr>
          <w:rStyle w:val="Siln"/>
        </w:rPr>
        <w:t xml:space="preserve">dosáhly v roce 2018 mezinárodní příjezdy </w:t>
      </w:r>
      <w:r w:rsidRPr="004A119B">
        <w:rPr>
          <w:rStyle w:val="Siln"/>
        </w:rPr>
        <w:t>713 milionů (+6%)</w:t>
      </w:r>
      <w:r>
        <w:rPr>
          <w:rStyle w:val="Siln"/>
        </w:rPr>
        <w:t xml:space="preserve"> oproti již neobyčejně úspěšnému roku 2017. Nárůst byl tažen především </w:t>
      </w:r>
      <w:r w:rsidRPr="004A119B">
        <w:rPr>
          <w:rStyle w:val="Siln"/>
        </w:rPr>
        <w:t>jižní Evropou a oblastí Středomoří (+7%)</w:t>
      </w:r>
      <w:r>
        <w:rPr>
          <w:rStyle w:val="Siln"/>
        </w:rPr>
        <w:t xml:space="preserve">, </w:t>
      </w:r>
      <w:r w:rsidRPr="004A119B">
        <w:rPr>
          <w:rStyle w:val="Siln"/>
        </w:rPr>
        <w:t>střední a východní Evropou (</w:t>
      </w:r>
      <w:r w:rsidRPr="004A119B">
        <w:rPr>
          <w:b/>
        </w:rPr>
        <w:t xml:space="preserve">+6%) </w:t>
      </w:r>
      <w:r>
        <w:t xml:space="preserve">a </w:t>
      </w:r>
      <w:r w:rsidRPr="004A119B">
        <w:rPr>
          <w:b/>
        </w:rPr>
        <w:t>západní Evropou (+6%)</w:t>
      </w:r>
      <w:r>
        <w:t xml:space="preserve">. Severnější části Evropy </w:t>
      </w:r>
      <w:r w:rsidRPr="00D90AF9">
        <w:t xml:space="preserve">stagnovaly a to </w:t>
      </w:r>
      <w:r>
        <w:t xml:space="preserve">dle UNWTO </w:t>
      </w:r>
      <w:r w:rsidRPr="00D90AF9">
        <w:t xml:space="preserve">především v souvislosti </w:t>
      </w:r>
      <w:r>
        <w:t>se</w:t>
      </w:r>
      <w:r w:rsidRPr="00D90AF9">
        <w:t> slab</w:t>
      </w:r>
      <w:r>
        <w:t>ým</w:t>
      </w:r>
      <w:r w:rsidRPr="00D90AF9">
        <w:t xml:space="preserve"> počt</w:t>
      </w:r>
      <w:r>
        <w:t>em příjezdů do </w:t>
      </w:r>
      <w:r w:rsidRPr="00D90AF9">
        <w:t xml:space="preserve">Spojeného království. </w:t>
      </w:r>
    </w:p>
    <w:p w:rsidR="00B464CE" w:rsidRDefault="00B464CE" w:rsidP="00B464CE">
      <w:pPr>
        <w:pStyle w:val="Normlnweb"/>
        <w:jc w:val="both"/>
      </w:pPr>
      <w:r w:rsidRPr="004A119B">
        <w:rPr>
          <w:b/>
        </w:rPr>
        <w:t>Asie s Tichomořím</w:t>
      </w:r>
      <w:r>
        <w:t xml:space="preserve"> vykázaly </w:t>
      </w:r>
      <w:r w:rsidRPr="004A119B">
        <w:rPr>
          <w:b/>
        </w:rPr>
        <w:t>343 milionů</w:t>
      </w:r>
      <w:r>
        <w:t xml:space="preserve"> mezinárodních příjezdů (+6%). Příjezdy do </w:t>
      </w:r>
      <w:r w:rsidRPr="004A119B">
        <w:rPr>
          <w:b/>
        </w:rPr>
        <w:t>Jihovýchodní Asie</w:t>
      </w:r>
      <w:r>
        <w:t xml:space="preserve"> vzrostly o </w:t>
      </w:r>
      <w:r w:rsidRPr="004A119B">
        <w:rPr>
          <w:b/>
        </w:rPr>
        <w:t>7%</w:t>
      </w:r>
      <w:r>
        <w:t xml:space="preserve"> a následovala </w:t>
      </w:r>
      <w:r w:rsidRPr="004A119B">
        <w:rPr>
          <w:b/>
        </w:rPr>
        <w:t>Jižní Asie</w:t>
      </w:r>
      <w:r>
        <w:t xml:space="preserve"> s růstem </w:t>
      </w:r>
      <w:r w:rsidRPr="004A119B">
        <w:rPr>
          <w:b/>
        </w:rPr>
        <w:t>5%</w:t>
      </w:r>
      <w:r>
        <w:t>. Oceánie vykázala umírněnější růst ve výši 3%.</w:t>
      </w:r>
    </w:p>
    <w:p w:rsidR="00B464CE" w:rsidRDefault="00B464CE" w:rsidP="00B464CE">
      <w:pPr>
        <w:pStyle w:val="Normlnweb"/>
        <w:jc w:val="both"/>
      </w:pPr>
      <w:r>
        <w:t xml:space="preserve">Do celé </w:t>
      </w:r>
      <w:r w:rsidRPr="004A119B">
        <w:rPr>
          <w:b/>
        </w:rPr>
        <w:t>Ameriky</w:t>
      </w:r>
      <w:r>
        <w:t xml:space="preserve"> přicestovalo</w:t>
      </w:r>
      <w:r w:rsidRPr="00025D76">
        <w:t xml:space="preserve"> </w:t>
      </w:r>
      <w:r w:rsidRPr="004A119B">
        <w:rPr>
          <w:b/>
        </w:rPr>
        <w:t>217 mili</w:t>
      </w:r>
      <w:r w:rsidRPr="00025D76">
        <w:t>onů zahraničních turistů</w:t>
      </w:r>
      <w:r>
        <w:t xml:space="preserve">, ale s </w:t>
      </w:r>
      <w:r w:rsidRPr="00025D76">
        <w:t xml:space="preserve">velice proměnlivými výsledky v jednotlivých destinacích. </w:t>
      </w:r>
      <w:r>
        <w:t>Obecně byl r</w:t>
      </w:r>
      <w:r w:rsidRPr="00025D76">
        <w:t xml:space="preserve">ůst tažen </w:t>
      </w:r>
      <w:r w:rsidRPr="004A119B">
        <w:rPr>
          <w:b/>
        </w:rPr>
        <w:t>Severní Amerikou (+4%)</w:t>
      </w:r>
      <w:r w:rsidRPr="00025D76">
        <w:t xml:space="preserve">, kterou následovala </w:t>
      </w:r>
      <w:r w:rsidRPr="004A119B">
        <w:rPr>
          <w:b/>
        </w:rPr>
        <w:t>Jižní Amerika (+3%)</w:t>
      </w:r>
      <w:r w:rsidRPr="00025D76">
        <w:t xml:space="preserve">, </w:t>
      </w:r>
      <w:r>
        <w:t>zatímco S</w:t>
      </w:r>
      <w:r w:rsidRPr="00025D76">
        <w:t xml:space="preserve">třední Amerika </w:t>
      </w:r>
      <w:r w:rsidRPr="00025D76">
        <w:lastRenderedPageBreak/>
        <w:t xml:space="preserve">s Karibikem </w:t>
      </w:r>
      <w:r>
        <w:t xml:space="preserve">vykázala meziroční pokles -2%. Taktéž s velmi rozdílnými výsledky v jednotlivých destinacích, které byly ovlivněny především </w:t>
      </w:r>
      <w:r w:rsidRPr="004A119B">
        <w:rPr>
          <w:b/>
        </w:rPr>
        <w:t>hurikány Irma a Maria</w:t>
      </w:r>
      <w:r>
        <w:t xml:space="preserve"> v září 2017.</w:t>
      </w:r>
    </w:p>
    <w:p w:rsidR="00B464CE" w:rsidRPr="00025D76" w:rsidRDefault="00B464CE" w:rsidP="00B464CE">
      <w:pPr>
        <w:pStyle w:val="Normlnweb"/>
        <w:jc w:val="both"/>
      </w:pPr>
      <w:r w:rsidRPr="00025D76">
        <w:t xml:space="preserve">Výsledky za </w:t>
      </w:r>
      <w:r w:rsidRPr="004A119B">
        <w:rPr>
          <w:b/>
        </w:rPr>
        <w:t>Afriku</w:t>
      </w:r>
      <w:r w:rsidRPr="00025D76">
        <w:t xml:space="preserve"> se přib</w:t>
      </w:r>
      <w:r w:rsidRPr="001965F1">
        <w:t xml:space="preserve">lížily </w:t>
      </w:r>
      <w:r w:rsidRPr="004A119B">
        <w:rPr>
          <w:b/>
        </w:rPr>
        <w:t>67 milionům</w:t>
      </w:r>
      <w:r>
        <w:t xml:space="preserve"> příjezdů (+7</w:t>
      </w:r>
      <w:r w:rsidRPr="001965F1">
        <w:t xml:space="preserve">%), z toho </w:t>
      </w:r>
      <w:r w:rsidRPr="004A119B">
        <w:rPr>
          <w:b/>
        </w:rPr>
        <w:t>severní Afrika +10%</w:t>
      </w:r>
      <w:r w:rsidRPr="001965F1">
        <w:t xml:space="preserve"> a </w:t>
      </w:r>
      <w:r w:rsidRPr="004A119B">
        <w:rPr>
          <w:b/>
        </w:rPr>
        <w:t>subsaharská Afrika +6%</w:t>
      </w:r>
      <w:r w:rsidRPr="001965F1">
        <w:t>.</w:t>
      </w:r>
    </w:p>
    <w:p w:rsidR="00B464CE" w:rsidRDefault="00B464CE" w:rsidP="00B464CE">
      <w:pPr>
        <w:pStyle w:val="Normlnweb"/>
        <w:jc w:val="both"/>
      </w:pPr>
      <w:r w:rsidRPr="004A119B">
        <w:rPr>
          <w:b/>
        </w:rPr>
        <w:t>Střední východ s 64 miliony</w:t>
      </w:r>
      <w:r w:rsidRPr="00025D76">
        <w:t xml:space="preserve"> zahraničních příjezdů (+10%) </w:t>
      </w:r>
      <w:r>
        <w:t>dosáhl velmi</w:t>
      </w:r>
      <w:r w:rsidRPr="00025D76">
        <w:t xml:space="preserve"> solidní</w:t>
      </w:r>
      <w:r>
        <w:t>ch</w:t>
      </w:r>
      <w:r w:rsidRPr="00025D76">
        <w:t xml:space="preserve"> výsledk</w:t>
      </w:r>
      <w:r>
        <w:t>ů a </w:t>
      </w:r>
      <w:r w:rsidRPr="00025D76">
        <w:t xml:space="preserve">rok 2018 potvrdil již dobré </w:t>
      </w:r>
      <w:r>
        <w:t>výsledky roku 2017, který byl charakteristický zotavením tamního turismu.</w:t>
      </w:r>
    </w:p>
    <w:p w:rsidR="00B464CE" w:rsidRDefault="00B464CE" w:rsidP="00B464CE">
      <w:pPr>
        <w:pStyle w:val="Normlnweb"/>
        <w:spacing w:before="0" w:beforeAutospacing="0" w:after="120" w:afterAutospacing="0"/>
        <w:jc w:val="both"/>
        <w:rPr>
          <w:rStyle w:val="Siln"/>
        </w:rPr>
      </w:pPr>
      <w:r>
        <w:rPr>
          <w:rStyle w:val="Siln"/>
        </w:rPr>
        <w:t>Celosvětový trend růstu příjezdů bude pokračovat i v roce 2019</w:t>
      </w:r>
    </w:p>
    <w:p w:rsidR="00B464CE" w:rsidRDefault="00B464CE" w:rsidP="00B464CE">
      <w:pPr>
        <w:pStyle w:val="Normlnweb"/>
        <w:spacing w:before="0" w:beforeAutospacing="0"/>
        <w:jc w:val="both"/>
      </w:pPr>
      <w:r>
        <w:t xml:space="preserve">Vzhledem k posledním vývojovým trendům, ekonomickým vyhlídkám, ale i dalším faktorům odhaduje UNWTO, že růst mezinárodních příjezdů dosáhne v tomto roce </w:t>
      </w:r>
      <w:r w:rsidRPr="004A119B">
        <w:rPr>
          <w:b/>
        </w:rPr>
        <w:t>3 - 4%</w:t>
      </w:r>
      <w:r>
        <w:t xml:space="preserve"> a bude v souladu s růstovým trendem předchozích několika let. </w:t>
      </w:r>
    </w:p>
    <w:p w:rsidR="00B464CE" w:rsidRDefault="00B464CE" w:rsidP="00B464CE">
      <w:pPr>
        <w:pStyle w:val="Normlnweb"/>
        <w:jc w:val="both"/>
      </w:pPr>
      <w:r>
        <w:t xml:space="preserve">Další obecné faktory, jako je stabilita </w:t>
      </w:r>
      <w:r w:rsidRPr="00F949D7">
        <w:t xml:space="preserve">cen pohonných hmot by měla směřovat k cenově dostupnější letecké dopravě a zároveň ke zlepšení leteckých spojení v mnoha destinacích v rámci diversifikace zdrojových trhů. Trendy také odrážejí posilování outgoingu z nově se </w:t>
      </w:r>
      <w:r>
        <w:t>rozvíjejících trhů cestovního ruchu, především z </w:t>
      </w:r>
      <w:r w:rsidRPr="004A119B">
        <w:rPr>
          <w:b/>
        </w:rPr>
        <w:t>Indie a Ruska</w:t>
      </w:r>
      <w:r>
        <w:t>, ale také z </w:t>
      </w:r>
      <w:r w:rsidRPr="004A119B">
        <w:rPr>
          <w:b/>
        </w:rPr>
        <w:t>menších asijských a arabských zdrojových trhů</w:t>
      </w:r>
      <w:r>
        <w:t>.</w:t>
      </w:r>
    </w:p>
    <w:p w:rsidR="00B464CE" w:rsidRPr="00F949D7" w:rsidRDefault="00B464CE" w:rsidP="00B464CE">
      <w:pPr>
        <w:pStyle w:val="Normlnweb"/>
        <w:jc w:val="both"/>
      </w:pPr>
      <w:r>
        <w:t xml:space="preserve">Nicméně celosvětové hospodářské </w:t>
      </w:r>
      <w:r w:rsidRPr="004A119B">
        <w:t>zpomalení, nejistota ohledně</w:t>
      </w:r>
      <w:r w:rsidRPr="004A119B">
        <w:rPr>
          <w:b/>
        </w:rPr>
        <w:t xml:space="preserve"> Brexitu</w:t>
      </w:r>
      <w:r>
        <w:t>, stejně jako geopolitické a obchodní napětí může způsobit tendence k vyčkávacímu postoji investorů i </w:t>
      </w:r>
      <w:r w:rsidRPr="00F949D7">
        <w:t xml:space="preserve">samotných účastníků cestovního ruchu. </w:t>
      </w:r>
    </w:p>
    <w:p w:rsidR="00B464CE" w:rsidRPr="00F949D7" w:rsidRDefault="00B464CE" w:rsidP="00B464CE">
      <w:pPr>
        <w:pStyle w:val="Normlnweb"/>
        <w:jc w:val="both"/>
      </w:pPr>
      <w:r w:rsidRPr="00F949D7">
        <w:t>Všeobecně se v roce 2019 očekává, že spotřebitelé budou objevovat nové typy turismu a stále více směřovat k formám „zdravého turismu“, jako jsou</w:t>
      </w:r>
      <w:r w:rsidR="00C307A7">
        <w:t xml:space="preserve"> pěší turistika, wellness a </w:t>
      </w:r>
      <w:r w:rsidRPr="00F949D7">
        <w:t>sportovní cestovní ruch, ale taktéž k vícegeneračnímu cestování apod.</w:t>
      </w:r>
    </w:p>
    <w:p w:rsidR="00B464CE" w:rsidRDefault="00B464CE" w:rsidP="00B464CE">
      <w:pPr>
        <w:pStyle w:val="Normlnweb"/>
        <w:jc w:val="both"/>
      </w:pPr>
      <w:r>
        <w:t>Vliv na formování sektoru cestovního ruchu bude mít i další digitalizace, nové obchodní instrumenty, cenově dostupnější cestování a sociální změny a tudíž se budou muset destinace cestovního ruchu i jednotliví podnikatelé těmto očekávaným změnám přizpůsobovat, pokud budou chtít zůstat konkurenceschopnými.</w:t>
      </w:r>
    </w:p>
    <w:p w:rsidR="00B464CE" w:rsidRDefault="00B464CE" w:rsidP="00B464CE">
      <w:pPr>
        <w:pStyle w:val="Normlnweb"/>
        <w:jc w:val="both"/>
      </w:pPr>
      <w:r>
        <w:t> </w:t>
      </w:r>
    </w:p>
    <w:p w:rsidR="00B464CE" w:rsidRDefault="00B464CE" w:rsidP="00B464CE">
      <w:pPr>
        <w:pStyle w:val="Normlnweb"/>
        <w:jc w:val="both"/>
      </w:pPr>
      <w:r>
        <w:rPr>
          <w:rStyle w:val="Siln"/>
        </w:rPr>
        <w:t>Více informací najdete zde:</w:t>
      </w:r>
    </w:p>
    <w:p w:rsidR="00B464CE" w:rsidRDefault="00B464CE" w:rsidP="00B464CE">
      <w:pPr>
        <w:pStyle w:val="Normlnweb"/>
        <w:jc w:val="both"/>
      </w:pPr>
      <w:hyperlink r:id="rId9" w:history="1">
        <w:r>
          <w:rPr>
            <w:rStyle w:val="Hypertextovodkaz"/>
          </w:rPr>
          <w:t xml:space="preserve">UNWTO World Tourism </w:t>
        </w:r>
        <w:bookmarkStart w:id="0" w:name="_GoBack"/>
        <w:bookmarkEnd w:id="0"/>
        <w:proofErr w:type="spellStart"/>
        <w:r>
          <w:rPr>
            <w:rStyle w:val="Hypertextovodkaz"/>
          </w:rPr>
          <w:t>B</w:t>
        </w:r>
        <w:r>
          <w:rPr>
            <w:rStyle w:val="Hypertextovodkaz"/>
          </w:rPr>
          <w:t>arometer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Homepage</w:t>
        </w:r>
        <w:proofErr w:type="spellEnd"/>
      </w:hyperlink>
    </w:p>
    <w:p w:rsidR="00B464CE" w:rsidRDefault="00B464CE" w:rsidP="00B464CE">
      <w:pPr>
        <w:pStyle w:val="Normlnweb"/>
        <w:jc w:val="both"/>
      </w:pPr>
      <w:hyperlink r:id="rId10" w:history="1">
        <w:r>
          <w:rPr>
            <w:rStyle w:val="Hypertextovodkaz"/>
          </w:rPr>
          <w:t xml:space="preserve">UNWTO World Tourism </w:t>
        </w:r>
        <w:proofErr w:type="spellStart"/>
        <w:r>
          <w:rPr>
            <w:rStyle w:val="Hypertextovodkaz"/>
          </w:rPr>
          <w:t>Barometer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Presentation</w:t>
        </w:r>
        <w:proofErr w:type="spellEnd"/>
      </w:hyperlink>
    </w:p>
    <w:p w:rsidR="00B464CE" w:rsidRDefault="00B464CE" w:rsidP="00B464CE"/>
    <w:p w:rsidR="00B464CE" w:rsidRPr="001965F1" w:rsidRDefault="00B464CE" w:rsidP="00B464CE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1965F1">
        <w:rPr>
          <w:rFonts w:ascii="Times New Roman" w:hAnsi="Times New Roman" w:cs="Times New Roman"/>
          <w:sz w:val="24"/>
          <w:szCs w:val="24"/>
          <w:lang w:eastAsia="cs-CZ"/>
        </w:rPr>
        <w:t>Zdroj: UNWTO, zpracovalo MMR</w:t>
      </w:r>
    </w:p>
    <w:p w:rsidR="000A6BE3" w:rsidRPr="00B464CE" w:rsidRDefault="000A6BE3" w:rsidP="00B464CE"/>
    <w:sectPr w:rsidR="000A6BE3" w:rsidRPr="00B464CE" w:rsidSect="00857A50">
      <w:headerReference w:type="default" r:id="rId11"/>
      <w:footerReference w:type="default" r:id="rId12"/>
      <w:pgSz w:w="11906" w:h="16838" w:code="9"/>
      <w:pgMar w:top="1843" w:right="1418" w:bottom="1418" w:left="20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6A" w:rsidRDefault="00772F6A" w:rsidP="0020194A">
      <w:r>
        <w:separator/>
      </w:r>
    </w:p>
  </w:endnote>
  <w:endnote w:type="continuationSeparator" w:id="0">
    <w:p w:rsidR="00772F6A" w:rsidRDefault="00772F6A" w:rsidP="0020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Italic">
    <w:altName w:val="Arial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6A9" w:rsidRPr="00827FA5" w:rsidRDefault="005016A9" w:rsidP="00EA5DE5">
    <w:pPr>
      <w:pStyle w:val="Zpat"/>
      <w:jc w:val="right"/>
      <w:rPr>
        <w:rFonts w:ascii="Arial" w:hAnsi="Arial" w:cs="Arial"/>
      </w:rPr>
    </w:pPr>
    <w:r w:rsidRPr="00827FA5">
      <w:rPr>
        <w:rFonts w:ascii="Arial" w:hAnsi="Arial" w:cs="Arial"/>
      </w:rPr>
      <w:t xml:space="preserve">Stránka </w:t>
    </w:r>
    <w:r w:rsidR="00F377C3" w:rsidRPr="00827FA5">
      <w:rPr>
        <w:rFonts w:ascii="Arial" w:hAnsi="Arial" w:cs="Arial"/>
        <w:b/>
      </w:rPr>
      <w:fldChar w:fldCharType="begin"/>
    </w:r>
    <w:r w:rsidRPr="00827FA5">
      <w:rPr>
        <w:rFonts w:ascii="Arial" w:hAnsi="Arial" w:cs="Arial"/>
        <w:b/>
      </w:rPr>
      <w:instrText>PAGE</w:instrText>
    </w:r>
    <w:r w:rsidR="00F377C3" w:rsidRPr="00827FA5">
      <w:rPr>
        <w:rFonts w:ascii="Arial" w:hAnsi="Arial" w:cs="Arial"/>
        <w:b/>
      </w:rPr>
      <w:fldChar w:fldCharType="separate"/>
    </w:r>
    <w:r w:rsidR="00314904">
      <w:rPr>
        <w:rFonts w:ascii="Arial" w:hAnsi="Arial" w:cs="Arial"/>
        <w:b/>
        <w:noProof/>
      </w:rPr>
      <w:t>1</w:t>
    </w:r>
    <w:r w:rsidR="00F377C3" w:rsidRPr="00827FA5">
      <w:rPr>
        <w:rFonts w:ascii="Arial" w:hAnsi="Arial" w:cs="Arial"/>
        <w:b/>
      </w:rPr>
      <w:fldChar w:fldCharType="end"/>
    </w:r>
    <w:r w:rsidRPr="00827FA5">
      <w:rPr>
        <w:rFonts w:ascii="Arial" w:hAnsi="Arial" w:cs="Arial"/>
      </w:rPr>
      <w:t xml:space="preserve"> z </w:t>
    </w:r>
    <w:r w:rsidR="00F377C3" w:rsidRPr="00827FA5">
      <w:rPr>
        <w:rFonts w:ascii="Arial" w:hAnsi="Arial" w:cs="Arial"/>
        <w:b/>
      </w:rPr>
      <w:fldChar w:fldCharType="begin"/>
    </w:r>
    <w:r w:rsidRPr="00827FA5">
      <w:rPr>
        <w:rFonts w:ascii="Arial" w:hAnsi="Arial" w:cs="Arial"/>
        <w:b/>
      </w:rPr>
      <w:instrText>NUMPAGES</w:instrText>
    </w:r>
    <w:r w:rsidR="00F377C3" w:rsidRPr="00827FA5">
      <w:rPr>
        <w:rFonts w:ascii="Arial" w:hAnsi="Arial" w:cs="Arial"/>
        <w:b/>
      </w:rPr>
      <w:fldChar w:fldCharType="separate"/>
    </w:r>
    <w:r w:rsidR="00314904">
      <w:rPr>
        <w:rFonts w:ascii="Arial" w:hAnsi="Arial" w:cs="Arial"/>
        <w:b/>
        <w:noProof/>
      </w:rPr>
      <w:t>2</w:t>
    </w:r>
    <w:r w:rsidR="00F377C3" w:rsidRPr="00827FA5">
      <w:rPr>
        <w:rFonts w:ascii="Arial" w:hAnsi="Arial" w:cs="Arial"/>
        <w:b/>
      </w:rPr>
      <w:fldChar w:fldCharType="end"/>
    </w:r>
  </w:p>
  <w:p w:rsidR="005016A9" w:rsidRPr="00065713" w:rsidRDefault="005016A9" w:rsidP="00065713">
    <w:pPr>
      <w:pStyle w:val="Styl1"/>
      <w:ind w:left="0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6A" w:rsidRDefault="00772F6A" w:rsidP="0020194A">
      <w:r>
        <w:separator/>
      </w:r>
    </w:p>
  </w:footnote>
  <w:footnote w:type="continuationSeparator" w:id="0">
    <w:p w:rsidR="00772F6A" w:rsidRDefault="00772F6A" w:rsidP="00201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6A9" w:rsidRDefault="005016A9" w:rsidP="0020194A">
    <w:pPr>
      <w:pStyle w:val="Zhlav"/>
    </w:pPr>
  </w:p>
  <w:p w:rsidR="005016A9" w:rsidRPr="00B270CA" w:rsidRDefault="00DE06F1" w:rsidP="0020194A">
    <w:pPr>
      <w:pStyle w:val="Zhlav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Aktualita</w:t>
    </w:r>
  </w:p>
  <w:p w:rsidR="005016A9" w:rsidRPr="00537174" w:rsidRDefault="00253B54" w:rsidP="0020194A">
    <w:pPr>
      <w:pStyle w:val="Zhlav"/>
      <w:jc w:val="right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C940063" wp14:editId="44DFA371">
          <wp:simplePos x="0" y="0"/>
          <wp:positionH relativeFrom="page">
            <wp:posOffset>400050</wp:posOffset>
          </wp:positionH>
          <wp:positionV relativeFrom="page">
            <wp:posOffset>542925</wp:posOffset>
          </wp:positionV>
          <wp:extent cx="2162175" cy="457200"/>
          <wp:effectExtent l="0" t="0" r="9525" b="0"/>
          <wp:wrapTight wrapText="bothSides">
            <wp:wrapPolygon edited="0">
              <wp:start x="8183" y="0"/>
              <wp:lineTo x="0" y="1800"/>
              <wp:lineTo x="0" y="18900"/>
              <wp:lineTo x="2093" y="20700"/>
              <wp:lineTo x="8183" y="20700"/>
              <wp:lineTo x="18841" y="20700"/>
              <wp:lineTo x="19031" y="14400"/>
              <wp:lineTo x="21505" y="4500"/>
              <wp:lineTo x="21505" y="0"/>
              <wp:lineTo x="8183" y="0"/>
            </wp:wrapPolygon>
          </wp:wrapTight>
          <wp:docPr id="1" name="Obrázek 0" descr="mmr_cr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mmr_cr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886">
      <w:rPr>
        <w:rFonts w:ascii="Arial" w:hAnsi="Arial" w:cs="Arial"/>
        <w:b/>
        <w:sz w:val="16"/>
        <w:szCs w:val="16"/>
      </w:rPr>
      <w:t>l</w:t>
    </w:r>
    <w:r w:rsidR="00D34E29">
      <w:rPr>
        <w:rFonts w:ascii="Arial" w:hAnsi="Arial" w:cs="Arial"/>
        <w:b/>
        <w:sz w:val="16"/>
        <w:szCs w:val="16"/>
      </w:rPr>
      <w:t>eden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3579"/>
    <w:multiLevelType w:val="hybridMultilevel"/>
    <w:tmpl w:val="DE0C0CCE"/>
    <w:lvl w:ilvl="0" w:tplc="5B4CDC80">
      <w:numFmt w:val="bullet"/>
      <w:lvlText w:val="•"/>
      <w:lvlJc w:val="left"/>
      <w:pPr>
        <w:ind w:left="1065" w:hanging="705"/>
      </w:pPr>
      <w:rPr>
        <w:rFonts w:ascii="Arial" w:eastAsia="Times New Roman" w:hAnsi="Arial" w:cs="Arial 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94C3B"/>
    <w:multiLevelType w:val="multilevel"/>
    <w:tmpl w:val="6524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5505FC"/>
    <w:multiLevelType w:val="hybridMultilevel"/>
    <w:tmpl w:val="5FB87D0E"/>
    <w:lvl w:ilvl="0" w:tplc="083C48E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77EC6332"/>
    <w:multiLevelType w:val="hybridMultilevel"/>
    <w:tmpl w:val="6764F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C0411"/>
    <w:multiLevelType w:val="hybridMultilevel"/>
    <w:tmpl w:val="6526E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46BB0"/>
    <w:multiLevelType w:val="hybridMultilevel"/>
    <w:tmpl w:val="D7AA5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54"/>
    <w:rsid w:val="00011593"/>
    <w:rsid w:val="00012433"/>
    <w:rsid w:val="000226A3"/>
    <w:rsid w:val="00065713"/>
    <w:rsid w:val="0006732E"/>
    <w:rsid w:val="00071442"/>
    <w:rsid w:val="00097AD1"/>
    <w:rsid w:val="000A3115"/>
    <w:rsid w:val="000A6BE3"/>
    <w:rsid w:val="000D1671"/>
    <w:rsid w:val="000E17E5"/>
    <w:rsid w:val="00120AD0"/>
    <w:rsid w:val="00152466"/>
    <w:rsid w:val="00153C56"/>
    <w:rsid w:val="00155819"/>
    <w:rsid w:val="00165A81"/>
    <w:rsid w:val="001733D8"/>
    <w:rsid w:val="0017487F"/>
    <w:rsid w:val="0017615E"/>
    <w:rsid w:val="00182B06"/>
    <w:rsid w:val="001947C2"/>
    <w:rsid w:val="00194E2F"/>
    <w:rsid w:val="00195EE8"/>
    <w:rsid w:val="00196598"/>
    <w:rsid w:val="001C0BAB"/>
    <w:rsid w:val="001C2169"/>
    <w:rsid w:val="001C4CC7"/>
    <w:rsid w:val="001C7D7F"/>
    <w:rsid w:val="001F16E0"/>
    <w:rsid w:val="0020194A"/>
    <w:rsid w:val="002402E5"/>
    <w:rsid w:val="00253B54"/>
    <w:rsid w:val="002577D4"/>
    <w:rsid w:val="00274A30"/>
    <w:rsid w:val="0029797F"/>
    <w:rsid w:val="002B0AB8"/>
    <w:rsid w:val="002B5DBD"/>
    <w:rsid w:val="002C3748"/>
    <w:rsid w:val="002D06B4"/>
    <w:rsid w:val="002E009A"/>
    <w:rsid w:val="002E7904"/>
    <w:rsid w:val="003033B8"/>
    <w:rsid w:val="003047F4"/>
    <w:rsid w:val="00305C7C"/>
    <w:rsid w:val="00314904"/>
    <w:rsid w:val="00330FFF"/>
    <w:rsid w:val="00332AF2"/>
    <w:rsid w:val="003366E1"/>
    <w:rsid w:val="00336A76"/>
    <w:rsid w:val="003378D3"/>
    <w:rsid w:val="00364635"/>
    <w:rsid w:val="00382CB7"/>
    <w:rsid w:val="00390438"/>
    <w:rsid w:val="003A37E3"/>
    <w:rsid w:val="003C482B"/>
    <w:rsid w:val="003C692C"/>
    <w:rsid w:val="003D478F"/>
    <w:rsid w:val="003E5377"/>
    <w:rsid w:val="003F1BFE"/>
    <w:rsid w:val="003F2268"/>
    <w:rsid w:val="003F4C86"/>
    <w:rsid w:val="003F5146"/>
    <w:rsid w:val="00430CB7"/>
    <w:rsid w:val="00441848"/>
    <w:rsid w:val="00462F90"/>
    <w:rsid w:val="00473AF5"/>
    <w:rsid w:val="0048171B"/>
    <w:rsid w:val="0048774C"/>
    <w:rsid w:val="00491431"/>
    <w:rsid w:val="00495690"/>
    <w:rsid w:val="004B2852"/>
    <w:rsid w:val="004C0922"/>
    <w:rsid w:val="004D4A60"/>
    <w:rsid w:val="004E7815"/>
    <w:rsid w:val="004F6A7A"/>
    <w:rsid w:val="005016A9"/>
    <w:rsid w:val="005132EB"/>
    <w:rsid w:val="0052135E"/>
    <w:rsid w:val="00523886"/>
    <w:rsid w:val="00534346"/>
    <w:rsid w:val="005364F8"/>
    <w:rsid w:val="005430E3"/>
    <w:rsid w:val="00543BD9"/>
    <w:rsid w:val="00556029"/>
    <w:rsid w:val="005613BF"/>
    <w:rsid w:val="00576F7F"/>
    <w:rsid w:val="00595567"/>
    <w:rsid w:val="005A1DFB"/>
    <w:rsid w:val="005A5602"/>
    <w:rsid w:val="005A74B9"/>
    <w:rsid w:val="005F29DB"/>
    <w:rsid w:val="00603F10"/>
    <w:rsid w:val="006577E6"/>
    <w:rsid w:val="006625C1"/>
    <w:rsid w:val="00667A39"/>
    <w:rsid w:val="006A3A30"/>
    <w:rsid w:val="006A67A1"/>
    <w:rsid w:val="006B0874"/>
    <w:rsid w:val="006D3055"/>
    <w:rsid w:val="006E7D46"/>
    <w:rsid w:val="006F20D1"/>
    <w:rsid w:val="00723C35"/>
    <w:rsid w:val="0073071C"/>
    <w:rsid w:val="00740D87"/>
    <w:rsid w:val="007500CF"/>
    <w:rsid w:val="00754A69"/>
    <w:rsid w:val="007611BB"/>
    <w:rsid w:val="00772F6A"/>
    <w:rsid w:val="00774A84"/>
    <w:rsid w:val="00786371"/>
    <w:rsid w:val="007C3D6C"/>
    <w:rsid w:val="007D0755"/>
    <w:rsid w:val="007D4580"/>
    <w:rsid w:val="008141A9"/>
    <w:rsid w:val="00823B94"/>
    <w:rsid w:val="00824C34"/>
    <w:rsid w:val="00827FA5"/>
    <w:rsid w:val="00830E69"/>
    <w:rsid w:val="0085167B"/>
    <w:rsid w:val="00857A50"/>
    <w:rsid w:val="0086082C"/>
    <w:rsid w:val="00866F22"/>
    <w:rsid w:val="008D5106"/>
    <w:rsid w:val="008D7B4A"/>
    <w:rsid w:val="008D7C10"/>
    <w:rsid w:val="0090651D"/>
    <w:rsid w:val="00910D7A"/>
    <w:rsid w:val="00931BC4"/>
    <w:rsid w:val="009361B9"/>
    <w:rsid w:val="009370F3"/>
    <w:rsid w:val="00937989"/>
    <w:rsid w:val="00966595"/>
    <w:rsid w:val="00971C5B"/>
    <w:rsid w:val="00971FF7"/>
    <w:rsid w:val="00974501"/>
    <w:rsid w:val="00986975"/>
    <w:rsid w:val="009A6D72"/>
    <w:rsid w:val="009B0E5A"/>
    <w:rsid w:val="009B44CA"/>
    <w:rsid w:val="009C1322"/>
    <w:rsid w:val="009D0D2B"/>
    <w:rsid w:val="009E3264"/>
    <w:rsid w:val="009F5734"/>
    <w:rsid w:val="00A202D5"/>
    <w:rsid w:val="00A213E4"/>
    <w:rsid w:val="00A21B09"/>
    <w:rsid w:val="00A35157"/>
    <w:rsid w:val="00A45122"/>
    <w:rsid w:val="00A65AC2"/>
    <w:rsid w:val="00A70AFF"/>
    <w:rsid w:val="00A72FB0"/>
    <w:rsid w:val="00A73A36"/>
    <w:rsid w:val="00A968FA"/>
    <w:rsid w:val="00AA3F73"/>
    <w:rsid w:val="00AB5B93"/>
    <w:rsid w:val="00B00AC8"/>
    <w:rsid w:val="00B15362"/>
    <w:rsid w:val="00B17A77"/>
    <w:rsid w:val="00B36F6F"/>
    <w:rsid w:val="00B41718"/>
    <w:rsid w:val="00B464CE"/>
    <w:rsid w:val="00B50BC0"/>
    <w:rsid w:val="00B5125E"/>
    <w:rsid w:val="00B641E8"/>
    <w:rsid w:val="00B64E0A"/>
    <w:rsid w:val="00B666C8"/>
    <w:rsid w:val="00BA0CC4"/>
    <w:rsid w:val="00BA7227"/>
    <w:rsid w:val="00BC3A32"/>
    <w:rsid w:val="00BD2CCA"/>
    <w:rsid w:val="00BD5334"/>
    <w:rsid w:val="00BD7E66"/>
    <w:rsid w:val="00BF55ED"/>
    <w:rsid w:val="00C11D2E"/>
    <w:rsid w:val="00C1295A"/>
    <w:rsid w:val="00C14888"/>
    <w:rsid w:val="00C307A7"/>
    <w:rsid w:val="00C346A0"/>
    <w:rsid w:val="00C533C1"/>
    <w:rsid w:val="00C7086F"/>
    <w:rsid w:val="00C71CD0"/>
    <w:rsid w:val="00C72068"/>
    <w:rsid w:val="00C80919"/>
    <w:rsid w:val="00CA3A18"/>
    <w:rsid w:val="00CD6BB4"/>
    <w:rsid w:val="00D07157"/>
    <w:rsid w:val="00D21299"/>
    <w:rsid w:val="00D25F14"/>
    <w:rsid w:val="00D34E29"/>
    <w:rsid w:val="00D3707D"/>
    <w:rsid w:val="00D4349B"/>
    <w:rsid w:val="00D7186C"/>
    <w:rsid w:val="00D84DD6"/>
    <w:rsid w:val="00DA1A20"/>
    <w:rsid w:val="00DA620D"/>
    <w:rsid w:val="00DB664B"/>
    <w:rsid w:val="00DC41D8"/>
    <w:rsid w:val="00DD4FB6"/>
    <w:rsid w:val="00DE06F1"/>
    <w:rsid w:val="00DE52EC"/>
    <w:rsid w:val="00DF2E36"/>
    <w:rsid w:val="00DF6182"/>
    <w:rsid w:val="00E85EB7"/>
    <w:rsid w:val="00E85ECF"/>
    <w:rsid w:val="00EA5DE5"/>
    <w:rsid w:val="00EB42AB"/>
    <w:rsid w:val="00EB50E0"/>
    <w:rsid w:val="00EB6D9F"/>
    <w:rsid w:val="00EC6620"/>
    <w:rsid w:val="00EE533B"/>
    <w:rsid w:val="00EE5838"/>
    <w:rsid w:val="00F13422"/>
    <w:rsid w:val="00F313C2"/>
    <w:rsid w:val="00F377C3"/>
    <w:rsid w:val="00F77CC0"/>
    <w:rsid w:val="00F843D4"/>
    <w:rsid w:val="00FB594F"/>
    <w:rsid w:val="00FD7EA3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4C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7C3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C3D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pisnpapr">
    <w:name w:val="dopisní papír"/>
    <w:basedOn w:val="Normln"/>
    <w:qFormat/>
    <w:rsid w:val="00823368"/>
    <w:pPr>
      <w:spacing w:after="240" w:line="360" w:lineRule="auto"/>
      <w:jc w:val="both"/>
    </w:pPr>
    <w:rPr>
      <w:rFonts w:ascii="Arial" w:eastAsia="Times New Roman" w:hAnsi="Arial" w:cs="Times New Roman"/>
      <w:kern w:val="28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75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D7570"/>
  </w:style>
  <w:style w:type="paragraph" w:styleId="Zpat">
    <w:name w:val="footer"/>
    <w:basedOn w:val="Normln"/>
    <w:link w:val="ZpatChar"/>
    <w:uiPriority w:val="99"/>
    <w:unhideWhenUsed/>
    <w:rsid w:val="004D75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D7570"/>
  </w:style>
  <w:style w:type="paragraph" w:customStyle="1" w:styleId="Styl1">
    <w:name w:val="Styl1"/>
    <w:basedOn w:val="Zpat"/>
    <w:qFormat/>
    <w:rsid w:val="00DC4598"/>
    <w:pPr>
      <w:ind w:left="-1418"/>
    </w:pPr>
    <w:rPr>
      <w:rFonts w:ascii="Helvetica" w:hAnsi="Helvetica" w:cs="Arial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7CC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D637C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3717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537174"/>
    <w:rPr>
      <w:color w:val="800080"/>
      <w:u w:val="single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6D1F23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character" w:styleId="Odkaznakoment">
    <w:name w:val="annotation reference"/>
    <w:uiPriority w:val="99"/>
    <w:semiHidden/>
    <w:unhideWhenUsed/>
    <w:rsid w:val="003B3B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B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B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3BE4"/>
    <w:rPr>
      <w:b/>
      <w:bCs/>
    </w:rPr>
  </w:style>
  <w:style w:type="paragraph" w:customStyle="1" w:styleId="TextNOK">
    <w:name w:val="Text NOK"/>
    <w:basedOn w:val="Normln"/>
    <w:link w:val="TextNOKChar"/>
    <w:rsid w:val="001C2169"/>
    <w:pPr>
      <w:spacing w:before="60" w:after="60" w:line="312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NOKChar">
    <w:name w:val="Text NOK Char"/>
    <w:link w:val="TextNOK"/>
    <w:rsid w:val="001C2169"/>
    <w:rPr>
      <w:sz w:val="22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D84DD6"/>
    <w:pPr>
      <w:spacing w:after="0" w:line="240" w:lineRule="auto"/>
    </w:pPr>
    <w:rPr>
      <w:rFonts w:ascii="Consolas" w:eastAsia="Calibri" w:hAnsi="Consolas" w:cs="Consolas"/>
      <w:sz w:val="21"/>
      <w:szCs w:val="21"/>
      <w:lang w:eastAsia="cs-CZ"/>
    </w:rPr>
  </w:style>
  <w:style w:type="character" w:customStyle="1" w:styleId="ProsttextChar">
    <w:name w:val="Prostý text Char"/>
    <w:link w:val="Prosttext"/>
    <w:uiPriority w:val="99"/>
    <w:rsid w:val="00D84DD6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Standardnpsmoodstavce"/>
    <w:rsid w:val="004F6A7A"/>
  </w:style>
  <w:style w:type="character" w:styleId="Siln">
    <w:name w:val="Strong"/>
    <w:uiPriority w:val="22"/>
    <w:qFormat/>
    <w:rsid w:val="005A74B9"/>
    <w:rPr>
      <w:b/>
      <w:bCs/>
    </w:rPr>
  </w:style>
  <w:style w:type="character" w:customStyle="1" w:styleId="Nadpis1Char">
    <w:name w:val="Nadpis 1 Char"/>
    <w:link w:val="Nadpis1"/>
    <w:uiPriority w:val="9"/>
    <w:rsid w:val="007C3D6C"/>
    <w:rPr>
      <w:b/>
      <w:bCs/>
      <w:kern w:val="36"/>
      <w:sz w:val="48"/>
      <w:szCs w:val="48"/>
    </w:rPr>
  </w:style>
  <w:style w:type="character" w:customStyle="1" w:styleId="Nadpis4Char">
    <w:name w:val="Nadpis 4 Char"/>
    <w:link w:val="Nadpis4"/>
    <w:uiPriority w:val="9"/>
    <w:rsid w:val="007C3D6C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7C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draznn">
    <w:name w:val="Zdůraznění"/>
    <w:uiPriority w:val="20"/>
    <w:qFormat/>
    <w:rsid w:val="007C3D6C"/>
    <w:rPr>
      <w:i/>
      <w:iCs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DE06F1"/>
    <w:rPr>
      <w:rFonts w:ascii="Georgia" w:eastAsia="Calibri" w:hAnsi="Georgia" w:cs="Arial"/>
      <w:b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unhideWhenUsed/>
    <w:rsid w:val="00DE06F1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 w:val="22"/>
      <w:lang w:eastAsia="en-US"/>
    </w:rPr>
  </w:style>
  <w:style w:type="character" w:customStyle="1" w:styleId="ZhlavzprvyChar1">
    <w:name w:val="Záhlaví zprávy Char1"/>
    <w:basedOn w:val="Standardnpsmoodstavce"/>
    <w:uiPriority w:val="99"/>
    <w:semiHidden/>
    <w:rsid w:val="00DE06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qFormat/>
    <w:rsid w:val="00DE06F1"/>
  </w:style>
  <w:style w:type="paragraph" w:styleId="Odstavecseseznamem">
    <w:name w:val="List Paragraph"/>
    <w:basedOn w:val="Normln"/>
    <w:uiPriority w:val="34"/>
    <w:qFormat/>
    <w:rsid w:val="00B666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vraznn">
    <w:name w:val="Emphasis"/>
    <w:basedOn w:val="Standardnpsmoodstavce"/>
    <w:uiPriority w:val="20"/>
    <w:qFormat/>
    <w:rsid w:val="00B464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4C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7C3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C3D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pisnpapr">
    <w:name w:val="dopisní papír"/>
    <w:basedOn w:val="Normln"/>
    <w:qFormat/>
    <w:rsid w:val="00823368"/>
    <w:pPr>
      <w:spacing w:after="240" w:line="360" w:lineRule="auto"/>
      <w:jc w:val="both"/>
    </w:pPr>
    <w:rPr>
      <w:rFonts w:ascii="Arial" w:eastAsia="Times New Roman" w:hAnsi="Arial" w:cs="Times New Roman"/>
      <w:kern w:val="28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75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D7570"/>
  </w:style>
  <w:style w:type="paragraph" w:styleId="Zpat">
    <w:name w:val="footer"/>
    <w:basedOn w:val="Normln"/>
    <w:link w:val="ZpatChar"/>
    <w:uiPriority w:val="99"/>
    <w:unhideWhenUsed/>
    <w:rsid w:val="004D75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D7570"/>
  </w:style>
  <w:style w:type="paragraph" w:customStyle="1" w:styleId="Styl1">
    <w:name w:val="Styl1"/>
    <w:basedOn w:val="Zpat"/>
    <w:qFormat/>
    <w:rsid w:val="00DC4598"/>
    <w:pPr>
      <w:ind w:left="-1418"/>
    </w:pPr>
    <w:rPr>
      <w:rFonts w:ascii="Helvetica" w:hAnsi="Helvetica" w:cs="Arial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7CC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D637C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3717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537174"/>
    <w:rPr>
      <w:color w:val="800080"/>
      <w:u w:val="single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6D1F23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character" w:styleId="Odkaznakoment">
    <w:name w:val="annotation reference"/>
    <w:uiPriority w:val="99"/>
    <w:semiHidden/>
    <w:unhideWhenUsed/>
    <w:rsid w:val="003B3B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B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B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3BE4"/>
    <w:rPr>
      <w:b/>
      <w:bCs/>
    </w:rPr>
  </w:style>
  <w:style w:type="paragraph" w:customStyle="1" w:styleId="TextNOK">
    <w:name w:val="Text NOK"/>
    <w:basedOn w:val="Normln"/>
    <w:link w:val="TextNOKChar"/>
    <w:rsid w:val="001C2169"/>
    <w:pPr>
      <w:spacing w:before="60" w:after="60" w:line="312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NOKChar">
    <w:name w:val="Text NOK Char"/>
    <w:link w:val="TextNOK"/>
    <w:rsid w:val="001C2169"/>
    <w:rPr>
      <w:sz w:val="22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D84DD6"/>
    <w:pPr>
      <w:spacing w:after="0" w:line="240" w:lineRule="auto"/>
    </w:pPr>
    <w:rPr>
      <w:rFonts w:ascii="Consolas" w:eastAsia="Calibri" w:hAnsi="Consolas" w:cs="Consolas"/>
      <w:sz w:val="21"/>
      <w:szCs w:val="21"/>
      <w:lang w:eastAsia="cs-CZ"/>
    </w:rPr>
  </w:style>
  <w:style w:type="character" w:customStyle="1" w:styleId="ProsttextChar">
    <w:name w:val="Prostý text Char"/>
    <w:link w:val="Prosttext"/>
    <w:uiPriority w:val="99"/>
    <w:rsid w:val="00D84DD6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Standardnpsmoodstavce"/>
    <w:rsid w:val="004F6A7A"/>
  </w:style>
  <w:style w:type="character" w:styleId="Siln">
    <w:name w:val="Strong"/>
    <w:uiPriority w:val="22"/>
    <w:qFormat/>
    <w:rsid w:val="005A74B9"/>
    <w:rPr>
      <w:b/>
      <w:bCs/>
    </w:rPr>
  </w:style>
  <w:style w:type="character" w:customStyle="1" w:styleId="Nadpis1Char">
    <w:name w:val="Nadpis 1 Char"/>
    <w:link w:val="Nadpis1"/>
    <w:uiPriority w:val="9"/>
    <w:rsid w:val="007C3D6C"/>
    <w:rPr>
      <w:b/>
      <w:bCs/>
      <w:kern w:val="36"/>
      <w:sz w:val="48"/>
      <w:szCs w:val="48"/>
    </w:rPr>
  </w:style>
  <w:style w:type="character" w:customStyle="1" w:styleId="Nadpis4Char">
    <w:name w:val="Nadpis 4 Char"/>
    <w:link w:val="Nadpis4"/>
    <w:uiPriority w:val="9"/>
    <w:rsid w:val="007C3D6C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7C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draznn">
    <w:name w:val="Zdůraznění"/>
    <w:uiPriority w:val="20"/>
    <w:qFormat/>
    <w:rsid w:val="007C3D6C"/>
    <w:rPr>
      <w:i/>
      <w:iCs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DE06F1"/>
    <w:rPr>
      <w:rFonts w:ascii="Georgia" w:eastAsia="Calibri" w:hAnsi="Georgia" w:cs="Arial"/>
      <w:b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unhideWhenUsed/>
    <w:rsid w:val="00DE06F1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 w:val="22"/>
      <w:lang w:eastAsia="en-US"/>
    </w:rPr>
  </w:style>
  <w:style w:type="character" w:customStyle="1" w:styleId="ZhlavzprvyChar1">
    <w:name w:val="Záhlaví zprávy Char1"/>
    <w:basedOn w:val="Standardnpsmoodstavce"/>
    <w:uiPriority w:val="99"/>
    <w:semiHidden/>
    <w:rsid w:val="00DE06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qFormat/>
    <w:rsid w:val="00DE06F1"/>
  </w:style>
  <w:style w:type="paragraph" w:styleId="Odstavecseseznamem">
    <w:name w:val="List Paragraph"/>
    <w:basedOn w:val="Normln"/>
    <w:uiPriority w:val="34"/>
    <w:qFormat/>
    <w:rsid w:val="00B666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vraznn">
    <w:name w:val="Emphasis"/>
    <w:basedOn w:val="Standardnpsmoodstavce"/>
    <w:uiPriority w:val="20"/>
    <w:qFormat/>
    <w:rsid w:val="00B464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665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003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38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53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64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5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16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23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rm.unwto.org/sites/all/modules/civicrm/extern/url.php?u=97403&amp;qid=318898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rm.unwto.org/sites/all/modules/civicrm/extern/url.php?u=97402&amp;qid=3188989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tiskova_zpra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F46B1-2FC9-4D65-AA9B-3B86FA0D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tiskova_zprava</Template>
  <TotalTime>40</TotalTime>
  <Pages>2</Pages>
  <Words>741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Braun: Jsme připraveni na vyjednávání</vt:lpstr>
    </vt:vector>
  </TitlesOfParts>
  <Company>MMR</Company>
  <LinksUpToDate>false</LinksUpToDate>
  <CharactersWithSpaces>5108</CharactersWithSpaces>
  <SharedDoc>false</SharedDoc>
  <HLinks>
    <vt:vector size="12" baseType="variant">
      <vt:variant>
        <vt:i4>7864425</vt:i4>
      </vt:variant>
      <vt:variant>
        <vt:i4>3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mailto:media@mmr.cz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Braun: Jsme připraveni na vyjednávání</dc:title>
  <dc:creator>Hervert Štěpán</dc:creator>
  <cp:lastModifiedBy>Hervert Štěpán</cp:lastModifiedBy>
  <cp:revision>4</cp:revision>
  <cp:lastPrinted>2019-01-25T08:35:00Z</cp:lastPrinted>
  <dcterms:created xsi:type="dcterms:W3CDTF">2019-01-25T07:57:00Z</dcterms:created>
  <dcterms:modified xsi:type="dcterms:W3CDTF">2019-01-25T08:37:00Z</dcterms:modified>
</cp:coreProperties>
</file>