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13931493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862B25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4B824C19" w:rsidR="001E2F2A" w:rsidRPr="000F3BC2" w:rsidRDefault="001E2F2A" w:rsidP="000F3BC2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r w:rsidRP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Podmín</w:t>
      </w:r>
      <w:r w:rsidR="00D4737C" w:rsidRP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ky</w:t>
      </w:r>
      <w:r w:rsidRP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k</w:t>
      </w:r>
      <w:r w:rsid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 </w:t>
      </w:r>
      <w:r w:rsidRP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ROzhodnutí</w:t>
      </w:r>
      <w:r w:rsid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P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o</w:t>
      </w:r>
      <w:r w:rsidR="00680D14" w:rsidRP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 </w:t>
      </w:r>
      <w:r w:rsidRPr="000F3BC2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3B05B6A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5553D578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137905" w:rsidRPr="00137905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43225B" w:rsidRPr="00137905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137905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43225B" w:rsidRPr="00137905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161070" w:rsidRPr="00137905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137905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43225B" w:rsidRPr="00137905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</w:p>
    <w:p w14:paraId="5C7A9D69" w14:textId="3648263B" w:rsidR="00EA62BF" w:rsidRPr="00747D9D" w:rsidRDefault="00147AE5" w:rsidP="00320804">
      <w:pPr>
        <w:widowControl w:val="0"/>
      </w:pPr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00C075B2">
        <w:trPr>
          <w:trHeight w:val="477"/>
        </w:trPr>
        <w:tc>
          <w:tcPr>
            <w:tcW w:w="9322" w:type="dxa"/>
            <w:shd w:val="clear" w:color="auto" w:fill="D9D9D9" w:themeFill="background1" w:themeFillShade="D9"/>
          </w:tcPr>
          <w:p w14:paraId="44CEED92" w14:textId="27445CFC" w:rsidR="009E12B4" w:rsidRPr="00C075B2" w:rsidRDefault="00C6388C" w:rsidP="00C075B2">
            <w:pPr>
              <w:widowControl w:val="0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075B2">
              <w:rPr>
                <w:rFonts w:ascii="Arial" w:hAnsi="Arial" w:cs="Arial"/>
                <w:b/>
              </w:rPr>
              <w:lastRenderedPageBreak/>
              <w:t>P</w:t>
            </w:r>
            <w:r w:rsidR="00EA0230" w:rsidRPr="00C075B2">
              <w:rPr>
                <w:rFonts w:ascii="Arial" w:hAnsi="Arial" w:cs="Arial"/>
                <w:b/>
              </w:rPr>
              <w:t xml:space="preserve">odmínky </w:t>
            </w:r>
            <w:r w:rsidR="00104A11" w:rsidRPr="00C075B2">
              <w:rPr>
                <w:rFonts w:ascii="Arial" w:hAnsi="Arial" w:cs="Arial"/>
                <w:b/>
              </w:rPr>
              <w:t xml:space="preserve">poskytnutí </w:t>
            </w:r>
            <w:r w:rsidRPr="00C075B2">
              <w:rPr>
                <w:rFonts w:ascii="Arial" w:hAnsi="Arial" w:cs="Arial"/>
                <w:b/>
              </w:rPr>
              <w:t>dotace</w:t>
            </w:r>
            <w:r w:rsidR="009E12B4" w:rsidRPr="00C075B2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2C4A0E" w14:paraId="5CB0E3FA" w14:textId="77777777" w:rsidTr="69FA01A9">
        <w:tc>
          <w:tcPr>
            <w:tcW w:w="9322" w:type="dxa"/>
            <w:shd w:val="clear" w:color="auto" w:fill="auto"/>
          </w:tcPr>
          <w:p w14:paraId="29186297" w14:textId="77777777" w:rsidR="00636646" w:rsidRDefault="00636646" w:rsidP="00636646">
            <w:pPr>
              <w:pStyle w:val="Default"/>
              <w:spacing w:after="160" w:line="276" w:lineRule="auto"/>
              <w:ind w:left="850" w:right="2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C41CC0A" w14:textId="4CFD3649" w:rsidR="0036253A" w:rsidRPr="009E5AAB" w:rsidRDefault="002D6528" w:rsidP="009E5AAB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Příjemce dotace </w:t>
            </w:r>
            <w:r w:rsidR="00C8750F" w:rsidRPr="002C4A0E">
              <w:rPr>
                <w:rFonts w:eastAsiaTheme="minorHAnsi"/>
                <w:sz w:val="20"/>
                <w:szCs w:val="20"/>
                <w:lang w:eastAsia="en-US"/>
              </w:rPr>
              <w:t>je povinen při realizaci akce a při plnění 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předpisů, vyhlášky č. 560/2006 Sb., o účasti státního rozpočtu na financování programů reprodukce majetku, ve znění vyhlášky č. 11/2010 Sb.,</w:t>
            </w:r>
            <w:r w:rsidR="008916BA">
              <w:rPr>
                <w:rFonts w:eastAsiaTheme="minorHAnsi"/>
                <w:sz w:val="20"/>
                <w:szCs w:val="20"/>
                <w:lang w:eastAsia="en-US"/>
              </w:rPr>
              <w:t xml:space="preserve"> dále z</w:t>
            </w:r>
            <w:r w:rsidR="00C8750F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Pokynu č. R 1 – 2010 k upřesnění postupu Ministerstva financí, správců programů a účastníků programu při přípravě, realizaci, financování a vyhodnocování programu nebo akce a k provozování informačního systému programového financování,</w:t>
            </w:r>
            <w:r w:rsidR="009E5AA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916BA">
              <w:rPr>
                <w:rFonts w:eastAsiaTheme="minorHAnsi"/>
                <w:sz w:val="20"/>
                <w:szCs w:val="20"/>
                <w:lang w:eastAsia="en-US"/>
              </w:rPr>
              <w:t xml:space="preserve">z </w:t>
            </w:r>
            <w:r w:rsidR="009E5AAB">
              <w:rPr>
                <w:rFonts w:eastAsiaTheme="minorHAnsi"/>
                <w:sz w:val="20"/>
                <w:szCs w:val="20"/>
                <w:lang w:eastAsia="en-US"/>
              </w:rPr>
              <w:t>vyhlášky</w:t>
            </w:r>
            <w:r w:rsidR="009E5AAB" w:rsidRPr="009E5AAB">
              <w:rPr>
                <w:rFonts w:eastAsiaTheme="minorHAnsi"/>
                <w:sz w:val="20"/>
                <w:szCs w:val="20"/>
                <w:lang w:eastAsia="en-US"/>
              </w:rPr>
              <w:t xml:space="preserve"> č. 367/2015 Sb.</w:t>
            </w:r>
            <w:r w:rsidR="009E5AAB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="009E5AAB" w:rsidRPr="009E5AAB">
              <w:rPr>
                <w:rFonts w:eastAsiaTheme="minorHAnsi"/>
                <w:sz w:val="20"/>
                <w:szCs w:val="20"/>
                <w:lang w:eastAsia="en-US"/>
              </w:rPr>
              <w:t>o zásadách a lhůtách finančního vypořádání vztahů se státním rozpočtem, státními finančními aktivy a Národním fondem (vyhláška o finančním vypořádání)</w:t>
            </w:r>
            <w:r w:rsidR="00C8750F" w:rsidRPr="009E5AAB">
              <w:rPr>
                <w:rFonts w:eastAsiaTheme="minorHAnsi"/>
                <w:sz w:val="20"/>
                <w:szCs w:val="20"/>
                <w:lang w:eastAsia="en-US"/>
              </w:rPr>
              <w:t xml:space="preserve"> a obecně postupovat v souladu platnými právními předpisy.</w:t>
            </w:r>
          </w:p>
          <w:p w14:paraId="6C0C23DF" w14:textId="472A9777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je také povinen dodržet podmínky pro poskytnutí dotace stanovené</w:t>
            </w:r>
            <w:r w:rsidR="009E5AAB">
              <w:rPr>
                <w:rFonts w:eastAsiaTheme="minorHAnsi"/>
                <w:sz w:val="20"/>
                <w:szCs w:val="20"/>
                <w:lang w:eastAsia="en-US"/>
              </w:rPr>
              <w:t xml:space="preserve"> v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Pravidlech pro žadatele</w:t>
            </w:r>
            <w:r w:rsidR="00B90544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a příjemce (dále jen „Pravidla“).</w:t>
            </w:r>
          </w:p>
          <w:p w14:paraId="4444427C" w14:textId="571D46F7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je povinen splnit účel dotace, kterým je metodická podpora při přípravě projektů v souladu s cíli EU,</w:t>
            </w:r>
            <w:r w:rsidR="00610672">
              <w:rPr>
                <w:rFonts w:eastAsiaTheme="minorHAnsi"/>
                <w:sz w:val="20"/>
                <w:szCs w:val="20"/>
                <w:lang w:eastAsia="en-US"/>
              </w:rPr>
              <w:t xml:space="preserve"> založení Koordinačního a kompetenčního centra a přijetí plánu jeho řízení,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a to v termínu financování akce stanoveném Rozhodnutím. </w:t>
            </w:r>
          </w:p>
          <w:p w14:paraId="5C148013" w14:textId="5A2BC0E0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3653ECFE" w14:textId="0845F7D0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je povinen bez zbytečného odkladu oznámit písemně poskytovateli veškeré skutečnosti, které mohou mít vliv na plnění účelu poskytované dotace, a případně další změny související s poskytnutou dotací.</w:t>
            </w:r>
          </w:p>
          <w:p w14:paraId="3C7AD790" w14:textId="3525930C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je povinen při plnění účelu dotace postupovat v souladu s veškerými doklady a informacemi předloženými poskytovateli.</w:t>
            </w:r>
          </w:p>
          <w:p w14:paraId="25EEB32F" w14:textId="5CBC1FA0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Celková výše poskytnuté dotace uvedená v Rozhodnutí nebude překročena. Dotace bude příjemcem vynaložena na odůvodněné a řádně prokázané způsobilé výdaje. Nezpůsobilé výdaje projektu hradí příjemce z vlastních zdrojů. Navýšení poskytnuté dotace není možné.</w:t>
            </w:r>
          </w:p>
          <w:p w14:paraId="361856E8" w14:textId="1DAAF192" w:rsidR="00C8750F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Příjemce je povinen předkládat pravdivé a úplné informace o stavu realizace projektu prostřednictvím </w:t>
            </w:r>
            <w:r w:rsidR="008F3C9B">
              <w:rPr>
                <w:rFonts w:eastAsiaTheme="minorHAnsi"/>
                <w:sz w:val="20"/>
                <w:szCs w:val="20"/>
                <w:lang w:eastAsia="en-US"/>
              </w:rPr>
              <w:t xml:space="preserve">průběžných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zpráv o realizaci projektu (dále</w:t>
            </w:r>
            <w:r w:rsidR="009E5AAB">
              <w:rPr>
                <w:rFonts w:eastAsiaTheme="minorHAnsi"/>
                <w:sz w:val="20"/>
                <w:szCs w:val="20"/>
                <w:lang w:eastAsia="en-US"/>
              </w:rPr>
              <w:t xml:space="preserve"> jen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„ZoR projektu“)</w:t>
            </w:r>
            <w:r w:rsidR="000C5080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ZoR projektu předkládá příjemce</w:t>
            </w:r>
            <w:r w:rsidR="000C5080">
              <w:rPr>
                <w:rFonts w:eastAsiaTheme="minorHAnsi"/>
                <w:sz w:val="20"/>
                <w:szCs w:val="20"/>
                <w:lang w:eastAsia="en-US"/>
              </w:rPr>
              <w:t xml:space="preserve"> pololetně, </w:t>
            </w:r>
            <w:r w:rsidR="00A15E51">
              <w:rPr>
                <w:rFonts w:eastAsiaTheme="minorHAnsi"/>
                <w:sz w:val="20"/>
                <w:szCs w:val="20"/>
                <w:lang w:eastAsia="en-US"/>
              </w:rPr>
              <w:t>za sledovaná období a ve lhůtě, které jsou rozepsány v Pravidlech</w:t>
            </w:r>
            <w:r w:rsidR="000C5080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="000C5080" w:rsidRPr="000C508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Tato lhůta může být prodloužena, pokud o to příjemce požádá před uplynutím lhůty pro podání ZoR projektu a svou žádost dostatečně odůvodní.</w:t>
            </w:r>
          </w:p>
          <w:p w14:paraId="70135862" w14:textId="76F2954D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V pravidelných termínech stanovených v Pravidlech je příjemce povinen předkládat depeší informace o plnění indikátorů. </w:t>
            </w:r>
          </w:p>
          <w:p w14:paraId="5AAEB059" w14:textId="6A3752F6" w:rsidR="00843893" w:rsidRPr="002C4A0E" w:rsidRDefault="00843893" w:rsidP="0084389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Č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erpání dotace bude probíhat formou ex</w:t>
            </w:r>
            <w:r w:rsidR="000540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post plateb, tzn., že prostředky z dotace budou příjemci dotace vypláceny až po předložení již vynaložených výdajů.</w:t>
            </w:r>
          </w:p>
          <w:p w14:paraId="7AB026B0" w14:textId="7CA3C3E4" w:rsidR="00843893" w:rsidRPr="002C4A0E" w:rsidRDefault="00843893" w:rsidP="0084389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Prostředky z dotace budou příjemci dotace vypláceny na základě </w:t>
            </w:r>
            <w:r w:rsidR="00C142B6">
              <w:rPr>
                <w:rFonts w:eastAsiaTheme="minorHAnsi"/>
                <w:sz w:val="20"/>
                <w:szCs w:val="20"/>
                <w:lang w:eastAsia="en-US"/>
              </w:rPr>
              <w:t xml:space="preserve">(zjednodušené)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žádosti o </w:t>
            </w:r>
            <w:r w:rsidR="00C142B6">
              <w:rPr>
                <w:rFonts w:eastAsiaTheme="minorHAnsi"/>
                <w:sz w:val="20"/>
                <w:szCs w:val="20"/>
                <w:lang w:eastAsia="en-US"/>
              </w:rPr>
              <w:t>platbu</w:t>
            </w:r>
            <w:r w:rsidR="0093553C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r w:rsidR="00C142B6">
              <w:rPr>
                <w:rFonts w:eastAsiaTheme="minorHAnsi"/>
                <w:sz w:val="20"/>
                <w:szCs w:val="20"/>
                <w:lang w:eastAsia="en-US"/>
              </w:rPr>
              <w:t>tranši</w:t>
            </w:r>
            <w:r w:rsidR="0093553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3553C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(dále </w:t>
            </w:r>
            <w:r w:rsidR="0093553C">
              <w:rPr>
                <w:rFonts w:eastAsiaTheme="minorHAnsi"/>
                <w:sz w:val="20"/>
                <w:szCs w:val="20"/>
                <w:lang w:eastAsia="en-US"/>
              </w:rPr>
              <w:t xml:space="preserve">jen </w:t>
            </w:r>
            <w:r w:rsidR="0093553C" w:rsidRPr="002C4A0E">
              <w:rPr>
                <w:rFonts w:eastAsiaTheme="minorHAnsi"/>
                <w:sz w:val="20"/>
                <w:szCs w:val="20"/>
                <w:lang w:eastAsia="en-US"/>
              </w:rPr>
              <w:t>„ŽoP“)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. Prostředky budou vyplaceny příjemci dotace na jeho bankovní účet vedený u ČNB.</w:t>
            </w:r>
            <w:r w:rsidR="0093553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3553C" w:rsidRPr="002C4A0E">
              <w:rPr>
                <w:rFonts w:eastAsiaTheme="minorHAnsi"/>
                <w:sz w:val="20"/>
                <w:szCs w:val="20"/>
                <w:lang w:eastAsia="en-US"/>
              </w:rPr>
              <w:t>ŽoP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je poskytovateli předkládána </w:t>
            </w:r>
            <w:r w:rsidR="0093553C">
              <w:rPr>
                <w:rFonts w:eastAsiaTheme="minorHAnsi"/>
                <w:sz w:val="20"/>
                <w:szCs w:val="20"/>
                <w:lang w:eastAsia="en-US"/>
              </w:rPr>
              <w:t xml:space="preserve">zpravidla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současně se </w:t>
            </w:r>
            <w:r w:rsidR="0093553C">
              <w:rPr>
                <w:rFonts w:eastAsiaTheme="minorHAnsi"/>
                <w:sz w:val="20"/>
                <w:szCs w:val="20"/>
                <w:lang w:eastAsia="en-US"/>
              </w:rPr>
              <w:t>ZoR projektu.</w:t>
            </w:r>
          </w:p>
          <w:p w14:paraId="52C91E67" w14:textId="319EFB5D" w:rsidR="00843893" w:rsidRPr="002C4A0E" w:rsidRDefault="00B9792C" w:rsidP="00843893">
            <w:pPr>
              <w:pStyle w:val="Default"/>
              <w:spacing w:after="160" w:line="276" w:lineRule="auto"/>
              <w:ind w:left="850" w:right="2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ŽoP </w:t>
            </w:r>
            <w:r w:rsidR="00843893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bude obsahovat: </w:t>
            </w:r>
          </w:p>
          <w:p w14:paraId="08A047FD" w14:textId="77777777" w:rsidR="00843893" w:rsidRPr="00B12A91" w:rsidRDefault="00843893" w:rsidP="00B12A91">
            <w:pPr>
              <w:pStyle w:val="Bezmezer"/>
              <w:numPr>
                <w:ilvl w:val="0"/>
                <w:numId w:val="49"/>
              </w:numPr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12A91">
              <w:rPr>
                <w:rFonts w:ascii="Arial" w:eastAsiaTheme="minorHAnsi" w:hAnsi="Arial" w:cs="Arial"/>
                <w:color w:val="000000"/>
                <w:lang w:eastAsia="en-US"/>
              </w:rPr>
              <w:t xml:space="preserve">název a číslo programu; </w:t>
            </w:r>
          </w:p>
          <w:p w14:paraId="07F65DFA" w14:textId="77777777" w:rsidR="00843893" w:rsidRPr="00B12A91" w:rsidRDefault="00843893" w:rsidP="00B12A91">
            <w:pPr>
              <w:pStyle w:val="Bezmezer"/>
              <w:numPr>
                <w:ilvl w:val="0"/>
                <w:numId w:val="49"/>
              </w:numPr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12A91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název akce; </w:t>
            </w:r>
          </w:p>
          <w:p w14:paraId="117FE19E" w14:textId="77777777" w:rsidR="00843893" w:rsidRPr="00B12A91" w:rsidRDefault="00843893" w:rsidP="00B12A91">
            <w:pPr>
              <w:pStyle w:val="Bezmezer"/>
              <w:numPr>
                <w:ilvl w:val="0"/>
                <w:numId w:val="49"/>
              </w:numPr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12A91">
              <w:rPr>
                <w:rFonts w:ascii="Arial" w:eastAsiaTheme="minorHAnsi" w:hAnsi="Arial" w:cs="Arial"/>
                <w:color w:val="000000"/>
                <w:lang w:eastAsia="en-US"/>
              </w:rPr>
              <w:t xml:space="preserve">identifikaci žadatele/příjemce dotace; </w:t>
            </w:r>
          </w:p>
          <w:p w14:paraId="71FF1ACD" w14:textId="77777777" w:rsidR="00843893" w:rsidRPr="00B12A91" w:rsidRDefault="00843893" w:rsidP="00B12A91">
            <w:pPr>
              <w:pStyle w:val="Bezmezer"/>
              <w:numPr>
                <w:ilvl w:val="0"/>
                <w:numId w:val="49"/>
              </w:numPr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12A91">
              <w:rPr>
                <w:rFonts w:ascii="Arial" w:eastAsiaTheme="minorHAnsi" w:hAnsi="Arial" w:cs="Arial"/>
                <w:color w:val="000000"/>
                <w:lang w:eastAsia="en-US"/>
              </w:rPr>
              <w:t xml:space="preserve">požadovanou výši dotace za dané období; </w:t>
            </w:r>
          </w:p>
          <w:p w14:paraId="62B41159" w14:textId="19B91750" w:rsidR="00843893" w:rsidRDefault="00843893" w:rsidP="00B12A91">
            <w:pPr>
              <w:pStyle w:val="Bezmezer"/>
              <w:numPr>
                <w:ilvl w:val="0"/>
                <w:numId w:val="49"/>
              </w:numPr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12A91">
              <w:rPr>
                <w:rFonts w:ascii="Arial" w:eastAsiaTheme="minorHAnsi" w:hAnsi="Arial" w:cs="Arial"/>
                <w:color w:val="000000"/>
                <w:lang w:eastAsia="en-US"/>
              </w:rPr>
              <w:t xml:space="preserve">soupis/přehled faktur/dokladů, které byly příjemcem dotace </w:t>
            </w:r>
            <w:r w:rsidR="00B9792C" w:rsidRPr="00B12A91">
              <w:rPr>
                <w:rFonts w:ascii="Arial" w:eastAsiaTheme="minorHAnsi" w:hAnsi="Arial" w:cs="Arial"/>
                <w:color w:val="000000"/>
                <w:lang w:eastAsia="en-US"/>
              </w:rPr>
              <w:t xml:space="preserve">uhrazeny, </w:t>
            </w:r>
            <w:r w:rsidRPr="00B12A91">
              <w:rPr>
                <w:rFonts w:ascii="Arial" w:eastAsiaTheme="minorHAnsi" w:hAnsi="Arial" w:cs="Arial"/>
                <w:color w:val="000000"/>
                <w:lang w:eastAsia="en-US"/>
              </w:rPr>
              <w:t>přehled proplacených faktur/dokladů musí obsahovat alespoň identifikaci dokladu a částku, přičemž se musí jednat o způsobilý/uznatelný náklad</w:t>
            </w:r>
            <w:r w:rsidR="005D1E62" w:rsidRPr="00B12A91">
              <w:rPr>
                <w:rFonts w:ascii="Arial" w:eastAsiaTheme="minorHAnsi" w:hAnsi="Arial" w:cs="Arial"/>
                <w:color w:val="000000"/>
                <w:lang w:eastAsia="en-US"/>
              </w:rPr>
              <w:t>.</w:t>
            </w:r>
          </w:p>
          <w:p w14:paraId="6CC01B0C" w14:textId="77777777" w:rsidR="00B12A91" w:rsidRPr="00B12A91" w:rsidRDefault="00B12A91" w:rsidP="00B12A91">
            <w:pPr>
              <w:pStyle w:val="Bezmez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14:paraId="310A6C4F" w14:textId="58D7CAE0" w:rsidR="00843893" w:rsidRPr="00B04C61" w:rsidRDefault="00843893" w:rsidP="00B04C61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Finanční prostředky požadované v </w:t>
            </w:r>
            <w:r w:rsidR="00AB009C" w:rsidRPr="002C4A0E">
              <w:rPr>
                <w:rFonts w:eastAsiaTheme="minorHAnsi"/>
                <w:sz w:val="20"/>
                <w:szCs w:val="20"/>
                <w:lang w:eastAsia="en-US"/>
              </w:rPr>
              <w:t>ŽoP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, (tj. celkové vydané prostředky v daném období), bud</w:t>
            </w:r>
            <w:r w:rsidR="005D1E62">
              <w:rPr>
                <w:rFonts w:eastAsiaTheme="minorHAnsi"/>
                <w:sz w:val="20"/>
                <w:szCs w:val="20"/>
                <w:lang w:eastAsia="en-US"/>
              </w:rPr>
              <w:t>ou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převeden</w:t>
            </w:r>
            <w:r w:rsidR="005D1E62">
              <w:rPr>
                <w:rFonts w:eastAsiaTheme="minorHAnsi"/>
                <w:sz w:val="20"/>
                <w:szCs w:val="20"/>
                <w:lang w:eastAsia="en-US"/>
              </w:rPr>
              <w:t>y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na účet příjemce dotace do 21 dnů od podání </w:t>
            </w:r>
            <w:r w:rsidR="005D1E62" w:rsidRPr="002C4A0E">
              <w:rPr>
                <w:rFonts w:eastAsiaTheme="minorHAnsi"/>
                <w:sz w:val="20"/>
                <w:szCs w:val="20"/>
                <w:lang w:eastAsia="en-US"/>
              </w:rPr>
              <w:t>ŽoP</w:t>
            </w:r>
            <w:r w:rsidR="00B04C61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B04C61">
              <w:rPr>
                <w:rFonts w:eastAsiaTheme="minorHAnsi"/>
                <w:sz w:val="20"/>
                <w:szCs w:val="20"/>
                <w:lang w:eastAsia="en-US"/>
              </w:rPr>
              <w:t xml:space="preserve">která bude splňovat veškeré náležitosti. </w:t>
            </w:r>
          </w:p>
          <w:p w14:paraId="77E9D888" w14:textId="625BA3FC" w:rsidR="00843893" w:rsidRPr="002C4A0E" w:rsidDel="00BC14CF" w:rsidRDefault="00AB009C" w:rsidP="0084389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ŽoP</w:t>
            </w:r>
            <w:r w:rsidRPr="002C4A0E" w:rsidDel="00BC14C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43893" w:rsidRPr="002C4A0E" w:rsidDel="00BC14CF">
              <w:rPr>
                <w:rFonts w:eastAsiaTheme="minorHAnsi"/>
                <w:sz w:val="20"/>
                <w:szCs w:val="20"/>
                <w:lang w:eastAsia="en-US"/>
              </w:rPr>
              <w:t xml:space="preserve">může obsahovat také platby z minulých období na základě dosud neuplatněných faktur/dokladů za předpokladu, že tyto platby/faktury/doklady splňují v době předložení </w:t>
            </w:r>
            <w:r w:rsidR="005D1E62" w:rsidRPr="002C4A0E">
              <w:rPr>
                <w:rFonts w:eastAsiaTheme="minorHAnsi"/>
                <w:sz w:val="20"/>
                <w:szCs w:val="20"/>
                <w:lang w:eastAsia="en-US"/>
              </w:rPr>
              <w:t>ŽoP</w:t>
            </w:r>
            <w:r w:rsidR="005D1E62" w:rsidRPr="002C4A0E" w:rsidDel="00BC14C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43893" w:rsidRPr="002C4A0E" w:rsidDel="00BC14CF">
              <w:rPr>
                <w:rFonts w:eastAsiaTheme="minorHAnsi"/>
                <w:sz w:val="20"/>
                <w:szCs w:val="20"/>
                <w:lang w:eastAsia="en-US"/>
              </w:rPr>
              <w:t xml:space="preserve">všechny náležitosti. </w:t>
            </w:r>
          </w:p>
          <w:p w14:paraId="6124BE55" w14:textId="5D42114F" w:rsidR="00843893" w:rsidRDefault="00843893" w:rsidP="0084389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Poslední </w:t>
            </w:r>
            <w:r w:rsidR="00AB009C" w:rsidRPr="002C4A0E">
              <w:rPr>
                <w:rFonts w:eastAsiaTheme="minorHAnsi"/>
                <w:sz w:val="20"/>
                <w:szCs w:val="20"/>
                <w:lang w:eastAsia="en-US"/>
              </w:rPr>
              <w:t>ŽoP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k proplacení v běžném roce musí příjemce dotace poskytovateli předložit nejpozději do 5. 12. běžného roku. </w:t>
            </w:r>
            <w:r w:rsidR="001C68C8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ŽoP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předložená po 5. 12. běžného roku bude administrována v roce následujícím.</w:t>
            </w:r>
          </w:p>
          <w:p w14:paraId="0D32A396" w14:textId="113572BB" w:rsidR="00843893" w:rsidRPr="00843893" w:rsidRDefault="00843893" w:rsidP="0084389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je povinen oznámit poskytovateli dotace jakoukoliv změnu údajů uvedených v žádosti o podporu před samotnou realizací této změny. V případě, že má změna vliv na podávanou ŽoP/ZoR projektu, musí příjemce podat žádost o změnu údajů před podáním této ŽoP/ZoR projektu nejpozději s datem ukončení sledovaného období/projektu. V návaznosti na funkčnost systému je třeba, aby byla nejdříve schválena žádost o změnu a následně podána ŽoP/ZoR projektu.</w:t>
            </w:r>
          </w:p>
          <w:p w14:paraId="490EC05F" w14:textId="080AF4F2" w:rsidR="00843893" w:rsidRPr="00843893" w:rsidRDefault="00843893" w:rsidP="0084389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Příjemce je povinen nejpozději při podání závěrečné ŽoP a ZoR prokázat, že bylo dosaženo účelu, na který mu byla dotace poskytnuta, a prokázat, že indikátory uvedené v Rozhodnutí byly naplněny v termínu uvedeném v Rozhodnutí. </w:t>
            </w:r>
          </w:p>
          <w:p w14:paraId="366EFB62" w14:textId="59A6B67E" w:rsidR="00843893" w:rsidRPr="002C4A0E" w:rsidRDefault="00843893" w:rsidP="0084389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82EEF">
              <w:rPr>
                <w:rFonts w:eastAsiaTheme="minorHAnsi"/>
                <w:sz w:val="20"/>
                <w:szCs w:val="20"/>
                <w:lang w:eastAsia="en-US"/>
              </w:rPr>
              <w:t>V případě, že příjemce dotace zjistí, že není schopen celou výši dotace vyčerpat do data stanoveného pro financování akce v Rozhodnutí, předloží poskytovateli žádost o změnu Rozhodnutí spočívající ve změně výše dotace, tj. snížení výše dotace na částku odpovídající výši předpokládaného dočerpání prostředků příjemcem dotace. Takto uvolněné prostředky budou navráceny na agregační akci programu dále k využití.</w:t>
            </w:r>
          </w:p>
          <w:p w14:paraId="054485CD" w14:textId="112F30FF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Výsledky projektu je příjemce povinen zachovat minimálně do konce roku 2026 od doby, kdy projekt nabyl v MS14+ centrální stav „Projekt finančně ukončen ze strany ŘO“, pokud je to z hlediska charakteru projektu možné</w:t>
            </w:r>
            <w:r w:rsidR="00701858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a tuto skutečnost poskytovateli dotace dokládat prostřednictvím pravidelných zpráv o udržitelnosti.</w:t>
            </w:r>
          </w:p>
          <w:p w14:paraId="60E79BA9" w14:textId="7FAC1B5D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nesmí na stejné způsobilé výdaje vykázané v projektu nebo jejich části čerpat veřejnou podporu podle článku 107 odst. 1 Smlouvy o fungování Evropské unie, podporu z prostředků Unie, které centrálně spravují orgány agentury, společné podniky a jiné subjekty Unie a která není přímo ani nepřímo pod kontrolou členských států, podporu ze státního rozpočtu a dalších veřejných zdrojů a ani podporu v režimu de minimis.</w:t>
            </w:r>
          </w:p>
          <w:p w14:paraId="20B32A15" w14:textId="698EE5F0" w:rsidR="0036253A" w:rsidRPr="002E38A4" w:rsidRDefault="00C8750F" w:rsidP="002E38A4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je povinen při zadávání veřejných zakázek postupovat v souladu se zákonem č. 134/2016 Sb., o zadávání veřejných zakázek</w:t>
            </w:r>
            <w:r w:rsidR="00B04C61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02229" w:rsidRPr="002C4A0E">
              <w:rPr>
                <w:rFonts w:eastAsiaTheme="minorHAnsi"/>
                <w:sz w:val="20"/>
                <w:szCs w:val="20"/>
                <w:lang w:eastAsia="en-US"/>
              </w:rPr>
              <w:t>ve znění pozdějších předpisů</w:t>
            </w:r>
            <w:r w:rsidR="00E0222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E02229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a v souladu s Metodickým pokynem pro zadávací řízení pro Národní plán obnovy na období 2021-2026.</w:t>
            </w:r>
            <w:r w:rsidR="002E38A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E38A4">
              <w:rPr>
                <w:rFonts w:eastAsiaTheme="minorHAnsi"/>
                <w:sz w:val="20"/>
                <w:szCs w:val="20"/>
                <w:lang w:eastAsia="en-US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14:paraId="1770D609" w14:textId="7FA07C4E" w:rsidR="0036253A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Finanční kontrola, řízení o odnětí dotace a ukládání sankcí za porušení rozpočtové kázně j</w:t>
            </w:r>
            <w:r w:rsidR="00A65A63">
              <w:rPr>
                <w:rFonts w:eastAsiaTheme="minorHAnsi"/>
                <w:sz w:val="20"/>
                <w:szCs w:val="20"/>
                <w:lang w:eastAsia="en-US"/>
              </w:rPr>
              <w:t>sou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prováděn</w:t>
            </w:r>
            <w:r w:rsidR="00C530AB">
              <w:rPr>
                <w:rFonts w:eastAsiaTheme="minorHAnsi"/>
                <w:sz w:val="20"/>
                <w:szCs w:val="20"/>
                <w:lang w:eastAsia="en-US"/>
              </w:rPr>
              <w:t>y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v souladu s příslušnými ustanoveními zákona č. 218/2000 Sb., o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rozpočtových pravidlech a o změně některých souvisejících zákonů</w:t>
            </w:r>
            <w:r w:rsidR="009B1388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ve znění pozdějších předpisů, zákonem</w:t>
            </w:r>
            <w:r w:rsidR="009B1388">
              <w:rPr>
                <w:rFonts w:eastAsiaTheme="minorHAnsi"/>
                <w:sz w:val="20"/>
                <w:szCs w:val="20"/>
                <w:lang w:eastAsia="en-US"/>
              </w:rPr>
              <w:t xml:space="preserve"> č.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320/2001 Sb., o finanční kontrole ve veřejné správě a o změně některých zákonů (zákon o finanční kontrole), ve znění pozdějších předpisů a zákonem č. 255/2012 Sb., o kontrole (kontrolní řád), ve znění pozdějších předpisů.</w:t>
            </w:r>
          </w:p>
          <w:p w14:paraId="763AEAF5" w14:textId="5FDAA825" w:rsidR="009B1388" w:rsidRPr="009B1388" w:rsidRDefault="009B1388" w:rsidP="009B1388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 soutěže, územních finančních orgánů a dalších oprávněných subjektů</w:t>
            </w:r>
            <w:r w:rsidR="00117547">
              <w:rPr>
                <w:rFonts w:eastAsiaTheme="minorHAnsi"/>
                <w:sz w:val="20"/>
                <w:szCs w:val="20"/>
                <w:lang w:eastAsia="en-US"/>
              </w:rPr>
              <w:t xml:space="preserve"> včetně Evropského účetního dvora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6905C07D" w14:textId="489605E5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Příjemce dotace souhlasí s prováděním ověřování v žádosti uvedených skutečností a plnění podmínek čerpání dotace poskytovatelem dotace či jinými pověřenými osobami a s výkonem veřejnosprávních kontrol dle zákona č. 320/2001 Sb., o finanční kontrole ve veřejné správě a o změně některých zákonů (zákon o finanční kontrole), ve znění pozdějších předpisů. 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</w:t>
            </w:r>
            <w:r w:rsidR="00FD3830">
              <w:rPr>
                <w:rFonts w:eastAsiaTheme="minorHAnsi"/>
                <w:sz w:val="20"/>
                <w:szCs w:val="20"/>
                <w:lang w:eastAsia="en-US"/>
              </w:rPr>
              <w:t>osobám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 podmínky k provedení kontroly vztahující se k realizaci projektu a poskytnout jim při provádění kontroly součinnost.</w:t>
            </w:r>
          </w:p>
          <w:p w14:paraId="1F9CE89D" w14:textId="44D5ECA5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souhlasí se zveřejněním svého</w:t>
            </w:r>
            <w:r w:rsidR="002D5F1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názvu, výše dotace a dalších údajů uvedených v žádosti o poskytnutí dotace.</w:t>
            </w:r>
          </w:p>
          <w:p w14:paraId="40984289" w14:textId="2ED0986F" w:rsidR="00C8750F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je povinen v souladu s platnými právními předpisy, nejméně však po dobu 10 let od proplacení dotace uchovávat pro potřeby kontroly a archivace veškerou dokumentaci související s dotací.</w:t>
            </w:r>
          </w:p>
          <w:p w14:paraId="2C3D468E" w14:textId="77777777" w:rsidR="00C8750F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V průběhu realizace projektu nebo při plnění účelu dotace je příjemce dotace povinen informovat veřejnost o financování projektu z RRF v souladu s pravidly publicity uvedenými v Pravidlech.</w:t>
            </w:r>
          </w:p>
          <w:p w14:paraId="1DA11C40" w14:textId="467B9F5E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Příjemce dotace se zavazuje, že majetek, na jehož pořízení nebo zhodnocení byla poskytnuta dotace, nepřevede do konce udržitelnosti na jinou právnickou nebo fyzickou osobu bez předchozího souhlasu poskytovatele dotace.</w:t>
            </w:r>
          </w:p>
          <w:p w14:paraId="4725B194" w14:textId="239BC824" w:rsidR="0036253A" w:rsidRPr="002C4A0E" w:rsidRDefault="00C8750F" w:rsidP="00C075B2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Pokud příjemce dotace zjistí, že nemůže dodržet některou z Podmínek poskytnutí dotace uvedených v části I. Rozhodnutí, neprodleně o tom informuje poskytovatele; v relevantním případě požádá o změnu Rozhodnutí.</w:t>
            </w:r>
          </w:p>
          <w:p w14:paraId="3E3D9CB0" w14:textId="276B636F" w:rsidR="00154103" w:rsidRPr="007A5AA3" w:rsidRDefault="00C8750F" w:rsidP="007A5AA3">
            <w:pPr>
              <w:pStyle w:val="Default"/>
              <w:numPr>
                <w:ilvl w:val="0"/>
                <w:numId w:val="42"/>
              </w:numP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Příjemce dotace je povinen vést účetnictví dle zákona č. 563/1991 Sb., o účetnictví, ve znění pozdějších předpisů, a vést analytickou evidenci s vazbou na Rozhodnutí. </w:t>
            </w:r>
          </w:p>
        </w:tc>
      </w:tr>
    </w:tbl>
    <w:p w14:paraId="46AB2C74" w14:textId="4587C021" w:rsidR="00836E4E" w:rsidRPr="002C4A0E" w:rsidRDefault="00836E4E" w:rsidP="00C075B2">
      <w:pPr>
        <w:pStyle w:val="Default"/>
        <w:spacing w:after="160" w:line="276" w:lineRule="auto"/>
        <w:ind w:left="850" w:right="241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2C4A0E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2C4A0E" w:rsidRDefault="00E37C77" w:rsidP="00C075B2">
            <w:pPr>
              <w:widowControl w:val="0"/>
              <w:numPr>
                <w:ilvl w:val="0"/>
                <w:numId w:val="25"/>
              </w:numPr>
              <w:rPr>
                <w:rFonts w:ascii="Arial" w:eastAsiaTheme="minorHAnsi" w:hAnsi="Arial" w:cs="Arial"/>
                <w:lang w:eastAsia="en-US"/>
              </w:rPr>
            </w:pPr>
            <w:r w:rsidRPr="00C075B2">
              <w:rPr>
                <w:rFonts w:ascii="Arial" w:hAnsi="Arial" w:cs="Arial"/>
                <w:b/>
              </w:rPr>
              <w:t>Porušení podmínek čerpání dotace</w:t>
            </w:r>
            <w:r w:rsidR="009E12B4" w:rsidRPr="00C075B2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2C4A0E" w14:paraId="2B72F9F7" w14:textId="77777777" w:rsidTr="40FD4FE4">
        <w:tc>
          <w:tcPr>
            <w:tcW w:w="9356" w:type="dxa"/>
            <w:shd w:val="clear" w:color="auto" w:fill="auto"/>
          </w:tcPr>
          <w:p w14:paraId="6995240E" w14:textId="77777777" w:rsidR="002E38A4" w:rsidRDefault="002E38A4" w:rsidP="00482EE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right="2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_Ref29670282"/>
            <w:bookmarkStart w:id="1" w:name="_Ref29794117"/>
          </w:p>
          <w:p w14:paraId="1C54D4B8" w14:textId="3982CA3C" w:rsidR="002E38A4" w:rsidRDefault="00C8750F" w:rsidP="002E38A4">
            <w:pPr>
              <w:pStyle w:val="Defaul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075B2">
              <w:rPr>
                <w:rFonts w:eastAsiaTheme="minorHAnsi"/>
                <w:sz w:val="20"/>
                <w:szCs w:val="20"/>
                <w:lang w:eastAsia="en-US"/>
              </w:rPr>
              <w:t>V případě porušení podmínek týkajících se účelu dotace, a pokud dojde k porušení povinnosti oznámení skutečností majících vliv na povahu nebo podmínky účelu dotace, nebo změn, a tato neoznámená skutečnost/změna bude mít prokazatelný vliv na plnění účelu dotace, a dále v případě zadržení prostředků podle § 44 odst. 1 písm. b) rozpočtových pravidel, bude vyměřen odvod za porušení rozpočtové kázně podle § 44a odst. 4 písm. c) rozpočtových pravidel.</w:t>
            </w:r>
            <w:bookmarkEnd w:id="0"/>
            <w:r w:rsidRPr="00C075B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20AA491B" w14:textId="4B1B7CF8" w:rsidR="00C8750F" w:rsidRPr="000B4978" w:rsidRDefault="00C8750F" w:rsidP="000B4978">
            <w:pPr>
              <w:pStyle w:val="Defaul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" w:name="_Ref29794112"/>
            <w:r w:rsidRPr="002C4A0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V případě, že</w:t>
            </w:r>
            <w:bookmarkEnd w:id="2"/>
            <w:r w:rsidR="000B497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B4978">
              <w:rPr>
                <w:rFonts w:eastAsiaTheme="minorHAnsi"/>
                <w:sz w:val="20"/>
                <w:szCs w:val="20"/>
                <w:lang w:eastAsia="en-US"/>
              </w:rPr>
              <w:t>dojde k porušení povinnosti v oblasti kontrol dle</w:t>
            </w:r>
            <w:r w:rsidR="000B4978">
              <w:rPr>
                <w:rFonts w:eastAsiaTheme="minorHAnsi"/>
                <w:sz w:val="20"/>
                <w:szCs w:val="20"/>
                <w:lang w:eastAsia="en-US"/>
              </w:rPr>
              <w:t xml:space="preserve"> bodu 22 a 23 části I. Rozhodnutí </w:t>
            </w:r>
            <w:r w:rsidR="000B4978" w:rsidRPr="000B4978">
              <w:rPr>
                <w:rFonts w:eastAsiaTheme="minorHAnsi"/>
                <w:sz w:val="20"/>
                <w:szCs w:val="20"/>
                <w:lang w:eastAsia="en-US"/>
              </w:rPr>
              <w:t xml:space="preserve">nebo </w:t>
            </w:r>
            <w:r w:rsidRPr="000B4978">
              <w:rPr>
                <w:rFonts w:eastAsiaTheme="minorHAnsi"/>
                <w:sz w:val="20"/>
                <w:szCs w:val="20"/>
                <w:lang w:eastAsia="en-US"/>
              </w:rPr>
              <w:t xml:space="preserve">k porušení povinnosti archivovat dokumentaci dle bodu </w:t>
            </w:r>
            <w:r w:rsidR="000E5A5D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921054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0E5A5D">
              <w:rPr>
                <w:rFonts w:eastAsiaTheme="minorHAnsi"/>
                <w:sz w:val="20"/>
                <w:szCs w:val="20"/>
                <w:lang w:eastAsia="en-US"/>
              </w:rPr>
              <w:t xml:space="preserve"> části I. Rozhodnutí</w:t>
            </w:r>
            <w:r w:rsidRPr="000B4978">
              <w:rPr>
                <w:rFonts w:eastAsiaTheme="minorHAnsi"/>
                <w:sz w:val="20"/>
                <w:szCs w:val="20"/>
                <w:lang w:eastAsia="en-US"/>
              </w:rPr>
              <w:t xml:space="preserve"> a není možné stanovit výši dotace, ke které se dokument váže</w:t>
            </w:r>
            <w:bookmarkStart w:id="3" w:name="_Hlk103158934"/>
            <w:r w:rsidR="0078124D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0B4978" w:rsidRPr="000B497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B4978">
              <w:rPr>
                <w:rFonts w:eastAsiaTheme="minorHAnsi"/>
                <w:sz w:val="20"/>
                <w:szCs w:val="20"/>
                <w:lang w:eastAsia="en-US"/>
              </w:rPr>
              <w:t xml:space="preserve">bude odvod za porušení rozpočtové kázně vyměřen dle § 44a odst. 4 písm. a) rozpočtových pravidel ve výši 0,02 % z celkové částky vyplacených prostředků dotace, a to za každé takové porušení nebo nesplnění. </w:t>
            </w:r>
            <w:bookmarkEnd w:id="3"/>
          </w:p>
          <w:p w14:paraId="425BA7F7" w14:textId="78721A6C" w:rsidR="00C8750F" w:rsidRPr="000B4978" w:rsidRDefault="000B4978" w:rsidP="000B4978">
            <w:pPr>
              <w:pStyle w:val="Defaul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V případě, že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C8750F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dojde k porušení povinnosti archivovat dokumenty dle bodu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A36DFD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části I. Rozhodnutí</w:t>
            </w:r>
            <w:r w:rsidR="00C8750F" w:rsidRPr="002C4A0E">
              <w:rPr>
                <w:rFonts w:eastAsiaTheme="minorHAnsi"/>
                <w:sz w:val="20"/>
                <w:szCs w:val="20"/>
                <w:lang w:eastAsia="en-US"/>
              </w:rPr>
              <w:t>, příjemce nedoložil chybějící dokument jiným průkazným způsobem, je možné stanovit výši dotace, ke které se dokument váže a zároveň příjemce dotace doložil alternativním způsobem, že výdaj dokládaný chybějícím dokumentem vedl k naplnění účelu dotace v ceně, v čase a místě obvyklém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C8750F" w:rsidRPr="000B4978">
              <w:rPr>
                <w:rFonts w:eastAsiaTheme="minorHAnsi"/>
                <w:sz w:val="20"/>
                <w:szCs w:val="20"/>
                <w:lang w:eastAsia="en-US"/>
              </w:rPr>
              <w:t>bude odvod za porušení rozpočtové kázně vyměřen dle § 44a odst. 4 písm. a) rozpočtových pravidel ve výši 0,5 % z částky vyplacených prostředků dotace, vztahujících se k chybějícímu dokumentu. Odvod za porušení rozpočtové kázně přitom nemůže být vyšší než celková částka dotace, která byla vyplacena.</w:t>
            </w:r>
          </w:p>
          <w:p w14:paraId="19C8F975" w14:textId="0DF09640" w:rsidR="0036253A" w:rsidRPr="009D3E3B" w:rsidRDefault="000B4978" w:rsidP="009D3E3B">
            <w:pPr>
              <w:pStyle w:val="Defaul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V případě, že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C8750F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dojde k porušení povinnosti vést oddělenou analytickou evidenci podle bodu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29 části I. Rozhodnutí </w:t>
            </w:r>
            <w:r w:rsidR="00C8750F"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a nebude možno provést nápravné opatření; </w:t>
            </w:r>
            <w:r w:rsidR="00C8750F" w:rsidRPr="009D3E3B">
              <w:rPr>
                <w:rFonts w:eastAsiaTheme="minorHAnsi"/>
                <w:sz w:val="20"/>
                <w:szCs w:val="20"/>
                <w:lang w:eastAsia="en-US"/>
              </w:rPr>
              <w:t>bude odvod za porušení rozpočtové kázně vyměřen dle § 44a odst. 4 písm. a) rozpočtových pravidel ve výši 0,5 % z částky vyplacených finančních prostředků.</w:t>
            </w:r>
          </w:p>
          <w:p w14:paraId="59D6884B" w14:textId="77777777" w:rsidR="00C8750F" w:rsidRPr="002C4A0E" w:rsidRDefault="00C8750F" w:rsidP="002E38A4">
            <w:pPr>
              <w:pStyle w:val="Defaul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>V případě porušení povinnosti příjemce dotace zajistit při použití dotace dodržování zákona o veřejných zakázkách podle bodu B 5, bude při stanovení odvodu za porušení rozpočtové kázně vycházeno z Přílohy Pokynu č. GFŘ-D-53 pro stanovení odvodů za porušení rozpočtové kázně, Čl. I, Veřejné zakázky, případně jeho aktualizací.</w:t>
            </w:r>
          </w:p>
          <w:p w14:paraId="1637945E" w14:textId="77777777" w:rsidR="00C8750F" w:rsidRPr="002C4A0E" w:rsidRDefault="00C8750F" w:rsidP="002E38A4">
            <w:pPr>
              <w:pStyle w:val="Defaul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V případě porušení povinností, které vedou k porušení rozpočtové kázně a nejsou uvedeny výše, bude odvod za porušení rozpočtové kázně vyměřen dle § 44a odst. 4 písm. a) rozpočtových pravidel ve výši 0,5 % z částky dosud vyplacených finančních prostředků nebo vyčísleného výdaje, je-li to možno jednoznačně stanovit. </w:t>
            </w:r>
          </w:p>
          <w:p w14:paraId="6C62F58C" w14:textId="0466FCE0" w:rsidR="009E12B4" w:rsidRPr="002C4A0E" w:rsidRDefault="00C8750F" w:rsidP="002E38A4">
            <w:pPr>
              <w:pStyle w:val="Default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850" w:right="241" w:hanging="42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C4A0E">
              <w:rPr>
                <w:rFonts w:eastAsiaTheme="minorHAnsi"/>
                <w:sz w:val="20"/>
                <w:szCs w:val="20"/>
                <w:lang w:eastAsia="en-US"/>
              </w:rPr>
              <w:t xml:space="preserve">V případě, že dojde k souběhu porušení více ustanovení tohoto rozhodnutí, které vedou k porušení rozpočtové kázně, uplatňuje se na každý konkrétní výdaj pouze nejvyšší stanovený odvod/snížený odvod za porušení rozpočtové kázně. </w:t>
            </w:r>
            <w:bookmarkEnd w:id="1"/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D5700E" w:rsidRDefault="009E12B4" w:rsidP="00D5700E">
            <w:pPr>
              <w:pStyle w:val="Default"/>
              <w:spacing w:after="160" w:line="276" w:lineRule="auto"/>
              <w:ind w:left="425" w:right="2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5700E">
              <w:rPr>
                <w:rFonts w:eastAsiaTheme="minorHAnsi"/>
                <w:sz w:val="20"/>
                <w:szCs w:val="20"/>
                <w:lang w:eastAsia="en-US"/>
              </w:rPr>
              <w:t xml:space="preserve">Proti tomuto rozhodnutí není v souladu s § 14q odst. 2 </w:t>
            </w:r>
            <w:r w:rsidR="1E4A799C" w:rsidRPr="00D5700E">
              <w:rPr>
                <w:rFonts w:eastAsiaTheme="minorHAnsi"/>
                <w:sz w:val="20"/>
                <w:szCs w:val="20"/>
                <w:lang w:eastAsia="en-US"/>
              </w:rPr>
              <w:t>rozpočtových pravidel</w:t>
            </w:r>
            <w:r w:rsidRPr="00D5700E">
              <w:rPr>
                <w:rFonts w:eastAsiaTheme="minorHAnsi"/>
                <w:sz w:val="20"/>
                <w:szCs w:val="20"/>
                <w:lang w:eastAsia="en-US"/>
              </w:rPr>
              <w:t xml:space="preserve"> přípustné odvolání ani rozklad.</w:t>
            </w:r>
            <w:r w:rsidR="00241B76" w:rsidRPr="00D5700E">
              <w:rPr>
                <w:rFonts w:eastAsiaTheme="minorHAnsi"/>
                <w:sz w:val="20"/>
                <w:szCs w:val="20"/>
                <w:lang w:eastAsia="en-US"/>
              </w:rPr>
              <w:t xml:space="preserve"> Obnova řízení se nepřipouští. Přezkumné řízení se nepřipouští, s výjimkou postupu podle § 153 odst. 1 písm. a) </w:t>
            </w:r>
            <w:r w:rsidR="00147AE5" w:rsidRPr="00D5700E">
              <w:rPr>
                <w:rFonts w:eastAsiaTheme="minorHAnsi"/>
                <w:sz w:val="20"/>
                <w:szCs w:val="20"/>
                <w:lang w:eastAsia="en-US"/>
              </w:rPr>
              <w:t xml:space="preserve">zákona č. 500/2004 Sb. </w:t>
            </w:r>
            <w:r w:rsidR="00241B76" w:rsidRPr="00D5700E">
              <w:rPr>
                <w:rFonts w:eastAsiaTheme="minorHAnsi"/>
                <w:sz w:val="20"/>
                <w:szCs w:val="20"/>
                <w:lang w:eastAsia="en-US"/>
              </w:rPr>
              <w:t>správní řád</w:t>
            </w:r>
            <w:r w:rsidR="5C864BB1" w:rsidRPr="00D5700E">
              <w:rPr>
                <w:rFonts w:eastAsiaTheme="minorHAnsi"/>
                <w:sz w:val="20"/>
                <w:szCs w:val="20"/>
                <w:lang w:eastAsia="en-US"/>
              </w:rPr>
              <w:t>, ve znění pozdějších pravidel</w:t>
            </w:r>
            <w:r w:rsidR="00241B76" w:rsidRPr="00D5700E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30FDB5C4" w14:textId="602B384C" w:rsidR="009E12B4" w:rsidRDefault="009E12B4" w:rsidP="00D5700E">
            <w:pPr>
              <w:pStyle w:val="Default"/>
              <w:spacing w:after="160" w:line="276" w:lineRule="auto"/>
              <w:ind w:left="425" w:right="241"/>
              <w:jc w:val="both"/>
            </w:pPr>
            <w:r w:rsidRPr="00D5700E">
              <w:rPr>
                <w:rFonts w:eastAsiaTheme="minorHAnsi"/>
                <w:sz w:val="20"/>
                <w:szCs w:val="20"/>
                <w:lang w:eastAsia="en-US"/>
              </w:rPr>
              <w:t xml:space="preserve">Na poskytnutí dotace není dle § 14 odst. 1 </w:t>
            </w:r>
            <w:r w:rsidR="3948FD75" w:rsidRPr="00D5700E">
              <w:rPr>
                <w:rFonts w:eastAsiaTheme="minorHAnsi"/>
                <w:sz w:val="20"/>
                <w:szCs w:val="20"/>
                <w:lang w:eastAsia="en-US"/>
              </w:rPr>
              <w:t>rozpočtových pravidel</w:t>
            </w:r>
            <w:r w:rsidRPr="00D5700E">
              <w:rPr>
                <w:rFonts w:eastAsiaTheme="minorHAnsi"/>
                <w:sz w:val="20"/>
                <w:szCs w:val="20"/>
                <w:lang w:eastAsia="en-US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049BDB04" w14:textId="51541FF5" w:rsidR="005E7E91" w:rsidRPr="00D5700E" w:rsidRDefault="009E12B4" w:rsidP="00D5700E">
            <w:pPr>
              <w:pStyle w:val="Default"/>
              <w:spacing w:after="160" w:line="276" w:lineRule="auto"/>
              <w:ind w:left="425" w:right="24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5700E">
              <w:rPr>
                <w:rFonts w:eastAsiaTheme="minorHAnsi"/>
                <w:sz w:val="20"/>
                <w:szCs w:val="20"/>
                <w:lang w:eastAsia="en-US"/>
              </w:rPr>
              <w:t xml:space="preserve">Dotace bude vyplacena prostřednictvím ČNB v režimu </w:t>
            </w:r>
            <w:r w:rsidR="00054088" w:rsidRPr="00D5700E">
              <w:rPr>
                <w:rFonts w:eastAsiaTheme="minorHAnsi"/>
                <w:sz w:val="20"/>
                <w:szCs w:val="20"/>
                <w:lang w:eastAsia="en-US"/>
              </w:rPr>
              <w:t>e</w:t>
            </w:r>
            <w:r w:rsidRPr="00D5700E">
              <w:rPr>
                <w:rFonts w:eastAsiaTheme="minorHAnsi"/>
                <w:sz w:val="20"/>
                <w:szCs w:val="20"/>
                <w:lang w:eastAsia="en-US"/>
              </w:rPr>
              <w:t>x post</w:t>
            </w:r>
            <w:r w:rsidR="00482EEF" w:rsidRPr="00D5700E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22A645E7" w14:textId="2B9C5600" w:rsidR="00147AE5" w:rsidRDefault="00147AE5" w:rsidP="001445BC">
      <w:pPr>
        <w:rPr>
          <w:rFonts w:ascii="Arial" w:hAnsi="Arial" w:cs="Arial"/>
        </w:rPr>
      </w:pPr>
    </w:p>
    <w:p w14:paraId="279C0808" w14:textId="27ECE011" w:rsidR="00501FD3" w:rsidRDefault="00501FD3" w:rsidP="001445BC">
      <w:pPr>
        <w:rPr>
          <w:rFonts w:ascii="Arial" w:hAnsi="Arial" w:cs="Arial"/>
        </w:rPr>
      </w:pPr>
    </w:p>
    <w:p w14:paraId="455CB8C1" w14:textId="11289005" w:rsidR="00501FD3" w:rsidRDefault="00501FD3" w:rsidP="001445BC">
      <w:pPr>
        <w:rPr>
          <w:rFonts w:ascii="Arial" w:hAnsi="Arial" w:cs="Arial"/>
        </w:rPr>
      </w:pPr>
    </w:p>
    <w:p w14:paraId="5C29C35E" w14:textId="77777777" w:rsidR="00501FD3" w:rsidRDefault="00501FD3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E1C7D1" w14:textId="355F995C" w:rsidR="00486994" w:rsidRDefault="00486994" w:rsidP="00486994">
      <w:pPr>
        <w:pStyle w:val="Default"/>
        <w:spacing w:after="120"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sectPr w:rsidR="00486994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AB835AE" w14:textId="50B29C07" w:rsidR="0043225B" w:rsidRPr="00076E47" w:rsidRDefault="0043225B" w:rsidP="0043225B">
    <w:pPr>
      <w:pStyle w:val="Zpat"/>
      <w:rPr>
        <w:rFonts w:ascii="Calibri" w:hAnsi="Calibri" w:cs="Calibri"/>
        <w:b/>
        <w:bCs/>
        <w:color w:val="002060"/>
        <w:sz w:val="22"/>
        <w:szCs w:val="22"/>
      </w:rPr>
    </w:pPr>
    <w:bookmarkStart w:id="4" w:name="_Hlk103025839"/>
    <w:bookmarkStart w:id="5" w:name="_Hlk103025840"/>
    <w:bookmarkStart w:id="6" w:name="_Hlk103026097"/>
    <w:bookmarkStart w:id="7" w:name="_Hlk103026098"/>
    <w:bookmarkStart w:id="8" w:name="_Hlk103026383"/>
    <w:bookmarkStart w:id="9" w:name="_Hlk103026384"/>
    <w:bookmarkStart w:id="10" w:name="_Hlk103027005"/>
    <w:bookmarkStart w:id="11" w:name="_Hlk103027006"/>
    <w:r w:rsidRPr="00076E47">
      <w:rPr>
        <w:rFonts w:ascii="Calibri" w:hAnsi="Calibri" w:cs="Calibri"/>
        <w:b/>
        <w:bCs/>
        <w:color w:val="002060"/>
        <w:sz w:val="22"/>
        <w:szCs w:val="22"/>
      </w:rPr>
      <w:t>PRŮBĚŽNÁ VÝZVA</w:t>
    </w:r>
    <w:bookmarkEnd w:id="4"/>
    <w:bookmarkEnd w:id="5"/>
    <w:bookmarkEnd w:id="6"/>
    <w:bookmarkEnd w:id="7"/>
    <w:bookmarkEnd w:id="8"/>
    <w:bookmarkEnd w:id="9"/>
    <w:bookmarkEnd w:id="10"/>
    <w:bookmarkEnd w:id="11"/>
    <w:r w:rsidR="00747D9D" w:rsidRPr="00076E47">
      <w:rPr>
        <w:rFonts w:ascii="Calibri" w:hAnsi="Calibri" w:cs="Calibri"/>
        <w:b/>
        <w:bCs/>
        <w:color w:val="002060"/>
        <w:sz w:val="22"/>
        <w:szCs w:val="22"/>
      </w:rPr>
      <w:t xml:space="preserve"> </w:t>
    </w:r>
    <w:r w:rsidRPr="00076E47">
      <w:rPr>
        <w:rFonts w:ascii="Calibri" w:hAnsi="Calibri" w:cs="Calibri"/>
        <w:b/>
        <w:bCs/>
        <w:color w:val="002060"/>
        <w:sz w:val="22"/>
        <w:szCs w:val="22"/>
      </w:rPr>
      <w:t xml:space="preserve">– </w:t>
    </w:r>
    <w:r w:rsidR="00747D9D" w:rsidRPr="00076E47">
      <w:rPr>
        <w:rFonts w:ascii="Calibri" w:hAnsi="Calibri" w:cs="Calibri"/>
        <w:b/>
        <w:bCs/>
        <w:color w:val="002060"/>
        <w:sz w:val="22"/>
        <w:szCs w:val="22"/>
      </w:rPr>
      <w:t>Metodická podpora při přípravě projektů v souladu s cíli EU</w:t>
    </w:r>
  </w:p>
  <w:p w14:paraId="4708BDBD" w14:textId="362CB29F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994"/>
    <w:multiLevelType w:val="hybridMultilevel"/>
    <w:tmpl w:val="B200468C"/>
    <w:lvl w:ilvl="0" w:tplc="FFFFFFF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F255A"/>
    <w:multiLevelType w:val="hybridMultilevel"/>
    <w:tmpl w:val="620851AA"/>
    <w:lvl w:ilvl="0" w:tplc="D0B2EDCA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3B36"/>
    <w:multiLevelType w:val="hybridMultilevel"/>
    <w:tmpl w:val="73FCE874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08AE"/>
    <w:multiLevelType w:val="hybridMultilevel"/>
    <w:tmpl w:val="B200468C"/>
    <w:lvl w:ilvl="0" w:tplc="0405000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7A25"/>
    <w:multiLevelType w:val="hybridMultilevel"/>
    <w:tmpl w:val="F2F8B43C"/>
    <w:lvl w:ilvl="0" w:tplc="72B4D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93ED6"/>
    <w:multiLevelType w:val="hybridMultilevel"/>
    <w:tmpl w:val="1A2A0C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877C7"/>
    <w:multiLevelType w:val="hybridMultilevel"/>
    <w:tmpl w:val="BE46F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F4611"/>
    <w:multiLevelType w:val="hybridMultilevel"/>
    <w:tmpl w:val="6B284F2C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28F33DAA"/>
    <w:multiLevelType w:val="hybridMultilevel"/>
    <w:tmpl w:val="EAA8C6DA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0EAD"/>
    <w:multiLevelType w:val="hybridMultilevel"/>
    <w:tmpl w:val="8EFE28E0"/>
    <w:lvl w:ilvl="0" w:tplc="429244FE">
      <w:start w:val="1"/>
      <w:numFmt w:val="decimal"/>
      <w:suff w:val="space"/>
      <w:lvlText w:val="%1."/>
      <w:lvlJc w:val="left"/>
      <w:pPr>
        <w:ind w:left="510" w:hanging="113"/>
      </w:pPr>
      <w:rPr>
        <w:rFonts w:ascii="Arial" w:hAnsi="Arial" w:cs="Arial"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B161AE"/>
    <w:multiLevelType w:val="multilevel"/>
    <w:tmpl w:val="E2F451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287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93B75"/>
    <w:multiLevelType w:val="hybridMultilevel"/>
    <w:tmpl w:val="6778F06E"/>
    <w:lvl w:ilvl="0" w:tplc="88244866">
      <w:start w:val="1"/>
      <w:numFmt w:val="decimal"/>
      <w:suff w:val="space"/>
      <w:lvlText w:val="%1."/>
      <w:lvlJc w:val="left"/>
      <w:pPr>
        <w:ind w:left="473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00436"/>
    <w:multiLevelType w:val="multilevel"/>
    <w:tmpl w:val="979E385C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31" w15:restartNumberingAfterBreak="0">
    <w:nsid w:val="54DE1648"/>
    <w:multiLevelType w:val="hybridMultilevel"/>
    <w:tmpl w:val="ED461F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2329A"/>
    <w:multiLevelType w:val="hybridMultilevel"/>
    <w:tmpl w:val="116A5F22"/>
    <w:lvl w:ilvl="0" w:tplc="21062C2A">
      <w:start w:val="1"/>
      <w:numFmt w:val="decimal"/>
      <w:lvlText w:val="%1."/>
      <w:lvlJc w:val="left"/>
      <w:pPr>
        <w:ind w:left="501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4" w:hanging="360"/>
      </w:pPr>
    </w:lvl>
    <w:lvl w:ilvl="2" w:tplc="0405001B" w:tentative="1">
      <w:start w:val="1"/>
      <w:numFmt w:val="lowerRoman"/>
      <w:lvlText w:val="%3."/>
      <w:lvlJc w:val="right"/>
      <w:pPr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5ADE2E6A"/>
    <w:multiLevelType w:val="hybridMultilevel"/>
    <w:tmpl w:val="E7C28488"/>
    <w:lvl w:ilvl="0" w:tplc="FFFFFFF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81038"/>
    <w:multiLevelType w:val="hybridMultilevel"/>
    <w:tmpl w:val="B93CD262"/>
    <w:lvl w:ilvl="0" w:tplc="429244FE">
      <w:start w:val="1"/>
      <w:numFmt w:val="decimal"/>
      <w:suff w:val="space"/>
      <w:lvlText w:val="%1."/>
      <w:lvlJc w:val="left"/>
      <w:pPr>
        <w:ind w:left="510" w:hanging="113"/>
      </w:pPr>
      <w:rPr>
        <w:rFonts w:ascii="Arial" w:hAnsi="Arial" w:cs="Arial" w:hint="default"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E0BB7"/>
    <w:multiLevelType w:val="multilevel"/>
    <w:tmpl w:val="E2F451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287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75062E69"/>
    <w:multiLevelType w:val="hybridMultilevel"/>
    <w:tmpl w:val="4410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F72DC"/>
    <w:multiLevelType w:val="hybridMultilevel"/>
    <w:tmpl w:val="E7C28488"/>
    <w:lvl w:ilvl="0" w:tplc="FFFFFFFF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544">
    <w:abstractNumId w:val="37"/>
  </w:num>
  <w:num w:numId="2" w16cid:durableId="1879048399">
    <w:abstractNumId w:val="1"/>
  </w:num>
  <w:num w:numId="3" w16cid:durableId="1945964012">
    <w:abstractNumId w:val="25"/>
  </w:num>
  <w:num w:numId="4" w16cid:durableId="305745217">
    <w:abstractNumId w:val="5"/>
  </w:num>
  <w:num w:numId="5" w16cid:durableId="11150556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1564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95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9117811">
    <w:abstractNumId w:val="26"/>
  </w:num>
  <w:num w:numId="9" w16cid:durableId="452285633">
    <w:abstractNumId w:val="26"/>
  </w:num>
  <w:num w:numId="10" w16cid:durableId="876552670">
    <w:abstractNumId w:val="35"/>
  </w:num>
  <w:num w:numId="11" w16cid:durableId="693456409">
    <w:abstractNumId w:val="28"/>
  </w:num>
  <w:num w:numId="12" w16cid:durableId="391662250">
    <w:abstractNumId w:val="5"/>
  </w:num>
  <w:num w:numId="13" w16cid:durableId="1332294241">
    <w:abstractNumId w:val="19"/>
  </w:num>
  <w:num w:numId="14" w16cid:durableId="842554323">
    <w:abstractNumId w:val="18"/>
  </w:num>
  <w:num w:numId="15" w16cid:durableId="709912752">
    <w:abstractNumId w:val="10"/>
  </w:num>
  <w:num w:numId="16" w16cid:durableId="1907256862">
    <w:abstractNumId w:val="2"/>
  </w:num>
  <w:num w:numId="17" w16cid:durableId="1080710220">
    <w:abstractNumId w:val="39"/>
  </w:num>
  <w:num w:numId="18" w16cid:durableId="1428230853">
    <w:abstractNumId w:val="15"/>
  </w:num>
  <w:num w:numId="19" w16cid:durableId="1173182224">
    <w:abstractNumId w:val="44"/>
  </w:num>
  <w:num w:numId="20" w16cid:durableId="1908495308">
    <w:abstractNumId w:val="32"/>
  </w:num>
  <w:num w:numId="21" w16cid:durableId="79371178">
    <w:abstractNumId w:val="20"/>
  </w:num>
  <w:num w:numId="22" w16cid:durableId="828328663">
    <w:abstractNumId w:val="23"/>
  </w:num>
  <w:num w:numId="23" w16cid:durableId="504514199">
    <w:abstractNumId w:val="3"/>
  </w:num>
  <w:num w:numId="24" w16cid:durableId="302662290">
    <w:abstractNumId w:val="24"/>
  </w:num>
  <w:num w:numId="25" w16cid:durableId="871185964">
    <w:abstractNumId w:val="11"/>
  </w:num>
  <w:num w:numId="26" w16cid:durableId="512302864">
    <w:abstractNumId w:val="9"/>
  </w:num>
  <w:num w:numId="27" w16cid:durableId="670791164">
    <w:abstractNumId w:val="36"/>
  </w:num>
  <w:num w:numId="28" w16cid:durableId="1059280975">
    <w:abstractNumId w:val="8"/>
  </w:num>
  <w:num w:numId="29" w16cid:durableId="1221357817">
    <w:abstractNumId w:val="17"/>
  </w:num>
  <w:num w:numId="30" w16cid:durableId="1639609096">
    <w:abstractNumId w:val="27"/>
  </w:num>
  <w:num w:numId="31" w16cid:durableId="1890142579">
    <w:abstractNumId w:val="22"/>
  </w:num>
  <w:num w:numId="32" w16cid:durableId="1111784730">
    <w:abstractNumId w:val="12"/>
  </w:num>
  <w:num w:numId="33" w16cid:durableId="893854799">
    <w:abstractNumId w:val="31"/>
  </w:num>
  <w:num w:numId="34" w16cid:durableId="845166786">
    <w:abstractNumId w:val="33"/>
  </w:num>
  <w:num w:numId="35" w16cid:durableId="549655420">
    <w:abstractNumId w:val="7"/>
  </w:num>
  <w:num w:numId="36" w16cid:durableId="984118145">
    <w:abstractNumId w:val="30"/>
  </w:num>
  <w:num w:numId="37" w16cid:durableId="2117366776">
    <w:abstractNumId w:val="40"/>
  </w:num>
  <w:num w:numId="38" w16cid:durableId="1383166888">
    <w:abstractNumId w:val="21"/>
  </w:num>
  <w:num w:numId="39" w16cid:durableId="30688284">
    <w:abstractNumId w:val="16"/>
  </w:num>
  <w:num w:numId="40" w16cid:durableId="1553806912">
    <w:abstractNumId w:val="42"/>
  </w:num>
  <w:num w:numId="41" w16cid:durableId="695233245">
    <w:abstractNumId w:val="38"/>
  </w:num>
  <w:num w:numId="42" w16cid:durableId="433982327">
    <w:abstractNumId w:val="6"/>
  </w:num>
  <w:num w:numId="43" w16cid:durableId="1573349276">
    <w:abstractNumId w:val="13"/>
  </w:num>
  <w:num w:numId="44" w16cid:durableId="1598054324">
    <w:abstractNumId w:val="34"/>
  </w:num>
  <w:num w:numId="45" w16cid:durableId="738556527">
    <w:abstractNumId w:val="43"/>
  </w:num>
  <w:num w:numId="46" w16cid:durableId="1108551319">
    <w:abstractNumId w:val="29"/>
  </w:num>
  <w:num w:numId="47" w16cid:durableId="221791710">
    <w:abstractNumId w:val="4"/>
  </w:num>
  <w:num w:numId="48" w16cid:durableId="1909731091">
    <w:abstractNumId w:val="0"/>
  </w:num>
  <w:num w:numId="49" w16cid:durableId="1008099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675"/>
    <w:rsid w:val="00007F09"/>
    <w:rsid w:val="00017B5E"/>
    <w:rsid w:val="00024DF5"/>
    <w:rsid w:val="00026871"/>
    <w:rsid w:val="00034AB4"/>
    <w:rsid w:val="00044976"/>
    <w:rsid w:val="000463BE"/>
    <w:rsid w:val="00054088"/>
    <w:rsid w:val="00065FCE"/>
    <w:rsid w:val="00072B8B"/>
    <w:rsid w:val="00074A67"/>
    <w:rsid w:val="00076E47"/>
    <w:rsid w:val="00084B67"/>
    <w:rsid w:val="00090E19"/>
    <w:rsid w:val="00092658"/>
    <w:rsid w:val="0009276F"/>
    <w:rsid w:val="000A0C15"/>
    <w:rsid w:val="000A22AC"/>
    <w:rsid w:val="000A4982"/>
    <w:rsid w:val="000B4978"/>
    <w:rsid w:val="000C5080"/>
    <w:rsid w:val="000D68A8"/>
    <w:rsid w:val="000E3AE9"/>
    <w:rsid w:val="000E5A5D"/>
    <w:rsid w:val="000F3BC2"/>
    <w:rsid w:val="000F6B91"/>
    <w:rsid w:val="000F739A"/>
    <w:rsid w:val="00100266"/>
    <w:rsid w:val="00101233"/>
    <w:rsid w:val="00104A11"/>
    <w:rsid w:val="00106CEE"/>
    <w:rsid w:val="00106F20"/>
    <w:rsid w:val="0011196D"/>
    <w:rsid w:val="001119F6"/>
    <w:rsid w:val="001143CC"/>
    <w:rsid w:val="00117547"/>
    <w:rsid w:val="00120829"/>
    <w:rsid w:val="00137905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C68C8"/>
    <w:rsid w:val="001D1C41"/>
    <w:rsid w:val="001D5686"/>
    <w:rsid w:val="001E2F2A"/>
    <w:rsid w:val="001E4A72"/>
    <w:rsid w:val="00202F20"/>
    <w:rsid w:val="00214834"/>
    <w:rsid w:val="00216880"/>
    <w:rsid w:val="00217515"/>
    <w:rsid w:val="00241B76"/>
    <w:rsid w:val="00247205"/>
    <w:rsid w:val="0025070C"/>
    <w:rsid w:val="00251A4C"/>
    <w:rsid w:val="002537C4"/>
    <w:rsid w:val="00256685"/>
    <w:rsid w:val="0026176F"/>
    <w:rsid w:val="00267BF1"/>
    <w:rsid w:val="00272656"/>
    <w:rsid w:val="002757FA"/>
    <w:rsid w:val="00277C73"/>
    <w:rsid w:val="00294783"/>
    <w:rsid w:val="002963AA"/>
    <w:rsid w:val="002969EF"/>
    <w:rsid w:val="002B1627"/>
    <w:rsid w:val="002C4A0E"/>
    <w:rsid w:val="002C67C9"/>
    <w:rsid w:val="002D3C3F"/>
    <w:rsid w:val="002D5B7C"/>
    <w:rsid w:val="002D5F14"/>
    <w:rsid w:val="002D6528"/>
    <w:rsid w:val="002E2CD0"/>
    <w:rsid w:val="002E38A4"/>
    <w:rsid w:val="002E5F2D"/>
    <w:rsid w:val="002F2A48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253A"/>
    <w:rsid w:val="003625DB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4DFE"/>
    <w:rsid w:val="00435B42"/>
    <w:rsid w:val="00444E14"/>
    <w:rsid w:val="00446C32"/>
    <w:rsid w:val="00447413"/>
    <w:rsid w:val="00450941"/>
    <w:rsid w:val="00452319"/>
    <w:rsid w:val="004553D0"/>
    <w:rsid w:val="00465C39"/>
    <w:rsid w:val="00480ACB"/>
    <w:rsid w:val="00482D20"/>
    <w:rsid w:val="00482EEF"/>
    <w:rsid w:val="00486994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1DA7"/>
    <w:rsid w:val="00501FD3"/>
    <w:rsid w:val="005055AB"/>
    <w:rsid w:val="005062A1"/>
    <w:rsid w:val="005109C9"/>
    <w:rsid w:val="00512D2B"/>
    <w:rsid w:val="005135E6"/>
    <w:rsid w:val="00523174"/>
    <w:rsid w:val="00526BA2"/>
    <w:rsid w:val="005342A2"/>
    <w:rsid w:val="00544385"/>
    <w:rsid w:val="005446F0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B4FD4"/>
    <w:rsid w:val="005C3B35"/>
    <w:rsid w:val="005D1E62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10672"/>
    <w:rsid w:val="00630B3D"/>
    <w:rsid w:val="00636646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1858"/>
    <w:rsid w:val="00702F57"/>
    <w:rsid w:val="007039F6"/>
    <w:rsid w:val="00715B20"/>
    <w:rsid w:val="00716B21"/>
    <w:rsid w:val="00720BC5"/>
    <w:rsid w:val="00730410"/>
    <w:rsid w:val="00742BF2"/>
    <w:rsid w:val="00745B1C"/>
    <w:rsid w:val="00747D9D"/>
    <w:rsid w:val="007520DF"/>
    <w:rsid w:val="007627F2"/>
    <w:rsid w:val="00764022"/>
    <w:rsid w:val="007747A7"/>
    <w:rsid w:val="00774908"/>
    <w:rsid w:val="0078124D"/>
    <w:rsid w:val="00783868"/>
    <w:rsid w:val="007845D0"/>
    <w:rsid w:val="007849C9"/>
    <w:rsid w:val="007A1C4E"/>
    <w:rsid w:val="007A5AA3"/>
    <w:rsid w:val="007A6406"/>
    <w:rsid w:val="007B030D"/>
    <w:rsid w:val="007B1A71"/>
    <w:rsid w:val="007B1C6C"/>
    <w:rsid w:val="007B6612"/>
    <w:rsid w:val="007C7D31"/>
    <w:rsid w:val="007D44BE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3085C"/>
    <w:rsid w:val="00835AAD"/>
    <w:rsid w:val="0083622E"/>
    <w:rsid w:val="008364E8"/>
    <w:rsid w:val="00836E4E"/>
    <w:rsid w:val="0083720C"/>
    <w:rsid w:val="00843893"/>
    <w:rsid w:val="008466BD"/>
    <w:rsid w:val="00846BEE"/>
    <w:rsid w:val="00851E05"/>
    <w:rsid w:val="00853138"/>
    <w:rsid w:val="008616F3"/>
    <w:rsid w:val="00862B25"/>
    <w:rsid w:val="00872A4C"/>
    <w:rsid w:val="008916BA"/>
    <w:rsid w:val="008944F4"/>
    <w:rsid w:val="0089570B"/>
    <w:rsid w:val="008A551E"/>
    <w:rsid w:val="008C457F"/>
    <w:rsid w:val="008C743A"/>
    <w:rsid w:val="008D708E"/>
    <w:rsid w:val="008D72B8"/>
    <w:rsid w:val="008F3C9B"/>
    <w:rsid w:val="008F6AE5"/>
    <w:rsid w:val="0090366B"/>
    <w:rsid w:val="009062EC"/>
    <w:rsid w:val="00921054"/>
    <w:rsid w:val="00921B5B"/>
    <w:rsid w:val="00921FDF"/>
    <w:rsid w:val="009225CF"/>
    <w:rsid w:val="00935134"/>
    <w:rsid w:val="0093553C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67D9B"/>
    <w:rsid w:val="0097568F"/>
    <w:rsid w:val="00976A65"/>
    <w:rsid w:val="009809FA"/>
    <w:rsid w:val="00997083"/>
    <w:rsid w:val="009A57CB"/>
    <w:rsid w:val="009A9847"/>
    <w:rsid w:val="009B1388"/>
    <w:rsid w:val="009B2887"/>
    <w:rsid w:val="009C4873"/>
    <w:rsid w:val="009C53D8"/>
    <w:rsid w:val="009D1430"/>
    <w:rsid w:val="009D3E3B"/>
    <w:rsid w:val="009D4BAB"/>
    <w:rsid w:val="009D4E47"/>
    <w:rsid w:val="009D79C4"/>
    <w:rsid w:val="009E12B4"/>
    <w:rsid w:val="009E20CB"/>
    <w:rsid w:val="009E2424"/>
    <w:rsid w:val="009E3E35"/>
    <w:rsid w:val="009E4991"/>
    <w:rsid w:val="009E4B2A"/>
    <w:rsid w:val="009E5AAB"/>
    <w:rsid w:val="00A12BE2"/>
    <w:rsid w:val="00A1509B"/>
    <w:rsid w:val="00A15E51"/>
    <w:rsid w:val="00A23424"/>
    <w:rsid w:val="00A23814"/>
    <w:rsid w:val="00A26E6F"/>
    <w:rsid w:val="00A32934"/>
    <w:rsid w:val="00A35D9F"/>
    <w:rsid w:val="00A36DFD"/>
    <w:rsid w:val="00A47E42"/>
    <w:rsid w:val="00A6156C"/>
    <w:rsid w:val="00A65A63"/>
    <w:rsid w:val="00A65E9F"/>
    <w:rsid w:val="00A71ED4"/>
    <w:rsid w:val="00A735F3"/>
    <w:rsid w:val="00A95104"/>
    <w:rsid w:val="00A963EA"/>
    <w:rsid w:val="00A96740"/>
    <w:rsid w:val="00AA37B0"/>
    <w:rsid w:val="00AA3885"/>
    <w:rsid w:val="00AA4E92"/>
    <w:rsid w:val="00AB009C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4C61"/>
    <w:rsid w:val="00B05913"/>
    <w:rsid w:val="00B12A91"/>
    <w:rsid w:val="00B1399F"/>
    <w:rsid w:val="00B1548A"/>
    <w:rsid w:val="00B31E77"/>
    <w:rsid w:val="00B34768"/>
    <w:rsid w:val="00B45971"/>
    <w:rsid w:val="00B514AC"/>
    <w:rsid w:val="00B515CF"/>
    <w:rsid w:val="00B61ACB"/>
    <w:rsid w:val="00B62BFF"/>
    <w:rsid w:val="00B768A9"/>
    <w:rsid w:val="00B76A6B"/>
    <w:rsid w:val="00B77696"/>
    <w:rsid w:val="00B87249"/>
    <w:rsid w:val="00B90544"/>
    <w:rsid w:val="00B92BB3"/>
    <w:rsid w:val="00B9792C"/>
    <w:rsid w:val="00BA0920"/>
    <w:rsid w:val="00BA1272"/>
    <w:rsid w:val="00BA30E1"/>
    <w:rsid w:val="00BA388A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075B2"/>
    <w:rsid w:val="00C142B6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30AB"/>
    <w:rsid w:val="00C5521E"/>
    <w:rsid w:val="00C57E26"/>
    <w:rsid w:val="00C6388C"/>
    <w:rsid w:val="00C73C60"/>
    <w:rsid w:val="00C86EB5"/>
    <w:rsid w:val="00C8750F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041"/>
    <w:rsid w:val="00D25E0D"/>
    <w:rsid w:val="00D35D4B"/>
    <w:rsid w:val="00D43905"/>
    <w:rsid w:val="00D4737C"/>
    <w:rsid w:val="00D5700E"/>
    <w:rsid w:val="00D5732E"/>
    <w:rsid w:val="00D61FFA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5E8E"/>
    <w:rsid w:val="00DC4E8B"/>
    <w:rsid w:val="00DC5FD7"/>
    <w:rsid w:val="00DD1120"/>
    <w:rsid w:val="00DD5D6F"/>
    <w:rsid w:val="00DE5D81"/>
    <w:rsid w:val="00DE5E2C"/>
    <w:rsid w:val="00DE7498"/>
    <w:rsid w:val="00DF1E47"/>
    <w:rsid w:val="00DF6898"/>
    <w:rsid w:val="00DF74F0"/>
    <w:rsid w:val="00E02229"/>
    <w:rsid w:val="00E128BF"/>
    <w:rsid w:val="00E268CD"/>
    <w:rsid w:val="00E32907"/>
    <w:rsid w:val="00E34C2E"/>
    <w:rsid w:val="00E34C47"/>
    <w:rsid w:val="00E36591"/>
    <w:rsid w:val="00E37C77"/>
    <w:rsid w:val="00E40509"/>
    <w:rsid w:val="00E45917"/>
    <w:rsid w:val="00E45FF8"/>
    <w:rsid w:val="00E477F4"/>
    <w:rsid w:val="00E50617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C03C4"/>
    <w:rsid w:val="00EC39D2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45CCE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3830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Bezmezer">
    <w:name w:val="No Spacing"/>
    <w:uiPriority w:val="1"/>
    <w:qFormat/>
    <w:rsid w:val="00B12A91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1846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Klimentová Eliška</cp:lastModifiedBy>
  <cp:revision>72</cp:revision>
  <cp:lastPrinted>2020-10-20T19:45:00Z</cp:lastPrinted>
  <dcterms:created xsi:type="dcterms:W3CDTF">2022-05-18T06:56:00Z</dcterms:created>
  <dcterms:modified xsi:type="dcterms:W3CDTF">2023-11-16T09:51:00Z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