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037DE998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1B81E293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4E13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161070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71B2BE63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30E8EB00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F6F841" w14:textId="4811069E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14:paraId="43B78D7F" w14:textId="639FE068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="42E8B38B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29FA14D1" w14:textId="433E599A" w:rsidR="517DF6EC" w:rsidRDefault="423DEB85" w:rsidP="00DD1120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 plnění indikátorů.</w:t>
            </w:r>
            <w:r w:rsidR="00DD1120" w:rsidRPr="007B1C6C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33470A9E" w14:textId="4D9E6AE3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 podporu před samotnou realizací této změny. V případě, že má změna vliv na podávanou ZŽoP/ZoR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ZŽoP/ZoR projektu.</w:t>
            </w:r>
          </w:p>
          <w:p w14:paraId="53A7FE00" w14:textId="3BCF664B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="00104A1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14:paraId="151CCA9C" w14:textId="4C428353" w:rsidR="00E85FC3" w:rsidRPr="00147AE5" w:rsidRDefault="4464A275" w:rsidP="00147AE5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69FA01A9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418E1454" w:rsidR="00174E2B" w:rsidRDefault="0097568F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517DF6EC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8323B" w14:textId="5661AB97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48CC4B67" w14:textId="38C7D850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517DF6EC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5EB6684E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ABC3DD6" w14:textId="77777777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lastRenderedPageBreak/>
              <w:t>Příjemce dotace souhlasí se zveřejněním svého jména/názvu, výše dotace 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429D03CC" w14:textId="75D916BC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517DF6EC">
              <w:rPr>
                <w:rFonts w:ascii="Arial" w:hAnsi="Arial" w:cs="Arial"/>
                <w:sz w:val="18"/>
                <w:szCs w:val="18"/>
              </w:rPr>
              <w:t>dotací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27257A40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327BC664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3E3D9CB0" w14:textId="430DF175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0190FBA3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  </w:t>
            </w:r>
          </w:p>
          <w:p w14:paraId="550FB989" w14:textId="6A71BDBF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14:paraId="29991564" w14:textId="2BF1A60C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nebude dotace vyplacena, případně nebude vyplacena její část použitá na financování předmětné zakázky podle typu porušení a sazeb finančních oprav dle Rozhodnutí komise C(2019) 3452 ze dne 14.5.2019 nebo případně novějšího.</w:t>
            </w:r>
          </w:p>
          <w:p w14:paraId="7817C97B" w14:textId="77777777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14:paraId="46F304D9" w14:textId="1A709E22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14:paraId="685325EE" w14:textId="44CE8071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sankce 20 000 Kč uplatněna v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0" w:name="_Hlk90458541"/>
          </w:p>
          <w:p w14:paraId="11F5ED39" w14:textId="6453CC9A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0"/>
          </w:p>
          <w:p w14:paraId="6B745427" w14:textId="0BBB1CF0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45A317EA" w14:textId="3B8CD084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 sankce ve výši 10 000 Kč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0AB997F2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77777777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0CF612E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7777777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provádějící veřejnosprávní kontrolu. </w:t>
            </w:r>
          </w:p>
          <w:p w14:paraId="6C62F58C" w14:textId="64928F73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dotace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lastRenderedPageBreak/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7C46D485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 xml:space="preserve">Dotace bude vyplacena prostřednictvím ČNB v režimu Ex post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3DD56908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1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73FCE874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3"/>
  </w:num>
  <w:num w:numId="2" w16cid:durableId="1879048399">
    <w:abstractNumId w:val="0"/>
  </w:num>
  <w:num w:numId="3" w16cid:durableId="1945964012">
    <w:abstractNumId w:val="16"/>
  </w:num>
  <w:num w:numId="4" w16cid:durableId="305745217">
    <w:abstractNumId w:val="3"/>
  </w:num>
  <w:num w:numId="5" w16cid:durableId="1115055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17"/>
  </w:num>
  <w:num w:numId="9" w16cid:durableId="452285633">
    <w:abstractNumId w:val="17"/>
  </w:num>
  <w:num w:numId="10" w16cid:durableId="876552670">
    <w:abstractNumId w:val="21"/>
  </w:num>
  <w:num w:numId="11" w16cid:durableId="693456409">
    <w:abstractNumId w:val="19"/>
  </w:num>
  <w:num w:numId="12" w16cid:durableId="391662250">
    <w:abstractNumId w:val="3"/>
  </w:num>
  <w:num w:numId="13" w16cid:durableId="1332294241">
    <w:abstractNumId w:val="11"/>
  </w:num>
  <w:num w:numId="14" w16cid:durableId="842554323">
    <w:abstractNumId w:val="10"/>
  </w:num>
  <w:num w:numId="15" w16cid:durableId="709912752">
    <w:abstractNumId w:val="6"/>
  </w:num>
  <w:num w:numId="16" w16cid:durableId="1907256862">
    <w:abstractNumId w:val="1"/>
  </w:num>
  <w:num w:numId="17" w16cid:durableId="1080710220">
    <w:abstractNumId w:val="24"/>
  </w:num>
  <w:num w:numId="18" w16cid:durableId="1428230853">
    <w:abstractNumId w:val="8"/>
  </w:num>
  <w:num w:numId="19" w16cid:durableId="1173182224">
    <w:abstractNumId w:val="26"/>
  </w:num>
  <w:num w:numId="20" w16cid:durableId="1908495308">
    <w:abstractNumId w:val="20"/>
  </w:num>
  <w:num w:numId="21" w16cid:durableId="79371178">
    <w:abstractNumId w:val="12"/>
  </w:num>
  <w:num w:numId="22" w16cid:durableId="828328663">
    <w:abstractNumId w:val="14"/>
  </w:num>
  <w:num w:numId="23" w16cid:durableId="504514199">
    <w:abstractNumId w:val="2"/>
  </w:num>
  <w:num w:numId="24" w16cid:durableId="302662290">
    <w:abstractNumId w:val="15"/>
  </w:num>
  <w:num w:numId="25" w16cid:durableId="871185964">
    <w:abstractNumId w:val="7"/>
  </w:num>
  <w:num w:numId="26" w16cid:durableId="512302864">
    <w:abstractNumId w:val="5"/>
  </w:num>
  <w:num w:numId="27" w16cid:durableId="670791164">
    <w:abstractNumId w:val="22"/>
  </w:num>
  <w:num w:numId="28" w16cid:durableId="1059280975">
    <w:abstractNumId w:val="4"/>
  </w:num>
  <w:num w:numId="29" w16cid:durableId="1221357817">
    <w:abstractNumId w:val="9"/>
  </w:num>
  <w:num w:numId="30" w16cid:durableId="1639609096">
    <w:abstractNumId w:val="18"/>
  </w:num>
  <w:num w:numId="31" w16cid:durableId="1890142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D31"/>
    <w:rsid w:val="007D44BE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1120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12</cp:revision>
  <cp:lastPrinted>2020-10-20T19:45:00Z</cp:lastPrinted>
  <dcterms:created xsi:type="dcterms:W3CDTF">2022-05-18T06:56:00Z</dcterms:created>
  <dcterms:modified xsi:type="dcterms:W3CDTF">2023-11-01T09:21:00Z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