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6FB759F5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A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E4044B4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1E2F2A"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60E1CF41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v souladu platnými právními předpisy.</w:t>
            </w:r>
          </w:p>
          <w:p w14:paraId="51D8EA39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08FCA83C" w:rsidR="00D633E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242ED8">
              <w:rPr>
                <w:rFonts w:ascii="Arial" w:hAnsi="Arial" w:cs="Arial"/>
                <w:sz w:val="18"/>
                <w:szCs w:val="18"/>
              </w:rPr>
              <w:t>e Výzvě na</w:t>
            </w:r>
            <w:r w:rsidR="00242ED8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>finanční</w:t>
            </w:r>
            <w:r w:rsidR="00242ED8">
              <w:rPr>
                <w:rFonts w:ascii="Arial" w:hAnsi="Arial" w:cs="Arial"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21B84">
              <w:rPr>
                <w:rFonts w:ascii="Arial" w:hAnsi="Arial" w:cs="Arial"/>
                <w:sz w:val="18"/>
                <w:szCs w:val="18"/>
              </w:rPr>
              <w:t>Pravidlech pro žadatele a příjemce (dále jen „Pravidla“).</w:t>
            </w:r>
          </w:p>
          <w:p w14:paraId="67C4466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FED9A" w14:textId="2E53C37D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E7F5BFE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26D45" w14:textId="4F90A7C8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9E27F" w14:textId="4FA59252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8E4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3B0" w:rsidRPr="00065D48">
              <w:rPr>
                <w:rFonts w:ascii="Arial" w:hAnsi="Arial" w:cs="Arial"/>
                <w:sz w:val="18"/>
                <w:szCs w:val="18"/>
              </w:rPr>
              <w:t>prostřednictvím interní depeše v MS2014+</w:t>
            </w:r>
            <w:r w:rsidRPr="00521B84">
              <w:rPr>
                <w:rFonts w:ascii="Arial" w:hAnsi="Arial" w:cs="Arial"/>
                <w:sz w:val="18"/>
                <w:szCs w:val="18"/>
              </w:rPr>
              <w:t>poskytovateli veškeré skutečnosti,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FA0D45" w14:textId="4DCD78BD" w:rsidR="00065D48" w:rsidRDefault="00521B84" w:rsidP="00065D48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Celková výše poskytnuté dotace uvedená v Rozhodnutí nebude překročena. Dotace bude příjemcem vynaložena na odůvodněné a řádně prokázané způsobilé výdaje. Nezpůsobilé výdaje projektu hradí příjemce z vlastních zdrojů. </w:t>
            </w:r>
            <w:r w:rsidRPr="00290A25">
              <w:rPr>
                <w:rFonts w:ascii="Arial" w:hAnsi="Arial" w:cs="Arial"/>
                <w:sz w:val="18"/>
                <w:szCs w:val="18"/>
              </w:rPr>
              <w:t>Navýšení poskytnuté dotace není možné.</w:t>
            </w:r>
          </w:p>
          <w:p w14:paraId="22DBFAFE" w14:textId="77777777" w:rsidR="00065D48" w:rsidRPr="008E43B0" w:rsidRDefault="00065D48" w:rsidP="00D23B4E">
            <w:pPr>
              <w:rPr>
                <w:highlight w:val="yellow"/>
              </w:rPr>
            </w:pPr>
          </w:p>
          <w:p w14:paraId="47DFEB2E" w14:textId="6D2267EE" w:rsidR="00065D48" w:rsidRPr="00065D48" w:rsidRDefault="00065D48" w:rsidP="00065D4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na základě žádosti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B71787" w14:textId="19277BEE" w:rsidR="00521B84" w:rsidRPr="00D633E4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stanovených v Pravidlech je příjemce povinen předkládat depeší informace o plnění indikátorů.</w:t>
            </w:r>
            <w:r w:rsidRPr="0002577A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644D999" w14:textId="7C51EFBD" w:rsidR="00521B84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1B84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521B84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38717DFB" w:rsidR="00521B84" w:rsidRPr="00065D48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D48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o podporu před samotnou realizací této změny. V případě, že má změna vliv na podávanou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projektu, musí příjemce podat žádost o změnu údajů před podáním této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období/projektu. V návaznosti na funkčnost systému je třeba, aby byla nejdříve schválena žádost o změnu a následně podána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14:paraId="6A8CF118" w14:textId="77777777" w:rsidR="00D633E4" w:rsidRPr="00691C12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3D678" w14:textId="74FAD9E0" w:rsid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Výsledky projektu je příjemce povinen zachovat minimálně do konce roku 2026 od doby, 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00B4B2CB" w:rsidR="0097568F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2F3BBD3C" w14:textId="77777777" w:rsidR="009A2932" w:rsidRPr="00C86B70" w:rsidRDefault="009A2932" w:rsidP="009A293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B161CE" w14:textId="0F4A7E8D" w:rsidR="00D633E4" w:rsidRDefault="00454BD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de minimis, je p</w:t>
            </w:r>
            <w:r w:rsidR="007D7EBA">
              <w:rPr>
                <w:rFonts w:ascii="Arial" w:hAnsi="Arial" w:cs="Arial"/>
                <w:sz w:val="18"/>
                <w:szCs w:val="18"/>
              </w:rPr>
              <w:t xml:space="preserve">říjemce povinen dodržet </w:t>
            </w:r>
            <w:r w:rsidR="007D7EBA">
              <w:rPr>
                <w:rFonts w:ascii="Arial" w:hAnsi="Arial" w:cs="Arial"/>
                <w:sz w:val="18"/>
                <w:szCs w:val="18"/>
              </w:rPr>
              <w:lastRenderedPageBreak/>
              <w:t xml:space="preserve">podmínky stanovené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>Nařízení</w:t>
            </w:r>
            <w:r w:rsidR="007D7EBA">
              <w:rPr>
                <w:rFonts w:ascii="Arial" w:hAnsi="Arial" w:cs="Arial"/>
                <w:sz w:val="18"/>
                <w:szCs w:val="18"/>
              </w:rPr>
              <w:t>m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 Komise (EU) 2023/2831 ze dne 13. prosince 2023 o použití článků 107 a 108 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br/>
              <w:t xml:space="preserve">L 15.12.2023, které ke dni 1. 1. 2024 nahrazuje nařízení Komise (EU) č. 1407/2013 ze dne 18. prosince 2013 o použití článků 107 a 108 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352, 24. 12. 2013. Po dobu přechodného období, tj. nejdéle do 30.6.2024, bude podpora poskytována dle Nařízení Komise (EU) č. 1407/2013) a dle Nařízení Komise (EU) 2023/2832 ze dne 13. prosince 2023 o použití článků 107 a 108 Smlouvy o fungování Evropské unie na podporu de minimis udílenou podnikům </w:t>
            </w:r>
            <w:bookmarkStart w:id="0" w:name="_Hlk157506658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15.12.2023, nahrazuje nařízení Komise (EU) č. 360/2012 ze dne 25. dubna 2012 o použití článků 107 a 108 Smlouvy o fungování Evropské unie na podporu de minimis udílenou podnikům 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>. L 114, 26. 4. 2012. Po dobu přechodného období, tj. nejdéle do 30.6.2024 bude podpora poskytována dle nařízení Komise (EU) č. 360/2012</w:t>
            </w:r>
            <w:bookmarkEnd w:id="0"/>
            <w:r w:rsidR="007D7EBA" w:rsidRPr="007D7E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BEF612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28D7" w14:textId="03B6C0BD" w:rsidR="00D633E4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D9BCD" w14:textId="51BE01A3" w:rsidR="00C86B70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  <w:r w:rsidR="00C86B70" w:rsidRPr="00C86B70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C4B67" w14:textId="303B9099" w:rsidR="009E12B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050C8" w14:textId="6F6486EC" w:rsidR="00C86B70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5A418D" w14:textId="50F98123" w:rsidR="00CB14AD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C3DD6" w14:textId="35307A49" w:rsidR="00C2464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A0FDD" w14:textId="77777777" w:rsidR="00D633E4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D633E4" w:rsidRDefault="2A81BF60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63095B" w14:textId="5008CD42" w:rsidR="00CB14AD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CCA1D" w14:textId="364C9E79" w:rsidR="00D633E4" w:rsidRPr="00D633E4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Žadatel o dotaci musí doložit doklad, kterým bude prokázán právní vztah k nemovitému majetku. Tento doklad nesmí být starší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nemovitý majetek, ke kterému se bude vztahovat předmětná projektová dokumentace na rekonstrukci či výstavbu, na základě, které bude realizována rekonstrukce či výstavba v kontextu se splněním následné podmínky o realizaci stavby do 10 let od ukončení projektu. Za doklad o právním vztahu k nemovitému majetku bude považována také smlouva o smlouvě budoucí kupní. V tomto případě (tedy v případě využití smlouvy o </w:t>
            </w:r>
            <w:r w:rsidRPr="00CB14AD">
              <w:rPr>
                <w:rFonts w:ascii="Arial" w:hAnsi="Arial" w:cs="Arial"/>
                <w:sz w:val="18"/>
                <w:szCs w:val="18"/>
              </w:rPr>
              <w:lastRenderedPageBreak/>
              <w:t>smlouvě budoucí kupní) je podmínkou, aby příjemce dotace v rámci závěrečné zprávy o realizaci doložil 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027A8E99" w14:textId="193B30DC" w:rsidR="0002577A" w:rsidRDefault="00290A25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0A25">
              <w:rPr>
                <w:rFonts w:ascii="Arial" w:hAnsi="Arial" w:cs="Arial"/>
                <w:sz w:val="18"/>
                <w:szCs w:val="18"/>
              </w:rPr>
              <w:t xml:space="preserve">V případě, že se předmět dotace vztahuje k nemovité věci, která není zapsána v katastru nemovitostí, pak žadatel dále </w:t>
            </w:r>
            <w:proofErr w:type="gramStart"/>
            <w:r w:rsidRPr="00290A25">
              <w:rPr>
                <w:rFonts w:ascii="Arial" w:hAnsi="Arial" w:cs="Arial"/>
                <w:sz w:val="18"/>
                <w:szCs w:val="18"/>
              </w:rPr>
              <w:t>předloží</w:t>
            </w:r>
            <w:proofErr w:type="gramEnd"/>
            <w:r w:rsidRPr="00290A25">
              <w:rPr>
                <w:rFonts w:ascii="Arial" w:hAnsi="Arial" w:cs="Arial"/>
                <w:sz w:val="18"/>
                <w:szCs w:val="18"/>
              </w:rPr>
              <w:t>: katastrální mapu s vyznačením majetku a evidenční kartu majetku.</w:t>
            </w:r>
          </w:p>
          <w:p w14:paraId="204965A4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C3D5241" w:rsidR="00147AE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1789492E" w14:textId="77777777" w:rsidR="00454BD2" w:rsidRDefault="00454BD2" w:rsidP="00454BD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90D86F" w14:textId="1A395791" w:rsidR="00454BD2" w:rsidRDefault="00454BD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BD2">
              <w:rPr>
                <w:rFonts w:ascii="Arial" w:hAnsi="Arial" w:cs="Arial"/>
                <w:sz w:val="18"/>
                <w:szCs w:val="18"/>
              </w:rPr>
              <w:t xml:space="preserve">V případě, že je předmětem podpory/výstupem projektu dokumentace k územnímu řízení, nebo dokumentace pro stavební povolení, nebo projekt pro výběr zhotovitele vč. realizačního projektu, nebo projektová příprava PPP, nebo </w:t>
            </w:r>
            <w:proofErr w:type="spellStart"/>
            <w:r w:rsidRPr="00454BD2">
              <w:rPr>
                <w:rFonts w:ascii="Arial" w:hAnsi="Arial" w:cs="Arial"/>
                <w:sz w:val="18"/>
                <w:szCs w:val="18"/>
              </w:rPr>
              <w:t>Design&amp;Build</w:t>
            </w:r>
            <w:proofErr w:type="spellEnd"/>
            <w:r w:rsidRPr="00454BD2">
              <w:rPr>
                <w:rFonts w:ascii="Arial" w:hAnsi="Arial" w:cs="Arial"/>
                <w:sz w:val="18"/>
                <w:szCs w:val="18"/>
              </w:rPr>
              <w:t>, nebo projektová příprava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kapitola 3 Realizace projektu.</w:t>
            </w:r>
          </w:p>
          <w:p w14:paraId="67CD3ACB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90474" w14:textId="74A69EAC" w:rsidR="00D633E4" w:rsidRDefault="00D633E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35D40534" w14:textId="77777777" w:rsidR="00793281" w:rsidRPr="00793281" w:rsidRDefault="00793281" w:rsidP="00793281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722318F" w14:textId="7DC5669D" w:rsidR="00793281" w:rsidRDefault="00793281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281">
              <w:rPr>
                <w:rFonts w:ascii="Arial" w:hAnsi="Arial" w:cs="Arial"/>
                <w:sz w:val="18"/>
                <w:szCs w:val="18"/>
              </w:rPr>
              <w:t>Podpořený projekt</w:t>
            </w:r>
            <w:r>
              <w:rPr>
                <w:rFonts w:ascii="Arial" w:hAnsi="Arial" w:cs="Arial"/>
                <w:sz w:val="18"/>
                <w:szCs w:val="18"/>
              </w:rPr>
              <w:t xml:space="preserve"> musí naplňovat </w:t>
            </w:r>
            <w:r w:rsidRPr="00793281">
              <w:rPr>
                <w:rFonts w:ascii="Arial" w:hAnsi="Arial" w:cs="Arial"/>
                <w:sz w:val="18"/>
                <w:szCs w:val="18"/>
              </w:rPr>
              <w:t xml:space="preserve">kritéria pro certifikaci dle metodiky </w:t>
            </w:r>
            <w:proofErr w:type="spellStart"/>
            <w:r w:rsidRPr="00793281"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 w:rsidRPr="00793281">
              <w:rPr>
                <w:rFonts w:ascii="Arial" w:hAnsi="Arial" w:cs="Arial"/>
                <w:sz w:val="18"/>
                <w:szCs w:val="18"/>
              </w:rPr>
              <w:t xml:space="preserve"> minimálně na úrovni bronzového certifikátu.</w:t>
            </w:r>
          </w:p>
          <w:p w14:paraId="349FD28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055" w14:textId="7783C0F4" w:rsidR="00154103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FCC6B5" w14:textId="77777777" w:rsidR="00CB14AD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426019CC" w14:textId="77777777" w:rsidR="00242ED8" w:rsidRPr="00242ED8" w:rsidRDefault="00242ED8" w:rsidP="00242ED8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76616781" w:rsidR="00242ED8" w:rsidRPr="0002577A" w:rsidRDefault="00242ED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5B72DAE4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6044341E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33905431" w14:textId="4579884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42FAA7DA" w14:textId="3901B56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25063E0C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7B8722C1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 4 písm. a) rozpočtových pravidel uhradí částku ve výši 0, 02 % z celkové částky vyplacených prostředků podpory v případě, že dojde</w:t>
            </w:r>
          </w:p>
          <w:p w14:paraId="0A4D427F" w14:textId="628822E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50FCC9B1" w14:textId="7A45C251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0CD2770D" w14:textId="77777777" w:rsidR="000C50E9" w:rsidRPr="00EB4BD4" w:rsidRDefault="000C50E9" w:rsidP="000C50E9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012DE8D8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594A6602" w14:textId="678EC35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vést oddělenou analytickou evidenci účetnictví podle Podmínek a nebude možné provést nápravné opatření nebo</w:t>
            </w:r>
          </w:p>
          <w:p w14:paraId="163835C5" w14:textId="7A53865B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zachovat dokumentaci k výsledkům projektu podle Podmínek a chybějící dokument nedoložil jiným průkazným způsobem, je možné stanovit výši podpory, ke které se </w:t>
            </w: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dokument váže, současně však prokáže, že výdaj dokládaný 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057379BF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3A124A30" w:rsidR="009E12B4" w:rsidRPr="00D74CEA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5E59CADB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1C392F0B" w:rsidR="0043225B" w:rsidRPr="00B32344" w:rsidRDefault="0043225B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432574">
      <w:rPr>
        <w:rFonts w:ascii="Calibri" w:hAnsi="Calibri" w:cs="Calibri"/>
        <w:b/>
        <w:bCs/>
        <w:color w:val="002060"/>
      </w:rPr>
      <w:t xml:space="preserve"> (</w:t>
    </w:r>
    <w:r w:rsidR="007C54C8">
      <w:rPr>
        <w:rFonts w:ascii="Calibri" w:hAnsi="Calibri" w:cs="Calibri"/>
        <w:b/>
        <w:bCs/>
        <w:color w:val="002060"/>
      </w:rPr>
      <w:t xml:space="preserve">příprava </w:t>
    </w:r>
    <w:r w:rsidR="00432574">
      <w:rPr>
        <w:rFonts w:ascii="Calibri" w:hAnsi="Calibri" w:cs="Calibri"/>
        <w:b/>
        <w:bCs/>
        <w:color w:val="002060"/>
      </w:rPr>
      <w:t>velk</w:t>
    </w:r>
    <w:r w:rsidR="007C54C8">
      <w:rPr>
        <w:rFonts w:ascii="Calibri" w:hAnsi="Calibri" w:cs="Calibri"/>
        <w:b/>
        <w:bCs/>
        <w:color w:val="002060"/>
      </w:rPr>
      <w:t>ých</w:t>
    </w:r>
    <w:r w:rsidR="00432574">
      <w:rPr>
        <w:rFonts w:ascii="Calibri" w:hAnsi="Calibri" w:cs="Calibri"/>
        <w:b/>
        <w:bCs/>
        <w:color w:val="002060"/>
      </w:rPr>
      <w:t xml:space="preserve"> projekt</w:t>
    </w:r>
    <w:r w:rsidR="007C54C8">
      <w:rPr>
        <w:rFonts w:ascii="Calibri" w:hAnsi="Calibri" w:cs="Calibri"/>
        <w:b/>
        <w:bCs/>
        <w:color w:val="002060"/>
      </w:rPr>
      <w:t>ů</w:t>
    </w:r>
    <w:r w:rsidR="00432574">
      <w:rPr>
        <w:rFonts w:ascii="Calibri" w:hAnsi="Calibri" w:cs="Calibri"/>
        <w:b/>
        <w:bCs/>
        <w:color w:val="002060"/>
      </w:rPr>
      <w:t>)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77168434">
    <w:abstractNumId w:val="17"/>
  </w:num>
  <w:num w:numId="36" w16cid:durableId="1775517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C50E9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42ED8"/>
    <w:rsid w:val="0025070C"/>
    <w:rsid w:val="00251A4C"/>
    <w:rsid w:val="002537C4"/>
    <w:rsid w:val="00256685"/>
    <w:rsid w:val="0026176F"/>
    <w:rsid w:val="00267BF1"/>
    <w:rsid w:val="00272656"/>
    <w:rsid w:val="002874E0"/>
    <w:rsid w:val="00290A25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2574"/>
    <w:rsid w:val="00435B42"/>
    <w:rsid w:val="00446C32"/>
    <w:rsid w:val="00447413"/>
    <w:rsid w:val="00450941"/>
    <w:rsid w:val="00452319"/>
    <w:rsid w:val="00454BD2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1C1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54C8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868B6"/>
    <w:rsid w:val="00886EBF"/>
    <w:rsid w:val="008944F4"/>
    <w:rsid w:val="0089570B"/>
    <w:rsid w:val="008A551E"/>
    <w:rsid w:val="008C457F"/>
    <w:rsid w:val="008C743A"/>
    <w:rsid w:val="008D72B8"/>
    <w:rsid w:val="008E43B0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2932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371D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A6796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3B4E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2051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Janská Kvetoslava</cp:lastModifiedBy>
  <cp:revision>19</cp:revision>
  <cp:lastPrinted>2023-11-09T09:51:00Z</cp:lastPrinted>
  <dcterms:created xsi:type="dcterms:W3CDTF">2024-01-30T12:54:00Z</dcterms:created>
  <dcterms:modified xsi:type="dcterms:W3CDTF">2024-02-07T10:37:00Z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