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26E2" w14:textId="4138A4FC" w:rsidR="2A632781" w:rsidRDefault="2A632781" w:rsidP="007F413B">
      <w:pPr>
        <w:pStyle w:val="paragraph"/>
        <w:spacing w:before="0" w:beforeAutospacing="0" w:after="0" w:afterAutospacing="0"/>
        <w:rPr>
          <w:sz w:val="40"/>
          <w:szCs w:val="40"/>
        </w:rPr>
      </w:pPr>
    </w:p>
    <w:p w14:paraId="351E38BB" w14:textId="77777777" w:rsidR="000241A4" w:rsidRPr="000241A4" w:rsidRDefault="000241A4" w:rsidP="2A63278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</w:p>
    <w:p w14:paraId="093A2A25" w14:textId="7777777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6E7BEAA2" w14:textId="637327F6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63E4A9CD" w14:textId="62BE213E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0"/>
          <w:szCs w:val="40"/>
        </w:rPr>
      </w:pPr>
    </w:p>
    <w:p w14:paraId="2F27EAFC" w14:textId="6C968FA7" w:rsidR="00344FF8" w:rsidRDefault="00344FF8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6711FCCA" w14:textId="381BCCCA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D8C4171" w14:textId="2A8C779D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1E03768E" w14:textId="77777777" w:rsidR="00444C90" w:rsidRDefault="00444C90" w:rsidP="2A020F75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09AF38FC" w14:textId="40FDC6BD" w:rsidR="00344FF8" w:rsidRDefault="00344FF8" w:rsidP="000241A4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  <w:t> </w:t>
      </w:r>
    </w:p>
    <w:p w14:paraId="77193017" w14:textId="6188D476" w:rsidR="00344FF8" w:rsidRPr="00444C90" w:rsidRDefault="00344FF8" w:rsidP="00444C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2F5496" w:themeColor="accent1" w:themeShade="BF"/>
          <w:sz w:val="40"/>
          <w:szCs w:val="40"/>
        </w:rPr>
      </w:pPr>
      <w:r w:rsidRPr="00444C90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  <w:r w:rsidRPr="00444C90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9</w:t>
      </w:r>
    </w:p>
    <w:p w14:paraId="01512BE8" w14:textId="53D0F3E3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40"/>
          <w:szCs w:val="40"/>
        </w:rPr>
      </w:pPr>
    </w:p>
    <w:p w14:paraId="2D6A6ADC" w14:textId="77777777" w:rsidR="00444C90" w:rsidRDefault="00444C90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</w:p>
    <w:p w14:paraId="6428347C" w14:textId="77777777" w:rsidR="00344FF8" w:rsidRPr="000241A4" w:rsidRDefault="00344FF8" w:rsidP="2A020F75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46"/>
          <w:szCs w:val="46"/>
        </w:rPr>
      </w:pPr>
      <w:r w:rsidRPr="000241A4">
        <w:rPr>
          <w:rStyle w:val="normaltextrun"/>
          <w:rFonts w:ascii="Arial" w:eastAsia="Arial" w:hAnsi="Arial" w:cs="Arial"/>
          <w:b/>
          <w:bCs/>
          <w:caps/>
          <w:color w:val="002060"/>
          <w:sz w:val="46"/>
          <w:szCs w:val="46"/>
        </w:rPr>
        <w:t>Dokladování způsobilých výdajů</w:t>
      </w:r>
    </w:p>
    <w:p w14:paraId="672A6659" w14:textId="77777777" w:rsidR="00984071" w:rsidRDefault="00984071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A37501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5DAB6C7B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2EB378F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D0B940D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0E27B00A" w14:textId="77777777" w:rsidR="00344FF8" w:rsidRP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60061E4C" w14:textId="330E2689" w:rsidR="00344FF8" w:rsidRDefault="00344FF8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40E91589" w14:textId="48EBF259" w:rsidR="000241A4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1EBD2869" w14:textId="77777777" w:rsidR="000241A4" w:rsidRPr="00344FF8" w:rsidRDefault="000241A4" w:rsidP="2A020F75">
      <w:pPr>
        <w:rPr>
          <w:rFonts w:ascii="Arial" w:eastAsia="Arial" w:hAnsi="Arial" w:cs="Arial"/>
          <w:b/>
          <w:bCs/>
          <w:color w:val="2F5496" w:themeColor="accent1" w:themeShade="BF"/>
        </w:rPr>
      </w:pPr>
    </w:p>
    <w:p w14:paraId="20682FF7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4EB0B82E" w14:textId="77777777" w:rsidR="00444C90" w:rsidRDefault="00444C90" w:rsidP="2A020F75">
      <w:pPr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254D2F2" w14:textId="17A58D71" w:rsidR="00344FF8" w:rsidRPr="00444C90" w:rsidRDefault="00344FF8" w:rsidP="2A020F75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8"/>
          <w:szCs w:val="28"/>
        </w:rPr>
      </w:pPr>
      <w:r w:rsidRPr="2A020F75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Pr="00444C90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latnost</w:t>
      </w:r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1</w:t>
      </w:r>
      <w:r w:rsidR="007F413B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9</w:t>
      </w:r>
      <w:bookmarkStart w:id="0" w:name="_GoBack"/>
      <w:bookmarkEnd w:id="0"/>
      <w:r w:rsidRPr="00444C90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5. 2022</w:t>
      </w:r>
      <w:r w:rsidRPr="00444C90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3DEEC669" w14:textId="629D6CB8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  <w:r w:rsidRPr="27533703">
        <w:rPr>
          <w:rStyle w:val="eop"/>
          <w:rFonts w:ascii="Cambria" w:hAnsi="Cambria" w:cs="Segoe UI"/>
          <w:sz w:val="32"/>
          <w:szCs w:val="32"/>
        </w:rPr>
        <w:br w:type="page"/>
      </w:r>
    </w:p>
    <w:p w14:paraId="0AF7744F" w14:textId="641CF0C6" w:rsidR="27533703" w:rsidRDefault="27533703" w:rsidP="27533703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517A2E05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lastRenderedPageBreak/>
        <w:t>Způsobilé výdaje</w:t>
      </w:r>
    </w:p>
    <w:p w14:paraId="6AB7181F" w14:textId="1A41C802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vynaloženy v souladu s cíli NPO, </w:t>
      </w:r>
    </w:p>
    <w:p w14:paraId="1F0303FC" w14:textId="432BB8AB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přímo souviset s realizací projektu, </w:t>
      </w:r>
    </w:p>
    <w:p w14:paraId="717F297A" w14:textId="7FE37153" w:rsidR="517A2E05" w:rsidRPr="006A6066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vzniknout a být vynaloženy v období od 1. 2. 2020 do data ukončení realizace projektu podle Rozhodnutí o poskytnutí dotace, </w:t>
      </w:r>
    </w:p>
    <w:p w14:paraId="63BFBC0B" w14:textId="70EC75E5" w:rsidR="003D4D73" w:rsidRDefault="00A176DD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ascii="Arial" w:eastAsia="Arial" w:hAnsi="Arial" w:cs="Arial"/>
        </w:rPr>
        <w:t xml:space="preserve">smlouva s dodavateli může být </w:t>
      </w:r>
      <w:r w:rsidR="00B11A2D">
        <w:rPr>
          <w:rFonts w:ascii="Arial" w:eastAsia="Arial" w:hAnsi="Arial" w:cs="Arial"/>
        </w:rPr>
        <w:t>uzavřená před 1. 2. 2020,</w:t>
      </w:r>
    </w:p>
    <w:p w14:paraId="649302CA" w14:textId="2A5D7547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 xml:space="preserve">musí být doloženy průkaznými doklady, viz Dokladování způsobilých výdajů projektu, </w:t>
      </w:r>
    </w:p>
    <w:p w14:paraId="6A3641C5" w14:textId="6D7A49CA" w:rsidR="517A2E05" w:rsidRDefault="517A2E05" w:rsidP="517A2E05">
      <w:pPr>
        <w:pStyle w:val="Odstavecseseznamem"/>
        <w:numPr>
          <w:ilvl w:val="0"/>
          <w:numId w:val="2"/>
        </w:numPr>
        <w:jc w:val="both"/>
        <w:rPr>
          <w:rFonts w:eastAsiaTheme="minorEastAsia"/>
        </w:rPr>
      </w:pPr>
      <w:r w:rsidRPr="517A2E05">
        <w:rPr>
          <w:rFonts w:ascii="Arial" w:eastAsia="Arial" w:hAnsi="Arial" w:cs="Arial"/>
        </w:rPr>
        <w:t>nesmí přesáhnout výši výdajů uvedenou v každé jednotlivé smlouvě uzavřené s</w:t>
      </w:r>
      <w:r w:rsidR="00E73650">
        <w:rPr>
          <w:rFonts w:ascii="Arial" w:eastAsia="Arial" w:hAnsi="Arial" w:cs="Arial"/>
        </w:rPr>
        <w:t> </w:t>
      </w:r>
      <w:r w:rsidRPr="517A2E05">
        <w:rPr>
          <w:rFonts w:ascii="Arial" w:eastAsia="Arial" w:hAnsi="Arial" w:cs="Arial"/>
        </w:rPr>
        <w:t>dodavatelem, případně v jejích dodatcích.</w:t>
      </w:r>
    </w:p>
    <w:p w14:paraId="4ABA8CE0" w14:textId="76B23A15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391962A1">
        <w:rPr>
          <w:rStyle w:val="eop"/>
          <w:rFonts w:ascii="Arial" w:eastAsia="Arial" w:hAnsi="Arial" w:cs="Arial"/>
        </w:rPr>
        <w:t xml:space="preserve">Pokud není využíván výhradně pro projekt celý předmět financování, je k financování způsobilá </w:t>
      </w:r>
      <w:r w:rsidR="00E5123E">
        <w:rPr>
          <w:rStyle w:val="eop"/>
          <w:rFonts w:ascii="Arial" w:eastAsia="Arial" w:hAnsi="Arial" w:cs="Arial"/>
        </w:rPr>
        <w:t>jeho</w:t>
      </w:r>
      <w:r w:rsidRPr="391962A1">
        <w:rPr>
          <w:rStyle w:val="eop"/>
          <w:rFonts w:ascii="Arial" w:eastAsia="Arial" w:hAnsi="Arial" w:cs="Arial"/>
        </w:rPr>
        <w:t xml:space="preserve"> poměrná část. Příjemce je povinen doložit výpočet poměrné části pro projekt. </w:t>
      </w:r>
    </w:p>
    <w:p w14:paraId="03195AF0" w14:textId="4F32C880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Registr smluv</w:t>
      </w:r>
    </w:p>
    <w:p w14:paraId="7BECFE63" w14:textId="2158B8CF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V souvislosti s účinností zákona č. 340/2015 Sb., o zvláštních podmínkách účinnosti některých smluv, uveřejňování těchto smluv a o registru smluv (dále „ZRS“) jsou příjemci vymezení v §</w:t>
      </w:r>
      <w:r w:rsidR="00E73650">
        <w:rPr>
          <w:rStyle w:val="eop"/>
          <w:rFonts w:ascii="Arial" w:eastAsia="Arial" w:hAnsi="Arial" w:cs="Arial"/>
        </w:rPr>
        <w:t> </w:t>
      </w:r>
      <w:r w:rsidRPr="27533703">
        <w:rPr>
          <w:rStyle w:val="eop"/>
          <w:rFonts w:ascii="Arial" w:eastAsia="Arial" w:hAnsi="Arial" w:cs="Arial"/>
        </w:rPr>
        <w:t>2 ZRS povinni od 1. 7. 2017 zveřejnit smlouvu včetně smlouvy uzavřené akceptací objednávky nebo její dodatky v Registru smluv dostupném na https://smlouvy.gov.cz/.</w:t>
      </w:r>
    </w:p>
    <w:p w14:paraId="27268CEE" w14:textId="46C97868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Žadatel dokládá vložení příslušné smlouvy/objednávky do Registru smluv při nárokování výdajů z této objednávky uložením přesného a funkčního hypertextového odkazu do pole „Popis výdaje“ v soupisce dokladů (případně jiný údaj umožňující dohledání daného dokumentu, např. ID, které bylo přiděleno při uveřejnění příslušných podkladů v registru smluv).</w:t>
      </w:r>
    </w:p>
    <w:p w14:paraId="0E6F5D91" w14:textId="4815C5C0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Pokud nedojde ke zveřejnění dané smlouvy/objednávky/dodatku ve lhůtě stanovené ZRS, výdaje vzniklé na základě smlouvy/objednávky včetně její akceptace/dodatku mohou být považovány za nezpůsobilé.</w:t>
      </w:r>
    </w:p>
    <w:p w14:paraId="7635BB6A" w14:textId="199536AC" w:rsidR="27533703" w:rsidRPr="006A6066" w:rsidRDefault="27533703" w:rsidP="006A6066">
      <w:pPr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</w:pPr>
      <w:r w:rsidRPr="006A6066">
        <w:rPr>
          <w:rStyle w:val="eop"/>
          <w:rFonts w:ascii="Arial" w:eastAsia="Arial" w:hAnsi="Arial" w:cs="Arial"/>
          <w:b/>
          <w:bCs/>
          <w:color w:val="2F5496" w:themeColor="accent1" w:themeShade="BF"/>
          <w:sz w:val="24"/>
          <w:szCs w:val="24"/>
        </w:rPr>
        <w:t>Dokladování způsobilých výdajů</w:t>
      </w:r>
    </w:p>
    <w:p w14:paraId="1F18EEB4" w14:textId="196032F4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0E7AEE2D">
        <w:rPr>
          <w:rStyle w:val="eop"/>
          <w:rFonts w:ascii="Arial" w:eastAsia="Arial" w:hAnsi="Arial" w:cs="Arial"/>
        </w:rPr>
        <w:t>Konkrétní výčet způsobilých a nezpůsobilých výdajů je uveden ve výzvě č. 1.</w:t>
      </w:r>
    </w:p>
    <w:p w14:paraId="178C0FBD" w14:textId="7ECFFE21" w:rsidR="27533703" w:rsidRDefault="27533703" w:rsidP="27533703">
      <w:pPr>
        <w:jc w:val="both"/>
        <w:rPr>
          <w:rStyle w:val="eop"/>
          <w:rFonts w:ascii="Arial" w:eastAsia="Arial" w:hAnsi="Arial" w:cs="Arial"/>
        </w:rPr>
      </w:pPr>
      <w:r w:rsidRPr="27533703">
        <w:rPr>
          <w:rStyle w:val="eop"/>
          <w:rFonts w:ascii="Arial" w:eastAsia="Arial" w:hAnsi="Arial" w:cs="Arial"/>
        </w:rPr>
        <w:t>Příjemce je povinen doložit způsobilé výdaje příslušným účetním, daňovým či jiným dokladem, popřípadě další podpůrnou dokumentací. Výdaje, které nejsou řádně doložené, jsou považovány za nezpůsobilé.</w:t>
      </w:r>
    </w:p>
    <w:p w14:paraId="0C552769" w14:textId="77777777" w:rsidR="00E73650" w:rsidRDefault="00E73650" w:rsidP="27533703">
      <w:pPr>
        <w:jc w:val="both"/>
        <w:rPr>
          <w:rStyle w:val="eop"/>
          <w:rFonts w:ascii="Arial" w:eastAsia="Arial" w:hAnsi="Arial" w:cs="Arial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790"/>
      </w:tblGrid>
      <w:tr w:rsidR="00344FF8" w:rsidRPr="00344FF8" w14:paraId="78014A1D" w14:textId="77777777" w:rsidTr="2C7C3413">
        <w:trPr>
          <w:trHeight w:val="836"/>
        </w:trPr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135A0244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5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14:paraId="778A52C4" w14:textId="77777777" w:rsidR="00344FF8" w:rsidRPr="00344FF8" w:rsidRDefault="00344FF8" w:rsidP="00344FF8">
            <w:pPr>
              <w:spacing w:after="0" w:line="240" w:lineRule="auto"/>
              <w:ind w:left="36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2F5496" w:themeColor="accent1" w:themeShade="BF"/>
                <w:sz w:val="24"/>
                <w:szCs w:val="24"/>
                <w:lang w:eastAsia="cs-CZ"/>
              </w:rPr>
              <w:t>ZPŮSOB DOKLADOVÁNÍ</w:t>
            </w:r>
          </w:p>
        </w:tc>
      </w:tr>
      <w:tr w:rsidR="00344FF8" w:rsidRPr="00344FF8" w14:paraId="6D94358C" w14:textId="77777777" w:rsidTr="2C7C3413"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9E327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Nákup zařízení</w:t>
            </w:r>
          </w:p>
        </w:tc>
        <w:tc>
          <w:tcPr>
            <w:tcW w:w="5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EAB35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6E3CBAE4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147AD28B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3B73CEC9" w14:textId="77777777" w:rsidR="00344FF8" w:rsidRPr="00344FF8" w:rsidRDefault="00344FF8" w:rsidP="00344FF8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(o dílo nebo kupní smlouva), případně její dodatky </w:t>
            </w:r>
          </w:p>
        </w:tc>
      </w:tr>
      <w:tr w:rsidR="00344FF8" w:rsidRPr="00344FF8" w14:paraId="686F56CF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CD4A0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Pronájem zařízení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AA7CD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75DF8815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pokud nelze posoudit způsobilost výdaje podle identifikace předmětu plnění, doložit objednávku, dodací list, popř. předávací protokol;  </w:t>
            </w:r>
          </w:p>
          <w:p w14:paraId="2BA7432D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690BC2B0" w14:textId="77777777" w:rsidR="00344FF8" w:rsidRPr="00344FF8" w:rsidRDefault="00344FF8" w:rsidP="00344FF8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nájemní smlouva, případně její dodatky </w:t>
            </w:r>
          </w:p>
        </w:tc>
      </w:tr>
      <w:tr w:rsidR="00344FF8" w:rsidRPr="00344FF8" w14:paraId="675A3F96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3C06B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Nákup služeb a nástrojů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64A73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40690631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14:paraId="6E34FA0A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7377395E" w14:textId="77777777" w:rsidR="00344FF8" w:rsidRPr="00344FF8" w:rsidRDefault="00344FF8" w:rsidP="00344FF8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="00344FF8" w:rsidRPr="00344FF8" w14:paraId="0E93E671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2FC36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Pronájem služeb a nástrojů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10B79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3FF16306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14:paraId="25AE5A4F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01379855" w14:textId="77777777" w:rsidR="00344FF8" w:rsidRPr="00344FF8" w:rsidRDefault="00344FF8" w:rsidP="00344FF8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="00344FF8" w:rsidRPr="00344FF8" w14:paraId="1B0AA9E2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856D7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Expertní a konzultační služby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320B9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0565377E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přesně posoudit způsobilost výdaje účetního nebo daňového dokladu, doložit jiné relevantní doklady, např. objednávku, dodací list, předávací protokol;  </w:t>
            </w:r>
          </w:p>
          <w:p w14:paraId="392212F5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0945C967" w14:textId="77777777" w:rsidR="00344FF8" w:rsidRPr="00344FF8" w:rsidRDefault="00344FF8" w:rsidP="00344FF8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 </w:t>
            </w:r>
          </w:p>
        </w:tc>
      </w:tr>
      <w:tr w:rsidR="00344FF8" w:rsidRPr="00344FF8" w14:paraId="60BA5117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BA589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Projektová dokumentace</w:t>
            </w:r>
          </w:p>
          <w:p w14:paraId="3656B9AB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A46DC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264FEA56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60A7E278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35750040" w14:textId="77777777" w:rsidR="00344FF8" w:rsidRPr="00344FF8" w:rsidRDefault="00344FF8" w:rsidP="00344FF8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smlouva, případně její dodatky </w:t>
            </w:r>
          </w:p>
        </w:tc>
      </w:tr>
      <w:tr w:rsidR="00344FF8" w:rsidRPr="00344FF8" w14:paraId="7E734B5F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4E581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Stavební a inženýrské práce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E8692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2A652159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předávací protokol;  </w:t>
            </w:r>
          </w:p>
          <w:p w14:paraId="1101AD05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apod.;  </w:t>
            </w:r>
          </w:p>
          <w:p w14:paraId="4B650F09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zaplacení;  </w:t>
            </w:r>
          </w:p>
          <w:p w14:paraId="18366FCA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dílo (včetně položkového rozpočtu stavby nebo části stavby), případně její dodatky;  </w:t>
            </w:r>
          </w:p>
          <w:p w14:paraId="1DBC6B1E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kolaudační souhlas, kolaudační rozhodnutí, pokud je relevantní;  </w:t>
            </w:r>
          </w:p>
          <w:p w14:paraId="66077504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rozhodnutí o povolení k předčasnému užívání stavby, pokud je relevantní;  </w:t>
            </w:r>
          </w:p>
          <w:p w14:paraId="11130576" w14:textId="77777777" w:rsidR="00344FF8" w:rsidRPr="00344FF8" w:rsidRDefault="00344FF8" w:rsidP="00344FF8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rozhodnutí o povolení zkušebního provozu před vydáním kolaudačního souhlasu nebo rozhodnutí, pokud je relevantní </w:t>
            </w:r>
          </w:p>
        </w:tc>
      </w:tr>
      <w:tr w:rsidR="00344FF8" w:rsidRPr="00344FF8" w14:paraId="7A1D69F1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19707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Poplatky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4E757" w14:textId="77777777" w:rsidR="00344FF8" w:rsidRPr="00344FF8" w:rsidRDefault="00344FF8" w:rsidP="00344FF8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 identifikací předmětu plnění pro posouzení způsobilosti;  </w:t>
            </w:r>
          </w:p>
          <w:p w14:paraId="5186454D" w14:textId="77777777" w:rsidR="00344FF8" w:rsidRPr="00344FF8" w:rsidRDefault="00344FF8" w:rsidP="00344FF8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doklady o zaplacení;  </w:t>
            </w:r>
          </w:p>
          <w:p w14:paraId="5A03751B" w14:textId="77777777" w:rsidR="00344FF8" w:rsidRPr="00344FF8" w:rsidRDefault="00344FF8" w:rsidP="00344FF8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smlouva, případně její dodatky </w:t>
            </w:r>
          </w:p>
        </w:tc>
      </w:tr>
      <w:tr w:rsidR="00344FF8" w:rsidRPr="00344FF8" w14:paraId="76FE8274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3412B3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Publicita projektu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23623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6FF5649C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29231AF6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dodatky;  </w:t>
            </w:r>
          </w:p>
          <w:p w14:paraId="595CA8E2" w14:textId="77777777" w:rsidR="00344FF8" w:rsidRPr="00344FF8" w:rsidRDefault="00344FF8" w:rsidP="00344FF8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 </w:t>
            </w:r>
          </w:p>
        </w:tc>
      </w:tr>
      <w:tr w:rsidR="006832F5" w:rsidRPr="00344FF8" w14:paraId="4F9107BA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8ECC4" w14:textId="0CD45EFF" w:rsidR="006832F5" w:rsidRPr="00344FF8" w:rsidRDefault="006832F5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Výsledná propagace projektu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65CB4" w14:textId="77777777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účetní/daňové doklady se zřejmou identifikací předmětu plnění pro posouzení způsobilosti výdaje;  </w:t>
            </w:r>
          </w:p>
          <w:p w14:paraId="009F3844" w14:textId="77777777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pokud nelze posoudit způsobilost výdaje podle identifikace předmětu plnění, doložit objednávku, dodací list, popř. předávací protokol;  </w:t>
            </w:r>
          </w:p>
          <w:p w14:paraId="773E3821" w14:textId="77777777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smlouva o poskytnutí služeb, smlouva o dílo, případně její dodatky;  </w:t>
            </w:r>
          </w:p>
          <w:p w14:paraId="5C6FFEDB" w14:textId="28FC495F" w:rsidR="006832F5" w:rsidRPr="00344FF8" w:rsidRDefault="006832F5" w:rsidP="006832F5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doklad o zaplacení </w:t>
            </w:r>
          </w:p>
        </w:tc>
      </w:tr>
      <w:tr w:rsidR="00344FF8" w:rsidRPr="00344FF8" w14:paraId="47561C13" w14:textId="77777777" w:rsidTr="2C7C3413"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93F03" w14:textId="77777777" w:rsidR="00344FF8" w:rsidRPr="00344FF8" w:rsidRDefault="00344FF8" w:rsidP="00344FF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Účetní doklady do 10 000 Kč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F71D6" w14:textId="77777777" w:rsidR="00344FF8" w:rsidRPr="00344FF8" w:rsidRDefault="00344FF8" w:rsidP="00344F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výdaje do 10 000 Kč lze uvést v Seznamu účetních dokladů a nedokládat k nim faktury, paragony a další účetní doklady;  </w:t>
            </w:r>
          </w:p>
          <w:p w14:paraId="4C2D50D6" w14:textId="62F40659" w:rsidR="00344FF8" w:rsidRPr="00344FF8" w:rsidRDefault="00344FF8" w:rsidP="00344F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 xml:space="preserve">maximální limit pro začlenění do seznamu účetních dokladů je 10 000 Kč </w:t>
            </w:r>
            <w:r w:rsidR="002E6E14">
              <w:rPr>
                <w:rFonts w:ascii="Arial" w:eastAsia="Times New Roman" w:hAnsi="Arial" w:cs="Arial"/>
                <w:color w:val="000000"/>
                <w:lang w:eastAsia="cs-CZ"/>
              </w:rPr>
              <w:t>bez</w:t>
            </w: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 xml:space="preserve"> DPH za jeden účetní doklad;  </w:t>
            </w:r>
          </w:p>
          <w:p w14:paraId="51865A3C" w14:textId="77777777" w:rsidR="00344FF8" w:rsidRPr="00344FF8" w:rsidRDefault="00344FF8" w:rsidP="00344FF8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344FF8">
              <w:rPr>
                <w:rFonts w:ascii="Arial" w:eastAsia="Times New Roman" w:hAnsi="Arial" w:cs="Arial"/>
                <w:color w:val="000000"/>
                <w:lang w:eastAsia="cs-CZ"/>
              </w:rPr>
              <w:t>pro tyto výdaje platí povinnost předložit v případě kontroly originály příslušných účetních dokladů </w:t>
            </w:r>
          </w:p>
        </w:tc>
      </w:tr>
    </w:tbl>
    <w:p w14:paraId="0DCFE782" w14:textId="455CB63F" w:rsidR="2C7C3413" w:rsidRDefault="2C7C3413"/>
    <w:p w14:paraId="45FB0818" w14:textId="77777777" w:rsidR="00344FF8" w:rsidRDefault="00344FF8">
      <w:pPr>
        <w:rPr>
          <w:rStyle w:val="eop"/>
          <w:rFonts w:ascii="Cambria" w:hAnsi="Cambria" w:cs="Segoe UI"/>
          <w:sz w:val="32"/>
          <w:szCs w:val="32"/>
        </w:rPr>
      </w:pPr>
    </w:p>
    <w:sectPr w:rsidR="00344FF8" w:rsidSect="00344FF8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0F579" w14:textId="77777777" w:rsidR="002F0E5D" w:rsidRDefault="002F0E5D" w:rsidP="00344FF8">
      <w:pPr>
        <w:spacing w:after="0" w:line="240" w:lineRule="auto"/>
      </w:pPr>
      <w:r>
        <w:separator/>
      </w:r>
    </w:p>
  </w:endnote>
  <w:endnote w:type="continuationSeparator" w:id="0">
    <w:p w14:paraId="010D7BE4" w14:textId="77777777" w:rsidR="002F0E5D" w:rsidRDefault="002F0E5D" w:rsidP="0034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7605470"/>
      <w:docPartObj>
        <w:docPartGallery w:val="Page Numbers (Bottom of Page)"/>
        <w:docPartUnique/>
      </w:docPartObj>
    </w:sdtPr>
    <w:sdtEndPr/>
    <w:sdtContent>
      <w:p w14:paraId="0EB546F9" w14:textId="77777777" w:rsidR="00344FF8" w:rsidRDefault="00344F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344FF8" w:rsidRDefault="00344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BBA0" w14:textId="1AD72274" w:rsidR="00444C90" w:rsidRDefault="00444C90">
    <w:pPr>
      <w:pStyle w:val="Zpat"/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bookmarkStart w:id="9" w:name="_Hlk103027564"/>
    <w:bookmarkStart w:id="10" w:name="_Hlk103027565"/>
    <w:r w:rsidRPr="00764A83">
      <w:rPr>
        <w:b/>
        <w:bCs/>
        <w:color w:val="002060"/>
      </w:rPr>
      <w:t>KOLOVÁ VÝZVA Č. 1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C5D1" w14:textId="77777777" w:rsidR="002F0E5D" w:rsidRDefault="002F0E5D" w:rsidP="00344FF8">
      <w:pPr>
        <w:spacing w:after="0" w:line="240" w:lineRule="auto"/>
      </w:pPr>
      <w:r>
        <w:separator/>
      </w:r>
    </w:p>
  </w:footnote>
  <w:footnote w:type="continuationSeparator" w:id="0">
    <w:p w14:paraId="6681C97E" w14:textId="77777777" w:rsidR="002F0E5D" w:rsidRDefault="002F0E5D" w:rsidP="0034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0D81" w14:textId="76BF682C" w:rsidR="00444C90" w:rsidRDefault="00444C90">
    <w:pPr>
      <w:pStyle w:val="Zhlav"/>
    </w:pPr>
    <w:r>
      <w:rPr>
        <w:noProof/>
      </w:rPr>
      <w:drawing>
        <wp:inline distT="0" distB="0" distL="0" distR="0" wp14:anchorId="775E8210" wp14:editId="7FB094D9">
          <wp:extent cx="5753098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5309C" w14:textId="77777777" w:rsidR="00444C90" w:rsidRDefault="00444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C80"/>
    <w:multiLevelType w:val="multilevel"/>
    <w:tmpl w:val="FF6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244DD3"/>
    <w:multiLevelType w:val="multilevel"/>
    <w:tmpl w:val="94CE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A67"/>
    <w:multiLevelType w:val="multilevel"/>
    <w:tmpl w:val="E6A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870FA"/>
    <w:multiLevelType w:val="multilevel"/>
    <w:tmpl w:val="0898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005D0"/>
    <w:multiLevelType w:val="multilevel"/>
    <w:tmpl w:val="6556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360296"/>
    <w:multiLevelType w:val="hybridMultilevel"/>
    <w:tmpl w:val="A4246A44"/>
    <w:lvl w:ilvl="0" w:tplc="0A8A98BE">
      <w:start w:val="1"/>
      <w:numFmt w:val="decimal"/>
      <w:lvlText w:val="%1."/>
      <w:lvlJc w:val="left"/>
      <w:pPr>
        <w:ind w:left="720" w:hanging="360"/>
      </w:pPr>
    </w:lvl>
    <w:lvl w:ilvl="1" w:tplc="150E1C0C">
      <w:start w:val="1"/>
      <w:numFmt w:val="lowerLetter"/>
      <w:lvlText w:val="%2."/>
      <w:lvlJc w:val="left"/>
      <w:pPr>
        <w:ind w:left="1440" w:hanging="360"/>
      </w:pPr>
    </w:lvl>
    <w:lvl w:ilvl="2" w:tplc="54CC7D22">
      <w:start w:val="1"/>
      <w:numFmt w:val="lowerRoman"/>
      <w:lvlText w:val="%3."/>
      <w:lvlJc w:val="right"/>
      <w:pPr>
        <w:ind w:left="2160" w:hanging="180"/>
      </w:pPr>
    </w:lvl>
    <w:lvl w:ilvl="3" w:tplc="F5125680">
      <w:start w:val="1"/>
      <w:numFmt w:val="decimal"/>
      <w:lvlText w:val="%4."/>
      <w:lvlJc w:val="left"/>
      <w:pPr>
        <w:ind w:left="2880" w:hanging="360"/>
      </w:pPr>
    </w:lvl>
    <w:lvl w:ilvl="4" w:tplc="DB48FE14">
      <w:start w:val="1"/>
      <w:numFmt w:val="lowerLetter"/>
      <w:lvlText w:val="%5."/>
      <w:lvlJc w:val="left"/>
      <w:pPr>
        <w:ind w:left="3600" w:hanging="360"/>
      </w:pPr>
    </w:lvl>
    <w:lvl w:ilvl="5" w:tplc="C9E85D98">
      <w:start w:val="1"/>
      <w:numFmt w:val="lowerRoman"/>
      <w:lvlText w:val="%6."/>
      <w:lvlJc w:val="right"/>
      <w:pPr>
        <w:ind w:left="4320" w:hanging="180"/>
      </w:pPr>
    </w:lvl>
    <w:lvl w:ilvl="6" w:tplc="F17E33E0">
      <w:start w:val="1"/>
      <w:numFmt w:val="decimal"/>
      <w:lvlText w:val="%7."/>
      <w:lvlJc w:val="left"/>
      <w:pPr>
        <w:ind w:left="5040" w:hanging="360"/>
      </w:pPr>
    </w:lvl>
    <w:lvl w:ilvl="7" w:tplc="A84CD944">
      <w:start w:val="1"/>
      <w:numFmt w:val="lowerLetter"/>
      <w:lvlText w:val="%8."/>
      <w:lvlJc w:val="left"/>
      <w:pPr>
        <w:ind w:left="5760" w:hanging="360"/>
      </w:pPr>
    </w:lvl>
    <w:lvl w:ilvl="8" w:tplc="C95457F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D79DE"/>
    <w:multiLevelType w:val="multilevel"/>
    <w:tmpl w:val="0CEE5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56C2C"/>
    <w:multiLevelType w:val="multilevel"/>
    <w:tmpl w:val="5DEC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54072"/>
    <w:multiLevelType w:val="multilevel"/>
    <w:tmpl w:val="2FA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531750"/>
    <w:multiLevelType w:val="multilevel"/>
    <w:tmpl w:val="252A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CB1AC4"/>
    <w:multiLevelType w:val="multilevel"/>
    <w:tmpl w:val="F1C0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2809B5"/>
    <w:multiLevelType w:val="multilevel"/>
    <w:tmpl w:val="2796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8440B0"/>
    <w:multiLevelType w:val="multilevel"/>
    <w:tmpl w:val="9D7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9321FB"/>
    <w:multiLevelType w:val="multilevel"/>
    <w:tmpl w:val="B07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E"/>
    <w:rsid w:val="000241A4"/>
    <w:rsid w:val="0007FFA0"/>
    <w:rsid w:val="00197E5E"/>
    <w:rsid w:val="00274BAD"/>
    <w:rsid w:val="002E6E14"/>
    <w:rsid w:val="002F0E5D"/>
    <w:rsid w:val="00324947"/>
    <w:rsid w:val="00344FF8"/>
    <w:rsid w:val="003735DC"/>
    <w:rsid w:val="003D4D73"/>
    <w:rsid w:val="00443212"/>
    <w:rsid w:val="00444C90"/>
    <w:rsid w:val="005307D5"/>
    <w:rsid w:val="005E3ED2"/>
    <w:rsid w:val="006832F5"/>
    <w:rsid w:val="006A6066"/>
    <w:rsid w:val="007F413B"/>
    <w:rsid w:val="00984071"/>
    <w:rsid w:val="00A176DD"/>
    <w:rsid w:val="00B11A2D"/>
    <w:rsid w:val="00C503D3"/>
    <w:rsid w:val="00E5123E"/>
    <w:rsid w:val="00E66761"/>
    <w:rsid w:val="00E73650"/>
    <w:rsid w:val="074FBF0C"/>
    <w:rsid w:val="0BD72E33"/>
    <w:rsid w:val="0E7AEE2D"/>
    <w:rsid w:val="158387EF"/>
    <w:rsid w:val="1B40C83C"/>
    <w:rsid w:val="23A7DB68"/>
    <w:rsid w:val="26307E50"/>
    <w:rsid w:val="27533703"/>
    <w:rsid w:val="2A020F75"/>
    <w:rsid w:val="2A632781"/>
    <w:rsid w:val="2C7C3413"/>
    <w:rsid w:val="2EF0825C"/>
    <w:rsid w:val="3389AC9D"/>
    <w:rsid w:val="391962A1"/>
    <w:rsid w:val="3ECACBAD"/>
    <w:rsid w:val="47426BCC"/>
    <w:rsid w:val="4EA60CB5"/>
    <w:rsid w:val="517A2E05"/>
    <w:rsid w:val="5208E8F9"/>
    <w:rsid w:val="5B4FF8D2"/>
    <w:rsid w:val="5DE55F27"/>
    <w:rsid w:val="61E66E1F"/>
    <w:rsid w:val="68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F8F"/>
  <w15:chartTrackingRefBased/>
  <w15:docId w15:val="{AED43DF4-E00A-4740-BA13-4F125423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4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44FF8"/>
  </w:style>
  <w:style w:type="character" w:customStyle="1" w:styleId="eop">
    <w:name w:val="eop"/>
    <w:basedOn w:val="Standardnpsmoodstavce"/>
    <w:rsid w:val="00344FF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4FF8"/>
    <w:rPr>
      <w:vertAlign w:val="superscript"/>
    </w:rPr>
  </w:style>
  <w:style w:type="character" w:customStyle="1" w:styleId="spellingerror">
    <w:name w:val="spellingerror"/>
    <w:basedOn w:val="Standardnpsmoodstavce"/>
    <w:rsid w:val="00344FF8"/>
  </w:style>
  <w:style w:type="character" w:customStyle="1" w:styleId="contextualspellingandgrammarerror">
    <w:name w:val="contextualspellingandgrammarerror"/>
    <w:basedOn w:val="Standardnpsmoodstavce"/>
    <w:rsid w:val="00344FF8"/>
  </w:style>
  <w:style w:type="paragraph" w:styleId="Zhlav">
    <w:name w:val="header"/>
    <w:basedOn w:val="Normln"/>
    <w:link w:val="Zhlav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FF8"/>
  </w:style>
  <w:style w:type="paragraph" w:styleId="Zpat">
    <w:name w:val="footer"/>
    <w:basedOn w:val="Normln"/>
    <w:link w:val="ZpatChar"/>
    <w:uiPriority w:val="99"/>
    <w:unhideWhenUsed/>
    <w:rsid w:val="0034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FF8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E51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47C80-F8E7-4CEF-B278-50BC0E4E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A8DA4-31E0-401D-84E6-20140D22A9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19ef65a2-88e9-475f-bf96-61b671500c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C5EFD4-7026-400E-A853-012E8D63E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3AEF5-F393-499D-9BB8-004788BE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866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Mohylová Marie</cp:lastModifiedBy>
  <cp:revision>3</cp:revision>
  <dcterms:created xsi:type="dcterms:W3CDTF">2022-05-18T07:03:00Z</dcterms:created>
  <dcterms:modified xsi:type="dcterms:W3CDTF">2022-05-19T06:29:00Z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