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587ECBB2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D77105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C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81345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10CAADEF" w:rsidR="00D633E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ve Výzvě na</w:t>
            </w:r>
            <w:r w:rsidR="003F54A2" w:rsidRPr="00581345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finanční</w:t>
            </w:r>
            <w:r w:rsidR="003F54A2" w:rsidRPr="00581345">
              <w:rPr>
                <w:rFonts w:ascii="Arial" w:hAnsi="Arial" w:cs="Arial"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podporu přípravy projektů souladných s cíli EU a v Pravidlech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67C44661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5F514A57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AC210F" w:rsidRPr="00065D48">
              <w:rPr>
                <w:rFonts w:ascii="Arial" w:hAnsi="Arial" w:cs="Arial"/>
                <w:sz w:val="18"/>
                <w:szCs w:val="18"/>
              </w:rPr>
              <w:t xml:space="preserve"> prostřednictvím interní depeše v MS2014+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96DC1E" w14:textId="03EA3DB7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Celková výše poskytnuté dotace uvedená v Rozhodnutí nebude překročena. Dotace bude příjemcem vynaložena na odůvodněné a řádně prokázané způsobilé výdaje. Nezpůsobilé výdaje projektu hradí příjemce z vlastních zdrojů. Navýšení poskytnuté dotace není možné.</w:t>
            </w:r>
          </w:p>
          <w:p w14:paraId="75D004FA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F2C524" w14:textId="5717FF9D" w:rsidR="00521B84" w:rsidRPr="004675B8" w:rsidRDefault="004675B8" w:rsidP="004675B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581345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581345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581345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Pr="00581345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81345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81345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7F74544D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75B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8CF11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2CD31C0A" w:rsidR="00C86B70" w:rsidRPr="00581345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4675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581345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D92CDE2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53F1027C" w14:textId="77777777" w:rsidR="009F4F4E" w:rsidRPr="00581345" w:rsidRDefault="009F4F4E" w:rsidP="009F4F4E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5FF78E4B" w:rsidR="00D633E4" w:rsidRPr="00581345" w:rsidRDefault="00AA6394" w:rsidP="00303C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SOHZ, je p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lastRenderedPageBreak/>
              <w:t xml:space="preserve">veřejné podpory slučitelné s vnitřním trhem EU bez nutnosti předchozí notifikace podle Rozhodnutí Komise ze dne 20. 12. 2011 o použití čl. 106 odst. 2 Smlouvy o fungování Evropské unie na státní podporu ve formě vyrovnávací platby za závazek veřejné služby udělené určitým podnikům pověřeným poskytováním služeb obecného hospodářského zájmu č. 2012/21/EU, </w:t>
            </w:r>
            <w:proofErr w:type="spellStart"/>
            <w:r w:rsidR="00D77105" w:rsidRPr="00581345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D77105" w:rsidRPr="0058134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D77105" w:rsidRPr="00581345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D77105" w:rsidRPr="00581345">
              <w:rPr>
                <w:rFonts w:ascii="Arial" w:hAnsi="Arial" w:cs="Arial"/>
                <w:sz w:val="18"/>
                <w:szCs w:val="18"/>
              </w:rPr>
              <w:t>.  L 7, 11. 1. 2012 (dále jen „Rozhodnutí SOHZ“).</w:t>
            </w:r>
          </w:p>
          <w:p w14:paraId="43BEF612" w14:textId="77777777" w:rsidR="00D633E4" w:rsidRPr="00581345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Pr="00581345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581345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Pr="00581345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581345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581345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581345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581345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581345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581345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581345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581345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Pr="00581345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581345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581345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581345">
              <w:rPr>
                <w:rFonts w:ascii="Arial" w:hAnsi="Arial" w:cs="Arial"/>
                <w:sz w:val="18"/>
                <w:szCs w:val="18"/>
              </w:rPr>
              <w:t>dotací</w:t>
            </w:r>
            <w:r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581345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Pr="00581345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581345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> RRF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610A8C04" w14:textId="77777777" w:rsidR="00FC5718" w:rsidRDefault="00FC5718" w:rsidP="00FC5718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majetku.</w:t>
            </w:r>
          </w:p>
          <w:p w14:paraId="204965A4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Pr="0058134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dotace se zavazuje, že majetek, na jehož pořízení nebo zhodnocení byla poskytnuta dotace, nepřevede </w:t>
            </w:r>
            <w:r w:rsidR="00826639" w:rsidRPr="00581345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58134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581345">
              <w:rPr>
                <w:rFonts w:ascii="Arial" w:hAnsi="Arial" w:cs="Arial"/>
                <w:sz w:val="18"/>
                <w:szCs w:val="18"/>
              </w:rPr>
              <w:t xml:space="preserve">splnění následné podmínky realizace projektu,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581345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7C1FF4CF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19945771" w14:textId="77777777" w:rsidR="00AA6394" w:rsidRPr="00AA6394" w:rsidRDefault="00AA6394" w:rsidP="00AA639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70FF9F6F" w14:textId="2B82CF2B" w:rsidR="00AA6394" w:rsidRPr="00581345" w:rsidRDefault="00AA639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6255D28E" w14:textId="77777777" w:rsidR="00BB7374" w:rsidRPr="00581345" w:rsidRDefault="00BB7374" w:rsidP="00BB737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2C2A002F" w14:textId="42BC9C4C" w:rsidR="00BB7374" w:rsidRPr="00581345" w:rsidRDefault="00BB7374" w:rsidP="00BB737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Podpořený projekt musí naplňovat kritéria pro certifikaci dle metodiky </w:t>
            </w:r>
            <w:proofErr w:type="spellStart"/>
            <w:r w:rsidRPr="00581345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581345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Pr="00581345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581345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581345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ých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1C8D7" w14:textId="77777777" w:rsidR="00CB14AD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64D2AE8E" w14:textId="77777777" w:rsidR="003F54A2" w:rsidRPr="00581345" w:rsidRDefault="003F54A2" w:rsidP="003F54A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391C379E" w:rsidR="003F54A2" w:rsidRPr="00581345" w:rsidRDefault="003F54A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74307295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01A8AF6D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F5E8E49" w14:textId="76C683FF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29856E5F" w14:textId="4724B582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7EE80E5F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77C46E1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65B7DCA9" w14:textId="7A49ADA4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9991EB4" w14:textId="1DD6C691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623BBB07" w14:textId="77777777" w:rsidR="006A141F" w:rsidRPr="00EB4BD4" w:rsidRDefault="006A141F" w:rsidP="006A141F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2882DB01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3F187893" w14:textId="595BF644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28D6769F" w14:textId="2E66B271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zachovat dokumentaci k výsledkům projektu podle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469175B9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555E0A61" w:rsidR="009E12B4" w:rsidRPr="00D74CEA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59652767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B54E96">
      <w:rPr>
        <w:rFonts w:ascii="Calibri" w:hAnsi="Calibri" w:cs="Calibri"/>
        <w:b/>
        <w:bCs/>
        <w:color w:val="002060"/>
      </w:rPr>
      <w:t xml:space="preserve"> (</w:t>
    </w:r>
    <w:r w:rsidR="008D7B29">
      <w:rPr>
        <w:rFonts w:ascii="Calibri" w:hAnsi="Calibri" w:cs="Calibri"/>
        <w:b/>
        <w:bCs/>
        <w:color w:val="002060"/>
      </w:rPr>
      <w:t>příprava velkých projektů</w:t>
    </w:r>
    <w:r w:rsidR="00B54E96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1920360870">
    <w:abstractNumId w:val="17"/>
  </w:num>
  <w:num w:numId="36" w16cid:durableId="2074304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B363D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3F54A2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675B8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1345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5332"/>
    <w:rsid w:val="00697197"/>
    <w:rsid w:val="006A07BA"/>
    <w:rsid w:val="006A141F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D7B29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4F4E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A6394"/>
    <w:rsid w:val="00AC01BA"/>
    <w:rsid w:val="00AC210F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23D5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54E96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737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77105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3A7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379A1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C5718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1935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16</cp:revision>
  <cp:lastPrinted>2023-11-09T09:51:00Z</cp:lastPrinted>
  <dcterms:created xsi:type="dcterms:W3CDTF">2024-02-01T10:38:00Z</dcterms:created>
  <dcterms:modified xsi:type="dcterms:W3CDTF">2024-02-07T10:40:00Z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