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22E3177F"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PŘÍLOHA Č. 1</w:t>
      </w:r>
      <w:r w:rsidR="006661CD">
        <w:rPr>
          <w:rFonts w:ascii="Arial" w:eastAsia="Arial" w:hAnsi="Arial" w:cs="Arial"/>
          <w:b/>
          <w:bCs/>
          <w:caps/>
          <w:color w:val="002060"/>
          <w:sz w:val="40"/>
          <w:szCs w:val="40"/>
        </w:rPr>
        <w:t>4</w:t>
      </w:r>
      <w:r w:rsidRPr="623336CB">
        <w:rPr>
          <w:rStyle w:val="eop"/>
          <w:rFonts w:ascii="Arial" w:eastAsia="Arial" w:hAnsi="Arial" w:cs="Arial"/>
          <w:color w:val="002060"/>
          <w:sz w:val="40"/>
          <w:szCs w:val="40"/>
        </w:rPr>
        <w:t> </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75251B7C" w:rsidR="2CDFD7FB" w:rsidRPr="00C27B20" w:rsidRDefault="2CDFD7FB" w:rsidP="00C27B20">
      <w:pPr>
        <w:spacing w:after="0" w:line="240" w:lineRule="auto"/>
        <w:rPr>
          <w:rFonts w:ascii="Arial" w:eastAsia="Arial" w:hAnsi="Arial" w:cs="Arial"/>
          <w:b/>
          <w:bCs/>
          <w:caps/>
          <w:color w:val="002060"/>
          <w:sz w:val="46"/>
          <w:szCs w:val="46"/>
        </w:rPr>
      </w:pPr>
      <w:r w:rsidRPr="00C27B20">
        <w:rPr>
          <w:rFonts w:ascii="Arial" w:eastAsia="Arial" w:hAnsi="Arial" w:cs="Arial"/>
          <w:b/>
          <w:bCs/>
          <w:caps/>
          <w:color w:val="002060"/>
          <w:sz w:val="46"/>
          <w:szCs w:val="46"/>
        </w:rPr>
        <w:t>Model hodnocení a kritéria hodnocení Žádostí o podporu ve výzvě č. 1</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3E9F15DA" w14:textId="1967D970"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69A33DFF" w14:textId="60FB6B7A"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77777777" w:rsidR="00C27B20" w:rsidRDefault="00C27B20" w:rsidP="2CDFD7FB">
      <w:pPr>
        <w:rPr>
          <w:rFonts w:ascii="Cambria" w:eastAsia="Cambria" w:hAnsi="Cambria" w:cs="Cambria"/>
          <w:color w:val="2F5496" w:themeColor="accent1" w:themeShade="BF"/>
          <w:sz w:val="32"/>
          <w:szCs w:val="32"/>
        </w:rPr>
      </w:pPr>
    </w:p>
    <w:p w14:paraId="6D8656C6" w14:textId="5BBD90F0" w:rsidR="2CDFD7FB" w:rsidRPr="00C27B20" w:rsidRDefault="2CDFD7FB" w:rsidP="623336CB">
      <w:pPr>
        <w:rPr>
          <w:rFonts w:ascii="Arial" w:eastAsia="Arial" w:hAnsi="Arial" w:cs="Arial"/>
          <w:b/>
          <w:bCs/>
          <w:color w:val="2F5496" w:themeColor="accent1" w:themeShade="BF"/>
          <w:sz w:val="28"/>
          <w:szCs w:val="28"/>
        </w:rPr>
      </w:pPr>
      <w:r w:rsidRPr="00C27B20">
        <w:rPr>
          <w:rFonts w:ascii="Arial" w:eastAsia="Arial" w:hAnsi="Arial" w:cs="Arial"/>
          <w:b/>
          <w:bCs/>
          <w:color w:val="002060"/>
          <w:sz w:val="28"/>
          <w:szCs w:val="28"/>
        </w:rPr>
        <w:t>Platnost od 1</w:t>
      </w:r>
      <w:r w:rsidR="009B2B1F">
        <w:rPr>
          <w:rFonts w:ascii="Arial" w:eastAsia="Arial" w:hAnsi="Arial" w:cs="Arial"/>
          <w:b/>
          <w:bCs/>
          <w:color w:val="002060"/>
          <w:sz w:val="28"/>
          <w:szCs w:val="28"/>
        </w:rPr>
        <w:t>9</w:t>
      </w:r>
      <w:r w:rsidRPr="00C27B20">
        <w:rPr>
          <w:rFonts w:ascii="Arial" w:eastAsia="Arial" w:hAnsi="Arial" w:cs="Arial"/>
          <w:b/>
          <w:bCs/>
          <w:color w:val="002060"/>
          <w:sz w:val="28"/>
          <w:szCs w:val="28"/>
        </w:rPr>
        <w:t xml:space="preserve">. 5. 2022 </w:t>
      </w:r>
    </w:p>
    <w:p w14:paraId="6D92B173" w14:textId="155295D7" w:rsidR="133AFDA0" w:rsidRDefault="133AFDA0">
      <w:r>
        <w:br w:type="page"/>
      </w:r>
    </w:p>
    <w:p w14:paraId="1FDDC35E" w14:textId="45C59206"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č. 1</w:t>
      </w:r>
    </w:p>
    <w:p w14:paraId="24E91BC2" w14:textId="2AA76529" w:rsidR="133AFDA0" w:rsidRDefault="133AFDA0" w:rsidP="47B3AA31">
      <w:pPr>
        <w:jc w:val="both"/>
        <w:rPr>
          <w:rFonts w:eastAsiaTheme="minorEastAsia"/>
        </w:rPr>
      </w:pPr>
      <w:r w:rsidRPr="47B3AA31">
        <w:rPr>
          <w:rFonts w:ascii="Arial" w:eastAsia="Arial" w:hAnsi="Arial" w:cs="Arial"/>
        </w:rPr>
        <w:t xml:space="preserve">Žádost o podporu ve výzvě č. 1 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 přijatelnosti</w:t>
      </w:r>
      <w:r w:rsidRPr="47B3AA31">
        <w:rPr>
          <w:rFonts w:ascii="Arial" w:eastAsia="Arial" w:hAnsi="Arial" w:cs="Arial"/>
        </w:rPr>
        <w:t>.</w:t>
      </w:r>
    </w:p>
    <w:p w14:paraId="562B10F8" w14:textId="0DF1D197" w:rsidR="133AFDA0" w:rsidRDefault="133AFDA0" w:rsidP="133AFDA0">
      <w:pPr>
        <w:jc w:val="both"/>
        <w:rPr>
          <w:rFonts w:ascii="Arial" w:eastAsia="Arial" w:hAnsi="Arial" w:cs="Arial"/>
        </w:rPr>
      </w:pPr>
      <w:r w:rsidRPr="47B3AA31">
        <w:rPr>
          <w:rFonts w:ascii="Arial" w:eastAsia="Arial" w:hAnsi="Arial" w:cs="Arial"/>
        </w:rPr>
        <w:t xml:space="preserve">Kritéria pro kontrolu formálních náležitostí a přijatelnosti jsou buď napravitelná či nenapravitelná a mají formu </w:t>
      </w:r>
      <w:r w:rsidRPr="47B3AA31">
        <w:rPr>
          <w:rFonts w:ascii="Arial" w:eastAsia="Arial" w:hAnsi="Arial" w:cs="Arial"/>
          <w:b/>
          <w:bCs/>
        </w:rPr>
        <w:t>vylučovacích kritérií v podobě: splněno / nesplněno.</w:t>
      </w:r>
    </w:p>
    <w:p w14:paraId="69AE343B" w14:textId="2B814D7F"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 </w:t>
      </w:r>
      <w:r w:rsidR="00D52559">
        <w:rPr>
          <w:rFonts w:ascii="Arial" w:eastAsia="Arial" w:hAnsi="Arial" w:cs="Arial"/>
        </w:rPr>
        <w:t>a v</w:t>
      </w:r>
      <w:r w:rsidR="009B2B1F">
        <w:rPr>
          <w:rFonts w:ascii="Arial" w:eastAsia="Arial" w:hAnsi="Arial" w:cs="Arial"/>
        </w:rPr>
        <w:t> </w:t>
      </w:r>
      <w:bookmarkStart w:id="0" w:name="_GoBack"/>
      <w:bookmarkEnd w:id="0"/>
      <w:r w:rsidRPr="47B3AA31">
        <w:rPr>
          <w:rFonts w:ascii="Arial" w:eastAsia="Arial" w:hAnsi="Arial" w:cs="Arial"/>
        </w:rPr>
        <w:t>MS2014+ vyznačí, že došlo k doplňování potřebných náležitostí.</w:t>
      </w:r>
    </w:p>
    <w:p w14:paraId="2B9AB3EB" w14:textId="0AD8EAE3" w:rsidR="133AFDA0"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 přijatelnost). V případě nesplnění jednoho kritéria s příznakem „nenapravitelné“ musí být žádost o podporu vyloučena z dalšího procesu hodnocení.</w:t>
      </w:r>
    </w:p>
    <w:p w14:paraId="07184323" w14:textId="3A76DFAE" w:rsidR="47B3AA31" w:rsidRDefault="47B3AA31" w:rsidP="47B3AA31">
      <w:pPr>
        <w:jc w:val="both"/>
        <w:rPr>
          <w:rFonts w:ascii="Arial" w:eastAsia="Arial" w:hAnsi="Arial" w:cs="Arial"/>
          <w:b/>
          <w:bCs/>
          <w:u w:val="single"/>
        </w:rPr>
      </w:pPr>
      <w:r w:rsidRPr="78D2BF03">
        <w:rPr>
          <w:rFonts w:ascii="Arial" w:eastAsia="Arial" w:hAnsi="Arial" w:cs="Arial"/>
          <w:b/>
          <w:bCs/>
          <w:u w:val="single"/>
        </w:rPr>
        <w:t>Detailní kroky hodnocení</w:t>
      </w:r>
    </w:p>
    <w:p w14:paraId="2CAA13CC" w14:textId="68714511" w:rsidR="47B3AA31" w:rsidRDefault="47B3AA31" w:rsidP="47B3AA31">
      <w:pPr>
        <w:pStyle w:val="Odstavecseseznamem"/>
        <w:numPr>
          <w:ilvl w:val="0"/>
          <w:numId w:val="1"/>
        </w:numPr>
        <w:spacing w:before="120" w:after="120" w:line="240" w:lineRule="auto"/>
        <w:jc w:val="both"/>
        <w:rPr>
          <w:rFonts w:eastAsiaTheme="minorEastAsia"/>
        </w:rPr>
      </w:pPr>
      <w:r w:rsidRPr="47B3AA31">
        <w:rPr>
          <w:rFonts w:ascii="Arial" w:eastAsia="Arial" w:hAnsi="Arial" w:cs="Arial"/>
        </w:rPr>
        <w:t>Poskytovatel podpory posoudí přijaté žádosti podle předem stanovených kritérií, formálních náležitostí a přijatelnosti a analýzy rizik.</w:t>
      </w:r>
    </w:p>
    <w:p w14:paraId="789F6773" w14:textId="735B64D2" w:rsidR="47B3AA31" w:rsidRPr="00A31FDE" w:rsidRDefault="47B3AA31" w:rsidP="7783B735">
      <w:pPr>
        <w:pStyle w:val="Odstavecseseznamem"/>
        <w:numPr>
          <w:ilvl w:val="0"/>
          <w:numId w:val="1"/>
        </w:numPr>
        <w:spacing w:before="120" w:after="120" w:line="240" w:lineRule="auto"/>
        <w:jc w:val="both"/>
        <w:rPr>
          <w:rFonts w:eastAsiaTheme="minorEastAsia"/>
        </w:rPr>
      </w:pPr>
      <w:r w:rsidRPr="7783B735">
        <w:rPr>
          <w:rFonts w:ascii="Arial" w:eastAsia="Arial" w:hAnsi="Arial" w:cs="Arial"/>
        </w:rPr>
        <w:t>Poskytovatel podpory seřadí akceptované žádosti podle času př</w:t>
      </w:r>
      <w:r w:rsidR="00CF5798" w:rsidRPr="7783B735">
        <w:rPr>
          <w:rFonts w:ascii="Arial" w:eastAsia="Arial" w:hAnsi="Arial" w:cs="Arial"/>
        </w:rPr>
        <w:t>edložení</w:t>
      </w:r>
      <w:r w:rsidRPr="7783B735">
        <w:rPr>
          <w:rFonts w:ascii="Arial" w:eastAsia="Arial" w:hAnsi="Arial" w:cs="Arial"/>
        </w:rPr>
        <w:t xml:space="preserve"> zvlášť v rámci každého území vítězné obce v soutěži 5G pro 5 měst.</w:t>
      </w:r>
    </w:p>
    <w:p w14:paraId="0EB4622B" w14:textId="1437B7BD" w:rsidR="47B3AA31" w:rsidRPr="00A10478" w:rsidRDefault="3587F348" w:rsidP="46A62226">
      <w:pPr>
        <w:pStyle w:val="Odstavecseseznamem"/>
        <w:numPr>
          <w:ilvl w:val="0"/>
          <w:numId w:val="1"/>
        </w:numPr>
        <w:spacing w:before="120" w:after="120" w:line="240" w:lineRule="auto"/>
        <w:jc w:val="both"/>
        <w:rPr>
          <w:rFonts w:eastAsiaTheme="minorEastAsia"/>
        </w:rPr>
      </w:pPr>
      <w:r w:rsidRPr="00A10478">
        <w:rPr>
          <w:rFonts w:ascii="Arial" w:eastAsia="Arial" w:hAnsi="Arial" w:cs="Arial"/>
        </w:rPr>
        <w:t xml:space="preserve">Poskytovatel podpory začne přidělovat podporu akceptovaným žádostem ve </w:t>
      </w:r>
      <w:proofErr w:type="gramStart"/>
      <w:r w:rsidRPr="00A10478">
        <w:rPr>
          <w:rFonts w:ascii="Arial" w:eastAsia="Arial" w:hAnsi="Arial" w:cs="Arial"/>
        </w:rPr>
        <w:t>100%</w:t>
      </w:r>
      <w:proofErr w:type="gramEnd"/>
      <w:r w:rsidRPr="00A10478">
        <w:rPr>
          <w:rFonts w:ascii="Arial" w:eastAsia="Arial" w:hAnsi="Arial" w:cs="Arial"/>
        </w:rPr>
        <w:t xml:space="preserve"> výši až do vyčerpání 17,9 mil. Kč v rámci každého území v pořadí př</w:t>
      </w:r>
      <w:r w:rsidR="6A32ADB3" w:rsidRPr="00A10478">
        <w:rPr>
          <w:rFonts w:ascii="Arial" w:eastAsia="Arial" w:hAnsi="Arial" w:cs="Arial"/>
        </w:rPr>
        <w:t>edložení</w:t>
      </w:r>
      <w:r w:rsidRPr="00A10478">
        <w:rPr>
          <w:rFonts w:ascii="Arial" w:eastAsia="Arial" w:hAnsi="Arial" w:cs="Arial"/>
        </w:rPr>
        <w:t xml:space="preserve"> žádostí.</w:t>
      </w:r>
    </w:p>
    <w:p w14:paraId="6851EEDC" w14:textId="7B5810FD" w:rsidR="47B3AA31" w:rsidRDefault="47B3AA31" w:rsidP="47B3AA31">
      <w:pPr>
        <w:pStyle w:val="Odstavecseseznamem"/>
        <w:numPr>
          <w:ilvl w:val="0"/>
          <w:numId w:val="1"/>
        </w:numPr>
        <w:spacing w:before="120" w:after="120" w:line="240" w:lineRule="auto"/>
        <w:jc w:val="both"/>
        <w:rPr>
          <w:rFonts w:eastAsiaTheme="minorEastAsia"/>
        </w:rPr>
      </w:pPr>
      <w:r w:rsidRPr="47B3AA31">
        <w:rPr>
          <w:rFonts w:ascii="Arial" w:eastAsia="Arial" w:hAnsi="Arial" w:cs="Arial"/>
        </w:rPr>
        <w:t xml:space="preserve">Poskytovatel dotace seřadí </w:t>
      </w:r>
      <w:r w:rsidR="00CF5798" w:rsidRPr="47B3AA31">
        <w:rPr>
          <w:rFonts w:ascii="Arial" w:eastAsia="Arial" w:hAnsi="Arial" w:cs="Arial"/>
        </w:rPr>
        <w:t>žádosti, které nemohly být ze 100 % podpořeny</w:t>
      </w:r>
      <w:r w:rsidR="00CF5798">
        <w:rPr>
          <w:rFonts w:ascii="Arial" w:eastAsia="Arial" w:hAnsi="Arial" w:cs="Arial"/>
        </w:rPr>
        <w:t>,</w:t>
      </w:r>
      <w:r w:rsidR="00CF5798" w:rsidRPr="47B3AA31">
        <w:rPr>
          <w:rFonts w:ascii="Arial" w:eastAsia="Arial" w:hAnsi="Arial" w:cs="Arial"/>
        </w:rPr>
        <w:t xml:space="preserve"> </w:t>
      </w:r>
      <w:r w:rsidRPr="47B3AA31">
        <w:rPr>
          <w:rFonts w:ascii="Arial" w:eastAsia="Arial" w:hAnsi="Arial" w:cs="Arial"/>
        </w:rPr>
        <w:t>podle času př</w:t>
      </w:r>
      <w:r w:rsidR="00CF5798">
        <w:rPr>
          <w:rFonts w:ascii="Arial" w:eastAsia="Arial" w:hAnsi="Arial" w:cs="Arial"/>
        </w:rPr>
        <w:t>edložení</w:t>
      </w:r>
      <w:r w:rsidRPr="47B3AA31">
        <w:rPr>
          <w:rFonts w:ascii="Arial" w:eastAsia="Arial" w:hAnsi="Arial" w:cs="Arial"/>
        </w:rPr>
        <w:t>.</w:t>
      </w:r>
    </w:p>
    <w:p w14:paraId="412D5F6B" w14:textId="3890936B" w:rsidR="47B3AA31" w:rsidRDefault="47B3AA31" w:rsidP="78D2BF03">
      <w:pPr>
        <w:pStyle w:val="Odstavecseseznamem"/>
        <w:numPr>
          <w:ilvl w:val="0"/>
          <w:numId w:val="1"/>
        </w:numPr>
        <w:spacing w:before="120" w:after="120" w:line="240" w:lineRule="auto"/>
        <w:jc w:val="both"/>
        <w:rPr>
          <w:rFonts w:eastAsiaTheme="minorEastAsia"/>
        </w:rPr>
      </w:pPr>
      <w:r w:rsidRPr="78D2BF03">
        <w:rPr>
          <w:rFonts w:ascii="Arial" w:eastAsia="Arial" w:hAnsi="Arial" w:cs="Arial"/>
        </w:rPr>
        <w:t xml:space="preserve">Nevyčerpaná alokace bude přidělena ve </w:t>
      </w:r>
      <w:proofErr w:type="gramStart"/>
      <w:r w:rsidRPr="78D2BF03">
        <w:rPr>
          <w:rFonts w:ascii="Arial" w:eastAsia="Arial" w:hAnsi="Arial" w:cs="Arial"/>
        </w:rPr>
        <w:t>100%</w:t>
      </w:r>
      <w:proofErr w:type="gramEnd"/>
      <w:r w:rsidRPr="78D2BF03">
        <w:rPr>
          <w:rFonts w:ascii="Arial" w:eastAsia="Arial" w:hAnsi="Arial" w:cs="Arial"/>
        </w:rPr>
        <w:t xml:space="preserve"> výši těmto žádostem v pořadí jejich př</w:t>
      </w:r>
      <w:r w:rsidR="00F33420" w:rsidRPr="78D2BF03">
        <w:rPr>
          <w:rFonts w:ascii="Arial" w:eastAsia="Arial" w:hAnsi="Arial" w:cs="Arial"/>
        </w:rPr>
        <w:t>edložení</w:t>
      </w:r>
      <w:r w:rsidRPr="78D2BF03">
        <w:rPr>
          <w:rFonts w:ascii="Arial" w:eastAsia="Arial" w:hAnsi="Arial" w:cs="Arial"/>
        </w:rPr>
        <w:t>.</w:t>
      </w:r>
    </w:p>
    <w:p w14:paraId="1AED5314" w14:textId="3481C72E" w:rsidR="47B3AA31" w:rsidRDefault="47B3AA31" w:rsidP="47B3AA31">
      <w:pPr>
        <w:pStyle w:val="Odstavecseseznamem"/>
        <w:numPr>
          <w:ilvl w:val="0"/>
          <w:numId w:val="1"/>
        </w:numPr>
        <w:spacing w:before="120" w:after="120" w:line="240" w:lineRule="auto"/>
        <w:jc w:val="both"/>
        <w:rPr>
          <w:rFonts w:eastAsiaTheme="minorEastAsia"/>
        </w:rPr>
      </w:pPr>
      <w:r w:rsidRPr="47B3AA31">
        <w:rPr>
          <w:rFonts w:ascii="Arial" w:eastAsia="Arial" w:hAnsi="Arial" w:cs="Arial"/>
        </w:rPr>
        <w:t xml:space="preserve">Nevyčerpaná alokace může být přidělena v nižší než </w:t>
      </w:r>
      <w:proofErr w:type="gramStart"/>
      <w:r w:rsidRPr="47B3AA31">
        <w:rPr>
          <w:rFonts w:ascii="Arial" w:eastAsia="Arial" w:hAnsi="Arial" w:cs="Arial"/>
        </w:rPr>
        <w:t>100%</w:t>
      </w:r>
      <w:proofErr w:type="gramEnd"/>
      <w:r w:rsidRPr="47B3AA31">
        <w:rPr>
          <w:rFonts w:ascii="Arial" w:eastAsia="Arial" w:hAnsi="Arial" w:cs="Arial"/>
        </w:rPr>
        <w:t xml:space="preserve"> výši poslední žádosti. Žadatel bude informován o této možnosti a může podat </w:t>
      </w:r>
      <w:r w:rsidR="00211674">
        <w:rPr>
          <w:rFonts w:ascii="Arial" w:eastAsia="Arial" w:hAnsi="Arial" w:cs="Arial"/>
        </w:rPr>
        <w:t xml:space="preserve">žádost o </w:t>
      </w:r>
      <w:r w:rsidRPr="47B3AA31">
        <w:rPr>
          <w:rFonts w:ascii="Arial" w:eastAsia="Arial" w:hAnsi="Arial" w:cs="Arial"/>
        </w:rPr>
        <w:t xml:space="preserve">změnu </w:t>
      </w:r>
      <w:r w:rsidR="00211674">
        <w:rPr>
          <w:rFonts w:ascii="Arial" w:eastAsia="Arial" w:hAnsi="Arial" w:cs="Arial"/>
        </w:rPr>
        <w:t>projektu</w:t>
      </w:r>
      <w:r w:rsidRPr="47B3AA31">
        <w:rPr>
          <w:rFonts w:ascii="Arial" w:eastAsia="Arial" w:hAnsi="Arial" w:cs="Arial"/>
        </w:rPr>
        <w:t>.</w:t>
      </w:r>
    </w:p>
    <w:p w14:paraId="0ABFA36A" w14:textId="13E8D22D" w:rsidR="47B3AA31" w:rsidRDefault="47B3AA31" w:rsidP="47B3AA31">
      <w:pPr>
        <w:jc w:val="both"/>
        <w:rPr>
          <w:rFonts w:ascii="Arial" w:eastAsia="Arial" w:hAnsi="Arial" w:cs="Arial"/>
        </w:rPr>
      </w:pPr>
    </w:p>
    <w:p w14:paraId="742906F7" w14:textId="3551096A" w:rsidR="2CDFD7FB" w:rsidRDefault="009E3FA5" w:rsidP="00A10478">
      <w:pPr>
        <w:jc w:val="both"/>
      </w:pPr>
      <w:r>
        <w:rPr>
          <w:rFonts w:ascii="Arial" w:eastAsia="Arial" w:hAnsi="Arial" w:cs="Arial"/>
        </w:rPr>
        <w:t xml:space="preserve">V textu výzvy je stanovená podmínka, že </w:t>
      </w:r>
      <w:r w:rsidR="004647CB">
        <w:rPr>
          <w:rFonts w:ascii="Arial" w:eastAsia="Arial" w:hAnsi="Arial" w:cs="Arial"/>
        </w:rPr>
        <w:t xml:space="preserve">součet celkových způsobilých výdajů </w:t>
      </w:r>
      <w:r w:rsidR="0077077C" w:rsidRPr="00E21D6C">
        <w:rPr>
          <w:rFonts w:ascii="Arial" w:eastAsia="Arial" w:hAnsi="Arial" w:cs="Arial"/>
        </w:rPr>
        <w:t xml:space="preserve">za všechny projekty na území města </w:t>
      </w:r>
      <w:r w:rsidR="00431F12">
        <w:rPr>
          <w:rFonts w:ascii="Arial" w:eastAsia="Arial" w:hAnsi="Arial" w:cs="Arial"/>
        </w:rPr>
        <w:t>ne</w:t>
      </w:r>
      <w:r w:rsidR="0077077C" w:rsidRPr="00E21D6C">
        <w:rPr>
          <w:rFonts w:ascii="Arial" w:eastAsia="Arial" w:hAnsi="Arial" w:cs="Arial"/>
        </w:rPr>
        <w:t>překro</w:t>
      </w:r>
      <w:r w:rsidR="001662AB" w:rsidRPr="00E21D6C">
        <w:rPr>
          <w:rFonts w:ascii="Arial" w:eastAsia="Arial" w:hAnsi="Arial" w:cs="Arial"/>
        </w:rPr>
        <w:t>čí</w:t>
      </w:r>
      <w:r w:rsidR="00845D0A" w:rsidRPr="00E21D6C">
        <w:rPr>
          <w:rFonts w:ascii="Arial" w:eastAsia="Arial" w:hAnsi="Arial" w:cs="Arial"/>
        </w:rPr>
        <w:t xml:space="preserve"> alokaci, přidělenou městu</w:t>
      </w:r>
      <w:r w:rsidR="00431F12">
        <w:rPr>
          <w:rFonts w:ascii="Arial" w:eastAsia="Arial" w:hAnsi="Arial" w:cs="Arial"/>
        </w:rPr>
        <w:t xml:space="preserve">. Pokud </w:t>
      </w:r>
      <w:r w:rsidR="002F07C6">
        <w:rPr>
          <w:rFonts w:ascii="Arial" w:eastAsia="Arial" w:hAnsi="Arial" w:cs="Arial"/>
        </w:rPr>
        <w:t xml:space="preserve">bude </w:t>
      </w:r>
      <w:r w:rsidR="00BD75C4">
        <w:rPr>
          <w:rFonts w:ascii="Arial" w:eastAsia="Arial" w:hAnsi="Arial" w:cs="Arial"/>
        </w:rPr>
        <w:t xml:space="preserve">za některé </w:t>
      </w:r>
      <w:r w:rsidR="00E74A2C">
        <w:rPr>
          <w:rFonts w:ascii="Arial" w:eastAsia="Arial" w:hAnsi="Arial" w:cs="Arial"/>
        </w:rPr>
        <w:t xml:space="preserve">město </w:t>
      </w:r>
      <w:r w:rsidR="002F07C6">
        <w:rPr>
          <w:rFonts w:ascii="Arial" w:eastAsia="Arial" w:hAnsi="Arial" w:cs="Arial"/>
        </w:rPr>
        <w:t xml:space="preserve">tato podmínka porušena, </w:t>
      </w:r>
      <w:r w:rsidR="00D179C5" w:rsidRPr="00E21D6C">
        <w:rPr>
          <w:rFonts w:ascii="Arial" w:eastAsia="Arial" w:hAnsi="Arial" w:cs="Arial"/>
        </w:rPr>
        <w:t xml:space="preserve">sníží se celkové způsobilé výdaje projektu, předloženého za </w:t>
      </w:r>
      <w:r w:rsidR="00E4495E">
        <w:rPr>
          <w:rFonts w:ascii="Arial" w:eastAsia="Arial" w:hAnsi="Arial" w:cs="Arial"/>
        </w:rPr>
        <w:t xml:space="preserve">toto </w:t>
      </w:r>
      <w:r w:rsidR="00D179C5" w:rsidRPr="00E21D6C">
        <w:rPr>
          <w:rFonts w:ascii="Arial" w:eastAsia="Arial" w:hAnsi="Arial" w:cs="Arial"/>
        </w:rPr>
        <w:t>město jako poslední</w:t>
      </w:r>
      <w:r w:rsidR="003E2281">
        <w:t>.</w:t>
      </w:r>
      <w:r w:rsidR="2CDFD7FB">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3D92256B">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485A9ECA" w14:textId="29CC41DD" w:rsidR="2CDFD7FB" w:rsidRDefault="2CDFD7FB" w:rsidP="08109B62">
            <w:pPr>
              <w:jc w:val="center"/>
              <w:rPr>
                <w:rFonts w:ascii="Arial" w:eastAsia="Arial" w:hAnsi="Arial" w:cs="Arial"/>
                <w:b/>
                <w:bCs/>
                <w:sz w:val="24"/>
                <w:szCs w:val="24"/>
              </w:rPr>
            </w:pPr>
          </w:p>
          <w:p w14:paraId="69E961FB" w14:textId="41909504" w:rsidR="7A77ADAE" w:rsidRDefault="7A77ADAE" w:rsidP="08109B62">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3D92256B">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tcPr>
          <w:p w14:paraId="6A2792F9" w14:textId="439549DF" w:rsidR="1B6E27DA" w:rsidRDefault="1B6E27DA" w:rsidP="08109B6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0A611BE3" w14:textId="7D7FF917" w:rsidR="005F1F21" w:rsidRDefault="367CADA2" w:rsidP="2CDFD7FB">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3D92256B">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tcPr>
          <w:p w14:paraId="164109E8" w14:textId="4773D039" w:rsidR="7A77ADAE" w:rsidRDefault="7A77ADAE" w:rsidP="08109B6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CB967E7" w14:textId="012BC62A" w:rsidR="005F1F21" w:rsidRDefault="22181AE1" w:rsidP="2CDFD7FB">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2CDFD7FB">
            <w:pPr>
              <w:jc w:val="both"/>
              <w:rPr>
                <w:rFonts w:ascii="Arial" w:eastAsia="Arial" w:hAnsi="Arial" w:cs="Arial"/>
              </w:rPr>
            </w:pPr>
            <w:r w:rsidRPr="2CDFD7FB">
              <w:rPr>
                <w:rFonts w:ascii="Arial" w:eastAsia="Arial" w:hAnsi="Arial" w:cs="Arial"/>
              </w:rPr>
              <w:t>plná moc</w:t>
            </w:r>
          </w:p>
        </w:tc>
      </w:tr>
      <w:tr w:rsidR="005F1F21" w14:paraId="2AB03305" w14:textId="18827FB9" w:rsidTr="3D92256B">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tcPr>
          <w:p w14:paraId="061286C5" w14:textId="7E4BFD9F" w:rsidR="1B6E27DA" w:rsidRDefault="1B6E27DA" w:rsidP="08109B6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PŽP.</w:t>
            </w:r>
          </w:p>
        </w:tc>
        <w:tc>
          <w:tcPr>
            <w:tcW w:w="1965" w:type="dxa"/>
            <w:vAlign w:val="center"/>
          </w:tcPr>
          <w:p w14:paraId="0FC8F01D" w14:textId="52C03F98"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3D92256B">
        <w:trPr>
          <w:trHeight w:val="735"/>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14:paraId="5AF39E7A" w14:textId="1DD25F01" w:rsidR="00797935" w:rsidRPr="00470687" w:rsidRDefault="726DB10A"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482C122C" w14:textId="0EFBEC96" w:rsidR="009945F7" w:rsidRDefault="009945F7" w:rsidP="009945F7">
            <w:pPr>
              <w:rPr>
                <w:rFonts w:ascii="Arial" w:eastAsia="Arial" w:hAnsi="Arial" w:cs="Arial"/>
              </w:rPr>
            </w:pPr>
            <w:r>
              <w:rPr>
                <w:rFonts w:ascii="Arial" w:eastAsia="Arial" w:hAnsi="Arial" w:cs="Arial"/>
              </w:rPr>
              <w:t>Žádost o podporu</w:t>
            </w:r>
          </w:p>
          <w:p w14:paraId="5AE531E1" w14:textId="5493E103" w:rsidR="00797935" w:rsidRDefault="67DA42A7" w:rsidP="009945F7">
            <w:pPr>
              <w:rPr>
                <w:rFonts w:ascii="Arial" w:eastAsia="Arial" w:hAnsi="Arial" w:cs="Arial"/>
              </w:rPr>
            </w:pPr>
            <w:r w:rsidRPr="47B3AA31">
              <w:rPr>
                <w:rFonts w:ascii="Arial" w:eastAsia="Arial" w:hAnsi="Arial" w:cs="Arial"/>
              </w:rPr>
              <w:t>Výzva</w:t>
            </w:r>
          </w:p>
        </w:tc>
      </w:tr>
      <w:tr w:rsidR="00797935" w14:paraId="2FFD33B3" w14:textId="06C066F1" w:rsidTr="3D92256B">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14:paraId="3B4CFF37" w14:textId="1F6F56D8" w:rsidR="00797935" w:rsidRPr="009945F7" w:rsidRDefault="2B2C0B32" w:rsidP="009945F7">
            <w:pPr>
              <w:rPr>
                <w:rFonts w:ascii="Arial" w:eastAsia="Arial" w:hAnsi="Arial" w:cs="Arial"/>
              </w:rPr>
            </w:pPr>
            <w:r w:rsidRPr="009945F7">
              <w:rPr>
                <w:rFonts w:ascii="Arial" w:eastAsia="Arial" w:hAnsi="Arial" w:cs="Arial"/>
              </w:rPr>
              <w:t>ne</w:t>
            </w:r>
            <w:r w:rsidR="6FBB2305" w:rsidRPr="009945F7">
              <w:rPr>
                <w:rFonts w:ascii="Arial" w:eastAsia="Arial" w:hAnsi="Arial" w:cs="Arial"/>
              </w:rPr>
              <w:t>napravitelné kritérium</w:t>
            </w:r>
          </w:p>
        </w:tc>
        <w:tc>
          <w:tcPr>
            <w:tcW w:w="2012" w:type="dxa"/>
          </w:tcPr>
          <w:p w14:paraId="16AE18E1" w14:textId="3AF2A035" w:rsidR="00797935" w:rsidRPr="009945F7" w:rsidRDefault="009945F7" w:rsidP="009945F7">
            <w:pPr>
              <w:rPr>
                <w:rFonts w:ascii="Arial" w:eastAsia="Arial" w:hAnsi="Arial" w:cs="Arial"/>
              </w:rPr>
            </w:pPr>
            <w:r w:rsidRPr="009945F7">
              <w:rPr>
                <w:rFonts w:ascii="Arial" w:eastAsia="Arial" w:hAnsi="Arial" w:cs="Arial"/>
              </w:rPr>
              <w:t xml:space="preserve">Žádost o </w:t>
            </w:r>
            <w:proofErr w:type="gramStart"/>
            <w:r w:rsidRPr="009945F7">
              <w:rPr>
                <w:rFonts w:ascii="Arial" w:eastAsia="Arial" w:hAnsi="Arial" w:cs="Arial"/>
              </w:rPr>
              <w:t xml:space="preserve">podporu - </w:t>
            </w:r>
            <w:r w:rsidR="13982BEA" w:rsidRPr="009945F7">
              <w:rPr>
                <w:rFonts w:ascii="Arial" w:eastAsia="Arial" w:hAnsi="Arial" w:cs="Arial"/>
              </w:rPr>
              <w:t>čestné</w:t>
            </w:r>
            <w:proofErr w:type="gramEnd"/>
            <w:r w:rsidR="13982BEA" w:rsidRPr="009945F7">
              <w:rPr>
                <w:rFonts w:ascii="Arial" w:eastAsia="Arial" w:hAnsi="Arial" w:cs="Arial"/>
              </w:rPr>
              <w:t xml:space="preserve"> prohlášení</w:t>
            </w:r>
          </w:p>
        </w:tc>
      </w:tr>
      <w:tr w:rsidR="00797935" w14:paraId="6D932A77" w14:textId="64EB4FF8" w:rsidTr="3D92256B">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0C9D3BC6" w:rsidR="00797935" w:rsidRDefault="1B6E27DA" w:rsidP="08109B62">
            <w:pPr>
              <w:rPr>
                <w:rFonts w:ascii="Arial" w:eastAsia="Arial" w:hAnsi="Arial" w:cs="Arial"/>
              </w:rPr>
            </w:pPr>
            <w:r w:rsidRPr="08109B62">
              <w:rPr>
                <w:rFonts w:ascii="Arial" w:eastAsia="Arial" w:hAnsi="Arial" w:cs="Arial"/>
              </w:rPr>
              <w:t>Projekt je svým zaměřením v souladu s cíli, podmínkami a podporovanými aktivitami výzvy.</w:t>
            </w:r>
          </w:p>
        </w:tc>
        <w:tc>
          <w:tcPr>
            <w:tcW w:w="1950" w:type="dxa"/>
          </w:tcPr>
          <w:p w14:paraId="754DD06D" w14:textId="368E0EF6" w:rsidR="00797935" w:rsidRPr="00470687"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5C3ECDEC" w14:textId="00AB6DAD" w:rsidR="00797935" w:rsidRDefault="67DA42A7" w:rsidP="00FF5947">
            <w:pPr>
              <w:rPr>
                <w:rFonts w:ascii="Arial" w:eastAsia="Arial" w:hAnsi="Arial" w:cs="Arial"/>
              </w:rPr>
            </w:pPr>
            <w:r w:rsidRPr="47B3AA31">
              <w:rPr>
                <w:rFonts w:ascii="Arial" w:eastAsia="Arial" w:hAnsi="Arial" w:cs="Arial"/>
              </w:rPr>
              <w:t>Výzva</w:t>
            </w:r>
          </w:p>
          <w:p w14:paraId="3E8D4651" w14:textId="49EF7CF3" w:rsidR="00797935" w:rsidRDefault="67DA42A7" w:rsidP="00FF5947">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FF5947">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46F50882" w:rsidR="00797935" w:rsidRDefault="29228B39" w:rsidP="00FF5947">
            <w:pPr>
              <w:rPr>
                <w:rFonts w:ascii="Arial" w:eastAsia="Arial" w:hAnsi="Arial" w:cs="Arial"/>
              </w:rPr>
            </w:pPr>
            <w:r w:rsidRPr="3D92256B">
              <w:rPr>
                <w:rFonts w:ascii="Arial" w:eastAsia="Arial" w:hAnsi="Arial" w:cs="Arial"/>
              </w:rPr>
              <w:t>Popis projektu (Příloha Pravidel č. 5)</w:t>
            </w:r>
          </w:p>
        </w:tc>
      </w:tr>
      <w:tr w:rsidR="6B092231" w14:paraId="429E30A3" w14:textId="77777777" w:rsidTr="3D92256B">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2570CF6C"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 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tcPr>
          <w:p w14:paraId="65270F56" w14:textId="1DF961CF" w:rsidR="6B092231" w:rsidRDefault="6C178845" w:rsidP="2CDFD7FB">
            <w:pPr>
              <w:jc w:val="both"/>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tcPr>
          <w:p w14:paraId="1F2CB649" w14:textId="70C30C44" w:rsidR="6B092231" w:rsidRDefault="67DA42A7" w:rsidP="00302625">
            <w:pPr>
              <w:rPr>
                <w:rFonts w:ascii="Arial" w:eastAsia="Arial" w:hAnsi="Arial" w:cs="Arial"/>
              </w:rPr>
            </w:pPr>
            <w:r w:rsidRPr="47B3AA31">
              <w:rPr>
                <w:rFonts w:ascii="Arial" w:eastAsia="Arial" w:hAnsi="Arial" w:cs="Arial"/>
              </w:rPr>
              <w:t>Výzva</w:t>
            </w:r>
          </w:p>
          <w:p w14:paraId="2A7557AC" w14:textId="4110D360" w:rsidR="6B092231" w:rsidRDefault="67DA42A7" w:rsidP="00302625">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3D92256B">
            <w:pPr>
              <w:rPr>
                <w:rFonts w:ascii="Arial" w:eastAsia="Arial" w:hAnsi="Arial" w:cs="Arial"/>
              </w:rPr>
            </w:pPr>
            <w:r w:rsidRPr="3D92256B">
              <w:rPr>
                <w:rFonts w:ascii="Arial" w:eastAsia="Arial" w:hAnsi="Arial" w:cs="Arial"/>
              </w:rPr>
              <w:t>Pravidla pro žadatele a příjemce</w:t>
            </w:r>
          </w:p>
          <w:p w14:paraId="7AE3B976" w14:textId="107AE7D7" w:rsidR="6B092231" w:rsidRDefault="29228B39" w:rsidP="00FF5947">
            <w:pPr>
              <w:rPr>
                <w:rFonts w:ascii="Arial" w:eastAsia="Arial" w:hAnsi="Arial" w:cs="Arial"/>
              </w:rPr>
            </w:pPr>
            <w:r w:rsidRPr="3D92256B">
              <w:rPr>
                <w:rFonts w:ascii="Arial" w:eastAsia="Arial" w:hAnsi="Arial" w:cs="Arial"/>
              </w:rPr>
              <w:t>Popis projektu (Příloha Pravidel č. 5)</w:t>
            </w:r>
          </w:p>
        </w:tc>
      </w:tr>
      <w:tr w:rsidR="002D2637" w14:paraId="72592F7F" w14:textId="77777777" w:rsidTr="3D92256B">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lastRenderedPageBreak/>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14:paraId="3665FEA9" w14:textId="1DF961CF" w:rsidR="6C178845" w:rsidRDefault="6C178845" w:rsidP="0C0002DD">
            <w:pPr>
              <w:jc w:val="both"/>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tcPr>
          <w:p w14:paraId="5C6E61DC" w14:textId="70C30C44" w:rsidR="67DA42A7" w:rsidRDefault="67DA42A7" w:rsidP="0C0002DD">
            <w:pPr>
              <w:rPr>
                <w:rFonts w:ascii="Arial" w:eastAsia="Arial" w:hAnsi="Arial" w:cs="Arial"/>
              </w:rPr>
            </w:pPr>
            <w:r w:rsidRPr="0C0002DD">
              <w:rPr>
                <w:rFonts w:ascii="Arial" w:eastAsia="Arial" w:hAnsi="Arial" w:cs="Arial"/>
              </w:rPr>
              <w:t>Výzva</w:t>
            </w:r>
          </w:p>
          <w:p w14:paraId="77431898" w14:textId="4110D360" w:rsidR="67DA42A7" w:rsidRDefault="67DA42A7" w:rsidP="0C0002DD">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C0002DD">
            <w:pPr>
              <w:rPr>
                <w:rFonts w:ascii="Arial" w:eastAsia="Arial" w:hAnsi="Arial" w:cs="Arial"/>
              </w:rPr>
            </w:pPr>
          </w:p>
        </w:tc>
      </w:tr>
      <w:tr w:rsidR="00797935" w14:paraId="1446B29F" w14:textId="5180FBB7" w:rsidTr="3D92256B">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tcPr>
          <w:p w14:paraId="52D1E2FB" w14:textId="557B88A9" w:rsidR="00797935" w:rsidRPr="005F648F" w:rsidRDefault="67DA42A7"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5FE9FAE6" w14:textId="68CE53BA" w:rsidR="00797935" w:rsidRDefault="67DA42A7" w:rsidP="00302625">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302625">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3D92256B">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14:paraId="20868923" w14:textId="3D978190" w:rsidR="00797935" w:rsidRDefault="67DA42A7"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0EEB27A9" w14:textId="2ADB2D79" w:rsidR="00797935" w:rsidRDefault="67DA42A7" w:rsidP="3D92256B">
            <w:pPr>
              <w:jc w:val="both"/>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60D377C0" w:rsidR="00797935" w:rsidRDefault="29228B39" w:rsidP="3D92256B">
            <w:pPr>
              <w:jc w:val="both"/>
              <w:rPr>
                <w:rFonts w:ascii="Arial" w:eastAsia="Arial" w:hAnsi="Arial" w:cs="Arial"/>
              </w:rPr>
            </w:pPr>
            <w:r w:rsidRPr="3D92256B">
              <w:rPr>
                <w:rFonts w:ascii="Arial" w:eastAsia="Arial" w:hAnsi="Arial" w:cs="Arial"/>
              </w:rPr>
              <w:t>Popis projektu (Příloha Pravidel č. 5)</w:t>
            </w:r>
          </w:p>
        </w:tc>
      </w:tr>
      <w:tr w:rsidR="616E843F" w14:paraId="30A68F50" w14:textId="77777777" w:rsidTr="3D92256B">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5FB30D1B"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14:paraId="44D7567D" w14:textId="00A52EA3"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57DFC9AE" w14:textId="4E65C219" w:rsidR="111174FE" w:rsidRDefault="726DB10A" w:rsidP="2CDFD7F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147D5FB9" w14:textId="2FBB2196" w:rsidR="29228B39" w:rsidRDefault="29228B39" w:rsidP="3D92256B">
            <w:pPr>
              <w:jc w:val="both"/>
              <w:rPr>
                <w:rFonts w:ascii="Arial" w:eastAsia="Arial" w:hAnsi="Arial" w:cs="Arial"/>
              </w:rPr>
            </w:pPr>
            <w:r w:rsidRPr="3D92256B">
              <w:rPr>
                <w:rFonts w:ascii="Arial" w:eastAsia="Arial" w:hAnsi="Arial" w:cs="Arial"/>
              </w:rPr>
              <w:t>Popis projektu (Příloha Pravidel č. 5)</w:t>
            </w:r>
          </w:p>
          <w:p w14:paraId="763DECC1" w14:textId="0CAF90A1" w:rsidR="616E843F" w:rsidRDefault="616E843F" w:rsidP="2CDFD7FB">
            <w:pPr>
              <w:jc w:val="both"/>
              <w:rPr>
                <w:rFonts w:ascii="Arial" w:eastAsia="Arial" w:hAnsi="Arial" w:cs="Arial"/>
              </w:rPr>
            </w:pPr>
          </w:p>
        </w:tc>
      </w:tr>
      <w:tr w:rsidR="616E843F" w14:paraId="59BC9D69" w14:textId="77777777" w:rsidTr="3D92256B">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14:paraId="01FCE727" w14:textId="5D53C6D9"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3BA8095B" w14:textId="3BB7FC25" w:rsidR="616E843F" w:rsidRDefault="726DB10A" w:rsidP="3D92256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4E3463B" w14:textId="1E22ECEA" w:rsidR="616E843F" w:rsidRDefault="29228B39" w:rsidP="3D92256B">
            <w:pPr>
              <w:jc w:val="both"/>
              <w:rPr>
                <w:rFonts w:ascii="Arial" w:eastAsia="Arial" w:hAnsi="Arial" w:cs="Arial"/>
              </w:rPr>
            </w:pPr>
            <w:r w:rsidRPr="3D92256B">
              <w:rPr>
                <w:rFonts w:ascii="Arial" w:eastAsia="Arial" w:hAnsi="Arial" w:cs="Arial"/>
              </w:rPr>
              <w:t>Popis projektu (Příloha Pravidel č. 5)</w:t>
            </w:r>
          </w:p>
          <w:p w14:paraId="6C8914F3" w14:textId="34CE6E6C" w:rsidR="616E843F" w:rsidRDefault="616E843F" w:rsidP="3D92256B">
            <w:pPr>
              <w:jc w:val="both"/>
              <w:rPr>
                <w:rFonts w:ascii="Arial" w:eastAsia="Arial" w:hAnsi="Arial" w:cs="Arial"/>
              </w:rPr>
            </w:pPr>
          </w:p>
        </w:tc>
      </w:tr>
    </w:tbl>
    <w:p w14:paraId="14D93EEB" w14:textId="77777777" w:rsidR="00C07D5B" w:rsidRDefault="00C07D5B">
      <w:pPr>
        <w:rPr>
          <w:sz w:val="24"/>
          <w:szCs w:val="24"/>
        </w:rPr>
      </w:pPr>
    </w:p>
    <w:tbl>
      <w:tblPr>
        <w:tblStyle w:val="Mkatabulky"/>
        <w:tblW w:w="9189" w:type="dxa"/>
        <w:tblLook w:val="04A0" w:firstRow="1" w:lastRow="0" w:firstColumn="1" w:lastColumn="0" w:noHBand="0" w:noVBand="1"/>
      </w:tblPr>
      <w:tblGrid>
        <w:gridCol w:w="1331"/>
        <w:gridCol w:w="2421"/>
        <w:gridCol w:w="1995"/>
        <w:gridCol w:w="1830"/>
        <w:gridCol w:w="1612"/>
      </w:tblGrid>
      <w:tr w:rsidR="00341EFD" w14:paraId="31C4EFAE" w14:textId="142F7D28" w:rsidTr="78D2BF03">
        <w:tc>
          <w:tcPr>
            <w:tcW w:w="1331" w:type="dxa"/>
            <w:shd w:val="clear" w:color="auto" w:fill="D9E2F3" w:themeFill="accent1" w:themeFillTint="33"/>
            <w:vAlign w:val="center"/>
          </w:tcPr>
          <w:p w14:paraId="059FDB49"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23B6D633" w14:textId="13B34C04" w:rsidR="08109B62" w:rsidRDefault="08109B62" w:rsidP="08109B62">
            <w:pPr>
              <w:jc w:val="center"/>
              <w:rPr>
                <w:rFonts w:ascii="Arial" w:eastAsia="Arial" w:hAnsi="Arial" w:cs="Arial"/>
                <w:b/>
                <w:bCs/>
                <w:sz w:val="24"/>
                <w:szCs w:val="24"/>
              </w:rPr>
            </w:pPr>
          </w:p>
        </w:tc>
        <w:tc>
          <w:tcPr>
            <w:tcW w:w="2421" w:type="dxa"/>
            <w:shd w:val="clear" w:color="auto" w:fill="D9E2F3" w:themeFill="accent1" w:themeFillTint="33"/>
            <w:vAlign w:val="center"/>
          </w:tcPr>
          <w:p w14:paraId="49C1FAF2" w14:textId="2B5C1BA3" w:rsidR="00341EFD" w:rsidRDefault="57A03330" w:rsidP="08109B62">
            <w:pPr>
              <w:jc w:val="center"/>
              <w:rPr>
                <w:rFonts w:ascii="Arial" w:eastAsia="Arial" w:hAnsi="Arial" w:cs="Arial"/>
                <w:sz w:val="24"/>
                <w:szCs w:val="24"/>
              </w:rPr>
            </w:pPr>
            <w:r w:rsidRPr="08109B62">
              <w:rPr>
                <w:rFonts w:ascii="Arial" w:eastAsia="Arial" w:hAnsi="Arial" w:cs="Arial"/>
                <w:b/>
                <w:bCs/>
                <w:sz w:val="24"/>
                <w:szCs w:val="24"/>
              </w:rPr>
              <w:t>Definice specifického kritéria přijatelnosti</w:t>
            </w:r>
          </w:p>
        </w:tc>
        <w:tc>
          <w:tcPr>
            <w:tcW w:w="1995" w:type="dxa"/>
            <w:shd w:val="clear" w:color="auto" w:fill="D9E2F3" w:themeFill="accent1" w:themeFillTint="33"/>
            <w:vAlign w:val="center"/>
          </w:tcPr>
          <w:p w14:paraId="4D58B3F2"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13B7652E"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C8E45D5"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p w14:paraId="37308D1D" w14:textId="2C377ADF" w:rsidR="08109B62" w:rsidRDefault="08109B62" w:rsidP="08109B62">
            <w:pPr>
              <w:jc w:val="center"/>
              <w:rPr>
                <w:rFonts w:ascii="Arial" w:eastAsia="Arial" w:hAnsi="Arial" w:cs="Arial"/>
                <w:b/>
                <w:bCs/>
                <w:sz w:val="24"/>
                <w:szCs w:val="24"/>
              </w:rPr>
            </w:pPr>
          </w:p>
        </w:tc>
        <w:tc>
          <w:tcPr>
            <w:tcW w:w="1830" w:type="dxa"/>
            <w:shd w:val="clear" w:color="auto" w:fill="D9E2F3" w:themeFill="accent1" w:themeFillTint="33"/>
            <w:vAlign w:val="center"/>
          </w:tcPr>
          <w:p w14:paraId="59741D35" w14:textId="65905CA0" w:rsidR="00341EFD" w:rsidRPr="005F1F21" w:rsidRDefault="57A03330"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c>
          <w:tcPr>
            <w:tcW w:w="1612" w:type="dxa"/>
            <w:shd w:val="clear" w:color="auto" w:fill="D9E2F3" w:themeFill="accent1" w:themeFillTint="33"/>
            <w:vAlign w:val="center"/>
          </w:tcPr>
          <w:p w14:paraId="7CE126FE" w14:textId="78AC294C" w:rsidR="00341EFD" w:rsidRDefault="57A03330" w:rsidP="08109B62">
            <w:pPr>
              <w:jc w:val="center"/>
              <w:rPr>
                <w:rFonts w:ascii="Arial" w:eastAsia="Arial" w:hAnsi="Arial" w:cs="Arial"/>
                <w:b/>
                <w:bCs/>
                <w:sz w:val="24"/>
                <w:szCs w:val="24"/>
              </w:rPr>
            </w:pPr>
            <w:r w:rsidRPr="08109B62">
              <w:rPr>
                <w:rFonts w:ascii="Arial" w:eastAsia="Arial" w:hAnsi="Arial" w:cs="Arial"/>
                <w:b/>
                <w:bCs/>
                <w:sz w:val="24"/>
                <w:szCs w:val="24"/>
              </w:rPr>
              <w:t>Aspekt hodnocení</w:t>
            </w:r>
          </w:p>
        </w:tc>
      </w:tr>
      <w:tr w:rsidR="00341EFD" w14:paraId="6B0B81F0" w14:textId="5D559C27" w:rsidTr="78D2BF03">
        <w:trPr>
          <w:trHeight w:val="1590"/>
        </w:trPr>
        <w:tc>
          <w:tcPr>
            <w:tcW w:w="1331" w:type="dxa"/>
            <w:vAlign w:val="center"/>
          </w:tcPr>
          <w:p w14:paraId="20DA21E5" w14:textId="4B63692A" w:rsidR="08109B62" w:rsidRDefault="08109B62" w:rsidP="08109B62">
            <w:pPr>
              <w:jc w:val="center"/>
              <w:rPr>
                <w:rFonts w:ascii="Arial" w:eastAsia="Arial" w:hAnsi="Arial" w:cs="Arial"/>
              </w:rPr>
            </w:pPr>
            <w:r w:rsidRPr="08109B62">
              <w:rPr>
                <w:rFonts w:ascii="Arial" w:eastAsia="Arial" w:hAnsi="Arial" w:cs="Arial"/>
              </w:rPr>
              <w:t>1.</w:t>
            </w:r>
          </w:p>
        </w:tc>
        <w:tc>
          <w:tcPr>
            <w:tcW w:w="2421" w:type="dxa"/>
          </w:tcPr>
          <w:p w14:paraId="6891DAE5" w14:textId="3FB175F4" w:rsidR="00341EFD" w:rsidRDefault="70D6AF8B" w:rsidP="2CDFD7FB">
            <w:pPr>
              <w:jc w:val="both"/>
              <w:rPr>
                <w:rFonts w:ascii="Arial" w:eastAsia="Arial" w:hAnsi="Arial" w:cs="Arial"/>
              </w:rPr>
            </w:pPr>
            <w:r w:rsidRPr="2CDFD7FB">
              <w:rPr>
                <w:rFonts w:ascii="Arial" w:eastAsia="Arial" w:hAnsi="Arial" w:cs="Arial"/>
              </w:rPr>
              <w:t xml:space="preserve">Projekt předpokládá využití technologie sítí elektronických komunikací 5. </w:t>
            </w:r>
            <w:r w:rsidR="0942C8F2" w:rsidRPr="2CDFD7FB">
              <w:rPr>
                <w:rFonts w:ascii="Arial" w:eastAsia="Arial" w:hAnsi="Arial" w:cs="Arial"/>
              </w:rPr>
              <w:t>nebo</w:t>
            </w:r>
            <w:r w:rsidRPr="2CDFD7FB">
              <w:rPr>
                <w:rFonts w:ascii="Arial" w:eastAsia="Arial" w:hAnsi="Arial" w:cs="Arial"/>
              </w:rPr>
              <w:t xml:space="preserve"> vyšší generace </w:t>
            </w:r>
            <w:r w:rsidR="0942C8F2" w:rsidRPr="2CDFD7FB">
              <w:rPr>
                <w:rFonts w:ascii="Arial" w:eastAsia="Arial" w:hAnsi="Arial" w:cs="Arial"/>
              </w:rPr>
              <w:t>po</w:t>
            </w:r>
            <w:r w:rsidRPr="2CDFD7FB">
              <w:rPr>
                <w:rFonts w:ascii="Arial" w:eastAsia="Arial" w:hAnsi="Arial" w:cs="Arial"/>
              </w:rPr>
              <w:t>dle specifikací 3GPP.</w:t>
            </w:r>
          </w:p>
        </w:tc>
        <w:tc>
          <w:tcPr>
            <w:tcW w:w="1995" w:type="dxa"/>
          </w:tcPr>
          <w:p w14:paraId="3E8763C6" w14:textId="279DBE41" w:rsidR="00341EFD" w:rsidRDefault="70D6AF8B" w:rsidP="2CDFD7FB">
            <w:pPr>
              <w:jc w:val="both"/>
              <w:rPr>
                <w:rFonts w:ascii="Arial" w:eastAsia="Arial" w:hAnsi="Arial" w:cs="Arial"/>
              </w:rPr>
            </w:pPr>
            <w:r w:rsidRPr="2CDFD7FB">
              <w:rPr>
                <w:rFonts w:ascii="Arial" w:eastAsia="Arial" w:hAnsi="Arial" w:cs="Arial"/>
              </w:rPr>
              <w:t>nenapravitelné kritérium</w:t>
            </w:r>
          </w:p>
        </w:tc>
        <w:tc>
          <w:tcPr>
            <w:tcW w:w="1830" w:type="dxa"/>
          </w:tcPr>
          <w:p w14:paraId="21A859A5" w14:textId="0B8AD2EC" w:rsidR="00341EFD" w:rsidRDefault="00695994" w:rsidP="47B3AA31">
            <w:pPr>
              <w:jc w:val="both"/>
              <w:rPr>
                <w:rFonts w:ascii="Arial" w:eastAsia="Arial" w:hAnsi="Arial" w:cs="Arial"/>
              </w:rPr>
            </w:pPr>
            <w:r w:rsidRPr="47B3AA31">
              <w:rPr>
                <w:rFonts w:ascii="Arial" w:eastAsia="Arial" w:hAnsi="Arial" w:cs="Arial"/>
              </w:rPr>
              <w:t xml:space="preserve">Žádost </w:t>
            </w:r>
            <w:r w:rsidR="53D7911B" w:rsidRPr="4A79B9AD">
              <w:rPr>
                <w:rFonts w:ascii="Arial" w:eastAsia="Arial" w:hAnsi="Arial" w:cs="Arial"/>
              </w:rPr>
              <w:t>o podporu</w:t>
            </w:r>
          </w:p>
          <w:p w14:paraId="7C397145" w14:textId="59FD3BAE" w:rsidR="00341EFD" w:rsidRDefault="4F8937F8" w:rsidP="2CDFD7FB">
            <w:pPr>
              <w:jc w:val="both"/>
              <w:rPr>
                <w:rFonts w:ascii="Arial" w:eastAsia="Arial" w:hAnsi="Arial" w:cs="Arial"/>
              </w:rPr>
            </w:pPr>
            <w:r w:rsidRPr="3F92E6D7">
              <w:rPr>
                <w:rFonts w:ascii="Arial" w:eastAsia="Arial" w:hAnsi="Arial" w:cs="Arial"/>
              </w:rPr>
              <w:t>Popis projektu (Příloha Pravidel č.5)</w:t>
            </w:r>
          </w:p>
        </w:tc>
        <w:tc>
          <w:tcPr>
            <w:tcW w:w="1612" w:type="dxa"/>
          </w:tcPr>
          <w:p w14:paraId="110F7DE5" w14:textId="0C2AF090" w:rsidR="00341EFD" w:rsidRDefault="7957507B" w:rsidP="3D92256B">
            <w:pPr>
              <w:jc w:val="both"/>
              <w:rPr>
                <w:rFonts w:ascii="Arial" w:eastAsia="Arial" w:hAnsi="Arial" w:cs="Arial"/>
              </w:rPr>
            </w:pPr>
            <w:r w:rsidRPr="3D92256B">
              <w:rPr>
                <w:rFonts w:ascii="Arial" w:eastAsia="Arial" w:hAnsi="Arial" w:cs="Arial"/>
              </w:rPr>
              <w:t>účelnost</w:t>
            </w:r>
          </w:p>
          <w:p w14:paraId="38547084" w14:textId="5A9F963A" w:rsidR="00341EFD" w:rsidRDefault="00341EFD" w:rsidP="3D92256B">
            <w:pPr>
              <w:jc w:val="both"/>
              <w:rPr>
                <w:rFonts w:ascii="Arial" w:eastAsia="Arial" w:hAnsi="Arial" w:cs="Arial"/>
              </w:rPr>
            </w:pPr>
          </w:p>
        </w:tc>
      </w:tr>
      <w:tr w:rsidR="00341EFD" w14:paraId="5CD4114F" w14:textId="1B8C03BA" w:rsidTr="78D2BF03">
        <w:trPr>
          <w:trHeight w:val="2220"/>
        </w:trPr>
        <w:tc>
          <w:tcPr>
            <w:tcW w:w="1331" w:type="dxa"/>
            <w:vAlign w:val="center"/>
          </w:tcPr>
          <w:p w14:paraId="4A5EE584" w14:textId="3F35DA3D" w:rsidR="08109B62" w:rsidRDefault="08109B62" w:rsidP="08109B62">
            <w:pPr>
              <w:jc w:val="center"/>
              <w:rPr>
                <w:rFonts w:ascii="Arial" w:eastAsia="Arial" w:hAnsi="Arial" w:cs="Arial"/>
              </w:rPr>
            </w:pPr>
            <w:r w:rsidRPr="08109B62">
              <w:rPr>
                <w:rFonts w:ascii="Arial" w:eastAsia="Arial" w:hAnsi="Arial" w:cs="Arial"/>
              </w:rPr>
              <w:t>2.</w:t>
            </w:r>
          </w:p>
        </w:tc>
        <w:tc>
          <w:tcPr>
            <w:tcW w:w="2421" w:type="dxa"/>
          </w:tcPr>
          <w:p w14:paraId="3384BA51" w14:textId="5A256781" w:rsidR="00341EFD" w:rsidRDefault="75EA1BD4" w:rsidP="2CDFD7FB">
            <w:pPr>
              <w:jc w:val="both"/>
              <w:rPr>
                <w:rFonts w:ascii="Arial" w:eastAsia="Arial" w:hAnsi="Arial" w:cs="Arial"/>
              </w:rPr>
            </w:pPr>
            <w:r w:rsidRPr="2CDFD7FB">
              <w:rPr>
                <w:rFonts w:ascii="Arial" w:eastAsia="Arial" w:hAnsi="Arial" w:cs="Arial"/>
              </w:rPr>
              <w:t xml:space="preserve">Projekt navazuje na zkušenosti a výstupy získané z projektu Podpora 5G sítí v oblasti Smart </w:t>
            </w:r>
            <w:proofErr w:type="spellStart"/>
            <w:r w:rsidRPr="2CDFD7FB">
              <w:rPr>
                <w:rFonts w:ascii="Arial" w:eastAsia="Arial" w:hAnsi="Arial" w:cs="Arial"/>
              </w:rPr>
              <w:t>Cities</w:t>
            </w:r>
            <w:proofErr w:type="spellEnd"/>
            <w:r w:rsidRPr="2CDFD7FB">
              <w:rPr>
                <w:rFonts w:ascii="Arial" w:eastAsia="Arial" w:hAnsi="Arial" w:cs="Arial"/>
              </w:rPr>
              <w:t xml:space="preserve"> a je součástí chytrých řešení ve městech.</w:t>
            </w:r>
          </w:p>
        </w:tc>
        <w:tc>
          <w:tcPr>
            <w:tcW w:w="1995" w:type="dxa"/>
          </w:tcPr>
          <w:p w14:paraId="05EC7F16" w14:textId="7709A27B" w:rsidR="00341EFD" w:rsidRDefault="70D6AF8B" w:rsidP="2CDFD7FB">
            <w:pPr>
              <w:jc w:val="both"/>
              <w:rPr>
                <w:rFonts w:ascii="Arial" w:eastAsia="Arial" w:hAnsi="Arial" w:cs="Arial"/>
              </w:rPr>
            </w:pPr>
            <w:r w:rsidRPr="2CDFD7FB">
              <w:rPr>
                <w:rFonts w:ascii="Arial" w:eastAsia="Arial" w:hAnsi="Arial" w:cs="Arial"/>
              </w:rPr>
              <w:t>nenapravitelné kritérium</w:t>
            </w:r>
          </w:p>
        </w:tc>
        <w:tc>
          <w:tcPr>
            <w:tcW w:w="1830" w:type="dxa"/>
          </w:tcPr>
          <w:p w14:paraId="59805720" w14:textId="458DD64F" w:rsidR="00341EFD" w:rsidRDefault="00695994" w:rsidP="47B3AA31">
            <w:pPr>
              <w:jc w:val="both"/>
              <w:rPr>
                <w:rFonts w:ascii="Arial" w:eastAsia="Arial" w:hAnsi="Arial" w:cs="Arial"/>
              </w:rPr>
            </w:pPr>
            <w:r w:rsidRPr="47B3AA31">
              <w:rPr>
                <w:rFonts w:ascii="Arial" w:eastAsia="Arial" w:hAnsi="Arial" w:cs="Arial"/>
              </w:rPr>
              <w:t xml:space="preserve">Žádost </w:t>
            </w:r>
            <w:r w:rsidR="53D7911B" w:rsidRPr="4A79B9AD">
              <w:rPr>
                <w:rFonts w:ascii="Arial" w:eastAsia="Arial" w:hAnsi="Arial" w:cs="Arial"/>
              </w:rPr>
              <w:t>o podporu</w:t>
            </w:r>
          </w:p>
          <w:p w14:paraId="27171E71" w14:textId="748DE73D" w:rsidR="00341EFD" w:rsidRDefault="6C04C6D2" w:rsidP="2CDFD7FB">
            <w:pPr>
              <w:jc w:val="both"/>
              <w:rPr>
                <w:rFonts w:ascii="Arial" w:eastAsia="Arial" w:hAnsi="Arial" w:cs="Arial"/>
              </w:rPr>
            </w:pPr>
            <w:r w:rsidRPr="3F92E6D7">
              <w:rPr>
                <w:rFonts w:ascii="Arial" w:eastAsia="Arial" w:hAnsi="Arial" w:cs="Arial"/>
              </w:rPr>
              <w:t>Popis projektu (Příloha Pravidel č. 5)</w:t>
            </w:r>
          </w:p>
        </w:tc>
        <w:tc>
          <w:tcPr>
            <w:tcW w:w="1612" w:type="dxa"/>
          </w:tcPr>
          <w:p w14:paraId="6577A88C" w14:textId="4E6043D8" w:rsidR="00341EFD" w:rsidRDefault="7BE26419" w:rsidP="2CDFD7FB">
            <w:pPr>
              <w:jc w:val="both"/>
              <w:rPr>
                <w:rFonts w:ascii="Arial" w:eastAsia="Arial" w:hAnsi="Arial" w:cs="Arial"/>
              </w:rPr>
            </w:pPr>
            <w:r w:rsidRPr="2CDFD7FB">
              <w:rPr>
                <w:rFonts w:ascii="Arial" w:eastAsia="Arial" w:hAnsi="Arial" w:cs="Arial"/>
              </w:rPr>
              <w:t>efektivnost</w:t>
            </w:r>
          </w:p>
        </w:tc>
      </w:tr>
      <w:tr w:rsidR="00341EFD" w14:paraId="76E3E982" w14:textId="444AA9C7" w:rsidTr="78D2BF03">
        <w:trPr>
          <w:trHeight w:val="1365"/>
        </w:trPr>
        <w:tc>
          <w:tcPr>
            <w:tcW w:w="1331" w:type="dxa"/>
            <w:vAlign w:val="center"/>
          </w:tcPr>
          <w:p w14:paraId="5574617A" w14:textId="3AFD617C" w:rsidR="08109B62" w:rsidRDefault="15844145" w:rsidP="08109B62">
            <w:pPr>
              <w:jc w:val="center"/>
              <w:rPr>
                <w:rFonts w:ascii="Arial" w:eastAsia="Arial" w:hAnsi="Arial" w:cs="Arial"/>
              </w:rPr>
            </w:pPr>
            <w:r w:rsidRPr="78D2BF03">
              <w:rPr>
                <w:rFonts w:ascii="Arial" w:eastAsia="Arial" w:hAnsi="Arial" w:cs="Arial"/>
              </w:rPr>
              <w:lastRenderedPageBreak/>
              <w:t>3.</w:t>
            </w:r>
          </w:p>
        </w:tc>
        <w:tc>
          <w:tcPr>
            <w:tcW w:w="2421" w:type="dxa"/>
          </w:tcPr>
          <w:p w14:paraId="4EA8E4E1" w14:textId="7CFB6666" w:rsidR="00341EFD" w:rsidRDefault="7F55953D" w:rsidP="2CDFD7FB">
            <w:pPr>
              <w:rPr>
                <w:rFonts w:ascii="Arial" w:eastAsia="Arial" w:hAnsi="Arial" w:cs="Arial"/>
              </w:rPr>
            </w:pPr>
            <w:r w:rsidRPr="3D92256B">
              <w:rPr>
                <w:rFonts w:ascii="Arial" w:eastAsia="Arial" w:hAnsi="Arial" w:cs="Arial"/>
              </w:rPr>
              <w:t xml:space="preserve">Žadatel má zajištěné odborné a finanční kapacity pro realizaci </w:t>
            </w:r>
            <w:r w:rsidR="4BA3E8F2" w:rsidRPr="3D92256B">
              <w:rPr>
                <w:rFonts w:ascii="Arial" w:eastAsia="Arial" w:hAnsi="Arial" w:cs="Arial"/>
              </w:rPr>
              <w:t xml:space="preserve">a udržitelnost </w:t>
            </w:r>
            <w:r w:rsidRPr="3D92256B">
              <w:rPr>
                <w:rFonts w:ascii="Arial" w:eastAsia="Arial" w:hAnsi="Arial" w:cs="Arial"/>
              </w:rPr>
              <w:t>projektu.</w:t>
            </w:r>
          </w:p>
        </w:tc>
        <w:tc>
          <w:tcPr>
            <w:tcW w:w="1995" w:type="dxa"/>
          </w:tcPr>
          <w:p w14:paraId="40617C22" w14:textId="61AC8B95" w:rsidR="00341EFD" w:rsidRDefault="70D6AF8B" w:rsidP="2CDFD7FB">
            <w:pPr>
              <w:jc w:val="both"/>
              <w:rPr>
                <w:rFonts w:ascii="Arial" w:eastAsia="Arial" w:hAnsi="Arial" w:cs="Arial"/>
              </w:rPr>
            </w:pPr>
            <w:r w:rsidRPr="2CDFD7FB">
              <w:rPr>
                <w:rFonts w:ascii="Arial" w:eastAsia="Arial" w:hAnsi="Arial" w:cs="Arial"/>
              </w:rPr>
              <w:t>napravitelné kritérium</w:t>
            </w:r>
          </w:p>
        </w:tc>
        <w:tc>
          <w:tcPr>
            <w:tcW w:w="1830" w:type="dxa"/>
          </w:tcPr>
          <w:p w14:paraId="7B338EE3" w14:textId="3142A9A0" w:rsidR="53D7911B" w:rsidRDefault="53D7911B" w:rsidP="4A79B9AD">
            <w:pPr>
              <w:jc w:val="both"/>
              <w:rPr>
                <w:rFonts w:ascii="Arial" w:eastAsia="Arial" w:hAnsi="Arial" w:cs="Arial"/>
              </w:rPr>
            </w:pPr>
            <w:r w:rsidRPr="4A79B9AD">
              <w:rPr>
                <w:rFonts w:ascii="Arial" w:eastAsia="Arial" w:hAnsi="Arial" w:cs="Arial"/>
              </w:rPr>
              <w:t>Žádost o podporu</w:t>
            </w:r>
          </w:p>
          <w:p w14:paraId="0EAF2D76" w14:textId="4941895E" w:rsidR="00341EFD" w:rsidRDefault="6C04C6D2" w:rsidP="47B3AA31">
            <w:pPr>
              <w:jc w:val="both"/>
              <w:rPr>
                <w:rFonts w:ascii="Arial" w:eastAsia="Arial" w:hAnsi="Arial" w:cs="Arial"/>
              </w:rPr>
            </w:pPr>
            <w:r w:rsidRPr="47B3AA31">
              <w:rPr>
                <w:rFonts w:ascii="Arial" w:eastAsia="Arial" w:hAnsi="Arial" w:cs="Arial"/>
              </w:rPr>
              <w:t>Popis projektu</w:t>
            </w:r>
          </w:p>
          <w:p w14:paraId="7FD00E1E" w14:textId="2C073CC6" w:rsidR="00341EFD" w:rsidRDefault="47B3AA31" w:rsidP="47B3AA31">
            <w:pPr>
              <w:jc w:val="both"/>
              <w:rPr>
                <w:rFonts w:ascii="Arial" w:eastAsia="Arial" w:hAnsi="Arial" w:cs="Arial"/>
              </w:rPr>
            </w:pPr>
            <w:r w:rsidRPr="3F92E6D7">
              <w:rPr>
                <w:rFonts w:ascii="Arial" w:eastAsia="Arial" w:hAnsi="Arial" w:cs="Arial"/>
              </w:rPr>
              <w:t>(Příloha Pravidel č.5)</w:t>
            </w:r>
          </w:p>
        </w:tc>
        <w:tc>
          <w:tcPr>
            <w:tcW w:w="1612" w:type="dxa"/>
          </w:tcPr>
          <w:p w14:paraId="7F60231C" w14:textId="45C32292" w:rsidR="00341EFD" w:rsidRDefault="6D44D54F" w:rsidP="2CDFD7FB">
            <w:pPr>
              <w:jc w:val="both"/>
              <w:rPr>
                <w:rFonts w:ascii="Arial" w:eastAsia="Arial" w:hAnsi="Arial" w:cs="Arial"/>
              </w:rPr>
            </w:pPr>
            <w:r w:rsidRPr="78D2BF03">
              <w:rPr>
                <w:rFonts w:ascii="Arial" w:eastAsia="Arial" w:hAnsi="Arial" w:cs="Arial"/>
              </w:rPr>
              <w:t>hospodárnost</w:t>
            </w:r>
          </w:p>
        </w:tc>
      </w:tr>
      <w:tr w:rsidR="006F61E4" w14:paraId="2A577618" w14:textId="77777777" w:rsidTr="78D2BF03">
        <w:tc>
          <w:tcPr>
            <w:tcW w:w="1331" w:type="dxa"/>
            <w:vAlign w:val="center"/>
          </w:tcPr>
          <w:p w14:paraId="1FB232AB" w14:textId="115138AC" w:rsidR="08109B62" w:rsidRDefault="08109B62" w:rsidP="08109B62">
            <w:pPr>
              <w:jc w:val="center"/>
              <w:rPr>
                <w:rFonts w:ascii="Arial" w:eastAsia="Arial" w:hAnsi="Arial" w:cs="Arial"/>
              </w:rPr>
            </w:pPr>
            <w:r w:rsidRPr="08109B62">
              <w:rPr>
                <w:rFonts w:ascii="Arial" w:eastAsia="Arial" w:hAnsi="Arial" w:cs="Arial"/>
              </w:rPr>
              <w:t>4.</w:t>
            </w:r>
          </w:p>
        </w:tc>
        <w:tc>
          <w:tcPr>
            <w:tcW w:w="2421" w:type="dxa"/>
          </w:tcPr>
          <w:p w14:paraId="26F17C98" w14:textId="032076B7" w:rsidR="006F61E4" w:rsidRPr="616E843F" w:rsidRDefault="5AF3545A" w:rsidP="2CDFD7FB">
            <w:pPr>
              <w:autoSpaceDE w:val="0"/>
              <w:autoSpaceDN w:val="0"/>
              <w:adjustRightInd w:val="0"/>
              <w:jc w:val="both"/>
              <w:rPr>
                <w:rFonts w:ascii="Arial" w:eastAsia="Arial" w:hAnsi="Arial" w:cs="Arial"/>
              </w:rPr>
            </w:pPr>
            <w:r w:rsidRPr="2CDFD7FB">
              <w:rPr>
                <w:rFonts w:ascii="Arial" w:eastAsia="Arial" w:hAnsi="Arial" w:cs="Arial"/>
              </w:rPr>
              <w:t xml:space="preserve">Harmonogram realizace projektu je reálný a proveditelný. </w:t>
            </w:r>
          </w:p>
        </w:tc>
        <w:tc>
          <w:tcPr>
            <w:tcW w:w="1995" w:type="dxa"/>
          </w:tcPr>
          <w:p w14:paraId="1945A797" w14:textId="6BF27F38" w:rsidR="006F61E4" w:rsidRDefault="5AF3545A" w:rsidP="2CDFD7FB">
            <w:pPr>
              <w:jc w:val="both"/>
              <w:rPr>
                <w:rFonts w:ascii="Arial" w:eastAsia="Arial" w:hAnsi="Arial" w:cs="Arial"/>
              </w:rPr>
            </w:pPr>
            <w:r w:rsidRPr="2CDFD7FB">
              <w:rPr>
                <w:rFonts w:ascii="Arial" w:eastAsia="Arial" w:hAnsi="Arial" w:cs="Arial"/>
              </w:rPr>
              <w:t>nenapravitelné kritérium</w:t>
            </w:r>
          </w:p>
        </w:tc>
        <w:tc>
          <w:tcPr>
            <w:tcW w:w="1830" w:type="dxa"/>
          </w:tcPr>
          <w:p w14:paraId="750BEBAF" w14:textId="0D1719F8" w:rsidR="006F61E4" w:rsidRDefault="67A1B0AC" w:rsidP="47B3AA31">
            <w:pPr>
              <w:jc w:val="both"/>
              <w:rPr>
                <w:rFonts w:ascii="Arial" w:eastAsia="Arial" w:hAnsi="Arial" w:cs="Arial"/>
              </w:rPr>
            </w:pPr>
            <w:r w:rsidRPr="47B3AA31">
              <w:rPr>
                <w:rFonts w:ascii="Arial" w:eastAsia="Arial" w:hAnsi="Arial" w:cs="Arial"/>
              </w:rPr>
              <w:t xml:space="preserve">Žádost </w:t>
            </w:r>
            <w:r w:rsidR="0636CDCB" w:rsidRPr="4A79B9AD">
              <w:rPr>
                <w:rFonts w:ascii="Arial" w:eastAsia="Arial" w:hAnsi="Arial" w:cs="Arial"/>
              </w:rPr>
              <w:t>o podporu</w:t>
            </w:r>
          </w:p>
          <w:p w14:paraId="203B1390" w14:textId="64AED36A" w:rsidR="006F61E4" w:rsidRDefault="67A1B0AC" w:rsidP="2CDFD7FB">
            <w:pPr>
              <w:jc w:val="both"/>
              <w:rPr>
                <w:rFonts w:ascii="Arial" w:eastAsia="Arial" w:hAnsi="Arial" w:cs="Arial"/>
              </w:rPr>
            </w:pPr>
            <w:r w:rsidRPr="3F92E6D7">
              <w:rPr>
                <w:rFonts w:ascii="Arial" w:eastAsia="Arial" w:hAnsi="Arial" w:cs="Arial"/>
              </w:rPr>
              <w:t>Popis projektu (Příloha Pravidel č.5)</w:t>
            </w:r>
          </w:p>
        </w:tc>
        <w:tc>
          <w:tcPr>
            <w:tcW w:w="1612" w:type="dxa"/>
          </w:tcPr>
          <w:p w14:paraId="156A4EA3" w14:textId="6C0DBC90" w:rsidR="006F61E4" w:rsidRDefault="5AF3545A" w:rsidP="2CDFD7FB">
            <w:pPr>
              <w:jc w:val="both"/>
              <w:rPr>
                <w:rFonts w:ascii="Arial" w:eastAsia="Arial" w:hAnsi="Arial" w:cs="Arial"/>
              </w:rPr>
            </w:pPr>
            <w:r w:rsidRPr="2CDFD7FB">
              <w:rPr>
                <w:rFonts w:ascii="Arial" w:eastAsia="Arial" w:hAnsi="Arial" w:cs="Arial"/>
              </w:rPr>
              <w:t>efektivnost</w:t>
            </w:r>
          </w:p>
        </w:tc>
      </w:tr>
    </w:tbl>
    <w:p w14:paraId="68C5989F" w14:textId="5AD0E409" w:rsidR="00EB1139" w:rsidRDefault="00EB1139" w:rsidP="00A10478">
      <w:pPr>
        <w:rPr>
          <w:sz w:val="24"/>
          <w:szCs w:val="24"/>
        </w:rPr>
      </w:pPr>
    </w:p>
    <w:sectPr w:rsidR="00EB1139" w:rsidSect="00A10478">
      <w:headerReference w:type="default" r:id="rId10"/>
      <w:footerReference w:type="default" r:id="rId11"/>
      <w:headerReference w:type="first" r:id="rId12"/>
      <w:footerReference w:type="first" r:id="rId13"/>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523032"/>
      <w:docPartObj>
        <w:docPartGallery w:val="Page Numbers (Bottom of Page)"/>
        <w:docPartUnique/>
      </w:docPartObj>
    </w:sdtPr>
    <w:sdtEndPr/>
    <w:sdtContent>
      <w:p w14:paraId="561CE2F0" w14:textId="77777777" w:rsidR="00C27B20" w:rsidRDefault="00C27B20" w:rsidP="00C27B20">
        <w:pPr>
          <w:pStyle w:val="Zpat"/>
        </w:pPr>
        <w:r w:rsidRPr="00764A83">
          <w:rPr>
            <w:b/>
            <w:bCs/>
            <w:color w:val="002060"/>
          </w:rPr>
          <w:t>KOLOVÁ VÝZVA Č. 1</w:t>
        </w: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F7626" w14:textId="60145DF9" w:rsidR="00C27B20" w:rsidRDefault="00A10478">
    <w:pPr>
      <w:pStyle w:val="Zhlav"/>
    </w:pPr>
    <w:r>
      <w:rPr>
        <w:noProof/>
      </w:rPr>
      <w:drawing>
        <wp:anchor distT="0" distB="0" distL="114300" distR="114300" simplePos="0" relativeHeight="251659264" behindDoc="0" locked="0" layoutInCell="1" allowOverlap="1" wp14:anchorId="2D577DF9" wp14:editId="1088934D">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8417C"/>
    <w:rsid w:val="000A7ED3"/>
    <w:rsid w:val="000B0988"/>
    <w:rsid w:val="000B191C"/>
    <w:rsid w:val="000F2ACB"/>
    <w:rsid w:val="001009DE"/>
    <w:rsid w:val="001121C3"/>
    <w:rsid w:val="001221AD"/>
    <w:rsid w:val="00127E81"/>
    <w:rsid w:val="0013341D"/>
    <w:rsid w:val="00152D0B"/>
    <w:rsid w:val="001662AB"/>
    <w:rsid w:val="00187CFC"/>
    <w:rsid w:val="001A1C8A"/>
    <w:rsid w:val="001C2845"/>
    <w:rsid w:val="001C6A32"/>
    <w:rsid w:val="001E58FF"/>
    <w:rsid w:val="00211674"/>
    <w:rsid w:val="00245143"/>
    <w:rsid w:val="00245577"/>
    <w:rsid w:val="00282225"/>
    <w:rsid w:val="002A0B8A"/>
    <w:rsid w:val="002A2DE1"/>
    <w:rsid w:val="002D2637"/>
    <w:rsid w:val="002E737A"/>
    <w:rsid w:val="002F07C6"/>
    <w:rsid w:val="002F1217"/>
    <w:rsid w:val="003008F7"/>
    <w:rsid w:val="00302625"/>
    <w:rsid w:val="00331C67"/>
    <w:rsid w:val="00341AFC"/>
    <w:rsid w:val="00341EFD"/>
    <w:rsid w:val="00347850"/>
    <w:rsid w:val="00375371"/>
    <w:rsid w:val="00385001"/>
    <w:rsid w:val="00394391"/>
    <w:rsid w:val="003A65D1"/>
    <w:rsid w:val="003E2281"/>
    <w:rsid w:val="004062E0"/>
    <w:rsid w:val="00406600"/>
    <w:rsid w:val="00407342"/>
    <w:rsid w:val="00431F12"/>
    <w:rsid w:val="00461D81"/>
    <w:rsid w:val="004647CB"/>
    <w:rsid w:val="00465A2E"/>
    <w:rsid w:val="004728E2"/>
    <w:rsid w:val="00477073"/>
    <w:rsid w:val="00480996"/>
    <w:rsid w:val="004829FD"/>
    <w:rsid w:val="004B6775"/>
    <w:rsid w:val="004E1AD1"/>
    <w:rsid w:val="004E4655"/>
    <w:rsid w:val="00562B4A"/>
    <w:rsid w:val="00576382"/>
    <w:rsid w:val="005A11FA"/>
    <w:rsid w:val="005B6783"/>
    <w:rsid w:val="005B6FCF"/>
    <w:rsid w:val="005B77D2"/>
    <w:rsid w:val="005C2FF3"/>
    <w:rsid w:val="005E299E"/>
    <w:rsid w:val="005E79E2"/>
    <w:rsid w:val="005F1F21"/>
    <w:rsid w:val="005F4C7D"/>
    <w:rsid w:val="006164BB"/>
    <w:rsid w:val="00637E74"/>
    <w:rsid w:val="00641A56"/>
    <w:rsid w:val="006551C6"/>
    <w:rsid w:val="006661CD"/>
    <w:rsid w:val="006803DD"/>
    <w:rsid w:val="00695994"/>
    <w:rsid w:val="006AF677"/>
    <w:rsid w:val="006F61E4"/>
    <w:rsid w:val="006F66A8"/>
    <w:rsid w:val="006F73DB"/>
    <w:rsid w:val="007010B7"/>
    <w:rsid w:val="0073235F"/>
    <w:rsid w:val="00734A79"/>
    <w:rsid w:val="0077077C"/>
    <w:rsid w:val="00772FB1"/>
    <w:rsid w:val="00797935"/>
    <w:rsid w:val="007A5C59"/>
    <w:rsid w:val="007C5884"/>
    <w:rsid w:val="007E1862"/>
    <w:rsid w:val="007F6B86"/>
    <w:rsid w:val="00845D0A"/>
    <w:rsid w:val="008547AF"/>
    <w:rsid w:val="0085491F"/>
    <w:rsid w:val="00894DE6"/>
    <w:rsid w:val="008C6502"/>
    <w:rsid w:val="008D041B"/>
    <w:rsid w:val="008F1B1C"/>
    <w:rsid w:val="008F2E72"/>
    <w:rsid w:val="008F3BA2"/>
    <w:rsid w:val="00916432"/>
    <w:rsid w:val="00940237"/>
    <w:rsid w:val="00980FA5"/>
    <w:rsid w:val="009945F7"/>
    <w:rsid w:val="009A3197"/>
    <w:rsid w:val="009B2B1F"/>
    <w:rsid w:val="009D10F5"/>
    <w:rsid w:val="009E3FA5"/>
    <w:rsid w:val="009F3E30"/>
    <w:rsid w:val="00A10478"/>
    <w:rsid w:val="00A21511"/>
    <w:rsid w:val="00A31FDE"/>
    <w:rsid w:val="00A35CFF"/>
    <w:rsid w:val="00A41C42"/>
    <w:rsid w:val="00A43BFD"/>
    <w:rsid w:val="00A51F62"/>
    <w:rsid w:val="00A5471D"/>
    <w:rsid w:val="00A8167A"/>
    <w:rsid w:val="00A81CD4"/>
    <w:rsid w:val="00AB2A31"/>
    <w:rsid w:val="00B21418"/>
    <w:rsid w:val="00B63059"/>
    <w:rsid w:val="00B74F26"/>
    <w:rsid w:val="00BA68EB"/>
    <w:rsid w:val="00BD75C4"/>
    <w:rsid w:val="00BF310B"/>
    <w:rsid w:val="00C0083F"/>
    <w:rsid w:val="00C07D5B"/>
    <w:rsid w:val="00C22BD6"/>
    <w:rsid w:val="00C22BE4"/>
    <w:rsid w:val="00C27B20"/>
    <w:rsid w:val="00C309A3"/>
    <w:rsid w:val="00C43447"/>
    <w:rsid w:val="00C44170"/>
    <w:rsid w:val="00C56CA2"/>
    <w:rsid w:val="00C760BE"/>
    <w:rsid w:val="00CF5798"/>
    <w:rsid w:val="00D114A6"/>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A6806"/>
    <w:rsid w:val="00EB1139"/>
    <w:rsid w:val="00EB47FF"/>
    <w:rsid w:val="00ED2448"/>
    <w:rsid w:val="00EE7C21"/>
    <w:rsid w:val="00EF10A0"/>
    <w:rsid w:val="00EF33B2"/>
    <w:rsid w:val="00EF3BE5"/>
    <w:rsid w:val="00F0531E"/>
    <w:rsid w:val="00F1626B"/>
    <w:rsid w:val="00F31AA2"/>
    <w:rsid w:val="00F33420"/>
    <w:rsid w:val="00F70444"/>
    <w:rsid w:val="00F76396"/>
    <w:rsid w:val="00FA1B5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2.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850</Words>
  <Characters>5020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Mohylová Marie</cp:lastModifiedBy>
  <cp:revision>2</cp:revision>
  <dcterms:created xsi:type="dcterms:W3CDTF">2022-05-18T07:07:00Z</dcterms:created>
  <dcterms:modified xsi:type="dcterms:W3CDTF">2022-05-18T07:07:00Z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