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1E2F2A" w:rsidP="6B439F21" w14:paraId="056065B3" w14:textId="34FA1A82">
      <w:pPr>
        <w:pStyle w:val="Zkladnodstavec"/>
        <w:jc w:val="center"/>
        <w:rPr>
          <w:noProof/>
          <w:color w:val="000000" w:themeColor="text1"/>
        </w:rPr>
      </w:pPr>
    </w:p>
    <w:p w:rsidR="001E2F2A" w:rsidP="001E2F2A" w14:paraId="5E2A4597" w14:textId="330FC452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:rsidR="00C955E1" w:rsidP="001E2F2A" w14:paraId="7EEB3C20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:rsidR="001E2F2A" w:rsidRPr="003D1343" w:rsidP="07985EE3" w14:paraId="16BC893A" w14:textId="77777777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1E2F2A" w:rsidRPr="003D1343" w:rsidP="07985EE3" w14:paraId="59E9219A" w14:textId="77777777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:rsidR="001E2F2A" w:rsidRPr="003D1343" w:rsidP="07985EE3" w14:paraId="5FBAFF3D" w14:textId="77777777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:rsidR="001E2F2A" w:rsidP="07985EE3" w14:paraId="23DEAF63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1E2F2A" w:rsidP="07985EE3" w14:paraId="30FB35D8" w14:textId="353D26F8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:rsidR="00C955E1" w:rsidP="07985EE3" w14:paraId="060CC5E0" w14:textId="77777777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:rsidR="001E2F2A" w:rsidRPr="003D1343" w:rsidP="07985EE3" w14:paraId="304D60E2" w14:textId="51C45A84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F65A6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="00CD2049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2</w:t>
      </w:r>
    </w:p>
    <w:p w:rsidR="001E2F2A" w:rsidRPr="003D1343" w:rsidP="07985EE3" w14:paraId="238A8789" w14:textId="77777777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:rsidR="001E2F2A" w:rsidRPr="003D1343" w:rsidP="07985EE3" w14:paraId="147E468C" w14:textId="50688CA9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Vzor Podmínek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:rsidR="001E2F2A" w:rsidRPr="003D1343" w:rsidP="07985EE3" w14:paraId="4B65300A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="001E2F2A" w:rsidRPr="003D1343" w:rsidP="07985EE3" w14:paraId="03F0DEE8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="001E2F2A" w:rsidRPr="003D1343" w:rsidP="07985EE3" w14:paraId="4AA413A4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="001E2F2A" w:rsidRPr="003D1343" w:rsidP="07985EE3" w14:paraId="13925E9C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="001E2F2A" w:rsidRPr="003D1343" w:rsidP="07985EE3" w14:paraId="71444CF4" w14:textId="77777777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:rsidR="001E2F2A" w:rsidRPr="003D1343" w:rsidP="07985EE3" w14:paraId="64491504" w14:textId="77777777">
      <w:pPr>
        <w:pStyle w:val="Default"/>
        <w:jc w:val="center"/>
        <w:rPr>
          <w:rFonts w:eastAsia="Arial"/>
          <w:color w:val="323E4F" w:themeColor="text2" w:themeShade="BF"/>
        </w:rPr>
      </w:pPr>
    </w:p>
    <w:p w:rsidR="001E2F2A" w:rsidP="07985EE3" w14:paraId="62B81557" w14:textId="216E9CA0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:rsidR="00C955E1" w:rsidP="07985EE3" w14:paraId="2B7B697D" w14:textId="388A9F3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:rsidR="00C955E1" w:rsidP="07985EE3" w14:paraId="390A499C" w14:textId="5AB6B698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:rsidR="00C955E1" w:rsidP="07985EE3" w14:paraId="2E87C5A7" w14:textId="29B668BE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:rsidR="00C955E1" w:rsidP="07985EE3" w14:paraId="55DD0907" w14:textId="1BB040BD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:rsidR="00C955E1" w:rsidRPr="003D1343" w:rsidP="07985EE3" w14:paraId="53B05B6A" w14:textId="77777777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:rsidR="001E2F2A" w:rsidRPr="003D1343" w:rsidP="07985EE3" w14:paraId="4B17911B" w14:textId="77777777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:rsidR="00147AE5" w:rsidP="004C55E0" w14:paraId="0A749787" w14:textId="58B62AE8"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4C55E0">
        <w:rPr>
          <w:rFonts w:ascii="Arial" w:eastAsia="Arial" w:hAnsi="Arial" w:cs="Arial"/>
          <w:b/>
          <w:bCs/>
          <w:color w:val="002060"/>
          <w:sz w:val="28"/>
          <w:szCs w:val="28"/>
        </w:rPr>
        <w:t>30. 1. 2023</w:t>
      </w:r>
    </w:p>
    <w:p w:rsidR="00EA62BF" w:rsidP="00320804" w14:paraId="063F60BB" w14:textId="5F33E570">
      <w:pPr>
        <w:widowControl w:val="0"/>
        <w:rPr>
          <w:rFonts w:ascii="Arial" w:hAnsi="Arial" w:cs="Arial"/>
        </w:rPr>
      </w:pPr>
    </w:p>
    <w:p w:rsidR="00EA62BF" w:rsidP="00320804" w14:paraId="64F5D386" w14:textId="04CD5FA6">
      <w:pPr>
        <w:widowControl w:val="0"/>
        <w:rPr>
          <w:rFonts w:ascii="Arial" w:hAnsi="Arial" w:cs="Arial"/>
        </w:rPr>
      </w:pPr>
    </w:p>
    <w:p w:rsidR="00C6388C" w:rsidP="00320804" w14:paraId="55DB1DD3" w14:textId="77777777">
      <w:pPr>
        <w:widowControl w:val="0"/>
        <w:rPr>
          <w:rFonts w:ascii="Arial" w:hAnsi="Arial" w:cs="Arial"/>
        </w:rPr>
      </w:pPr>
    </w:p>
    <w:p w:rsidR="00EA62BF" w:rsidP="00320804" w14:paraId="5C7A9D69" w14:textId="33FE6D4D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14:paraId="517CDC1F" w14:textId="77777777" w:rsidTr="69FA01A9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22" w:type="dxa"/>
            <w:shd w:val="clear" w:color="auto" w:fill="D9D9D9" w:themeFill="background1" w:themeFillShade="D9"/>
          </w:tcPr>
          <w:p w:rsidR="009E12B4" w:rsidRPr="00E268CD" w:rsidP="00104A11" w14:paraId="44CEED92" w14:textId="217F217A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14:paraId="5CB0E3FA" w14:textId="77777777" w:rsidTr="69FA01A9">
        <w:tblPrEx>
          <w:tblW w:w="9322" w:type="dxa"/>
          <w:tblLook w:val="04A0"/>
        </w:tblPrEx>
        <w:tc>
          <w:tcPr>
            <w:tcW w:w="9322" w:type="dxa"/>
            <w:shd w:val="clear" w:color="auto" w:fill="auto"/>
          </w:tcPr>
          <w:p w:rsidR="00B77696" w:rsidRPr="00C6388C" w:rsidP="00C6388C" w14:paraId="2798A8DF" w14:textId="6BF9A6C8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65E9DF12" w:rsidRPr="002D5B7C" w:rsidP="337F09E2" w14:paraId="50C0F69F" w14:textId="71B2BE63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Příjemce dotace je povinen dodržet podmínky pro poskytnutí dotace stanovené v části I. tohoto Rozhodnutí o poskytnutí dotace </w:t>
            </w:r>
            <w:r w:rsidRPr="337F09E2" w:rsidR="0438458A">
              <w:rPr>
                <w:rFonts w:ascii="Arial" w:hAnsi="Arial" w:cs="Arial"/>
                <w:sz w:val="18"/>
                <w:szCs w:val="18"/>
              </w:rPr>
              <w:t xml:space="preserve">(dále jen „Rozhodnutí“)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337F09E2" w:rsidR="0438458A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337F09E2" w:rsidR="02809676">
              <w:rPr>
                <w:rFonts w:ascii="Arial" w:hAnsi="Arial" w:cs="Arial"/>
                <w:sz w:val="18"/>
                <w:szCs w:val="18"/>
              </w:rPr>
              <w:t>Pravidl</w:t>
            </w:r>
            <w:r w:rsidRPr="337F09E2" w:rsidR="0438458A">
              <w:rPr>
                <w:rFonts w:ascii="Arial" w:hAnsi="Arial" w:cs="Arial"/>
                <w:sz w:val="18"/>
                <w:szCs w:val="18"/>
              </w:rPr>
              <w:t>ech</w:t>
            </w:r>
            <w:r w:rsidRPr="337F09E2" w:rsidR="02809676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Pr="337F09E2" w:rsidR="0C9EC5B6">
              <w:rPr>
                <w:rFonts w:ascii="Arial" w:hAnsi="Arial" w:cs="Arial"/>
                <w:sz w:val="18"/>
                <w:szCs w:val="18"/>
              </w:rPr>
              <w:t>íjemce</w:t>
            </w:r>
            <w:r w:rsidRPr="337F09E2" w:rsidR="7373B512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Pr="337F09E2" w:rsidR="7373B512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:rsidR="009E12B4" w:rsidP="005F50AE" w14:paraId="3E395AFB" w14:textId="30E8EB00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05F101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při plnění účelu dotace postupovat </w:t>
            </w:r>
            <w:r w:rsidRPr="5A05F101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Pr="5A05F101" w:rsidR="40A0545C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předloženými poskytovateli</w:t>
            </w:r>
            <w:r w:rsidRPr="5A05F10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77696" w:rsidRPr="00100266" w:rsidP="337F09E2" w14:paraId="57F6F841" w14:textId="4811069E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44CC48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Pr="3744CC48" w:rsidR="175CEE37">
              <w:rPr>
                <w:rFonts w:ascii="Arial" w:hAnsi="Arial" w:cs="Arial"/>
                <w:sz w:val="18"/>
                <w:szCs w:val="18"/>
              </w:rPr>
              <w:t xml:space="preserve">poskytnuté </w:t>
            </w:r>
            <w:r w:rsidRPr="3744CC48">
              <w:rPr>
                <w:rFonts w:ascii="Arial" w:hAnsi="Arial" w:cs="Arial"/>
                <w:sz w:val="18"/>
                <w:szCs w:val="18"/>
              </w:rPr>
              <w:t>dotace uvedená v Rozhodnutí nebude překročena. Dotace</w:t>
            </w:r>
            <w:r w:rsidRPr="3744CC48" w:rsidR="16C502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44CC48">
              <w:rPr>
                <w:rFonts w:ascii="Arial" w:hAnsi="Arial" w:cs="Arial"/>
                <w:sz w:val="18"/>
                <w:szCs w:val="18"/>
              </w:rPr>
              <w:t>bude příjemcem vynaložena na odůvodněné a řádně prokázané způsobilé výdaje. Nezpůsobilé výdaje projektu hradí příjemce z vlastních zdrojů.</w:t>
            </w:r>
            <w:r w:rsidRPr="3744CC48" w:rsidR="5DA8D929">
              <w:rPr>
                <w:rFonts w:ascii="Arial" w:hAnsi="Arial" w:cs="Arial"/>
                <w:sz w:val="18"/>
                <w:szCs w:val="18"/>
              </w:rPr>
              <w:t xml:space="preserve"> Navýšení poskytnuté dotace není možné.</w:t>
            </w:r>
          </w:p>
          <w:p w:rsidR="007B1C6C" w:rsidRPr="007B1C6C" w:rsidP="007B1C6C" w14:paraId="43B78D7F" w14:textId="639FE06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předkládat pravdivé a úplné informace o stavu realizace projektu prostřednictvím zpráv o realizaci projektu (dále „ZoR projektu“)</w:t>
            </w:r>
            <w:r w:rsidRPr="3744CC48" w:rsidR="423DEB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která je poskytovateli předkládána současně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 zjednodušen</w:t>
            </w:r>
            <w:r w:rsidRPr="3744CC48" w:rsidR="423DEB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ou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žádost</w:t>
            </w:r>
            <w:r w:rsidRPr="3744CC48" w:rsidR="423DEB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platbu (dále „ZŽoP“)</w:t>
            </w:r>
            <w:r w:rsidRPr="3744CC48" w:rsidR="42E8B38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  <w:r w:rsidRPr="3744CC48" w:rsidR="423DEB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 projektu předkládá příjemce do 30 kalendářních dnů po ukončení sledovaného období</w:t>
            </w:r>
            <w:r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Pr="3744CC48" w:rsidR="423DEB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Pr="3744CC48" w:rsidR="51164A30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Pr="3744CC48" w:rsidR="423DEB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pokud o to příjemce požádá p</w:t>
            </w:r>
            <w:r w:rsidRPr="3744CC48" w:rsidR="51164A30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řed uplynutím lhůty pro podání ZoR projektu a svou žádost dostatečně o</w:t>
            </w:r>
            <w:r w:rsidRPr="3744CC48" w:rsidR="423DEB85">
              <w:rPr>
                <w:rFonts w:ascii="Arial" w:eastAsia="Calibri" w:hAnsi="Arial" w:cs="Arial"/>
                <w:sz w:val="18"/>
                <w:szCs w:val="18"/>
                <w:lang w:eastAsia="en-US"/>
              </w:rPr>
              <w:t>důvodní.</w:t>
            </w:r>
          </w:p>
          <w:p w:rsidR="00E85FC3" w:rsidRPr="007B1C6C" w:rsidP="007B1C6C" w14:paraId="3A3D2DB3" w14:textId="0B168AEF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</w:t>
            </w:r>
            <w:r w:rsidRPr="69FA01A9"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>h v Pravidlech je příjemce povi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 předkládat depeší informace o plnění indikátorů.</w:t>
            </w:r>
          </w:p>
          <w:p w:rsidR="517DF6EC" w:rsidP="517DF6EC" w14:paraId="29FA14D1" w14:textId="3064584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doložit Závěrečnou zprávu o plnění projektu NPO</w:t>
            </w:r>
            <w:r w:rsidR="001B5FF0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997083" w:rsidRPr="00100266" w:rsidP="337F09E2" w14:paraId="33470A9E" w14:textId="4D9E6AE3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</w:t>
            </w:r>
            <w:r w:rsidRPr="517DF6EC" w:rsidR="00C6388C">
              <w:rPr>
                <w:rFonts w:ascii="Arial" w:hAnsi="Arial" w:cs="Arial"/>
                <w:sz w:val="18"/>
                <w:szCs w:val="18"/>
              </w:rPr>
              <w:t>údajů</w:t>
            </w:r>
            <w:r w:rsidRPr="517DF6EC" w:rsidR="5355AD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uvedených v žádosti o podporu před samotnou realizací této změny. V případě, že má změna vliv na podávanou ZŽoP/ZoR projektu</w:t>
            </w:r>
            <w:r w:rsidRPr="517DF6EC" w:rsidR="5355AD09">
              <w:rPr>
                <w:rFonts w:ascii="Arial" w:hAnsi="Arial" w:cs="Arial"/>
                <w:sz w:val="18"/>
                <w:szCs w:val="18"/>
              </w:rPr>
              <w:t>,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Pr="517DF6EC" w:rsidR="00C6388C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517DF6EC">
              <w:rPr>
                <w:rFonts w:ascii="Arial" w:hAnsi="Arial" w:cs="Arial"/>
                <w:sz w:val="18"/>
                <w:szCs w:val="18"/>
              </w:rPr>
              <w:t>před podáním této ZŽoP/ZoR projektu nejpozději s datem ukončení sledovaného období</w:t>
            </w:r>
            <w:r w:rsidRPr="517DF6EC" w:rsidR="00C6388C">
              <w:rPr>
                <w:rFonts w:ascii="Arial" w:hAnsi="Arial" w:cs="Arial"/>
                <w:sz w:val="18"/>
                <w:szCs w:val="18"/>
              </w:rPr>
              <w:t>/</w:t>
            </w:r>
            <w:r w:rsidRPr="517DF6EC">
              <w:rPr>
                <w:rFonts w:ascii="Arial" w:hAnsi="Arial" w:cs="Arial"/>
                <w:sz w:val="18"/>
                <w:szCs w:val="18"/>
              </w:rPr>
              <w:t>projektu. V návaznosti na funkčnost systému je třeba, aby byla nejdříve schválena žádost o změnu a následně podána ZŽoP/ZoR projektu.</w:t>
            </w:r>
          </w:p>
          <w:p w:rsidR="00147AE5" w:rsidP="00147AE5" w14:paraId="53A7FE00" w14:textId="3BCF664B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</w:t>
            </w:r>
            <w:r w:rsidRPr="517DF6EC"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ZoR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Pr="517DF6EC" w:rsidR="00C16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účelu, na který mu byla dotace poskytnuta, a prokázat, že indikátory uvedené v</w:t>
            </w:r>
            <w:r w:rsidRPr="517DF6EC" w:rsidR="00104A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Rozhodnutí byly naplněny v termínu uvedeném v Rozhodnutí. </w:t>
            </w:r>
          </w:p>
          <w:p w:rsidR="00E85FC3" w:rsidRPr="00147AE5" w:rsidP="00147AE5" w14:paraId="151CCA9C" w14:textId="4C428353">
            <w:pPr>
              <w:widowControl w:val="0"/>
              <w:tabs>
                <w:tab w:val="left" w:pos="7088"/>
              </w:tabs>
              <w:spacing w:after="120"/>
              <w:ind w:left="72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Pr="69FA01A9" w:rsidR="00C6388C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69FA01A9">
              <w:rPr>
                <w:rFonts w:ascii="Arial" w:hAnsi="Arial" w:cs="Arial"/>
                <w:sz w:val="18"/>
                <w:szCs w:val="18"/>
              </w:rPr>
              <w:t>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:rsidR="0097568F" w:rsidRPr="0097568F" w:rsidP="00174E2B" w14:paraId="0B3C1270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:rsidR="00174E2B" w:rsidP="00174E2B" w14:paraId="32490967" w14:textId="418E1454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74E2B" w:rsidRPr="0097568F" w:rsidP="40FD4FE4" w14:paraId="2608323B" w14:textId="5661AB97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</w:p>
          <w:p w:rsidR="4134120B" w:rsidP="517DF6EC" w14:paraId="1D1D2F57" w14:textId="3A002D93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:rsidR="009E12B4" w:rsidRPr="00100266" w:rsidP="005F50AE" w14:paraId="48CC4B67" w14:textId="38C7D850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Pr="517DF6EC" w:rsidR="19A1C32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Pr="517DF6EC" w:rsidR="00576C7A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517DF6EC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Pr="517DF6EC" w:rsidR="5917F2EB">
              <w:rPr>
                <w:rFonts w:ascii="Arial" w:hAnsi="Arial" w:cs="Arial"/>
                <w:sz w:val="18"/>
                <w:szCs w:val="18"/>
              </w:rPr>
              <w:t xml:space="preserve"> (Hlava XI a Hlava XII)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zákona č. 218/2000 Sb., o rozpočtových pravidlech</w:t>
            </w:r>
            <w:r w:rsidRPr="517DF6EC" w:rsidR="220D5001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Pr="517DF6EC" w:rsidR="166F5442">
              <w:rPr>
                <w:rFonts w:ascii="Arial" w:hAnsi="Arial" w:cs="Arial"/>
                <w:sz w:val="18"/>
                <w:szCs w:val="18"/>
              </w:rPr>
              <w:t xml:space="preserve"> ve znění pozdějších předpisů </w:t>
            </w:r>
            <w:r w:rsidRPr="517DF6EC" w:rsidR="2A7F5538">
              <w:rPr>
                <w:rFonts w:ascii="Arial" w:hAnsi="Arial" w:cs="Arial"/>
                <w:sz w:val="18"/>
                <w:szCs w:val="18"/>
              </w:rPr>
              <w:t>(dále jen “rozpočtová pravidla”)</w:t>
            </w:r>
            <w:r w:rsidRPr="517DF6EC" w:rsidR="19A1C32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Pr="517DF6EC" w:rsidR="00576C7A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Pr="517DF6EC" w:rsidR="1CE25FCB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517DF6EC" w:rsidR="19A1C32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517DF6EC" w:rsidR="2EBE95DE">
              <w:rPr>
                <w:rFonts w:ascii="Arial" w:hAnsi="Arial" w:cs="Arial"/>
                <w:sz w:val="18"/>
                <w:szCs w:val="18"/>
              </w:rPr>
              <w:t> </w:t>
            </w:r>
            <w:r w:rsidRPr="517DF6EC" w:rsidR="19A1C320">
              <w:rPr>
                <w:rFonts w:ascii="Arial" w:hAnsi="Arial" w:cs="Arial"/>
                <w:sz w:val="18"/>
                <w:szCs w:val="18"/>
              </w:rPr>
              <w:t>zákon</w:t>
            </w:r>
            <w:r w:rsidRPr="517DF6EC" w:rsidR="5DA259FB">
              <w:rPr>
                <w:rFonts w:ascii="Arial" w:hAnsi="Arial" w:cs="Arial"/>
                <w:sz w:val="18"/>
                <w:szCs w:val="18"/>
              </w:rPr>
              <w:t>em</w:t>
            </w:r>
            <w:r w:rsidRPr="517DF6EC" w:rsidR="19A1C32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Pr="517DF6EC" w:rsidR="2EBE95DE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Pr="517DF6EC" w:rsidR="79A8F27C">
              <w:rPr>
                <w:rFonts w:ascii="Arial" w:hAnsi="Arial" w:cs="Arial"/>
                <w:sz w:val="18"/>
                <w:szCs w:val="18"/>
              </w:rPr>
              <w:t>,</w:t>
            </w:r>
            <w:r w:rsidRPr="517DF6EC" w:rsidR="2EBE95DE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:rsidR="005F50AE" w:rsidRPr="0097568F" w:rsidP="0097568F" w14:paraId="4EAE9605" w14:textId="5EB6684E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Pr="517DF6EC" w:rsidR="6F109599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Pr="517DF6EC" w:rsidR="00674C21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Pr="517DF6EC" w:rsidR="6F109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Pr="517DF6EC" w:rsidR="59D3182F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Pr="517DF6EC" w:rsidR="2AB5BAD5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Pr="517DF6EC" w:rsidR="0B604008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517DF6EC" w:rsidR="008D72B8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:rsidR="00C24644" w:rsidRPr="00E85FC3" w:rsidP="005F50AE" w14:paraId="1ABC3DD6" w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Pr="517DF6EC" w:rsidR="59D3182F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:rsidR="009E12B4" w:rsidRPr="00C6388C" w:rsidP="337F09E2" w14:paraId="429D03CC" w14:textId="75D916BC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Pr="517DF6EC" w:rsidR="7373B512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</w:t>
            </w:r>
            <w:r w:rsidRPr="517DF6EC" w:rsidR="7373B512">
              <w:rPr>
                <w:rFonts w:ascii="Arial" w:hAnsi="Arial" w:cs="Arial"/>
                <w:sz w:val="18"/>
                <w:szCs w:val="18"/>
              </w:rPr>
              <w:t xml:space="preserve">proplacení dotace uchovávat pro potřeby kontroly a archivace </w:t>
            </w:r>
            <w:r w:rsidRPr="517DF6EC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Pr="517DF6EC" w:rsidR="186170E3">
              <w:rPr>
                <w:rFonts w:ascii="Arial" w:hAnsi="Arial" w:cs="Arial"/>
                <w:sz w:val="18"/>
                <w:szCs w:val="18"/>
              </w:rPr>
              <w:t>dotací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5701D4" w:rsidP="517DF6EC" w14:paraId="2FC9927B" w14:textId="27257A40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V</w:t>
            </w:r>
            <w:r w:rsidRPr="517DF6EC" w:rsidR="00C168B6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Pr="517DF6EC" w:rsidR="00C168B6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Pr="517DF6EC" w:rsidR="00150220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517DF6EC">
              <w:rPr>
                <w:rFonts w:ascii="Arial" w:hAnsi="Arial" w:cs="Arial"/>
                <w:sz w:val="18"/>
                <w:szCs w:val="18"/>
              </w:rPr>
              <w:t>z</w:t>
            </w:r>
            <w:r w:rsidRPr="517DF6EC" w:rsidR="00150220">
              <w:rPr>
                <w:rFonts w:ascii="Arial" w:hAnsi="Arial" w:cs="Arial"/>
                <w:sz w:val="18"/>
                <w:szCs w:val="18"/>
              </w:rPr>
              <w:t> RRF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Pr="517DF6EC" w:rsidR="006B6A67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:rsidR="00147AE5" w:rsidP="00147AE5" w14:paraId="08F4F2DE" w14:textId="327BC664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do konce udržitelnosti na jinou </w:t>
            </w:r>
            <w:r w:rsidRPr="517DF6EC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:rsidR="00154103" w:rsidRPr="005F50AE" w:rsidP="00147AE5" w14:paraId="3E3D9CB0" w14:textId="430DF175">
            <w:pPr>
              <w:pStyle w:val="ListParagraph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Pr="517DF6EC" w:rsidR="004E50DF">
              <w:rPr>
                <w:rFonts w:ascii="Arial" w:hAnsi="Arial" w:cs="Arial"/>
                <w:sz w:val="18"/>
                <w:szCs w:val="18"/>
              </w:rPr>
              <w:t>některou z </w:t>
            </w:r>
            <w:r w:rsidRPr="517DF6EC">
              <w:rPr>
                <w:rFonts w:ascii="Arial" w:hAnsi="Arial" w:cs="Arial"/>
                <w:sz w:val="18"/>
                <w:szCs w:val="18"/>
              </w:rPr>
              <w:t>Podmín</w:t>
            </w:r>
            <w:r w:rsidRPr="517DF6EC" w:rsidR="004E50DF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Pr="517DF6EC" w:rsidR="00147AE5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Pr="517DF6EC" w:rsidR="009566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</w:t>
            </w:r>
            <w:r w:rsidRPr="517DF6EC" w:rsidR="004E50DF">
              <w:rPr>
                <w:rFonts w:ascii="Arial" w:hAnsi="Arial" w:cs="Arial"/>
                <w:sz w:val="18"/>
                <w:szCs w:val="18"/>
              </w:rPr>
              <w:t>ých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</w:tc>
      </w:tr>
    </w:tbl>
    <w:p w:rsidR="00836E4E" w:rsidP="00836E4E" w14:paraId="46AB2C74" w14:textId="4587C021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14:paraId="20085E6C" w14:textId="77777777" w:rsidTr="40FD4FE4">
        <w:tblPrEx>
          <w:tblW w:w="9356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shd w:val="clear" w:color="auto" w:fill="D9D9D9" w:themeFill="background1" w:themeFillShade="D9"/>
          </w:tcPr>
          <w:p w:rsidR="009E12B4" w:rsidRPr="00E268CD" w:rsidP="00E268CD" w14:paraId="2FD52C11" w14:textId="547E4E59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14:paraId="2B72F9F7" w14:textId="77777777" w:rsidTr="40FD4FE4">
        <w:tblPrEx>
          <w:tblW w:w="9356" w:type="dxa"/>
          <w:tblInd w:w="-34" w:type="dxa"/>
          <w:tblLook w:val="04A0"/>
        </w:tblPrEx>
        <w:tc>
          <w:tcPr>
            <w:tcW w:w="9356" w:type="dxa"/>
            <w:shd w:val="clear" w:color="auto" w:fill="auto"/>
          </w:tcPr>
          <w:p w:rsidR="00554FBD" w:rsidRPr="00554FBD" w:rsidP="00554FBD" w14:paraId="0BE00AFC" w14:textId="0190FBA3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před vyplacením dotace (financování ex-post) zjištěno, že příjemce nesplnil některou z povinností uvedených v těchto Podmínkách, vyhrazuje si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poskytovatel dotace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právo stanovit sankci či finanční opravu. Sazby finančních oprav a fixně stanovené sankce jsou specifikov</w:t>
            </w:r>
            <w:r w:rsidR="007838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ány v následujících bodech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:  </w:t>
            </w:r>
          </w:p>
          <w:p w:rsidR="00554FBD" w:rsidP="00554FBD" w14:paraId="550FB989" w14:textId="6A71BDBF">
            <w:pPr>
              <w:pStyle w:val="ListParagraph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při nesplnění podmínek pod bodem 8 nebude dotace vyplacena v plné výši;</w:t>
            </w:r>
          </w:p>
          <w:p w:rsidR="00554FBD" w:rsidRPr="00554FBD" w:rsidP="00554FBD" w14:paraId="29991564" w14:textId="2BF1A60C">
            <w:pPr>
              <w:pStyle w:val="ListParagraph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při nesplnění podmínek uvedených pod bodem 11 nebude dotace vyplacena, případně nebude vyplacena její část použitá na financování předmětné zakázky podle typu porušení a sazeb finančních oprav dle Rozhodnutí komise C(2019) 3452 ze dne 14.5.2019 nebo případně novějšího.</w:t>
            </w:r>
          </w:p>
          <w:p w:rsidR="00554FBD" w:rsidP="00554FBD" w14:paraId="7817C97B" w14:textId="77777777">
            <w:pPr>
              <w:pStyle w:val="Body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dotace poskytnuta v souvislosti s výběrovým/zadávacím řízením, u kterého se porušení pravidla vyskytlo. </w:t>
            </w:r>
          </w:p>
          <w:p w:rsidR="4134120B" w:rsidP="4134120B" w14:paraId="46F304D9" w14:textId="1A709E22">
            <w:pPr>
              <w:pStyle w:val="BodyText"/>
              <w:spacing w:after="120"/>
              <w:ind w:left="7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Při nesplnění bodu 12 a nedoložení povinných údajů o dodavateli nebudou výdaje z dané veřejné zakázky proplaceny. Při opožděném odevzdání bude stanovena sankce 20 000 Kč.</w:t>
            </w:r>
          </w:p>
          <w:p w:rsidR="00554FBD" w:rsidP="00554FBD" w14:paraId="685325EE" w14:textId="44CE8071">
            <w:pPr>
              <w:pStyle w:val="Body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opožděné odevzdán</w:t>
            </w:r>
            <w:r w:rsidRPr="517DF6EC" w:rsidR="00147A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Pr="517DF6EC" w:rsidR="317BF05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 bude stanovena sankce ve výši 20 000 Kč.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V případě nedodržení lhůty pro odevzdání </w:t>
            </w:r>
            <w:r w:rsidRPr="517DF6EC" w:rsidR="00147AE5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Pr="517DF6EC" w:rsidR="317BF05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sankce 20 000 Kč uplatněna v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následující ZŽoP. Nesplní-li příjemce uvedenou povinnost ani v</w:t>
            </w:r>
            <w:r w:rsidRPr="517DF6EC" w:rsidR="11E11E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ZŽoP vyplacena v plné výši;</w:t>
            </w:r>
            <w:bookmarkStart w:id="0" w:name="_Hlk90458541"/>
          </w:p>
          <w:p w:rsidR="00554FBD" w:rsidP="00554FBD" w14:paraId="11F5ED39" w14:textId="6453CC9A">
            <w:pPr>
              <w:pStyle w:val="Body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každé opožděné nebo nenahlášené oznámení změny </w:t>
            </w:r>
            <w:r w:rsidRPr="3744CC48" w:rsidR="222B88D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stanovena sankce ve výši 10 000 Kč. Pozdní oznámení změny statutárního zástupce a jeho kontaktních údajů není považováno za porušení Podmínek.</w:t>
            </w:r>
            <w:bookmarkEnd w:id="0"/>
          </w:p>
          <w:p w:rsidR="00783868" w:rsidP="00554FBD" w14:paraId="6B745427" w14:textId="0BBB1CF0">
            <w:pPr>
              <w:pStyle w:val="Body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Pr="517DF6EC" w:rsidR="11E11E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ři zjištění dvojího financování a nedodržení bodu 9, nebude vyplacena dotace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 výdaje, na kterém bylo shledáno pochybení.</w:t>
            </w:r>
          </w:p>
          <w:p w:rsidR="00554FBD" w:rsidP="00554FBD" w14:paraId="45A317EA" w14:textId="3B8CD084">
            <w:pPr>
              <w:pStyle w:val="Body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nedodržení bodů 10, 14, 16 a 17</w:t>
            </w:r>
            <w:r w:rsidRPr="517DF6EC" w:rsidR="016F8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517DF6EC" w:rsidR="67077D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bude stanovena sankce ve výši 10 000 Kč</w:t>
            </w:r>
            <w:r w:rsidRPr="517DF6EC" w:rsidR="016F8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:rsidR="00554FBD" w:rsidRPr="00554FBD" w:rsidP="00783868" w14:paraId="284446E8" w14:textId="77777777">
            <w:pPr>
              <w:widowControl w:val="0"/>
              <w:tabs>
                <w:tab w:val="left" w:pos="7088"/>
              </w:tabs>
              <w:spacing w:after="120"/>
              <w:ind w:left="36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9E12B4" w:rsidRPr="00554FBD" w:rsidP="00554FBD" w14:paraId="7C1B0B54" w14:textId="0AB997F2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 Rozhodnutí o poskytnutí dotace a Podmínek čerpání dotace</w:t>
            </w:r>
            <w:r w:rsidR="00090E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zjištěné po vyplacení dotace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Pr="00554FBD" w:rsidR="45C9B50A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Pr="00554FBD" w:rsidR="7F53B4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D74CEA" w:rsidP="00D74CEA" w14:paraId="2381B70C" w14:textId="77777777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Není-li uvedeno jinak, představuje porušení povinností uvedených v tomto Rozhodnutí porušení rozpočtové kázně podle § 44 odst. 1 písm. </w:t>
            </w:r>
            <w:r w:rsidRPr="00554FBD" w:rsidR="77CE076B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Pr="00554FBD" w:rsidR="06036430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54FBD" w:rsidR="18F482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:rsidR="00D74CEA" w:rsidP="00D74CEA" w14:paraId="3D2833BE" w14:textId="0CF612E4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>V případě, že příjemce dotace</w:t>
            </w:r>
            <w:r w:rsidRPr="337F09E2" w:rsidR="40217D30">
              <w:rPr>
                <w:rFonts w:ascii="Arial" w:hAnsi="Arial" w:cs="Arial"/>
                <w:sz w:val="18"/>
                <w:szCs w:val="18"/>
              </w:rPr>
              <w:t xml:space="preserve"> 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37F09E2" w:rsidR="40217D30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337F09E2" w:rsidR="21D42F2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Pr="337F09E2" w:rsidR="40217D30">
              <w:rPr>
                <w:rFonts w:ascii="Arial" w:hAnsi="Arial" w:cs="Arial"/>
                <w:sz w:val="18"/>
                <w:szCs w:val="18"/>
              </w:rPr>
              <w:t xml:space="preserve"> s cílem získat neoprávněnou dotaci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:rsidR="00D74CEA" w:rsidP="00D74CEA" w14:paraId="6596167A" w14:textId="77777777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dotace je povinen vrátit neoprávněně </w:t>
            </w:r>
            <w:r w:rsidRPr="00D74CEA" w:rsidR="27DFCE73">
              <w:rPr>
                <w:rFonts w:ascii="Arial" w:hAnsi="Arial" w:cs="Arial"/>
                <w:sz w:val="18"/>
                <w:szCs w:val="18"/>
              </w:rPr>
              <w:t>poskytnuté</w:t>
            </w:r>
            <w:r w:rsidRPr="00D74CEA" w:rsidR="35CD45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EA" w:rsidR="009E12B4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>poskytovateli dotace</w:t>
            </w:r>
            <w:r w:rsidRPr="00D74CEA" w:rsidR="393900C6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dotace či pověřenou osobou provádějící veřejnosprávní kontrolu. </w:t>
            </w:r>
          </w:p>
          <w:p w:rsidR="009E12B4" w:rsidRPr="00D74CEA" w:rsidP="00D74CEA" w14:paraId="6C62F58C" w14:textId="64928F73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dotace může podle § 15 odst. 1 </w:t>
            </w:r>
            <w:r w:rsidRPr="00D74CEA" w:rsidR="1E118D0D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Pr="00D74CEA" w:rsidR="4031F48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E12B4" w:rsidP="00320804" w14:paraId="74EC472D" w14:textId="77777777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14:paraId="17764C47" w14:textId="77777777" w:rsidTr="00A963EA">
        <w:tblPrEx>
          <w:tblW w:w="9356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shd w:val="clear" w:color="auto" w:fill="D9D9D9" w:themeFill="background1" w:themeFillShade="D9"/>
          </w:tcPr>
          <w:p w:rsidR="009E12B4" w:rsidRPr="00E268CD" w:rsidP="00E268CD" w14:paraId="2773905F" w14:textId="77777777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14:paraId="094BDAE3" w14:textId="77777777" w:rsidTr="00A963EA">
        <w:tblPrEx>
          <w:tblW w:w="9356" w:type="dxa"/>
          <w:tblInd w:w="-34" w:type="dxa"/>
          <w:tblLook w:val="04A0"/>
        </w:tblPrEx>
        <w:tc>
          <w:tcPr>
            <w:tcW w:w="9356" w:type="dxa"/>
            <w:shd w:val="clear" w:color="auto" w:fill="auto"/>
          </w:tcPr>
          <w:p w:rsidR="009E12B4" w:rsidP="00A963EA" w14:paraId="5C3A4BF8" w14:textId="77777777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:rsidR="00A963EA" w:rsidRPr="00D83AB2" w:rsidP="00A963EA" w14:paraId="50C74FC3" w14:textId="6824861F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:rsidR="009E12B4" w:rsidP="00147AE5" w14:paraId="3E18F149" w14:textId="77777777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14:paraId="72DEB161" w14:textId="77777777" w:rsidTr="1621A2A3">
        <w:tblPrEx>
          <w:tblW w:w="9356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56" w:type="dxa"/>
            <w:shd w:val="clear" w:color="auto" w:fill="D9D9D9" w:themeFill="background1" w:themeFillShade="D9"/>
          </w:tcPr>
          <w:p w:rsidR="009E12B4" w:rsidRPr="00E268CD" w:rsidP="00E268CD" w14:paraId="5DED478C" w14:textId="77777777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14:paraId="1032E1B2" w14:textId="77777777" w:rsidTr="1621A2A3">
        <w:tblPrEx>
          <w:tblW w:w="9356" w:type="dxa"/>
          <w:tblInd w:w="-34" w:type="dxa"/>
          <w:tblLook w:val="04A0"/>
        </w:tblPrEx>
        <w:tc>
          <w:tcPr>
            <w:tcW w:w="9356" w:type="dxa"/>
            <w:shd w:val="clear" w:color="auto" w:fill="auto"/>
          </w:tcPr>
          <w:p w:rsidR="009E12B4" w:rsidRPr="00F56B7A" w:rsidP="00E268CD" w14:paraId="6447C92D" w14:textId="191A3CB4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Pr="1621A2A3" w:rsidR="1E4A799C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Pr="1621A2A3" w:rsidR="00241B76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Pr="1621A2A3" w:rsidR="00241B76">
              <w:rPr>
                <w:rFonts w:ascii="Arial" w:hAnsi="Arial" w:cs="Arial"/>
                <w:sz w:val="18"/>
                <w:szCs w:val="18"/>
              </w:rPr>
              <w:t>správní řád</w:t>
            </w:r>
            <w:r w:rsidRPr="1621A2A3" w:rsidR="5C864BB1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Pr="1621A2A3" w:rsidR="00241B7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E12B4" w:rsidP="00E268CD" w14:paraId="30FDB5C4" w14:textId="602B384C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Pr="1621A2A3" w:rsidR="3948FD75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:rsidR="009E12B4" w:rsidP="00147AE5" w14:paraId="0B0913B4" w14:textId="77777777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14:paraId="65B3E3EA" w14:textId="77777777" w:rsidTr="79236232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22" w:type="dxa"/>
            <w:shd w:val="clear" w:color="auto" w:fill="D9D9D9" w:themeFill="background1" w:themeFillShade="D9"/>
          </w:tcPr>
          <w:p w:rsidR="009E12B4" w:rsidRPr="00E268CD" w:rsidP="001A66A2" w14:paraId="7645900B" w14:textId="77777777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14:paraId="6A2DDD80" w14:textId="77777777" w:rsidTr="79236232">
        <w:tblPrEx>
          <w:tblW w:w="9322" w:type="dxa"/>
          <w:tblLook w:val="04A0"/>
        </w:tblPrEx>
        <w:tc>
          <w:tcPr>
            <w:tcW w:w="9322" w:type="dxa"/>
            <w:shd w:val="clear" w:color="auto" w:fill="auto"/>
          </w:tcPr>
          <w:p w:rsidR="002D5B7C" w:rsidRPr="001A66A2" w:rsidP="002D5B7C" w14:paraId="20D77478" w14:textId="7C46D485">
            <w:pPr>
              <w:pStyle w:val="ListParagraph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AC2F3D8">
              <w:rPr>
                <w:rFonts w:ascii="Arial" w:hAnsi="Arial" w:cs="Arial"/>
                <w:sz w:val="18"/>
                <w:szCs w:val="18"/>
              </w:rPr>
              <w:t xml:space="preserve">Dotace bude vyplacena prostřednictvím ČNB v režimu Ex post </w:t>
            </w:r>
          </w:p>
          <w:p w:rsidR="005E7E91" w:rsidRPr="001A66A2" w:rsidP="004B2FBA" w14:paraId="049BDB04" w14:textId="4A26014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45BC" w:rsidP="001445BC" w14:paraId="7C97686A" w14:textId="451CC613">
      <w:pPr>
        <w:rPr>
          <w:rFonts w:ascii="Arial" w:hAnsi="Arial" w:cs="Arial"/>
        </w:rPr>
      </w:pPr>
    </w:p>
    <w:p w:rsidR="00147AE5" w:rsidP="001445BC" w14:paraId="7BE796B3" w14:textId="2594933F">
      <w:pPr>
        <w:rPr>
          <w:rFonts w:ascii="Arial" w:hAnsi="Arial" w:cs="Arial"/>
        </w:rPr>
      </w:pPr>
    </w:p>
    <w:p w:rsidR="00147AE5" w:rsidP="001445BC" w14:paraId="4FE19B8C" w14:textId="1263CEA0">
      <w:pPr>
        <w:rPr>
          <w:rFonts w:ascii="Arial" w:hAnsi="Arial" w:cs="Arial"/>
        </w:rPr>
      </w:pPr>
    </w:p>
    <w:p w:rsidR="00147AE5" w:rsidP="001445BC" w14:paraId="19FA7EF5" w14:textId="09808621">
      <w:pPr>
        <w:rPr>
          <w:rFonts w:ascii="Arial" w:hAnsi="Arial" w:cs="Arial"/>
        </w:rPr>
      </w:pPr>
    </w:p>
    <w:p w:rsidR="00147AE5" w:rsidP="001445BC" w14:paraId="22A645E7" w14:textId="41054670">
      <w:pPr>
        <w:rPr>
          <w:rFonts w:ascii="Arial" w:hAnsi="Arial" w:cs="Arial"/>
        </w:rPr>
      </w:pPr>
    </w:p>
    <w:p w:rsidR="00147AE5" w:rsidP="001445BC" w14:paraId="026C0298" w14:textId="77777777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977"/>
        <w:gridCol w:w="1564"/>
        <w:gridCol w:w="2972"/>
      </w:tblGrid>
      <w:tr w14:paraId="56F705E1" w14:textId="77777777" w:rsidTr="00851E05">
        <w:tblPrEx>
          <w:tblW w:w="9356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5BC" w:rsidRPr="00F56B7A" w14:paraId="578DA07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C" w:rsidRPr="00F56B7A" w:rsidP="001445BC" w14:paraId="6F510BA7" w14:textId="3837E1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45BC" w:rsidRPr="00F56B7A" w14:paraId="133908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45BC" w:rsidRPr="00F56B7A" w14:paraId="0E07A94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00717429" w14:textId="77777777" w:rsidTr="00851E05">
        <w:tblPrEx>
          <w:tblW w:w="9356" w:type="dxa"/>
          <w:tblInd w:w="-34" w:type="dxa"/>
          <w:tblLayout w:type="fixed"/>
          <w:tblLook w:val="04A0"/>
        </w:tblPrEx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45BC" w:rsidRPr="00F56B7A" w14:paraId="1835627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C" w:rsidRPr="00F56B7A" w:rsidP="001445BC" w14:paraId="530E5ACC" w14:textId="261188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5BC" w:rsidRPr="00F56B7A" w14:paraId="68BE247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5BC" w:rsidRPr="00F56B7A" w14:paraId="6189D9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22D451CE" w14:textId="77777777" w:rsidTr="00851E05">
        <w:tblPrEx>
          <w:tblW w:w="9356" w:type="dxa"/>
          <w:tblInd w:w="-34" w:type="dxa"/>
          <w:tblLayout w:type="fixed"/>
          <w:tblLook w:val="04A0"/>
        </w:tblPrEx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5BC" w:rsidRPr="00F56B7A" w14:paraId="1B81EA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5BC" w:rsidRPr="00F56B7A" w:rsidP="001445BC" w14:paraId="6220B83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1445BC" w:rsidRPr="00F56B7A" w14:paraId="1C46EB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5BC" w:rsidRPr="00F56B7A" w14:paraId="67BEEE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76F55D59" w14:textId="77777777" w:rsidTr="00100266">
        <w:tblPrEx>
          <w:tblW w:w="9356" w:type="dxa"/>
          <w:tblInd w:w="-34" w:type="dxa"/>
          <w:tblLayout w:type="fixed"/>
          <w:tblLook w:val="04A0"/>
        </w:tblPrEx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2907" w:rsidRPr="00F56B7A" w14:paraId="465306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32907" w:rsidRPr="00F56B7A" w:rsidP="006B56C3" w14:paraId="056805DE" w14:textId="7A5E5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32907" w:rsidRPr="00F56B7A" w:rsidP="009378BA" w14:paraId="02B5BC3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Pr="00F56B7A" w:rsidR="009378B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6F" w:rsidRPr="00F56B7A" w:rsidP="00DD5D6F" w14:paraId="1103388B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:rsidR="00DD5D6F" w:rsidRPr="00F56B7A" w:rsidP="00DD5D6F" w14:paraId="439CF1CF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14:paraId="1C2345B0" w14:textId="77777777" w:rsidTr="00715B20">
        <w:tblPrEx>
          <w:tblW w:w="9356" w:type="dxa"/>
          <w:tblInd w:w="-34" w:type="dxa"/>
          <w:tblLayout w:type="fixed"/>
          <w:tblLook w:val="04A0"/>
        </w:tblPrEx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2907" w:rsidRPr="00F56B7A" w14:paraId="3E0B26A7" w14:textId="0C5BD6E8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</w:t>
            </w:r>
            <w:r w:rsidR="000211FF">
              <w:rPr>
                <w:rFonts w:ascii="Arial" w:hAnsi="Arial" w:cs="Arial"/>
                <w:sz w:val="18"/>
                <w:szCs w:val="18"/>
              </w:rPr>
              <w:t>/</w:t>
            </w:r>
            <w:r w:rsidRPr="00F56B7A">
              <w:rPr>
                <w:rFonts w:ascii="Arial" w:hAnsi="Arial" w:cs="Arial"/>
                <w:sz w:val="18"/>
                <w:szCs w:val="18"/>
              </w:rPr>
              <w:t>a:</w:t>
            </w:r>
          </w:p>
          <w:p w:rsidR="00E32907" w:rsidRPr="00F56B7A" w14:paraId="4CD6B04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2907" w:rsidRPr="00F56B7A" w:rsidP="001445BC" w14:paraId="63367FC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32907" w:rsidRPr="00F56B7A" w14:paraId="3CD178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07" w:rsidRPr="00F56B7A" w14:paraId="4B01B9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5A3FE590" w14:textId="77777777" w:rsidTr="00851E05">
        <w:tblPrEx>
          <w:tblW w:w="9356" w:type="dxa"/>
          <w:tblInd w:w="-34" w:type="dxa"/>
          <w:tblLayout w:type="fixed"/>
          <w:tblLook w:val="04A0"/>
        </w:tblPrEx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45BC" w:rsidRPr="00F56B7A" w14:paraId="103541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5BC" w:rsidRPr="00F56B7A" w:rsidP="001445BC" w14:paraId="660FB6A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5BC" w:rsidRPr="00F56B7A" w14:paraId="03DED23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5BC" w:rsidRPr="00F56B7A" w14:paraId="1633BF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45BC" w:rsidRPr="005944FB" w:rsidP="00147AE5" w14:paraId="60569C4D" w14:textId="77777777">
      <w:pPr>
        <w:autoSpaceDE w:val="0"/>
        <w:autoSpaceDN w:val="0"/>
        <w:adjustRightInd w:val="0"/>
      </w:pPr>
    </w:p>
    <w:sectPr w:rsidSect="00147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1DDD" w14:paraId="71B8A5A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5E1" w:rsidP="00C955E1" w14:paraId="26DA6204" w14:textId="77777777">
    <w:pPr>
      <w:pStyle w:val="Footer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:rsidR="009A57CB" w:rsidRPr="00147AE5" w:rsidP="00147AE5" w14:paraId="4708BDBD" w14:textId="22CCE0EA">
    <w:pPr>
      <w:pStyle w:val="Footer"/>
      <w:jc w:val="center"/>
      <w:rPr>
        <w:rFonts w:ascii="Arial" w:hAnsi="Arial" w:cs="Arial"/>
        <w:sz w:val="18"/>
        <w:szCs w:val="18"/>
      </w:rPr>
    </w:pPr>
    <w:r w:rsidRPr="00A01DDD"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  <w:t>PRŮBĚŽNÁ VÝZVA Č. 1 - Rozvoj a využití datového fondu veřejné správy v územním plánování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1DDD" w14:paraId="155CC1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1DDD" w14:paraId="56ACFBE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5E1" w14:paraId="328CA7E9" w14:textId="5C917C8A">
    <w:pPr>
      <w:pStyle w:val="Header"/>
    </w:pPr>
    <w:r>
      <w:rPr>
        <w:noProof/>
      </w:rPr>
      <w:drawing>
        <wp:inline distT="0" distB="0" distL="0" distR="0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426562" name="Obrázek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7CB" w:rsidP="00147AE5" w14:paraId="6FEDE19D" w14:textId="4CED8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1DDD" w14:paraId="2B43A92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430EA"/>
    <w:multiLevelType w:val="hybridMultilevel"/>
    <w:tmpl w:val="63F29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481"/>
    <w:multiLevelType w:val="hybridMultilevel"/>
    <w:tmpl w:val="8C66AE4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0164"/>
    <w:multiLevelType w:val="hybridMultilevel"/>
    <w:tmpl w:val="E7A41D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B3B36"/>
    <w:multiLevelType w:val="hybridMultilevel"/>
    <w:tmpl w:val="73FCE87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46B08"/>
    <w:multiLevelType w:val="hybridMultilevel"/>
    <w:tmpl w:val="F1665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F97F60"/>
    <w:multiLevelType w:val="hybridMultilevel"/>
    <w:tmpl w:val="BF386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8564D85"/>
    <w:multiLevelType w:val="hybridMultilevel"/>
    <w:tmpl w:val="C6EE18E8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93ED6"/>
    <w:multiLevelType w:val="hybridMultilevel"/>
    <w:tmpl w:val="BB040DB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14150"/>
    <w:multiLevelType w:val="hybridMultilevel"/>
    <w:tmpl w:val="68FE5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B491D"/>
    <w:multiLevelType w:val="hybridMultilevel"/>
    <w:tmpl w:val="424CEF8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1277EE"/>
    <w:multiLevelType w:val="hybridMultilevel"/>
    <w:tmpl w:val="7EEA72D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A269E"/>
    <w:multiLevelType w:val="hybridMultilevel"/>
    <w:tmpl w:val="74A0AE00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4A2A3B"/>
    <w:multiLevelType w:val="hybridMultilevel"/>
    <w:tmpl w:val="E204380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B1DDD"/>
    <w:multiLevelType w:val="hybridMultilevel"/>
    <w:tmpl w:val="74A0AE00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5C7577"/>
    <w:multiLevelType w:val="hybridMultilevel"/>
    <w:tmpl w:val="2B70D0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13C10"/>
    <w:multiLevelType w:val="hybridMultilevel"/>
    <w:tmpl w:val="C77212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A7B74"/>
    <w:multiLevelType w:val="hybridMultilevel"/>
    <w:tmpl w:val="A608064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92422B"/>
    <w:multiLevelType w:val="hybridMultilevel"/>
    <w:tmpl w:val="5F8AB0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27A3B"/>
    <w:multiLevelType w:val="hybridMultilevel"/>
    <w:tmpl w:val="2F16B68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81F2E"/>
    <w:multiLevelType w:val="hybridMultilevel"/>
    <w:tmpl w:val="DB60A02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A3571"/>
    <w:multiLevelType w:val="hybridMultilevel"/>
    <w:tmpl w:val="C1381E2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A30749"/>
    <w:multiLevelType w:val="hybridMultilevel"/>
    <w:tmpl w:val="4D0C3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101DA"/>
    <w:multiLevelType w:val="hybridMultilevel"/>
    <w:tmpl w:val="6C905A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E57F0"/>
    <w:multiLevelType w:val="hybridMultilevel"/>
    <w:tmpl w:val="94808B1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A1E1AEE"/>
    <w:multiLevelType w:val="hybridMultilevel"/>
    <w:tmpl w:val="C016C7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</w:num>
  <w:num w:numId="10">
    <w:abstractNumId w:val="21"/>
  </w:num>
  <w:num w:numId="11">
    <w:abstractNumId w:val="19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  <w:num w:numId="16">
    <w:abstractNumId w:val="1"/>
  </w:num>
  <w:num w:numId="17">
    <w:abstractNumId w:val="24"/>
  </w:num>
  <w:num w:numId="18">
    <w:abstractNumId w:val="8"/>
  </w:num>
  <w:num w:numId="19">
    <w:abstractNumId w:val="26"/>
  </w:num>
  <w:num w:numId="20">
    <w:abstractNumId w:val="20"/>
  </w:num>
  <w:num w:numId="21">
    <w:abstractNumId w:val="12"/>
  </w:num>
  <w:num w:numId="22">
    <w:abstractNumId w:val="14"/>
  </w:num>
  <w:num w:numId="23">
    <w:abstractNumId w:val="2"/>
  </w:num>
  <w:num w:numId="24">
    <w:abstractNumId w:val="15"/>
  </w:num>
  <w:num w:numId="25">
    <w:abstractNumId w:val="7"/>
  </w:num>
  <w:num w:numId="26">
    <w:abstractNumId w:val="5"/>
  </w:num>
  <w:num w:numId="27">
    <w:abstractNumId w:val="22"/>
  </w:num>
  <w:num w:numId="28">
    <w:abstractNumId w:val="4"/>
  </w:num>
  <w:num w:numId="29">
    <w:abstractNumId w:val="9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54A7"/>
    <w:rsid w:val="00006F4E"/>
    <w:rsid w:val="00007F09"/>
    <w:rsid w:val="00017B5E"/>
    <w:rsid w:val="000211FF"/>
    <w:rsid w:val="00024DF5"/>
    <w:rsid w:val="00026871"/>
    <w:rsid w:val="00034AB4"/>
    <w:rsid w:val="0004497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4982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5D6C"/>
    <w:rsid w:val="00197B0A"/>
    <w:rsid w:val="001A66A2"/>
    <w:rsid w:val="001B32D2"/>
    <w:rsid w:val="001B4A6C"/>
    <w:rsid w:val="001B5FF0"/>
    <w:rsid w:val="001C3046"/>
    <w:rsid w:val="001C5863"/>
    <w:rsid w:val="001D1C41"/>
    <w:rsid w:val="001D5686"/>
    <w:rsid w:val="001E2F2A"/>
    <w:rsid w:val="001E4A72"/>
    <w:rsid w:val="00202F20"/>
    <w:rsid w:val="00216880"/>
    <w:rsid w:val="00217515"/>
    <w:rsid w:val="00241B76"/>
    <w:rsid w:val="0025070C"/>
    <w:rsid w:val="00251A4C"/>
    <w:rsid w:val="002537C4"/>
    <w:rsid w:val="00256685"/>
    <w:rsid w:val="0026176F"/>
    <w:rsid w:val="00267BF1"/>
    <w:rsid w:val="00272656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77E46"/>
    <w:rsid w:val="003A7C0C"/>
    <w:rsid w:val="003B1BE2"/>
    <w:rsid w:val="003C615A"/>
    <w:rsid w:val="003D1343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C55E0"/>
    <w:rsid w:val="004E03C6"/>
    <w:rsid w:val="004E50DF"/>
    <w:rsid w:val="004E6BE2"/>
    <w:rsid w:val="004F356C"/>
    <w:rsid w:val="005055AB"/>
    <w:rsid w:val="005109C9"/>
    <w:rsid w:val="00512D2B"/>
    <w:rsid w:val="005135E6"/>
    <w:rsid w:val="00523174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1C4E"/>
    <w:rsid w:val="007A6406"/>
    <w:rsid w:val="007B030D"/>
    <w:rsid w:val="007B1C6C"/>
    <w:rsid w:val="007B6612"/>
    <w:rsid w:val="007C7D31"/>
    <w:rsid w:val="007D44BE"/>
    <w:rsid w:val="007F2E53"/>
    <w:rsid w:val="007F389C"/>
    <w:rsid w:val="00800122"/>
    <w:rsid w:val="008007E1"/>
    <w:rsid w:val="00801BDF"/>
    <w:rsid w:val="008059E8"/>
    <w:rsid w:val="00805F7D"/>
    <w:rsid w:val="00811A6E"/>
    <w:rsid w:val="008127CD"/>
    <w:rsid w:val="008202D6"/>
    <w:rsid w:val="00825E11"/>
    <w:rsid w:val="0083085C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944F4"/>
    <w:rsid w:val="0089570B"/>
    <w:rsid w:val="008A551E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01DD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67924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C1754"/>
    <w:rsid w:val="00BC4217"/>
    <w:rsid w:val="00BD690D"/>
    <w:rsid w:val="00BD7BD2"/>
    <w:rsid w:val="00BE69D1"/>
    <w:rsid w:val="00BE6BF3"/>
    <w:rsid w:val="00BF06F8"/>
    <w:rsid w:val="00BF7602"/>
    <w:rsid w:val="00C03826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D2049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5732E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C4E8B"/>
    <w:rsid w:val="00DC5FD7"/>
    <w:rsid w:val="00DD3080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0ADA"/>
    <w:rsid w:val="00E45FF8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46C67"/>
    <w:rsid w:val="00F56B7A"/>
    <w:rsid w:val="00F65A6B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94651E"/>
  </w:style>
  <w:style w:type="paragraph" w:styleId="Footer">
    <w:name w:val="footer"/>
    <w:basedOn w:val="Normal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4651E"/>
  </w:style>
  <w:style w:type="paragraph" w:styleId="ListParagraph">
    <w:name w:val="List Paragraph"/>
    <w:aliases w:val="Nad"/>
    <w:basedOn w:val="Normal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4C03"/>
    <w:rPr>
      <w:lang w:eastAsia="cs-CZ"/>
    </w:rPr>
  </w:style>
  <w:style w:type="table" w:styleId="TableGrid">
    <w:name w:val="Table Grid"/>
    <w:basedOn w:val="TableNormal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B692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F2E53"/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F2E53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CommentSubject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FollowedHyperlink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BodyText">
    <w:name w:val="Body Text"/>
    <w:basedOn w:val="Normal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DefaultParagraphFont"/>
    <w:link w:val="Body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ListParagraph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al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1362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Rollová Magdalena</cp:lastModifiedBy>
  <cp:revision>6</cp:revision>
  <cp:lastPrinted>2020-10-20T19:45:00Z</cp:lastPrinted>
  <dcterms:created xsi:type="dcterms:W3CDTF">2023-01-18T14:51:00Z</dcterms:created>
  <dcterms:modified xsi:type="dcterms:W3CDTF">2023-01-26T09:31:00Z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MMR-4923/2023-59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MMR-4923/2023-59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&lt;TABLE&gt;&lt;TR&gt;&lt;TD&gt;Č.j.:&lt;/TD&gt;&lt;TD&gt;MMR-4923/2023-59&lt;/TD&gt;&lt;/TR&gt;&lt;TR&gt;&lt;TD&gt;&lt;/TD&gt;&lt;TD&gt;&lt;/TD&gt;&lt;/TR&gt;&lt;/TABLE&gt;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Oddělení Národního plánu obnovy</vt:lpwstr>
  </property>
  <property fmtid="{D5CDD505-2E9C-101B-9397-08002B2CF9AE}" pid="17" name="DisplayName_UserPoriz_Pisemnost">
    <vt:lpwstr>Mgr. Magdalena Rollová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E5018/23/MMR</vt:lpwstr>
  </property>
  <property fmtid="{D5CDD505-2E9C-101B-9397-08002B2CF9AE}" pid="20" name="Key_BarCode_Pisemnost">
    <vt:lpwstr>*B003311351*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E5018/23/MMR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SZ-1513/59/2023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výzvy „Rozvoj a využití datového fondu veřejné správy v územním plánování“ k subkomponentě 1.6.3. NPO</vt:lpwstr>
  </property>
  <property fmtid="{D5CDD505-2E9C-101B-9397-08002B2CF9AE}" pid="43" name="Zkratka_SpisovyUzel_PoziceZodpo_Pisemnost">
    <vt:lpwstr>59</vt:lpwstr>
  </property>
</Properties>
</file>