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1626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7305794E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340BACCF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3EF14443" w14:textId="77777777" w:rsidR="001E2F2A" w:rsidRPr="003D1343" w:rsidRDefault="002614C6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48D4879F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1C63AAF7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36A29528" w14:textId="77777777" w:rsidR="001E2F2A" w:rsidRPr="00DA03BB" w:rsidRDefault="002614C6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="00BB1644"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14:paraId="1640E7B1" w14:textId="77777777" w:rsidR="001E2F2A" w:rsidRPr="00DA03BB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530521B4" w14:textId="77777777" w:rsidR="00C955E1" w:rsidRPr="00DA03BB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EADD45" w14:textId="6D663E8C" w:rsidR="001E2F2A" w:rsidRPr="00DA03BB" w:rsidRDefault="002614C6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2953F6" w:rsidRPr="00DA03B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7B376299" w14:textId="77777777" w:rsidR="001E2F2A" w:rsidRPr="00DA03BB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6CE932D" w14:textId="77777777" w:rsidR="001E2F2A" w:rsidRPr="00DA03BB" w:rsidRDefault="002614C6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Podmínk</w:t>
      </w:r>
      <w:r w:rsidR="00B007B7"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y</w:t>
      </w:r>
      <w:r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k</w:t>
      </w:r>
      <w:r w:rsidR="003313BC"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e stanovení výdajů</w:t>
      </w:r>
    </w:p>
    <w:p w14:paraId="0DF0E81D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E054DF0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5C8BF33C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FFF3928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D40B71A" w14:textId="77777777" w:rsidR="001E2F2A" w:rsidRPr="00DA03BB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36BD5F26" w14:textId="77777777" w:rsidR="001E2F2A" w:rsidRPr="00DA03BB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19F814A4" w14:textId="77777777" w:rsidR="001E2F2A" w:rsidRPr="00DA03BB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D3C9744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883F4AD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94E7D0A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1FF3EC" w14:textId="77777777" w:rsidR="00C955E1" w:rsidRPr="00DA03BB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BDD985A" w14:textId="77777777" w:rsidR="001E2F2A" w:rsidRPr="00DA03BB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F2A7296" w14:textId="1AC70D0B" w:rsidR="001E2F2A" w:rsidRPr="00DA03BB" w:rsidRDefault="002614C6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0DA03B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5369AA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F31DBF" w:rsidRPr="00DA03B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5369AA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F31DBF" w:rsidRPr="00DA03BB">
        <w:rPr>
          <w:rFonts w:ascii="Arial" w:eastAsia="Arial" w:hAnsi="Arial" w:cs="Arial"/>
          <w:b/>
          <w:bCs/>
          <w:color w:val="002060"/>
          <w:sz w:val="28"/>
          <w:szCs w:val="28"/>
        </w:rPr>
        <w:t>11.</w:t>
      </w:r>
      <w:r w:rsidR="005369AA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F31DBF" w:rsidRPr="00DA03BB">
        <w:rPr>
          <w:rFonts w:ascii="Arial" w:eastAsia="Arial" w:hAnsi="Arial" w:cs="Arial"/>
          <w:b/>
          <w:bCs/>
          <w:color w:val="002060"/>
          <w:sz w:val="28"/>
          <w:szCs w:val="28"/>
        </w:rPr>
        <w:t>2023</w:t>
      </w:r>
    </w:p>
    <w:p w14:paraId="2A7ABFAE" w14:textId="77777777" w:rsidR="00147AE5" w:rsidRPr="00DA03BB" w:rsidRDefault="002614C6" w:rsidP="00320804">
      <w:pPr>
        <w:widowControl w:val="0"/>
      </w:pPr>
      <w:r w:rsidRPr="00DA03BB"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95B26" w:rsidRPr="00DA03BB" w14:paraId="3A1730A5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2185239" w14:textId="77777777" w:rsidR="009E12B4" w:rsidRPr="00DA03BB" w:rsidRDefault="002614C6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DA03BB">
              <w:rPr>
                <w:rFonts w:ascii="Arial" w:hAnsi="Arial" w:cs="Arial"/>
                <w:b/>
              </w:rPr>
              <w:lastRenderedPageBreak/>
              <w:t>P</w:t>
            </w:r>
            <w:r w:rsidR="00EA0230" w:rsidRPr="00DA03BB">
              <w:rPr>
                <w:rFonts w:ascii="Arial" w:hAnsi="Arial" w:cs="Arial"/>
                <w:b/>
              </w:rPr>
              <w:t xml:space="preserve">odmínky </w:t>
            </w:r>
            <w:r w:rsidR="00104A11" w:rsidRPr="00DA03BB">
              <w:rPr>
                <w:rFonts w:ascii="Arial" w:hAnsi="Arial" w:cs="Arial"/>
                <w:b/>
              </w:rPr>
              <w:t xml:space="preserve">poskytnutí </w:t>
            </w:r>
            <w:r w:rsidR="00216129" w:rsidRPr="00DA03BB">
              <w:rPr>
                <w:rFonts w:ascii="Arial" w:hAnsi="Arial" w:cs="Arial"/>
                <w:b/>
              </w:rPr>
              <w:t>finančních prostředků</w:t>
            </w:r>
            <w:r w:rsidRPr="00DA03BB">
              <w:rPr>
                <w:rFonts w:ascii="Arial" w:hAnsi="Arial" w:cs="Arial"/>
                <w:b/>
              </w:rPr>
              <w:t>:</w:t>
            </w:r>
          </w:p>
        </w:tc>
      </w:tr>
      <w:tr w:rsidR="00795B26" w14:paraId="495DD4B1" w14:textId="77777777" w:rsidTr="69FA01A9">
        <w:tc>
          <w:tcPr>
            <w:tcW w:w="9322" w:type="dxa"/>
            <w:shd w:val="clear" w:color="auto" w:fill="auto"/>
          </w:tcPr>
          <w:p w14:paraId="26B1FEE9" w14:textId="77777777" w:rsidR="00B77696" w:rsidRPr="00DA03BB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8D09BD" w14:textId="77777777" w:rsidR="65E9DF12" w:rsidRPr="00DA03BB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dodržet podmínky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>stanovené ve Výzvě, podmínky v příloze ve </w:t>
            </w:r>
            <w:r w:rsidR="00216129" w:rsidRPr="00DA03BB">
              <w:rPr>
                <w:rFonts w:ascii="Arial" w:hAnsi="Arial" w:cs="Arial"/>
                <w:sz w:val="18"/>
                <w:szCs w:val="18"/>
              </w:rPr>
              <w:t xml:space="preserve">Stanovení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>výdajů</w:t>
            </w:r>
            <w:r w:rsidR="0438458A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00DA03BB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00DA03BB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00DA03BB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00DA03BB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00DA03BB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5EBB4A03" w14:textId="77777777" w:rsidR="009E12B4" w:rsidRPr="00DA03BB" w:rsidRDefault="002614C6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00104A11" w:rsidRPr="00DA03BB">
              <w:rPr>
                <w:rFonts w:ascii="Arial" w:hAnsi="Arial" w:cs="Arial"/>
                <w:sz w:val="18"/>
                <w:szCs w:val="18"/>
              </w:rPr>
              <w:t xml:space="preserve">při plnění účelu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104A11" w:rsidRPr="00DA03BB">
              <w:rPr>
                <w:rFonts w:ascii="Arial" w:hAnsi="Arial" w:cs="Arial"/>
                <w:sz w:val="18"/>
                <w:szCs w:val="18"/>
              </w:rPr>
              <w:t xml:space="preserve">postupovat </w:t>
            </w:r>
            <w:r w:rsidRPr="00DA03BB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00DA03BB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 předloženými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>správcem programu a poskytovatelem finančních prostředků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133153" w14:textId="77777777" w:rsidR="00B77696" w:rsidRPr="00DA03BB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003313BC" w:rsidRPr="00DA03BB">
              <w:rPr>
                <w:rFonts w:ascii="Arial" w:hAnsi="Arial" w:cs="Arial"/>
                <w:sz w:val="18"/>
                <w:szCs w:val="18"/>
              </w:rPr>
              <w:t xml:space="preserve">poskytnutých finančních prostředků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 xml:space="preserve">uvedených ve </w:t>
            </w:r>
            <w:r w:rsidR="00216129" w:rsidRPr="00DA03BB">
              <w:rPr>
                <w:rFonts w:ascii="Arial" w:hAnsi="Arial" w:cs="Arial"/>
                <w:sz w:val="18"/>
                <w:szCs w:val="18"/>
              </w:rPr>
              <w:t>S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nebude překročena. Dotace</w:t>
            </w:r>
            <w:r w:rsidR="16C502BB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="5DA8D929" w:rsidRPr="00DA03BB">
              <w:rPr>
                <w:rFonts w:ascii="Arial" w:hAnsi="Arial" w:cs="Arial"/>
                <w:sz w:val="18"/>
                <w:szCs w:val="18"/>
              </w:rPr>
              <w:t xml:space="preserve"> Navýšení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5DA8D929" w:rsidRPr="00DA03BB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14:paraId="45582DFF" w14:textId="2E717498" w:rsidR="007B1C6C" w:rsidRPr="00DA03BB" w:rsidRDefault="002614C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„ZoR projektu“)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="42E8B38B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ZoR projektu předkládá příjemce do </w:t>
            </w:r>
            <w:r w:rsidR="0030795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 kalendářních dnů po ukončení sledovaného období</w:t>
            </w:r>
            <w:r w:rsidR="00C6388C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="423DEB85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  <w:r w:rsidR="0030795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62E9583E" w14:textId="77777777" w:rsidR="00E85FC3" w:rsidRPr="00DA03BB" w:rsidRDefault="002614C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</w:t>
            </w:r>
            <w:r w:rsidR="00BB1644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plnění indikátorů.</w:t>
            </w:r>
          </w:p>
          <w:p w14:paraId="2CEB1CBD" w14:textId="77777777" w:rsidR="517DF6EC" w:rsidRPr="00DA03BB" w:rsidRDefault="002614C6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projektu NPO.</w:t>
            </w:r>
          </w:p>
          <w:p w14:paraId="52BA4CCF" w14:textId="77777777" w:rsidR="00997083" w:rsidRPr="00DA03BB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oznámit poskytovateli </w:t>
            </w:r>
            <w:r w:rsidR="00391AC6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jakoukoliv změnu 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="00BB1644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podporu před samotnou realizací této změny. V případě, že má změna vliv na podávanou ZŽoP/ZoR projektu</w:t>
            </w:r>
            <w:r w:rsidR="5355AD09" w:rsidRPr="00DA03BB">
              <w:rPr>
                <w:rFonts w:ascii="Arial" w:hAnsi="Arial" w:cs="Arial"/>
                <w:sz w:val="18"/>
                <w:szCs w:val="18"/>
              </w:rPr>
              <w:t>,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00DA03BB">
              <w:rPr>
                <w:rFonts w:ascii="Arial" w:hAnsi="Arial" w:cs="Arial"/>
                <w:sz w:val="18"/>
                <w:szCs w:val="18"/>
              </w:rPr>
              <w:t>před podáním této ZŽoP/ZoR projektu nejpozději s datem ukončení sledovaného období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>/</w:t>
            </w:r>
            <w:r w:rsidRPr="00DA03BB">
              <w:rPr>
                <w:rFonts w:ascii="Arial" w:hAnsi="Arial" w:cs="Arial"/>
                <w:sz w:val="18"/>
                <w:szCs w:val="18"/>
              </w:rPr>
              <w:t>projektu. V návaznosti na funkčnost systému je třeba, aby byla nejdříve schválena žádost o změnu a následně podána ZŽoP/ZoR projektu.</w:t>
            </w:r>
          </w:p>
          <w:p w14:paraId="50218C59" w14:textId="7311946E" w:rsidR="00147AE5" w:rsidRPr="00DA03BB" w:rsidRDefault="002614C6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="00C6388C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účelu, na který mu </w:t>
            </w:r>
            <w:r w:rsidR="00391AC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byly finanční prostředky poskytnuty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a prokázat, že indikátory </w:t>
            </w:r>
            <w:r w:rsidR="00F62504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uvedené ve</w:t>
            </w:r>
            <w:r w:rsidR="00391AC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216129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391AC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tanovení výdajů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byly naplněny v termínu </w:t>
            </w:r>
            <w:r w:rsidR="00F62504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uvedeném ve</w:t>
            </w:r>
            <w:r w:rsidR="00391AC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216129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391AC6"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tanovení výdajů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3212026E" w14:textId="77777777" w:rsidR="00E85FC3" w:rsidRPr="00DA03BB" w:rsidRDefault="002614C6" w:rsidP="006F6553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00DA03BB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centrální stav „Projekt finančně ukončen ze strany ŘO“, pokud je to z hlediska charakteru projektu možné a tuto skutečnost poskytovateli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>dokládat prostřednictvím pravidelných zpráv o udržitelnosti.</w:t>
            </w:r>
          </w:p>
          <w:p w14:paraId="77F41677" w14:textId="77777777" w:rsidR="0097568F" w:rsidRPr="00DA03BB" w:rsidRDefault="002614C6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6A0ED1A2" w14:textId="77777777" w:rsidR="00174E2B" w:rsidRPr="00DA03BB" w:rsidRDefault="002614C6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povede veškeré výdaje související s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finančními prostředky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v účetní evidenci odděleně s jednoznačnou analytikou. </w:t>
            </w:r>
          </w:p>
          <w:p w14:paraId="558D1E2C" w14:textId="77777777" w:rsidR="00174E2B" w:rsidRPr="00DA03BB" w:rsidRDefault="002614C6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</w:t>
            </w:r>
            <w:r w:rsidR="00BB1644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zadávání veřejných zakázek, a v souladu s Metodickým pokynem pro zadávací řízení pro Národní plán obnovy na období 2021-2026.</w:t>
            </w:r>
          </w:p>
          <w:p w14:paraId="21CB7486" w14:textId="77777777" w:rsidR="4134120B" w:rsidRPr="00DA03BB" w:rsidRDefault="002614C6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1541F9CC" w14:textId="77777777" w:rsidR="009E12B4" w:rsidRPr="00DA03BB" w:rsidRDefault="002614C6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DA03BB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DA03BB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DA03BB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DA03BB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00DA03BB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DA03BB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DA03BB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00DA03BB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00DA03BB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DA03BB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DA03BB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DA03BB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DA03BB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DA03BB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00DA03BB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DA03BB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1F18B4AB" w14:textId="77777777" w:rsidR="005F50AE" w:rsidRPr="00DA03BB" w:rsidRDefault="002614C6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souhlasí s prováděním </w:t>
            </w:r>
            <w:r w:rsidR="6F109599" w:rsidRPr="00DA03BB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DA03BB">
              <w:rPr>
                <w:rFonts w:ascii="Arial" w:hAnsi="Arial" w:cs="Arial"/>
                <w:sz w:val="18"/>
                <w:szCs w:val="18"/>
              </w:rPr>
              <w:t xml:space="preserve"> čerpání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poskytovatelem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>či jinými pověřenými osobami a s výkonem veřejnosprávních kontrol dle zákona č.</w:t>
            </w:r>
            <w:r w:rsidR="59D3182F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DA03BB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DA03BB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DA03BB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1D7C862" w14:textId="77777777" w:rsidR="00C24644" w:rsidRPr="00DA03BB" w:rsidRDefault="002614C6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souhlasí se zveřejněním svého jména/názvu, výše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poskytnutých 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>a dalších údajů uvedených v</w:t>
            </w:r>
            <w:r w:rsidR="59D3182F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žádosti.</w:t>
            </w:r>
          </w:p>
          <w:p w14:paraId="1E2F1D4A" w14:textId="77777777" w:rsidR="009E12B4" w:rsidRPr="00DA03BB" w:rsidRDefault="002614C6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lastRenderedPageBreak/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7373B512" w:rsidRPr="00DA03BB">
              <w:rPr>
                <w:rFonts w:ascii="Arial" w:hAnsi="Arial" w:cs="Arial"/>
                <w:sz w:val="18"/>
                <w:szCs w:val="18"/>
              </w:rPr>
              <w:t xml:space="preserve">uchovávat pro potřeby kontroly a archivace </w:t>
            </w:r>
            <w:r w:rsidRPr="00DA03BB">
              <w:rPr>
                <w:rFonts w:ascii="Arial" w:hAnsi="Arial" w:cs="Arial"/>
                <w:sz w:val="18"/>
                <w:szCs w:val="18"/>
              </w:rPr>
              <w:t>veškerou dokumentaci související s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> poskytnutými finančními prostředky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0835084" w14:textId="77777777" w:rsidR="005701D4" w:rsidRPr="00DA03BB" w:rsidRDefault="002614C6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DA03BB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realizace projektu je 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povinen informovat veřejnost o </w:t>
            </w:r>
            <w:r w:rsidR="00150220" w:rsidRPr="00DA03BB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DA03BB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DA03BB">
              <w:rPr>
                <w:rFonts w:ascii="Arial" w:hAnsi="Arial" w:cs="Arial"/>
                <w:sz w:val="18"/>
                <w:szCs w:val="18"/>
              </w:rPr>
              <w:t> RRF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18B48703" w14:textId="77777777" w:rsidR="00147AE5" w:rsidRPr="00DA03BB" w:rsidRDefault="002614C6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se zavazuje, že majetek, na jehož pořízení nebo zhodnocení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>byly poskytnuty finanční prostředky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, nepřevede do konce udržitelnosti na jinou právnickou nebo fyzickou osobu bez předchozího souhlasu poskytovatele </w:t>
            </w:r>
            <w:r w:rsidR="007A271E" w:rsidRPr="00DA03B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AC3443" w14:textId="77777777" w:rsidR="00154103" w:rsidRPr="00DA03BB" w:rsidRDefault="002614C6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Pokud příjemce </w:t>
            </w:r>
            <w:r w:rsidR="0057516F" w:rsidRPr="00DA03BB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zjistí, že nemůže dodržet </w:t>
            </w:r>
            <w:r w:rsidR="004E50DF" w:rsidRPr="00DA03BB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DA03BB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DA03BB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7A271E" w:rsidRPr="00DA03BB">
              <w:rPr>
                <w:rFonts w:ascii="Arial" w:hAnsi="Arial" w:cs="Arial"/>
                <w:sz w:val="18"/>
                <w:szCs w:val="18"/>
              </w:rPr>
              <w:t>S</w:t>
            </w:r>
            <w:r w:rsidR="006F6553" w:rsidRPr="00DA03BB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="009566B7"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DA03BB">
              <w:rPr>
                <w:rFonts w:ascii="Arial" w:hAnsi="Arial" w:cs="Arial"/>
                <w:sz w:val="18"/>
                <w:szCs w:val="18"/>
              </w:rPr>
              <w:t>ých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BB1644" w:rsidRPr="00DA03BB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části I. </w:t>
            </w:r>
            <w:r w:rsidR="006F6553" w:rsidRPr="00DA03BB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, neprodleně o tom informuje poskytovatele; v relevantním případě požádá o změnu </w:t>
            </w:r>
            <w:r w:rsidR="006F6553" w:rsidRPr="00DA03BB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E32AF76" w14:textId="77777777" w:rsidR="002953F6" w:rsidRDefault="002953F6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95B26" w14:paraId="5618665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5D81C2BB" w14:textId="77777777" w:rsidR="009E12B4" w:rsidRPr="00E268CD" w:rsidRDefault="002614C6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čerpání </w:t>
            </w:r>
            <w:r w:rsidR="006F6553">
              <w:rPr>
                <w:rFonts w:ascii="Arial" w:hAnsi="Arial" w:cs="Arial"/>
                <w:b/>
              </w:rPr>
              <w:t>finančních prostředků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795B26" w14:paraId="5B48E6D2" w14:textId="77777777" w:rsidTr="40FD4FE4">
        <w:tc>
          <w:tcPr>
            <w:tcW w:w="9356" w:type="dxa"/>
            <w:shd w:val="clear" w:color="auto" w:fill="auto"/>
          </w:tcPr>
          <w:p w14:paraId="011BBCE1" w14:textId="77777777" w:rsidR="00554FBD" w:rsidRPr="00554FBD" w:rsidRDefault="002614C6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</w:t>
            </w:r>
            <w:r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216129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poskytovatel </w:t>
            </w:r>
            <w:r w:rsidR="007A271E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F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inanční oprav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14:paraId="2029B4F8" w14:textId="77777777" w:rsidR="00554FBD" w:rsidRDefault="002614C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při nesplnění podmínek pod bodem 8 </w:t>
            </w:r>
            <w:r w:rsidR="000858EF" w:rsidRPr="517DF6EC">
              <w:rPr>
                <w:rFonts w:ascii="Arial" w:hAnsi="Arial" w:cs="Arial"/>
                <w:sz w:val="18"/>
                <w:szCs w:val="18"/>
              </w:rPr>
              <w:t>nebud</w:t>
            </w:r>
            <w:r w:rsidR="000858EF">
              <w:rPr>
                <w:rFonts w:ascii="Arial" w:hAnsi="Arial" w:cs="Arial"/>
                <w:sz w:val="18"/>
                <w:szCs w:val="18"/>
              </w:rPr>
              <w:t>ou</w:t>
            </w:r>
            <w:r w:rsidR="000858EF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8EF">
              <w:rPr>
                <w:rFonts w:ascii="Arial" w:hAnsi="Arial" w:cs="Arial"/>
                <w:sz w:val="18"/>
                <w:szCs w:val="18"/>
              </w:rPr>
              <w:t>finanční prostředky vyplaceny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plné výši;</w:t>
            </w:r>
          </w:p>
          <w:p w14:paraId="7B104E88" w14:textId="77777777" w:rsidR="00554FBD" w:rsidRPr="00554FBD" w:rsidRDefault="002614C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</w:t>
            </w:r>
            <w:r w:rsidR="000858EF">
              <w:rPr>
                <w:rFonts w:ascii="Arial" w:hAnsi="Arial" w:cs="Arial"/>
                <w:sz w:val="18"/>
                <w:szCs w:val="18"/>
              </w:rPr>
              <w:t>ou finanční prostředky vyplaceny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, případně nebude vyplacena část </w:t>
            </w:r>
            <w:r w:rsidR="000858E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40FD4FE4">
              <w:rPr>
                <w:rFonts w:ascii="Arial" w:hAnsi="Arial" w:cs="Arial"/>
                <w:sz w:val="18"/>
                <w:szCs w:val="18"/>
              </w:rPr>
              <w:t>použitá na financování předmětné zakázky podle typu porušení a sazeb finančních oprav dle Rozhodnutí komise C(2019) 3452 ze dne 14.5.2019 nebo případně novějšího.</w:t>
            </w:r>
          </w:p>
          <w:p w14:paraId="3BA1A4D7" w14:textId="77777777" w:rsidR="00554FBD" w:rsidRDefault="002614C6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</w:t>
            </w:r>
            <w:r w:rsidR="000858EF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0858EF"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poskytnuta v souvislosti s výběrovým/zadávacím řízením, u kterého se porušení pravidla vyskytlo. </w:t>
            </w:r>
          </w:p>
          <w:p w14:paraId="433D9DDA" w14:textId="77777777" w:rsidR="4134120B" w:rsidRDefault="002614C6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</w:t>
            </w:r>
          </w:p>
          <w:p w14:paraId="2DDD948E" w14:textId="77777777" w:rsidR="00554FBD" w:rsidRDefault="002614C6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nebo při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uplatněna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0" w:name="_Hlk90458541"/>
          </w:p>
          <w:bookmarkEnd w:id="0"/>
          <w:p w14:paraId="2898D5B1" w14:textId="77777777" w:rsidR="00783868" w:rsidRDefault="002614C6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0A4AB36E" w14:textId="77777777" w:rsidR="00554FBD" w:rsidRDefault="002614C6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stanovena sankce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dle příslušných právních předpisů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14A41427" w14:textId="77777777" w:rsidR="009E12B4" w:rsidRPr="00554FBD" w:rsidRDefault="002614C6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Stanovení výdajů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jejich pod</w:t>
            </w:r>
            <w:r w:rsidR="00A751A2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mínek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čerpání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finančních prostředků 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zjištěné po vyplacení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75A5CC58" w14:textId="77777777" w:rsid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Není-li uvedeno jinak, představuje porušení povinností uvedených v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Stanovení výdajů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749D444D" w14:textId="77777777" w:rsid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V případě, že 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B007B7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50523362" w14:textId="77777777" w:rsid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poskytovateli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či pověřenou osobou provádějící veřejnosprávní kontrolu. </w:t>
            </w:r>
          </w:p>
          <w:p w14:paraId="7C8A28B7" w14:textId="77777777" w:rsidR="009E12B4" w:rsidRPr="00D74CEA" w:rsidRDefault="002614C6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A87A6BD" w14:textId="77777777" w:rsidR="00B26B24" w:rsidRDefault="00B26B24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795B26" w14:paraId="70C3CA7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69949" w14:textId="77777777" w:rsidR="001445BC" w:rsidRPr="00F56B7A" w:rsidRDefault="002614C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7B7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E4540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79C694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16003FCD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A5779" w14:textId="77777777" w:rsidR="001445BC" w:rsidRPr="00F56B7A" w:rsidRDefault="002614C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1B4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46A9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96E7C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3D5EB078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C4A2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59A39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7D8A77A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D915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27B4CF35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4C5F4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04B2417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B46957" w14:textId="77777777" w:rsidR="00E32907" w:rsidRPr="00F56B7A" w:rsidRDefault="002614C6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022" w14:textId="77777777" w:rsidR="00DD5D6F" w:rsidRPr="00F56B7A" w:rsidRDefault="002614C6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105854AB" w14:textId="77777777" w:rsidR="00DD5D6F" w:rsidRPr="00F56B7A" w:rsidRDefault="002614C6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795B26" w14:paraId="1111550A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DE8BD" w14:textId="77777777" w:rsidR="00E32907" w:rsidRPr="00F56B7A" w:rsidRDefault="002614C6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Schválil:</w:t>
            </w:r>
          </w:p>
          <w:p w14:paraId="1F567540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CE2E1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EF8A84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42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B26" w14:paraId="2963B9BF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F82C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8BE13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9D8B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8B1A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D98DB4" w14:textId="77777777" w:rsidR="001445BC" w:rsidRPr="005369AA" w:rsidRDefault="001445BC" w:rsidP="00147AE5">
      <w:pPr>
        <w:autoSpaceDE w:val="0"/>
        <w:autoSpaceDN w:val="0"/>
        <w:adjustRightInd w:val="0"/>
        <w:rPr>
          <w:sz w:val="8"/>
          <w:szCs w:val="8"/>
        </w:rPr>
      </w:pPr>
    </w:p>
    <w:sectPr w:rsidR="001445BC" w:rsidRPr="005369AA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6B4F" w14:textId="77777777" w:rsidR="00B06A97" w:rsidRDefault="002614C6">
      <w:r>
        <w:separator/>
      </w:r>
    </w:p>
  </w:endnote>
  <w:endnote w:type="continuationSeparator" w:id="0">
    <w:p w14:paraId="03FC358A" w14:textId="77777777" w:rsidR="00B06A97" w:rsidRDefault="002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DD06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716BA36E" w14:textId="77777777" w:rsidR="00B26B24" w:rsidRDefault="00B26B24" w:rsidP="00B26B24">
    <w:pPr>
      <w:pStyle w:val="Zpat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>
      <w:rPr>
        <w:b/>
        <w:bCs/>
        <w:color w:val="002060"/>
      </w:rPr>
      <w:t>PRŮBĚŽNÁ VÝZVA Č. 1 – Metodická podpora a modernizace veřejného zadávání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5026FD67" w14:textId="6F25D8BB" w:rsidR="009A57CB" w:rsidRPr="00985DF8" w:rsidRDefault="009A57CB" w:rsidP="00985DF8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30DF" w14:textId="77777777" w:rsidR="00B06A97" w:rsidRDefault="002614C6">
      <w:r>
        <w:separator/>
      </w:r>
    </w:p>
  </w:footnote>
  <w:footnote w:type="continuationSeparator" w:id="0">
    <w:p w14:paraId="59F8FABB" w14:textId="77777777" w:rsidR="00B06A97" w:rsidRDefault="0026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30AB" w14:textId="77777777" w:rsidR="00C955E1" w:rsidRDefault="002614C6">
    <w:pPr>
      <w:pStyle w:val="Zhlav"/>
    </w:pPr>
    <w:r>
      <w:rPr>
        <w:noProof/>
      </w:rPr>
      <w:drawing>
        <wp:inline distT="0" distB="0" distL="0" distR="0" wp14:anchorId="11E6C146" wp14:editId="5C915F96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9571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FE9F6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28D6F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05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CF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E6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05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6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03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E7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CDC479E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B5E8040" w:tentative="1">
      <w:start w:val="1"/>
      <w:numFmt w:val="lowerLetter"/>
      <w:lvlText w:val="%2."/>
      <w:lvlJc w:val="left"/>
      <w:pPr>
        <w:ind w:left="1440" w:hanging="360"/>
      </w:pPr>
    </w:lvl>
    <w:lvl w:ilvl="2" w:tplc="7C5650B4" w:tentative="1">
      <w:start w:val="1"/>
      <w:numFmt w:val="lowerRoman"/>
      <w:lvlText w:val="%3."/>
      <w:lvlJc w:val="right"/>
      <w:pPr>
        <w:ind w:left="2160" w:hanging="180"/>
      </w:pPr>
    </w:lvl>
    <w:lvl w:ilvl="3" w:tplc="95EABFEC" w:tentative="1">
      <w:start w:val="1"/>
      <w:numFmt w:val="decimal"/>
      <w:lvlText w:val="%4."/>
      <w:lvlJc w:val="left"/>
      <w:pPr>
        <w:ind w:left="2880" w:hanging="360"/>
      </w:pPr>
    </w:lvl>
    <w:lvl w:ilvl="4" w:tplc="478E9DD0" w:tentative="1">
      <w:start w:val="1"/>
      <w:numFmt w:val="lowerLetter"/>
      <w:lvlText w:val="%5."/>
      <w:lvlJc w:val="left"/>
      <w:pPr>
        <w:ind w:left="3600" w:hanging="360"/>
      </w:pPr>
    </w:lvl>
    <w:lvl w:ilvl="5" w:tplc="AB0C6BD6" w:tentative="1">
      <w:start w:val="1"/>
      <w:numFmt w:val="lowerRoman"/>
      <w:lvlText w:val="%6."/>
      <w:lvlJc w:val="right"/>
      <w:pPr>
        <w:ind w:left="4320" w:hanging="180"/>
      </w:pPr>
    </w:lvl>
    <w:lvl w:ilvl="6" w:tplc="6AEAF79A" w:tentative="1">
      <w:start w:val="1"/>
      <w:numFmt w:val="decimal"/>
      <w:lvlText w:val="%7."/>
      <w:lvlJc w:val="left"/>
      <w:pPr>
        <w:ind w:left="5040" w:hanging="360"/>
      </w:pPr>
    </w:lvl>
    <w:lvl w:ilvl="7" w:tplc="7F6265BC" w:tentative="1">
      <w:start w:val="1"/>
      <w:numFmt w:val="lowerLetter"/>
      <w:lvlText w:val="%8."/>
      <w:lvlJc w:val="left"/>
      <w:pPr>
        <w:ind w:left="5760" w:hanging="360"/>
      </w:pPr>
    </w:lvl>
    <w:lvl w:ilvl="8" w:tplc="3C644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B7142B2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BDA6161A">
      <w:start w:val="1"/>
      <w:numFmt w:val="lowerLetter"/>
      <w:lvlText w:val="%2."/>
      <w:lvlJc w:val="left"/>
      <w:pPr>
        <w:ind w:left="1080" w:hanging="360"/>
      </w:pPr>
    </w:lvl>
    <w:lvl w:ilvl="2" w:tplc="6BECDD72">
      <w:start w:val="1"/>
      <w:numFmt w:val="lowerRoman"/>
      <w:lvlText w:val="%3."/>
      <w:lvlJc w:val="right"/>
      <w:pPr>
        <w:ind w:left="1800" w:hanging="180"/>
      </w:pPr>
    </w:lvl>
    <w:lvl w:ilvl="3" w:tplc="DD000934">
      <w:start w:val="1"/>
      <w:numFmt w:val="decimal"/>
      <w:lvlText w:val="%4."/>
      <w:lvlJc w:val="left"/>
      <w:pPr>
        <w:ind w:left="2520" w:hanging="360"/>
      </w:pPr>
    </w:lvl>
    <w:lvl w:ilvl="4" w:tplc="4D68ED50">
      <w:start w:val="1"/>
      <w:numFmt w:val="lowerLetter"/>
      <w:lvlText w:val="%5."/>
      <w:lvlJc w:val="left"/>
      <w:pPr>
        <w:ind w:left="3240" w:hanging="360"/>
      </w:pPr>
    </w:lvl>
    <w:lvl w:ilvl="5" w:tplc="D12ACBF6">
      <w:start w:val="1"/>
      <w:numFmt w:val="lowerRoman"/>
      <w:lvlText w:val="%6."/>
      <w:lvlJc w:val="right"/>
      <w:pPr>
        <w:ind w:left="3960" w:hanging="180"/>
      </w:pPr>
    </w:lvl>
    <w:lvl w:ilvl="6" w:tplc="18885A02">
      <w:start w:val="1"/>
      <w:numFmt w:val="decimal"/>
      <w:lvlText w:val="%7."/>
      <w:lvlJc w:val="left"/>
      <w:pPr>
        <w:ind w:left="4680" w:hanging="360"/>
      </w:pPr>
    </w:lvl>
    <w:lvl w:ilvl="7" w:tplc="5D26FB2A">
      <w:start w:val="1"/>
      <w:numFmt w:val="lowerLetter"/>
      <w:lvlText w:val="%8."/>
      <w:lvlJc w:val="left"/>
      <w:pPr>
        <w:ind w:left="5400" w:hanging="360"/>
      </w:pPr>
    </w:lvl>
    <w:lvl w:ilvl="8" w:tplc="33327B4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90A20F84"/>
    <w:lvl w:ilvl="0" w:tplc="F38CE5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D13EB67E">
      <w:start w:val="1"/>
      <w:numFmt w:val="lowerLetter"/>
      <w:lvlText w:val="%2."/>
      <w:lvlJc w:val="left"/>
      <w:pPr>
        <w:ind w:left="1440" w:hanging="360"/>
      </w:pPr>
    </w:lvl>
    <w:lvl w:ilvl="2" w:tplc="B01A7EFE">
      <w:start w:val="1"/>
      <w:numFmt w:val="lowerRoman"/>
      <w:lvlText w:val="%3."/>
      <w:lvlJc w:val="right"/>
      <w:pPr>
        <w:ind w:left="2160" w:hanging="180"/>
      </w:pPr>
    </w:lvl>
    <w:lvl w:ilvl="3" w:tplc="7B2823EA">
      <w:start w:val="1"/>
      <w:numFmt w:val="decimal"/>
      <w:lvlText w:val="%4."/>
      <w:lvlJc w:val="left"/>
      <w:pPr>
        <w:ind w:left="2880" w:hanging="360"/>
      </w:pPr>
    </w:lvl>
    <w:lvl w:ilvl="4" w:tplc="45509288">
      <w:start w:val="1"/>
      <w:numFmt w:val="lowerLetter"/>
      <w:lvlText w:val="%5."/>
      <w:lvlJc w:val="left"/>
      <w:pPr>
        <w:ind w:left="3600" w:hanging="360"/>
      </w:pPr>
    </w:lvl>
    <w:lvl w:ilvl="5" w:tplc="01AEB8C0">
      <w:start w:val="1"/>
      <w:numFmt w:val="lowerRoman"/>
      <w:lvlText w:val="%6."/>
      <w:lvlJc w:val="right"/>
      <w:pPr>
        <w:ind w:left="4320" w:hanging="180"/>
      </w:pPr>
    </w:lvl>
    <w:lvl w:ilvl="6" w:tplc="25FED74A">
      <w:start w:val="1"/>
      <w:numFmt w:val="decimal"/>
      <w:lvlText w:val="%7."/>
      <w:lvlJc w:val="left"/>
      <w:pPr>
        <w:ind w:left="5040" w:hanging="360"/>
      </w:pPr>
    </w:lvl>
    <w:lvl w:ilvl="7" w:tplc="D736B8DE">
      <w:start w:val="1"/>
      <w:numFmt w:val="lowerLetter"/>
      <w:lvlText w:val="%8."/>
      <w:lvlJc w:val="left"/>
      <w:pPr>
        <w:ind w:left="5760" w:hanging="360"/>
      </w:pPr>
    </w:lvl>
    <w:lvl w:ilvl="8" w:tplc="CACA3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29B4443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55AE87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061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5C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10F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D72E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A86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E4E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E4C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A2E48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2F94BEA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62B29F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202CB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37AFF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122CD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1E690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37ABE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C03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CC813A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97E79BA" w:tentative="1">
      <w:start w:val="1"/>
      <w:numFmt w:val="lowerLetter"/>
      <w:lvlText w:val="%2."/>
      <w:lvlJc w:val="left"/>
      <w:pPr>
        <w:ind w:left="1440" w:hanging="360"/>
      </w:pPr>
    </w:lvl>
    <w:lvl w:ilvl="2" w:tplc="5EAE99E8" w:tentative="1">
      <w:start w:val="1"/>
      <w:numFmt w:val="lowerRoman"/>
      <w:lvlText w:val="%3."/>
      <w:lvlJc w:val="right"/>
      <w:pPr>
        <w:ind w:left="2160" w:hanging="180"/>
      </w:pPr>
    </w:lvl>
    <w:lvl w:ilvl="3" w:tplc="F1584BE2" w:tentative="1">
      <w:start w:val="1"/>
      <w:numFmt w:val="decimal"/>
      <w:lvlText w:val="%4."/>
      <w:lvlJc w:val="left"/>
      <w:pPr>
        <w:ind w:left="2880" w:hanging="360"/>
      </w:pPr>
    </w:lvl>
    <w:lvl w:ilvl="4" w:tplc="6ECCE4CA" w:tentative="1">
      <w:start w:val="1"/>
      <w:numFmt w:val="lowerLetter"/>
      <w:lvlText w:val="%5."/>
      <w:lvlJc w:val="left"/>
      <w:pPr>
        <w:ind w:left="3600" w:hanging="360"/>
      </w:pPr>
    </w:lvl>
    <w:lvl w:ilvl="5" w:tplc="9E769766" w:tentative="1">
      <w:start w:val="1"/>
      <w:numFmt w:val="lowerRoman"/>
      <w:lvlText w:val="%6."/>
      <w:lvlJc w:val="right"/>
      <w:pPr>
        <w:ind w:left="4320" w:hanging="180"/>
      </w:pPr>
    </w:lvl>
    <w:lvl w:ilvl="6" w:tplc="AB4042C2" w:tentative="1">
      <w:start w:val="1"/>
      <w:numFmt w:val="decimal"/>
      <w:lvlText w:val="%7."/>
      <w:lvlJc w:val="left"/>
      <w:pPr>
        <w:ind w:left="5040" w:hanging="360"/>
      </w:pPr>
    </w:lvl>
    <w:lvl w:ilvl="7" w:tplc="9F9A810A" w:tentative="1">
      <w:start w:val="1"/>
      <w:numFmt w:val="lowerLetter"/>
      <w:lvlText w:val="%8."/>
      <w:lvlJc w:val="left"/>
      <w:pPr>
        <w:ind w:left="5760" w:hanging="360"/>
      </w:pPr>
    </w:lvl>
    <w:lvl w:ilvl="8" w:tplc="C89C7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3010609C">
      <w:start w:val="1"/>
      <w:numFmt w:val="upperRoman"/>
      <w:lvlText w:val="%1."/>
      <w:lvlJc w:val="right"/>
      <w:pPr>
        <w:ind w:left="720" w:hanging="360"/>
      </w:pPr>
    </w:lvl>
    <w:lvl w:ilvl="1" w:tplc="C3926A6A" w:tentative="1">
      <w:start w:val="1"/>
      <w:numFmt w:val="lowerLetter"/>
      <w:lvlText w:val="%2."/>
      <w:lvlJc w:val="left"/>
      <w:pPr>
        <w:ind w:left="1440" w:hanging="360"/>
      </w:pPr>
    </w:lvl>
    <w:lvl w:ilvl="2" w:tplc="F3768886" w:tentative="1">
      <w:start w:val="1"/>
      <w:numFmt w:val="lowerRoman"/>
      <w:lvlText w:val="%3."/>
      <w:lvlJc w:val="right"/>
      <w:pPr>
        <w:ind w:left="2160" w:hanging="180"/>
      </w:pPr>
    </w:lvl>
    <w:lvl w:ilvl="3" w:tplc="1F06B0B8" w:tentative="1">
      <w:start w:val="1"/>
      <w:numFmt w:val="decimal"/>
      <w:lvlText w:val="%4."/>
      <w:lvlJc w:val="left"/>
      <w:pPr>
        <w:ind w:left="2880" w:hanging="360"/>
      </w:pPr>
    </w:lvl>
    <w:lvl w:ilvl="4" w:tplc="21B8E13A" w:tentative="1">
      <w:start w:val="1"/>
      <w:numFmt w:val="lowerLetter"/>
      <w:lvlText w:val="%5."/>
      <w:lvlJc w:val="left"/>
      <w:pPr>
        <w:ind w:left="3600" w:hanging="360"/>
      </w:pPr>
    </w:lvl>
    <w:lvl w:ilvl="5" w:tplc="24BED028" w:tentative="1">
      <w:start w:val="1"/>
      <w:numFmt w:val="lowerRoman"/>
      <w:lvlText w:val="%6."/>
      <w:lvlJc w:val="right"/>
      <w:pPr>
        <w:ind w:left="4320" w:hanging="180"/>
      </w:pPr>
    </w:lvl>
    <w:lvl w:ilvl="6" w:tplc="2D5A35C2" w:tentative="1">
      <w:start w:val="1"/>
      <w:numFmt w:val="decimal"/>
      <w:lvlText w:val="%7."/>
      <w:lvlJc w:val="left"/>
      <w:pPr>
        <w:ind w:left="5040" w:hanging="360"/>
      </w:pPr>
    </w:lvl>
    <w:lvl w:ilvl="7" w:tplc="A0CC2342" w:tentative="1">
      <w:start w:val="1"/>
      <w:numFmt w:val="lowerLetter"/>
      <w:lvlText w:val="%8."/>
      <w:lvlJc w:val="left"/>
      <w:pPr>
        <w:ind w:left="5760" w:hanging="360"/>
      </w:pPr>
    </w:lvl>
    <w:lvl w:ilvl="8" w:tplc="E45C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A5681CDC">
      <w:start w:val="1"/>
      <w:numFmt w:val="decimal"/>
      <w:lvlText w:val="%1."/>
      <w:lvlJc w:val="left"/>
      <w:pPr>
        <w:ind w:left="720" w:hanging="360"/>
      </w:pPr>
    </w:lvl>
    <w:lvl w:ilvl="1" w:tplc="A0DA646A">
      <w:start w:val="1"/>
      <w:numFmt w:val="lowerLetter"/>
      <w:lvlText w:val="%2."/>
      <w:lvlJc w:val="left"/>
      <w:pPr>
        <w:ind w:left="1440" w:hanging="360"/>
      </w:pPr>
    </w:lvl>
    <w:lvl w:ilvl="2" w:tplc="A6E08698">
      <w:start w:val="1"/>
      <w:numFmt w:val="lowerRoman"/>
      <w:lvlText w:val="%3."/>
      <w:lvlJc w:val="right"/>
      <w:pPr>
        <w:ind w:left="2160" w:hanging="180"/>
      </w:pPr>
    </w:lvl>
    <w:lvl w:ilvl="3" w:tplc="D8F84D2A">
      <w:start w:val="1"/>
      <w:numFmt w:val="decimal"/>
      <w:lvlText w:val="%4."/>
      <w:lvlJc w:val="left"/>
      <w:pPr>
        <w:ind w:left="2880" w:hanging="360"/>
      </w:pPr>
    </w:lvl>
    <w:lvl w:ilvl="4" w:tplc="B3321038">
      <w:start w:val="1"/>
      <w:numFmt w:val="lowerLetter"/>
      <w:lvlText w:val="%5."/>
      <w:lvlJc w:val="left"/>
      <w:pPr>
        <w:ind w:left="3600" w:hanging="360"/>
      </w:pPr>
    </w:lvl>
    <w:lvl w:ilvl="5" w:tplc="976220E4">
      <w:start w:val="1"/>
      <w:numFmt w:val="lowerRoman"/>
      <w:lvlText w:val="%6."/>
      <w:lvlJc w:val="right"/>
      <w:pPr>
        <w:ind w:left="4320" w:hanging="180"/>
      </w:pPr>
    </w:lvl>
    <w:lvl w:ilvl="6" w:tplc="3C4EE7F6">
      <w:start w:val="1"/>
      <w:numFmt w:val="decimal"/>
      <w:lvlText w:val="%7."/>
      <w:lvlJc w:val="left"/>
      <w:pPr>
        <w:ind w:left="5040" w:hanging="360"/>
      </w:pPr>
    </w:lvl>
    <w:lvl w:ilvl="7" w:tplc="8BF4A67C">
      <w:start w:val="1"/>
      <w:numFmt w:val="lowerLetter"/>
      <w:lvlText w:val="%8."/>
      <w:lvlJc w:val="left"/>
      <w:pPr>
        <w:ind w:left="5760" w:hanging="360"/>
      </w:pPr>
    </w:lvl>
    <w:lvl w:ilvl="8" w:tplc="8570BD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D4008A2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827C33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20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C3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20B9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2C4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90E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9AE6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46C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A3B4CC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01C5D2A" w:tentative="1">
      <w:start w:val="1"/>
      <w:numFmt w:val="lowerLetter"/>
      <w:lvlText w:val="%2."/>
      <w:lvlJc w:val="left"/>
      <w:pPr>
        <w:ind w:left="1440" w:hanging="360"/>
      </w:pPr>
    </w:lvl>
    <w:lvl w:ilvl="2" w:tplc="9098891A" w:tentative="1">
      <w:start w:val="1"/>
      <w:numFmt w:val="lowerRoman"/>
      <w:lvlText w:val="%3."/>
      <w:lvlJc w:val="right"/>
      <w:pPr>
        <w:ind w:left="2160" w:hanging="180"/>
      </w:pPr>
    </w:lvl>
    <w:lvl w:ilvl="3" w:tplc="4F68BC78" w:tentative="1">
      <w:start w:val="1"/>
      <w:numFmt w:val="decimal"/>
      <w:lvlText w:val="%4."/>
      <w:lvlJc w:val="left"/>
      <w:pPr>
        <w:ind w:left="2880" w:hanging="360"/>
      </w:pPr>
    </w:lvl>
    <w:lvl w:ilvl="4" w:tplc="C8C8558A" w:tentative="1">
      <w:start w:val="1"/>
      <w:numFmt w:val="lowerLetter"/>
      <w:lvlText w:val="%5."/>
      <w:lvlJc w:val="left"/>
      <w:pPr>
        <w:ind w:left="3600" w:hanging="360"/>
      </w:pPr>
    </w:lvl>
    <w:lvl w:ilvl="5" w:tplc="F2DC9568" w:tentative="1">
      <w:start w:val="1"/>
      <w:numFmt w:val="lowerRoman"/>
      <w:lvlText w:val="%6."/>
      <w:lvlJc w:val="right"/>
      <w:pPr>
        <w:ind w:left="4320" w:hanging="180"/>
      </w:pPr>
    </w:lvl>
    <w:lvl w:ilvl="6" w:tplc="41A0F05A" w:tentative="1">
      <w:start w:val="1"/>
      <w:numFmt w:val="decimal"/>
      <w:lvlText w:val="%7."/>
      <w:lvlJc w:val="left"/>
      <w:pPr>
        <w:ind w:left="5040" w:hanging="360"/>
      </w:pPr>
    </w:lvl>
    <w:lvl w:ilvl="7" w:tplc="65527BD0" w:tentative="1">
      <w:start w:val="1"/>
      <w:numFmt w:val="lowerLetter"/>
      <w:lvlText w:val="%8."/>
      <w:lvlJc w:val="left"/>
      <w:pPr>
        <w:ind w:left="5760" w:hanging="360"/>
      </w:pPr>
    </w:lvl>
    <w:lvl w:ilvl="8" w:tplc="6E8ED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5250447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C84DF0C" w:tentative="1">
      <w:start w:val="1"/>
      <w:numFmt w:val="lowerLetter"/>
      <w:lvlText w:val="%2."/>
      <w:lvlJc w:val="left"/>
      <w:pPr>
        <w:ind w:left="1440" w:hanging="360"/>
      </w:pPr>
    </w:lvl>
    <w:lvl w:ilvl="2" w:tplc="675815D4" w:tentative="1">
      <w:start w:val="1"/>
      <w:numFmt w:val="lowerRoman"/>
      <w:lvlText w:val="%3."/>
      <w:lvlJc w:val="right"/>
      <w:pPr>
        <w:ind w:left="2160" w:hanging="180"/>
      </w:pPr>
    </w:lvl>
    <w:lvl w:ilvl="3" w:tplc="BE507B0C" w:tentative="1">
      <w:start w:val="1"/>
      <w:numFmt w:val="decimal"/>
      <w:lvlText w:val="%4."/>
      <w:lvlJc w:val="left"/>
      <w:pPr>
        <w:ind w:left="2880" w:hanging="360"/>
      </w:pPr>
    </w:lvl>
    <w:lvl w:ilvl="4" w:tplc="DD827180" w:tentative="1">
      <w:start w:val="1"/>
      <w:numFmt w:val="lowerLetter"/>
      <w:lvlText w:val="%5."/>
      <w:lvlJc w:val="left"/>
      <w:pPr>
        <w:ind w:left="3600" w:hanging="360"/>
      </w:pPr>
    </w:lvl>
    <w:lvl w:ilvl="5" w:tplc="A31CF8C8" w:tentative="1">
      <w:start w:val="1"/>
      <w:numFmt w:val="lowerRoman"/>
      <w:lvlText w:val="%6."/>
      <w:lvlJc w:val="right"/>
      <w:pPr>
        <w:ind w:left="4320" w:hanging="180"/>
      </w:pPr>
    </w:lvl>
    <w:lvl w:ilvl="6" w:tplc="B74A395E" w:tentative="1">
      <w:start w:val="1"/>
      <w:numFmt w:val="decimal"/>
      <w:lvlText w:val="%7."/>
      <w:lvlJc w:val="left"/>
      <w:pPr>
        <w:ind w:left="5040" w:hanging="360"/>
      </w:pPr>
    </w:lvl>
    <w:lvl w:ilvl="7" w:tplc="53CAF9A0" w:tentative="1">
      <w:start w:val="1"/>
      <w:numFmt w:val="lowerLetter"/>
      <w:lvlText w:val="%8."/>
      <w:lvlJc w:val="left"/>
      <w:pPr>
        <w:ind w:left="5760" w:hanging="360"/>
      </w:pPr>
    </w:lvl>
    <w:lvl w:ilvl="8" w:tplc="35FC8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78EFFA">
      <w:start w:val="1"/>
      <w:numFmt w:val="lowerLetter"/>
      <w:lvlText w:val="%1)"/>
      <w:lvlJc w:val="left"/>
      <w:pPr>
        <w:ind w:left="720" w:hanging="360"/>
      </w:pPr>
    </w:lvl>
    <w:lvl w:ilvl="1" w:tplc="094C2288" w:tentative="1">
      <w:start w:val="1"/>
      <w:numFmt w:val="lowerLetter"/>
      <w:lvlText w:val="%2."/>
      <w:lvlJc w:val="left"/>
      <w:pPr>
        <w:ind w:left="1440" w:hanging="360"/>
      </w:pPr>
    </w:lvl>
    <w:lvl w:ilvl="2" w:tplc="19D0B72A" w:tentative="1">
      <w:start w:val="1"/>
      <w:numFmt w:val="lowerRoman"/>
      <w:lvlText w:val="%3."/>
      <w:lvlJc w:val="right"/>
      <w:pPr>
        <w:ind w:left="2160" w:hanging="180"/>
      </w:pPr>
    </w:lvl>
    <w:lvl w:ilvl="3" w:tplc="3FA4D57C" w:tentative="1">
      <w:start w:val="1"/>
      <w:numFmt w:val="decimal"/>
      <w:lvlText w:val="%4."/>
      <w:lvlJc w:val="left"/>
      <w:pPr>
        <w:ind w:left="2880" w:hanging="360"/>
      </w:pPr>
    </w:lvl>
    <w:lvl w:ilvl="4" w:tplc="8FBCC864" w:tentative="1">
      <w:start w:val="1"/>
      <w:numFmt w:val="lowerLetter"/>
      <w:lvlText w:val="%5."/>
      <w:lvlJc w:val="left"/>
      <w:pPr>
        <w:ind w:left="3600" w:hanging="360"/>
      </w:pPr>
    </w:lvl>
    <w:lvl w:ilvl="5" w:tplc="44F6175A" w:tentative="1">
      <w:start w:val="1"/>
      <w:numFmt w:val="lowerRoman"/>
      <w:lvlText w:val="%6."/>
      <w:lvlJc w:val="right"/>
      <w:pPr>
        <w:ind w:left="4320" w:hanging="180"/>
      </w:pPr>
    </w:lvl>
    <w:lvl w:ilvl="6" w:tplc="359637D6" w:tentative="1">
      <w:start w:val="1"/>
      <w:numFmt w:val="decimal"/>
      <w:lvlText w:val="%7."/>
      <w:lvlJc w:val="left"/>
      <w:pPr>
        <w:ind w:left="5040" w:hanging="360"/>
      </w:pPr>
    </w:lvl>
    <w:lvl w:ilvl="7" w:tplc="75BE9362" w:tentative="1">
      <w:start w:val="1"/>
      <w:numFmt w:val="lowerLetter"/>
      <w:lvlText w:val="%8."/>
      <w:lvlJc w:val="left"/>
      <w:pPr>
        <w:ind w:left="5760" w:hanging="360"/>
      </w:pPr>
    </w:lvl>
    <w:lvl w:ilvl="8" w:tplc="B7C0E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66CC296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E167ED6" w:tentative="1">
      <w:start w:val="1"/>
      <w:numFmt w:val="lowerLetter"/>
      <w:lvlText w:val="%2."/>
      <w:lvlJc w:val="left"/>
      <w:pPr>
        <w:ind w:left="1440" w:hanging="360"/>
      </w:pPr>
    </w:lvl>
    <w:lvl w:ilvl="2" w:tplc="61E2913C" w:tentative="1">
      <w:start w:val="1"/>
      <w:numFmt w:val="lowerRoman"/>
      <w:lvlText w:val="%3."/>
      <w:lvlJc w:val="right"/>
      <w:pPr>
        <w:ind w:left="2160" w:hanging="180"/>
      </w:pPr>
    </w:lvl>
    <w:lvl w:ilvl="3" w:tplc="420076BE" w:tentative="1">
      <w:start w:val="1"/>
      <w:numFmt w:val="decimal"/>
      <w:lvlText w:val="%4."/>
      <w:lvlJc w:val="left"/>
      <w:pPr>
        <w:ind w:left="2880" w:hanging="360"/>
      </w:pPr>
    </w:lvl>
    <w:lvl w:ilvl="4" w:tplc="DA101572" w:tentative="1">
      <w:start w:val="1"/>
      <w:numFmt w:val="lowerLetter"/>
      <w:lvlText w:val="%5."/>
      <w:lvlJc w:val="left"/>
      <w:pPr>
        <w:ind w:left="3600" w:hanging="360"/>
      </w:pPr>
    </w:lvl>
    <w:lvl w:ilvl="5" w:tplc="14EE5D66" w:tentative="1">
      <w:start w:val="1"/>
      <w:numFmt w:val="lowerRoman"/>
      <w:lvlText w:val="%6."/>
      <w:lvlJc w:val="right"/>
      <w:pPr>
        <w:ind w:left="4320" w:hanging="180"/>
      </w:pPr>
    </w:lvl>
    <w:lvl w:ilvl="6" w:tplc="6F52F88A" w:tentative="1">
      <w:start w:val="1"/>
      <w:numFmt w:val="decimal"/>
      <w:lvlText w:val="%7."/>
      <w:lvlJc w:val="left"/>
      <w:pPr>
        <w:ind w:left="5040" w:hanging="360"/>
      </w:pPr>
    </w:lvl>
    <w:lvl w:ilvl="7" w:tplc="8A42869A" w:tentative="1">
      <w:start w:val="1"/>
      <w:numFmt w:val="lowerLetter"/>
      <w:lvlText w:val="%8."/>
      <w:lvlJc w:val="left"/>
      <w:pPr>
        <w:ind w:left="5760" w:hanging="360"/>
      </w:pPr>
    </w:lvl>
    <w:lvl w:ilvl="8" w:tplc="5D24A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C660F782">
      <w:start w:val="1"/>
      <w:numFmt w:val="upperRoman"/>
      <w:lvlText w:val="%1."/>
      <w:lvlJc w:val="right"/>
      <w:pPr>
        <w:ind w:left="720" w:hanging="360"/>
      </w:pPr>
    </w:lvl>
    <w:lvl w:ilvl="1" w:tplc="EB1E6C26" w:tentative="1">
      <w:start w:val="1"/>
      <w:numFmt w:val="lowerLetter"/>
      <w:lvlText w:val="%2."/>
      <w:lvlJc w:val="left"/>
      <w:pPr>
        <w:ind w:left="1440" w:hanging="360"/>
      </w:pPr>
    </w:lvl>
    <w:lvl w:ilvl="2" w:tplc="8020EBDA" w:tentative="1">
      <w:start w:val="1"/>
      <w:numFmt w:val="lowerRoman"/>
      <w:lvlText w:val="%3."/>
      <w:lvlJc w:val="right"/>
      <w:pPr>
        <w:ind w:left="2160" w:hanging="180"/>
      </w:pPr>
    </w:lvl>
    <w:lvl w:ilvl="3" w:tplc="A614BF08" w:tentative="1">
      <w:start w:val="1"/>
      <w:numFmt w:val="decimal"/>
      <w:lvlText w:val="%4."/>
      <w:lvlJc w:val="left"/>
      <w:pPr>
        <w:ind w:left="2880" w:hanging="360"/>
      </w:pPr>
    </w:lvl>
    <w:lvl w:ilvl="4" w:tplc="3F62F60C" w:tentative="1">
      <w:start w:val="1"/>
      <w:numFmt w:val="lowerLetter"/>
      <w:lvlText w:val="%5."/>
      <w:lvlJc w:val="left"/>
      <w:pPr>
        <w:ind w:left="3600" w:hanging="360"/>
      </w:pPr>
    </w:lvl>
    <w:lvl w:ilvl="5" w:tplc="E452D7D0" w:tentative="1">
      <w:start w:val="1"/>
      <w:numFmt w:val="lowerRoman"/>
      <w:lvlText w:val="%6."/>
      <w:lvlJc w:val="right"/>
      <w:pPr>
        <w:ind w:left="4320" w:hanging="180"/>
      </w:pPr>
    </w:lvl>
    <w:lvl w:ilvl="6" w:tplc="FCDE5900" w:tentative="1">
      <w:start w:val="1"/>
      <w:numFmt w:val="decimal"/>
      <w:lvlText w:val="%7."/>
      <w:lvlJc w:val="left"/>
      <w:pPr>
        <w:ind w:left="5040" w:hanging="360"/>
      </w:pPr>
    </w:lvl>
    <w:lvl w:ilvl="7" w:tplc="E598B84E" w:tentative="1">
      <w:start w:val="1"/>
      <w:numFmt w:val="lowerLetter"/>
      <w:lvlText w:val="%8."/>
      <w:lvlJc w:val="left"/>
      <w:pPr>
        <w:ind w:left="5760" w:hanging="360"/>
      </w:pPr>
    </w:lvl>
    <w:lvl w:ilvl="8" w:tplc="228EF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7A3E3CD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55B0C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24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EB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EC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61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B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EC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E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7C78AF30">
      <w:start w:val="1"/>
      <w:numFmt w:val="lowerLetter"/>
      <w:lvlText w:val="%1."/>
      <w:lvlJc w:val="left"/>
      <w:pPr>
        <w:ind w:left="1440" w:hanging="360"/>
      </w:pPr>
    </w:lvl>
    <w:lvl w:ilvl="1" w:tplc="7298CBC4" w:tentative="1">
      <w:start w:val="1"/>
      <w:numFmt w:val="lowerLetter"/>
      <w:lvlText w:val="%2."/>
      <w:lvlJc w:val="left"/>
      <w:pPr>
        <w:ind w:left="2160" w:hanging="360"/>
      </w:pPr>
    </w:lvl>
    <w:lvl w:ilvl="2" w:tplc="9FBA458E" w:tentative="1">
      <w:start w:val="1"/>
      <w:numFmt w:val="lowerRoman"/>
      <w:lvlText w:val="%3."/>
      <w:lvlJc w:val="right"/>
      <w:pPr>
        <w:ind w:left="2880" w:hanging="180"/>
      </w:pPr>
    </w:lvl>
    <w:lvl w:ilvl="3" w:tplc="E7428F0E" w:tentative="1">
      <w:start w:val="1"/>
      <w:numFmt w:val="decimal"/>
      <w:lvlText w:val="%4."/>
      <w:lvlJc w:val="left"/>
      <w:pPr>
        <w:ind w:left="3600" w:hanging="360"/>
      </w:pPr>
    </w:lvl>
    <w:lvl w:ilvl="4" w:tplc="AD96FE20" w:tentative="1">
      <w:start w:val="1"/>
      <w:numFmt w:val="lowerLetter"/>
      <w:lvlText w:val="%5."/>
      <w:lvlJc w:val="left"/>
      <w:pPr>
        <w:ind w:left="4320" w:hanging="360"/>
      </w:pPr>
    </w:lvl>
    <w:lvl w:ilvl="5" w:tplc="CCBA9562" w:tentative="1">
      <w:start w:val="1"/>
      <w:numFmt w:val="lowerRoman"/>
      <w:lvlText w:val="%6."/>
      <w:lvlJc w:val="right"/>
      <w:pPr>
        <w:ind w:left="5040" w:hanging="180"/>
      </w:pPr>
    </w:lvl>
    <w:lvl w:ilvl="6" w:tplc="4238C5FA" w:tentative="1">
      <w:start w:val="1"/>
      <w:numFmt w:val="decimal"/>
      <w:lvlText w:val="%7."/>
      <w:lvlJc w:val="left"/>
      <w:pPr>
        <w:ind w:left="5760" w:hanging="360"/>
      </w:pPr>
    </w:lvl>
    <w:lvl w:ilvl="7" w:tplc="C38078CA" w:tentative="1">
      <w:start w:val="1"/>
      <w:numFmt w:val="lowerLetter"/>
      <w:lvlText w:val="%8."/>
      <w:lvlJc w:val="left"/>
      <w:pPr>
        <w:ind w:left="6480" w:hanging="360"/>
      </w:pPr>
    </w:lvl>
    <w:lvl w:ilvl="8" w:tplc="505A0F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633E9B86">
      <w:start w:val="1"/>
      <w:numFmt w:val="lowerLetter"/>
      <w:lvlText w:val="%1)"/>
      <w:lvlJc w:val="left"/>
      <w:pPr>
        <w:ind w:left="720" w:hanging="360"/>
      </w:pPr>
    </w:lvl>
    <w:lvl w:ilvl="1" w:tplc="FB1AA886">
      <w:start w:val="1"/>
      <w:numFmt w:val="lowerLetter"/>
      <w:lvlText w:val="%2."/>
      <w:lvlJc w:val="left"/>
      <w:pPr>
        <w:ind w:left="1440" w:hanging="360"/>
      </w:pPr>
    </w:lvl>
    <w:lvl w:ilvl="2" w:tplc="AB02F892">
      <w:start w:val="1"/>
      <w:numFmt w:val="lowerRoman"/>
      <w:lvlText w:val="%3."/>
      <w:lvlJc w:val="right"/>
      <w:pPr>
        <w:ind w:left="2160" w:hanging="180"/>
      </w:pPr>
    </w:lvl>
    <w:lvl w:ilvl="3" w:tplc="7B944FA6">
      <w:start w:val="1"/>
      <w:numFmt w:val="decimal"/>
      <w:lvlText w:val="%4."/>
      <w:lvlJc w:val="left"/>
      <w:pPr>
        <w:ind w:left="2880" w:hanging="360"/>
      </w:pPr>
    </w:lvl>
    <w:lvl w:ilvl="4" w:tplc="0B340AAA">
      <w:start w:val="1"/>
      <w:numFmt w:val="lowerLetter"/>
      <w:lvlText w:val="%5."/>
      <w:lvlJc w:val="left"/>
      <w:pPr>
        <w:ind w:left="3600" w:hanging="360"/>
      </w:pPr>
    </w:lvl>
    <w:lvl w:ilvl="5" w:tplc="9810397A">
      <w:start w:val="1"/>
      <w:numFmt w:val="lowerRoman"/>
      <w:lvlText w:val="%6."/>
      <w:lvlJc w:val="right"/>
      <w:pPr>
        <w:ind w:left="4320" w:hanging="180"/>
      </w:pPr>
    </w:lvl>
    <w:lvl w:ilvl="6" w:tplc="8C58AF42">
      <w:start w:val="1"/>
      <w:numFmt w:val="decimal"/>
      <w:lvlText w:val="%7."/>
      <w:lvlJc w:val="left"/>
      <w:pPr>
        <w:ind w:left="5040" w:hanging="360"/>
      </w:pPr>
    </w:lvl>
    <w:lvl w:ilvl="7" w:tplc="0D328F06">
      <w:start w:val="1"/>
      <w:numFmt w:val="lowerLetter"/>
      <w:lvlText w:val="%8."/>
      <w:lvlJc w:val="left"/>
      <w:pPr>
        <w:ind w:left="5760" w:hanging="360"/>
      </w:pPr>
    </w:lvl>
    <w:lvl w:ilvl="8" w:tplc="607279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57ACB8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0E6870C">
      <w:start w:val="1"/>
      <w:numFmt w:val="lowerLetter"/>
      <w:lvlText w:val="%2."/>
      <w:lvlJc w:val="left"/>
      <w:pPr>
        <w:ind w:left="1440" w:hanging="360"/>
      </w:pPr>
    </w:lvl>
    <w:lvl w:ilvl="2" w:tplc="79C62682">
      <w:start w:val="1"/>
      <w:numFmt w:val="lowerRoman"/>
      <w:lvlText w:val="%3."/>
      <w:lvlJc w:val="right"/>
      <w:pPr>
        <w:ind w:left="2160" w:hanging="180"/>
      </w:pPr>
    </w:lvl>
    <w:lvl w:ilvl="3" w:tplc="D5B2A33E">
      <w:start w:val="1"/>
      <w:numFmt w:val="decimal"/>
      <w:lvlText w:val="%4."/>
      <w:lvlJc w:val="left"/>
      <w:pPr>
        <w:ind w:left="2880" w:hanging="360"/>
      </w:pPr>
    </w:lvl>
    <w:lvl w:ilvl="4" w:tplc="F7D09BA2">
      <w:start w:val="1"/>
      <w:numFmt w:val="lowerLetter"/>
      <w:lvlText w:val="%5."/>
      <w:lvlJc w:val="left"/>
      <w:pPr>
        <w:ind w:left="3600" w:hanging="360"/>
      </w:pPr>
    </w:lvl>
    <w:lvl w:ilvl="5" w:tplc="17102A8A">
      <w:start w:val="1"/>
      <w:numFmt w:val="lowerRoman"/>
      <w:lvlText w:val="%6."/>
      <w:lvlJc w:val="right"/>
      <w:pPr>
        <w:ind w:left="4320" w:hanging="180"/>
      </w:pPr>
    </w:lvl>
    <w:lvl w:ilvl="6" w:tplc="38128A40">
      <w:start w:val="1"/>
      <w:numFmt w:val="decimal"/>
      <w:lvlText w:val="%7."/>
      <w:lvlJc w:val="left"/>
      <w:pPr>
        <w:ind w:left="5040" w:hanging="360"/>
      </w:pPr>
    </w:lvl>
    <w:lvl w:ilvl="7" w:tplc="29A0565C">
      <w:start w:val="1"/>
      <w:numFmt w:val="lowerLetter"/>
      <w:lvlText w:val="%8."/>
      <w:lvlJc w:val="left"/>
      <w:pPr>
        <w:ind w:left="5760" w:hanging="360"/>
      </w:pPr>
    </w:lvl>
    <w:lvl w:ilvl="8" w:tplc="864A46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66C624BC">
      <w:start w:val="1"/>
      <w:numFmt w:val="upperRoman"/>
      <w:lvlText w:val="%1."/>
      <w:lvlJc w:val="left"/>
      <w:pPr>
        <w:ind w:left="720" w:hanging="360"/>
      </w:pPr>
    </w:lvl>
    <w:lvl w:ilvl="1" w:tplc="875C6DA0">
      <w:start w:val="1"/>
      <w:numFmt w:val="lowerLetter"/>
      <w:lvlText w:val="%2."/>
      <w:lvlJc w:val="left"/>
      <w:pPr>
        <w:ind w:left="1440" w:hanging="360"/>
      </w:pPr>
    </w:lvl>
    <w:lvl w:ilvl="2" w:tplc="15C2377E">
      <w:start w:val="1"/>
      <w:numFmt w:val="lowerRoman"/>
      <w:lvlText w:val="%3."/>
      <w:lvlJc w:val="right"/>
      <w:pPr>
        <w:ind w:left="2160" w:hanging="180"/>
      </w:pPr>
    </w:lvl>
    <w:lvl w:ilvl="3" w:tplc="3A006EF2">
      <w:start w:val="1"/>
      <w:numFmt w:val="decimal"/>
      <w:lvlText w:val="%4."/>
      <w:lvlJc w:val="left"/>
      <w:pPr>
        <w:ind w:left="2880" w:hanging="360"/>
      </w:pPr>
    </w:lvl>
    <w:lvl w:ilvl="4" w:tplc="CC686EF4">
      <w:start w:val="1"/>
      <w:numFmt w:val="lowerLetter"/>
      <w:lvlText w:val="%5."/>
      <w:lvlJc w:val="left"/>
      <w:pPr>
        <w:ind w:left="3600" w:hanging="360"/>
      </w:pPr>
    </w:lvl>
    <w:lvl w:ilvl="5" w:tplc="05E80D46">
      <w:start w:val="1"/>
      <w:numFmt w:val="lowerRoman"/>
      <w:lvlText w:val="%6."/>
      <w:lvlJc w:val="right"/>
      <w:pPr>
        <w:ind w:left="4320" w:hanging="180"/>
      </w:pPr>
    </w:lvl>
    <w:lvl w:ilvl="6" w:tplc="B43617D0">
      <w:start w:val="1"/>
      <w:numFmt w:val="decimal"/>
      <w:lvlText w:val="%7."/>
      <w:lvlJc w:val="left"/>
      <w:pPr>
        <w:ind w:left="5040" w:hanging="360"/>
      </w:pPr>
    </w:lvl>
    <w:lvl w:ilvl="7" w:tplc="01A2E514">
      <w:start w:val="1"/>
      <w:numFmt w:val="lowerLetter"/>
      <w:lvlText w:val="%8."/>
      <w:lvlJc w:val="left"/>
      <w:pPr>
        <w:ind w:left="5760" w:hanging="360"/>
      </w:pPr>
    </w:lvl>
    <w:lvl w:ilvl="8" w:tplc="BEA8A7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4538C5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78AE4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907C4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ABC4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BE8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C6A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EA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107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8EF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2AAE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6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A7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2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6F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88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2A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09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6DDE6BFA">
      <w:start w:val="1"/>
      <w:numFmt w:val="decimal"/>
      <w:lvlText w:val="%1."/>
      <w:lvlJc w:val="left"/>
      <w:pPr>
        <w:ind w:left="720" w:hanging="360"/>
      </w:pPr>
    </w:lvl>
    <w:lvl w:ilvl="1" w:tplc="E74A8F9E" w:tentative="1">
      <w:start w:val="1"/>
      <w:numFmt w:val="lowerLetter"/>
      <w:lvlText w:val="%2."/>
      <w:lvlJc w:val="left"/>
      <w:pPr>
        <w:ind w:left="1440" w:hanging="360"/>
      </w:pPr>
    </w:lvl>
    <w:lvl w:ilvl="2" w:tplc="23500886" w:tentative="1">
      <w:start w:val="1"/>
      <w:numFmt w:val="lowerRoman"/>
      <w:lvlText w:val="%3."/>
      <w:lvlJc w:val="right"/>
      <w:pPr>
        <w:ind w:left="2160" w:hanging="180"/>
      </w:pPr>
    </w:lvl>
    <w:lvl w:ilvl="3" w:tplc="54D605AE" w:tentative="1">
      <w:start w:val="1"/>
      <w:numFmt w:val="decimal"/>
      <w:lvlText w:val="%4."/>
      <w:lvlJc w:val="left"/>
      <w:pPr>
        <w:ind w:left="2880" w:hanging="360"/>
      </w:pPr>
    </w:lvl>
    <w:lvl w:ilvl="4" w:tplc="630C5DD2" w:tentative="1">
      <w:start w:val="1"/>
      <w:numFmt w:val="lowerLetter"/>
      <w:lvlText w:val="%5."/>
      <w:lvlJc w:val="left"/>
      <w:pPr>
        <w:ind w:left="3600" w:hanging="360"/>
      </w:pPr>
    </w:lvl>
    <w:lvl w:ilvl="5" w:tplc="DE18B870" w:tentative="1">
      <w:start w:val="1"/>
      <w:numFmt w:val="lowerRoman"/>
      <w:lvlText w:val="%6."/>
      <w:lvlJc w:val="right"/>
      <w:pPr>
        <w:ind w:left="4320" w:hanging="180"/>
      </w:pPr>
    </w:lvl>
    <w:lvl w:ilvl="6" w:tplc="4C56007A" w:tentative="1">
      <w:start w:val="1"/>
      <w:numFmt w:val="decimal"/>
      <w:lvlText w:val="%7."/>
      <w:lvlJc w:val="left"/>
      <w:pPr>
        <w:ind w:left="5040" w:hanging="360"/>
      </w:pPr>
    </w:lvl>
    <w:lvl w:ilvl="7" w:tplc="AC3AC7B2" w:tentative="1">
      <w:start w:val="1"/>
      <w:numFmt w:val="lowerLetter"/>
      <w:lvlText w:val="%8."/>
      <w:lvlJc w:val="left"/>
      <w:pPr>
        <w:ind w:left="5760" w:hanging="360"/>
      </w:pPr>
    </w:lvl>
    <w:lvl w:ilvl="8" w:tplc="A7D05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840092E6">
      <w:start w:val="1"/>
      <w:numFmt w:val="decimal"/>
      <w:lvlText w:val="%1."/>
      <w:lvlJc w:val="left"/>
      <w:pPr>
        <w:ind w:left="643" w:hanging="360"/>
      </w:pPr>
    </w:lvl>
    <w:lvl w:ilvl="1" w:tplc="226C1290">
      <w:start w:val="1"/>
      <w:numFmt w:val="lowerLetter"/>
      <w:lvlText w:val="%2."/>
      <w:lvlJc w:val="left"/>
      <w:pPr>
        <w:ind w:left="1363" w:hanging="360"/>
      </w:pPr>
    </w:lvl>
    <w:lvl w:ilvl="2" w:tplc="90E8B1DC">
      <w:start w:val="1"/>
      <w:numFmt w:val="lowerRoman"/>
      <w:lvlText w:val="%3."/>
      <w:lvlJc w:val="right"/>
      <w:pPr>
        <w:ind w:left="2083" w:hanging="180"/>
      </w:pPr>
    </w:lvl>
    <w:lvl w:ilvl="3" w:tplc="D37E4080">
      <w:start w:val="1"/>
      <w:numFmt w:val="decimal"/>
      <w:lvlText w:val="%4."/>
      <w:lvlJc w:val="left"/>
      <w:pPr>
        <w:ind w:left="2803" w:hanging="360"/>
      </w:pPr>
    </w:lvl>
    <w:lvl w:ilvl="4" w:tplc="CCF0C544">
      <w:start w:val="1"/>
      <w:numFmt w:val="lowerLetter"/>
      <w:lvlText w:val="%5."/>
      <w:lvlJc w:val="left"/>
      <w:pPr>
        <w:ind w:left="3523" w:hanging="360"/>
      </w:pPr>
    </w:lvl>
    <w:lvl w:ilvl="5" w:tplc="587875EC">
      <w:start w:val="1"/>
      <w:numFmt w:val="lowerRoman"/>
      <w:lvlText w:val="%6."/>
      <w:lvlJc w:val="right"/>
      <w:pPr>
        <w:ind w:left="4243" w:hanging="180"/>
      </w:pPr>
    </w:lvl>
    <w:lvl w:ilvl="6" w:tplc="47504FF2">
      <w:start w:val="1"/>
      <w:numFmt w:val="decimal"/>
      <w:lvlText w:val="%7."/>
      <w:lvlJc w:val="left"/>
      <w:pPr>
        <w:ind w:left="4963" w:hanging="360"/>
      </w:pPr>
    </w:lvl>
    <w:lvl w:ilvl="7" w:tplc="49329054">
      <w:start w:val="1"/>
      <w:numFmt w:val="lowerLetter"/>
      <w:lvlText w:val="%8."/>
      <w:lvlJc w:val="left"/>
      <w:pPr>
        <w:ind w:left="5683" w:hanging="360"/>
      </w:pPr>
    </w:lvl>
    <w:lvl w:ilvl="8" w:tplc="68807C4E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7A805FC">
      <w:start w:val="1"/>
      <w:numFmt w:val="decimal"/>
      <w:lvlText w:val="%1."/>
      <w:lvlJc w:val="left"/>
      <w:pPr>
        <w:ind w:left="720" w:hanging="360"/>
      </w:pPr>
    </w:lvl>
    <w:lvl w:ilvl="1" w:tplc="EDC8933A" w:tentative="1">
      <w:start w:val="1"/>
      <w:numFmt w:val="lowerLetter"/>
      <w:lvlText w:val="%2."/>
      <w:lvlJc w:val="left"/>
      <w:pPr>
        <w:ind w:left="1440" w:hanging="360"/>
      </w:pPr>
    </w:lvl>
    <w:lvl w:ilvl="2" w:tplc="9076A5E4" w:tentative="1">
      <w:start w:val="1"/>
      <w:numFmt w:val="lowerRoman"/>
      <w:lvlText w:val="%3."/>
      <w:lvlJc w:val="right"/>
      <w:pPr>
        <w:ind w:left="2160" w:hanging="180"/>
      </w:pPr>
    </w:lvl>
    <w:lvl w:ilvl="3" w:tplc="9ED25EF2" w:tentative="1">
      <w:start w:val="1"/>
      <w:numFmt w:val="decimal"/>
      <w:lvlText w:val="%4."/>
      <w:lvlJc w:val="left"/>
      <w:pPr>
        <w:ind w:left="2880" w:hanging="360"/>
      </w:pPr>
    </w:lvl>
    <w:lvl w:ilvl="4" w:tplc="C1C069D6" w:tentative="1">
      <w:start w:val="1"/>
      <w:numFmt w:val="lowerLetter"/>
      <w:lvlText w:val="%5."/>
      <w:lvlJc w:val="left"/>
      <w:pPr>
        <w:ind w:left="3600" w:hanging="360"/>
      </w:pPr>
    </w:lvl>
    <w:lvl w:ilvl="5" w:tplc="8ED88EB8" w:tentative="1">
      <w:start w:val="1"/>
      <w:numFmt w:val="lowerRoman"/>
      <w:lvlText w:val="%6."/>
      <w:lvlJc w:val="right"/>
      <w:pPr>
        <w:ind w:left="4320" w:hanging="180"/>
      </w:pPr>
    </w:lvl>
    <w:lvl w:ilvl="6" w:tplc="B1AA50B6" w:tentative="1">
      <w:start w:val="1"/>
      <w:numFmt w:val="decimal"/>
      <w:lvlText w:val="%7."/>
      <w:lvlJc w:val="left"/>
      <w:pPr>
        <w:ind w:left="5040" w:hanging="360"/>
      </w:pPr>
    </w:lvl>
    <w:lvl w:ilvl="7" w:tplc="D05870A0" w:tentative="1">
      <w:start w:val="1"/>
      <w:numFmt w:val="lowerLetter"/>
      <w:lvlText w:val="%8."/>
      <w:lvlJc w:val="left"/>
      <w:pPr>
        <w:ind w:left="5760" w:hanging="360"/>
      </w:pPr>
    </w:lvl>
    <w:lvl w:ilvl="8" w:tplc="2752E0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576">
    <w:abstractNumId w:val="23"/>
  </w:num>
  <w:num w:numId="2" w16cid:durableId="1428968025">
    <w:abstractNumId w:val="0"/>
  </w:num>
  <w:num w:numId="3" w16cid:durableId="511606071">
    <w:abstractNumId w:val="16"/>
  </w:num>
  <w:num w:numId="4" w16cid:durableId="918902547">
    <w:abstractNumId w:val="3"/>
  </w:num>
  <w:num w:numId="5" w16cid:durableId="10177761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5129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9396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687061">
    <w:abstractNumId w:val="17"/>
  </w:num>
  <w:num w:numId="9" w16cid:durableId="705789512">
    <w:abstractNumId w:val="17"/>
  </w:num>
  <w:num w:numId="10" w16cid:durableId="1854300770">
    <w:abstractNumId w:val="21"/>
  </w:num>
  <w:num w:numId="11" w16cid:durableId="1180854390">
    <w:abstractNumId w:val="19"/>
  </w:num>
  <w:num w:numId="12" w16cid:durableId="2136092430">
    <w:abstractNumId w:val="3"/>
  </w:num>
  <w:num w:numId="13" w16cid:durableId="601187657">
    <w:abstractNumId w:val="11"/>
  </w:num>
  <w:num w:numId="14" w16cid:durableId="2074959160">
    <w:abstractNumId w:val="10"/>
  </w:num>
  <w:num w:numId="15" w16cid:durableId="1722705215">
    <w:abstractNumId w:val="6"/>
  </w:num>
  <w:num w:numId="16" w16cid:durableId="800880560">
    <w:abstractNumId w:val="1"/>
  </w:num>
  <w:num w:numId="17" w16cid:durableId="800608601">
    <w:abstractNumId w:val="24"/>
  </w:num>
  <w:num w:numId="18" w16cid:durableId="426273113">
    <w:abstractNumId w:val="8"/>
  </w:num>
  <w:num w:numId="19" w16cid:durableId="1921715203">
    <w:abstractNumId w:val="26"/>
  </w:num>
  <w:num w:numId="20" w16cid:durableId="512572760">
    <w:abstractNumId w:val="20"/>
  </w:num>
  <w:num w:numId="21" w16cid:durableId="584650575">
    <w:abstractNumId w:val="12"/>
  </w:num>
  <w:num w:numId="22" w16cid:durableId="1005859135">
    <w:abstractNumId w:val="14"/>
  </w:num>
  <w:num w:numId="23" w16cid:durableId="1911962246">
    <w:abstractNumId w:val="2"/>
  </w:num>
  <w:num w:numId="24" w16cid:durableId="1874729751">
    <w:abstractNumId w:val="15"/>
  </w:num>
  <w:num w:numId="25" w16cid:durableId="511383622">
    <w:abstractNumId w:val="7"/>
  </w:num>
  <w:num w:numId="26" w16cid:durableId="196434910">
    <w:abstractNumId w:val="5"/>
  </w:num>
  <w:num w:numId="27" w16cid:durableId="1088767691">
    <w:abstractNumId w:val="22"/>
  </w:num>
  <w:num w:numId="28" w16cid:durableId="157232196">
    <w:abstractNumId w:val="4"/>
  </w:num>
  <w:num w:numId="29" w16cid:durableId="397752515">
    <w:abstractNumId w:val="9"/>
  </w:num>
  <w:num w:numId="30" w16cid:durableId="408578774">
    <w:abstractNumId w:val="18"/>
  </w:num>
  <w:num w:numId="31" w16cid:durableId="1966307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53A0B"/>
    <w:rsid w:val="000652CC"/>
    <w:rsid w:val="00065FCE"/>
    <w:rsid w:val="00072B8B"/>
    <w:rsid w:val="00074A67"/>
    <w:rsid w:val="00084B67"/>
    <w:rsid w:val="000858EF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2F0D"/>
    <w:rsid w:val="001D5686"/>
    <w:rsid w:val="001E2F2A"/>
    <w:rsid w:val="001E4A72"/>
    <w:rsid w:val="00202F20"/>
    <w:rsid w:val="00216129"/>
    <w:rsid w:val="00216880"/>
    <w:rsid w:val="00217515"/>
    <w:rsid w:val="00241B76"/>
    <w:rsid w:val="0025070C"/>
    <w:rsid w:val="00251A4C"/>
    <w:rsid w:val="002537C4"/>
    <w:rsid w:val="00256685"/>
    <w:rsid w:val="002614C6"/>
    <w:rsid w:val="0026176F"/>
    <w:rsid w:val="00267BF1"/>
    <w:rsid w:val="00272656"/>
    <w:rsid w:val="00294783"/>
    <w:rsid w:val="002953F6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07956"/>
    <w:rsid w:val="003129F4"/>
    <w:rsid w:val="00313A73"/>
    <w:rsid w:val="00320804"/>
    <w:rsid w:val="003223FF"/>
    <w:rsid w:val="003309A0"/>
    <w:rsid w:val="003313BC"/>
    <w:rsid w:val="0033179D"/>
    <w:rsid w:val="003325E6"/>
    <w:rsid w:val="00332B01"/>
    <w:rsid w:val="00341D92"/>
    <w:rsid w:val="00346228"/>
    <w:rsid w:val="00351D05"/>
    <w:rsid w:val="00377E46"/>
    <w:rsid w:val="00391AC6"/>
    <w:rsid w:val="003A7C0C"/>
    <w:rsid w:val="003B1BE2"/>
    <w:rsid w:val="003C615A"/>
    <w:rsid w:val="003D1343"/>
    <w:rsid w:val="003D30DC"/>
    <w:rsid w:val="003D4BCB"/>
    <w:rsid w:val="003E2216"/>
    <w:rsid w:val="003E28A6"/>
    <w:rsid w:val="003E4FA2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1BEA"/>
    <w:rsid w:val="005342A2"/>
    <w:rsid w:val="005369AA"/>
    <w:rsid w:val="00544385"/>
    <w:rsid w:val="0054745E"/>
    <w:rsid w:val="00547863"/>
    <w:rsid w:val="00554FBD"/>
    <w:rsid w:val="0055702B"/>
    <w:rsid w:val="005571C1"/>
    <w:rsid w:val="005620E1"/>
    <w:rsid w:val="005701D4"/>
    <w:rsid w:val="0057516F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52C7F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6F6553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5B26"/>
    <w:rsid w:val="007A1C4E"/>
    <w:rsid w:val="007A271E"/>
    <w:rsid w:val="007A6406"/>
    <w:rsid w:val="007B030D"/>
    <w:rsid w:val="007B1C6C"/>
    <w:rsid w:val="007B6612"/>
    <w:rsid w:val="007C7D31"/>
    <w:rsid w:val="007D44BE"/>
    <w:rsid w:val="007F2E53"/>
    <w:rsid w:val="007F389C"/>
    <w:rsid w:val="00800122"/>
    <w:rsid w:val="008007E1"/>
    <w:rsid w:val="00801BDF"/>
    <w:rsid w:val="00802CFA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0F3C"/>
    <w:rsid w:val="00A12BE2"/>
    <w:rsid w:val="00A1509B"/>
    <w:rsid w:val="00A23424"/>
    <w:rsid w:val="00A23814"/>
    <w:rsid w:val="00A26E6F"/>
    <w:rsid w:val="00A32934"/>
    <w:rsid w:val="00A35D9F"/>
    <w:rsid w:val="00A405F7"/>
    <w:rsid w:val="00A47E42"/>
    <w:rsid w:val="00A6156C"/>
    <w:rsid w:val="00A71ED4"/>
    <w:rsid w:val="00A735F3"/>
    <w:rsid w:val="00A751A2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07B7"/>
    <w:rsid w:val="00B0186A"/>
    <w:rsid w:val="00B0401B"/>
    <w:rsid w:val="00B0456B"/>
    <w:rsid w:val="00B05913"/>
    <w:rsid w:val="00B06A97"/>
    <w:rsid w:val="00B1399F"/>
    <w:rsid w:val="00B1548A"/>
    <w:rsid w:val="00B26B24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77F9A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03BB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465D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27FD"/>
    <w:rsid w:val="00E56452"/>
    <w:rsid w:val="00E60DE5"/>
    <w:rsid w:val="00E61084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1DBF"/>
    <w:rsid w:val="00F37205"/>
    <w:rsid w:val="00F56B7A"/>
    <w:rsid w:val="00F62504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09E3B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1253</Words>
  <Characters>7748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Budařová Karolína</cp:lastModifiedBy>
  <cp:revision>14</cp:revision>
  <cp:lastPrinted>2020-10-20T19:45:00Z</cp:lastPrinted>
  <dcterms:created xsi:type="dcterms:W3CDTF">2023-11-06T13:24:00Z</dcterms:created>
  <dcterms:modified xsi:type="dcterms:W3CDTF">2023-11-16T10:04:00Z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MMR-72315/2023-57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24.10.2023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&lt;TABLE&gt;&lt;TR&gt;&lt;TD&gt;Č.j.:&lt;/TD&gt;&lt;TD&gt;MMR-72315/2023-57&lt;/TD&gt;&lt;/TR&gt;&lt;TR&gt;&lt;TD&gt;&lt;/TD&gt;&lt;TD&gt;&lt;/TD&gt;&lt;/TR&gt;&lt;/TABLE&gt;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Lukáš Bálek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E75350/23/MMR</vt:lpwstr>
  </property>
  <property fmtid="{D5CDD505-2E9C-101B-9397-08002B2CF9AE}" pid="20" name="Key_BarCode_Pisemnost">
    <vt:lpwstr>*B003417464*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E75350/23/MMR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Schválení změny pravidel pro žadatele - Vytvoření agendového informačního systému (AIS) - subkomponenta 1.6.2</vt:lpwstr>
  </property>
  <property fmtid="{D5CDD505-2E9C-101B-9397-08002B2CF9AE}" pid="43" name="Zkratka_SpisovyUzel_PoziceZodpo_Pisemnost">
    <vt:lpwstr>57</vt:lpwstr>
  </property>
</Properties>
</file>