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2A632781" w:rsidP="007F413B" w14:paraId="069826E2" w14:textId="4138A4FC">
      <w:pPr>
        <w:pStyle w:val="paragraph"/>
        <w:spacing w:before="0" w:beforeAutospacing="0" w:after="0" w:afterAutospacing="0"/>
        <w:rPr>
          <w:sz w:val="40"/>
          <w:szCs w:val="40"/>
        </w:rPr>
      </w:pPr>
    </w:p>
    <w:p w:rsidR="000241A4" w:rsidRPr="000241A4" w:rsidP="2A632781" w14:paraId="351E38BB" w14:textId="77777777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:rsidR="00344FF8" w:rsidP="2A020F75" w14:paraId="093A2A2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:rsidR="00344FF8" w:rsidRPr="000241A4" w:rsidP="2A020F75" w14:paraId="6E7BEAA2" w14:textId="637327F6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:rsidR="00344FF8" w:rsidRPr="000241A4" w:rsidP="2A020F75" w14:paraId="63E4A9CD" w14:textId="62BE213E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:rsidR="00344FF8" w:rsidP="2A020F75" w14:paraId="2F27EAFC" w14:textId="6C968F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:rsidR="00444C90" w:rsidP="2A020F75" w14:paraId="6711FCCA" w14:textId="381BCCC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444C90" w:rsidP="2A020F75" w14:paraId="1D8C4171" w14:textId="2A8C77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444C90" w:rsidP="2A020F75" w14:paraId="1E03768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:rsidR="00344FF8" w:rsidP="000241A4" w14:paraId="09AF38FC" w14:textId="40FDC6B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:rsidR="00344FF8" w:rsidRPr="00444C90" w:rsidP="00444C90" w14:paraId="77193017" w14:textId="5BA244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</w:t>
      </w:r>
      <w:r w:rsidRPr="000E45CF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Č. </w:t>
      </w:r>
      <w:r w:rsidRPr="000E45CF" w:rsidR="000E45CF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  <w:r w:rsidR="00EE68A3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:rsidR="00344FF8" w:rsidRPr="000241A4" w:rsidP="2A020F75" w14:paraId="01512BE8" w14:textId="53D0F3E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:rsidR="00444C90" w:rsidP="2A020F75" w14:paraId="2D6A6ADC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:rsidR="00344FF8" w:rsidRPr="00D71CAE" w:rsidP="2A020F75" w14:paraId="6428347C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:rsidR="00344FF8" w:rsidRPr="00344FF8" w:rsidP="2A020F75" w14:paraId="5DAB6C7B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02EB378F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0D0B940D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RPr="00344FF8" w:rsidP="2A020F75" w14:paraId="0E27B00A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344FF8" w:rsidP="2A020F75" w14:paraId="60061E4C" w14:textId="330E2689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0241A4" w:rsidP="2A020F75" w14:paraId="40E91589" w14:textId="48EBF259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0241A4" w:rsidRPr="00344FF8" w:rsidP="2A020F75" w14:paraId="1EBD2869" w14:textId="77777777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:rsidR="00444C90" w:rsidP="2A020F75" w14:paraId="4EB0B82E" w14:textId="77777777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C165DC" w:rsidP="2A020F75" w14:paraId="1C82140A" w14:textId="77777777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344FF8" w14:paraId="3DEEC669" w14:textId="278F6C0B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00107A5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Pr="00107A50"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Pr="00077231" w:rsidR="00077231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r w:rsidRPr="00077231" w:rsidR="00D040C6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077231" w:rsidR="00077231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r w:rsidRPr="00077231" w:rsidR="00076557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077231"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Pr="00077231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:rsidR="00C165DC" w:rsidRPr="00C165DC" w14:paraId="528E80D3" w14:textId="77777777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</w:p>
    <w:p w:rsidR="27533703" w:rsidP="27533703" w14:paraId="0AF7744F" w14:textId="641CF0C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Způsobilé výdaje</w:t>
      </w:r>
    </w:p>
    <w:p w:rsidR="517A2E05" w:rsidP="00D71CAE" w14:paraId="6AB7181F" w14:textId="1A41C802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:rsidR="517A2E05" w:rsidP="00D71CAE" w14:paraId="1F0303FC" w14:textId="69D1CB03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21302A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:rsidR="517A2E05" w:rsidRPr="00921B2C" w:rsidP="00D71CAE" w14:paraId="717F297A" w14:textId="3FF63E10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 xml:space="preserve">musí vzniknout a být vynaloženy v období od </w:t>
      </w:r>
      <w:r w:rsidRPr="00077231">
        <w:rPr>
          <w:rFonts w:ascii="Arial" w:eastAsia="Arial" w:hAnsi="Arial" w:cs="Arial"/>
          <w:b/>
          <w:bCs/>
        </w:rPr>
        <w:t xml:space="preserve">1. </w:t>
      </w:r>
      <w:r w:rsidRPr="00077231" w:rsidR="000E45CF">
        <w:rPr>
          <w:rFonts w:ascii="Arial" w:eastAsia="Arial" w:hAnsi="Arial" w:cs="Arial"/>
          <w:b/>
          <w:bCs/>
        </w:rPr>
        <w:t>1</w:t>
      </w:r>
      <w:r w:rsidRPr="00077231">
        <w:rPr>
          <w:rFonts w:ascii="Arial" w:eastAsia="Arial" w:hAnsi="Arial" w:cs="Arial"/>
          <w:b/>
          <w:bCs/>
        </w:rPr>
        <w:t>. 202</w:t>
      </w:r>
      <w:r w:rsidRPr="00077231" w:rsidR="00076557">
        <w:rPr>
          <w:rFonts w:ascii="Arial" w:eastAsia="Arial" w:hAnsi="Arial" w:cs="Arial"/>
          <w:b/>
          <w:bCs/>
        </w:rPr>
        <w:t>4</w:t>
      </w:r>
      <w:r w:rsidRPr="000E45CF">
        <w:rPr>
          <w:rFonts w:ascii="Arial" w:eastAsia="Arial" w:hAnsi="Arial" w:cs="Arial"/>
          <w:b/>
          <w:bCs/>
        </w:rPr>
        <w:t xml:space="preserve"> </w:t>
      </w:r>
      <w:r w:rsidRPr="00921B2C">
        <w:rPr>
          <w:rFonts w:ascii="Arial" w:eastAsia="Arial" w:hAnsi="Arial" w:cs="Arial"/>
        </w:rPr>
        <w:t xml:space="preserve">do data ukončení realizace projektu podle </w:t>
      </w:r>
      <w:r w:rsidRPr="00921B2C" w:rsidR="001A02AE">
        <w:rPr>
          <w:rFonts w:ascii="Arial" w:eastAsia="Arial" w:hAnsi="Arial" w:cs="Arial"/>
        </w:rPr>
        <w:t>právní</w:t>
      </w:r>
      <w:r w:rsidR="000F41F5">
        <w:rPr>
          <w:rFonts w:ascii="Arial" w:eastAsia="Arial" w:hAnsi="Arial" w:cs="Arial"/>
        </w:rPr>
        <w:t xml:space="preserve"> </w:t>
      </w:r>
      <w:r w:rsidRPr="00921B2C" w:rsidR="001A02AE">
        <w:rPr>
          <w:rFonts w:ascii="Arial" w:eastAsia="Arial" w:hAnsi="Arial" w:cs="Arial"/>
        </w:rPr>
        <w:t>ho aktu (</w:t>
      </w:r>
      <w:r w:rsidRPr="0016052F" w:rsidR="00921B2C">
        <w:rPr>
          <w:rFonts w:ascii="Arial" w:eastAsia="Arial" w:hAnsi="Arial" w:cs="Arial"/>
        </w:rPr>
        <w:t>Rozhodnutí o poskytnutí dotace),</w:t>
      </w:r>
    </w:p>
    <w:p w:rsidR="517A2E05" w:rsidP="00D71CAE" w14:paraId="649302CA" w14:textId="2A5D7547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:rsidR="517A2E05" w:rsidP="00D71CAE" w14:paraId="6A3641C5" w14:textId="6D7A49CA">
      <w:pPr>
        <w:pStyle w:val="ListParagraph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:rsidR="27533703" w:rsidP="27533703" w14:paraId="4ABA8CE0" w14:textId="76B23A15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Pr="00921B2C" w:rsidR="00E5123E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:rsidR="27533703" w:rsidRPr="006A6066" w:rsidP="006A6066" w14:paraId="03195AF0" w14:textId="4F32C880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:rsidR="27533703" w:rsidP="27533703" w14:paraId="7BECFE63" w14:textId="2ACFEA30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 xml:space="preserve">V souvislosti s účinností zákona č. 340/2015 Sb., o zvláštních podmínkách účinnosti některých smluv, uveřejňování těchto smluv a o registru smluv (dále „ZRS“) jsou příjemci vymezení </w:t>
      </w:r>
      <w:r w:rsidRPr="27533703" w:rsidR="000F02EB">
        <w:rPr>
          <w:rStyle w:val="eop"/>
          <w:rFonts w:ascii="Arial" w:eastAsia="Arial" w:hAnsi="Arial" w:cs="Arial"/>
        </w:rPr>
        <w:t>v</w:t>
      </w:r>
      <w:r w:rsidR="000F02EB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:rsidR="27533703" w:rsidP="27533703" w14:paraId="27268CEE" w14:textId="46C97868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:rsidR="27533703" w:rsidP="27533703" w14:paraId="0E6F5D91" w14:textId="4815C5C0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:rsidR="27533703" w:rsidRPr="006A6066" w:rsidP="006A6066" w14:paraId="7635BB6A" w14:textId="199536AC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:rsidR="27533703" w:rsidRPr="000E45CF" w:rsidP="27533703" w14:paraId="1F18EEB4" w14:textId="4CF6B7C3">
      <w:pPr>
        <w:jc w:val="both"/>
        <w:rPr>
          <w:rStyle w:val="eop"/>
          <w:rFonts w:ascii="Arial" w:eastAsia="Arial" w:hAnsi="Arial" w:cs="Arial"/>
          <w:b/>
          <w:bCs/>
        </w:rPr>
      </w:pPr>
      <w:r w:rsidRPr="0E7AEE2D">
        <w:rPr>
          <w:rStyle w:val="eop"/>
          <w:rFonts w:ascii="Arial" w:eastAsia="Arial" w:hAnsi="Arial" w:cs="Arial"/>
        </w:rPr>
        <w:t>Konkrétní výčet způsobilých a nezpůsobilých výdajů je uveden v</w:t>
      </w:r>
      <w:r w:rsidR="000E45CF">
        <w:rPr>
          <w:rStyle w:val="eop"/>
          <w:rFonts w:ascii="Arial" w:eastAsia="Arial" w:hAnsi="Arial" w:cs="Arial"/>
        </w:rPr>
        <w:t>e výzvě:</w:t>
      </w:r>
      <w:r w:rsidR="00D040C6">
        <w:rPr>
          <w:rStyle w:val="eop"/>
          <w:rFonts w:ascii="Arial" w:eastAsia="Arial" w:hAnsi="Arial" w:cs="Arial"/>
        </w:rPr>
        <w:t> </w:t>
      </w:r>
      <w:r w:rsidRPr="000E45CF" w:rsidR="000E45CF">
        <w:rPr>
          <w:rStyle w:val="eop"/>
          <w:rFonts w:ascii="Arial" w:eastAsia="Arial" w:hAnsi="Arial" w:cs="Arial"/>
          <w:i/>
          <w:iCs/>
        </w:rPr>
        <w:t>3. výzva – Zavedení nového stavebního zákona do praxe (financování administrace DSŘ)</w:t>
      </w:r>
    </w:p>
    <w:p w:rsidR="27533703" w:rsidP="27533703" w14:paraId="178C0FBD" w14:textId="66D25D76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:rsidR="00CB7BCC" w:rsidP="27533703" w14:paraId="2F58620B" w14:textId="5D11E461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:rsidR="00CB7BCC" w:rsidRPr="00344FF8" w:rsidP="0083303F" w14:paraId="68E6CE01" w14:textId="6312317E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Ú</w:t>
      </w:r>
      <w:r w:rsidRPr="00344FF8">
        <w:rPr>
          <w:rFonts w:ascii="Arial" w:eastAsia="Times New Roman" w:hAnsi="Arial" w:cs="Arial"/>
          <w:color w:val="000000"/>
          <w:lang w:eastAsia="cs-CZ"/>
        </w:rPr>
        <w:t>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:rsidR="00CB7BCC" w:rsidRPr="00344FF8" w:rsidP="0083303F" w14:paraId="7979F153" w14:textId="4817D5A1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</w:t>
      </w:r>
      <w:r w:rsidRPr="00344FF8">
        <w:rPr>
          <w:rFonts w:ascii="Arial" w:eastAsia="Times New Roman" w:hAnsi="Arial" w:cs="Arial"/>
          <w:color w:val="000000"/>
          <w:lang w:eastAsia="cs-CZ"/>
        </w:rPr>
        <w:t xml:space="preserve">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:rsidR="00D040C6" w:rsidRPr="00D040C6" w:rsidP="00107A50" w14:paraId="399979A6" w14:textId="355C0F2E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107A50">
        <w:rPr>
          <w:rFonts w:ascii="Arial" w:eastAsia="Times New Roman" w:hAnsi="Arial" w:cs="Arial"/>
          <w:color w:val="000000"/>
          <w:lang w:eastAsia="cs-CZ"/>
        </w:rPr>
        <w:t>Výpis z analytického účetnictví;</w:t>
      </w:r>
    </w:p>
    <w:p w:rsidR="00CB7BCC" w:rsidRPr="00107A50" w:rsidP="00107A50" w14:paraId="2622F4A4" w14:textId="48778927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D</w:t>
      </w:r>
      <w:r w:rsidRPr="00344FF8">
        <w:rPr>
          <w:rFonts w:ascii="Arial" w:eastAsia="Times New Roman" w:hAnsi="Arial" w:cs="Arial"/>
          <w:color w:val="000000"/>
          <w:lang w:eastAsia="cs-CZ"/>
        </w:rPr>
        <w:t>oklad o zaplacení;  </w:t>
      </w:r>
    </w:p>
    <w:p w:rsidR="00D040C6" w:rsidP="00D040C6" w14:paraId="569A34E3" w14:textId="77777777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Faktura; </w:t>
      </w:r>
    </w:p>
    <w:p w:rsidR="00D040C6" w:rsidRPr="003A7D5D" w:rsidP="00D040C6" w14:paraId="33FB384F" w14:textId="66B78944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Objednávka;</w:t>
      </w:r>
    </w:p>
    <w:p w:rsidR="00CB7BCC" w:rsidRPr="00CE75DA" w:rsidP="00CE75DA" w14:paraId="127335E2" w14:textId="7E05A2C2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S</w:t>
      </w:r>
      <w:r w:rsidRPr="00CB7BCC">
        <w:rPr>
          <w:rFonts w:ascii="Arial" w:eastAsia="Times New Roman" w:hAnsi="Arial" w:cs="Arial"/>
          <w:color w:val="000000"/>
          <w:lang w:eastAsia="cs-CZ"/>
        </w:rPr>
        <w:t>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:rsidR="00E73650" w:rsidP="27533703" w14:paraId="0C552769" w14:textId="77777777">
      <w:pPr>
        <w:jc w:val="both"/>
        <w:rPr>
          <w:rStyle w:val="eop"/>
          <w:rFonts w:ascii="Arial" w:eastAsia="Arial" w:hAnsi="Arial" w:cs="Arial"/>
        </w:rPr>
      </w:pPr>
    </w:p>
    <w:p w:rsidR="00D040C6" w:rsidP="00D040C6" w14:paraId="772D525C" w14:textId="77777777">
      <w:p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>
        <w:rPr>
          <w:rStyle w:val="eop"/>
          <w:rFonts w:ascii="Arial" w:eastAsia="Times New Roman" w:hAnsi="Arial" w:cs="Arial"/>
          <w:color w:val="000000" w:themeColor="text1"/>
          <w:lang w:eastAsia="cs-CZ"/>
        </w:rPr>
        <w:t>V případě výdajů za služby se navíc předkládá:</w:t>
      </w:r>
    </w:p>
    <w:p w:rsidR="00D040C6" w:rsidP="00D040C6" w14:paraId="20BD9A12" w14:textId="77777777">
      <w:pPr>
        <w:numPr>
          <w:ilvl w:val="1"/>
          <w:numId w:val="16"/>
        </w:numPr>
        <w:spacing w:after="0" w:line="240" w:lineRule="auto"/>
        <w:ind w:left="709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 w:rsidRPr="79A37835">
        <w:rPr>
          <w:rStyle w:val="eop"/>
          <w:rFonts w:ascii="Arial" w:eastAsia="Times New Roman" w:hAnsi="Arial" w:cs="Arial"/>
          <w:color w:val="000000" w:themeColor="text1"/>
          <w:lang w:eastAsia="cs-CZ"/>
        </w:rPr>
        <w:t>Výstup: výkazy práce, studie</w:t>
      </w:r>
    </w:p>
    <w:p w:rsidR="00D040C6" w:rsidP="00D040C6" w14:paraId="24CC67C0" w14:textId="77777777">
      <w:pPr>
        <w:numPr>
          <w:ilvl w:val="1"/>
          <w:numId w:val="16"/>
        </w:numPr>
        <w:spacing w:after="0" w:line="240" w:lineRule="auto"/>
        <w:ind w:left="709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>Předávací, akceptační protokol</w:t>
      </w:r>
    </w:p>
    <w:p w:rsidR="00D040C6" w:rsidP="00D040C6" w14:paraId="50B507F7" w14:textId="77777777">
      <w:pPr>
        <w:spacing w:after="0" w:line="240" w:lineRule="auto"/>
        <w:ind w:left="1440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</w:p>
    <w:p w:rsidR="00D040C6" w:rsidP="00D040C6" w14:paraId="4BFF790E" w14:textId="77777777">
      <w:p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</w:p>
    <w:p w:rsidR="00D040C6" w:rsidRPr="00D040C6" w:rsidP="00107A50" w14:paraId="181777F9" w14:textId="5F2AF647">
      <w:p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Podrobnosti ke způsobilosti a dokladování osobních výdajů jsou uvedeny </w:t>
      </w:r>
      <w:r w:rsidRPr="0016052F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v příloze č. </w:t>
      </w:r>
      <w:r w:rsidRPr="0016052F" w:rsidR="000E45CF">
        <w:rPr>
          <w:rStyle w:val="eop"/>
          <w:rFonts w:ascii="Arial" w:eastAsia="Times New Roman" w:hAnsi="Arial" w:cs="Arial"/>
          <w:color w:val="000000" w:themeColor="text1"/>
          <w:lang w:eastAsia="cs-CZ"/>
        </w:rPr>
        <w:t>9</w:t>
      </w:r>
      <w:r w:rsidRPr="0016052F" w:rsidR="00D817B8">
        <w:rPr>
          <w:rStyle w:val="eop"/>
          <w:rFonts w:ascii="Arial" w:eastAsia="Times New Roman" w:hAnsi="Arial" w:cs="Arial"/>
          <w:color w:val="000000" w:themeColor="text1"/>
          <w:lang w:eastAsia="cs-CZ"/>
        </w:rPr>
        <w:t>a</w:t>
      </w:r>
      <w:r w:rsidR="00C165DC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. </w:t>
      </w:r>
      <w:r w:rsidR="00FD636D">
        <w:rPr>
          <w:rStyle w:val="eop"/>
          <w:rFonts w:ascii="Arial" w:eastAsia="Times New Roman" w:hAnsi="Arial" w:cs="Arial"/>
          <w:color w:val="000000" w:themeColor="text1"/>
          <w:lang w:eastAsia="cs-CZ"/>
        </w:rPr>
        <w:t>Příjemce je povinen vyplnit</w:t>
      </w:r>
      <w:r w:rsidR="00D817B8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16052F" w:rsidR="00D817B8">
        <w:rPr>
          <w:rStyle w:val="eop"/>
          <w:rFonts w:ascii="Arial" w:eastAsia="Times New Roman" w:hAnsi="Arial" w:cs="Arial"/>
          <w:color w:val="000000" w:themeColor="text1"/>
          <w:lang w:eastAsia="cs-CZ"/>
        </w:rPr>
        <w:t>přílo</w:t>
      </w:r>
      <w:r w:rsidRPr="0016052F" w:rsidR="00FD636D">
        <w:rPr>
          <w:rStyle w:val="eop"/>
          <w:rFonts w:ascii="Arial" w:eastAsia="Times New Roman" w:hAnsi="Arial" w:cs="Arial"/>
          <w:color w:val="000000" w:themeColor="text1"/>
          <w:lang w:eastAsia="cs-CZ"/>
        </w:rPr>
        <w:t>hu č.</w:t>
      </w:r>
      <w:r w:rsidRPr="0016052F" w:rsidR="00D817B8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16052F" w:rsidR="000E45CF">
        <w:rPr>
          <w:rStyle w:val="eop"/>
          <w:rFonts w:ascii="Arial" w:eastAsia="Times New Roman" w:hAnsi="Arial" w:cs="Arial"/>
          <w:color w:val="000000" w:themeColor="text1"/>
          <w:lang w:eastAsia="cs-CZ"/>
        </w:rPr>
        <w:t>9</w:t>
      </w:r>
      <w:r w:rsidRPr="0016052F" w:rsidR="00D817B8">
        <w:rPr>
          <w:rStyle w:val="eop"/>
          <w:rFonts w:ascii="Arial" w:eastAsia="Times New Roman" w:hAnsi="Arial" w:cs="Arial"/>
          <w:color w:val="000000" w:themeColor="text1"/>
          <w:lang w:eastAsia="cs-CZ"/>
        </w:rPr>
        <w:t>b:</w:t>
      </w:r>
      <w:r w:rsidR="00D817B8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D817B8" w:rsidR="00D817B8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Rekapitulace mzdových </w:t>
      </w:r>
      <w:r w:rsidRPr="00D817B8" w:rsidR="0016052F">
        <w:rPr>
          <w:rStyle w:val="eop"/>
          <w:rFonts w:ascii="Arial" w:eastAsia="Times New Roman" w:hAnsi="Arial" w:cs="Arial"/>
          <w:color w:val="000000" w:themeColor="text1"/>
          <w:lang w:eastAsia="cs-CZ"/>
        </w:rPr>
        <w:t>výdajů – HPP</w:t>
      </w:r>
      <w:r w:rsidRPr="00D817B8" w:rsidR="00D817B8">
        <w:rPr>
          <w:rStyle w:val="eop"/>
          <w:rFonts w:ascii="Arial" w:eastAsia="Times New Roman" w:hAnsi="Arial" w:cs="Arial"/>
          <w:color w:val="000000" w:themeColor="text1"/>
          <w:lang w:eastAsia="cs-CZ"/>
        </w:rPr>
        <w:t>_CRR</w:t>
      </w:r>
      <w:r w:rsidR="00FD636D">
        <w:rPr>
          <w:rStyle w:val="eop"/>
          <w:rFonts w:ascii="Arial" w:eastAsia="Times New Roman" w:hAnsi="Arial" w:cs="Arial"/>
          <w:color w:val="000000" w:themeColor="text1"/>
          <w:lang w:eastAsia="cs-CZ"/>
        </w:rPr>
        <w:t>.</w:t>
      </w:r>
    </w:p>
    <w:p w:rsidR="2C7C3413" w14:paraId="0DCFE782" w14:textId="455CB63F"/>
    <w:p w:rsidR="00344FF8" w14:paraId="45FB0818" w14:textId="77777777">
      <w:pPr>
        <w:rPr>
          <w:rStyle w:val="eop"/>
          <w:rFonts w:ascii="Cambria" w:hAnsi="Cambria" w:cs="Segoe UI"/>
          <w:sz w:val="32"/>
          <w:szCs w:val="32"/>
        </w:rPr>
      </w:pPr>
    </w:p>
    <w:sectPr w:rsidSect="00344FF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7605470"/>
      <w:docPartObj>
        <w:docPartGallery w:val="Page Numbers (Bottom of Page)"/>
        <w:docPartUnique/>
      </w:docPartObj>
    </w:sdtPr>
    <w:sdtContent>
      <w:p w:rsidR="00344FF8" w14:paraId="0EB546F9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344FF8" w14:paraId="049F31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92" w14:paraId="098B5CBC" w14:textId="77777777">
    <w:pPr>
      <w:pStyle w:val="Footer"/>
      <w:rPr>
        <w:rFonts w:ascii="Arial" w:hAnsi="Arial" w:cs="Arial"/>
        <w:color w:val="44546A" w:themeColor="text2"/>
      </w:rPr>
    </w:pPr>
    <w:r w:rsidRPr="005359C7">
      <w:rPr>
        <w:rFonts w:ascii="Arial" w:hAnsi="Arial" w:cs="Arial"/>
        <w:color w:val="44546A" w:themeColor="text2"/>
      </w:rPr>
      <w:t xml:space="preserve">3. výzva </w:t>
    </w:r>
    <w:r w:rsidR="00DD3D69">
      <w:rPr>
        <w:rFonts w:ascii="Arial" w:hAnsi="Arial" w:cs="Arial"/>
        <w:color w:val="44546A" w:themeColor="text2"/>
      </w:rPr>
      <w:t>na</w:t>
    </w:r>
    <w:r w:rsidRPr="005359C7">
      <w:rPr>
        <w:rFonts w:ascii="Arial" w:hAnsi="Arial" w:cs="Arial"/>
        <w:color w:val="44546A" w:themeColor="text2"/>
      </w:rPr>
      <w:t xml:space="preserve"> Zavedení nového stavebního zákona do praxe </w:t>
    </w:r>
  </w:p>
  <w:p w:rsidR="009346B6" w:rsidRPr="000E45CF" w14:paraId="0DBDF62F" w14:textId="12275242">
    <w:pPr>
      <w:pStyle w:val="Footer"/>
      <w:rPr>
        <w:rFonts w:ascii="Arial" w:hAnsi="Arial" w:cs="Arial"/>
        <w:color w:val="44546A" w:themeColor="text2"/>
      </w:rPr>
    </w:pPr>
    <w:r w:rsidRPr="005359C7">
      <w:rPr>
        <w:rFonts w:ascii="Arial" w:hAnsi="Arial" w:cs="Arial"/>
        <w:color w:val="44546A" w:themeColor="text2"/>
      </w:rPr>
      <w:t>(financování administrace DSŘ</w:t>
    </w:r>
    <w:r>
      <w:rPr>
        <w:rFonts w:ascii="Arial" w:hAnsi="Arial" w:cs="Arial"/>
        <w:color w:val="44546A" w:themeColor="text2"/>
      </w:rPr>
      <w:t xml:space="preserve"> </w:t>
    </w:r>
    <w:r w:rsidRPr="005359C7">
      <w:rPr>
        <w:rFonts w:ascii="Arial" w:hAnsi="Arial" w:cs="Arial"/>
        <w:color w:val="44546A" w:themeColor="text2"/>
      </w:rPr>
      <w:t>v rámci subkomponenty 1.6.1)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4C90" w14:paraId="66FF0D81" w14:textId="7D29E4A9">
    <w:pPr>
      <w:pStyle w:val="Header"/>
    </w:pPr>
    <w:r>
      <w:rPr>
        <w:noProof/>
      </w:rPr>
      <w:drawing>
        <wp:inline distT="0" distB="0" distL="0" distR="0">
          <wp:extent cx="5608320" cy="792534"/>
          <wp:effectExtent l="0" t="0" r="0" b="7620"/>
          <wp:docPr id="2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4526" cy="794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C90" w14:paraId="66D530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360296"/>
    <w:multiLevelType w:val="hybridMultilevel"/>
    <w:tmpl w:val="A4246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B7B09"/>
    <w:multiLevelType w:val="hybridMultilevel"/>
    <w:tmpl w:val="9CEED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E3F056F"/>
    <w:multiLevelType w:val="multilevel"/>
    <w:tmpl w:val="4622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3"/>
  </w:num>
  <w:num w:numId="10">
    <w:abstractNumId w:val="4"/>
  </w:num>
  <w:num w:numId="11">
    <w:abstractNumId w:val="8"/>
  </w:num>
  <w:num w:numId="12">
    <w:abstractNumId w:val="14"/>
  </w:num>
  <w:num w:numId="13">
    <w:abstractNumId w:val="0"/>
  </w:num>
  <w:num w:numId="14">
    <w:abstractNumId w:val="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03BC4"/>
    <w:rsid w:val="000241A4"/>
    <w:rsid w:val="00035001"/>
    <w:rsid w:val="00076557"/>
    <w:rsid w:val="00077231"/>
    <w:rsid w:val="0007FFA0"/>
    <w:rsid w:val="000B355C"/>
    <w:rsid w:val="000E45CF"/>
    <w:rsid w:val="000F02EB"/>
    <w:rsid w:val="000F41F5"/>
    <w:rsid w:val="00107A50"/>
    <w:rsid w:val="00140683"/>
    <w:rsid w:val="0016052F"/>
    <w:rsid w:val="00197E5E"/>
    <w:rsid w:val="001A02AE"/>
    <w:rsid w:val="001A604E"/>
    <w:rsid w:val="001C4E81"/>
    <w:rsid w:val="0021302A"/>
    <w:rsid w:val="002746F8"/>
    <w:rsid w:val="00274BAD"/>
    <w:rsid w:val="00286DC4"/>
    <w:rsid w:val="002C7A1C"/>
    <w:rsid w:val="002D3797"/>
    <w:rsid w:val="002E6E14"/>
    <w:rsid w:val="002F0E5D"/>
    <w:rsid w:val="003002B6"/>
    <w:rsid w:val="00307D95"/>
    <w:rsid w:val="00324947"/>
    <w:rsid w:val="00344FF8"/>
    <w:rsid w:val="003735DC"/>
    <w:rsid w:val="003A7D5D"/>
    <w:rsid w:val="003B4EC2"/>
    <w:rsid w:val="003D4D73"/>
    <w:rsid w:val="00443212"/>
    <w:rsid w:val="00444C90"/>
    <w:rsid w:val="00484291"/>
    <w:rsid w:val="004A6FF8"/>
    <w:rsid w:val="004B18A4"/>
    <w:rsid w:val="005307D5"/>
    <w:rsid w:val="005359C7"/>
    <w:rsid w:val="00555B54"/>
    <w:rsid w:val="005E3ED2"/>
    <w:rsid w:val="005E67D5"/>
    <w:rsid w:val="006832F5"/>
    <w:rsid w:val="006847C9"/>
    <w:rsid w:val="006A6066"/>
    <w:rsid w:val="006B24E0"/>
    <w:rsid w:val="00707CF9"/>
    <w:rsid w:val="007A7EB7"/>
    <w:rsid w:val="007F413B"/>
    <w:rsid w:val="00806F80"/>
    <w:rsid w:val="0083303F"/>
    <w:rsid w:val="00872F0C"/>
    <w:rsid w:val="00902792"/>
    <w:rsid w:val="009122E1"/>
    <w:rsid w:val="00921B2C"/>
    <w:rsid w:val="009346B6"/>
    <w:rsid w:val="00963D8C"/>
    <w:rsid w:val="00984071"/>
    <w:rsid w:val="00A176DD"/>
    <w:rsid w:val="00A8400B"/>
    <w:rsid w:val="00B11A2D"/>
    <w:rsid w:val="00B23AE4"/>
    <w:rsid w:val="00B5236A"/>
    <w:rsid w:val="00C10A89"/>
    <w:rsid w:val="00C165DC"/>
    <w:rsid w:val="00C503D3"/>
    <w:rsid w:val="00C81CAF"/>
    <w:rsid w:val="00CB447B"/>
    <w:rsid w:val="00CB7BCC"/>
    <w:rsid w:val="00CE75DA"/>
    <w:rsid w:val="00D040C6"/>
    <w:rsid w:val="00D71CAE"/>
    <w:rsid w:val="00D75B42"/>
    <w:rsid w:val="00D817B8"/>
    <w:rsid w:val="00DD3D69"/>
    <w:rsid w:val="00E5123E"/>
    <w:rsid w:val="00E6358B"/>
    <w:rsid w:val="00E66761"/>
    <w:rsid w:val="00E73650"/>
    <w:rsid w:val="00EE68A3"/>
    <w:rsid w:val="00F37423"/>
    <w:rsid w:val="00F9411B"/>
    <w:rsid w:val="00FD0FAD"/>
    <w:rsid w:val="00FD636D"/>
    <w:rsid w:val="00FE7156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57C6628"/>
    <w:rsid w:val="68D5153B"/>
    <w:rsid w:val="79A3783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344FF8"/>
  </w:style>
  <w:style w:type="character" w:customStyle="1" w:styleId="eop">
    <w:name w:val="eop"/>
    <w:basedOn w:val="DefaultParagraphFont"/>
    <w:rsid w:val="00344FF8"/>
  </w:style>
  <w:style w:type="paragraph" w:styleId="FootnoteText">
    <w:name w:val="footnote text"/>
    <w:basedOn w:val="Normal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DefaultParagraphFont"/>
    <w:rsid w:val="00344FF8"/>
  </w:style>
  <w:style w:type="character" w:customStyle="1" w:styleId="contextualspellingandgrammarerror">
    <w:name w:val="contextualspellingandgrammarerror"/>
    <w:basedOn w:val="DefaultParagraphFont"/>
    <w:rsid w:val="00344FF8"/>
  </w:style>
  <w:style w:type="paragraph" w:styleId="Header">
    <w:name w:val="header"/>
    <w:basedOn w:val="Normal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344FF8"/>
  </w:style>
  <w:style w:type="paragraph" w:styleId="Footer">
    <w:name w:val="footer"/>
    <w:basedOn w:val="Normal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344FF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51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7CF9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707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Kalecký Lukáš</cp:lastModifiedBy>
  <cp:revision>7</cp:revision>
  <dcterms:created xsi:type="dcterms:W3CDTF">2024-08-19T09:07:00Z</dcterms:created>
  <dcterms:modified xsi:type="dcterms:W3CDTF">2024-09-04T08:31:00Z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MMR-58738/2024-57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15.8.2024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&lt;TABLE&gt;&lt;TR&gt;&lt;TD&gt;Č.j.:&lt;/TD&gt;&lt;TD&gt;MMR-58738/2024-57&lt;/TD&gt;&lt;/TR&gt;&lt;TR&gt;&lt;TD&gt;&lt;/TD&gt;&lt;TD&gt;&lt;/TD&gt;&lt;/TR&gt;&lt;/TABLE&gt;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Mgr. Lukáš Kalecký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E60871/24/MMR</vt:lpwstr>
  </property>
  <property fmtid="{D5CDD505-2E9C-101B-9397-08002B2CF9AE}" pid="20" name="Key_BarCode_Pisemnost">
    <vt:lpwstr>*B003551590*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E60871/24/MMR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3. Výzvy v rámci subkomponenty 1.6.1 Národního plánu obnovy</vt:lpwstr>
  </property>
  <property fmtid="{D5CDD505-2E9C-101B-9397-08002B2CF9AE}" pid="43" name="Zkratka_SpisovyUzel_PoziceZodpo_Pisemnost">
    <vt:lpwstr>57</vt:lpwstr>
  </property>
</Properties>
</file>