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7501D" w14:textId="44705EF9" w:rsidR="00302C7F" w:rsidRDefault="00302C7F" w:rsidP="005D175A">
      <w:pPr>
        <w:pStyle w:val="Zkladnodstavec"/>
        <w:jc w:val="both"/>
        <w:rPr>
          <w:rFonts w:asciiTheme="minorHAnsi" w:eastAsiaTheme="minorEastAsia" w:hAnsiTheme="minorHAnsi" w:cstheme="minorBidi"/>
          <w:b/>
          <w:bCs/>
          <w:caps/>
          <w:color w:val="17365D" w:themeColor="text2" w:themeShade="BF"/>
          <w:sz w:val="40"/>
          <w:szCs w:val="40"/>
        </w:rPr>
      </w:pPr>
    </w:p>
    <w:p w14:paraId="25F85FE2" w14:textId="77777777" w:rsidR="0097661D" w:rsidRDefault="0097661D" w:rsidP="005D175A">
      <w:pPr>
        <w:pStyle w:val="Zkladnodstavec"/>
        <w:jc w:val="both"/>
        <w:rPr>
          <w:rFonts w:asciiTheme="minorHAnsi" w:eastAsiaTheme="minorEastAsia" w:hAnsiTheme="minorHAnsi" w:cstheme="minorBidi"/>
          <w:b/>
          <w:bCs/>
          <w:caps/>
          <w:color w:val="17365D" w:themeColor="text2" w:themeShade="BF"/>
          <w:sz w:val="40"/>
          <w:szCs w:val="40"/>
        </w:rPr>
      </w:pPr>
    </w:p>
    <w:p w14:paraId="6378A329" w14:textId="77777777" w:rsidR="00B028A3" w:rsidRDefault="00B028A3" w:rsidP="005D175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  <w:r w:rsidRPr="008409EB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NÁRODNÍ PLÁN OBNOVY</w:t>
      </w:r>
    </w:p>
    <w:p w14:paraId="2618435F" w14:textId="77777777" w:rsidR="00B028A3" w:rsidRPr="005C1DFA" w:rsidRDefault="00B028A3" w:rsidP="005D175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0BDD676F" w14:textId="77777777" w:rsidR="00B028A3" w:rsidRPr="005C1DFA" w:rsidRDefault="00B028A3" w:rsidP="005D175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47D5D195" w14:textId="77777777" w:rsidR="00B028A3" w:rsidRDefault="00B028A3" w:rsidP="005D175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</w:pPr>
      <w:r w:rsidRPr="008409EB"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  <w:t>PRAVIDLA PRO ŽADATELE A PŘÍJEMCE</w:t>
      </w:r>
      <w:r w:rsidRPr="008409EB"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  <w:t> </w:t>
      </w:r>
    </w:p>
    <w:p w14:paraId="70D62D2C" w14:textId="77777777" w:rsidR="00B028A3" w:rsidRDefault="00B028A3" w:rsidP="005D175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</w:pPr>
    </w:p>
    <w:p w14:paraId="638FEE56" w14:textId="77777777" w:rsidR="00B028A3" w:rsidRDefault="00B028A3" w:rsidP="005D175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</w:pPr>
    </w:p>
    <w:p w14:paraId="23B7551A" w14:textId="77777777" w:rsidR="00B028A3" w:rsidRPr="008409EB" w:rsidRDefault="00B028A3" w:rsidP="005D175A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Arial" w:hAnsi="Arial" w:cs="Arial"/>
          <w:b/>
          <w:bCs/>
          <w:color w:val="002060"/>
          <w:sz w:val="18"/>
          <w:szCs w:val="18"/>
        </w:rPr>
      </w:pPr>
    </w:p>
    <w:p w14:paraId="7DB32AD8" w14:textId="50FE8ADB" w:rsidR="00AA1273" w:rsidRPr="00552AE2" w:rsidRDefault="00B028A3" w:rsidP="005D175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  <w:r w:rsidRPr="008409EB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 xml:space="preserve">PŘÍLOHA Č. </w:t>
      </w:r>
      <w:r w:rsidR="00DB1555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1</w:t>
      </w:r>
      <w:r w:rsidR="008A4EFB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0</w:t>
      </w:r>
    </w:p>
    <w:p w14:paraId="41C8F396" w14:textId="77777777" w:rsidR="00302C7F" w:rsidRPr="00321CFB" w:rsidRDefault="00302C7F" w:rsidP="005D175A">
      <w:pPr>
        <w:pStyle w:val="Default"/>
        <w:spacing w:line="288" w:lineRule="auto"/>
        <w:jc w:val="both"/>
        <w:rPr>
          <w:rFonts w:asciiTheme="minorHAnsi" w:hAnsiTheme="minorHAnsi" w:cstheme="minorHAnsi"/>
          <w:color w:val="17365D" w:themeColor="text2" w:themeShade="BF"/>
        </w:rPr>
      </w:pPr>
    </w:p>
    <w:p w14:paraId="118D971A" w14:textId="13CD72FB" w:rsidR="00864193" w:rsidRPr="00AA1273" w:rsidRDefault="004F25E4" w:rsidP="005D175A">
      <w:pPr>
        <w:pStyle w:val="Zkladnodstavec"/>
        <w:jc w:val="both"/>
        <w:rPr>
          <w:rFonts w:asciiTheme="minorHAnsi" w:hAnsiTheme="minorHAnsi" w:cstheme="minorHAnsi"/>
          <w:b/>
          <w:bCs/>
          <w:caps/>
          <w:color w:val="17365D" w:themeColor="text2" w:themeShade="BF"/>
          <w:sz w:val="48"/>
          <w:szCs w:val="48"/>
        </w:rPr>
      </w:pPr>
      <w:r w:rsidRPr="00AA1273">
        <w:rPr>
          <w:rFonts w:asciiTheme="minorHAnsi" w:hAnsiTheme="minorHAnsi" w:cstheme="minorHAnsi"/>
          <w:b/>
          <w:caps/>
          <w:color w:val="002060"/>
          <w:sz w:val="48"/>
          <w:szCs w:val="48"/>
        </w:rPr>
        <w:t>metodika hodnocení sociálních kritérií</w:t>
      </w:r>
    </w:p>
    <w:p w14:paraId="0E27B00A" w14:textId="77777777" w:rsidR="00302C7F" w:rsidRPr="00321CFB" w:rsidRDefault="00302C7F" w:rsidP="005D175A">
      <w:pPr>
        <w:pStyle w:val="Default"/>
        <w:spacing w:line="288" w:lineRule="auto"/>
        <w:jc w:val="both"/>
        <w:rPr>
          <w:rFonts w:asciiTheme="minorHAnsi" w:hAnsiTheme="minorHAnsi" w:cstheme="minorHAnsi"/>
          <w:color w:val="17365D" w:themeColor="text2" w:themeShade="BF"/>
        </w:rPr>
      </w:pPr>
    </w:p>
    <w:p w14:paraId="60061E4C" w14:textId="77777777" w:rsidR="00302C7F" w:rsidRPr="00321CFB" w:rsidRDefault="00302C7F" w:rsidP="005D175A">
      <w:pPr>
        <w:pStyle w:val="Default"/>
        <w:spacing w:line="288" w:lineRule="auto"/>
        <w:jc w:val="both"/>
        <w:rPr>
          <w:rFonts w:asciiTheme="minorHAnsi" w:hAnsiTheme="minorHAnsi" w:cstheme="minorHAnsi"/>
          <w:color w:val="17365D" w:themeColor="text2" w:themeShade="BF"/>
        </w:rPr>
      </w:pPr>
    </w:p>
    <w:p w14:paraId="44EAFD9C" w14:textId="77777777" w:rsidR="00302C7F" w:rsidRPr="00321CFB" w:rsidRDefault="00302C7F" w:rsidP="005D175A">
      <w:pPr>
        <w:pStyle w:val="Default"/>
        <w:spacing w:line="288" w:lineRule="auto"/>
        <w:jc w:val="both"/>
        <w:rPr>
          <w:rFonts w:asciiTheme="minorHAnsi" w:hAnsiTheme="minorHAnsi" w:cstheme="minorHAnsi"/>
          <w:color w:val="17365D" w:themeColor="text2" w:themeShade="BF"/>
        </w:rPr>
      </w:pPr>
    </w:p>
    <w:p w14:paraId="4B94D5A5" w14:textId="77777777" w:rsidR="00302C7F" w:rsidRPr="00321CFB" w:rsidRDefault="00302C7F" w:rsidP="005D175A">
      <w:pPr>
        <w:spacing w:after="0" w:line="288" w:lineRule="auto"/>
        <w:jc w:val="both"/>
        <w:rPr>
          <w:rFonts w:cstheme="minorHAnsi"/>
          <w:caps/>
          <w:color w:val="17365D" w:themeColor="text2" w:themeShade="BF"/>
          <w:sz w:val="32"/>
          <w:szCs w:val="32"/>
        </w:rPr>
      </w:pPr>
    </w:p>
    <w:p w14:paraId="3DEEC669" w14:textId="43B650AA" w:rsidR="00302C7F" w:rsidRPr="00321CFB" w:rsidRDefault="00302C7F" w:rsidP="005D175A">
      <w:pPr>
        <w:spacing w:after="0" w:line="288" w:lineRule="auto"/>
        <w:jc w:val="both"/>
        <w:rPr>
          <w:rFonts w:cstheme="minorHAnsi"/>
          <w:caps/>
          <w:color w:val="17365D" w:themeColor="text2" w:themeShade="BF"/>
          <w:sz w:val="32"/>
          <w:szCs w:val="32"/>
        </w:rPr>
      </w:pPr>
    </w:p>
    <w:p w14:paraId="444156B6" w14:textId="19A84C80" w:rsidR="00A05BA9" w:rsidRPr="00321CFB" w:rsidRDefault="00A05BA9" w:rsidP="005D175A">
      <w:pPr>
        <w:spacing w:after="0" w:line="288" w:lineRule="auto"/>
        <w:jc w:val="both"/>
        <w:rPr>
          <w:rFonts w:cstheme="minorHAnsi"/>
          <w:caps/>
          <w:color w:val="17365D" w:themeColor="text2" w:themeShade="BF"/>
          <w:sz w:val="32"/>
          <w:szCs w:val="32"/>
        </w:rPr>
      </w:pPr>
    </w:p>
    <w:p w14:paraId="4C587A24" w14:textId="77777777" w:rsidR="00A05BA9" w:rsidRPr="00321CFB" w:rsidRDefault="00A05BA9" w:rsidP="005D175A">
      <w:pPr>
        <w:spacing w:after="0" w:line="288" w:lineRule="auto"/>
        <w:jc w:val="both"/>
        <w:rPr>
          <w:rFonts w:cstheme="minorHAnsi"/>
          <w:caps/>
          <w:color w:val="17365D" w:themeColor="text2" w:themeShade="BF"/>
          <w:sz w:val="32"/>
          <w:szCs w:val="32"/>
        </w:rPr>
      </w:pPr>
    </w:p>
    <w:p w14:paraId="281E8D4F" w14:textId="77777777" w:rsidR="00F11EC9" w:rsidRDefault="00F11EC9" w:rsidP="005D175A">
      <w:pPr>
        <w:spacing w:line="288" w:lineRule="auto"/>
        <w:jc w:val="both"/>
        <w:rPr>
          <w:rFonts w:eastAsia="Arial" w:cstheme="minorHAnsi"/>
          <w:b/>
          <w:bCs/>
          <w:color w:val="002060"/>
          <w:sz w:val="28"/>
          <w:szCs w:val="28"/>
        </w:rPr>
      </w:pPr>
    </w:p>
    <w:p w14:paraId="5C975897" w14:textId="77777777" w:rsidR="00F11EC9" w:rsidRDefault="00F11EC9" w:rsidP="005D175A">
      <w:pPr>
        <w:spacing w:line="288" w:lineRule="auto"/>
        <w:jc w:val="both"/>
        <w:rPr>
          <w:rFonts w:eastAsia="Arial" w:cstheme="minorHAnsi"/>
          <w:b/>
          <w:bCs/>
          <w:color w:val="002060"/>
          <w:sz w:val="28"/>
          <w:szCs w:val="28"/>
        </w:rPr>
      </w:pPr>
    </w:p>
    <w:p w14:paraId="5462AC45" w14:textId="77777777" w:rsidR="00F11EC9" w:rsidRDefault="00F11EC9" w:rsidP="005D175A">
      <w:pPr>
        <w:spacing w:line="288" w:lineRule="auto"/>
        <w:jc w:val="both"/>
        <w:rPr>
          <w:rFonts w:eastAsia="Arial" w:cstheme="minorHAnsi"/>
          <w:b/>
          <w:bCs/>
          <w:color w:val="002060"/>
          <w:sz w:val="28"/>
          <w:szCs w:val="28"/>
        </w:rPr>
      </w:pPr>
    </w:p>
    <w:p w14:paraId="6857E9B4" w14:textId="46402B70" w:rsidR="00A05BA9" w:rsidRDefault="00302C7F" w:rsidP="005D175A">
      <w:pPr>
        <w:spacing w:line="288" w:lineRule="auto"/>
        <w:jc w:val="both"/>
        <w:rPr>
          <w:rFonts w:eastAsia="Arial" w:cstheme="minorHAnsi"/>
          <w:b/>
          <w:bCs/>
          <w:color w:val="002060"/>
          <w:sz w:val="28"/>
          <w:szCs w:val="28"/>
        </w:rPr>
      </w:pPr>
      <w:r w:rsidRPr="00321CFB">
        <w:rPr>
          <w:rFonts w:eastAsia="Arial" w:cstheme="minorHAnsi"/>
          <w:b/>
          <w:bCs/>
          <w:color w:val="002060"/>
          <w:sz w:val="28"/>
          <w:szCs w:val="28"/>
        </w:rPr>
        <w:t xml:space="preserve">Platnost od </w:t>
      </w:r>
      <w:r w:rsidR="005D175A" w:rsidRPr="005D175A">
        <w:rPr>
          <w:rFonts w:eastAsia="Arial" w:cstheme="minorHAnsi"/>
          <w:b/>
          <w:bCs/>
          <w:color w:val="002060"/>
          <w:sz w:val="28"/>
          <w:szCs w:val="28"/>
        </w:rPr>
        <w:t>1</w:t>
      </w:r>
      <w:r w:rsidR="00AA1273">
        <w:rPr>
          <w:rFonts w:eastAsia="Arial" w:cstheme="minorHAnsi"/>
          <w:b/>
          <w:bCs/>
          <w:color w:val="002060"/>
          <w:sz w:val="28"/>
          <w:szCs w:val="28"/>
        </w:rPr>
        <w:t>2</w:t>
      </w:r>
      <w:r w:rsidR="00AB5880" w:rsidRPr="005D175A">
        <w:rPr>
          <w:rFonts w:eastAsia="Arial" w:cstheme="minorHAnsi"/>
          <w:b/>
          <w:bCs/>
          <w:color w:val="002060"/>
          <w:sz w:val="28"/>
          <w:szCs w:val="28"/>
        </w:rPr>
        <w:t xml:space="preserve">. </w:t>
      </w:r>
      <w:r w:rsidR="00AA1273">
        <w:rPr>
          <w:rFonts w:eastAsia="Arial" w:cstheme="minorHAnsi"/>
          <w:b/>
          <w:bCs/>
          <w:color w:val="002060"/>
          <w:sz w:val="28"/>
          <w:szCs w:val="28"/>
        </w:rPr>
        <w:t>2</w:t>
      </w:r>
      <w:r w:rsidR="00AB5880" w:rsidRPr="005D175A">
        <w:rPr>
          <w:rFonts w:eastAsia="Arial" w:cstheme="minorHAnsi"/>
          <w:b/>
          <w:bCs/>
          <w:color w:val="002060"/>
          <w:sz w:val="28"/>
          <w:szCs w:val="28"/>
        </w:rPr>
        <w:t>. 202</w:t>
      </w:r>
      <w:r w:rsidR="00AA1273">
        <w:rPr>
          <w:rFonts w:eastAsia="Arial" w:cstheme="minorHAnsi"/>
          <w:b/>
          <w:bCs/>
          <w:color w:val="002060"/>
          <w:sz w:val="28"/>
          <w:szCs w:val="28"/>
        </w:rPr>
        <w:t>4</w:t>
      </w:r>
    </w:p>
    <w:p w14:paraId="2FA593A5" w14:textId="58CEB1ED" w:rsidR="00864193" w:rsidRDefault="00864193" w:rsidP="005D175A">
      <w:pPr>
        <w:pStyle w:val="Nadpis1"/>
        <w:spacing w:line="288" w:lineRule="auto"/>
        <w:ind w:left="284"/>
        <w:jc w:val="both"/>
        <w:rPr>
          <w:caps/>
        </w:rPr>
      </w:pPr>
      <w:bookmarkStart w:id="0" w:name="_Toc125556037"/>
    </w:p>
    <w:p w14:paraId="0C8CC4B7" w14:textId="0F635E60" w:rsidR="00864193" w:rsidRDefault="00864193" w:rsidP="005D175A">
      <w:pPr>
        <w:jc w:val="both"/>
      </w:pPr>
    </w:p>
    <w:p w14:paraId="60F2943B" w14:textId="77777777" w:rsidR="004F25E4" w:rsidRDefault="004F25E4" w:rsidP="005D175A">
      <w:pPr>
        <w:pStyle w:val="Nadpis1"/>
        <w:spacing w:line="288" w:lineRule="auto"/>
        <w:jc w:val="both"/>
        <w:rPr>
          <w:caps/>
        </w:rPr>
      </w:pPr>
      <w:r>
        <w:rPr>
          <w:caps/>
        </w:rPr>
        <w:lastRenderedPageBreak/>
        <w:t>Minimální potřebné bodové hodnocení</w:t>
      </w:r>
      <w:r>
        <w:rPr>
          <w:rStyle w:val="Znakapoznpodarou"/>
          <w:caps/>
        </w:rPr>
        <w:footnoteReference w:id="2"/>
      </w:r>
    </w:p>
    <w:p w14:paraId="3D018FD1" w14:textId="0D321547" w:rsidR="00864193" w:rsidRDefault="004F25E4" w:rsidP="005D175A">
      <w:pPr>
        <w:jc w:val="both"/>
      </w:pPr>
      <w:r>
        <w:t>Obecným požadavkem je, aby příjemce dosáhl alespoň 10 bodů v rámci kategorie „sociální kritéria“, která se skládá z následujících podoblastí: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7394"/>
        <w:gridCol w:w="1678"/>
      </w:tblGrid>
      <w:tr w:rsidR="004F25E4" w:rsidRPr="0000004A" w14:paraId="7D9ACA33" w14:textId="77777777" w:rsidTr="005D175A">
        <w:trPr>
          <w:trHeight w:val="518"/>
        </w:trPr>
        <w:tc>
          <w:tcPr>
            <w:tcW w:w="7394" w:type="dxa"/>
            <w:shd w:val="clear" w:color="auto" w:fill="F2F2F2" w:themeFill="background1" w:themeFillShade="F2"/>
          </w:tcPr>
          <w:p w14:paraId="6D8C5FFA" w14:textId="77777777" w:rsidR="004F25E4" w:rsidRPr="0000004A" w:rsidRDefault="004F25E4" w:rsidP="005D175A">
            <w:pPr>
              <w:pStyle w:val="Bezmezer"/>
              <w:spacing w:line="288" w:lineRule="auto"/>
              <w:ind w:right="15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0004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Sociální kritéria</w:t>
            </w:r>
          </w:p>
        </w:tc>
        <w:tc>
          <w:tcPr>
            <w:tcW w:w="1678" w:type="dxa"/>
            <w:shd w:val="clear" w:color="auto" w:fill="F2F2F2" w:themeFill="background1" w:themeFillShade="F2"/>
          </w:tcPr>
          <w:p w14:paraId="3D4AE75E" w14:textId="77777777" w:rsidR="004F25E4" w:rsidRPr="0000004A" w:rsidRDefault="004F25E4" w:rsidP="005D175A">
            <w:pPr>
              <w:pStyle w:val="Bezmezer"/>
              <w:spacing w:line="288" w:lineRule="auto"/>
              <w:ind w:right="15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4F25E4" w:rsidRPr="00570145" w14:paraId="3D0FBCDD" w14:textId="77777777" w:rsidTr="005D175A">
        <w:trPr>
          <w:trHeight w:val="518"/>
        </w:trPr>
        <w:tc>
          <w:tcPr>
            <w:tcW w:w="7394" w:type="dxa"/>
          </w:tcPr>
          <w:p w14:paraId="364C0A8D" w14:textId="7E41F642" w:rsidR="004F25E4" w:rsidRPr="00570145" w:rsidRDefault="004F25E4" w:rsidP="005D175A">
            <w:pPr>
              <w:pStyle w:val="Bezmezer"/>
              <w:numPr>
                <w:ilvl w:val="0"/>
                <w:numId w:val="3"/>
              </w:numPr>
              <w:spacing w:line="288" w:lineRule="auto"/>
              <w:ind w:right="15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Potřebnost výstavby dle dostupnosti bydlení </w:t>
            </w:r>
          </w:p>
        </w:tc>
        <w:tc>
          <w:tcPr>
            <w:tcW w:w="1678" w:type="dxa"/>
          </w:tcPr>
          <w:p w14:paraId="1E3D9F29" w14:textId="66CB3FD8" w:rsidR="004F25E4" w:rsidRPr="00570145" w:rsidRDefault="004F25E4" w:rsidP="005D175A">
            <w:pPr>
              <w:pStyle w:val="Bezmezer"/>
              <w:spacing w:line="288" w:lineRule="auto"/>
              <w:ind w:right="15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0–15 bodů</w:t>
            </w:r>
          </w:p>
        </w:tc>
      </w:tr>
      <w:tr w:rsidR="004F25E4" w14:paraId="7E6A8717" w14:textId="77777777" w:rsidTr="005D175A">
        <w:trPr>
          <w:trHeight w:val="518"/>
        </w:trPr>
        <w:tc>
          <w:tcPr>
            <w:tcW w:w="7394" w:type="dxa"/>
          </w:tcPr>
          <w:p w14:paraId="1FCD4361" w14:textId="0CA0979F" w:rsidR="004F25E4" w:rsidRDefault="004F25E4" w:rsidP="005D175A">
            <w:pPr>
              <w:pStyle w:val="Bezmezer"/>
              <w:numPr>
                <w:ilvl w:val="0"/>
                <w:numId w:val="3"/>
              </w:numPr>
              <w:spacing w:line="288" w:lineRule="auto"/>
              <w:ind w:right="15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Podíl sociálního bydlení </w:t>
            </w:r>
          </w:p>
        </w:tc>
        <w:tc>
          <w:tcPr>
            <w:tcW w:w="1678" w:type="dxa"/>
          </w:tcPr>
          <w:p w14:paraId="209E9298" w14:textId="5A1BA6FB" w:rsidR="004F25E4" w:rsidRDefault="00A5765E" w:rsidP="005D175A">
            <w:pPr>
              <w:pStyle w:val="Bezmezer"/>
              <w:spacing w:line="288" w:lineRule="auto"/>
              <w:ind w:right="15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0</w:t>
            </w:r>
            <w:r w:rsidR="006D70C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</w:rPr>
              <w:t>/</w:t>
            </w:r>
            <w:r w:rsidR="006D70C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</w:rPr>
              <w:t>5</w:t>
            </w:r>
            <w:r w:rsidR="001A7D06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4F25E4">
              <w:rPr>
                <w:rFonts w:asciiTheme="minorHAnsi" w:hAnsiTheme="minorHAnsi" w:cstheme="minorHAnsi"/>
                <w:color w:val="000000" w:themeColor="text1"/>
              </w:rPr>
              <w:t xml:space="preserve"> bodů</w:t>
            </w:r>
          </w:p>
        </w:tc>
      </w:tr>
      <w:tr w:rsidR="004F25E4" w:rsidRPr="00591B82" w14:paraId="2632A94F" w14:textId="77777777" w:rsidTr="005D175A">
        <w:trPr>
          <w:trHeight w:val="518"/>
        </w:trPr>
        <w:tc>
          <w:tcPr>
            <w:tcW w:w="7394" w:type="dxa"/>
          </w:tcPr>
          <w:p w14:paraId="57CD6E32" w14:textId="7E90F01D" w:rsidR="004F25E4" w:rsidRPr="00591B82" w:rsidRDefault="004F25E4" w:rsidP="005D175A">
            <w:pPr>
              <w:pStyle w:val="Bezmezer"/>
              <w:numPr>
                <w:ilvl w:val="0"/>
                <w:numId w:val="3"/>
              </w:numPr>
              <w:spacing w:line="288" w:lineRule="auto"/>
              <w:ind w:right="150"/>
              <w:jc w:val="both"/>
              <w:rPr>
                <w:rFonts w:asciiTheme="minorHAnsi" w:hAnsiTheme="minorHAnsi" w:cstheme="minorHAnsi"/>
              </w:rPr>
            </w:pPr>
            <w:r w:rsidRPr="00591B82">
              <w:rPr>
                <w:rFonts w:asciiTheme="minorHAnsi" w:hAnsiTheme="minorHAnsi" w:cstheme="minorHAnsi"/>
              </w:rPr>
              <w:t>Cílová skupina</w:t>
            </w:r>
            <w:r w:rsidR="0097069F">
              <w:rPr>
                <w:rFonts w:asciiTheme="minorHAnsi" w:hAnsiTheme="minorHAnsi" w:cstheme="minorHAnsi"/>
              </w:rPr>
              <w:t xml:space="preserve"> dostupnosti bydlení</w:t>
            </w:r>
            <w:r w:rsidRPr="00591B82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678" w:type="dxa"/>
          </w:tcPr>
          <w:p w14:paraId="7F096347" w14:textId="546EC7EB" w:rsidR="004F25E4" w:rsidRPr="00591B82" w:rsidRDefault="00A5765E" w:rsidP="005D175A">
            <w:pPr>
              <w:pStyle w:val="Bezmezer"/>
              <w:spacing w:line="288" w:lineRule="auto"/>
              <w:ind w:right="15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0–5 </w:t>
            </w:r>
            <w:r w:rsidR="004F25E4">
              <w:rPr>
                <w:rFonts w:asciiTheme="minorHAnsi" w:hAnsiTheme="minorHAnsi" w:cstheme="minorHAnsi"/>
              </w:rPr>
              <w:t>bodů</w:t>
            </w:r>
          </w:p>
        </w:tc>
      </w:tr>
      <w:tr w:rsidR="004F25E4" w14:paraId="24EB2518" w14:textId="77777777" w:rsidTr="005D175A">
        <w:trPr>
          <w:trHeight w:val="518"/>
        </w:trPr>
        <w:tc>
          <w:tcPr>
            <w:tcW w:w="7394" w:type="dxa"/>
          </w:tcPr>
          <w:p w14:paraId="009601C3" w14:textId="2167D454" w:rsidR="004F25E4" w:rsidRDefault="004F25E4" w:rsidP="005D175A">
            <w:pPr>
              <w:pStyle w:val="Bezmezer"/>
              <w:numPr>
                <w:ilvl w:val="0"/>
                <w:numId w:val="3"/>
              </w:numPr>
              <w:spacing w:line="288" w:lineRule="auto"/>
              <w:ind w:right="15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Strukturálně postižený region</w:t>
            </w:r>
            <w:r w:rsidR="001F4AE2">
              <w:rPr>
                <w:rFonts w:asciiTheme="minorHAnsi" w:hAnsiTheme="minorHAnsi" w:cstheme="minorHAnsi"/>
                <w:color w:val="000000" w:themeColor="text1"/>
              </w:rPr>
              <w:t>, HSOÚ</w:t>
            </w:r>
            <w:r>
              <w:rPr>
                <w:rStyle w:val="Znakapoznpodarou"/>
                <w:rFonts w:asciiTheme="minorHAnsi" w:hAnsiTheme="minorHAnsi" w:cstheme="minorHAnsi"/>
                <w:color w:val="000000" w:themeColor="text1"/>
              </w:rPr>
              <w:footnoteReference w:id="3"/>
            </w:r>
          </w:p>
        </w:tc>
        <w:tc>
          <w:tcPr>
            <w:tcW w:w="1678" w:type="dxa"/>
          </w:tcPr>
          <w:p w14:paraId="15CE42F3" w14:textId="3183BA98" w:rsidR="004F25E4" w:rsidRDefault="004F25E4" w:rsidP="005D175A">
            <w:pPr>
              <w:pStyle w:val="Bezmezer"/>
              <w:spacing w:line="288" w:lineRule="auto"/>
              <w:ind w:right="15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0 / 5 bodů</w:t>
            </w:r>
          </w:p>
        </w:tc>
      </w:tr>
    </w:tbl>
    <w:p w14:paraId="4B2FB0FA" w14:textId="4391470D" w:rsidR="004F25E4" w:rsidRDefault="004F25E4" w:rsidP="005D175A">
      <w:pPr>
        <w:pStyle w:val="Nadpis1"/>
        <w:numPr>
          <w:ilvl w:val="0"/>
          <w:numId w:val="2"/>
        </w:numPr>
        <w:spacing w:line="288" w:lineRule="auto"/>
        <w:jc w:val="both"/>
      </w:pPr>
      <w:r>
        <w:t xml:space="preserve">Potřebnost výstavby dle dostupnosti bydlení </w:t>
      </w:r>
    </w:p>
    <w:p w14:paraId="4E47571F" w14:textId="787D4F18" w:rsidR="004F25E4" w:rsidRDefault="004F25E4" w:rsidP="005D175A">
      <w:pPr>
        <w:jc w:val="both"/>
      </w:pPr>
      <w:r>
        <w:t>Jednotlivá ORP získají 0 – 15 bodů podle finanční dostupnosti nájemního bydlení, která odráží poměr průměrného nájemného v ORP a průměrného příjmu v</w:t>
      </w:r>
      <w:r w:rsidR="003844D6">
        <w:t> </w:t>
      </w:r>
      <w:r>
        <w:t>ORP</w:t>
      </w:r>
      <w:r w:rsidR="003844D6">
        <w:t xml:space="preserve">. Hodnoty za jednotlivé ORP jsou uvedeny v tabulce </w:t>
      </w:r>
      <w:r w:rsidR="00F73A7F">
        <w:t>níže</w:t>
      </w:r>
      <w:r>
        <w:t>.</w:t>
      </w:r>
    </w:p>
    <w:p w14:paraId="566E2D01" w14:textId="77777777" w:rsidR="00F73A7F" w:rsidRDefault="00F73A7F" w:rsidP="005D175A">
      <w:pPr>
        <w:spacing w:after="0" w:line="240" w:lineRule="auto"/>
        <w:jc w:val="both"/>
        <w:rPr>
          <w:rFonts w:eastAsia="Times New Roman" w:cstheme="minorHAnsi"/>
          <w:b/>
          <w:bCs/>
          <w:color w:val="FFFFFF"/>
          <w:sz w:val="16"/>
          <w:szCs w:val="16"/>
          <w:lang w:eastAsia="cs-CZ"/>
        </w:rPr>
        <w:sectPr w:rsidR="00F73A7F" w:rsidSect="0075715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4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3"/>
        <w:gridCol w:w="2591"/>
        <w:gridCol w:w="567"/>
      </w:tblGrid>
      <w:tr w:rsidR="00F73A7F" w:rsidRPr="00F73A7F" w14:paraId="2C818DB6" w14:textId="77777777" w:rsidTr="00F73A7F">
        <w:trPr>
          <w:trHeight w:val="300"/>
        </w:trPr>
        <w:tc>
          <w:tcPr>
            <w:tcW w:w="1373" w:type="dxa"/>
            <w:shd w:val="clear" w:color="000000" w:fill="000000"/>
            <w:noWrap/>
            <w:vAlign w:val="bottom"/>
            <w:hideMark/>
          </w:tcPr>
          <w:p w14:paraId="313FE233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cs-CZ"/>
              </w:rPr>
              <w:t>kraj_nazev</w:t>
            </w:r>
          </w:p>
        </w:tc>
        <w:tc>
          <w:tcPr>
            <w:tcW w:w="2591" w:type="dxa"/>
            <w:shd w:val="clear" w:color="000000" w:fill="000000"/>
            <w:noWrap/>
            <w:vAlign w:val="bottom"/>
            <w:hideMark/>
          </w:tcPr>
          <w:p w14:paraId="7AD594EB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cs-CZ"/>
              </w:rPr>
              <w:t>orp_nazev</w:t>
            </w:r>
          </w:p>
        </w:tc>
        <w:tc>
          <w:tcPr>
            <w:tcW w:w="567" w:type="dxa"/>
            <w:shd w:val="clear" w:color="000000" w:fill="000000"/>
            <w:noWrap/>
            <w:vAlign w:val="bottom"/>
            <w:hideMark/>
          </w:tcPr>
          <w:p w14:paraId="6EBEE5C4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cs-CZ"/>
              </w:rPr>
              <w:t>body</w:t>
            </w:r>
          </w:p>
        </w:tc>
      </w:tr>
      <w:tr w:rsidR="00F73A7F" w:rsidRPr="00F73A7F" w14:paraId="2CE31E07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01263C30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Praha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32DFB257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Praha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C97039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13</w:t>
            </w:r>
          </w:p>
        </w:tc>
      </w:tr>
      <w:tr w:rsidR="00F73A7F" w:rsidRPr="00F73A7F" w14:paraId="1F50AD13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2003B023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Středočeský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4888EE07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Benešov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206F0A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11</w:t>
            </w:r>
          </w:p>
        </w:tc>
      </w:tr>
      <w:tr w:rsidR="00F73A7F" w:rsidRPr="00F73A7F" w14:paraId="7F3F6761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750C6E97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Středočeský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78FB9C00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Beroun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9CA3A9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12</w:t>
            </w:r>
          </w:p>
        </w:tc>
      </w:tr>
      <w:tr w:rsidR="00F73A7F" w:rsidRPr="00F73A7F" w14:paraId="604C9D2E" w14:textId="77777777" w:rsidTr="00F73A7F">
        <w:trPr>
          <w:trHeight w:val="262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3E6DDE0A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Středočeský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17EBEB65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Brandýs nad Labem-Stará Boleslav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B2394A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11</w:t>
            </w:r>
          </w:p>
        </w:tc>
      </w:tr>
      <w:tr w:rsidR="00F73A7F" w:rsidRPr="00F73A7F" w14:paraId="0D98018B" w14:textId="77777777" w:rsidTr="00F73A7F">
        <w:trPr>
          <w:trHeight w:val="28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7636CA9E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Středočeský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2F081898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Čáslav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A4492C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10</w:t>
            </w:r>
          </w:p>
        </w:tc>
      </w:tr>
      <w:tr w:rsidR="00F73A7F" w:rsidRPr="00F73A7F" w14:paraId="1D6C03BA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1B7FDBD5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Středočeský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132145E9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Černošice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83B2B7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9</w:t>
            </w:r>
          </w:p>
        </w:tc>
      </w:tr>
      <w:tr w:rsidR="00F73A7F" w:rsidRPr="00F73A7F" w14:paraId="31B7049F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53D7CA1D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Středočeský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1871A8AF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Český Brod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60F580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11</w:t>
            </w:r>
          </w:p>
        </w:tc>
      </w:tr>
      <w:tr w:rsidR="00F73A7F" w:rsidRPr="00F73A7F" w14:paraId="384FEF7B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5539086D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Středočeský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08050E13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Dobříš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F9A586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10</w:t>
            </w:r>
          </w:p>
        </w:tc>
      </w:tr>
      <w:tr w:rsidR="00F73A7F" w:rsidRPr="00F73A7F" w14:paraId="6B713E9D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6DA30770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Středočeský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22615803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Hořovice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7A3C8A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7</w:t>
            </w:r>
          </w:p>
        </w:tc>
      </w:tr>
      <w:tr w:rsidR="00F73A7F" w:rsidRPr="00F73A7F" w14:paraId="517C9194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727C0DFC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Středočeský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1C316D9E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Kladno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46FD9F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11</w:t>
            </w:r>
          </w:p>
        </w:tc>
      </w:tr>
      <w:tr w:rsidR="00F73A7F" w:rsidRPr="00F73A7F" w14:paraId="1BCADAB4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32E9CC48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Středočeský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4E4EC71D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Kolín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397F06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12</w:t>
            </w:r>
          </w:p>
        </w:tc>
      </w:tr>
      <w:tr w:rsidR="00F73A7F" w:rsidRPr="00F73A7F" w14:paraId="6DB146D2" w14:textId="77777777" w:rsidTr="00F73A7F">
        <w:trPr>
          <w:trHeight w:val="226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5034F6D8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Středočeský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1AEE92F0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Kralupy nad Vltavou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87CC31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10</w:t>
            </w:r>
          </w:p>
        </w:tc>
      </w:tr>
      <w:tr w:rsidR="00F73A7F" w:rsidRPr="00F73A7F" w14:paraId="7DEB88E6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44F6CA05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Středočeský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4AB0F2AA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Kutná Hora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5A3D3A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12</w:t>
            </w:r>
          </w:p>
        </w:tc>
      </w:tr>
      <w:tr w:rsidR="00F73A7F" w:rsidRPr="00F73A7F" w14:paraId="067DBC48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4FEFCD8D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Středočeský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3DAD721D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Lysá nad Labem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FF9ED9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10</w:t>
            </w:r>
          </w:p>
        </w:tc>
      </w:tr>
      <w:tr w:rsidR="00F73A7F" w:rsidRPr="00F73A7F" w14:paraId="2C44D9CB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20ACDAA5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Středočeský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224CA02B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Mělník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A95C3F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10</w:t>
            </w:r>
          </w:p>
        </w:tc>
      </w:tr>
      <w:tr w:rsidR="00F73A7F" w:rsidRPr="00F73A7F" w14:paraId="2F885B72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686412CA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Středočeský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6231CB9D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Mladá Boleslav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5D2605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10</w:t>
            </w:r>
          </w:p>
        </w:tc>
      </w:tr>
      <w:tr w:rsidR="00F73A7F" w:rsidRPr="00F73A7F" w14:paraId="20FC65B6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1D28DEC9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Středočeský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43F78B9A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Mnichovo Hradiště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B370D6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10</w:t>
            </w:r>
          </w:p>
        </w:tc>
      </w:tr>
      <w:tr w:rsidR="00F73A7F" w:rsidRPr="00F73A7F" w14:paraId="488B6409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0DD6B1CA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Středočeský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006F4E7B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Neratovice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226BB9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11</w:t>
            </w:r>
          </w:p>
        </w:tc>
      </w:tr>
      <w:tr w:rsidR="00F73A7F" w:rsidRPr="00F73A7F" w14:paraId="7DADDB83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26898BAE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Středočeský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05C066F5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Nymburk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3A8930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9</w:t>
            </w:r>
          </w:p>
        </w:tc>
      </w:tr>
      <w:tr w:rsidR="00F73A7F" w:rsidRPr="00F73A7F" w14:paraId="60A61B03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11CB3212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Středočeský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3B4C8B38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Poděbrady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85C368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9</w:t>
            </w:r>
          </w:p>
        </w:tc>
      </w:tr>
      <w:tr w:rsidR="00F73A7F" w:rsidRPr="00F73A7F" w14:paraId="26A54B30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5F671EB4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Středočeský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1211BD5B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Příbram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99F6FE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9</w:t>
            </w:r>
          </w:p>
        </w:tc>
      </w:tr>
      <w:tr w:rsidR="00F73A7F" w:rsidRPr="00F73A7F" w14:paraId="072A5782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2E422CE8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Středočeský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3BC18A29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Rakovník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DE247C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10</w:t>
            </w:r>
          </w:p>
        </w:tc>
      </w:tr>
      <w:tr w:rsidR="00F73A7F" w:rsidRPr="00F73A7F" w14:paraId="2CD1241E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7E6BBB03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Středočeský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05F2696A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Říčany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C2BCC8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12</w:t>
            </w:r>
          </w:p>
        </w:tc>
      </w:tr>
      <w:tr w:rsidR="00F73A7F" w:rsidRPr="00F73A7F" w14:paraId="42D26622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6E63561B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Středočeský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73EB4763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Sedlčany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1E8B4A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8</w:t>
            </w:r>
          </w:p>
        </w:tc>
      </w:tr>
      <w:tr w:rsidR="00F73A7F" w:rsidRPr="00F73A7F" w14:paraId="34494481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1CA4EE6F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Středočeský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7E5BE81F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Slaný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E4D843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10</w:t>
            </w:r>
          </w:p>
        </w:tc>
      </w:tr>
      <w:tr w:rsidR="00F73A7F" w:rsidRPr="00F73A7F" w14:paraId="12881986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79D5CB3F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Středočeský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19E32D8B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Vlašim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56F880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9</w:t>
            </w:r>
          </w:p>
        </w:tc>
      </w:tr>
      <w:tr w:rsidR="00F73A7F" w:rsidRPr="00F73A7F" w14:paraId="09AD2826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0A47E70D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Středočeský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03778823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Votice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AE52DA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7</w:t>
            </w:r>
          </w:p>
        </w:tc>
      </w:tr>
      <w:tr w:rsidR="00F73A7F" w:rsidRPr="00F73A7F" w14:paraId="0F29D39D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52EA0110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Jihočeský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763792AF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Blatná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03358A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5</w:t>
            </w:r>
          </w:p>
        </w:tc>
      </w:tr>
      <w:tr w:rsidR="00F73A7F" w:rsidRPr="00F73A7F" w14:paraId="72250761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52A7F7C4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Jihočeský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10D8E9DB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České Budějovice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902D41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9</w:t>
            </w:r>
          </w:p>
        </w:tc>
      </w:tr>
      <w:tr w:rsidR="00F73A7F" w:rsidRPr="00F73A7F" w14:paraId="338F7268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1198FC51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Jihočeský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35146E71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Český Krumlov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DDB5AC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9</w:t>
            </w:r>
          </w:p>
        </w:tc>
      </w:tr>
      <w:tr w:rsidR="00F73A7F" w:rsidRPr="00F73A7F" w14:paraId="6EF748CA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2124E16A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Jihočeský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1EE86CFC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Dačice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A9D257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5</w:t>
            </w:r>
          </w:p>
        </w:tc>
      </w:tr>
      <w:tr w:rsidR="00F73A7F" w:rsidRPr="00F73A7F" w14:paraId="2442C258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1FB070E2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Jihočeský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4EE75F8C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Jindřichův Hradec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4968B6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10</w:t>
            </w:r>
          </w:p>
        </w:tc>
      </w:tr>
      <w:tr w:rsidR="00F73A7F" w:rsidRPr="00F73A7F" w14:paraId="1800ED7C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30267499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Jihočeský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4E53E820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Kaplice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FCE59A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9</w:t>
            </w:r>
          </w:p>
        </w:tc>
      </w:tr>
      <w:tr w:rsidR="00F73A7F" w:rsidRPr="00F73A7F" w14:paraId="38DA9EF1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76A36BC9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Jihočeský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766AF1A2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Milevsko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C4B82D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6</w:t>
            </w:r>
          </w:p>
        </w:tc>
      </w:tr>
      <w:tr w:rsidR="00F73A7F" w:rsidRPr="00F73A7F" w14:paraId="37267C58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3610627C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Jihočeský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2D9F0E35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Písek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F0D4F4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5</w:t>
            </w:r>
          </w:p>
        </w:tc>
      </w:tr>
      <w:tr w:rsidR="00F73A7F" w:rsidRPr="00F73A7F" w14:paraId="7C43A160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5A7CFE6E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Jihočeský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0839A039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Prachatice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C47184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5</w:t>
            </w:r>
          </w:p>
        </w:tc>
      </w:tr>
      <w:tr w:rsidR="00F73A7F" w:rsidRPr="00F73A7F" w14:paraId="61998244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4992EA91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Jihočeský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243D9EE9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Soběslav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060923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4</w:t>
            </w:r>
          </w:p>
        </w:tc>
      </w:tr>
      <w:tr w:rsidR="00F73A7F" w:rsidRPr="00F73A7F" w14:paraId="7F165CA2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592762F6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Jihočeský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570C65A9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Strakonice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A4EC9F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4</w:t>
            </w:r>
          </w:p>
        </w:tc>
      </w:tr>
      <w:tr w:rsidR="00F73A7F" w:rsidRPr="00F73A7F" w14:paraId="49F25A7A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17ECC0FE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Jihočeský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70B499C7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Tábor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7C4866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6</w:t>
            </w:r>
          </w:p>
        </w:tc>
      </w:tr>
      <w:tr w:rsidR="00F73A7F" w:rsidRPr="00F73A7F" w14:paraId="25177347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7185E9F6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Jihočeský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396D74EF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Trhové Sviny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2BC453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7</w:t>
            </w:r>
          </w:p>
        </w:tc>
      </w:tr>
      <w:tr w:rsidR="00F73A7F" w:rsidRPr="00F73A7F" w14:paraId="371B0F4D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0FAE3D71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lastRenderedPageBreak/>
              <w:t>Jihočeský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2A77D8F1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Třeboň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CA5491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10</w:t>
            </w:r>
          </w:p>
        </w:tc>
      </w:tr>
      <w:tr w:rsidR="00F73A7F" w:rsidRPr="00F73A7F" w14:paraId="0788F428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2426C189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Jihočeský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7DDB5FF6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Týn nad Vltavou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FD4D3C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4</w:t>
            </w:r>
          </w:p>
        </w:tc>
      </w:tr>
      <w:tr w:rsidR="00F73A7F" w:rsidRPr="00F73A7F" w14:paraId="46A6FDAD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2C0B5196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Jihočeský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4945C407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Vimperk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7E26E6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3</w:t>
            </w:r>
          </w:p>
        </w:tc>
      </w:tr>
      <w:tr w:rsidR="00F73A7F" w:rsidRPr="00F73A7F" w14:paraId="7CCBFF1A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0F5EB190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Jihočeský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3ECEA160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Vodňany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11C555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6</w:t>
            </w:r>
          </w:p>
        </w:tc>
      </w:tr>
      <w:tr w:rsidR="00F73A7F" w:rsidRPr="00F73A7F" w14:paraId="3173C9EC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3906959C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Plzeňský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4CA6639A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Blovice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47F44C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3</w:t>
            </w:r>
          </w:p>
        </w:tc>
      </w:tr>
      <w:tr w:rsidR="00F73A7F" w:rsidRPr="00F73A7F" w14:paraId="2E3C78B9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4216330F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Plzeňský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68B1957F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Domažlice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C11B2D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4</w:t>
            </w:r>
          </w:p>
        </w:tc>
      </w:tr>
      <w:tr w:rsidR="00F73A7F" w:rsidRPr="00F73A7F" w14:paraId="3D7A0982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60F00FEC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Plzeňský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749FABD8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Horažďovice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9078E1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4</w:t>
            </w:r>
          </w:p>
        </w:tc>
      </w:tr>
      <w:tr w:rsidR="00F73A7F" w:rsidRPr="00F73A7F" w14:paraId="3F62BA99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0DCB9BCB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Plzeňský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57246CDF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Horšovský Týn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7194B5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F73A7F" w:rsidRPr="00F73A7F" w14:paraId="50179908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499D4710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Plzeňský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31BC1598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Klatovy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952776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8</w:t>
            </w:r>
          </w:p>
        </w:tc>
      </w:tr>
      <w:tr w:rsidR="00F73A7F" w:rsidRPr="00F73A7F" w14:paraId="1E70591B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3456A677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Plzeňský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7B3D05E8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Kralovice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189DF3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7</w:t>
            </w:r>
          </w:p>
        </w:tc>
      </w:tr>
      <w:tr w:rsidR="00F73A7F" w:rsidRPr="00F73A7F" w14:paraId="539D416E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571734F4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Plzeňský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30574DCE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Nepomuk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50B786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5</w:t>
            </w:r>
          </w:p>
        </w:tc>
      </w:tr>
      <w:tr w:rsidR="00F73A7F" w:rsidRPr="00F73A7F" w14:paraId="4A49E0DE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52E40A2D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Plzeňský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11674BCC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Nýřany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D396B8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7</w:t>
            </w:r>
          </w:p>
        </w:tc>
      </w:tr>
      <w:tr w:rsidR="00F73A7F" w:rsidRPr="00F73A7F" w14:paraId="352B1B3B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0F447E31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Plzeňský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51A9D399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Plzeň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277E74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7</w:t>
            </w:r>
          </w:p>
        </w:tc>
      </w:tr>
      <w:tr w:rsidR="00F73A7F" w:rsidRPr="00F73A7F" w14:paraId="54D86CF7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51C08046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Plzeňský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6105CF1A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Přeštice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E6F1D6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3</w:t>
            </w:r>
          </w:p>
        </w:tc>
      </w:tr>
      <w:tr w:rsidR="00F73A7F" w:rsidRPr="00F73A7F" w14:paraId="4F504D26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0DD931DA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Plzeňský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605A1DCF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Rokycany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366F14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6</w:t>
            </w:r>
          </w:p>
        </w:tc>
      </w:tr>
      <w:tr w:rsidR="00F73A7F" w:rsidRPr="00F73A7F" w14:paraId="267A2F78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56AC8072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Plzeňský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32C886DB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Stod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EA598C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4</w:t>
            </w:r>
          </w:p>
        </w:tc>
      </w:tr>
      <w:tr w:rsidR="00F73A7F" w:rsidRPr="00F73A7F" w14:paraId="07182641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387BDFBE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Plzeňský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03434B00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Stříbro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A103B6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6</w:t>
            </w:r>
          </w:p>
        </w:tc>
      </w:tr>
      <w:tr w:rsidR="00F73A7F" w:rsidRPr="00F73A7F" w14:paraId="28BE52AF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44803A85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Plzeňský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0651CEEC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Sušice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7BD59B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5</w:t>
            </w:r>
          </w:p>
        </w:tc>
      </w:tr>
      <w:tr w:rsidR="00F73A7F" w:rsidRPr="00F73A7F" w14:paraId="63B13EFB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2876BFF8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Plzeňský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6EAF5001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Tachov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9D1812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9</w:t>
            </w:r>
          </w:p>
        </w:tc>
      </w:tr>
      <w:tr w:rsidR="00F73A7F" w:rsidRPr="00F73A7F" w14:paraId="4DF39652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21CA1839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Karlovarský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611011E8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Aš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8BCAE5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8</w:t>
            </w:r>
          </w:p>
        </w:tc>
      </w:tr>
      <w:tr w:rsidR="00F73A7F" w:rsidRPr="00F73A7F" w14:paraId="5CD0FBFC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14DAAD8B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Karlovarský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24407A99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Cheb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AC15E6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7</w:t>
            </w:r>
          </w:p>
        </w:tc>
      </w:tr>
      <w:tr w:rsidR="00F73A7F" w:rsidRPr="00F73A7F" w14:paraId="3FFC8563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585FCDCF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Karlovarský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6E67612D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Karlovy Vary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07F988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10</w:t>
            </w:r>
          </w:p>
        </w:tc>
      </w:tr>
      <w:tr w:rsidR="00F73A7F" w:rsidRPr="00F73A7F" w14:paraId="48885411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5595FC88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Karlovarský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7605D7E0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Kraslice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37B0D9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0</w:t>
            </w:r>
          </w:p>
        </w:tc>
      </w:tr>
      <w:tr w:rsidR="00F73A7F" w:rsidRPr="00F73A7F" w14:paraId="58004FB0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310DE4D9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Karlovarský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7D11160C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Mariánské Lázně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87B390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10</w:t>
            </w:r>
          </w:p>
        </w:tc>
      </w:tr>
      <w:tr w:rsidR="00F73A7F" w:rsidRPr="00F73A7F" w14:paraId="1612000B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1EFDEB81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Karlovarský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0E40822B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Ostrov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CE57FA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9</w:t>
            </w:r>
          </w:p>
        </w:tc>
      </w:tr>
      <w:tr w:rsidR="00F73A7F" w:rsidRPr="00F73A7F" w14:paraId="074B870B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4B9860E4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Karlovarský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2FC9DBD4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Sokolov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03150D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5</w:t>
            </w:r>
          </w:p>
        </w:tc>
      </w:tr>
      <w:tr w:rsidR="00F73A7F" w:rsidRPr="00F73A7F" w14:paraId="38EDCAAA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77885316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Ústecký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43E865A2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Bílina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8FCE65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7</w:t>
            </w:r>
          </w:p>
        </w:tc>
      </w:tr>
      <w:tr w:rsidR="00F73A7F" w:rsidRPr="00F73A7F" w14:paraId="673991FC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1584AAA9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Ústecký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1D93D323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Děčín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17B2F7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4</w:t>
            </w:r>
          </w:p>
        </w:tc>
      </w:tr>
      <w:tr w:rsidR="00F73A7F" w:rsidRPr="00F73A7F" w14:paraId="106CAB30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26A24BBD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Ústecký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3B40474F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Chomutov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FC7DA3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7</w:t>
            </w:r>
          </w:p>
        </w:tc>
      </w:tr>
      <w:tr w:rsidR="00F73A7F" w:rsidRPr="00F73A7F" w14:paraId="6DCEFD24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33F0032A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Ústecký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19B63AFA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Kadaň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013EB1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12</w:t>
            </w:r>
          </w:p>
        </w:tc>
      </w:tr>
      <w:tr w:rsidR="00F73A7F" w:rsidRPr="00F73A7F" w14:paraId="2317FED1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38D23D33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Ústecký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74828F63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Litoměřice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C3BC34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10</w:t>
            </w:r>
          </w:p>
        </w:tc>
      </w:tr>
      <w:tr w:rsidR="00F73A7F" w:rsidRPr="00F73A7F" w14:paraId="43B93DBD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6A976F4A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Ústecký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4E956224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Litvínov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E2ED5F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5</w:t>
            </w:r>
          </w:p>
        </w:tc>
      </w:tr>
      <w:tr w:rsidR="00F73A7F" w:rsidRPr="00F73A7F" w14:paraId="6D72B405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3482488A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Ústecký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0525978D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Louny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339F4B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7</w:t>
            </w:r>
          </w:p>
        </w:tc>
      </w:tr>
      <w:tr w:rsidR="00F73A7F" w:rsidRPr="00F73A7F" w14:paraId="43F8A8FE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6471115C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Ústecký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60B3E5D7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Lovosice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8546C3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10</w:t>
            </w:r>
          </w:p>
        </w:tc>
      </w:tr>
      <w:tr w:rsidR="00F73A7F" w:rsidRPr="00F73A7F" w14:paraId="480C4B7A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3577DF62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Ústecký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52C1748A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Most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A0A5FA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8</w:t>
            </w:r>
          </w:p>
        </w:tc>
      </w:tr>
      <w:tr w:rsidR="00F73A7F" w:rsidRPr="00F73A7F" w14:paraId="26AF1E03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1AB85121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Ústecký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2C0D0F3E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Podbořany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0E9678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7</w:t>
            </w:r>
          </w:p>
        </w:tc>
      </w:tr>
      <w:tr w:rsidR="00F73A7F" w:rsidRPr="00F73A7F" w14:paraId="57713F4C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271F1735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Ústecký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6ECA15FB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Roudnice nad Labem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BA3432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9</w:t>
            </w:r>
          </w:p>
        </w:tc>
      </w:tr>
      <w:tr w:rsidR="00F73A7F" w:rsidRPr="00F73A7F" w14:paraId="4F2FB6C0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2E963E59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Ústecký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54E299D9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Rumburk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34F88B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2</w:t>
            </w:r>
          </w:p>
        </w:tc>
      </w:tr>
      <w:tr w:rsidR="00F73A7F" w:rsidRPr="00F73A7F" w14:paraId="2235B808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7482BDD0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Ústecký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56B8BB23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Teplice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F0212F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6</w:t>
            </w:r>
          </w:p>
        </w:tc>
      </w:tr>
      <w:tr w:rsidR="00F73A7F" w:rsidRPr="00F73A7F" w14:paraId="6540B478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01E1C7FA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Ústecký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4DC176B8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Ústí nad Labem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F453D4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6</w:t>
            </w:r>
          </w:p>
        </w:tc>
      </w:tr>
      <w:tr w:rsidR="00F73A7F" w:rsidRPr="00F73A7F" w14:paraId="08F0A5C2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7E58523B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Ústecký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1D579E31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Varnsdorf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5C81E9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5</w:t>
            </w:r>
          </w:p>
        </w:tc>
      </w:tr>
      <w:tr w:rsidR="00F73A7F" w:rsidRPr="00F73A7F" w14:paraId="4510FD0A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1313BC5A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Ústecký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772D76FF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Žatec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3B1E95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5</w:t>
            </w:r>
          </w:p>
        </w:tc>
      </w:tr>
      <w:tr w:rsidR="00F73A7F" w:rsidRPr="00F73A7F" w14:paraId="310CF541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37C84A57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Liberecký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19D8C00D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4C8166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7</w:t>
            </w:r>
          </w:p>
        </w:tc>
      </w:tr>
      <w:tr w:rsidR="00F73A7F" w:rsidRPr="00F73A7F" w14:paraId="20CEE542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5929983A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Liberecký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2BC1CC34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Frýdlant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C3A648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12</w:t>
            </w:r>
          </w:p>
        </w:tc>
      </w:tr>
      <w:tr w:rsidR="00F73A7F" w:rsidRPr="00F73A7F" w14:paraId="6D367426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3C3DEB4B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Liberecký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2E787FAD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C6EB1C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6</w:t>
            </w:r>
          </w:p>
        </w:tc>
      </w:tr>
      <w:tr w:rsidR="00F73A7F" w:rsidRPr="00F73A7F" w14:paraId="0156842B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5D12D3FC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Liberecký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365B3FE4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Jilemnice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AEE365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3</w:t>
            </w:r>
          </w:p>
        </w:tc>
      </w:tr>
      <w:tr w:rsidR="00F73A7F" w:rsidRPr="00F73A7F" w14:paraId="369CA89A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6F191D5D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Liberecký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31887E62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6555E2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9</w:t>
            </w:r>
          </w:p>
        </w:tc>
      </w:tr>
      <w:tr w:rsidR="00F73A7F" w:rsidRPr="00F73A7F" w14:paraId="4FA5F692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32FCEC32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Liberecký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2BFE023F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Nový Bor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A8FAAF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5</w:t>
            </w:r>
          </w:p>
        </w:tc>
      </w:tr>
      <w:tr w:rsidR="00F73A7F" w:rsidRPr="00F73A7F" w14:paraId="2632E7BD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2CF12791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Liberecký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3A87A810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47451C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4</w:t>
            </w:r>
          </w:p>
        </w:tc>
      </w:tr>
      <w:tr w:rsidR="00F73A7F" w:rsidRPr="00F73A7F" w14:paraId="011D8A20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09F109B8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Liberecký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7F0E7E77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Tanvald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16A0A3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5</w:t>
            </w:r>
          </w:p>
        </w:tc>
      </w:tr>
      <w:tr w:rsidR="00F73A7F" w:rsidRPr="00F73A7F" w14:paraId="364D9808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6548993B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Liberecký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2D2B61B3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4FD93B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8</w:t>
            </w:r>
          </w:p>
        </w:tc>
      </w:tr>
      <w:tr w:rsidR="00F73A7F" w:rsidRPr="00F73A7F" w14:paraId="454C7A4C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59CE3E73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Liberecký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583EAFEC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Železný Brod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EFCB05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6</w:t>
            </w:r>
          </w:p>
        </w:tc>
      </w:tr>
      <w:tr w:rsidR="00F73A7F" w:rsidRPr="00F73A7F" w14:paraId="346E049C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21FC9CA3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Královéhradecký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7311E9AF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Broumov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3EE1ED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7</w:t>
            </w:r>
          </w:p>
        </w:tc>
      </w:tr>
      <w:tr w:rsidR="00F73A7F" w:rsidRPr="00F73A7F" w14:paraId="59D7088B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7BB3A165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Královéhradecký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35439FE5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Dobruška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59E5EF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5</w:t>
            </w:r>
          </w:p>
        </w:tc>
      </w:tr>
      <w:tr w:rsidR="00F73A7F" w:rsidRPr="00F73A7F" w14:paraId="2E4F98EC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296FAD1D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Královéhradecký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3C510B99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Dvůr Králové nad Labem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36D32A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4</w:t>
            </w:r>
          </w:p>
        </w:tc>
      </w:tr>
      <w:tr w:rsidR="00F73A7F" w:rsidRPr="00F73A7F" w14:paraId="43196516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3EAA6515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Královéhradecký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29F4BE2E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Hořice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30C59A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6</w:t>
            </w:r>
          </w:p>
        </w:tc>
      </w:tr>
      <w:tr w:rsidR="00F73A7F" w:rsidRPr="00F73A7F" w14:paraId="5E47203A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4047C30D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Královéhradecký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1C129D32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Hradec Králové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2547FB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10</w:t>
            </w:r>
          </w:p>
        </w:tc>
      </w:tr>
      <w:tr w:rsidR="00F73A7F" w:rsidRPr="00F73A7F" w14:paraId="6A76342D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69AC4C2D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Královéhradecký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11F344E6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Jaroměř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A6EA45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7</w:t>
            </w:r>
          </w:p>
        </w:tc>
      </w:tr>
      <w:tr w:rsidR="00F73A7F" w:rsidRPr="00F73A7F" w14:paraId="1AFD8361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53BC9DC1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Královéhradecký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05FCD52D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Jičín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8ACD94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5</w:t>
            </w:r>
          </w:p>
        </w:tc>
      </w:tr>
      <w:tr w:rsidR="00F73A7F" w:rsidRPr="00F73A7F" w14:paraId="0627CAE6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0AA5E733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Královéhradecký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19A34388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Kostelec nad Orlicí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626E22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4</w:t>
            </w:r>
          </w:p>
        </w:tc>
      </w:tr>
      <w:tr w:rsidR="00F73A7F" w:rsidRPr="00F73A7F" w14:paraId="4C4BA46D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3F9F840A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Královéhradecký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65994D18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Náchod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2F8D47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4</w:t>
            </w:r>
          </w:p>
        </w:tc>
      </w:tr>
      <w:tr w:rsidR="00F73A7F" w:rsidRPr="00F73A7F" w14:paraId="6B33284A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0CEFB5F4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Královéhradecký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632408A3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Nová Paka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6C3B7D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5</w:t>
            </w:r>
          </w:p>
        </w:tc>
      </w:tr>
      <w:tr w:rsidR="00F73A7F" w:rsidRPr="00F73A7F" w14:paraId="362B9954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249D7EB8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Královéhradecký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4913189C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Nové Město nad Metují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A3E240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3</w:t>
            </w:r>
          </w:p>
        </w:tc>
      </w:tr>
      <w:tr w:rsidR="00F73A7F" w:rsidRPr="00F73A7F" w14:paraId="63E345C9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41A5EA88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Královéhradecký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15233408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Nový Bydžov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8FDB78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6</w:t>
            </w:r>
          </w:p>
        </w:tc>
      </w:tr>
      <w:tr w:rsidR="00F73A7F" w:rsidRPr="00F73A7F" w14:paraId="7F3ADCD4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20F91CE5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Královéhradecký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0FD644C0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Rychnov nad Kněžnou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183F23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6</w:t>
            </w:r>
          </w:p>
        </w:tc>
      </w:tr>
      <w:tr w:rsidR="00F73A7F" w:rsidRPr="00F73A7F" w14:paraId="25D8E257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1036BD49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Královéhradecký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1F084E32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Trutnov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ACA23E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8</w:t>
            </w:r>
          </w:p>
        </w:tc>
      </w:tr>
      <w:tr w:rsidR="00F73A7F" w:rsidRPr="00F73A7F" w14:paraId="57F8BF9E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0C6FF7D4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Královéhradecký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3E8339C9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Vrchlabí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4CAF95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7</w:t>
            </w:r>
          </w:p>
        </w:tc>
      </w:tr>
      <w:tr w:rsidR="00F73A7F" w:rsidRPr="00F73A7F" w14:paraId="6BC15C65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7CDBFE17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Pardubický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1EAFB590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Česká Třebová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D51CDE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5</w:t>
            </w:r>
          </w:p>
        </w:tc>
      </w:tr>
      <w:tr w:rsidR="00F73A7F" w:rsidRPr="00F73A7F" w14:paraId="42ACC4B3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7402702C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Pardubický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1C962DF7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Hlinsko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6E1873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7</w:t>
            </w:r>
          </w:p>
        </w:tc>
      </w:tr>
      <w:tr w:rsidR="00F73A7F" w:rsidRPr="00F73A7F" w14:paraId="54246198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7902E775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Pardubický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7F766AF0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Holice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F167B4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9</w:t>
            </w:r>
          </w:p>
        </w:tc>
      </w:tr>
      <w:tr w:rsidR="00F73A7F" w:rsidRPr="00F73A7F" w14:paraId="0FAE403D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12C0F224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Pardubický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0F161477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Chrudim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1BD459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8</w:t>
            </w:r>
          </w:p>
        </w:tc>
      </w:tr>
      <w:tr w:rsidR="00F73A7F" w:rsidRPr="00F73A7F" w14:paraId="6B320D07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2AE318D6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Pardubický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653C97D1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Králíky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99111A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F73A7F" w:rsidRPr="00F73A7F" w14:paraId="7EA0834E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7A2AA5AC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Pardubický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5122B97C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Lanškroun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32A995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7</w:t>
            </w:r>
          </w:p>
        </w:tc>
      </w:tr>
      <w:tr w:rsidR="00F73A7F" w:rsidRPr="00F73A7F" w14:paraId="3C8788CF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6EDA40CB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Pardubický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45F49685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Litomyšl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3F4003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7</w:t>
            </w:r>
          </w:p>
        </w:tc>
      </w:tr>
      <w:tr w:rsidR="00F73A7F" w:rsidRPr="00F73A7F" w14:paraId="0CE3D9B6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36983F3F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Pardubický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09BF29C2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Moravská Třebová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B1B11A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8</w:t>
            </w:r>
          </w:p>
        </w:tc>
      </w:tr>
      <w:tr w:rsidR="00F73A7F" w:rsidRPr="00F73A7F" w14:paraId="72FBD738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1C23D57D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Pardubický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25C1E2FF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Pardubice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2E0829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10</w:t>
            </w:r>
          </w:p>
        </w:tc>
      </w:tr>
      <w:tr w:rsidR="00F73A7F" w:rsidRPr="00F73A7F" w14:paraId="418996B1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427C86BD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Pardubický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3E49E331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Polička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9DA32C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9</w:t>
            </w:r>
          </w:p>
        </w:tc>
      </w:tr>
      <w:tr w:rsidR="00F73A7F" w:rsidRPr="00F73A7F" w14:paraId="0C7870AB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5666D79F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Pardubický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426AC800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Přelouč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878EA8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9</w:t>
            </w:r>
          </w:p>
        </w:tc>
      </w:tr>
      <w:tr w:rsidR="00F73A7F" w:rsidRPr="00F73A7F" w14:paraId="0299BE34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0386F4FD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Pardubický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6B714F78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Svitavy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02AC52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7</w:t>
            </w:r>
          </w:p>
        </w:tc>
      </w:tr>
      <w:tr w:rsidR="00F73A7F" w:rsidRPr="00F73A7F" w14:paraId="02AF6F31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5F228078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Pardubický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49A7628C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Ústí nad Orlicí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7C755E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5</w:t>
            </w:r>
          </w:p>
        </w:tc>
      </w:tr>
      <w:tr w:rsidR="00F73A7F" w:rsidRPr="00F73A7F" w14:paraId="22839FB1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1F496EB0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Pardubický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5F281F25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Vysoké Mýto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3FAAAE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6</w:t>
            </w:r>
          </w:p>
        </w:tc>
      </w:tr>
      <w:tr w:rsidR="00F73A7F" w:rsidRPr="00F73A7F" w14:paraId="1A97FCAB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2E9211E8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Pardubický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34C5CB7F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Žamberk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1C954A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0</w:t>
            </w:r>
          </w:p>
        </w:tc>
      </w:tr>
      <w:tr w:rsidR="00F73A7F" w:rsidRPr="00F73A7F" w14:paraId="2AAFCF0C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53C4FC38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Vysočina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470CD0DA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Bystřice nad Pernštejnem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B5133C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8</w:t>
            </w:r>
          </w:p>
        </w:tc>
      </w:tr>
      <w:tr w:rsidR="00F73A7F" w:rsidRPr="00F73A7F" w14:paraId="48FAC495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35A6C891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Vysočina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5A6927E9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Havlíčkův Brod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2CE931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7</w:t>
            </w:r>
          </w:p>
        </w:tc>
      </w:tr>
      <w:tr w:rsidR="00F73A7F" w:rsidRPr="00F73A7F" w14:paraId="6A8EC6A9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5754626B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lastRenderedPageBreak/>
              <w:t>Vysočina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5B5077FD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Humpolec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180BF0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8</w:t>
            </w:r>
          </w:p>
        </w:tc>
      </w:tr>
      <w:tr w:rsidR="00F73A7F" w:rsidRPr="00F73A7F" w14:paraId="0475E34C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02681E62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Vysočina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6F625909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Chotěboř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FE9A65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4</w:t>
            </w:r>
          </w:p>
        </w:tc>
      </w:tr>
      <w:tr w:rsidR="00F73A7F" w:rsidRPr="00F73A7F" w14:paraId="2A569262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399D7C7A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Vysočina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69BD320E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Jihlava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3625D8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10</w:t>
            </w:r>
          </w:p>
        </w:tc>
      </w:tr>
      <w:tr w:rsidR="00F73A7F" w:rsidRPr="00F73A7F" w14:paraId="5C51E248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563A74F2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Vysočina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1BA53C5C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Moravské Budějovice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096419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8</w:t>
            </w:r>
          </w:p>
        </w:tc>
      </w:tr>
      <w:tr w:rsidR="00F73A7F" w:rsidRPr="00F73A7F" w14:paraId="7BD238F9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4C62BDC5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Vysočina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031711B3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Náměšť nad Oslavou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0EBF6B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9</w:t>
            </w:r>
          </w:p>
        </w:tc>
      </w:tr>
      <w:tr w:rsidR="00F73A7F" w:rsidRPr="00F73A7F" w14:paraId="6EC705B1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4AE095C7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Vysočina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24DECDBC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Nové Město na Moravě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8761FE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13</w:t>
            </w:r>
          </w:p>
        </w:tc>
      </w:tr>
      <w:tr w:rsidR="00F73A7F" w:rsidRPr="00F73A7F" w14:paraId="4F90B1F3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64324EE2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Vysočina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79093068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Pacov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92ECBB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2</w:t>
            </w:r>
          </w:p>
        </w:tc>
      </w:tr>
      <w:tr w:rsidR="00F73A7F" w:rsidRPr="00F73A7F" w14:paraId="5D1B3A83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7D07A665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Vysočina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298758D8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Pelhřimov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681C87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7</w:t>
            </w:r>
          </w:p>
        </w:tc>
      </w:tr>
      <w:tr w:rsidR="00F73A7F" w:rsidRPr="00F73A7F" w14:paraId="2487B2D8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78A09AC3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Vysočina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445E2F9D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Světlá nad Sázavou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556EC7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7</w:t>
            </w:r>
          </w:p>
        </w:tc>
      </w:tr>
      <w:tr w:rsidR="00F73A7F" w:rsidRPr="00F73A7F" w14:paraId="573F9625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04E4C756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Vysočina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57BFF0ED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Telč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8AA742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4</w:t>
            </w:r>
          </w:p>
        </w:tc>
      </w:tr>
      <w:tr w:rsidR="00F73A7F" w:rsidRPr="00F73A7F" w14:paraId="2301F292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3D6FFD5B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Vysočina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0C5765D3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Třebíč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EA1A5C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11</w:t>
            </w:r>
          </w:p>
        </w:tc>
      </w:tr>
      <w:tr w:rsidR="00F73A7F" w:rsidRPr="00F73A7F" w14:paraId="20901B8E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1CC398E4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Vysočina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16CD321B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Velké Meziříčí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07F007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8</w:t>
            </w:r>
          </w:p>
        </w:tc>
      </w:tr>
      <w:tr w:rsidR="00F73A7F" w:rsidRPr="00F73A7F" w14:paraId="25920F2B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537DD659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Vysočina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1D950447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Žďár nad Sázavou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D1D980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8</w:t>
            </w:r>
          </w:p>
        </w:tc>
      </w:tr>
      <w:tr w:rsidR="00F73A7F" w:rsidRPr="00F73A7F" w14:paraId="32AD37DA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6F5CAE46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Jihomoravský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5196A279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Blansko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E3DD4B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12</w:t>
            </w:r>
          </w:p>
        </w:tc>
      </w:tr>
      <w:tr w:rsidR="00F73A7F" w:rsidRPr="00F73A7F" w14:paraId="77E4D594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3A44631D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Jihomoravský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6C9B1CDC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Boskovice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AF0F26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10</w:t>
            </w:r>
          </w:p>
        </w:tc>
      </w:tr>
      <w:tr w:rsidR="00F73A7F" w:rsidRPr="00F73A7F" w14:paraId="701C63F9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20E2987C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Jihomoravský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3000A17E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Brno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402D73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15</w:t>
            </w:r>
          </w:p>
        </w:tc>
      </w:tr>
      <w:tr w:rsidR="00F73A7F" w:rsidRPr="00F73A7F" w14:paraId="5D94B94B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0C344770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Jihomoravský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4CA55074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Břeclav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0C57E4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9</w:t>
            </w:r>
          </w:p>
        </w:tc>
      </w:tr>
      <w:tr w:rsidR="00F73A7F" w:rsidRPr="00F73A7F" w14:paraId="03F47EB5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2D9548A4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Jihomoravský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53107F9D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Bučovice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FC812D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9</w:t>
            </w:r>
          </w:p>
        </w:tc>
      </w:tr>
      <w:tr w:rsidR="00F73A7F" w:rsidRPr="00F73A7F" w14:paraId="3DD922D3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55AD93AF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Jihomoravský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7F0787AC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Hodonín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ECCF4A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11</w:t>
            </w:r>
          </w:p>
        </w:tc>
      </w:tr>
      <w:tr w:rsidR="00F73A7F" w:rsidRPr="00F73A7F" w14:paraId="580FCF4E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4E19C36E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Jihomoravský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4D6B3770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Hustopeče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3AB3C8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10</w:t>
            </w:r>
          </w:p>
        </w:tc>
      </w:tr>
      <w:tr w:rsidR="00F73A7F" w:rsidRPr="00F73A7F" w14:paraId="37B76E12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7190C065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Jihomoravský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5931D375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Ivančice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8A1794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10</w:t>
            </w:r>
          </w:p>
        </w:tc>
      </w:tr>
      <w:tr w:rsidR="00F73A7F" w:rsidRPr="00F73A7F" w14:paraId="04B8E3C7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13067232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Jihomoravský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7957B0D7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Kuřim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282FA7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11</w:t>
            </w:r>
          </w:p>
        </w:tc>
      </w:tr>
      <w:tr w:rsidR="00F73A7F" w:rsidRPr="00F73A7F" w14:paraId="569BBE57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4406EF0F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Jihomoravský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590DDAE7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Kyjov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93C290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11</w:t>
            </w:r>
          </w:p>
        </w:tc>
      </w:tr>
      <w:tr w:rsidR="00F73A7F" w:rsidRPr="00F73A7F" w14:paraId="5DCF17A3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2FE1FA01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Jihomoravský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0B40CF82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Mikulov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656B38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11</w:t>
            </w:r>
          </w:p>
        </w:tc>
      </w:tr>
      <w:tr w:rsidR="00F73A7F" w:rsidRPr="00F73A7F" w14:paraId="460DA9A2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6CCAAF50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Jihomoravský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36B48DDE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Moravský Krumlov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B35697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9</w:t>
            </w:r>
          </w:p>
        </w:tc>
      </w:tr>
      <w:tr w:rsidR="00F73A7F" w:rsidRPr="00F73A7F" w14:paraId="41CE9CDA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15319055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Jihomoravský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297AD69C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Pohořelice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87EE52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14</w:t>
            </w:r>
          </w:p>
        </w:tc>
      </w:tr>
      <w:tr w:rsidR="00F73A7F" w:rsidRPr="00F73A7F" w14:paraId="3373AF02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2E64219A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Jihomoravský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5269D295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Rosice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C07C77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11</w:t>
            </w:r>
          </w:p>
        </w:tc>
      </w:tr>
      <w:tr w:rsidR="00F73A7F" w:rsidRPr="00F73A7F" w14:paraId="222CD3FD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780DA807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Jihomoravský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3EF41F9C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Slavkov u Brna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6D824F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11</w:t>
            </w:r>
          </w:p>
        </w:tc>
      </w:tr>
      <w:tr w:rsidR="00F73A7F" w:rsidRPr="00F73A7F" w14:paraId="5480154B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2CCD48BC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Jihomoravský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5A6C1422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Šlapanice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4D5342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11</w:t>
            </w:r>
          </w:p>
        </w:tc>
      </w:tr>
      <w:tr w:rsidR="00F73A7F" w:rsidRPr="00F73A7F" w14:paraId="73872478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50BDC413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Jihomoravský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1B17E0F9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Tišnov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1E82A6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13</w:t>
            </w:r>
          </w:p>
        </w:tc>
      </w:tr>
      <w:tr w:rsidR="00F73A7F" w:rsidRPr="00F73A7F" w14:paraId="6E618ECC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228F0DB3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Jihomoravský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650D5A7A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Veselí nad Moravou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54DAFA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10</w:t>
            </w:r>
          </w:p>
        </w:tc>
      </w:tr>
      <w:tr w:rsidR="00F73A7F" w:rsidRPr="00F73A7F" w14:paraId="2CEA4373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2FB00A1E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Jihomoravský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0F80EADB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Vyškov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BE91BF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11</w:t>
            </w:r>
          </w:p>
        </w:tc>
      </w:tr>
      <w:tr w:rsidR="00F73A7F" w:rsidRPr="00F73A7F" w14:paraId="6E26F3F5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322A5E4E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Jihomoravský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1E70B3C6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Znojmo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AD79CF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9</w:t>
            </w:r>
          </w:p>
        </w:tc>
      </w:tr>
      <w:tr w:rsidR="00F73A7F" w:rsidRPr="00F73A7F" w14:paraId="2B3DD40E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6769DE36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Jihomoravský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637EA025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Židlochovice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D2A62D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11</w:t>
            </w:r>
          </w:p>
        </w:tc>
      </w:tr>
      <w:tr w:rsidR="00F73A7F" w:rsidRPr="00F73A7F" w14:paraId="6F71D488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7DFCF067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Olomoucký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6B9F9F05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Hranice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A4698B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9</w:t>
            </w:r>
          </w:p>
        </w:tc>
      </w:tr>
      <w:tr w:rsidR="00F73A7F" w:rsidRPr="00F73A7F" w14:paraId="54A69B77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7CF359D7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Olomoucký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1ECA97CD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Jeseník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2E4F57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5</w:t>
            </w:r>
          </w:p>
        </w:tc>
      </w:tr>
      <w:tr w:rsidR="00F73A7F" w:rsidRPr="00F73A7F" w14:paraId="36355D7E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16A6FC6D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Olomoucký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1F2E8D0F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Konice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E63969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6</w:t>
            </w:r>
          </w:p>
        </w:tc>
      </w:tr>
      <w:tr w:rsidR="00F73A7F" w:rsidRPr="00F73A7F" w14:paraId="35B1B694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38507747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Olomoucký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01FCA3BB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Lipník nad Bečvou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21F49B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5</w:t>
            </w:r>
          </w:p>
        </w:tc>
      </w:tr>
      <w:tr w:rsidR="00F73A7F" w:rsidRPr="00F73A7F" w14:paraId="08985319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7DB61531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Olomoucký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4D57F94D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Litovel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03EC98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6</w:t>
            </w:r>
          </w:p>
        </w:tc>
      </w:tr>
      <w:tr w:rsidR="00F73A7F" w:rsidRPr="00F73A7F" w14:paraId="11F96CDF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56B88B52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Olomoucký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00C5AD32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Mohelnice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9219ED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5</w:t>
            </w:r>
          </w:p>
        </w:tc>
      </w:tr>
      <w:tr w:rsidR="00F73A7F" w:rsidRPr="00F73A7F" w14:paraId="5FF17EC5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28D268CD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Olomoucký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2B0B4662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Olomouc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97E322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11</w:t>
            </w:r>
          </w:p>
        </w:tc>
      </w:tr>
      <w:tr w:rsidR="00F73A7F" w:rsidRPr="00F73A7F" w14:paraId="615030F9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4E99293A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Olomoucký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64CF71DB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Prostějov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4FCBF5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6</w:t>
            </w:r>
          </w:p>
        </w:tc>
      </w:tr>
      <w:tr w:rsidR="00F73A7F" w:rsidRPr="00F73A7F" w14:paraId="5F2ACA04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5C73986C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Olomoucký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59AB4A83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Přerov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567748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6</w:t>
            </w:r>
          </w:p>
        </w:tc>
      </w:tr>
      <w:tr w:rsidR="00F73A7F" w:rsidRPr="00F73A7F" w14:paraId="19816691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0794D286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Olomoucký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735D14B3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Šternberk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F015CE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8</w:t>
            </w:r>
          </w:p>
        </w:tc>
      </w:tr>
      <w:tr w:rsidR="00F73A7F" w:rsidRPr="00F73A7F" w14:paraId="3633D367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14487D47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Olomoucký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3BFAD3E7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Šumperk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A006DB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6</w:t>
            </w:r>
          </w:p>
        </w:tc>
      </w:tr>
      <w:tr w:rsidR="00F73A7F" w:rsidRPr="00F73A7F" w14:paraId="1AA06753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7D41FA12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Olomoucký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672374B4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Uničov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411A72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9</w:t>
            </w:r>
          </w:p>
        </w:tc>
      </w:tr>
      <w:tr w:rsidR="00F73A7F" w:rsidRPr="00F73A7F" w14:paraId="5DE900A7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16A8A1D0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Olomoucký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5E54670D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Zábřeh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024A4B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6</w:t>
            </w:r>
          </w:p>
        </w:tc>
      </w:tr>
      <w:tr w:rsidR="00F73A7F" w:rsidRPr="00F73A7F" w14:paraId="62F47BED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4ECAE59A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Zlínský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58D7241A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Bystřice pod Hostýnem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90ED82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6</w:t>
            </w:r>
          </w:p>
        </w:tc>
      </w:tr>
      <w:tr w:rsidR="00F73A7F" w:rsidRPr="00F73A7F" w14:paraId="6F06A4D7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58431BEC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Zlínský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21930AFF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Holešov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199F72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10</w:t>
            </w:r>
          </w:p>
        </w:tc>
      </w:tr>
      <w:tr w:rsidR="00F73A7F" w:rsidRPr="00F73A7F" w14:paraId="42F6AF7A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6CEEB06F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Zlínský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1BF3748F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Kroměříž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CB4A85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10</w:t>
            </w:r>
          </w:p>
        </w:tc>
      </w:tr>
      <w:tr w:rsidR="00F73A7F" w:rsidRPr="00F73A7F" w14:paraId="79C70C8D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0CB6A906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Zlínský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567F0C84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Luhačovice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100CC7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9</w:t>
            </w:r>
          </w:p>
        </w:tc>
      </w:tr>
      <w:tr w:rsidR="00F73A7F" w:rsidRPr="00F73A7F" w14:paraId="5AAFAD1E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64396A64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Zlínský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09B37132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Otrokovice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0A5019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10</w:t>
            </w:r>
          </w:p>
        </w:tc>
      </w:tr>
      <w:tr w:rsidR="00F73A7F" w:rsidRPr="00F73A7F" w14:paraId="7D634808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2091302B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Zlínský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7CF1940B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Rožnov pod Radhoštěm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C97390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8</w:t>
            </w:r>
          </w:p>
        </w:tc>
      </w:tr>
      <w:tr w:rsidR="00F73A7F" w:rsidRPr="00F73A7F" w14:paraId="2BF63975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64CF4A3F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Zlínský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7F605017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Uherské Hradiště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ED7034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9</w:t>
            </w:r>
          </w:p>
        </w:tc>
      </w:tr>
      <w:tr w:rsidR="00F73A7F" w:rsidRPr="00F73A7F" w14:paraId="30B47E0D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20070AAF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Zlínský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4931927F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Uherský Brod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CDF173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8</w:t>
            </w:r>
          </w:p>
        </w:tc>
      </w:tr>
      <w:tr w:rsidR="00F73A7F" w:rsidRPr="00F73A7F" w14:paraId="6160179E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1754982F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Zlínský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235F0649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Valašské Klobouky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80F5BD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8</w:t>
            </w:r>
          </w:p>
        </w:tc>
      </w:tr>
      <w:tr w:rsidR="00F73A7F" w:rsidRPr="00F73A7F" w14:paraId="32B24C74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3E76FEEF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Zlínský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761EFE4C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Valašské Meziříčí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0EA3E5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6</w:t>
            </w:r>
          </w:p>
        </w:tc>
      </w:tr>
      <w:tr w:rsidR="00F73A7F" w:rsidRPr="00F73A7F" w14:paraId="597824D4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7D2BC3D2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Zlínský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13044CA6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Vizovice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FD2B70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7</w:t>
            </w:r>
          </w:p>
        </w:tc>
      </w:tr>
      <w:tr w:rsidR="00F73A7F" w:rsidRPr="00F73A7F" w14:paraId="3FA2A854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7129BB3E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Zlínský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69013EBE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Vsetín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D0FDB9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11</w:t>
            </w:r>
          </w:p>
        </w:tc>
      </w:tr>
      <w:tr w:rsidR="00F73A7F" w:rsidRPr="00F73A7F" w14:paraId="6F4E3BF9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5E207DBF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Zlínský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1F85036C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Zlín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E10373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10</w:t>
            </w:r>
          </w:p>
        </w:tc>
      </w:tr>
      <w:tr w:rsidR="00F73A7F" w:rsidRPr="00F73A7F" w14:paraId="62ED2E39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275FC08F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Moravskoslezský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1F6B0697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Bílovec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E8A41F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5</w:t>
            </w:r>
          </w:p>
        </w:tc>
      </w:tr>
      <w:tr w:rsidR="00F73A7F" w:rsidRPr="00F73A7F" w14:paraId="0640E881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40132F4D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Moravskoslezský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3B0A7AB5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Bohumín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125483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3</w:t>
            </w:r>
          </w:p>
        </w:tc>
      </w:tr>
      <w:tr w:rsidR="00F73A7F" w:rsidRPr="00F73A7F" w14:paraId="6AA8C197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03245836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Moravskoslezský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2458BDB3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Bruntál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724AB3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6</w:t>
            </w:r>
          </w:p>
        </w:tc>
      </w:tr>
      <w:tr w:rsidR="00F73A7F" w:rsidRPr="00F73A7F" w14:paraId="2785D0C0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6717B4C4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Moravskoslezský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137EA729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Český Těšín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DF8F35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8</w:t>
            </w:r>
          </w:p>
        </w:tc>
      </w:tr>
      <w:tr w:rsidR="00F73A7F" w:rsidRPr="00F73A7F" w14:paraId="3571A32C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53A63030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Moravskoslezský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2993847F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Frenštát pod Radhoštěm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4EB48F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6</w:t>
            </w:r>
          </w:p>
        </w:tc>
      </w:tr>
      <w:tr w:rsidR="00F73A7F" w:rsidRPr="00F73A7F" w14:paraId="523F152D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638DA4ED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Moravskoslezský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4BFCFF0C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Frýdek-Místek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D15F3A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10</w:t>
            </w:r>
          </w:p>
        </w:tc>
      </w:tr>
      <w:tr w:rsidR="00F73A7F" w:rsidRPr="00F73A7F" w14:paraId="30F903B7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591C48C5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Moravskoslezský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2D209D36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Frýdlant nad Ostravicí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3BECD1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8</w:t>
            </w:r>
          </w:p>
        </w:tc>
      </w:tr>
      <w:tr w:rsidR="00F73A7F" w:rsidRPr="00F73A7F" w14:paraId="23A32E6D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5C104BA3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Moravskoslezský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783282FB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Havířov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D7BE0F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6</w:t>
            </w:r>
          </w:p>
        </w:tc>
      </w:tr>
      <w:tr w:rsidR="00F73A7F" w:rsidRPr="00F73A7F" w14:paraId="134190A7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4638D16E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Moravskoslezský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0CC74DE5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Hlučín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03F101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6</w:t>
            </w:r>
          </w:p>
        </w:tc>
      </w:tr>
      <w:tr w:rsidR="00F73A7F" w:rsidRPr="00F73A7F" w14:paraId="0A0F3521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55570F9D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Moravskoslezský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07FED5AD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Jablunkov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5806F1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8</w:t>
            </w:r>
          </w:p>
        </w:tc>
      </w:tr>
      <w:tr w:rsidR="00F73A7F" w:rsidRPr="00F73A7F" w14:paraId="1D2DBCD4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0475E3D8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Moravskoslezský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39B2996E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Karviná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B4E123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6</w:t>
            </w:r>
          </w:p>
        </w:tc>
      </w:tr>
      <w:tr w:rsidR="00F73A7F" w:rsidRPr="00F73A7F" w14:paraId="211909BB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7EB1E4EF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Moravskoslezský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09A88F73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Kopřivnice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93F48A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12</w:t>
            </w:r>
          </w:p>
        </w:tc>
      </w:tr>
      <w:tr w:rsidR="00F73A7F" w:rsidRPr="00F73A7F" w14:paraId="4511EC5A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58971C3B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Moravskoslezský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3822E058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Kravaře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0572CD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6</w:t>
            </w:r>
          </w:p>
        </w:tc>
      </w:tr>
      <w:tr w:rsidR="00F73A7F" w:rsidRPr="00F73A7F" w14:paraId="6EB44A69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5BA51648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Moravskoslezský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67549CF9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Krnov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16EDF9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3</w:t>
            </w:r>
          </w:p>
        </w:tc>
      </w:tr>
      <w:tr w:rsidR="00F73A7F" w:rsidRPr="00F73A7F" w14:paraId="1C0929B1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1597A000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Moravskoslezský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74E1CB3B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Nový Jičín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3E8F39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8</w:t>
            </w:r>
          </w:p>
        </w:tc>
      </w:tr>
      <w:tr w:rsidR="00F73A7F" w:rsidRPr="00F73A7F" w14:paraId="452B3E2B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269136AE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Moravskoslezský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2BEB80B6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Odry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B5953F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7</w:t>
            </w:r>
          </w:p>
        </w:tc>
      </w:tr>
      <w:tr w:rsidR="00F73A7F" w:rsidRPr="00F73A7F" w14:paraId="175F9734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26FCDEE0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Moravskoslezský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4DFEF664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Opava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3F2AF3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5</w:t>
            </w:r>
          </w:p>
        </w:tc>
      </w:tr>
      <w:tr w:rsidR="00F73A7F" w:rsidRPr="00F73A7F" w14:paraId="2E46AF53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49386115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Moravskoslezský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12F14F81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Orlová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83B86B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8</w:t>
            </w:r>
          </w:p>
        </w:tc>
      </w:tr>
      <w:tr w:rsidR="00F73A7F" w:rsidRPr="00F73A7F" w14:paraId="2F721733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68C0BD72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Moravskoslezský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4530A464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Ostrava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1F7255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8</w:t>
            </w:r>
          </w:p>
        </w:tc>
      </w:tr>
      <w:tr w:rsidR="00F73A7F" w:rsidRPr="00F73A7F" w14:paraId="35799FD2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46F0BDCB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Moravskoslezský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1CADEC6A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Rýmařov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5365EA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4</w:t>
            </w:r>
          </w:p>
        </w:tc>
      </w:tr>
      <w:tr w:rsidR="00F73A7F" w:rsidRPr="00F73A7F" w14:paraId="553D707D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15F4FEA7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Moravskoslezský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72DA0B75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Třinec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F66996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5</w:t>
            </w:r>
          </w:p>
        </w:tc>
      </w:tr>
      <w:tr w:rsidR="00F73A7F" w:rsidRPr="00F73A7F" w14:paraId="32524A8E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311152D0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Moravskoslezský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00A2C285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Vítkov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0D0A55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5</w:t>
            </w:r>
          </w:p>
        </w:tc>
      </w:tr>
    </w:tbl>
    <w:p w14:paraId="5BC1547B" w14:textId="77777777" w:rsidR="00F73A7F" w:rsidRDefault="00F73A7F" w:rsidP="005D175A">
      <w:pPr>
        <w:jc w:val="both"/>
        <w:sectPr w:rsidR="00F73A7F" w:rsidSect="00F73A7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FA54F44" w14:textId="6173DE0F" w:rsidR="004F25E4" w:rsidRDefault="004F25E4" w:rsidP="005D175A">
      <w:pPr>
        <w:pStyle w:val="Nadpis1"/>
        <w:numPr>
          <w:ilvl w:val="0"/>
          <w:numId w:val="2"/>
        </w:numPr>
        <w:spacing w:line="288" w:lineRule="auto"/>
        <w:jc w:val="both"/>
      </w:pPr>
      <w:r>
        <w:lastRenderedPageBreak/>
        <w:t xml:space="preserve">Podíl sociálního bydlení </w:t>
      </w:r>
    </w:p>
    <w:p w14:paraId="02E53D97" w14:textId="77777777" w:rsidR="00FD2028" w:rsidRDefault="00FD2028" w:rsidP="005D175A">
      <w:pPr>
        <w:jc w:val="both"/>
      </w:pPr>
      <w:r>
        <w:t>Jednotlivé projekty získají 0 bodů bez sociálního bydlení a 5 bodů, pokud budou sociální byty v rámci projektů zaujímat alespoň 15 % bytových ploch.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7394"/>
        <w:gridCol w:w="1678"/>
      </w:tblGrid>
      <w:tr w:rsidR="00FD2028" w:rsidRPr="0000004A" w14:paraId="1FE787FA" w14:textId="77777777" w:rsidTr="0065276A">
        <w:trPr>
          <w:trHeight w:val="518"/>
        </w:trPr>
        <w:tc>
          <w:tcPr>
            <w:tcW w:w="7394" w:type="dxa"/>
            <w:shd w:val="clear" w:color="auto" w:fill="F2F2F2" w:themeFill="background1" w:themeFillShade="F2"/>
          </w:tcPr>
          <w:p w14:paraId="2F7879A9" w14:textId="77777777" w:rsidR="00FD2028" w:rsidRPr="0000004A" w:rsidRDefault="00FD2028" w:rsidP="005D175A">
            <w:pPr>
              <w:pStyle w:val="Bezmezer"/>
              <w:spacing w:line="288" w:lineRule="auto"/>
              <w:ind w:right="15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Podíl sociálního bydlení na celkovém počtu bytů v rámci projektu</w:t>
            </w:r>
          </w:p>
        </w:tc>
        <w:tc>
          <w:tcPr>
            <w:tcW w:w="1678" w:type="dxa"/>
            <w:shd w:val="clear" w:color="auto" w:fill="F2F2F2" w:themeFill="background1" w:themeFillShade="F2"/>
          </w:tcPr>
          <w:p w14:paraId="3BE01DE4" w14:textId="77777777" w:rsidR="00FD2028" w:rsidRPr="0000004A" w:rsidRDefault="00FD2028" w:rsidP="005D175A">
            <w:pPr>
              <w:pStyle w:val="Bezmezer"/>
              <w:spacing w:line="288" w:lineRule="auto"/>
              <w:ind w:right="15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FD2028" w:rsidRPr="00A5765E" w14:paraId="29A9C888" w14:textId="77777777" w:rsidTr="0065276A">
        <w:trPr>
          <w:trHeight w:val="518"/>
        </w:trPr>
        <w:tc>
          <w:tcPr>
            <w:tcW w:w="7394" w:type="dxa"/>
          </w:tcPr>
          <w:p w14:paraId="105834A0" w14:textId="77777777" w:rsidR="00FD2028" w:rsidRPr="00A5765E" w:rsidRDefault="00FD2028" w:rsidP="005D175A">
            <w:pPr>
              <w:pStyle w:val="Bezmezer"/>
              <w:spacing w:line="288" w:lineRule="auto"/>
              <w:ind w:right="15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Méně než 15 % plochy určené pro sociální byty</w:t>
            </w:r>
          </w:p>
        </w:tc>
        <w:tc>
          <w:tcPr>
            <w:tcW w:w="1678" w:type="dxa"/>
          </w:tcPr>
          <w:p w14:paraId="22E79772" w14:textId="77777777" w:rsidR="00FD2028" w:rsidRPr="00A5765E" w:rsidRDefault="00FD2028" w:rsidP="005D175A">
            <w:pPr>
              <w:pStyle w:val="Bezmezer"/>
              <w:spacing w:line="288" w:lineRule="auto"/>
              <w:ind w:right="15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5765E">
              <w:rPr>
                <w:rFonts w:asciiTheme="minorHAnsi" w:hAnsiTheme="minorHAnsi" w:cstheme="minorHAnsi"/>
                <w:color w:val="000000" w:themeColor="text1"/>
              </w:rPr>
              <w:t>0 bodů</w:t>
            </w:r>
          </w:p>
        </w:tc>
      </w:tr>
      <w:tr w:rsidR="00FD2028" w14:paraId="4038C25B" w14:textId="77777777" w:rsidTr="0065276A">
        <w:trPr>
          <w:trHeight w:val="518"/>
        </w:trPr>
        <w:tc>
          <w:tcPr>
            <w:tcW w:w="7394" w:type="dxa"/>
          </w:tcPr>
          <w:p w14:paraId="717ED442" w14:textId="77777777" w:rsidR="00FD2028" w:rsidRPr="00A5765E" w:rsidRDefault="00FD2028" w:rsidP="005D175A">
            <w:pPr>
              <w:pStyle w:val="Bezmezer"/>
              <w:spacing w:line="288" w:lineRule="auto"/>
              <w:ind w:right="15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5765E">
              <w:rPr>
                <w:rFonts w:asciiTheme="minorHAnsi" w:hAnsiTheme="minorHAnsi" w:cstheme="minorHAnsi"/>
                <w:color w:val="000000" w:themeColor="text1"/>
              </w:rPr>
              <w:t xml:space="preserve">Více než 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15 </w:t>
            </w:r>
            <w:r w:rsidRPr="00A5765E">
              <w:rPr>
                <w:rFonts w:asciiTheme="minorHAnsi" w:hAnsiTheme="minorHAnsi" w:cstheme="minorHAnsi"/>
                <w:color w:val="000000" w:themeColor="text1"/>
              </w:rPr>
              <w:t xml:space="preserve">% 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plochy pro sociální byty </w:t>
            </w:r>
          </w:p>
        </w:tc>
        <w:tc>
          <w:tcPr>
            <w:tcW w:w="1678" w:type="dxa"/>
          </w:tcPr>
          <w:p w14:paraId="29A1D36D" w14:textId="77777777" w:rsidR="00FD2028" w:rsidRDefault="00FD2028" w:rsidP="005D175A">
            <w:pPr>
              <w:pStyle w:val="Bezmezer"/>
              <w:spacing w:line="288" w:lineRule="auto"/>
              <w:ind w:right="15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5765E">
              <w:rPr>
                <w:rFonts w:asciiTheme="minorHAnsi" w:hAnsiTheme="minorHAnsi" w:cstheme="minorHAnsi"/>
                <w:color w:val="000000" w:themeColor="text1"/>
              </w:rPr>
              <w:t>5 bodů</w:t>
            </w:r>
          </w:p>
        </w:tc>
      </w:tr>
    </w:tbl>
    <w:p w14:paraId="3206A602" w14:textId="1DCD4E6D" w:rsidR="00F36D64" w:rsidRDefault="00F36D64" w:rsidP="005D175A">
      <w:pPr>
        <w:jc w:val="both"/>
      </w:pPr>
      <w:r w:rsidRPr="00C46149">
        <w:rPr>
          <w:b/>
          <w:bCs/>
        </w:rPr>
        <w:t>Příjemce se současně zavazuje, že tyto byty bude jako sociální bydlení provozovat minimálně 20 let.</w:t>
      </w:r>
      <w:r>
        <w:t xml:space="preserve"> Byty musí být </w:t>
      </w:r>
      <w:r w:rsidRPr="00C46149">
        <w:rPr>
          <w:b/>
          <w:bCs/>
        </w:rPr>
        <w:t>pronajímány za nižší než tržní nájemné</w:t>
      </w:r>
      <w:r w:rsidR="00A5765E">
        <w:rPr>
          <w:rStyle w:val="Znakapoznpodarou"/>
          <w:b/>
          <w:bCs/>
        </w:rPr>
        <w:footnoteReference w:id="4"/>
      </w:r>
      <w:r>
        <w:t xml:space="preserve"> pro cílovou skupinu sociálního bydlení.</w:t>
      </w:r>
    </w:p>
    <w:p w14:paraId="3A1C45D6" w14:textId="28E64D66" w:rsidR="00F36D64" w:rsidRPr="00F73A7F" w:rsidRDefault="00F36D64" w:rsidP="005D175A">
      <w:pPr>
        <w:spacing w:after="120"/>
        <w:jc w:val="both"/>
      </w:pPr>
      <w:r w:rsidRPr="00F73A7F">
        <w:t xml:space="preserve">Způsobilé domácnosti </w:t>
      </w:r>
      <w:r w:rsidRPr="00F73A7F">
        <w:rPr>
          <w:b/>
          <w:bCs/>
        </w:rPr>
        <w:t>nesmí být vlastníky domů</w:t>
      </w:r>
      <w:r w:rsidR="00C46149" w:rsidRPr="00F73A7F">
        <w:rPr>
          <w:b/>
          <w:bCs/>
        </w:rPr>
        <w:t xml:space="preserve"> či bytů</w:t>
      </w:r>
      <w:r w:rsidRPr="00F73A7F">
        <w:rPr>
          <w:b/>
          <w:bCs/>
        </w:rPr>
        <w:t xml:space="preserve"> a v okamžiku přidělení musí splňovat stanovený příjmový limit</w:t>
      </w:r>
      <w:r w:rsidRPr="00F73A7F">
        <w:t xml:space="preserve">. Započítávají se </w:t>
      </w:r>
      <w:r w:rsidR="00F73A7F" w:rsidRPr="00F73A7F">
        <w:t xml:space="preserve">mimo příspěvek na péči a DOZP – dávky pro osoby se zdravotním postižením </w:t>
      </w:r>
      <w:r w:rsidRPr="00F73A7F">
        <w:t>všechny</w:t>
      </w:r>
      <w:r w:rsidR="00F73A7F" w:rsidRPr="00F73A7F">
        <w:t xml:space="preserve"> ostatní</w:t>
      </w:r>
      <w:r w:rsidRPr="00F73A7F">
        <w:t xml:space="preserve"> příjmy domácnosti (včetně</w:t>
      </w:r>
      <w:r w:rsidR="00AA717A" w:rsidRPr="00F73A7F">
        <w:t xml:space="preserve"> všech pojistných a nepojistných dávek i dávek na bydlení</w:t>
      </w:r>
      <w:r w:rsidR="00FD2028" w:rsidRPr="00F73A7F">
        <w:t xml:space="preserve"> s výjimkou příspěvků na kompenzační pomůcky</w:t>
      </w:r>
      <w:r w:rsidRPr="00F73A7F">
        <w:t>), naopak se odpočítávají případné platby za exekuci / insolvenci.</w:t>
      </w:r>
    </w:p>
    <w:p w14:paraId="69AFF95B" w14:textId="7F83AE1E" w:rsidR="00F36D64" w:rsidRDefault="00F36D64" w:rsidP="005D175A">
      <w:pPr>
        <w:spacing w:after="120"/>
        <w:jc w:val="both"/>
      </w:pPr>
      <w:r w:rsidRPr="00F73A7F">
        <w:t>Limit čistého měsíčního příjmu pro cílovou skupinu sociální bydlení je stanoven jako maximální</w:t>
      </w:r>
      <w:r w:rsidRPr="004647C3">
        <w:t xml:space="preserve"> hodnot</w:t>
      </w:r>
      <w:r>
        <w:t>a</w:t>
      </w:r>
      <w:r w:rsidRPr="004647C3">
        <w:t xml:space="preserve"> čistého příjmu 6. decilu populace. Limity se přepočítávají podle metodiky OECD pro výpočet spotřebních jednotek</w:t>
      </w:r>
      <w:r>
        <w:t xml:space="preserve">: </w:t>
      </w:r>
      <w:r w:rsidRPr="004647C3">
        <w:t xml:space="preserve">tato </w:t>
      </w:r>
      <w:r>
        <w:t>metoda</w:t>
      </w:r>
      <w:r w:rsidRPr="004647C3">
        <w:t xml:space="preserve"> přiřazuje váhu všem členům domácnosti (a poté je sečte, aby se dospělo k ekvivalentní velikosti domácnosti): 1,0 první dospělé osobě; 0,5 druhé a každé další osobě starší 14 let; 0,3 každému dítěti mladšímu 14 let. Příjem 6. decilu je odvozen od deklarovaných příjmů šetření EU-SILC (27 576 Kč / měs. / 2022)</w:t>
      </w:r>
      <w:r>
        <w:t>.</w:t>
      </w:r>
      <w:r w:rsidRPr="004647C3">
        <w:t xml:space="preserve"> </w:t>
      </w:r>
    </w:p>
    <w:p w14:paraId="1EFE175D" w14:textId="267EF59E" w:rsidR="00F36D64" w:rsidRDefault="00F36D64" w:rsidP="005D175A">
      <w:pPr>
        <w:spacing w:after="120"/>
        <w:jc w:val="both"/>
      </w:pPr>
      <w:r w:rsidRPr="00074ED6">
        <w:rPr>
          <w:b/>
          <w:bCs/>
        </w:rPr>
        <w:t>Pro rok 2023 se stanovuje limit pro jednotku na 30 334 Kč.</w:t>
      </w:r>
      <w:r>
        <w:rPr>
          <w:b/>
          <w:bCs/>
        </w:rPr>
        <w:t xml:space="preserve"> </w:t>
      </w:r>
      <w:r w:rsidRPr="004647C3">
        <w:t>Limit platí pro celý kalendářní rok</w:t>
      </w:r>
      <w:r w:rsidR="00C46149">
        <w:t xml:space="preserve"> a bude pravidelně aktualizován na stránkách </w:t>
      </w:r>
      <w:r w:rsidR="003844D6">
        <w:t>MMR</w:t>
      </w:r>
      <w:r w:rsidR="00C46149">
        <w:t>.</w:t>
      </w:r>
    </w:p>
    <w:tbl>
      <w:tblPr>
        <w:tblW w:w="623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960"/>
        <w:gridCol w:w="1180"/>
        <w:gridCol w:w="1692"/>
      </w:tblGrid>
      <w:tr w:rsidR="00E46FF2" w:rsidRPr="00074ED6" w14:paraId="74D9478F" w14:textId="77777777" w:rsidTr="00A87801">
        <w:trPr>
          <w:trHeight w:val="300"/>
        </w:trPr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8D08D" w:fill="A8D08D"/>
            <w:vAlign w:val="bottom"/>
            <w:hideMark/>
          </w:tcPr>
          <w:p w14:paraId="33A1318D" w14:textId="77777777" w:rsidR="00E46FF2" w:rsidRPr="00074ED6" w:rsidRDefault="00E46FF2" w:rsidP="005D175A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74ED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Složení domácnosti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8D08D" w:fill="A8D08D"/>
            <w:vAlign w:val="center"/>
            <w:hideMark/>
          </w:tcPr>
          <w:p w14:paraId="49F6C969" w14:textId="77777777" w:rsidR="00E46FF2" w:rsidRPr="00074ED6" w:rsidRDefault="00E46FF2" w:rsidP="005D175A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74ED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Počty členů domácností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8D08D" w:fill="A8D08D"/>
            <w:vAlign w:val="center"/>
            <w:hideMark/>
          </w:tcPr>
          <w:p w14:paraId="1B999D29" w14:textId="77777777" w:rsidR="00E46FF2" w:rsidRPr="00074ED6" w:rsidRDefault="00E46FF2" w:rsidP="005D175A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74ED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Limit AxHA 2023</w:t>
            </w:r>
          </w:p>
          <w:p w14:paraId="6F2EE377" w14:textId="77777777" w:rsidR="00E46FF2" w:rsidRPr="00074ED6" w:rsidRDefault="00E46FF2" w:rsidP="005D175A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74ED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E46FF2" w:rsidRPr="00074ED6" w14:paraId="6FB23DC9" w14:textId="77777777" w:rsidTr="00A87801">
        <w:trPr>
          <w:trHeight w:val="975"/>
        </w:trPr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B388D" w14:textId="77777777" w:rsidR="00E46FF2" w:rsidRPr="00074ED6" w:rsidRDefault="00E46FF2" w:rsidP="005D175A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55FF3" w14:textId="77777777" w:rsidR="00E46FF2" w:rsidRPr="00074ED6" w:rsidRDefault="00E46FF2" w:rsidP="005D175A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74E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dospělí (osoby nad 13 let)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EC83E" w14:textId="77777777" w:rsidR="00E46FF2" w:rsidRPr="00074ED6" w:rsidRDefault="00E46FF2" w:rsidP="005D175A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74E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děti do 13 let</w:t>
            </w:r>
          </w:p>
        </w:tc>
        <w:tc>
          <w:tcPr>
            <w:tcW w:w="16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4B9A1" w14:textId="77777777" w:rsidR="00E46FF2" w:rsidRPr="00074ED6" w:rsidRDefault="00E46FF2" w:rsidP="005D175A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E46FF2" w:rsidRPr="00074ED6" w14:paraId="379036EB" w14:textId="77777777" w:rsidTr="00A8780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9423B" w14:textId="77777777" w:rsidR="00E46FF2" w:rsidRPr="00074ED6" w:rsidRDefault="00E46FF2" w:rsidP="005D175A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74E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Jednotlivec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E8ECD" w14:textId="77777777" w:rsidR="00E46FF2" w:rsidRPr="00074ED6" w:rsidRDefault="00E46FF2" w:rsidP="005D175A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74E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91F3F" w14:textId="77777777" w:rsidR="00E46FF2" w:rsidRPr="00074ED6" w:rsidRDefault="00E46FF2" w:rsidP="005D175A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74E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08662" w14:textId="77777777" w:rsidR="00E46FF2" w:rsidRPr="00074ED6" w:rsidRDefault="00E46FF2" w:rsidP="005D175A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74ED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  <w:r w:rsidRPr="00074ED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334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E46FF2" w:rsidRPr="00074ED6" w14:paraId="1B9B5039" w14:textId="77777777" w:rsidTr="00A8780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79CA1" w14:textId="77777777" w:rsidR="00E46FF2" w:rsidRPr="00074ED6" w:rsidRDefault="00E46FF2" w:rsidP="005D175A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74E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Samoživitelka s 1 dítětem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do 13 let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09C5C" w14:textId="77777777" w:rsidR="00E46FF2" w:rsidRPr="00074ED6" w:rsidRDefault="00E46FF2" w:rsidP="005D175A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74E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B6762" w14:textId="77777777" w:rsidR="00E46FF2" w:rsidRPr="00074ED6" w:rsidRDefault="00E46FF2" w:rsidP="005D175A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74E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A2572" w14:textId="77777777" w:rsidR="00E46FF2" w:rsidRPr="00074ED6" w:rsidRDefault="00E46FF2" w:rsidP="005D175A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74ED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39 434 Kč </w:t>
            </w:r>
          </w:p>
        </w:tc>
      </w:tr>
      <w:tr w:rsidR="00E46FF2" w:rsidRPr="00074ED6" w14:paraId="6E95DF33" w14:textId="77777777" w:rsidTr="00A8780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14AF6" w14:textId="77777777" w:rsidR="00E46FF2" w:rsidRPr="00074ED6" w:rsidRDefault="00E46FF2" w:rsidP="005D175A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74E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Samoživitelka s 2 dětmi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do 13 let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5984F" w14:textId="77777777" w:rsidR="00E46FF2" w:rsidRPr="00074ED6" w:rsidRDefault="00E46FF2" w:rsidP="005D175A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74E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0D97A" w14:textId="77777777" w:rsidR="00E46FF2" w:rsidRPr="00074ED6" w:rsidRDefault="00E46FF2" w:rsidP="005D175A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74E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401CC" w14:textId="77777777" w:rsidR="00E46FF2" w:rsidRPr="00074ED6" w:rsidRDefault="00E46FF2" w:rsidP="005D175A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74ED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48 534 Kč </w:t>
            </w:r>
          </w:p>
        </w:tc>
      </w:tr>
      <w:tr w:rsidR="00E46FF2" w:rsidRPr="00074ED6" w14:paraId="07B36164" w14:textId="77777777" w:rsidTr="00A8780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09D8B" w14:textId="77777777" w:rsidR="00E46FF2" w:rsidRPr="00074ED6" w:rsidRDefault="00E46FF2" w:rsidP="005D175A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74E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Bezdětný pár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89444" w14:textId="77777777" w:rsidR="00E46FF2" w:rsidRPr="00074ED6" w:rsidRDefault="00E46FF2" w:rsidP="005D175A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74E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CEC70" w14:textId="77777777" w:rsidR="00E46FF2" w:rsidRPr="00074ED6" w:rsidRDefault="00E46FF2" w:rsidP="005D175A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74E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76892" w14:textId="77777777" w:rsidR="00E46FF2" w:rsidRPr="00074ED6" w:rsidRDefault="00E46FF2" w:rsidP="005D175A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74ED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45 501 Kč </w:t>
            </w:r>
          </w:p>
        </w:tc>
      </w:tr>
      <w:tr w:rsidR="00E46FF2" w:rsidRPr="00074ED6" w14:paraId="7E08881F" w14:textId="77777777" w:rsidTr="00A8780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BDD39" w14:textId="77777777" w:rsidR="00E46FF2" w:rsidRPr="00074ED6" w:rsidRDefault="00E46FF2" w:rsidP="005D175A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74E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lastRenderedPageBreak/>
              <w:t>Rodina s 1 dítětem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do 13 let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28768" w14:textId="77777777" w:rsidR="00E46FF2" w:rsidRPr="00074ED6" w:rsidRDefault="00E46FF2" w:rsidP="005D175A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74E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1875B" w14:textId="77777777" w:rsidR="00E46FF2" w:rsidRPr="00074ED6" w:rsidRDefault="00E46FF2" w:rsidP="005D175A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74E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2A172" w14:textId="77777777" w:rsidR="00E46FF2" w:rsidRPr="00074ED6" w:rsidRDefault="00E46FF2" w:rsidP="005D175A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74ED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54 601 Kč </w:t>
            </w:r>
          </w:p>
        </w:tc>
      </w:tr>
      <w:tr w:rsidR="00E46FF2" w:rsidRPr="00074ED6" w14:paraId="0E5C49F4" w14:textId="77777777" w:rsidTr="00A8780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B1B41" w14:textId="77777777" w:rsidR="00E46FF2" w:rsidRPr="00074ED6" w:rsidRDefault="00E46FF2" w:rsidP="005D175A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74E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Rodina s 2 dětmi do 13 let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1482E" w14:textId="77777777" w:rsidR="00E46FF2" w:rsidRPr="00074ED6" w:rsidRDefault="00E46FF2" w:rsidP="005D175A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74E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AF60F" w14:textId="77777777" w:rsidR="00E46FF2" w:rsidRPr="00074ED6" w:rsidRDefault="00E46FF2" w:rsidP="005D175A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74E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E8620" w14:textId="77777777" w:rsidR="00E46FF2" w:rsidRPr="00074ED6" w:rsidRDefault="00E46FF2" w:rsidP="005D175A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74ED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63 701 Kč </w:t>
            </w:r>
          </w:p>
        </w:tc>
      </w:tr>
      <w:tr w:rsidR="00E46FF2" w:rsidRPr="00074ED6" w14:paraId="7D476D0D" w14:textId="77777777" w:rsidTr="00A87801">
        <w:trPr>
          <w:trHeight w:val="49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DBE55" w14:textId="77777777" w:rsidR="00E46FF2" w:rsidRPr="00074ED6" w:rsidRDefault="00E46FF2" w:rsidP="005D175A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74E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Rodina s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  <w:r w:rsidRPr="00074E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dítětem 14+</w:t>
            </w:r>
            <w:r w:rsidRPr="00074E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a 1 malým dítětem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B6832" w14:textId="77777777" w:rsidR="00E46FF2" w:rsidRPr="00074ED6" w:rsidRDefault="00E46FF2" w:rsidP="005D175A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74E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90B2B" w14:textId="77777777" w:rsidR="00E46FF2" w:rsidRPr="00074ED6" w:rsidRDefault="00E46FF2" w:rsidP="005D175A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74E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1 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E7BFE" w14:textId="77777777" w:rsidR="00E46FF2" w:rsidRPr="00074ED6" w:rsidRDefault="00E46FF2" w:rsidP="005D175A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74ED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69 768 Kč </w:t>
            </w:r>
          </w:p>
        </w:tc>
      </w:tr>
    </w:tbl>
    <w:p w14:paraId="6FA173B4" w14:textId="1FE0C145" w:rsidR="00FF27E8" w:rsidRDefault="00FF27E8" w:rsidP="005D175A">
      <w:pPr>
        <w:spacing w:after="120"/>
        <w:jc w:val="both"/>
      </w:pPr>
    </w:p>
    <w:p w14:paraId="03DEEBDA" w14:textId="19588332" w:rsidR="004F25E4" w:rsidRDefault="004F25E4" w:rsidP="005D175A">
      <w:pPr>
        <w:pStyle w:val="Nadpis1"/>
        <w:numPr>
          <w:ilvl w:val="0"/>
          <w:numId w:val="2"/>
        </w:numPr>
        <w:spacing w:line="288" w:lineRule="auto"/>
        <w:jc w:val="both"/>
      </w:pPr>
      <w:r>
        <w:t xml:space="preserve">Cílová skupina dostupného bydlení </w:t>
      </w:r>
    </w:p>
    <w:p w14:paraId="16C17392" w14:textId="206CE2D5" w:rsidR="00E808DB" w:rsidRDefault="00F36D64" w:rsidP="005D175A">
      <w:pPr>
        <w:jc w:val="both"/>
      </w:pPr>
      <w:r>
        <w:t xml:space="preserve">Jednotlivé projekty získají </w:t>
      </w:r>
      <w:r w:rsidR="00E808DB">
        <w:t>bodové ohodnocení dle následující tabulky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7394"/>
        <w:gridCol w:w="1678"/>
      </w:tblGrid>
      <w:tr w:rsidR="00E808DB" w:rsidRPr="00A5765E" w14:paraId="58ACC5C6" w14:textId="77777777" w:rsidTr="00E808DB">
        <w:trPr>
          <w:trHeight w:val="518"/>
        </w:trPr>
        <w:tc>
          <w:tcPr>
            <w:tcW w:w="7394" w:type="dxa"/>
            <w:shd w:val="clear" w:color="auto" w:fill="F2F2F2" w:themeFill="background1" w:themeFillShade="F2"/>
          </w:tcPr>
          <w:p w14:paraId="1164ED44" w14:textId="51C6FB13" w:rsidR="00E808DB" w:rsidRPr="00A5765E" w:rsidRDefault="00E808DB" w:rsidP="005D175A">
            <w:pPr>
              <w:pStyle w:val="Bezmezer"/>
              <w:spacing w:line="288" w:lineRule="auto"/>
              <w:ind w:right="15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A5765E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Podíl dostupného a sociálního bydlení na celkovém počtu bytů v rámci projektu</w:t>
            </w:r>
          </w:p>
        </w:tc>
        <w:tc>
          <w:tcPr>
            <w:tcW w:w="1678" w:type="dxa"/>
            <w:shd w:val="clear" w:color="auto" w:fill="F2F2F2" w:themeFill="background1" w:themeFillShade="F2"/>
          </w:tcPr>
          <w:p w14:paraId="67EF0C03" w14:textId="77777777" w:rsidR="00E808DB" w:rsidRPr="00A5765E" w:rsidRDefault="00E808DB" w:rsidP="005D175A">
            <w:pPr>
              <w:pStyle w:val="Bezmezer"/>
              <w:spacing w:line="288" w:lineRule="auto"/>
              <w:ind w:right="15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E808DB" w:rsidRPr="00A5765E" w14:paraId="4F751677" w14:textId="77777777" w:rsidTr="00E808DB">
        <w:trPr>
          <w:trHeight w:val="518"/>
        </w:trPr>
        <w:tc>
          <w:tcPr>
            <w:tcW w:w="7394" w:type="dxa"/>
          </w:tcPr>
          <w:p w14:paraId="772C3257" w14:textId="7BDCEE6B" w:rsidR="00E808DB" w:rsidRPr="00A5765E" w:rsidRDefault="00E808DB" w:rsidP="005D175A">
            <w:pPr>
              <w:pStyle w:val="Bezmezer"/>
              <w:spacing w:line="288" w:lineRule="auto"/>
              <w:ind w:right="15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5765E">
              <w:rPr>
                <w:rFonts w:asciiTheme="minorHAnsi" w:hAnsiTheme="minorHAnsi" w:cstheme="minorHAnsi"/>
                <w:color w:val="000000" w:themeColor="text1"/>
              </w:rPr>
              <w:t>Žádné dostupné byty</w:t>
            </w:r>
          </w:p>
        </w:tc>
        <w:tc>
          <w:tcPr>
            <w:tcW w:w="1678" w:type="dxa"/>
          </w:tcPr>
          <w:p w14:paraId="759425A5" w14:textId="77777777" w:rsidR="00E808DB" w:rsidRPr="00A5765E" w:rsidRDefault="00E808DB" w:rsidP="005D175A">
            <w:pPr>
              <w:pStyle w:val="Bezmezer"/>
              <w:spacing w:line="288" w:lineRule="auto"/>
              <w:ind w:right="15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5765E">
              <w:rPr>
                <w:rFonts w:asciiTheme="minorHAnsi" w:hAnsiTheme="minorHAnsi" w:cstheme="minorHAnsi"/>
                <w:color w:val="000000" w:themeColor="text1"/>
              </w:rPr>
              <w:t>0 bodů</w:t>
            </w:r>
          </w:p>
        </w:tc>
      </w:tr>
      <w:tr w:rsidR="00637FD3" w:rsidRPr="00A5765E" w14:paraId="1AE26A73" w14:textId="77777777" w:rsidTr="00E808DB">
        <w:trPr>
          <w:trHeight w:val="518"/>
        </w:trPr>
        <w:tc>
          <w:tcPr>
            <w:tcW w:w="7394" w:type="dxa"/>
          </w:tcPr>
          <w:p w14:paraId="62865967" w14:textId="3A264778" w:rsidR="00637FD3" w:rsidRPr="00A5765E" w:rsidRDefault="00571041" w:rsidP="005D175A">
            <w:pPr>
              <w:pStyle w:val="Bezmezer"/>
              <w:spacing w:line="288" w:lineRule="auto"/>
              <w:ind w:right="15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5765E">
              <w:rPr>
                <w:rFonts w:asciiTheme="minorHAnsi" w:hAnsiTheme="minorHAnsi" w:cstheme="minorHAnsi"/>
                <w:color w:val="000000" w:themeColor="text1"/>
              </w:rPr>
              <w:t>1–20 %</w:t>
            </w:r>
            <w:r w:rsidR="00637FD3" w:rsidRPr="00A5765E">
              <w:rPr>
                <w:rFonts w:asciiTheme="minorHAnsi" w:hAnsiTheme="minorHAnsi" w:cstheme="minorHAnsi"/>
                <w:color w:val="000000" w:themeColor="text1"/>
              </w:rPr>
              <w:t xml:space="preserve"> dostupných bytů</w:t>
            </w:r>
          </w:p>
        </w:tc>
        <w:tc>
          <w:tcPr>
            <w:tcW w:w="1678" w:type="dxa"/>
          </w:tcPr>
          <w:p w14:paraId="5720A839" w14:textId="4898F9B1" w:rsidR="00637FD3" w:rsidRPr="00A5765E" w:rsidRDefault="00637FD3" w:rsidP="005D175A">
            <w:pPr>
              <w:pStyle w:val="Bezmezer"/>
              <w:spacing w:line="288" w:lineRule="auto"/>
              <w:ind w:right="15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5765E">
              <w:rPr>
                <w:rFonts w:asciiTheme="minorHAnsi" w:hAnsiTheme="minorHAnsi" w:cstheme="minorHAnsi"/>
                <w:color w:val="000000" w:themeColor="text1"/>
              </w:rPr>
              <w:t>1 bod</w:t>
            </w:r>
          </w:p>
        </w:tc>
      </w:tr>
      <w:tr w:rsidR="00637FD3" w:rsidRPr="00A5765E" w14:paraId="5EF05B1F" w14:textId="77777777" w:rsidTr="00E808DB">
        <w:trPr>
          <w:trHeight w:val="518"/>
        </w:trPr>
        <w:tc>
          <w:tcPr>
            <w:tcW w:w="7394" w:type="dxa"/>
          </w:tcPr>
          <w:p w14:paraId="6C71F4BB" w14:textId="24A31810" w:rsidR="00637FD3" w:rsidRPr="00A5765E" w:rsidRDefault="00A5765E" w:rsidP="005D175A">
            <w:pPr>
              <w:pStyle w:val="Bezmezer"/>
              <w:spacing w:line="288" w:lineRule="auto"/>
              <w:ind w:right="15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5765E">
              <w:rPr>
                <w:rFonts w:asciiTheme="minorHAnsi" w:hAnsiTheme="minorHAnsi" w:cstheme="minorHAnsi"/>
                <w:color w:val="000000" w:themeColor="text1"/>
              </w:rPr>
              <w:t>21</w:t>
            </w:r>
            <w:r w:rsidR="00637FD3" w:rsidRPr="00A5765E">
              <w:rPr>
                <w:rFonts w:asciiTheme="minorHAnsi" w:hAnsiTheme="minorHAnsi" w:cstheme="minorHAnsi"/>
                <w:color w:val="000000" w:themeColor="text1"/>
              </w:rPr>
              <w:t>-40 % dostupných bytů</w:t>
            </w:r>
          </w:p>
        </w:tc>
        <w:tc>
          <w:tcPr>
            <w:tcW w:w="1678" w:type="dxa"/>
          </w:tcPr>
          <w:p w14:paraId="6AC69288" w14:textId="367DC598" w:rsidR="00637FD3" w:rsidRPr="00A5765E" w:rsidRDefault="00637FD3" w:rsidP="005D175A">
            <w:pPr>
              <w:pStyle w:val="Bezmezer"/>
              <w:spacing w:line="288" w:lineRule="auto"/>
              <w:ind w:right="15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5765E">
              <w:rPr>
                <w:rFonts w:asciiTheme="minorHAnsi" w:hAnsiTheme="minorHAnsi" w:cstheme="minorHAnsi"/>
                <w:color w:val="000000" w:themeColor="text1"/>
              </w:rPr>
              <w:t>2 body</w:t>
            </w:r>
          </w:p>
        </w:tc>
      </w:tr>
      <w:tr w:rsidR="00E808DB" w:rsidRPr="00A5765E" w14:paraId="6E6925D8" w14:textId="77777777" w:rsidTr="00E808DB">
        <w:trPr>
          <w:trHeight w:val="518"/>
        </w:trPr>
        <w:tc>
          <w:tcPr>
            <w:tcW w:w="7394" w:type="dxa"/>
          </w:tcPr>
          <w:p w14:paraId="45B68FC3" w14:textId="63B70C4B" w:rsidR="00E808DB" w:rsidRPr="00A5765E" w:rsidRDefault="00A5765E" w:rsidP="005D175A">
            <w:pPr>
              <w:pStyle w:val="Bezmezer"/>
              <w:spacing w:line="288" w:lineRule="auto"/>
              <w:ind w:right="15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5765E">
              <w:rPr>
                <w:rFonts w:asciiTheme="minorHAnsi" w:hAnsiTheme="minorHAnsi" w:cstheme="minorHAnsi"/>
                <w:color w:val="000000" w:themeColor="text1"/>
              </w:rPr>
              <w:t>41</w:t>
            </w:r>
            <w:r w:rsidR="00637FD3" w:rsidRPr="00A5765E">
              <w:rPr>
                <w:rFonts w:asciiTheme="minorHAnsi" w:hAnsiTheme="minorHAnsi" w:cstheme="minorHAnsi"/>
                <w:color w:val="000000" w:themeColor="text1"/>
              </w:rPr>
              <w:t>-</w:t>
            </w:r>
            <w:r w:rsidR="00571041" w:rsidRPr="00A5765E">
              <w:rPr>
                <w:rFonts w:asciiTheme="minorHAnsi" w:hAnsiTheme="minorHAnsi" w:cstheme="minorHAnsi"/>
                <w:color w:val="000000" w:themeColor="text1"/>
              </w:rPr>
              <w:t>60 %</w:t>
            </w:r>
            <w:r w:rsidR="00637FD3" w:rsidRPr="00A5765E">
              <w:rPr>
                <w:rFonts w:asciiTheme="minorHAnsi" w:hAnsiTheme="minorHAnsi" w:cstheme="minorHAnsi"/>
                <w:color w:val="000000" w:themeColor="text1"/>
              </w:rPr>
              <w:t xml:space="preserve"> dostupných bytů</w:t>
            </w:r>
          </w:p>
        </w:tc>
        <w:tc>
          <w:tcPr>
            <w:tcW w:w="1678" w:type="dxa"/>
          </w:tcPr>
          <w:p w14:paraId="07B60EF9" w14:textId="25191CF1" w:rsidR="00E808DB" w:rsidRPr="00A5765E" w:rsidRDefault="00637FD3" w:rsidP="005D175A">
            <w:pPr>
              <w:pStyle w:val="Bezmezer"/>
              <w:spacing w:line="288" w:lineRule="auto"/>
              <w:ind w:right="15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5765E">
              <w:rPr>
                <w:rFonts w:asciiTheme="minorHAnsi" w:hAnsiTheme="minorHAnsi" w:cstheme="minorHAnsi"/>
                <w:color w:val="000000" w:themeColor="text1"/>
              </w:rPr>
              <w:t>3 body</w:t>
            </w:r>
          </w:p>
        </w:tc>
      </w:tr>
      <w:tr w:rsidR="00637FD3" w:rsidRPr="00A5765E" w14:paraId="1F5C86C8" w14:textId="77777777" w:rsidTr="00E808DB">
        <w:trPr>
          <w:trHeight w:val="518"/>
        </w:trPr>
        <w:tc>
          <w:tcPr>
            <w:tcW w:w="7394" w:type="dxa"/>
          </w:tcPr>
          <w:p w14:paraId="66E1E4A1" w14:textId="249E24C1" w:rsidR="00637FD3" w:rsidRPr="00A5765E" w:rsidRDefault="00A5765E" w:rsidP="005D175A">
            <w:pPr>
              <w:pStyle w:val="Bezmezer"/>
              <w:spacing w:line="288" w:lineRule="auto"/>
              <w:ind w:right="15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5765E">
              <w:rPr>
                <w:rFonts w:asciiTheme="minorHAnsi" w:hAnsiTheme="minorHAnsi" w:cstheme="minorHAnsi"/>
                <w:color w:val="000000" w:themeColor="text1"/>
              </w:rPr>
              <w:t>61</w:t>
            </w:r>
            <w:r w:rsidR="00637FD3" w:rsidRPr="00A5765E">
              <w:rPr>
                <w:rFonts w:asciiTheme="minorHAnsi" w:hAnsiTheme="minorHAnsi" w:cstheme="minorHAnsi"/>
                <w:color w:val="000000" w:themeColor="text1"/>
              </w:rPr>
              <w:t>-</w:t>
            </w:r>
            <w:r w:rsidR="00571041" w:rsidRPr="00A5765E">
              <w:rPr>
                <w:rFonts w:asciiTheme="minorHAnsi" w:hAnsiTheme="minorHAnsi" w:cstheme="minorHAnsi"/>
                <w:color w:val="000000" w:themeColor="text1"/>
              </w:rPr>
              <w:t>80 %</w:t>
            </w:r>
            <w:r w:rsidR="00637FD3" w:rsidRPr="00A5765E">
              <w:rPr>
                <w:rFonts w:asciiTheme="minorHAnsi" w:hAnsiTheme="minorHAnsi" w:cstheme="minorHAnsi"/>
                <w:color w:val="000000" w:themeColor="text1"/>
              </w:rPr>
              <w:t xml:space="preserve"> dostupných bytů</w:t>
            </w:r>
          </w:p>
        </w:tc>
        <w:tc>
          <w:tcPr>
            <w:tcW w:w="1678" w:type="dxa"/>
          </w:tcPr>
          <w:p w14:paraId="030CDBE5" w14:textId="36C256FA" w:rsidR="00637FD3" w:rsidRPr="00A5765E" w:rsidRDefault="00637FD3" w:rsidP="005D175A">
            <w:pPr>
              <w:pStyle w:val="Bezmezer"/>
              <w:spacing w:line="288" w:lineRule="auto"/>
              <w:ind w:right="15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5765E">
              <w:rPr>
                <w:rFonts w:asciiTheme="minorHAnsi" w:hAnsiTheme="minorHAnsi" w:cstheme="minorHAnsi"/>
                <w:color w:val="000000" w:themeColor="text1"/>
              </w:rPr>
              <w:t>4 body</w:t>
            </w:r>
          </w:p>
        </w:tc>
      </w:tr>
      <w:tr w:rsidR="00E808DB" w:rsidRPr="00A5765E" w14:paraId="18AAED41" w14:textId="77777777" w:rsidTr="00E808DB">
        <w:trPr>
          <w:trHeight w:val="518"/>
        </w:trPr>
        <w:tc>
          <w:tcPr>
            <w:tcW w:w="7394" w:type="dxa"/>
          </w:tcPr>
          <w:p w14:paraId="59EB9FE1" w14:textId="3059A770" w:rsidR="00E808DB" w:rsidRPr="00A5765E" w:rsidRDefault="00E808DB" w:rsidP="005D175A">
            <w:pPr>
              <w:pStyle w:val="Bezmezer"/>
              <w:spacing w:line="288" w:lineRule="auto"/>
              <w:ind w:right="15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5765E">
              <w:rPr>
                <w:rFonts w:asciiTheme="minorHAnsi" w:hAnsiTheme="minorHAnsi" w:cstheme="minorHAnsi"/>
                <w:color w:val="000000" w:themeColor="text1"/>
              </w:rPr>
              <w:t>Všechny byty jsou dostupné (započítávají se i sociální)</w:t>
            </w:r>
          </w:p>
        </w:tc>
        <w:tc>
          <w:tcPr>
            <w:tcW w:w="1678" w:type="dxa"/>
          </w:tcPr>
          <w:p w14:paraId="3F6173F9" w14:textId="42D99760" w:rsidR="00E808DB" w:rsidRPr="00A5765E" w:rsidRDefault="00E808DB" w:rsidP="005D175A">
            <w:pPr>
              <w:pStyle w:val="Bezmezer"/>
              <w:spacing w:line="288" w:lineRule="auto"/>
              <w:ind w:right="15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5765E">
              <w:rPr>
                <w:rFonts w:asciiTheme="minorHAnsi" w:hAnsiTheme="minorHAnsi" w:cstheme="minorHAnsi"/>
                <w:color w:val="000000" w:themeColor="text1"/>
              </w:rPr>
              <w:t>5 bod</w:t>
            </w:r>
            <w:r w:rsidR="001A7D06" w:rsidRPr="00A5765E">
              <w:rPr>
                <w:rFonts w:asciiTheme="minorHAnsi" w:hAnsiTheme="minorHAnsi" w:cstheme="minorHAnsi"/>
                <w:color w:val="000000" w:themeColor="text1"/>
              </w:rPr>
              <w:t>ů</w:t>
            </w:r>
          </w:p>
        </w:tc>
      </w:tr>
    </w:tbl>
    <w:p w14:paraId="0C46C0F3" w14:textId="77777777" w:rsidR="00E808DB" w:rsidRDefault="00E808DB" w:rsidP="005D175A">
      <w:pPr>
        <w:jc w:val="both"/>
      </w:pPr>
    </w:p>
    <w:p w14:paraId="3CF7DB39" w14:textId="77777777" w:rsidR="00FD2028" w:rsidRPr="00C46149" w:rsidRDefault="00FD2028" w:rsidP="005D175A">
      <w:pPr>
        <w:pStyle w:val="Odstavecseseznamem"/>
        <w:numPr>
          <w:ilvl w:val="2"/>
          <w:numId w:val="2"/>
        </w:numPr>
        <w:jc w:val="both"/>
      </w:pPr>
      <w:r w:rsidRPr="00C46149">
        <w:t>Dostupným nájemním bydlením se rozumí nájemní bydlení v bytě za účelem uspokojování bytové potřeby, které je poskytované za dostupné nájemné</w:t>
      </w:r>
      <w:r>
        <w:t>, viz níže</w:t>
      </w:r>
      <w:r w:rsidRPr="00C46149">
        <w:t>.</w:t>
      </w:r>
    </w:p>
    <w:p w14:paraId="1B78919B" w14:textId="3AC2473F" w:rsidR="003844D6" w:rsidRPr="00C46149" w:rsidRDefault="003844D6" w:rsidP="005D175A">
      <w:pPr>
        <w:pStyle w:val="Odstavecseseznamem"/>
        <w:ind w:left="1224"/>
        <w:jc w:val="both"/>
      </w:pPr>
      <w:r w:rsidRPr="00C46149">
        <w:t>Pronajímatel, který poskytuje byt pro dostupné nájemní bydlení</w:t>
      </w:r>
      <w:r w:rsidR="001A7D06">
        <w:t>,</w:t>
      </w:r>
      <w:r w:rsidRPr="00C46149">
        <w:t xml:space="preserve"> je povinen v bytě poskytovat dostupné nájemní bydlení po dobu </w:t>
      </w:r>
      <w:r w:rsidRPr="007936AA">
        <w:rPr>
          <w:b/>
          <w:bCs/>
        </w:rPr>
        <w:t>alespoň 20 let</w:t>
      </w:r>
      <w:r w:rsidRPr="00C46149">
        <w:t xml:space="preserve"> od okamžiku, kdy mohl dostupné nájemní bydlení poskytnout poprvé.</w:t>
      </w:r>
    </w:p>
    <w:p w14:paraId="505E0EB3" w14:textId="77777777" w:rsidR="000A28F2" w:rsidRDefault="00C46149" w:rsidP="005D175A">
      <w:pPr>
        <w:pStyle w:val="Nadpis1"/>
        <w:spacing w:line="288" w:lineRule="auto"/>
        <w:jc w:val="both"/>
      </w:pPr>
      <w:r w:rsidRPr="00C46149">
        <w:t>Výše dostupného nájemného</w:t>
      </w:r>
    </w:p>
    <w:p w14:paraId="029F009F" w14:textId="532FAE18" w:rsidR="000A28F2" w:rsidRPr="000A28F2" w:rsidRDefault="00C46149" w:rsidP="005D175A">
      <w:pPr>
        <w:jc w:val="both"/>
      </w:pPr>
      <w:r w:rsidRPr="000A28F2">
        <w:t>Dostupným nájemným se rozumí nájemné nepřevyšující nákladové nájemné, které je zároveň nižší než obvyklé tržní nájemné bytů srovnatelné kvality. Jestliže pronajímatel poskytuje v domě více bytů pro dostupné nájemní bydlení, může být dostupné nájemné pro jednotlivé byty sjednáno odlišně od odstavce 1, průměrné nájemné v těchto bytech však nesmí přesahovat částku podle odstavce 1.</w:t>
      </w:r>
      <w:r w:rsidR="00D43181">
        <w:t xml:space="preserve"> </w:t>
      </w:r>
      <w:r w:rsidRPr="000A28F2">
        <w:t>Podrobnosti pro stanovení a výpočet nákladového nájemného a pro určení přiměřeného zisku určí Ministerstvo pro místní rozvoj vyhláškou.</w:t>
      </w:r>
    </w:p>
    <w:p w14:paraId="7951CCBB" w14:textId="77777777" w:rsidR="00C46149" w:rsidRPr="007936AA" w:rsidRDefault="00C46149" w:rsidP="005D175A">
      <w:pPr>
        <w:pStyle w:val="Nadpis1"/>
        <w:spacing w:line="288" w:lineRule="auto"/>
        <w:jc w:val="both"/>
      </w:pPr>
      <w:r w:rsidRPr="00C46149">
        <w:t>Cílové skupiny dostupného nájemního bydlení</w:t>
      </w:r>
    </w:p>
    <w:p w14:paraId="7B90963A" w14:textId="77777777" w:rsidR="007936AA" w:rsidRDefault="00C46149" w:rsidP="005D175A">
      <w:pPr>
        <w:jc w:val="both"/>
      </w:pPr>
      <w:r w:rsidRPr="00C46149">
        <w:t>Pro zařazení mezi cílovou skupinu dostupného nájemního bydlení stačí náležet do jedné ze čtyř níže uvedených kategorií:</w:t>
      </w:r>
    </w:p>
    <w:p w14:paraId="4CE32A40" w14:textId="146CECC4" w:rsidR="001F4AE2" w:rsidRDefault="00FD2028" w:rsidP="005D175A">
      <w:pPr>
        <w:jc w:val="both"/>
      </w:pPr>
      <w:r>
        <w:lastRenderedPageBreak/>
        <w:t xml:space="preserve">1) </w:t>
      </w:r>
      <w:r w:rsidR="00C46149" w:rsidRPr="00C46149">
        <w:t>Dostupné nájemní bydlení lze poskytovat domácnosti, jejíž členové</w:t>
      </w:r>
    </w:p>
    <w:p w14:paraId="6CC64D5E" w14:textId="77777777" w:rsidR="001F4AE2" w:rsidRDefault="00C46149" w:rsidP="005D175A">
      <w:pPr>
        <w:pStyle w:val="Nadpis2"/>
        <w:numPr>
          <w:ilvl w:val="0"/>
          <w:numId w:val="5"/>
        </w:numPr>
        <w:jc w:val="both"/>
        <w:rPr>
          <w:b w:val="0"/>
          <w:bCs w:val="0"/>
          <w:sz w:val="22"/>
          <w:szCs w:val="22"/>
        </w:rPr>
      </w:pPr>
      <w:r w:rsidRPr="001F4AE2">
        <w:rPr>
          <w:b w:val="0"/>
          <w:bCs w:val="0"/>
          <w:sz w:val="22"/>
          <w:szCs w:val="22"/>
        </w:rPr>
        <w:t>dosáhli jednotlivě věku nejvýše 35 let</w:t>
      </w:r>
    </w:p>
    <w:p w14:paraId="61018B3E" w14:textId="4C0EBF1B" w:rsidR="00C46149" w:rsidRPr="001F4AE2" w:rsidRDefault="00C46149" w:rsidP="005D175A">
      <w:pPr>
        <w:pStyle w:val="Nadpis2"/>
        <w:numPr>
          <w:ilvl w:val="0"/>
          <w:numId w:val="5"/>
        </w:numPr>
        <w:jc w:val="both"/>
        <w:rPr>
          <w:b w:val="0"/>
          <w:bCs w:val="0"/>
          <w:sz w:val="22"/>
          <w:szCs w:val="22"/>
        </w:rPr>
      </w:pPr>
      <w:r w:rsidRPr="001F4AE2">
        <w:rPr>
          <w:b w:val="0"/>
          <w:bCs w:val="0"/>
          <w:sz w:val="22"/>
          <w:szCs w:val="22"/>
        </w:rPr>
        <w:t>nevlastní nemovitou věc určenou k bydlení ani nejsou jejími spoluvlastníky ani členy bytového družstva s právem užívat byt</w:t>
      </w:r>
    </w:p>
    <w:p w14:paraId="0D362E99" w14:textId="5A125188" w:rsidR="007936AA" w:rsidRPr="00F73A7F" w:rsidRDefault="00FD2028" w:rsidP="005D175A">
      <w:pPr>
        <w:pStyle w:val="Nadpis1"/>
        <w:spacing w:line="288" w:lineRule="auto"/>
        <w:jc w:val="both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  <w:r w:rsidRPr="00F73A7F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2) </w:t>
      </w:r>
      <w:r w:rsidR="00C46149" w:rsidRPr="00F73A7F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Dostupné nájemní bydlení lze poskytovat domácnosti,</w:t>
      </w:r>
    </w:p>
    <w:p w14:paraId="23C9EED9" w14:textId="2F683391" w:rsidR="007936AA" w:rsidRPr="000A28F2" w:rsidRDefault="00C46149" w:rsidP="005D175A">
      <w:pPr>
        <w:pStyle w:val="Nadpis2"/>
        <w:numPr>
          <w:ilvl w:val="0"/>
          <w:numId w:val="5"/>
        </w:numPr>
        <w:jc w:val="both"/>
        <w:rPr>
          <w:b w:val="0"/>
          <w:bCs w:val="0"/>
          <w:sz w:val="22"/>
          <w:szCs w:val="22"/>
        </w:rPr>
      </w:pPr>
      <w:r w:rsidRPr="000A28F2">
        <w:rPr>
          <w:b w:val="0"/>
          <w:bCs w:val="0"/>
          <w:sz w:val="22"/>
          <w:szCs w:val="22"/>
        </w:rPr>
        <w:t xml:space="preserve">jejíž člen je zaměstnancem v oborech zdravotnictví, školství, zajišťování veřejné bezpečnosti, poskytování sociálních služeb nebo výkonu veřejné správy </w:t>
      </w:r>
    </w:p>
    <w:p w14:paraId="37728B59" w14:textId="4E295C62" w:rsidR="00C46149" w:rsidRPr="000A28F2" w:rsidRDefault="00C46149" w:rsidP="005D175A">
      <w:pPr>
        <w:pStyle w:val="Nadpis2"/>
        <w:numPr>
          <w:ilvl w:val="0"/>
          <w:numId w:val="5"/>
        </w:numPr>
        <w:jc w:val="both"/>
        <w:rPr>
          <w:b w:val="0"/>
          <w:bCs w:val="0"/>
          <w:sz w:val="22"/>
          <w:szCs w:val="22"/>
        </w:rPr>
      </w:pPr>
      <w:r w:rsidRPr="000A28F2">
        <w:rPr>
          <w:b w:val="0"/>
          <w:bCs w:val="0"/>
          <w:sz w:val="22"/>
          <w:szCs w:val="22"/>
        </w:rPr>
        <w:t>jejíž členové nevlastní v kraji, kde se dostupné nájemní bydlení poskytuje, nemovitou věc určenou k bydlení, ani nejsou jejími spoluvlastníky ani členy bytového družstva s právem užívat byt v daném kraji</w:t>
      </w:r>
    </w:p>
    <w:p w14:paraId="5B143F62" w14:textId="77777777" w:rsidR="007936AA" w:rsidRPr="000A28F2" w:rsidRDefault="007936AA" w:rsidP="005D175A">
      <w:pPr>
        <w:pStyle w:val="Bezmezer"/>
        <w:jc w:val="both"/>
        <w:rPr>
          <w:sz w:val="22"/>
        </w:rPr>
      </w:pPr>
    </w:p>
    <w:p w14:paraId="6C25EEF3" w14:textId="4B085D36" w:rsidR="007936AA" w:rsidRPr="00F73A7F" w:rsidRDefault="00FD2028" w:rsidP="005D175A">
      <w:pPr>
        <w:pStyle w:val="Nadpis1"/>
        <w:spacing w:line="288" w:lineRule="auto"/>
        <w:jc w:val="both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  <w: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3) </w:t>
      </w:r>
      <w:r w:rsidR="00C46149" w:rsidRPr="00F73A7F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Dostupné nájemní bydlení lze dále poskytovat domácnosti, </w:t>
      </w:r>
    </w:p>
    <w:p w14:paraId="13BEAFE2" w14:textId="12E3C4BB" w:rsidR="007936AA" w:rsidRDefault="00C46149" w:rsidP="005D175A">
      <w:pPr>
        <w:pStyle w:val="Nadpis2"/>
        <w:numPr>
          <w:ilvl w:val="0"/>
          <w:numId w:val="6"/>
        </w:numPr>
        <w:ind w:left="993" w:hanging="142"/>
        <w:jc w:val="both"/>
        <w:rPr>
          <w:b w:val="0"/>
          <w:bCs w:val="0"/>
          <w:sz w:val="22"/>
          <w:szCs w:val="22"/>
        </w:rPr>
      </w:pPr>
      <w:r w:rsidRPr="000A28F2">
        <w:rPr>
          <w:b w:val="0"/>
          <w:bCs w:val="0"/>
          <w:sz w:val="22"/>
          <w:szCs w:val="22"/>
        </w:rPr>
        <w:t>jejíž průměrný příjem nepřesahuje příjem domácností nacházejících se v 8. příjmovém decilu</w:t>
      </w:r>
      <w:r w:rsidR="00A63FD6">
        <w:rPr>
          <w:b w:val="0"/>
          <w:bCs w:val="0"/>
          <w:sz w:val="22"/>
          <w:szCs w:val="22"/>
        </w:rPr>
        <w:t xml:space="preserve"> (viz níže)</w:t>
      </w:r>
      <w:r w:rsidRPr="000A28F2">
        <w:rPr>
          <w:b w:val="0"/>
          <w:bCs w:val="0"/>
          <w:sz w:val="22"/>
          <w:szCs w:val="22"/>
        </w:rPr>
        <w:t xml:space="preserve"> a </w:t>
      </w:r>
    </w:p>
    <w:p w14:paraId="13534CA0" w14:textId="77777777" w:rsidR="00A63FD6" w:rsidRPr="000A28F2" w:rsidRDefault="00A63FD6" w:rsidP="005D175A">
      <w:pPr>
        <w:pStyle w:val="Nadpis2"/>
        <w:numPr>
          <w:ilvl w:val="0"/>
          <w:numId w:val="6"/>
        </w:numPr>
        <w:ind w:left="1134" w:hanging="283"/>
        <w:jc w:val="both"/>
        <w:rPr>
          <w:b w:val="0"/>
          <w:bCs w:val="0"/>
          <w:sz w:val="22"/>
          <w:szCs w:val="22"/>
        </w:rPr>
      </w:pPr>
      <w:r w:rsidRPr="000A28F2">
        <w:rPr>
          <w:b w:val="0"/>
          <w:bCs w:val="0"/>
          <w:sz w:val="22"/>
          <w:szCs w:val="22"/>
        </w:rPr>
        <w:t>jejíž členové nevlastní nemovitou věc určenou k bydlení ani nejsou jejími spoluvlastníky ani členy bytového družstva s právem užívat byt</w:t>
      </w:r>
    </w:p>
    <w:p w14:paraId="7FB38859" w14:textId="77777777" w:rsidR="00A63FD6" w:rsidRDefault="00A63FD6" w:rsidP="005D175A">
      <w:pPr>
        <w:jc w:val="both"/>
      </w:pPr>
    </w:p>
    <w:p w14:paraId="3F0537D9" w14:textId="0F991B28" w:rsidR="00A63FD6" w:rsidRDefault="00A63FD6" w:rsidP="005D175A">
      <w:pPr>
        <w:jc w:val="both"/>
      </w:pPr>
      <w:r>
        <w:t xml:space="preserve">Strop  8. decilu, tj. čistý měsíční příjem na spotřební jednotku dle EU v roce 2023 je 39 777,-, tzn. hodnota SILC 2022 navýšená o 10 %. </w:t>
      </w:r>
    </w:p>
    <w:tbl>
      <w:tblPr>
        <w:tblW w:w="9072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3180"/>
        <w:gridCol w:w="1420"/>
        <w:gridCol w:w="1300"/>
        <w:gridCol w:w="357"/>
        <w:gridCol w:w="1183"/>
        <w:gridCol w:w="1622"/>
      </w:tblGrid>
      <w:tr w:rsidR="00A63FD6" w14:paraId="5533A560" w14:textId="77777777" w:rsidTr="005D175A">
        <w:trPr>
          <w:gridBefore w:val="1"/>
          <w:gridAfter w:val="1"/>
          <w:wBefore w:w="10" w:type="dxa"/>
          <w:wAfter w:w="1622" w:type="dxa"/>
          <w:trHeight w:val="960"/>
        </w:trPr>
        <w:tc>
          <w:tcPr>
            <w:tcW w:w="31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A47FA6" w14:textId="77777777" w:rsidR="00A63FD6" w:rsidRDefault="00A63FD6" w:rsidP="005D175A">
            <w:pPr>
              <w:jc w:val="both"/>
            </w:pPr>
            <w:r>
              <w:rPr>
                <w:b/>
                <w:bCs/>
                <w:color w:val="000000"/>
                <w:sz w:val="18"/>
                <w:szCs w:val="18"/>
              </w:rPr>
              <w:t>Složení domácnosti</w:t>
            </w:r>
          </w:p>
        </w:tc>
        <w:tc>
          <w:tcPr>
            <w:tcW w:w="27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8D08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C1C90F" w14:textId="77777777" w:rsidR="00A63FD6" w:rsidRDefault="00A63FD6" w:rsidP="005D175A">
            <w:pPr>
              <w:jc w:val="both"/>
            </w:pPr>
            <w:r>
              <w:rPr>
                <w:b/>
                <w:bCs/>
                <w:color w:val="000000"/>
                <w:sz w:val="18"/>
                <w:szCs w:val="18"/>
              </w:rPr>
              <w:t>Počty členů domácností</w:t>
            </w:r>
          </w:p>
        </w:tc>
        <w:tc>
          <w:tcPr>
            <w:tcW w:w="15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8D08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4B48C6" w14:textId="77777777" w:rsidR="00A63FD6" w:rsidRDefault="00A63FD6" w:rsidP="005D175A">
            <w:pPr>
              <w:jc w:val="both"/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Strop příjmů pro dostupné bydlení (čisté měsíční příjmy) </w:t>
            </w:r>
          </w:p>
        </w:tc>
      </w:tr>
      <w:tr w:rsidR="00A63FD6" w14:paraId="25F93ADD" w14:textId="77777777" w:rsidTr="005D175A">
        <w:trPr>
          <w:gridBefore w:val="1"/>
          <w:gridAfter w:val="1"/>
          <w:wBefore w:w="10" w:type="dxa"/>
          <w:wAfter w:w="1622" w:type="dxa"/>
          <w:trHeight w:val="67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5C3EB9" w14:textId="77777777" w:rsidR="00A63FD6" w:rsidRDefault="00A63FD6" w:rsidP="005D175A">
            <w:pPr>
              <w:jc w:val="both"/>
              <w:rPr>
                <w:rFonts w:ascii="Calibri" w:hAnsi="Calibri" w:cs="Calibri"/>
                <w14:ligatures w14:val="standardContextua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DF19CC" w14:textId="77777777" w:rsidR="00A63FD6" w:rsidRDefault="00A63FD6" w:rsidP="005D175A">
            <w:pPr>
              <w:jc w:val="both"/>
            </w:pPr>
            <w:r>
              <w:rPr>
                <w:color w:val="000000"/>
                <w:sz w:val="18"/>
                <w:szCs w:val="18"/>
              </w:rPr>
              <w:t>dospělí (osoby nad 13 let)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ED71BC" w14:textId="77777777" w:rsidR="00A63FD6" w:rsidRDefault="00A63FD6" w:rsidP="005D175A">
            <w:pPr>
              <w:jc w:val="both"/>
            </w:pPr>
            <w:r>
              <w:rPr>
                <w:color w:val="000000"/>
                <w:sz w:val="18"/>
                <w:szCs w:val="18"/>
              </w:rPr>
              <w:t>děti do 13 let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313634" w14:textId="77777777" w:rsidR="00A63FD6" w:rsidRDefault="00A63FD6" w:rsidP="005D175A">
            <w:pPr>
              <w:jc w:val="both"/>
            </w:pPr>
            <w:r>
              <w:rPr>
                <w:color w:val="000000"/>
                <w:sz w:val="18"/>
                <w:szCs w:val="18"/>
              </w:rPr>
              <w:t>2023</w:t>
            </w:r>
          </w:p>
        </w:tc>
      </w:tr>
      <w:tr w:rsidR="00A63FD6" w14:paraId="36489EF3" w14:textId="77777777" w:rsidTr="005D175A">
        <w:trPr>
          <w:gridBefore w:val="1"/>
          <w:gridAfter w:val="1"/>
          <w:wBefore w:w="10" w:type="dxa"/>
          <w:wAfter w:w="1622" w:type="dxa"/>
          <w:trHeight w:val="315"/>
        </w:trPr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53FF2F" w14:textId="77777777" w:rsidR="00A63FD6" w:rsidRDefault="00A63FD6" w:rsidP="005D175A">
            <w:pPr>
              <w:jc w:val="both"/>
            </w:pPr>
            <w:r>
              <w:rPr>
                <w:color w:val="000000"/>
                <w:sz w:val="18"/>
                <w:szCs w:val="18"/>
              </w:rPr>
              <w:t>Jednotlivec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71922D" w14:textId="77777777" w:rsidR="00A63FD6" w:rsidRDefault="00A63FD6" w:rsidP="005D175A">
            <w:pPr>
              <w:jc w:val="both"/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01BBF6" w14:textId="77777777" w:rsidR="00A63FD6" w:rsidRDefault="00A63FD6" w:rsidP="005D175A">
            <w:pPr>
              <w:jc w:val="both"/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94B09E" w14:textId="77777777" w:rsidR="00A63FD6" w:rsidRDefault="00A63FD6" w:rsidP="005D175A">
            <w:pPr>
              <w:jc w:val="both"/>
            </w:pPr>
            <w:r>
              <w:rPr>
                <w:color w:val="006100"/>
              </w:rPr>
              <w:t>39 777</w:t>
            </w:r>
          </w:p>
        </w:tc>
      </w:tr>
      <w:tr w:rsidR="00A63FD6" w14:paraId="48D08042" w14:textId="77777777" w:rsidTr="005D175A">
        <w:trPr>
          <w:gridBefore w:val="1"/>
          <w:gridAfter w:val="1"/>
          <w:wBefore w:w="10" w:type="dxa"/>
          <w:wAfter w:w="1622" w:type="dxa"/>
          <w:trHeight w:val="315"/>
        </w:trPr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06AC5E" w14:textId="77777777" w:rsidR="00A63FD6" w:rsidRDefault="00A63FD6" w:rsidP="005D175A">
            <w:pPr>
              <w:jc w:val="both"/>
            </w:pPr>
            <w:r>
              <w:rPr>
                <w:color w:val="000000"/>
                <w:sz w:val="18"/>
                <w:szCs w:val="18"/>
              </w:rPr>
              <w:t>Samoživitelka s 1 dítětem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0F4EB0" w14:textId="77777777" w:rsidR="00A63FD6" w:rsidRDefault="00A63FD6" w:rsidP="005D175A">
            <w:pPr>
              <w:jc w:val="both"/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4AAD25" w14:textId="77777777" w:rsidR="00A63FD6" w:rsidRDefault="00A63FD6" w:rsidP="005D175A">
            <w:pPr>
              <w:jc w:val="both"/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E16446" w14:textId="77777777" w:rsidR="00A63FD6" w:rsidRDefault="00A63FD6" w:rsidP="005D175A">
            <w:pPr>
              <w:jc w:val="both"/>
            </w:pPr>
            <w:r>
              <w:rPr>
                <w:color w:val="006100"/>
              </w:rPr>
              <w:t>51 710</w:t>
            </w:r>
          </w:p>
        </w:tc>
      </w:tr>
      <w:tr w:rsidR="00A63FD6" w14:paraId="206283C2" w14:textId="77777777" w:rsidTr="005D175A">
        <w:trPr>
          <w:gridBefore w:val="1"/>
          <w:gridAfter w:val="1"/>
          <w:wBefore w:w="10" w:type="dxa"/>
          <w:wAfter w:w="1622" w:type="dxa"/>
          <w:trHeight w:val="315"/>
        </w:trPr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D551FA" w14:textId="77777777" w:rsidR="00A63FD6" w:rsidRDefault="00A63FD6" w:rsidP="005D175A">
            <w:pPr>
              <w:jc w:val="both"/>
            </w:pPr>
            <w:r>
              <w:rPr>
                <w:color w:val="000000"/>
                <w:sz w:val="18"/>
                <w:szCs w:val="18"/>
              </w:rPr>
              <w:t>Samoživitelka s 2 dětmi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B689CE" w14:textId="77777777" w:rsidR="00A63FD6" w:rsidRDefault="00A63FD6" w:rsidP="005D175A">
            <w:pPr>
              <w:jc w:val="both"/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D1A790" w14:textId="77777777" w:rsidR="00A63FD6" w:rsidRDefault="00A63FD6" w:rsidP="005D175A">
            <w:pPr>
              <w:jc w:val="both"/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16164E" w14:textId="77777777" w:rsidR="00A63FD6" w:rsidRDefault="00A63FD6" w:rsidP="005D175A">
            <w:pPr>
              <w:jc w:val="both"/>
            </w:pPr>
            <w:r>
              <w:rPr>
                <w:color w:val="006100"/>
              </w:rPr>
              <w:t>63 643</w:t>
            </w:r>
          </w:p>
        </w:tc>
      </w:tr>
      <w:tr w:rsidR="00A63FD6" w14:paraId="5D267AF7" w14:textId="77777777" w:rsidTr="005D175A">
        <w:trPr>
          <w:gridBefore w:val="1"/>
          <w:gridAfter w:val="1"/>
          <w:wBefore w:w="10" w:type="dxa"/>
          <w:wAfter w:w="1622" w:type="dxa"/>
          <w:trHeight w:val="315"/>
        </w:trPr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655FA5" w14:textId="77777777" w:rsidR="00A63FD6" w:rsidRDefault="00A63FD6" w:rsidP="005D175A">
            <w:pPr>
              <w:jc w:val="both"/>
            </w:pPr>
            <w:r>
              <w:rPr>
                <w:color w:val="000000"/>
                <w:sz w:val="18"/>
                <w:szCs w:val="18"/>
              </w:rPr>
              <w:t>Bezdětný pár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1349A9" w14:textId="77777777" w:rsidR="00A63FD6" w:rsidRDefault="00A63FD6" w:rsidP="005D175A">
            <w:pPr>
              <w:jc w:val="both"/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FD90AB" w14:textId="77777777" w:rsidR="00A63FD6" w:rsidRDefault="00A63FD6" w:rsidP="005D175A">
            <w:pPr>
              <w:jc w:val="both"/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A3B369" w14:textId="77777777" w:rsidR="00A63FD6" w:rsidRDefault="00A63FD6" w:rsidP="005D175A">
            <w:pPr>
              <w:jc w:val="both"/>
            </w:pPr>
            <w:r>
              <w:rPr>
                <w:color w:val="006100"/>
              </w:rPr>
              <w:t>59 665</w:t>
            </w:r>
          </w:p>
        </w:tc>
      </w:tr>
      <w:tr w:rsidR="00A63FD6" w14:paraId="33D8C0E6" w14:textId="77777777" w:rsidTr="005D175A">
        <w:trPr>
          <w:gridBefore w:val="1"/>
          <w:gridAfter w:val="1"/>
          <w:wBefore w:w="10" w:type="dxa"/>
          <w:wAfter w:w="1622" w:type="dxa"/>
          <w:trHeight w:val="315"/>
        </w:trPr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483BF0" w14:textId="77777777" w:rsidR="00A63FD6" w:rsidRDefault="00A63FD6" w:rsidP="005D175A">
            <w:pPr>
              <w:jc w:val="both"/>
            </w:pPr>
            <w:r>
              <w:rPr>
                <w:color w:val="000000"/>
                <w:sz w:val="18"/>
                <w:szCs w:val="18"/>
              </w:rPr>
              <w:t>Rodina s 1 dítětem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30275F" w14:textId="77777777" w:rsidR="00A63FD6" w:rsidRDefault="00A63FD6" w:rsidP="005D175A">
            <w:pPr>
              <w:jc w:val="both"/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6368C4" w14:textId="77777777" w:rsidR="00A63FD6" w:rsidRDefault="00A63FD6" w:rsidP="005D175A">
            <w:pPr>
              <w:jc w:val="both"/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B6E76A" w14:textId="77777777" w:rsidR="00A63FD6" w:rsidRDefault="00A63FD6" w:rsidP="005D175A">
            <w:pPr>
              <w:jc w:val="both"/>
            </w:pPr>
            <w:r>
              <w:rPr>
                <w:color w:val="006100"/>
              </w:rPr>
              <w:t>71 598</w:t>
            </w:r>
          </w:p>
        </w:tc>
      </w:tr>
      <w:tr w:rsidR="00A63FD6" w14:paraId="3F8C3D5E" w14:textId="77777777" w:rsidTr="005D175A">
        <w:trPr>
          <w:gridBefore w:val="1"/>
          <w:gridAfter w:val="1"/>
          <w:wBefore w:w="10" w:type="dxa"/>
          <w:wAfter w:w="1622" w:type="dxa"/>
          <w:trHeight w:val="315"/>
        </w:trPr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6D06E8" w14:textId="77777777" w:rsidR="00A63FD6" w:rsidRDefault="00A63FD6" w:rsidP="005D175A">
            <w:pPr>
              <w:jc w:val="both"/>
            </w:pPr>
            <w:r>
              <w:rPr>
                <w:color w:val="000000"/>
                <w:sz w:val="18"/>
                <w:szCs w:val="18"/>
              </w:rPr>
              <w:t>Rodina s 2 dětmi do 13 let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AEB377" w14:textId="77777777" w:rsidR="00A63FD6" w:rsidRDefault="00A63FD6" w:rsidP="005D175A">
            <w:pPr>
              <w:jc w:val="both"/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27DD7C" w14:textId="77777777" w:rsidR="00A63FD6" w:rsidRDefault="00A63FD6" w:rsidP="005D175A">
            <w:pPr>
              <w:jc w:val="both"/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689E42" w14:textId="77777777" w:rsidR="00A63FD6" w:rsidRDefault="00A63FD6" w:rsidP="005D175A">
            <w:pPr>
              <w:jc w:val="both"/>
            </w:pPr>
            <w:r>
              <w:rPr>
                <w:color w:val="006100"/>
              </w:rPr>
              <w:t>83 531</w:t>
            </w:r>
          </w:p>
        </w:tc>
      </w:tr>
      <w:tr w:rsidR="00A63FD6" w14:paraId="791E30E2" w14:textId="77777777" w:rsidTr="005D175A">
        <w:trPr>
          <w:gridBefore w:val="1"/>
          <w:gridAfter w:val="1"/>
          <w:wBefore w:w="10" w:type="dxa"/>
          <w:wAfter w:w="1622" w:type="dxa"/>
          <w:trHeight w:val="585"/>
        </w:trPr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1B0E80" w14:textId="77777777" w:rsidR="00A63FD6" w:rsidRDefault="00A63FD6" w:rsidP="005D175A">
            <w:pPr>
              <w:jc w:val="both"/>
            </w:pPr>
            <w:r>
              <w:rPr>
                <w:color w:val="000000"/>
                <w:sz w:val="18"/>
                <w:szCs w:val="18"/>
              </w:rPr>
              <w:lastRenderedPageBreak/>
              <w:t>Rodina s 1 náctiletým a 1 malým dítětem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0805B0" w14:textId="77777777" w:rsidR="00A63FD6" w:rsidRDefault="00A63FD6" w:rsidP="005D175A">
            <w:pPr>
              <w:jc w:val="both"/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CF0BD4" w14:textId="77777777" w:rsidR="00A63FD6" w:rsidRDefault="00A63FD6" w:rsidP="005D175A">
            <w:pPr>
              <w:jc w:val="both"/>
            </w:pPr>
            <w:r>
              <w:rPr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059B29" w14:textId="77777777" w:rsidR="00A63FD6" w:rsidRDefault="00A63FD6" w:rsidP="005D175A">
            <w:pPr>
              <w:jc w:val="both"/>
            </w:pPr>
            <w:r>
              <w:rPr>
                <w:color w:val="006100"/>
              </w:rPr>
              <w:t>91 486</w:t>
            </w:r>
          </w:p>
        </w:tc>
      </w:tr>
      <w:tr w:rsidR="00A63FD6" w14:paraId="72C9AD46" w14:textId="77777777" w:rsidTr="005D175A">
        <w:trPr>
          <w:gridBefore w:val="1"/>
          <w:gridAfter w:val="1"/>
          <w:wBefore w:w="10" w:type="dxa"/>
          <w:wAfter w:w="1622" w:type="dxa"/>
          <w:trHeight w:val="690"/>
        </w:trPr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4648C3" w14:textId="77777777" w:rsidR="00A63FD6" w:rsidRDefault="00A63FD6" w:rsidP="005D175A">
            <w:pPr>
              <w:jc w:val="both"/>
            </w:pPr>
            <w:r>
              <w:rPr>
                <w:color w:val="000000"/>
                <w:sz w:val="18"/>
                <w:szCs w:val="18"/>
              </w:rPr>
              <w:t>Rodina s 2 dětmi (1 náctileté)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6221A8" w14:textId="77777777" w:rsidR="00A63FD6" w:rsidRDefault="00A63FD6" w:rsidP="005D175A">
            <w:pPr>
              <w:jc w:val="both"/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B1E214" w14:textId="77777777" w:rsidR="00A63FD6" w:rsidRDefault="00A63FD6" w:rsidP="005D175A">
            <w:pPr>
              <w:jc w:val="both"/>
            </w:pPr>
            <w:r>
              <w:rPr>
                <w:color w:val="000000"/>
                <w:sz w:val="18"/>
                <w:szCs w:val="18"/>
              </w:rPr>
              <w:t xml:space="preserve">2 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3AEE02" w14:textId="77777777" w:rsidR="00A63FD6" w:rsidRDefault="00A63FD6" w:rsidP="005D175A">
            <w:pPr>
              <w:jc w:val="both"/>
            </w:pPr>
            <w:r>
              <w:rPr>
                <w:color w:val="006100"/>
              </w:rPr>
              <w:t>103 419</w:t>
            </w:r>
          </w:p>
        </w:tc>
      </w:tr>
      <w:tr w:rsidR="00A63FD6" w14:paraId="00EB1297" w14:textId="77777777" w:rsidTr="005D175A">
        <w:trPr>
          <w:trHeight w:val="300"/>
        </w:trPr>
        <w:tc>
          <w:tcPr>
            <w:tcW w:w="6267" w:type="dxa"/>
            <w:gridSpan w:val="5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D5EF31" w14:textId="77777777" w:rsidR="00A63FD6" w:rsidRDefault="00A63FD6" w:rsidP="005D175A">
            <w:pPr>
              <w:jc w:val="both"/>
              <w:rPr>
                <w:b/>
                <w:bCs/>
                <w:color w:val="000000"/>
              </w:rPr>
            </w:pPr>
          </w:p>
          <w:p w14:paraId="4D6E4F85" w14:textId="20966CBA" w:rsidR="00A63FD6" w:rsidRDefault="00A63FD6" w:rsidP="005D175A">
            <w:pPr>
              <w:jc w:val="both"/>
            </w:pPr>
            <w:r>
              <w:rPr>
                <w:b/>
                <w:bCs/>
                <w:color w:val="000000"/>
              </w:rPr>
              <w:t>proměnné</w:t>
            </w:r>
          </w:p>
        </w:tc>
        <w:tc>
          <w:tcPr>
            <w:tcW w:w="2805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ED7D42" w14:textId="77777777" w:rsidR="00A63FD6" w:rsidRDefault="00A63FD6" w:rsidP="005D175A">
            <w:pPr>
              <w:jc w:val="both"/>
            </w:pPr>
          </w:p>
        </w:tc>
      </w:tr>
      <w:tr w:rsidR="00A63FD6" w14:paraId="66C9A57E" w14:textId="77777777" w:rsidTr="005D175A">
        <w:trPr>
          <w:trHeight w:val="300"/>
        </w:trPr>
        <w:tc>
          <w:tcPr>
            <w:tcW w:w="9072" w:type="dxa"/>
            <w:gridSpan w:val="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34D484" w14:textId="77777777" w:rsidR="00A63FD6" w:rsidRDefault="00A63FD6" w:rsidP="005D175A">
            <w:pPr>
              <w:jc w:val="both"/>
              <w:rPr>
                <w:rFonts w:ascii="Calibri" w:hAnsi="Calibri" w:cs="Calibri"/>
                <w14:ligatures w14:val="standardContextual"/>
              </w:rPr>
            </w:pPr>
            <w:r>
              <w:rPr>
                <w:color w:val="000000"/>
              </w:rPr>
              <w:t xml:space="preserve">Počet spotřebních jednotek = součet za jednotlivé osoby v domácnosti; výše spotřební jednotky pro jednotlivé osoby závisí na složení domácnosti a věku dětí                 </w:t>
            </w:r>
          </w:p>
        </w:tc>
      </w:tr>
      <w:tr w:rsidR="00A63FD6" w14:paraId="66D91906" w14:textId="77777777" w:rsidTr="005D175A">
        <w:trPr>
          <w:trHeight w:val="300"/>
        </w:trPr>
        <w:tc>
          <w:tcPr>
            <w:tcW w:w="626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DEBA66" w14:textId="77777777" w:rsidR="00A63FD6" w:rsidRDefault="00A63FD6" w:rsidP="005D175A">
            <w:pPr>
              <w:jc w:val="both"/>
            </w:pPr>
            <w:r>
              <w:rPr>
                <w:color w:val="000000"/>
              </w:rPr>
              <w:t> </w:t>
            </w:r>
          </w:p>
        </w:tc>
        <w:tc>
          <w:tcPr>
            <w:tcW w:w="280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A1BCE9" w14:textId="77777777" w:rsidR="00A63FD6" w:rsidRDefault="00A63FD6" w:rsidP="005D175A">
            <w:pPr>
              <w:jc w:val="both"/>
            </w:pPr>
            <w:r>
              <w:rPr>
                <w:color w:val="000000"/>
              </w:rPr>
              <w:t>EU definice spotřební jednotky</w:t>
            </w:r>
          </w:p>
        </w:tc>
      </w:tr>
      <w:tr w:rsidR="00A63FD6" w14:paraId="4B7B2523" w14:textId="77777777" w:rsidTr="005D175A">
        <w:trPr>
          <w:trHeight w:val="300"/>
        </w:trPr>
        <w:tc>
          <w:tcPr>
            <w:tcW w:w="6267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A1E7FA" w14:textId="77777777" w:rsidR="00A63FD6" w:rsidRDefault="00A63FD6" w:rsidP="005D175A">
            <w:pPr>
              <w:jc w:val="both"/>
            </w:pPr>
            <w:r>
              <w:rPr>
                <w:color w:val="000000"/>
              </w:rPr>
              <w:t>1. osoba</w:t>
            </w:r>
          </w:p>
        </w:tc>
        <w:tc>
          <w:tcPr>
            <w:tcW w:w="280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4D31C5" w14:textId="77777777" w:rsidR="00A63FD6" w:rsidRDefault="00A63FD6" w:rsidP="005D175A">
            <w:pPr>
              <w:jc w:val="both"/>
            </w:pPr>
            <w:r>
              <w:rPr>
                <w:color w:val="000000"/>
              </w:rPr>
              <w:t>1</w:t>
            </w:r>
          </w:p>
        </w:tc>
      </w:tr>
      <w:tr w:rsidR="00A63FD6" w14:paraId="4413F5F7" w14:textId="77777777" w:rsidTr="005D175A">
        <w:trPr>
          <w:trHeight w:val="300"/>
        </w:trPr>
        <w:tc>
          <w:tcPr>
            <w:tcW w:w="6267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4C8FFF" w14:textId="77777777" w:rsidR="00A63FD6" w:rsidRDefault="00A63FD6" w:rsidP="005D175A">
            <w:pPr>
              <w:jc w:val="both"/>
            </w:pPr>
            <w:r>
              <w:rPr>
                <w:color w:val="000000"/>
              </w:rPr>
              <w:t xml:space="preserve">2. a další osoba </w:t>
            </w:r>
          </w:p>
        </w:tc>
        <w:tc>
          <w:tcPr>
            <w:tcW w:w="280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3D1322" w14:textId="77777777" w:rsidR="00A63FD6" w:rsidRDefault="00A63FD6" w:rsidP="005D175A">
            <w:pPr>
              <w:jc w:val="both"/>
            </w:pPr>
            <w:r>
              <w:rPr>
                <w:color w:val="000000"/>
              </w:rPr>
              <w:t>0,5</w:t>
            </w:r>
          </w:p>
        </w:tc>
      </w:tr>
      <w:tr w:rsidR="00A63FD6" w14:paraId="6E1A0F6B" w14:textId="77777777" w:rsidTr="005D175A">
        <w:trPr>
          <w:trHeight w:val="300"/>
        </w:trPr>
        <w:tc>
          <w:tcPr>
            <w:tcW w:w="6267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CFCCD0" w14:textId="77777777" w:rsidR="00A63FD6" w:rsidRDefault="00A63FD6" w:rsidP="005D175A">
            <w:pPr>
              <w:jc w:val="both"/>
            </w:pPr>
            <w:r>
              <w:rPr>
                <w:color w:val="000000"/>
              </w:rPr>
              <w:t>Dítě do 13 let</w:t>
            </w:r>
          </w:p>
        </w:tc>
        <w:tc>
          <w:tcPr>
            <w:tcW w:w="280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F1175C" w14:textId="77777777" w:rsidR="00A63FD6" w:rsidRDefault="00A63FD6" w:rsidP="005D175A">
            <w:pPr>
              <w:jc w:val="both"/>
            </w:pPr>
            <w:r>
              <w:rPr>
                <w:color w:val="000000"/>
              </w:rPr>
              <w:t>0,3</w:t>
            </w:r>
          </w:p>
        </w:tc>
      </w:tr>
    </w:tbl>
    <w:p w14:paraId="62702745" w14:textId="77777777" w:rsidR="00A63FD6" w:rsidRPr="005D175A" w:rsidRDefault="00A63FD6" w:rsidP="005D175A">
      <w:pPr>
        <w:jc w:val="both"/>
        <w:rPr>
          <w:b/>
          <w:bCs/>
        </w:rPr>
      </w:pPr>
    </w:p>
    <w:p w14:paraId="634E6A94" w14:textId="64CFBD8B" w:rsidR="007936AA" w:rsidRPr="000A28F2" w:rsidRDefault="00FD2028" w:rsidP="005D175A">
      <w:pPr>
        <w:pStyle w:val="Nadpis2"/>
        <w:numPr>
          <w:ilvl w:val="0"/>
          <w:numId w:val="0"/>
        </w:numPr>
        <w:ind w:left="720" w:hanging="360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4) </w:t>
      </w:r>
      <w:r w:rsidR="00C46149" w:rsidRPr="000A28F2">
        <w:rPr>
          <w:b w:val="0"/>
          <w:bCs w:val="0"/>
          <w:sz w:val="22"/>
          <w:szCs w:val="22"/>
        </w:rPr>
        <w:t>Dostupné nájemní bydlení lze dále poskytovat domácnosti, jejíž člen</w:t>
      </w:r>
    </w:p>
    <w:p w14:paraId="63EE3420" w14:textId="77777777" w:rsidR="007936AA" w:rsidRPr="000A28F2" w:rsidRDefault="00C46149" w:rsidP="005D175A">
      <w:pPr>
        <w:pStyle w:val="Nadpis2"/>
        <w:numPr>
          <w:ilvl w:val="2"/>
          <w:numId w:val="7"/>
        </w:numPr>
        <w:jc w:val="both"/>
        <w:rPr>
          <w:b w:val="0"/>
          <w:bCs w:val="0"/>
          <w:sz w:val="22"/>
          <w:szCs w:val="22"/>
        </w:rPr>
      </w:pPr>
      <w:r w:rsidRPr="000A28F2">
        <w:rPr>
          <w:b w:val="0"/>
          <w:bCs w:val="0"/>
          <w:sz w:val="22"/>
          <w:szCs w:val="22"/>
        </w:rPr>
        <w:t>bydlí s osobou, která se na něm nebo na členech jeho domácností dopustila činu povahy trestného činu týrání svěřené osoby, týrání osoby žijící ve společném obydlí, nebezpečného vyhrožování nebo nebezpečného pronásledování, a</w:t>
      </w:r>
    </w:p>
    <w:p w14:paraId="081476E8" w14:textId="38CE7869" w:rsidR="00C46149" w:rsidRPr="000A28F2" w:rsidRDefault="00C46149" w:rsidP="005D175A">
      <w:pPr>
        <w:pStyle w:val="Nadpis2"/>
        <w:numPr>
          <w:ilvl w:val="2"/>
          <w:numId w:val="7"/>
        </w:numPr>
        <w:jc w:val="both"/>
        <w:rPr>
          <w:b w:val="0"/>
          <w:bCs w:val="0"/>
          <w:sz w:val="22"/>
          <w:szCs w:val="22"/>
        </w:rPr>
      </w:pPr>
      <w:r w:rsidRPr="000A28F2">
        <w:rPr>
          <w:b w:val="0"/>
          <w:bCs w:val="0"/>
          <w:sz w:val="22"/>
          <w:szCs w:val="22"/>
        </w:rPr>
        <w:t>nevlastní nemovitou věc určenou k bydlení ani není jejím spoluvlastníkem ani členem bytového družstva s právem užívat byt, nebo sice je spoluvlastníkem nemovité věci určené k bydlení, ale tuto nemovitou věc vlastní společně s osobou, která se na něm dopustila činu povahy trestného činu týrání svěřené osoby, týrání osoby žijící ve společném obydlí, nebezpečného vyhrožování nebo nebezpečného pronásledování.</w:t>
      </w:r>
    </w:p>
    <w:p w14:paraId="2645001E" w14:textId="5C81ADE5" w:rsidR="00864193" w:rsidRDefault="004F25E4" w:rsidP="005D175A">
      <w:pPr>
        <w:pStyle w:val="Nadpis1"/>
        <w:numPr>
          <w:ilvl w:val="0"/>
          <w:numId w:val="2"/>
        </w:numPr>
        <w:spacing w:line="288" w:lineRule="auto"/>
        <w:jc w:val="both"/>
      </w:pPr>
      <w:r>
        <w:t>Strukturálně postižený region</w:t>
      </w:r>
      <w:bookmarkEnd w:id="0"/>
    </w:p>
    <w:p w14:paraId="4CBF8B89" w14:textId="7D7E46C7" w:rsidR="006D70C0" w:rsidRDefault="006D70C0" w:rsidP="005D175A">
      <w:pPr>
        <w:jc w:val="both"/>
      </w:pPr>
      <w:r>
        <w:t>Jednotlivé projekty získají následující bodové ohodnocení podle umístění projektu.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7394"/>
        <w:gridCol w:w="1678"/>
      </w:tblGrid>
      <w:tr w:rsidR="006D70C0" w:rsidRPr="0000004A" w14:paraId="7824C8F9" w14:textId="77777777" w:rsidTr="00150562">
        <w:trPr>
          <w:trHeight w:val="518"/>
        </w:trPr>
        <w:tc>
          <w:tcPr>
            <w:tcW w:w="7394" w:type="dxa"/>
            <w:shd w:val="clear" w:color="auto" w:fill="F2F2F2" w:themeFill="background1" w:themeFillShade="F2"/>
          </w:tcPr>
          <w:p w14:paraId="76DD481F" w14:textId="2704006C" w:rsidR="006D70C0" w:rsidRPr="0000004A" w:rsidRDefault="006D70C0" w:rsidP="005D175A">
            <w:pPr>
              <w:pStyle w:val="Bezmezer"/>
              <w:spacing w:line="288" w:lineRule="auto"/>
              <w:ind w:right="15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Umístění projektu v rámci</w:t>
            </w:r>
          </w:p>
        </w:tc>
        <w:tc>
          <w:tcPr>
            <w:tcW w:w="1678" w:type="dxa"/>
            <w:shd w:val="clear" w:color="auto" w:fill="F2F2F2" w:themeFill="background1" w:themeFillShade="F2"/>
          </w:tcPr>
          <w:p w14:paraId="2224C84C" w14:textId="77777777" w:rsidR="006D70C0" w:rsidRPr="0000004A" w:rsidRDefault="006D70C0" w:rsidP="005D175A">
            <w:pPr>
              <w:pStyle w:val="Bezmezer"/>
              <w:spacing w:line="288" w:lineRule="auto"/>
              <w:ind w:right="15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6D70C0" w:rsidRPr="00A5765E" w14:paraId="1EAF418A" w14:textId="77777777" w:rsidTr="00150562">
        <w:trPr>
          <w:trHeight w:val="518"/>
        </w:trPr>
        <w:tc>
          <w:tcPr>
            <w:tcW w:w="7394" w:type="dxa"/>
          </w:tcPr>
          <w:p w14:paraId="363EEF98" w14:textId="48083B6C" w:rsidR="006D70C0" w:rsidRPr="00A5765E" w:rsidRDefault="006D70C0" w:rsidP="005D175A">
            <w:pPr>
              <w:pStyle w:val="Bezmezer"/>
              <w:spacing w:line="288" w:lineRule="auto"/>
              <w:ind w:right="15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Hospodářsky a sociálně ohroženého území/ Strukturálně postiženého regionu</w:t>
            </w:r>
          </w:p>
        </w:tc>
        <w:tc>
          <w:tcPr>
            <w:tcW w:w="1678" w:type="dxa"/>
          </w:tcPr>
          <w:p w14:paraId="277A6CDE" w14:textId="68A71D37" w:rsidR="006D70C0" w:rsidRPr="00A5765E" w:rsidRDefault="006D70C0" w:rsidP="005D175A">
            <w:pPr>
              <w:pStyle w:val="Bezmezer"/>
              <w:spacing w:line="288" w:lineRule="auto"/>
              <w:ind w:right="15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5</w:t>
            </w:r>
            <w:r w:rsidRPr="00A5765E">
              <w:rPr>
                <w:rFonts w:asciiTheme="minorHAnsi" w:hAnsiTheme="minorHAnsi" w:cstheme="minorHAnsi"/>
                <w:color w:val="000000" w:themeColor="text1"/>
              </w:rPr>
              <w:t xml:space="preserve"> bodů</w:t>
            </w:r>
          </w:p>
        </w:tc>
      </w:tr>
      <w:tr w:rsidR="006D70C0" w14:paraId="150E5486" w14:textId="77777777" w:rsidTr="00150562">
        <w:trPr>
          <w:trHeight w:val="518"/>
        </w:trPr>
        <w:tc>
          <w:tcPr>
            <w:tcW w:w="7394" w:type="dxa"/>
          </w:tcPr>
          <w:p w14:paraId="44720A26" w14:textId="00295F2A" w:rsidR="006D70C0" w:rsidRPr="00A5765E" w:rsidRDefault="006D70C0" w:rsidP="005D175A">
            <w:pPr>
              <w:pStyle w:val="Bezmezer"/>
              <w:spacing w:line="288" w:lineRule="auto"/>
              <w:ind w:right="15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Mimo vyjmenovaná území</w:t>
            </w:r>
          </w:p>
        </w:tc>
        <w:tc>
          <w:tcPr>
            <w:tcW w:w="1678" w:type="dxa"/>
          </w:tcPr>
          <w:p w14:paraId="65FC246D" w14:textId="4F229DD1" w:rsidR="006D70C0" w:rsidRDefault="006D70C0" w:rsidP="005D175A">
            <w:pPr>
              <w:pStyle w:val="Bezmezer"/>
              <w:spacing w:line="288" w:lineRule="auto"/>
              <w:ind w:right="15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0</w:t>
            </w:r>
            <w:r w:rsidRPr="00A5765E">
              <w:rPr>
                <w:rFonts w:asciiTheme="minorHAnsi" w:hAnsiTheme="minorHAnsi" w:cstheme="minorHAnsi"/>
                <w:color w:val="000000" w:themeColor="text1"/>
              </w:rPr>
              <w:t xml:space="preserve"> bodů</w:t>
            </w:r>
          </w:p>
        </w:tc>
      </w:tr>
    </w:tbl>
    <w:p w14:paraId="36CAD96D" w14:textId="77777777" w:rsidR="006D70C0" w:rsidRDefault="006D70C0" w:rsidP="005D175A">
      <w:pPr>
        <w:jc w:val="both"/>
      </w:pPr>
    </w:p>
    <w:p w14:paraId="4139030A" w14:textId="577590E5" w:rsidR="001F4AE2" w:rsidRDefault="001F4AE2" w:rsidP="005D175A">
      <w:pPr>
        <w:jc w:val="both"/>
      </w:pPr>
      <w:r>
        <w:t xml:space="preserve">Regiony </w:t>
      </w:r>
      <w:r w:rsidR="006D70C0">
        <w:t xml:space="preserve">Strukturálně postižených regionů a </w:t>
      </w:r>
      <w:r>
        <w:t>Hospodářsky a sociálně ohrožených území (</w:t>
      </w:r>
      <w:r w:rsidRPr="001F4AE2">
        <w:t>HSOÚ</w:t>
      </w:r>
      <w:r>
        <w:t>) jsou vyjmenovány ve</w:t>
      </w:r>
      <w:r w:rsidRPr="001F4AE2">
        <w:t xml:space="preserve"> Strategi</w:t>
      </w:r>
      <w:r>
        <w:t>i</w:t>
      </w:r>
      <w:r w:rsidR="006D70C0">
        <w:t xml:space="preserve"> </w:t>
      </w:r>
      <w:r w:rsidRPr="001F4AE2">
        <w:t>regionálního rozvoje ČR 2021+. Nad rámech tohoto vymezení jsou do kategorie HSOÚ zařazeny správní obvody obcí zasahujících do bývalých vojenských újezdů.</w:t>
      </w:r>
    </w:p>
    <w:p w14:paraId="29CEC2D0" w14:textId="77777777" w:rsidR="001F4AE2" w:rsidRPr="006C6EEE" w:rsidRDefault="001F4AE2" w:rsidP="005D175A">
      <w:pPr>
        <w:pStyle w:val="Nadpis1"/>
        <w:numPr>
          <w:ilvl w:val="2"/>
          <w:numId w:val="2"/>
        </w:numPr>
        <w:spacing w:line="288" w:lineRule="auto"/>
        <w:jc w:val="both"/>
      </w:pPr>
      <w:r>
        <w:lastRenderedPageBreak/>
        <w:t>Hospodářsky a sociálně ohrožená území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5"/>
        <w:gridCol w:w="4527"/>
      </w:tblGrid>
      <w:tr w:rsidR="001F4AE2" w:rsidRPr="006C6EEE" w14:paraId="1AA23304" w14:textId="77777777" w:rsidTr="001F4AE2">
        <w:tc>
          <w:tcPr>
            <w:tcW w:w="4535" w:type="dxa"/>
          </w:tcPr>
          <w:p w14:paraId="2AB0338B" w14:textId="77777777" w:rsidR="001F4AE2" w:rsidRPr="006C6EEE" w:rsidRDefault="001F4AE2" w:rsidP="005D175A">
            <w:pPr>
              <w:jc w:val="both"/>
            </w:pPr>
            <w:r w:rsidRPr="006C6EEE">
              <w:t>Středočeský</w:t>
            </w:r>
          </w:p>
        </w:tc>
        <w:tc>
          <w:tcPr>
            <w:tcW w:w="4527" w:type="dxa"/>
          </w:tcPr>
          <w:p w14:paraId="44B6247A" w14:textId="77777777" w:rsidR="001F4AE2" w:rsidRPr="006C6EEE" w:rsidRDefault="001F4AE2" w:rsidP="005D175A">
            <w:pPr>
              <w:jc w:val="both"/>
            </w:pPr>
            <w:r w:rsidRPr="006C6EEE">
              <w:t>-</w:t>
            </w:r>
          </w:p>
        </w:tc>
      </w:tr>
      <w:tr w:rsidR="001F4AE2" w:rsidRPr="006C6EEE" w14:paraId="1AEE29E3" w14:textId="77777777" w:rsidTr="001F4AE2">
        <w:tc>
          <w:tcPr>
            <w:tcW w:w="4535" w:type="dxa"/>
          </w:tcPr>
          <w:p w14:paraId="5B8BD9FF" w14:textId="77777777" w:rsidR="001F4AE2" w:rsidRPr="006C6EEE" w:rsidRDefault="001F4AE2" w:rsidP="005D175A">
            <w:pPr>
              <w:jc w:val="both"/>
            </w:pPr>
            <w:r w:rsidRPr="006C6EEE">
              <w:t>Plzeňský</w:t>
            </w:r>
          </w:p>
        </w:tc>
        <w:tc>
          <w:tcPr>
            <w:tcW w:w="4527" w:type="dxa"/>
          </w:tcPr>
          <w:p w14:paraId="1F36F8A9" w14:textId="77777777" w:rsidR="001F4AE2" w:rsidRPr="006C6EEE" w:rsidRDefault="001F4AE2" w:rsidP="005D175A">
            <w:pPr>
              <w:jc w:val="both"/>
            </w:pPr>
            <w:r>
              <w:t>Horažďovice, Nepomuk, Sušice</w:t>
            </w:r>
          </w:p>
        </w:tc>
      </w:tr>
      <w:tr w:rsidR="001F4AE2" w:rsidRPr="006C6EEE" w14:paraId="2F911BC3" w14:textId="77777777" w:rsidTr="001F4AE2">
        <w:tc>
          <w:tcPr>
            <w:tcW w:w="4535" w:type="dxa"/>
          </w:tcPr>
          <w:p w14:paraId="3DC9AFAC" w14:textId="77777777" w:rsidR="001F4AE2" w:rsidRPr="006C6EEE" w:rsidRDefault="001F4AE2" w:rsidP="005D175A">
            <w:pPr>
              <w:jc w:val="both"/>
            </w:pPr>
            <w:r w:rsidRPr="006C6EEE">
              <w:t>Jihočeský</w:t>
            </w:r>
          </w:p>
        </w:tc>
        <w:tc>
          <w:tcPr>
            <w:tcW w:w="4527" w:type="dxa"/>
          </w:tcPr>
          <w:p w14:paraId="7D653AE3" w14:textId="77777777" w:rsidR="001F4AE2" w:rsidRPr="006C6EEE" w:rsidRDefault="001F4AE2" w:rsidP="005D175A">
            <w:pPr>
              <w:jc w:val="both"/>
            </w:pPr>
            <w:r>
              <w:t>Milevsko, Soběslav, Dačice, Blatná</w:t>
            </w:r>
          </w:p>
        </w:tc>
      </w:tr>
      <w:tr w:rsidR="001F4AE2" w:rsidRPr="006C6EEE" w14:paraId="1F34FCC5" w14:textId="77777777" w:rsidTr="001F4AE2">
        <w:tc>
          <w:tcPr>
            <w:tcW w:w="4535" w:type="dxa"/>
          </w:tcPr>
          <w:p w14:paraId="6CE2E712" w14:textId="77777777" w:rsidR="001F4AE2" w:rsidRPr="006C6EEE" w:rsidRDefault="001F4AE2" w:rsidP="005D175A">
            <w:pPr>
              <w:jc w:val="both"/>
            </w:pPr>
            <w:r w:rsidRPr="006C6EEE">
              <w:t>Karlovarský</w:t>
            </w:r>
          </w:p>
        </w:tc>
        <w:tc>
          <w:tcPr>
            <w:tcW w:w="4527" w:type="dxa"/>
          </w:tcPr>
          <w:p w14:paraId="57C79892" w14:textId="77777777" w:rsidR="001F4AE2" w:rsidRPr="006C6EEE" w:rsidRDefault="001F4AE2" w:rsidP="005D175A">
            <w:pPr>
              <w:jc w:val="both"/>
            </w:pPr>
            <w:r>
              <w:t>Kraslice, Sokolov, Ostrov</w:t>
            </w:r>
          </w:p>
        </w:tc>
      </w:tr>
      <w:tr w:rsidR="001F4AE2" w:rsidRPr="006C6EEE" w14:paraId="3EC21CC3" w14:textId="77777777" w:rsidTr="001F4AE2">
        <w:tc>
          <w:tcPr>
            <w:tcW w:w="4535" w:type="dxa"/>
          </w:tcPr>
          <w:p w14:paraId="4ED1E257" w14:textId="77777777" w:rsidR="001F4AE2" w:rsidRPr="006C6EEE" w:rsidRDefault="001F4AE2" w:rsidP="005D175A">
            <w:pPr>
              <w:jc w:val="both"/>
            </w:pPr>
            <w:r w:rsidRPr="006C6EEE">
              <w:t>Ústecký</w:t>
            </w:r>
          </w:p>
        </w:tc>
        <w:tc>
          <w:tcPr>
            <w:tcW w:w="4527" w:type="dxa"/>
          </w:tcPr>
          <w:p w14:paraId="64E4F619" w14:textId="77777777" w:rsidR="001F4AE2" w:rsidRPr="006C6EEE" w:rsidRDefault="001F4AE2" w:rsidP="005D175A">
            <w:pPr>
              <w:jc w:val="both"/>
            </w:pPr>
            <w:r>
              <w:t>Litvínov, Most, Rumburk, Děčín, Varnsdorf, Podbořany, Chomutov, Kadaň, Ústí nad Labem, Lovosice, Teplice, Žatec, Louny, Litoměřice</w:t>
            </w:r>
          </w:p>
        </w:tc>
      </w:tr>
      <w:tr w:rsidR="001F4AE2" w:rsidRPr="006C6EEE" w14:paraId="2EEDA49C" w14:textId="77777777" w:rsidTr="001F4AE2">
        <w:tc>
          <w:tcPr>
            <w:tcW w:w="4535" w:type="dxa"/>
          </w:tcPr>
          <w:p w14:paraId="37D62C19" w14:textId="77777777" w:rsidR="001F4AE2" w:rsidRPr="006C6EEE" w:rsidRDefault="001F4AE2" w:rsidP="005D175A">
            <w:pPr>
              <w:jc w:val="both"/>
            </w:pPr>
            <w:r w:rsidRPr="006C6EEE">
              <w:t>Liberecký</w:t>
            </w:r>
          </w:p>
        </w:tc>
        <w:tc>
          <w:tcPr>
            <w:tcW w:w="4527" w:type="dxa"/>
          </w:tcPr>
          <w:p w14:paraId="2E668AF5" w14:textId="77777777" w:rsidR="001F4AE2" w:rsidRPr="006C6EEE" w:rsidRDefault="001F4AE2" w:rsidP="005D175A">
            <w:pPr>
              <w:jc w:val="both"/>
            </w:pPr>
            <w:r>
              <w:t>Tanvald, Frýdlant, Semily, Nový Bor</w:t>
            </w:r>
          </w:p>
        </w:tc>
      </w:tr>
      <w:tr w:rsidR="001F4AE2" w:rsidRPr="006C6EEE" w14:paraId="09EEF35F" w14:textId="77777777" w:rsidTr="001F4AE2">
        <w:tc>
          <w:tcPr>
            <w:tcW w:w="4535" w:type="dxa"/>
          </w:tcPr>
          <w:p w14:paraId="6DD0B2B6" w14:textId="77777777" w:rsidR="001F4AE2" w:rsidRPr="006C6EEE" w:rsidRDefault="001F4AE2" w:rsidP="005D175A">
            <w:pPr>
              <w:jc w:val="both"/>
            </w:pPr>
            <w:r w:rsidRPr="006C6EEE">
              <w:t>Královéhradecký</w:t>
            </w:r>
          </w:p>
        </w:tc>
        <w:tc>
          <w:tcPr>
            <w:tcW w:w="4527" w:type="dxa"/>
          </w:tcPr>
          <w:p w14:paraId="7A64D93D" w14:textId="77777777" w:rsidR="001F4AE2" w:rsidRPr="006C6EEE" w:rsidRDefault="001F4AE2" w:rsidP="005D175A">
            <w:pPr>
              <w:jc w:val="both"/>
            </w:pPr>
            <w:r>
              <w:t>Broumov, Dvůr Králové nad Labem</w:t>
            </w:r>
          </w:p>
        </w:tc>
      </w:tr>
      <w:tr w:rsidR="001F4AE2" w:rsidRPr="006C6EEE" w14:paraId="04BD1C17" w14:textId="77777777" w:rsidTr="001F4AE2">
        <w:tc>
          <w:tcPr>
            <w:tcW w:w="4535" w:type="dxa"/>
          </w:tcPr>
          <w:p w14:paraId="2EFB40E1" w14:textId="77777777" w:rsidR="001F4AE2" w:rsidRPr="006C6EEE" w:rsidRDefault="001F4AE2" w:rsidP="005D175A">
            <w:pPr>
              <w:jc w:val="both"/>
            </w:pPr>
            <w:r w:rsidRPr="006C6EEE">
              <w:t>Pardubický</w:t>
            </w:r>
          </w:p>
        </w:tc>
        <w:tc>
          <w:tcPr>
            <w:tcW w:w="4527" w:type="dxa"/>
          </w:tcPr>
          <w:p w14:paraId="77F4C882" w14:textId="77777777" w:rsidR="001F4AE2" w:rsidRPr="006C6EEE" w:rsidRDefault="001F4AE2" w:rsidP="005D175A">
            <w:pPr>
              <w:jc w:val="both"/>
            </w:pPr>
            <w:r>
              <w:t>Moravská Třebová, Česká Třebová, Svitavy, Králíky</w:t>
            </w:r>
          </w:p>
        </w:tc>
      </w:tr>
      <w:tr w:rsidR="001F4AE2" w:rsidRPr="006C6EEE" w14:paraId="384692C5" w14:textId="77777777" w:rsidTr="001F4AE2">
        <w:tc>
          <w:tcPr>
            <w:tcW w:w="4535" w:type="dxa"/>
          </w:tcPr>
          <w:p w14:paraId="65EB5161" w14:textId="77777777" w:rsidR="001F4AE2" w:rsidRPr="006C6EEE" w:rsidRDefault="001F4AE2" w:rsidP="005D175A">
            <w:pPr>
              <w:jc w:val="both"/>
            </w:pPr>
            <w:r w:rsidRPr="006C6EEE">
              <w:t>Kraj Vysočina</w:t>
            </w:r>
          </w:p>
        </w:tc>
        <w:tc>
          <w:tcPr>
            <w:tcW w:w="4527" w:type="dxa"/>
          </w:tcPr>
          <w:p w14:paraId="0F9DEAD4" w14:textId="77777777" w:rsidR="001F4AE2" w:rsidRPr="006C6EEE" w:rsidRDefault="001F4AE2" w:rsidP="005D175A">
            <w:pPr>
              <w:jc w:val="both"/>
            </w:pPr>
            <w:r>
              <w:t>Moravské Budějovice, Pacov, Bystřice nad Pernštejnem, Telč, Světlá nad Sázavou, Náměšť nad Oslavou, Chotěboř, Třebíč</w:t>
            </w:r>
          </w:p>
        </w:tc>
      </w:tr>
      <w:tr w:rsidR="001F4AE2" w:rsidRPr="006C6EEE" w14:paraId="09AF91C3" w14:textId="77777777" w:rsidTr="001F4AE2">
        <w:tc>
          <w:tcPr>
            <w:tcW w:w="4535" w:type="dxa"/>
          </w:tcPr>
          <w:p w14:paraId="06795B8C" w14:textId="77777777" w:rsidR="001F4AE2" w:rsidRPr="006C6EEE" w:rsidRDefault="001F4AE2" w:rsidP="005D175A">
            <w:pPr>
              <w:jc w:val="both"/>
            </w:pPr>
            <w:r w:rsidRPr="006C6EEE">
              <w:t>Jihomoravský</w:t>
            </w:r>
          </w:p>
        </w:tc>
        <w:tc>
          <w:tcPr>
            <w:tcW w:w="4527" w:type="dxa"/>
          </w:tcPr>
          <w:p w14:paraId="78B9C460" w14:textId="77777777" w:rsidR="001F4AE2" w:rsidRPr="006C6EEE" w:rsidRDefault="001F4AE2" w:rsidP="005D175A">
            <w:pPr>
              <w:jc w:val="both"/>
            </w:pPr>
            <w:r>
              <w:t>Veselí nad Moravou, Hodonín, Kyjov, Moravský Krumlov, Znojmo</w:t>
            </w:r>
          </w:p>
        </w:tc>
      </w:tr>
      <w:tr w:rsidR="001F4AE2" w:rsidRPr="006C6EEE" w14:paraId="3FF49098" w14:textId="77777777" w:rsidTr="001F4AE2">
        <w:tc>
          <w:tcPr>
            <w:tcW w:w="4535" w:type="dxa"/>
          </w:tcPr>
          <w:p w14:paraId="2F77951F" w14:textId="77777777" w:rsidR="001F4AE2" w:rsidRPr="006C6EEE" w:rsidRDefault="001F4AE2" w:rsidP="005D175A">
            <w:pPr>
              <w:jc w:val="both"/>
            </w:pPr>
            <w:r w:rsidRPr="006C6EEE">
              <w:t>Olomoucký</w:t>
            </w:r>
          </w:p>
        </w:tc>
        <w:tc>
          <w:tcPr>
            <w:tcW w:w="4527" w:type="dxa"/>
          </w:tcPr>
          <w:p w14:paraId="19A09158" w14:textId="77777777" w:rsidR="001F4AE2" w:rsidRPr="006C6EEE" w:rsidRDefault="001F4AE2" w:rsidP="005D175A">
            <w:pPr>
              <w:jc w:val="both"/>
            </w:pPr>
            <w:r>
              <w:t>Přerov, Jeseník, Šumperk, Konice, Mohelnice, Uničov, Lipník nad Bečvou, Zábřeh, Hranice, Šternberk</w:t>
            </w:r>
          </w:p>
        </w:tc>
      </w:tr>
      <w:tr w:rsidR="001F4AE2" w:rsidRPr="006C6EEE" w14:paraId="135BBE3C" w14:textId="77777777" w:rsidTr="001F4AE2">
        <w:tc>
          <w:tcPr>
            <w:tcW w:w="4535" w:type="dxa"/>
          </w:tcPr>
          <w:p w14:paraId="245BF6D4" w14:textId="77777777" w:rsidR="001F4AE2" w:rsidRPr="006C6EEE" w:rsidRDefault="001F4AE2" w:rsidP="005D175A">
            <w:pPr>
              <w:jc w:val="both"/>
            </w:pPr>
            <w:r w:rsidRPr="006C6EEE">
              <w:t>Moravskoslezský</w:t>
            </w:r>
          </w:p>
        </w:tc>
        <w:tc>
          <w:tcPr>
            <w:tcW w:w="4527" w:type="dxa"/>
          </w:tcPr>
          <w:p w14:paraId="7718F429" w14:textId="77777777" w:rsidR="001F4AE2" w:rsidRPr="006C6EEE" w:rsidRDefault="001F4AE2" w:rsidP="005D175A">
            <w:pPr>
              <w:jc w:val="both"/>
            </w:pPr>
            <w:r>
              <w:t>Karviná, Havířov, Orlová, Vítkov, Rýmařov, Krnov, Bruntál, Bohumín, Odry, Český Těšín</w:t>
            </w:r>
          </w:p>
        </w:tc>
      </w:tr>
      <w:tr w:rsidR="001F4AE2" w:rsidRPr="006C6EEE" w14:paraId="56021778" w14:textId="77777777" w:rsidTr="001F4AE2">
        <w:tc>
          <w:tcPr>
            <w:tcW w:w="4535" w:type="dxa"/>
          </w:tcPr>
          <w:p w14:paraId="419DC8A8" w14:textId="77777777" w:rsidR="001F4AE2" w:rsidRPr="006C6EEE" w:rsidRDefault="001F4AE2" w:rsidP="005D175A">
            <w:pPr>
              <w:jc w:val="both"/>
            </w:pPr>
            <w:r w:rsidRPr="006C6EEE">
              <w:t>Zlínský</w:t>
            </w:r>
          </w:p>
        </w:tc>
        <w:tc>
          <w:tcPr>
            <w:tcW w:w="4527" w:type="dxa"/>
          </w:tcPr>
          <w:p w14:paraId="5D27AC19" w14:textId="77777777" w:rsidR="001F4AE2" w:rsidRPr="006C6EEE" w:rsidRDefault="001F4AE2" w:rsidP="005D175A">
            <w:pPr>
              <w:jc w:val="both"/>
            </w:pPr>
            <w:r>
              <w:t>Bystřice pod Hostýnem, Kroměříž, Otrokovice, Holešov, Vsetín, Uherský Brod</w:t>
            </w:r>
          </w:p>
        </w:tc>
      </w:tr>
    </w:tbl>
    <w:p w14:paraId="3FF810FB" w14:textId="77777777" w:rsidR="001F4AE2" w:rsidRDefault="001F4AE2" w:rsidP="005D175A">
      <w:pPr>
        <w:jc w:val="both"/>
      </w:pPr>
    </w:p>
    <w:p w14:paraId="11EF67D6" w14:textId="77777777" w:rsidR="006D70C0" w:rsidRDefault="006D70C0" w:rsidP="005D175A">
      <w:pPr>
        <w:pStyle w:val="Nadpis1"/>
        <w:numPr>
          <w:ilvl w:val="2"/>
          <w:numId w:val="2"/>
        </w:numPr>
        <w:spacing w:line="288" w:lineRule="auto"/>
        <w:jc w:val="both"/>
      </w:pPr>
      <w:r>
        <w:t>Strukturálně postižené regiony</w:t>
      </w:r>
    </w:p>
    <w:p w14:paraId="01BDB657" w14:textId="77777777" w:rsidR="001F4AE2" w:rsidRPr="006D70C0" w:rsidRDefault="001F4AE2" w:rsidP="005D175A">
      <w:pPr>
        <w:pStyle w:val="Odstavecseseznamem"/>
        <w:numPr>
          <w:ilvl w:val="0"/>
          <w:numId w:val="8"/>
        </w:numPr>
        <w:spacing w:after="0" w:line="240" w:lineRule="auto"/>
        <w:jc w:val="both"/>
      </w:pPr>
      <w:r w:rsidRPr="006D70C0">
        <w:t>Karlovarský kraj</w:t>
      </w:r>
    </w:p>
    <w:p w14:paraId="6608EB90" w14:textId="77777777" w:rsidR="001F4AE2" w:rsidRPr="006D70C0" w:rsidRDefault="001F4AE2" w:rsidP="005D175A">
      <w:pPr>
        <w:pStyle w:val="Odstavecseseznamem"/>
        <w:numPr>
          <w:ilvl w:val="0"/>
          <w:numId w:val="8"/>
        </w:numPr>
        <w:spacing w:after="0" w:line="240" w:lineRule="auto"/>
        <w:jc w:val="both"/>
      </w:pPr>
      <w:r w:rsidRPr="006D70C0">
        <w:t xml:space="preserve">Ústecký kraj </w:t>
      </w:r>
    </w:p>
    <w:p w14:paraId="7F41E9D9" w14:textId="77777777" w:rsidR="001F4AE2" w:rsidRPr="009B2087" w:rsidRDefault="001F4AE2" w:rsidP="005D175A">
      <w:pPr>
        <w:pStyle w:val="Odstavecseseznamem"/>
        <w:numPr>
          <w:ilvl w:val="0"/>
          <w:numId w:val="8"/>
        </w:numPr>
        <w:spacing w:after="0" w:line="240" w:lineRule="auto"/>
        <w:jc w:val="both"/>
      </w:pPr>
      <w:r w:rsidRPr="006D70C0">
        <w:t>Moravskoslezský kraj</w:t>
      </w:r>
    </w:p>
    <w:p w14:paraId="2D2CBC87" w14:textId="77777777" w:rsidR="00A5765E" w:rsidRPr="00A5765E" w:rsidRDefault="00A5765E" w:rsidP="005D175A">
      <w:pPr>
        <w:jc w:val="both"/>
      </w:pPr>
    </w:p>
    <w:sectPr w:rsidR="00A5765E" w:rsidRPr="00A5765E" w:rsidSect="00F73A7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4E3C8" w14:textId="77777777" w:rsidR="00C5471D" w:rsidRDefault="00C5471D" w:rsidP="00634381">
      <w:pPr>
        <w:spacing w:after="0" w:line="240" w:lineRule="auto"/>
      </w:pPr>
      <w:r>
        <w:separator/>
      </w:r>
    </w:p>
  </w:endnote>
  <w:endnote w:type="continuationSeparator" w:id="0">
    <w:p w14:paraId="54B8CDCB" w14:textId="77777777" w:rsidR="00C5471D" w:rsidRDefault="00C5471D" w:rsidP="00634381">
      <w:pPr>
        <w:spacing w:after="0" w:line="240" w:lineRule="auto"/>
      </w:pPr>
      <w:r>
        <w:continuationSeparator/>
      </w:r>
    </w:p>
  </w:endnote>
  <w:endnote w:type="continuationNotice" w:id="1">
    <w:p w14:paraId="4F237FCD" w14:textId="77777777" w:rsidR="00C5471D" w:rsidRDefault="00C547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DF7C3" w14:textId="77777777" w:rsidR="008A4EFB" w:rsidRDefault="008A4E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95670" w14:textId="00421BDA" w:rsidR="008572CA" w:rsidRPr="00813536" w:rsidRDefault="00813536" w:rsidP="00813536">
    <w:pPr>
      <w:pStyle w:val="Zpat"/>
    </w:pPr>
    <w:bookmarkStart w:id="1" w:name="_Hlk103025839"/>
    <w:bookmarkStart w:id="2" w:name="_Hlk103025840"/>
    <w:bookmarkStart w:id="3" w:name="_Hlk103026097"/>
    <w:bookmarkStart w:id="4" w:name="_Hlk103026098"/>
    <w:bookmarkStart w:id="5" w:name="_Hlk103026383"/>
    <w:bookmarkStart w:id="6" w:name="_Hlk103026384"/>
    <w:bookmarkStart w:id="7" w:name="_Hlk103027005"/>
    <w:bookmarkStart w:id="8" w:name="_Hlk103027006"/>
    <w:r>
      <w:rPr>
        <w:rFonts w:ascii="Calibri" w:hAnsi="Calibri" w:cs="Calibri"/>
        <w:b/>
        <w:bCs/>
        <w:color w:val="002060"/>
      </w:rPr>
      <w:t xml:space="preserve">PRŮBĚŽNÁ </w:t>
    </w:r>
    <w:bookmarkEnd w:id="1"/>
    <w:bookmarkEnd w:id="2"/>
    <w:bookmarkEnd w:id="3"/>
    <w:bookmarkEnd w:id="4"/>
    <w:bookmarkEnd w:id="5"/>
    <w:bookmarkEnd w:id="6"/>
    <w:bookmarkEnd w:id="7"/>
    <w:bookmarkEnd w:id="8"/>
    <w:r w:rsidR="00CF16E2">
      <w:rPr>
        <w:rFonts w:ascii="Calibri" w:hAnsi="Calibri" w:cs="Calibri"/>
        <w:b/>
        <w:bCs/>
        <w:color w:val="002060"/>
      </w:rPr>
      <w:t>VÝZVA</w:t>
    </w:r>
    <w:r>
      <w:rPr>
        <w:rFonts w:ascii="Calibri" w:hAnsi="Calibri" w:cs="Calibri"/>
        <w:b/>
        <w:bCs/>
        <w:color w:val="002060"/>
      </w:rPr>
      <w:t xml:space="preserve"> – Finanční podpora přípravy projektů souladných s </w:t>
    </w:r>
    <w:r w:rsidR="005D175A">
      <w:rPr>
        <w:rFonts w:ascii="Calibri" w:hAnsi="Calibri" w:cs="Calibri"/>
        <w:b/>
        <w:bCs/>
        <w:color w:val="002060"/>
      </w:rPr>
      <w:t>cíli</w:t>
    </w:r>
    <w:r>
      <w:rPr>
        <w:rFonts w:ascii="Calibri" w:hAnsi="Calibri" w:cs="Calibri"/>
        <w:b/>
        <w:bCs/>
        <w:color w:val="002060"/>
      </w:rPr>
      <w:t xml:space="preserve"> EU</w:t>
    </w:r>
    <w:r w:rsidR="00CF16E2">
      <w:rPr>
        <w:rFonts w:ascii="Calibri" w:hAnsi="Calibri" w:cs="Calibri"/>
        <w:b/>
        <w:bCs/>
        <w:color w:val="002060"/>
      </w:rPr>
      <w:t xml:space="preserve"> (</w:t>
    </w:r>
    <w:r w:rsidR="009B1314">
      <w:rPr>
        <w:rFonts w:ascii="Calibri" w:hAnsi="Calibri" w:cs="Calibri"/>
        <w:b/>
        <w:bCs/>
        <w:color w:val="002060"/>
      </w:rPr>
      <w:t xml:space="preserve">příprava </w:t>
    </w:r>
    <w:r w:rsidR="008A4EFB">
      <w:rPr>
        <w:rFonts w:ascii="Calibri" w:hAnsi="Calibri" w:cs="Calibri"/>
        <w:b/>
        <w:bCs/>
        <w:color w:val="002060"/>
      </w:rPr>
      <w:t>malých</w:t>
    </w:r>
    <w:r w:rsidR="00CF16E2">
      <w:rPr>
        <w:rFonts w:ascii="Calibri" w:hAnsi="Calibri" w:cs="Calibri"/>
        <w:b/>
        <w:bCs/>
        <w:color w:val="002060"/>
      </w:rPr>
      <w:t xml:space="preserve"> projekt</w:t>
    </w:r>
    <w:r w:rsidR="009B1314">
      <w:rPr>
        <w:rFonts w:ascii="Calibri" w:hAnsi="Calibri" w:cs="Calibri"/>
        <w:b/>
        <w:bCs/>
        <w:color w:val="002060"/>
      </w:rPr>
      <w:t>ů</w:t>
    </w:r>
    <w:r w:rsidR="00CF16E2">
      <w:rPr>
        <w:rFonts w:ascii="Calibri" w:hAnsi="Calibri" w:cs="Calibri"/>
        <w:b/>
        <w:bCs/>
        <w:color w:val="002060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963FC" w14:textId="77777777" w:rsidR="008A4EFB" w:rsidRDefault="008A4E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4E83E" w14:textId="77777777" w:rsidR="00C5471D" w:rsidRDefault="00C5471D" w:rsidP="00634381">
      <w:pPr>
        <w:spacing w:after="0" w:line="240" w:lineRule="auto"/>
      </w:pPr>
      <w:r>
        <w:separator/>
      </w:r>
    </w:p>
  </w:footnote>
  <w:footnote w:type="continuationSeparator" w:id="0">
    <w:p w14:paraId="553757B1" w14:textId="77777777" w:rsidR="00C5471D" w:rsidRDefault="00C5471D" w:rsidP="00634381">
      <w:pPr>
        <w:spacing w:after="0" w:line="240" w:lineRule="auto"/>
      </w:pPr>
      <w:r>
        <w:continuationSeparator/>
      </w:r>
    </w:p>
  </w:footnote>
  <w:footnote w:type="continuationNotice" w:id="1">
    <w:p w14:paraId="00E07CA1" w14:textId="77777777" w:rsidR="00C5471D" w:rsidRDefault="00C5471D">
      <w:pPr>
        <w:spacing w:after="0" w:line="240" w:lineRule="auto"/>
      </w:pPr>
    </w:p>
  </w:footnote>
  <w:footnote w:id="2">
    <w:p w14:paraId="552D9471" w14:textId="77777777" w:rsidR="004F25E4" w:rsidRPr="00565E2B" w:rsidRDefault="004F25E4" w:rsidP="004F25E4">
      <w:pPr>
        <w:pStyle w:val="Textpoznpodarou"/>
        <w:rPr>
          <w:rFonts w:ascii="Calibri Light" w:hAnsi="Calibri Light" w:cs="Calibri Light"/>
          <w:sz w:val="18"/>
          <w:szCs w:val="18"/>
        </w:rPr>
      </w:pPr>
      <w:r w:rsidRPr="00565E2B">
        <w:rPr>
          <w:rStyle w:val="Znakapoznpodarou"/>
          <w:rFonts w:ascii="Calibri Light" w:hAnsi="Calibri Light" w:cs="Calibri Light"/>
          <w:sz w:val="18"/>
          <w:szCs w:val="18"/>
        </w:rPr>
        <w:footnoteRef/>
      </w:r>
      <w:r w:rsidRPr="00565E2B">
        <w:rPr>
          <w:rFonts w:ascii="Calibri Light" w:hAnsi="Calibri Light" w:cs="Calibri Light"/>
          <w:sz w:val="18"/>
          <w:szCs w:val="18"/>
        </w:rPr>
        <w:t xml:space="preserve"> Netýká se předmětu podpory Studie proveditelnosti</w:t>
      </w:r>
    </w:p>
  </w:footnote>
  <w:footnote w:id="3">
    <w:p w14:paraId="6BFACD44" w14:textId="77777777" w:rsidR="004F25E4" w:rsidRPr="00317700" w:rsidRDefault="004F25E4" w:rsidP="004F25E4">
      <w:pPr>
        <w:pStyle w:val="Textpoznpodarou"/>
        <w:rPr>
          <w:rFonts w:ascii="Calibri Light" w:hAnsi="Calibri Light" w:cs="Calibri Light"/>
          <w:sz w:val="18"/>
          <w:szCs w:val="18"/>
        </w:rPr>
      </w:pPr>
      <w:r w:rsidRPr="00317700">
        <w:rPr>
          <w:rStyle w:val="Znakapoznpodarou"/>
          <w:rFonts w:ascii="Calibri Light" w:hAnsi="Calibri Light" w:cs="Calibri Light"/>
          <w:sz w:val="18"/>
          <w:szCs w:val="18"/>
        </w:rPr>
        <w:footnoteRef/>
      </w:r>
      <w:r w:rsidRPr="00317700">
        <w:rPr>
          <w:rFonts w:ascii="Calibri Light" w:hAnsi="Calibri Light" w:cs="Calibri Light"/>
          <w:sz w:val="18"/>
          <w:szCs w:val="18"/>
        </w:rPr>
        <w:t xml:space="preserve"> Vymezení HSOÚ dle Strategie regionálního rozvoje ČR 2021+. Nad rámech tohoto vymezení jsou do kategorie HSOÚ zařazeny správní obvody obcí zasahujících do bývalých vojenských újezdů.</w:t>
      </w:r>
    </w:p>
  </w:footnote>
  <w:footnote w:id="4">
    <w:p w14:paraId="11BD5011" w14:textId="4514AEB6" w:rsidR="00A5765E" w:rsidRDefault="00A5765E" w:rsidP="00A5765E">
      <w:r>
        <w:rPr>
          <w:rStyle w:val="Znakapoznpodarou"/>
        </w:rPr>
        <w:footnoteRef/>
      </w:r>
      <w:r>
        <w:t xml:space="preserve"> </w:t>
      </w:r>
      <w:r w:rsidRPr="000A28F2">
        <w:t xml:space="preserve">Podrobnosti pro stanovení obvyklé ceny tržního nájemného bytů srovnatelné kvality </w:t>
      </w:r>
      <w:r>
        <w:t>budou</w:t>
      </w:r>
      <w:r w:rsidRPr="000A28F2">
        <w:t xml:space="preserve"> </w:t>
      </w:r>
      <w:r>
        <w:t>v</w:t>
      </w:r>
      <w:r w:rsidRPr="000A28F2">
        <w:t>ycházet z Cenové mapy nájemného v ČR zpracované Ministerstvem financí.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7CB31" w14:textId="77777777" w:rsidR="008A4EFB" w:rsidRDefault="008A4EF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67725" w14:textId="52521630" w:rsidR="00A05BA9" w:rsidRDefault="00A05BA9">
    <w:pPr>
      <w:pStyle w:val="Zhlav"/>
    </w:pPr>
    <w:r>
      <w:rPr>
        <w:noProof/>
      </w:rPr>
      <w:drawing>
        <wp:inline distT="0" distB="0" distL="0" distR="0" wp14:anchorId="7A608658" wp14:editId="79A9AE09">
          <wp:extent cx="5776524" cy="729604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15" r="6440"/>
                  <a:stretch/>
                </pic:blipFill>
                <pic:spPr bwMode="auto">
                  <a:xfrm>
                    <a:off x="0" y="0"/>
                    <a:ext cx="5839521" cy="73756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6ABBD8F" w14:textId="2E1B22D6" w:rsidR="008572CA" w:rsidRDefault="008572C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D3CC6" w14:textId="77777777" w:rsidR="008A4EFB" w:rsidRDefault="008A4EF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4230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BF66583"/>
    <w:multiLevelType w:val="hybridMultilevel"/>
    <w:tmpl w:val="9E8499BA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18DE7968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E1537"/>
    <w:multiLevelType w:val="multilevel"/>
    <w:tmpl w:val="2708CE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D872B3F"/>
    <w:multiLevelType w:val="hybridMultilevel"/>
    <w:tmpl w:val="742EA8C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CA16B0"/>
    <w:multiLevelType w:val="hybridMultilevel"/>
    <w:tmpl w:val="9F341F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43067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47D1216"/>
    <w:multiLevelType w:val="hybridMultilevel"/>
    <w:tmpl w:val="F408960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EEF6D8D"/>
    <w:multiLevelType w:val="hybridMultilevel"/>
    <w:tmpl w:val="0C0219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66528">
    <w:abstractNumId w:val="1"/>
    <w:lvlOverride w:ilvl="0">
      <w:startOverride w:val="1"/>
    </w:lvlOverride>
  </w:num>
  <w:num w:numId="2" w16cid:durableId="2101946500">
    <w:abstractNumId w:val="5"/>
  </w:num>
  <w:num w:numId="3" w16cid:durableId="655838057">
    <w:abstractNumId w:val="4"/>
  </w:num>
  <w:num w:numId="4" w16cid:durableId="2112049153">
    <w:abstractNumId w:val="0"/>
  </w:num>
  <w:num w:numId="5" w16cid:durableId="1684890518">
    <w:abstractNumId w:val="3"/>
  </w:num>
  <w:num w:numId="6" w16cid:durableId="727143214">
    <w:abstractNumId w:val="6"/>
  </w:num>
  <w:num w:numId="7" w16cid:durableId="143015946">
    <w:abstractNumId w:val="2"/>
  </w:num>
  <w:num w:numId="8" w16cid:durableId="1105731231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96"/>
    <w:rsid w:val="0000149C"/>
    <w:rsid w:val="000122E6"/>
    <w:rsid w:val="000136A7"/>
    <w:rsid w:val="00014F63"/>
    <w:rsid w:val="000208E2"/>
    <w:rsid w:val="00034040"/>
    <w:rsid w:val="00036A3E"/>
    <w:rsid w:val="00040AD3"/>
    <w:rsid w:val="00044DB9"/>
    <w:rsid w:val="0005496E"/>
    <w:rsid w:val="0005599F"/>
    <w:rsid w:val="0005663F"/>
    <w:rsid w:val="00057100"/>
    <w:rsid w:val="00057399"/>
    <w:rsid w:val="00057C7F"/>
    <w:rsid w:val="00070FE9"/>
    <w:rsid w:val="000721F8"/>
    <w:rsid w:val="000735D0"/>
    <w:rsid w:val="00077C66"/>
    <w:rsid w:val="000852DF"/>
    <w:rsid w:val="000855EE"/>
    <w:rsid w:val="000869D1"/>
    <w:rsid w:val="00096838"/>
    <w:rsid w:val="00097DB6"/>
    <w:rsid w:val="000A28F2"/>
    <w:rsid w:val="000A3C1C"/>
    <w:rsid w:val="000A5206"/>
    <w:rsid w:val="000A6AB4"/>
    <w:rsid w:val="000B42E0"/>
    <w:rsid w:val="000B553E"/>
    <w:rsid w:val="000B579B"/>
    <w:rsid w:val="000B5C1F"/>
    <w:rsid w:val="000B5F15"/>
    <w:rsid w:val="000B688B"/>
    <w:rsid w:val="000C7C5F"/>
    <w:rsid w:val="000D7CA1"/>
    <w:rsid w:val="000E2058"/>
    <w:rsid w:val="000E4312"/>
    <w:rsid w:val="000E4DD3"/>
    <w:rsid w:val="000E61EE"/>
    <w:rsid w:val="000F21FB"/>
    <w:rsid w:val="000F6876"/>
    <w:rsid w:val="00102CAB"/>
    <w:rsid w:val="0010305A"/>
    <w:rsid w:val="00103148"/>
    <w:rsid w:val="00106FBD"/>
    <w:rsid w:val="00111D36"/>
    <w:rsid w:val="00121F14"/>
    <w:rsid w:val="00122F9F"/>
    <w:rsid w:val="00132C42"/>
    <w:rsid w:val="001336C7"/>
    <w:rsid w:val="00134E34"/>
    <w:rsid w:val="00137E97"/>
    <w:rsid w:val="00141C5B"/>
    <w:rsid w:val="00141F3E"/>
    <w:rsid w:val="00143E11"/>
    <w:rsid w:val="0015594C"/>
    <w:rsid w:val="00155A3F"/>
    <w:rsid w:val="00166485"/>
    <w:rsid w:val="00171393"/>
    <w:rsid w:val="00171EED"/>
    <w:rsid w:val="00174CA1"/>
    <w:rsid w:val="00184027"/>
    <w:rsid w:val="00197707"/>
    <w:rsid w:val="001A7D06"/>
    <w:rsid w:val="001B37E4"/>
    <w:rsid w:val="001B7408"/>
    <w:rsid w:val="001C266B"/>
    <w:rsid w:val="001C3E0E"/>
    <w:rsid w:val="001C7491"/>
    <w:rsid w:val="001C792D"/>
    <w:rsid w:val="001D102C"/>
    <w:rsid w:val="001D292A"/>
    <w:rsid w:val="001D2A83"/>
    <w:rsid w:val="001E18AA"/>
    <w:rsid w:val="001E4FFD"/>
    <w:rsid w:val="001F0322"/>
    <w:rsid w:val="001F2410"/>
    <w:rsid w:val="001F3266"/>
    <w:rsid w:val="001F43CB"/>
    <w:rsid w:val="001F4AE2"/>
    <w:rsid w:val="001F6836"/>
    <w:rsid w:val="001F746C"/>
    <w:rsid w:val="002011C3"/>
    <w:rsid w:val="0020476A"/>
    <w:rsid w:val="00204D9A"/>
    <w:rsid w:val="0020609C"/>
    <w:rsid w:val="00207562"/>
    <w:rsid w:val="00213558"/>
    <w:rsid w:val="0021361E"/>
    <w:rsid w:val="0021750B"/>
    <w:rsid w:val="002207B9"/>
    <w:rsid w:val="00221CF2"/>
    <w:rsid w:val="002239E8"/>
    <w:rsid w:val="002265AB"/>
    <w:rsid w:val="00231A78"/>
    <w:rsid w:val="00231E54"/>
    <w:rsid w:val="00231F50"/>
    <w:rsid w:val="002341B3"/>
    <w:rsid w:val="0023680F"/>
    <w:rsid w:val="002372F4"/>
    <w:rsid w:val="002412BC"/>
    <w:rsid w:val="00243A41"/>
    <w:rsid w:val="002442B8"/>
    <w:rsid w:val="00245A55"/>
    <w:rsid w:val="002552E9"/>
    <w:rsid w:val="00257542"/>
    <w:rsid w:val="00257788"/>
    <w:rsid w:val="00261941"/>
    <w:rsid w:val="0026250F"/>
    <w:rsid w:val="0026252B"/>
    <w:rsid w:val="00271344"/>
    <w:rsid w:val="002748BB"/>
    <w:rsid w:val="002821CC"/>
    <w:rsid w:val="002854DB"/>
    <w:rsid w:val="00286C01"/>
    <w:rsid w:val="00291F6A"/>
    <w:rsid w:val="00292BA0"/>
    <w:rsid w:val="002932D8"/>
    <w:rsid w:val="002A27C8"/>
    <w:rsid w:val="002A2FE7"/>
    <w:rsid w:val="002B368E"/>
    <w:rsid w:val="002B6556"/>
    <w:rsid w:val="002C177C"/>
    <w:rsid w:val="002C572D"/>
    <w:rsid w:val="002C69A1"/>
    <w:rsid w:val="002C7481"/>
    <w:rsid w:val="002C7A46"/>
    <w:rsid w:val="002D6115"/>
    <w:rsid w:val="002E1CE1"/>
    <w:rsid w:val="00302C7F"/>
    <w:rsid w:val="003047B1"/>
    <w:rsid w:val="00305383"/>
    <w:rsid w:val="00320082"/>
    <w:rsid w:val="00321CFB"/>
    <w:rsid w:val="00323F9E"/>
    <w:rsid w:val="0032525C"/>
    <w:rsid w:val="003360D0"/>
    <w:rsid w:val="0033701E"/>
    <w:rsid w:val="0033728D"/>
    <w:rsid w:val="0034193D"/>
    <w:rsid w:val="00345415"/>
    <w:rsid w:val="00352829"/>
    <w:rsid w:val="00353C85"/>
    <w:rsid w:val="0035528D"/>
    <w:rsid w:val="00355E41"/>
    <w:rsid w:val="00364C12"/>
    <w:rsid w:val="0036711D"/>
    <w:rsid w:val="003672B0"/>
    <w:rsid w:val="00367624"/>
    <w:rsid w:val="0037211E"/>
    <w:rsid w:val="003753BF"/>
    <w:rsid w:val="003766DC"/>
    <w:rsid w:val="00381FCD"/>
    <w:rsid w:val="00382634"/>
    <w:rsid w:val="00382EA0"/>
    <w:rsid w:val="003844D6"/>
    <w:rsid w:val="003861CE"/>
    <w:rsid w:val="00392E44"/>
    <w:rsid w:val="003939B0"/>
    <w:rsid w:val="003A0533"/>
    <w:rsid w:val="003A1C64"/>
    <w:rsid w:val="003A442E"/>
    <w:rsid w:val="003A52C4"/>
    <w:rsid w:val="003B1000"/>
    <w:rsid w:val="003B60B6"/>
    <w:rsid w:val="003C67B4"/>
    <w:rsid w:val="003C6B60"/>
    <w:rsid w:val="003D5845"/>
    <w:rsid w:val="003D5D97"/>
    <w:rsid w:val="003D6380"/>
    <w:rsid w:val="003E7867"/>
    <w:rsid w:val="003F30FE"/>
    <w:rsid w:val="003F6935"/>
    <w:rsid w:val="00401D28"/>
    <w:rsid w:val="00402722"/>
    <w:rsid w:val="00405EE4"/>
    <w:rsid w:val="0041598A"/>
    <w:rsid w:val="00415AEE"/>
    <w:rsid w:val="004343F1"/>
    <w:rsid w:val="004408B1"/>
    <w:rsid w:val="004668C2"/>
    <w:rsid w:val="004730D4"/>
    <w:rsid w:val="004770A6"/>
    <w:rsid w:val="00481AF3"/>
    <w:rsid w:val="00482EA1"/>
    <w:rsid w:val="00483E97"/>
    <w:rsid w:val="004849AE"/>
    <w:rsid w:val="0048760A"/>
    <w:rsid w:val="00487AE8"/>
    <w:rsid w:val="00491012"/>
    <w:rsid w:val="004A0215"/>
    <w:rsid w:val="004A0682"/>
    <w:rsid w:val="004A1305"/>
    <w:rsid w:val="004A1687"/>
    <w:rsid w:val="004A323F"/>
    <w:rsid w:val="004A4BD7"/>
    <w:rsid w:val="004A55CA"/>
    <w:rsid w:val="004B24BB"/>
    <w:rsid w:val="004B2990"/>
    <w:rsid w:val="004C14C5"/>
    <w:rsid w:val="004C1FEB"/>
    <w:rsid w:val="004C74D2"/>
    <w:rsid w:val="004D0AC6"/>
    <w:rsid w:val="004D5710"/>
    <w:rsid w:val="004D65FF"/>
    <w:rsid w:val="004E342F"/>
    <w:rsid w:val="004E6082"/>
    <w:rsid w:val="004F25E4"/>
    <w:rsid w:val="004F3D4D"/>
    <w:rsid w:val="0050490F"/>
    <w:rsid w:val="00505848"/>
    <w:rsid w:val="00520431"/>
    <w:rsid w:val="005211DB"/>
    <w:rsid w:val="00523E34"/>
    <w:rsid w:val="00524A63"/>
    <w:rsid w:val="00526EDC"/>
    <w:rsid w:val="0053396E"/>
    <w:rsid w:val="00546D5F"/>
    <w:rsid w:val="0055028E"/>
    <w:rsid w:val="0055065D"/>
    <w:rsid w:val="00557F92"/>
    <w:rsid w:val="00560012"/>
    <w:rsid w:val="0056072C"/>
    <w:rsid w:val="00565E2B"/>
    <w:rsid w:val="00570145"/>
    <w:rsid w:val="00570383"/>
    <w:rsid w:val="00571041"/>
    <w:rsid w:val="0057190E"/>
    <w:rsid w:val="00572BF4"/>
    <w:rsid w:val="00576EF1"/>
    <w:rsid w:val="00585341"/>
    <w:rsid w:val="005923E7"/>
    <w:rsid w:val="0059589A"/>
    <w:rsid w:val="00596086"/>
    <w:rsid w:val="005A012C"/>
    <w:rsid w:val="005A160B"/>
    <w:rsid w:val="005A563D"/>
    <w:rsid w:val="005B50EE"/>
    <w:rsid w:val="005B64B6"/>
    <w:rsid w:val="005B7EA5"/>
    <w:rsid w:val="005B7FFE"/>
    <w:rsid w:val="005C3EC4"/>
    <w:rsid w:val="005C55B9"/>
    <w:rsid w:val="005C62B7"/>
    <w:rsid w:val="005C79C0"/>
    <w:rsid w:val="005D175A"/>
    <w:rsid w:val="005D79C8"/>
    <w:rsid w:val="005E4A47"/>
    <w:rsid w:val="005E4C33"/>
    <w:rsid w:val="005E5868"/>
    <w:rsid w:val="005E6D5B"/>
    <w:rsid w:val="005E7F63"/>
    <w:rsid w:val="005F01E8"/>
    <w:rsid w:val="005F02EF"/>
    <w:rsid w:val="005F0D26"/>
    <w:rsid w:val="005F7F9C"/>
    <w:rsid w:val="0060422B"/>
    <w:rsid w:val="00620E26"/>
    <w:rsid w:val="006221F8"/>
    <w:rsid w:val="00623785"/>
    <w:rsid w:val="00630021"/>
    <w:rsid w:val="00632B48"/>
    <w:rsid w:val="00634381"/>
    <w:rsid w:val="0063506C"/>
    <w:rsid w:val="00635FC7"/>
    <w:rsid w:val="00637FD3"/>
    <w:rsid w:val="00641887"/>
    <w:rsid w:val="00647234"/>
    <w:rsid w:val="00656F30"/>
    <w:rsid w:val="00657BFA"/>
    <w:rsid w:val="00667162"/>
    <w:rsid w:val="00676EF2"/>
    <w:rsid w:val="0067736D"/>
    <w:rsid w:val="006803CD"/>
    <w:rsid w:val="00682152"/>
    <w:rsid w:val="00691BCF"/>
    <w:rsid w:val="006957A5"/>
    <w:rsid w:val="0069719B"/>
    <w:rsid w:val="006972F0"/>
    <w:rsid w:val="00697611"/>
    <w:rsid w:val="006A6DD1"/>
    <w:rsid w:val="006B08A0"/>
    <w:rsid w:val="006B3868"/>
    <w:rsid w:val="006B3982"/>
    <w:rsid w:val="006C22BD"/>
    <w:rsid w:val="006C5A66"/>
    <w:rsid w:val="006C7D86"/>
    <w:rsid w:val="006D70C0"/>
    <w:rsid w:val="006E44D0"/>
    <w:rsid w:val="006E5C82"/>
    <w:rsid w:val="006E72F1"/>
    <w:rsid w:val="006F0FD9"/>
    <w:rsid w:val="006F3E67"/>
    <w:rsid w:val="006F7985"/>
    <w:rsid w:val="007043C9"/>
    <w:rsid w:val="007052CD"/>
    <w:rsid w:val="007117A4"/>
    <w:rsid w:val="00722201"/>
    <w:rsid w:val="00722EA1"/>
    <w:rsid w:val="00727BEA"/>
    <w:rsid w:val="00730A46"/>
    <w:rsid w:val="00751C73"/>
    <w:rsid w:val="00752664"/>
    <w:rsid w:val="00754349"/>
    <w:rsid w:val="0075715C"/>
    <w:rsid w:val="00757BD7"/>
    <w:rsid w:val="00763129"/>
    <w:rsid w:val="00763307"/>
    <w:rsid w:val="0076431E"/>
    <w:rsid w:val="0076574B"/>
    <w:rsid w:val="00781B5C"/>
    <w:rsid w:val="00786C27"/>
    <w:rsid w:val="007936AA"/>
    <w:rsid w:val="007973A8"/>
    <w:rsid w:val="007A65CB"/>
    <w:rsid w:val="007B5A1C"/>
    <w:rsid w:val="007C0922"/>
    <w:rsid w:val="007C0AB0"/>
    <w:rsid w:val="007C0F78"/>
    <w:rsid w:val="007C55C6"/>
    <w:rsid w:val="007D2576"/>
    <w:rsid w:val="007D4670"/>
    <w:rsid w:val="007D7779"/>
    <w:rsid w:val="007E53BF"/>
    <w:rsid w:val="007E74B4"/>
    <w:rsid w:val="007F29BA"/>
    <w:rsid w:val="007F57DD"/>
    <w:rsid w:val="007F76A5"/>
    <w:rsid w:val="007F7FEA"/>
    <w:rsid w:val="008005E0"/>
    <w:rsid w:val="008032AD"/>
    <w:rsid w:val="00804494"/>
    <w:rsid w:val="008107DB"/>
    <w:rsid w:val="00813536"/>
    <w:rsid w:val="00814A94"/>
    <w:rsid w:val="00817EFD"/>
    <w:rsid w:val="00824C5E"/>
    <w:rsid w:val="00825918"/>
    <w:rsid w:val="00830417"/>
    <w:rsid w:val="0083207B"/>
    <w:rsid w:val="00844F3C"/>
    <w:rsid w:val="008572CA"/>
    <w:rsid w:val="00864193"/>
    <w:rsid w:val="008716F6"/>
    <w:rsid w:val="008728F5"/>
    <w:rsid w:val="00874DB4"/>
    <w:rsid w:val="008812C3"/>
    <w:rsid w:val="00884241"/>
    <w:rsid w:val="0088426A"/>
    <w:rsid w:val="00885D11"/>
    <w:rsid w:val="00895CD7"/>
    <w:rsid w:val="008A3E67"/>
    <w:rsid w:val="008A4EFB"/>
    <w:rsid w:val="008A5F96"/>
    <w:rsid w:val="008A6BB7"/>
    <w:rsid w:val="008B7BB5"/>
    <w:rsid w:val="008B7DD4"/>
    <w:rsid w:val="008C5A6B"/>
    <w:rsid w:val="008C7A51"/>
    <w:rsid w:val="008D6E1E"/>
    <w:rsid w:val="008D771C"/>
    <w:rsid w:val="008E20CB"/>
    <w:rsid w:val="008E4C9B"/>
    <w:rsid w:val="008E58DA"/>
    <w:rsid w:val="008E6A6B"/>
    <w:rsid w:val="008F2089"/>
    <w:rsid w:val="008F6493"/>
    <w:rsid w:val="00900F86"/>
    <w:rsid w:val="009146C0"/>
    <w:rsid w:val="00920BF6"/>
    <w:rsid w:val="00921380"/>
    <w:rsid w:val="009263F8"/>
    <w:rsid w:val="00927DD6"/>
    <w:rsid w:val="00932304"/>
    <w:rsid w:val="00932786"/>
    <w:rsid w:val="00936696"/>
    <w:rsid w:val="00936E48"/>
    <w:rsid w:val="00941215"/>
    <w:rsid w:val="009447C2"/>
    <w:rsid w:val="009503F3"/>
    <w:rsid w:val="00954D68"/>
    <w:rsid w:val="009563DA"/>
    <w:rsid w:val="00961249"/>
    <w:rsid w:val="00961665"/>
    <w:rsid w:val="00962088"/>
    <w:rsid w:val="00964210"/>
    <w:rsid w:val="0096682A"/>
    <w:rsid w:val="009679E3"/>
    <w:rsid w:val="0097069F"/>
    <w:rsid w:val="0097615F"/>
    <w:rsid w:val="0097661D"/>
    <w:rsid w:val="00977539"/>
    <w:rsid w:val="00977985"/>
    <w:rsid w:val="00977A5B"/>
    <w:rsid w:val="00991CCA"/>
    <w:rsid w:val="00994A83"/>
    <w:rsid w:val="009B1314"/>
    <w:rsid w:val="009C273F"/>
    <w:rsid w:val="009C2DA4"/>
    <w:rsid w:val="009D2D37"/>
    <w:rsid w:val="009D501E"/>
    <w:rsid w:val="009D7224"/>
    <w:rsid w:val="009D72A8"/>
    <w:rsid w:val="009E4637"/>
    <w:rsid w:val="009E4F57"/>
    <w:rsid w:val="009F39E1"/>
    <w:rsid w:val="009F7CFA"/>
    <w:rsid w:val="00A01903"/>
    <w:rsid w:val="00A01B73"/>
    <w:rsid w:val="00A0236F"/>
    <w:rsid w:val="00A02E83"/>
    <w:rsid w:val="00A04ADF"/>
    <w:rsid w:val="00A05BA9"/>
    <w:rsid w:val="00A22033"/>
    <w:rsid w:val="00A24682"/>
    <w:rsid w:val="00A24831"/>
    <w:rsid w:val="00A311A0"/>
    <w:rsid w:val="00A33F6A"/>
    <w:rsid w:val="00A439A8"/>
    <w:rsid w:val="00A5765E"/>
    <w:rsid w:val="00A60C48"/>
    <w:rsid w:val="00A63FD6"/>
    <w:rsid w:val="00A67C37"/>
    <w:rsid w:val="00A87C7F"/>
    <w:rsid w:val="00A927A9"/>
    <w:rsid w:val="00A9543E"/>
    <w:rsid w:val="00AA05AA"/>
    <w:rsid w:val="00AA1273"/>
    <w:rsid w:val="00AA2BF1"/>
    <w:rsid w:val="00AA6E68"/>
    <w:rsid w:val="00AA717A"/>
    <w:rsid w:val="00AB279D"/>
    <w:rsid w:val="00AB577F"/>
    <w:rsid w:val="00AB5880"/>
    <w:rsid w:val="00AB66A6"/>
    <w:rsid w:val="00AC1A0F"/>
    <w:rsid w:val="00AC5834"/>
    <w:rsid w:val="00AD7427"/>
    <w:rsid w:val="00AE667E"/>
    <w:rsid w:val="00AF225B"/>
    <w:rsid w:val="00AF4367"/>
    <w:rsid w:val="00AF4FA5"/>
    <w:rsid w:val="00AF7CA2"/>
    <w:rsid w:val="00B0097D"/>
    <w:rsid w:val="00B0270E"/>
    <w:rsid w:val="00B028A3"/>
    <w:rsid w:val="00B06069"/>
    <w:rsid w:val="00B0722B"/>
    <w:rsid w:val="00B130DC"/>
    <w:rsid w:val="00B20E1B"/>
    <w:rsid w:val="00B30814"/>
    <w:rsid w:val="00B32019"/>
    <w:rsid w:val="00B32976"/>
    <w:rsid w:val="00B32AB8"/>
    <w:rsid w:val="00B35048"/>
    <w:rsid w:val="00B3528F"/>
    <w:rsid w:val="00B41D54"/>
    <w:rsid w:val="00B44B9E"/>
    <w:rsid w:val="00B45F31"/>
    <w:rsid w:val="00B53ED0"/>
    <w:rsid w:val="00B5542F"/>
    <w:rsid w:val="00B55EB2"/>
    <w:rsid w:val="00B5632A"/>
    <w:rsid w:val="00B56469"/>
    <w:rsid w:val="00B57CF2"/>
    <w:rsid w:val="00B61FB2"/>
    <w:rsid w:val="00B70E2A"/>
    <w:rsid w:val="00B7197B"/>
    <w:rsid w:val="00B82463"/>
    <w:rsid w:val="00B8276E"/>
    <w:rsid w:val="00B83E2D"/>
    <w:rsid w:val="00B8444F"/>
    <w:rsid w:val="00B87183"/>
    <w:rsid w:val="00B92155"/>
    <w:rsid w:val="00B9550D"/>
    <w:rsid w:val="00B95F61"/>
    <w:rsid w:val="00B97B84"/>
    <w:rsid w:val="00BA1F8E"/>
    <w:rsid w:val="00BA5398"/>
    <w:rsid w:val="00BA7A18"/>
    <w:rsid w:val="00BB1CFB"/>
    <w:rsid w:val="00BB3F6E"/>
    <w:rsid w:val="00BB4207"/>
    <w:rsid w:val="00BB4709"/>
    <w:rsid w:val="00BB769E"/>
    <w:rsid w:val="00BC558C"/>
    <w:rsid w:val="00BD56D4"/>
    <w:rsid w:val="00BE5263"/>
    <w:rsid w:val="00BE5725"/>
    <w:rsid w:val="00BF5D8A"/>
    <w:rsid w:val="00C044A5"/>
    <w:rsid w:val="00C053B0"/>
    <w:rsid w:val="00C0586B"/>
    <w:rsid w:val="00C23F14"/>
    <w:rsid w:val="00C24C75"/>
    <w:rsid w:val="00C346E3"/>
    <w:rsid w:val="00C355FD"/>
    <w:rsid w:val="00C35FF0"/>
    <w:rsid w:val="00C36870"/>
    <w:rsid w:val="00C3704A"/>
    <w:rsid w:val="00C46149"/>
    <w:rsid w:val="00C47B5E"/>
    <w:rsid w:val="00C52975"/>
    <w:rsid w:val="00C533FF"/>
    <w:rsid w:val="00C5471D"/>
    <w:rsid w:val="00C54A22"/>
    <w:rsid w:val="00C55C4B"/>
    <w:rsid w:val="00C61088"/>
    <w:rsid w:val="00C61809"/>
    <w:rsid w:val="00C6668B"/>
    <w:rsid w:val="00C72B91"/>
    <w:rsid w:val="00C75F21"/>
    <w:rsid w:val="00C765F7"/>
    <w:rsid w:val="00C84940"/>
    <w:rsid w:val="00C85696"/>
    <w:rsid w:val="00C86710"/>
    <w:rsid w:val="00C91AAD"/>
    <w:rsid w:val="00C952E4"/>
    <w:rsid w:val="00C973F7"/>
    <w:rsid w:val="00CA01F8"/>
    <w:rsid w:val="00CA18AE"/>
    <w:rsid w:val="00CB017A"/>
    <w:rsid w:val="00CB0F80"/>
    <w:rsid w:val="00CC0179"/>
    <w:rsid w:val="00CC21DF"/>
    <w:rsid w:val="00CC2C6C"/>
    <w:rsid w:val="00CC3749"/>
    <w:rsid w:val="00CC4A29"/>
    <w:rsid w:val="00CD25E8"/>
    <w:rsid w:val="00CD75DE"/>
    <w:rsid w:val="00CE1528"/>
    <w:rsid w:val="00CE44F4"/>
    <w:rsid w:val="00CE5EF4"/>
    <w:rsid w:val="00CF16E2"/>
    <w:rsid w:val="00CF4451"/>
    <w:rsid w:val="00CF47C5"/>
    <w:rsid w:val="00CF5985"/>
    <w:rsid w:val="00D03C00"/>
    <w:rsid w:val="00D12720"/>
    <w:rsid w:val="00D131A7"/>
    <w:rsid w:val="00D33570"/>
    <w:rsid w:val="00D4056F"/>
    <w:rsid w:val="00D41130"/>
    <w:rsid w:val="00D43181"/>
    <w:rsid w:val="00D50E66"/>
    <w:rsid w:val="00D5314B"/>
    <w:rsid w:val="00D55693"/>
    <w:rsid w:val="00D56052"/>
    <w:rsid w:val="00D575E0"/>
    <w:rsid w:val="00D62C05"/>
    <w:rsid w:val="00D645F8"/>
    <w:rsid w:val="00D70B11"/>
    <w:rsid w:val="00D72354"/>
    <w:rsid w:val="00D72631"/>
    <w:rsid w:val="00D74DEE"/>
    <w:rsid w:val="00D75796"/>
    <w:rsid w:val="00D77D25"/>
    <w:rsid w:val="00D77E91"/>
    <w:rsid w:val="00D80838"/>
    <w:rsid w:val="00D8746C"/>
    <w:rsid w:val="00D8785D"/>
    <w:rsid w:val="00D87C4A"/>
    <w:rsid w:val="00D926B8"/>
    <w:rsid w:val="00D96651"/>
    <w:rsid w:val="00D97BA9"/>
    <w:rsid w:val="00DA4909"/>
    <w:rsid w:val="00DA4C8A"/>
    <w:rsid w:val="00DA5275"/>
    <w:rsid w:val="00DA67EE"/>
    <w:rsid w:val="00DA722D"/>
    <w:rsid w:val="00DA7F0E"/>
    <w:rsid w:val="00DB1555"/>
    <w:rsid w:val="00DB407F"/>
    <w:rsid w:val="00DB7E8C"/>
    <w:rsid w:val="00DC1023"/>
    <w:rsid w:val="00DD4346"/>
    <w:rsid w:val="00DD75FD"/>
    <w:rsid w:val="00DE55D2"/>
    <w:rsid w:val="00DE7BF1"/>
    <w:rsid w:val="00DF0030"/>
    <w:rsid w:val="00DF4EFB"/>
    <w:rsid w:val="00DF55A9"/>
    <w:rsid w:val="00DF770E"/>
    <w:rsid w:val="00E05DAB"/>
    <w:rsid w:val="00E0673C"/>
    <w:rsid w:val="00E11701"/>
    <w:rsid w:val="00E11B90"/>
    <w:rsid w:val="00E155C2"/>
    <w:rsid w:val="00E17D5E"/>
    <w:rsid w:val="00E20FDB"/>
    <w:rsid w:val="00E225BC"/>
    <w:rsid w:val="00E22F5E"/>
    <w:rsid w:val="00E23283"/>
    <w:rsid w:val="00E2345E"/>
    <w:rsid w:val="00E26E8B"/>
    <w:rsid w:val="00E3114C"/>
    <w:rsid w:val="00E46FF2"/>
    <w:rsid w:val="00E4715D"/>
    <w:rsid w:val="00E4772B"/>
    <w:rsid w:val="00E51D48"/>
    <w:rsid w:val="00E54796"/>
    <w:rsid w:val="00E61590"/>
    <w:rsid w:val="00E62A53"/>
    <w:rsid w:val="00E75295"/>
    <w:rsid w:val="00E808DB"/>
    <w:rsid w:val="00E825C1"/>
    <w:rsid w:val="00E83DAE"/>
    <w:rsid w:val="00E86085"/>
    <w:rsid w:val="00E8731D"/>
    <w:rsid w:val="00E91466"/>
    <w:rsid w:val="00EA58BE"/>
    <w:rsid w:val="00EA5E94"/>
    <w:rsid w:val="00EA61AA"/>
    <w:rsid w:val="00EA754E"/>
    <w:rsid w:val="00EB0EA0"/>
    <w:rsid w:val="00EB382C"/>
    <w:rsid w:val="00EB4303"/>
    <w:rsid w:val="00EB6B75"/>
    <w:rsid w:val="00EC0554"/>
    <w:rsid w:val="00EC190D"/>
    <w:rsid w:val="00EC2559"/>
    <w:rsid w:val="00EC6455"/>
    <w:rsid w:val="00EE0881"/>
    <w:rsid w:val="00EE2480"/>
    <w:rsid w:val="00EE2A53"/>
    <w:rsid w:val="00EE4D22"/>
    <w:rsid w:val="00EF1237"/>
    <w:rsid w:val="00F02008"/>
    <w:rsid w:val="00F0474F"/>
    <w:rsid w:val="00F11638"/>
    <w:rsid w:val="00F11EC9"/>
    <w:rsid w:val="00F13735"/>
    <w:rsid w:val="00F205DF"/>
    <w:rsid w:val="00F256CC"/>
    <w:rsid w:val="00F27637"/>
    <w:rsid w:val="00F31455"/>
    <w:rsid w:val="00F33CAB"/>
    <w:rsid w:val="00F36D64"/>
    <w:rsid w:val="00F37560"/>
    <w:rsid w:val="00F40258"/>
    <w:rsid w:val="00F41C53"/>
    <w:rsid w:val="00F43FBC"/>
    <w:rsid w:val="00F463D9"/>
    <w:rsid w:val="00F50204"/>
    <w:rsid w:val="00F51B97"/>
    <w:rsid w:val="00F525CF"/>
    <w:rsid w:val="00F66545"/>
    <w:rsid w:val="00F67021"/>
    <w:rsid w:val="00F70BB4"/>
    <w:rsid w:val="00F73A7F"/>
    <w:rsid w:val="00F8259C"/>
    <w:rsid w:val="00F82C82"/>
    <w:rsid w:val="00F85562"/>
    <w:rsid w:val="00F87EAE"/>
    <w:rsid w:val="00F913D2"/>
    <w:rsid w:val="00F97F76"/>
    <w:rsid w:val="00FA0C07"/>
    <w:rsid w:val="00FA3F7A"/>
    <w:rsid w:val="00FA4A0D"/>
    <w:rsid w:val="00FB3370"/>
    <w:rsid w:val="00FB613E"/>
    <w:rsid w:val="00FC0AB3"/>
    <w:rsid w:val="00FC152A"/>
    <w:rsid w:val="00FC2854"/>
    <w:rsid w:val="00FC37B1"/>
    <w:rsid w:val="00FD2028"/>
    <w:rsid w:val="00FD216A"/>
    <w:rsid w:val="00FE18F8"/>
    <w:rsid w:val="00FF0E8C"/>
    <w:rsid w:val="00FF2468"/>
    <w:rsid w:val="00FF27E8"/>
    <w:rsid w:val="00FF3BEC"/>
    <w:rsid w:val="00FF75E8"/>
    <w:rsid w:val="0C35532B"/>
    <w:rsid w:val="126C1DFF"/>
    <w:rsid w:val="128B6C52"/>
    <w:rsid w:val="29EB6C36"/>
    <w:rsid w:val="2EBEDD59"/>
    <w:rsid w:val="3356F203"/>
    <w:rsid w:val="389CE752"/>
    <w:rsid w:val="3F52D1C1"/>
    <w:rsid w:val="41649477"/>
    <w:rsid w:val="46E8008E"/>
    <w:rsid w:val="4F7374C9"/>
    <w:rsid w:val="537FF910"/>
    <w:rsid w:val="5B105FB0"/>
    <w:rsid w:val="60FF877A"/>
    <w:rsid w:val="6CF59C0F"/>
    <w:rsid w:val="6F25FE29"/>
    <w:rsid w:val="7F3ED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CAC61"/>
  <w15:docId w15:val="{5ADFE940-939E-44C3-B51E-FDEA4145D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869D1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1"/>
      </w:numPr>
      <w:spacing w:before="200" w:after="0" w:line="240" w:lineRule="auto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A2F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Odstavec cíl se seznamem,Odstavec se seznamem5,Odstavec_muj,Odrážky,Barevný seznam – zvýraznění 11,Odstavec se seznamem1,List Paragraph compact,Normal bullet 2,Paragraphe de liste 2,Reference list,Bullet list,Numbered List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3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869D1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5E4C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97798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E51D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Barevný seznam – zvýraznění 11 Char,Odstavec se seznamem1 Char,List Paragraph compact Char,Normal bullet 2 Char,Bullet list Char"/>
    <w:basedOn w:val="Standardnpsmoodstavce"/>
    <w:link w:val="Odstavecseseznamem"/>
    <w:uiPriority w:val="34"/>
    <w:qFormat/>
    <w:locked/>
    <w:rsid w:val="00781B5C"/>
  </w:style>
  <w:style w:type="paragraph" w:styleId="Nadpisobsahu">
    <w:name w:val="TOC Heading"/>
    <w:basedOn w:val="Nadpis1"/>
    <w:next w:val="Normln"/>
    <w:uiPriority w:val="39"/>
    <w:unhideWhenUsed/>
    <w:qFormat/>
    <w:rsid w:val="005F01E8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F0FD9"/>
    <w:pPr>
      <w:tabs>
        <w:tab w:val="left" w:pos="709"/>
        <w:tab w:val="right" w:leader="dot" w:pos="9062"/>
      </w:tabs>
      <w:spacing w:after="100"/>
    </w:pPr>
  </w:style>
  <w:style w:type="paragraph" w:styleId="Bezmezer">
    <w:name w:val="No Spacing"/>
    <w:link w:val="BezmezerChar"/>
    <w:uiPriority w:val="1"/>
    <w:qFormat/>
    <w:rsid w:val="00302C7F"/>
    <w:pPr>
      <w:spacing w:before="40" w:after="40" w:line="240" w:lineRule="auto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"/>
    <w:rsid w:val="00302C7F"/>
    <w:rPr>
      <w:rFonts w:ascii="Arial" w:hAnsi="Arial"/>
      <w:sz w:val="20"/>
    </w:rPr>
  </w:style>
  <w:style w:type="paragraph" w:styleId="Revize">
    <w:name w:val="Revision"/>
    <w:hidden/>
    <w:uiPriority w:val="99"/>
    <w:semiHidden/>
    <w:rsid w:val="00481AF3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rsid w:val="002A2FE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EC6455"/>
    <w:rPr>
      <w:color w:val="605E5C"/>
      <w:shd w:val="clear" w:color="auto" w:fill="E1DFDD"/>
    </w:rPr>
  </w:style>
  <w:style w:type="paragraph" w:customStyle="1" w:styleId="paragraph">
    <w:name w:val="paragraph"/>
    <w:basedOn w:val="Normln"/>
    <w:rsid w:val="00B02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B028A3"/>
  </w:style>
  <w:style w:type="character" w:customStyle="1" w:styleId="eop">
    <w:name w:val="eop"/>
    <w:basedOn w:val="Standardnpsmoodstavce"/>
    <w:rsid w:val="00B028A3"/>
  </w:style>
  <w:style w:type="character" w:customStyle="1" w:styleId="cf01">
    <w:name w:val="cf01"/>
    <w:basedOn w:val="Standardnpsmoodstavce"/>
    <w:rsid w:val="0086419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0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241">
          <w:marLeft w:val="547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1750B6EC1F2B40819987233751261C" ma:contentTypeVersion="5" ma:contentTypeDescription="Vytvoří nový dokument" ma:contentTypeScope="" ma:versionID="7c60f5ce7e7f16f24d40bb8314c9f8b4">
  <xsd:schema xmlns:xsd="http://www.w3.org/2001/XMLSchema" xmlns:xs="http://www.w3.org/2001/XMLSchema" xmlns:p="http://schemas.microsoft.com/office/2006/metadata/properties" xmlns:ns2="5b50ccbe-8a56-40d6-860b-7f3cb9507b6c" xmlns:ns3="8001a9ee-79c3-425e-99ad-5b699f96342e" targetNamespace="http://schemas.microsoft.com/office/2006/metadata/properties" ma:root="true" ma:fieldsID="0fa16387f3f408130fdf3f1ca3e1eded" ns2:_="" ns3:_="">
    <xsd:import namespace="5b50ccbe-8a56-40d6-860b-7f3cb9507b6c"/>
    <xsd:import namespace="8001a9ee-79c3-425e-99ad-5b699f9634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0ccbe-8a56-40d6-860b-7f3cb9507b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1a9ee-79c3-425e-99ad-5b699f96342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A3FD9F-2180-4B6F-9637-D459097A8A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737A73B-5AD9-4992-A7A3-54D38D31DA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71AB48-0E33-491C-8BBF-B467C6EBA0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27E6EA-1E09-4759-9003-45CBC04D70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50ccbe-8a56-40d6-860b-7f3cb9507b6c"/>
    <ds:schemaRef ds:uri="8001a9ee-79c3-425e-99ad-5b699f9634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1967</Words>
  <Characters>11610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Tomášek</dc:creator>
  <cp:keywords/>
  <cp:lastModifiedBy>Janská Kvetoslava</cp:lastModifiedBy>
  <cp:revision>8</cp:revision>
  <cp:lastPrinted>2016-04-29T19:17:00Z</cp:lastPrinted>
  <dcterms:created xsi:type="dcterms:W3CDTF">2023-10-30T15:06:00Z</dcterms:created>
  <dcterms:modified xsi:type="dcterms:W3CDTF">2024-02-06T16:05:00Z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0x0101007E1750B6EC1F2B40819987233751261C</vt:lpwstr>
  </property>
  <property fmtid="{D5CDD505-2E9C-101B-9397-08002B2CF9AE}" pid="3" name="MediaServiceImageTags">
    <vt:lpwstr/>
  </property>
</Properties>
</file>