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26E2" w14:textId="4138A4FC" w:rsidR="2A632781" w:rsidRDefault="2A632781" w:rsidP="007F413B">
      <w:pPr>
        <w:pStyle w:val="paragraph"/>
        <w:spacing w:before="0" w:beforeAutospacing="0" w:after="0" w:afterAutospacing="0"/>
        <w:rPr>
          <w:sz w:val="40"/>
          <w:szCs w:val="40"/>
        </w:rPr>
      </w:pPr>
    </w:p>
    <w:p w14:paraId="351E38BB" w14:textId="77777777" w:rsidR="000241A4" w:rsidRPr="000241A4" w:rsidRDefault="000241A4" w:rsidP="2A632781">
      <w:pPr>
        <w:pStyle w:val="paragraph"/>
        <w:spacing w:before="0" w:beforeAutospacing="0" w:after="0" w:afterAutospacing="0"/>
        <w:jc w:val="center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</w:p>
    <w:p w14:paraId="093A2A25" w14:textId="7777777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6E7BEAA2" w14:textId="637327F6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63E4A9CD" w14:textId="62BE213E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2F27EAFC" w14:textId="6C968FA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6711FCCA" w14:textId="381BCCCA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D8C4171" w14:textId="2A8C779D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E03768E" w14:textId="77777777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09AF38FC" w14:textId="40FDC6BD" w:rsidR="00344FF8" w:rsidRDefault="00344FF8" w:rsidP="000241A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77193017" w14:textId="36F214CE" w:rsidR="00344FF8" w:rsidRPr="00444C90" w:rsidRDefault="00344FF8" w:rsidP="00444C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9122E1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6</w:t>
      </w:r>
    </w:p>
    <w:p w14:paraId="01512BE8" w14:textId="53D0F3E3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</w:pPr>
    </w:p>
    <w:p w14:paraId="2D6A6ADC" w14:textId="77777777" w:rsidR="00444C90" w:rsidRDefault="00444C90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6428347C" w14:textId="77777777" w:rsidR="00344FF8" w:rsidRPr="00D71CAE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D71CAE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Dokladování způsobilých výdajů</w:t>
      </w:r>
    </w:p>
    <w:p w14:paraId="5DAB6C7B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2EB378F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D0B940D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E27B00A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60061E4C" w14:textId="330E2689" w:rsid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40E91589" w14:textId="48EBF259" w:rsidR="000241A4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1EBD2869" w14:textId="77777777" w:rsidR="000241A4" w:rsidRPr="00344FF8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20682FF7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4EB0B82E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254D2F2" w14:textId="77B0C4B3" w:rsidR="00344FF8" w:rsidRPr="00444C90" w:rsidRDefault="00344FF8" w:rsidP="2A020F75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8"/>
          <w:szCs w:val="28"/>
        </w:rPr>
      </w:pPr>
      <w:r w:rsidRPr="2A020F75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</w:t>
      </w:r>
      <w:r w:rsidRPr="00444C90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latnost</w:t>
      </w:r>
      <w:r w:rsidRPr="00444C9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D71CA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3</w:t>
      </w:r>
      <w:r w:rsidR="001A02A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D71CA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1A02A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5</w:t>
      </w:r>
      <w:r w:rsidR="00D71CA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 2023</w:t>
      </w:r>
    </w:p>
    <w:p w14:paraId="3DEEC669" w14:textId="629D6CB8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  <w:r w:rsidRPr="27533703">
        <w:rPr>
          <w:rStyle w:val="eop"/>
          <w:rFonts w:ascii="Cambria" w:hAnsi="Cambria" w:cs="Segoe UI"/>
          <w:sz w:val="32"/>
          <w:szCs w:val="32"/>
        </w:rPr>
        <w:br w:type="page"/>
      </w:r>
    </w:p>
    <w:p w14:paraId="0AF7744F" w14:textId="641CF0C6" w:rsidR="27533703" w:rsidRDefault="27533703" w:rsidP="27533703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517A2E05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lastRenderedPageBreak/>
        <w:t>Způsobilé výdaje</w:t>
      </w:r>
    </w:p>
    <w:p w14:paraId="6AB7181F" w14:textId="1A41C802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vynaloženy v souladu s cíli NPO, </w:t>
      </w:r>
    </w:p>
    <w:p w14:paraId="1F0303FC" w14:textId="34661780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přímo souviset </w:t>
      </w:r>
      <w:r w:rsidR="00D71CAE">
        <w:rPr>
          <w:rFonts w:ascii="Arial" w:eastAsia="Arial" w:hAnsi="Arial" w:cs="Arial"/>
        </w:rPr>
        <w:t xml:space="preserve">s podporovaným </w:t>
      </w:r>
      <w:r w:rsidRPr="517A2E05">
        <w:rPr>
          <w:rFonts w:ascii="Arial" w:eastAsia="Arial" w:hAnsi="Arial" w:cs="Arial"/>
        </w:rPr>
        <w:t xml:space="preserve">projektu, </w:t>
      </w:r>
    </w:p>
    <w:p w14:paraId="717F297A" w14:textId="41E4B43E" w:rsidR="517A2E05" w:rsidRPr="006A6066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vzniknout a být vynaloženy v období od 1. </w:t>
      </w:r>
      <w:r w:rsidR="00D71CAE">
        <w:rPr>
          <w:rFonts w:ascii="Arial" w:eastAsia="Arial" w:hAnsi="Arial" w:cs="Arial"/>
        </w:rPr>
        <w:t>1</w:t>
      </w:r>
      <w:r w:rsidRPr="517A2E05">
        <w:rPr>
          <w:rFonts w:ascii="Arial" w:eastAsia="Arial" w:hAnsi="Arial" w:cs="Arial"/>
        </w:rPr>
        <w:t>. 202</w:t>
      </w:r>
      <w:r w:rsidR="00D71CAE">
        <w:rPr>
          <w:rFonts w:ascii="Arial" w:eastAsia="Arial" w:hAnsi="Arial" w:cs="Arial"/>
        </w:rPr>
        <w:t>2</w:t>
      </w:r>
      <w:r w:rsidRPr="517A2E05">
        <w:rPr>
          <w:rFonts w:ascii="Arial" w:eastAsia="Arial" w:hAnsi="Arial" w:cs="Arial"/>
        </w:rPr>
        <w:t xml:space="preserve"> do data ukončení realizace projektu podle </w:t>
      </w:r>
      <w:r w:rsidR="001A02AE">
        <w:rPr>
          <w:rFonts w:ascii="Arial" w:eastAsia="Arial" w:hAnsi="Arial" w:cs="Arial"/>
        </w:rPr>
        <w:t>právního aktu (Stanovení výdajů)</w:t>
      </w:r>
      <w:r w:rsidRPr="517A2E05">
        <w:rPr>
          <w:rFonts w:ascii="Arial" w:eastAsia="Arial" w:hAnsi="Arial" w:cs="Arial"/>
        </w:rPr>
        <w:t xml:space="preserve">, </w:t>
      </w:r>
    </w:p>
    <w:p w14:paraId="63BFBC0B" w14:textId="20304D28" w:rsidR="003D4D73" w:rsidRDefault="00A176DD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>
        <w:rPr>
          <w:rFonts w:ascii="Arial" w:eastAsia="Arial" w:hAnsi="Arial" w:cs="Arial"/>
        </w:rPr>
        <w:t xml:space="preserve">smlouva s dodavateli může být </w:t>
      </w:r>
      <w:r w:rsidR="00B11A2D">
        <w:rPr>
          <w:rFonts w:ascii="Arial" w:eastAsia="Arial" w:hAnsi="Arial" w:cs="Arial"/>
        </w:rPr>
        <w:t xml:space="preserve">uzavřená před 1. </w:t>
      </w:r>
      <w:r w:rsidR="00D71CAE">
        <w:rPr>
          <w:rFonts w:ascii="Arial" w:eastAsia="Arial" w:hAnsi="Arial" w:cs="Arial"/>
        </w:rPr>
        <w:t>1</w:t>
      </w:r>
      <w:r w:rsidR="00B11A2D">
        <w:rPr>
          <w:rFonts w:ascii="Arial" w:eastAsia="Arial" w:hAnsi="Arial" w:cs="Arial"/>
        </w:rPr>
        <w:t>. 202</w:t>
      </w:r>
      <w:r w:rsidR="00D71CAE">
        <w:rPr>
          <w:rFonts w:ascii="Arial" w:eastAsia="Arial" w:hAnsi="Arial" w:cs="Arial"/>
        </w:rPr>
        <w:t>2</w:t>
      </w:r>
      <w:r w:rsidR="00B11A2D">
        <w:rPr>
          <w:rFonts w:ascii="Arial" w:eastAsia="Arial" w:hAnsi="Arial" w:cs="Arial"/>
        </w:rPr>
        <w:t>,</w:t>
      </w:r>
    </w:p>
    <w:p w14:paraId="649302CA" w14:textId="2A5D7547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doloženy průkaznými doklady, viz Dokladování způsobilých výdajů projektu, </w:t>
      </w:r>
    </w:p>
    <w:p w14:paraId="6A3641C5" w14:textId="6D7A49CA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>nesmí přesáhnout výši výdajů uvedenou v každé jednotlivé smlouvě uzavřené s</w:t>
      </w:r>
      <w:r w:rsidR="00E73650">
        <w:rPr>
          <w:rFonts w:ascii="Arial" w:eastAsia="Arial" w:hAnsi="Arial" w:cs="Arial"/>
        </w:rPr>
        <w:t> </w:t>
      </w:r>
      <w:r w:rsidRPr="517A2E05">
        <w:rPr>
          <w:rFonts w:ascii="Arial" w:eastAsia="Arial" w:hAnsi="Arial" w:cs="Arial"/>
        </w:rPr>
        <w:t>dodavatelem, případně v jejích dodatcích.</w:t>
      </w:r>
    </w:p>
    <w:p w14:paraId="4ABA8CE0" w14:textId="76B23A15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391962A1">
        <w:rPr>
          <w:rStyle w:val="eop"/>
          <w:rFonts w:ascii="Arial" w:eastAsia="Arial" w:hAnsi="Arial" w:cs="Arial"/>
        </w:rPr>
        <w:t xml:space="preserve">Pokud není využíván výhradně pro projekt celý předmět financování, je k financování způsobilá </w:t>
      </w:r>
      <w:r w:rsidR="00E5123E">
        <w:rPr>
          <w:rStyle w:val="eop"/>
          <w:rFonts w:ascii="Arial" w:eastAsia="Arial" w:hAnsi="Arial" w:cs="Arial"/>
        </w:rPr>
        <w:t>jeho</w:t>
      </w:r>
      <w:r w:rsidRPr="391962A1">
        <w:rPr>
          <w:rStyle w:val="eop"/>
          <w:rFonts w:ascii="Arial" w:eastAsia="Arial" w:hAnsi="Arial" w:cs="Arial"/>
        </w:rPr>
        <w:t xml:space="preserve"> poměrná část. Příjemce je povinen doložit výpočet poměrné části pro projekt. </w:t>
      </w:r>
    </w:p>
    <w:p w14:paraId="03195AF0" w14:textId="4F32C880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Registr smluv</w:t>
      </w:r>
    </w:p>
    <w:p w14:paraId="7BECFE63" w14:textId="5092104F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V souvislosti s účinností zákona č. 340/2015 Sb., o zvláštních podmínkách účinnosti některých smluv, uveřejňování těchto smluv a o registru smluv (dále „ZRS“) jsou příjemci vymezení v §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2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ZRS povinni od 1. 7. 2017 zveřejnit smlouvu včetně smlouvy uzavřené akceptací objednávky nebo její dodatky v Registru smluv dostupném na https://smlouvy.gov.cz/.</w:t>
      </w:r>
    </w:p>
    <w:p w14:paraId="27268CEE" w14:textId="46C97868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Žadatel dokládá vložení příslušné smlouvy/objednávky do Registru smluv při nárokování výdajů z této objednávky uložením přesného a funkčního hypertextového odkazu do pole „Popis výdaje“ v soupisce dokladů (případně jiný údaj umožňující dohledání daného dokumentu, např. ID, které bylo přiděleno při uveřejnění příslušných podkladů v registru smluv).</w:t>
      </w:r>
    </w:p>
    <w:p w14:paraId="0E6F5D91" w14:textId="4815C5C0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Pokud nedojde ke zveřejnění dané smlouvy/objednávky/dodatku ve lhůtě stanovené ZRS, výdaje vzniklé na základě smlouvy/objednávky včetně její akceptace/dodatku mohou být považovány za nezpůsobilé.</w:t>
      </w:r>
    </w:p>
    <w:p w14:paraId="7635BB6A" w14:textId="199536AC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Dokladování způsobilých výdajů</w:t>
      </w:r>
    </w:p>
    <w:p w14:paraId="1F18EEB4" w14:textId="24E53A2B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0E7AEE2D">
        <w:rPr>
          <w:rStyle w:val="eop"/>
          <w:rFonts w:ascii="Arial" w:eastAsia="Arial" w:hAnsi="Arial" w:cs="Arial"/>
        </w:rPr>
        <w:t xml:space="preserve">Konkrétní výčet způsobilých a nezpůsobilých výdajů je uveden ve výzvě </w:t>
      </w:r>
      <w:r w:rsidR="00CE75DA">
        <w:rPr>
          <w:rStyle w:val="eop"/>
          <w:rFonts w:ascii="Arial" w:eastAsia="Arial" w:hAnsi="Arial" w:cs="Arial"/>
        </w:rPr>
        <w:t xml:space="preserve">č. 1 – </w:t>
      </w:r>
      <w:r w:rsidR="001A02AE">
        <w:rPr>
          <w:rStyle w:val="eop"/>
          <w:rFonts w:ascii="Arial" w:eastAsia="Arial" w:hAnsi="Arial" w:cs="Arial"/>
        </w:rPr>
        <w:t>Zavedení nového stavebního zákona do praxe</w:t>
      </w:r>
      <w:r w:rsidR="00CE75DA">
        <w:rPr>
          <w:rStyle w:val="eop"/>
          <w:rFonts w:ascii="Arial" w:eastAsia="Arial" w:hAnsi="Arial" w:cs="Arial"/>
        </w:rPr>
        <w:t>.</w:t>
      </w:r>
    </w:p>
    <w:p w14:paraId="178C0FBD" w14:textId="66D25D76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Příjemce je povinen doložit způsobilé výdaje příslušným účetním, daňovým či jiným dokladem, popřípadě další podpůrnou dokumentací. Výdaje, které nejsou řádně doložené, jsou považovány za nezpůsobilé.</w:t>
      </w:r>
    </w:p>
    <w:p w14:paraId="2F58620B" w14:textId="5D11E461" w:rsidR="00CB7BCC" w:rsidRDefault="00CB7BCC" w:rsidP="27533703">
      <w:pPr>
        <w:jc w:val="both"/>
        <w:rPr>
          <w:rStyle w:val="eop"/>
          <w:rFonts w:ascii="Arial" w:eastAsia="Arial" w:hAnsi="Arial" w:cs="Arial"/>
        </w:rPr>
      </w:pPr>
      <w:r>
        <w:rPr>
          <w:rStyle w:val="eop"/>
          <w:rFonts w:ascii="Arial" w:eastAsia="Arial" w:hAnsi="Arial" w:cs="Arial"/>
        </w:rPr>
        <w:t>Způsob dokladování:</w:t>
      </w:r>
    </w:p>
    <w:p w14:paraId="68E6CE01" w14:textId="04E62ADB" w:rsidR="00CB7BCC" w:rsidRPr="00344FF8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účetní/daňové doklady se zřejmou identifikací předmětu plnění pro posouzení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způsobilosti výdaje;  </w:t>
      </w:r>
    </w:p>
    <w:p w14:paraId="7979F153" w14:textId="0D06D0C7" w:rsidR="00CB7BCC" w:rsidRPr="00344FF8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 xml:space="preserve">pokud nelze posoudit způsobilost výdaje podle identifikace předmětu plnění, doložit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objednávku, dodací list, popř. předávací protokol;  </w:t>
      </w:r>
    </w:p>
    <w:p w14:paraId="2622F4A4" w14:textId="77777777" w:rsidR="00CB7BCC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doklad o zaplacení;  </w:t>
      </w:r>
    </w:p>
    <w:p w14:paraId="127335E2" w14:textId="47279D83" w:rsidR="00CB7BCC" w:rsidRPr="00CE75DA" w:rsidRDefault="00CB7BCC" w:rsidP="00CE75DA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Style w:val="eop"/>
          <w:rFonts w:ascii="Arial" w:eastAsia="Times New Roman" w:hAnsi="Arial" w:cs="Arial"/>
          <w:lang w:eastAsia="cs-CZ"/>
        </w:rPr>
      </w:pPr>
      <w:r w:rsidRPr="00CB7BCC">
        <w:rPr>
          <w:rFonts w:ascii="Arial" w:eastAsia="Times New Roman" w:hAnsi="Arial" w:cs="Arial"/>
          <w:color w:val="000000"/>
          <w:lang w:eastAsia="cs-CZ"/>
        </w:rPr>
        <w:t>smlouva (o dílo nebo kupní smlouva), případně její dodatky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0C552769" w14:textId="77777777" w:rsidR="00E73650" w:rsidRDefault="00E73650" w:rsidP="27533703">
      <w:pPr>
        <w:jc w:val="both"/>
        <w:rPr>
          <w:rStyle w:val="eop"/>
          <w:rFonts w:ascii="Arial" w:eastAsia="Arial" w:hAnsi="Arial" w:cs="Arial"/>
        </w:rPr>
      </w:pPr>
    </w:p>
    <w:p w14:paraId="0DCFE782" w14:textId="455CB63F" w:rsidR="2C7C3413" w:rsidRDefault="2C7C3413"/>
    <w:p w14:paraId="45FB0818" w14:textId="77777777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</w:p>
    <w:sectPr w:rsidR="00344FF8" w:rsidSect="00344FF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F579" w14:textId="77777777" w:rsidR="002F0E5D" w:rsidRDefault="002F0E5D" w:rsidP="00344FF8">
      <w:pPr>
        <w:spacing w:after="0" w:line="240" w:lineRule="auto"/>
      </w:pPr>
      <w:r>
        <w:separator/>
      </w:r>
    </w:p>
  </w:endnote>
  <w:endnote w:type="continuationSeparator" w:id="0">
    <w:p w14:paraId="010D7BE4" w14:textId="77777777" w:rsidR="002F0E5D" w:rsidRDefault="002F0E5D" w:rsidP="0034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605470"/>
      <w:docPartObj>
        <w:docPartGallery w:val="Page Numbers (Bottom of Page)"/>
        <w:docPartUnique/>
      </w:docPartObj>
    </w:sdtPr>
    <w:sdtEndPr/>
    <w:sdtContent>
      <w:p w14:paraId="0EB546F9" w14:textId="77777777" w:rsidR="00344FF8" w:rsidRDefault="00344F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F31CB" w14:textId="77777777" w:rsidR="00344FF8" w:rsidRDefault="00344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BBA0" w14:textId="2AF1519E" w:rsidR="00444C90" w:rsidRDefault="001A02AE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 w:rsidRPr="00225DE9">
      <w:rPr>
        <w:rFonts w:ascii="Calibri" w:hAnsi="Calibri" w:cs="Calibri"/>
        <w:b/>
        <w:bCs/>
        <w:color w:val="002060"/>
      </w:rPr>
      <w:t xml:space="preserve">PRŮBĚŽNÁ VÝZVA Č. </w:t>
    </w:r>
    <w:bookmarkEnd w:id="0"/>
    <w:bookmarkEnd w:id="1"/>
    <w:bookmarkEnd w:id="2"/>
    <w:bookmarkEnd w:id="3"/>
    <w:bookmarkEnd w:id="4"/>
    <w:bookmarkEnd w:id="5"/>
    <w:bookmarkEnd w:id="6"/>
    <w:bookmarkEnd w:id="7"/>
    <w:r w:rsidRPr="00225DE9">
      <w:rPr>
        <w:rFonts w:ascii="Calibri" w:hAnsi="Calibri" w:cs="Calibri"/>
        <w:b/>
        <w:bCs/>
        <w:color w:val="002060"/>
      </w:rPr>
      <w:t xml:space="preserve">1 – </w:t>
    </w:r>
    <w:r>
      <w:rPr>
        <w:rFonts w:ascii="Calibri" w:hAnsi="Calibri" w:cs="Calibri"/>
        <w:b/>
        <w:bCs/>
        <w:color w:val="002060"/>
      </w:rPr>
      <w:t>Zavedení nového stavebního zákona do praxe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C5D1" w14:textId="77777777" w:rsidR="002F0E5D" w:rsidRDefault="002F0E5D" w:rsidP="00344FF8">
      <w:pPr>
        <w:spacing w:after="0" w:line="240" w:lineRule="auto"/>
      </w:pPr>
      <w:r>
        <w:separator/>
      </w:r>
    </w:p>
  </w:footnote>
  <w:footnote w:type="continuationSeparator" w:id="0">
    <w:p w14:paraId="6681C97E" w14:textId="77777777" w:rsidR="002F0E5D" w:rsidRDefault="002F0E5D" w:rsidP="0034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0D81" w14:textId="76BF682C" w:rsidR="00444C90" w:rsidRDefault="00444C90">
    <w:pPr>
      <w:pStyle w:val="Zhlav"/>
    </w:pPr>
    <w:r>
      <w:rPr>
        <w:noProof/>
      </w:rPr>
      <w:drawing>
        <wp:inline distT="0" distB="0" distL="0" distR="0" wp14:anchorId="775E8210" wp14:editId="7FB094D9">
          <wp:extent cx="5753098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D5309C" w14:textId="77777777" w:rsidR="00444C90" w:rsidRDefault="00444C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C80"/>
    <w:multiLevelType w:val="multilevel"/>
    <w:tmpl w:val="FF6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44DD3"/>
    <w:multiLevelType w:val="multilevel"/>
    <w:tmpl w:val="94C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B2A67"/>
    <w:multiLevelType w:val="multilevel"/>
    <w:tmpl w:val="E6A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B870FA"/>
    <w:multiLevelType w:val="multilevel"/>
    <w:tmpl w:val="089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5005D0"/>
    <w:multiLevelType w:val="multilevel"/>
    <w:tmpl w:val="655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360296"/>
    <w:multiLevelType w:val="hybridMultilevel"/>
    <w:tmpl w:val="A4246A44"/>
    <w:lvl w:ilvl="0" w:tplc="0A8A98BE">
      <w:start w:val="1"/>
      <w:numFmt w:val="decimal"/>
      <w:lvlText w:val="%1."/>
      <w:lvlJc w:val="left"/>
      <w:pPr>
        <w:ind w:left="720" w:hanging="360"/>
      </w:pPr>
    </w:lvl>
    <w:lvl w:ilvl="1" w:tplc="150E1C0C">
      <w:start w:val="1"/>
      <w:numFmt w:val="lowerLetter"/>
      <w:lvlText w:val="%2."/>
      <w:lvlJc w:val="left"/>
      <w:pPr>
        <w:ind w:left="1440" w:hanging="360"/>
      </w:pPr>
    </w:lvl>
    <w:lvl w:ilvl="2" w:tplc="54CC7D22">
      <w:start w:val="1"/>
      <w:numFmt w:val="lowerRoman"/>
      <w:lvlText w:val="%3."/>
      <w:lvlJc w:val="right"/>
      <w:pPr>
        <w:ind w:left="2160" w:hanging="180"/>
      </w:pPr>
    </w:lvl>
    <w:lvl w:ilvl="3" w:tplc="F5125680">
      <w:start w:val="1"/>
      <w:numFmt w:val="decimal"/>
      <w:lvlText w:val="%4."/>
      <w:lvlJc w:val="left"/>
      <w:pPr>
        <w:ind w:left="2880" w:hanging="360"/>
      </w:pPr>
    </w:lvl>
    <w:lvl w:ilvl="4" w:tplc="DB48FE14">
      <w:start w:val="1"/>
      <w:numFmt w:val="lowerLetter"/>
      <w:lvlText w:val="%5."/>
      <w:lvlJc w:val="left"/>
      <w:pPr>
        <w:ind w:left="3600" w:hanging="360"/>
      </w:pPr>
    </w:lvl>
    <w:lvl w:ilvl="5" w:tplc="C9E85D98">
      <w:start w:val="1"/>
      <w:numFmt w:val="lowerRoman"/>
      <w:lvlText w:val="%6."/>
      <w:lvlJc w:val="right"/>
      <w:pPr>
        <w:ind w:left="4320" w:hanging="180"/>
      </w:pPr>
    </w:lvl>
    <w:lvl w:ilvl="6" w:tplc="F17E33E0">
      <w:start w:val="1"/>
      <w:numFmt w:val="decimal"/>
      <w:lvlText w:val="%7."/>
      <w:lvlJc w:val="left"/>
      <w:pPr>
        <w:ind w:left="5040" w:hanging="360"/>
      </w:pPr>
    </w:lvl>
    <w:lvl w:ilvl="7" w:tplc="A84CD944">
      <w:start w:val="1"/>
      <w:numFmt w:val="lowerLetter"/>
      <w:lvlText w:val="%8."/>
      <w:lvlJc w:val="left"/>
      <w:pPr>
        <w:ind w:left="5760" w:hanging="360"/>
      </w:pPr>
    </w:lvl>
    <w:lvl w:ilvl="8" w:tplc="C95457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79DE"/>
    <w:multiLevelType w:val="multilevel"/>
    <w:tmpl w:val="0CEE5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56C2C"/>
    <w:multiLevelType w:val="multilevel"/>
    <w:tmpl w:val="5DE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954072"/>
    <w:multiLevelType w:val="multilevel"/>
    <w:tmpl w:val="2FA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531750"/>
    <w:multiLevelType w:val="multilevel"/>
    <w:tmpl w:val="252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CB1AC4"/>
    <w:multiLevelType w:val="multilevel"/>
    <w:tmpl w:val="F1C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2809B5"/>
    <w:multiLevelType w:val="multilevel"/>
    <w:tmpl w:val="279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8440B0"/>
    <w:multiLevelType w:val="multilevel"/>
    <w:tmpl w:val="9D7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9321FB"/>
    <w:multiLevelType w:val="multilevel"/>
    <w:tmpl w:val="B07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7095336">
    <w:abstractNumId w:val="6"/>
  </w:num>
  <w:num w:numId="2" w16cid:durableId="2093508097">
    <w:abstractNumId w:val="5"/>
  </w:num>
  <w:num w:numId="3" w16cid:durableId="369452381">
    <w:abstractNumId w:val="9"/>
  </w:num>
  <w:num w:numId="4" w16cid:durableId="796796578">
    <w:abstractNumId w:val="1"/>
  </w:num>
  <w:num w:numId="5" w16cid:durableId="2017995280">
    <w:abstractNumId w:val="11"/>
  </w:num>
  <w:num w:numId="6" w16cid:durableId="1577739228">
    <w:abstractNumId w:val="10"/>
  </w:num>
  <w:num w:numId="7" w16cid:durableId="1304264580">
    <w:abstractNumId w:val="8"/>
  </w:num>
  <w:num w:numId="8" w16cid:durableId="568926295">
    <w:abstractNumId w:val="12"/>
  </w:num>
  <w:num w:numId="9" w16cid:durableId="416219945">
    <w:abstractNumId w:val="3"/>
  </w:num>
  <w:num w:numId="10" w16cid:durableId="903249525">
    <w:abstractNumId w:val="4"/>
  </w:num>
  <w:num w:numId="11" w16cid:durableId="1328896119">
    <w:abstractNumId w:val="7"/>
  </w:num>
  <w:num w:numId="12" w16cid:durableId="216867053">
    <w:abstractNumId w:val="13"/>
  </w:num>
  <w:num w:numId="13" w16cid:durableId="2032796854">
    <w:abstractNumId w:val="0"/>
  </w:num>
  <w:num w:numId="14" w16cid:durableId="151214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5E"/>
    <w:rsid w:val="000241A4"/>
    <w:rsid w:val="0007FFA0"/>
    <w:rsid w:val="00197E5E"/>
    <w:rsid w:val="001A02AE"/>
    <w:rsid w:val="001A604E"/>
    <w:rsid w:val="00274BAD"/>
    <w:rsid w:val="002D3797"/>
    <w:rsid w:val="002E6E14"/>
    <w:rsid w:val="002F0E5D"/>
    <w:rsid w:val="00324947"/>
    <w:rsid w:val="00344FF8"/>
    <w:rsid w:val="003735DC"/>
    <w:rsid w:val="003D4D73"/>
    <w:rsid w:val="00443212"/>
    <w:rsid w:val="00444C90"/>
    <w:rsid w:val="005307D5"/>
    <w:rsid w:val="005E3ED2"/>
    <w:rsid w:val="006832F5"/>
    <w:rsid w:val="006A6066"/>
    <w:rsid w:val="00707CF9"/>
    <w:rsid w:val="007F413B"/>
    <w:rsid w:val="00872F0C"/>
    <w:rsid w:val="009122E1"/>
    <w:rsid w:val="00984071"/>
    <w:rsid w:val="00A176DD"/>
    <w:rsid w:val="00B11A2D"/>
    <w:rsid w:val="00C503D3"/>
    <w:rsid w:val="00CB7BCC"/>
    <w:rsid w:val="00CE75DA"/>
    <w:rsid w:val="00D71CAE"/>
    <w:rsid w:val="00D75B42"/>
    <w:rsid w:val="00E5123E"/>
    <w:rsid w:val="00E6358B"/>
    <w:rsid w:val="00E66761"/>
    <w:rsid w:val="00E73650"/>
    <w:rsid w:val="00F9411B"/>
    <w:rsid w:val="074FBF0C"/>
    <w:rsid w:val="0BD72E33"/>
    <w:rsid w:val="0E7AEE2D"/>
    <w:rsid w:val="158387EF"/>
    <w:rsid w:val="1B40C83C"/>
    <w:rsid w:val="23A7DB68"/>
    <w:rsid w:val="26307E50"/>
    <w:rsid w:val="27533703"/>
    <w:rsid w:val="2A020F75"/>
    <w:rsid w:val="2A632781"/>
    <w:rsid w:val="2C7C3413"/>
    <w:rsid w:val="2EF0825C"/>
    <w:rsid w:val="3389AC9D"/>
    <w:rsid w:val="391962A1"/>
    <w:rsid w:val="3ECACBAD"/>
    <w:rsid w:val="47426BCC"/>
    <w:rsid w:val="4EA60CB5"/>
    <w:rsid w:val="517A2E05"/>
    <w:rsid w:val="5208E8F9"/>
    <w:rsid w:val="5B4FF8D2"/>
    <w:rsid w:val="5DE55F27"/>
    <w:rsid w:val="61E66E1F"/>
    <w:rsid w:val="68D5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1F8F"/>
  <w15:chartTrackingRefBased/>
  <w15:docId w15:val="{AED43DF4-E00A-4740-BA13-4F125423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4FF8"/>
  </w:style>
  <w:style w:type="character" w:customStyle="1" w:styleId="eop">
    <w:name w:val="eop"/>
    <w:basedOn w:val="Standardnpsmoodstavce"/>
    <w:rsid w:val="00344FF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4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4FF8"/>
    <w:rPr>
      <w:vertAlign w:val="superscript"/>
    </w:rPr>
  </w:style>
  <w:style w:type="character" w:customStyle="1" w:styleId="spellingerror">
    <w:name w:val="spellingerror"/>
    <w:basedOn w:val="Standardnpsmoodstavce"/>
    <w:rsid w:val="00344FF8"/>
  </w:style>
  <w:style w:type="character" w:customStyle="1" w:styleId="contextualspellingandgrammarerror">
    <w:name w:val="contextualspellingandgrammarerror"/>
    <w:basedOn w:val="Standardnpsmoodstavce"/>
    <w:rsid w:val="00344FF8"/>
  </w:style>
  <w:style w:type="paragraph" w:styleId="Zhlav">
    <w:name w:val="header"/>
    <w:basedOn w:val="Normln"/>
    <w:link w:val="Zhlav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FF8"/>
  </w:style>
  <w:style w:type="paragraph" w:styleId="Zpat">
    <w:name w:val="footer"/>
    <w:basedOn w:val="Normln"/>
    <w:link w:val="Zpat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FF8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E5123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07C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7C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7C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C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C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DA8DA4-31E0-401D-84E6-20140D22A95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19ef65a2-88e9-475f-bf96-61b671500c4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D347C80-F8E7-4CEF-B278-50BC0E4E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83AEF5-F393-499D-9BB8-004788BE10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C5EFD4-7026-400E-A853-012E8D63EC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Bálek Lukáš</cp:lastModifiedBy>
  <cp:revision>5</cp:revision>
  <dcterms:created xsi:type="dcterms:W3CDTF">2022-12-19T13:35:00Z</dcterms:created>
  <dcterms:modified xsi:type="dcterms:W3CDTF">2023-05-30T15:22:00Z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