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70" w:rsidRDefault="00C32370" w:rsidP="00317198">
      <w:pPr>
        <w:jc w:val="center"/>
        <w:rPr>
          <w:rFonts w:ascii="Arial" w:hAnsi="Arial" w:cs="Arial"/>
          <w:b/>
          <w:sz w:val="28"/>
          <w:szCs w:val="28"/>
        </w:rPr>
      </w:pPr>
    </w:p>
    <w:p w:rsidR="001F5539" w:rsidRDefault="001F5539" w:rsidP="001F553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5D0E6A" w:rsidRDefault="005D0E6A" w:rsidP="001F553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28. března 2019 byly zveřejněny</w:t>
      </w:r>
      <w:r w:rsidR="00FA7691">
        <w:rPr>
          <w:rFonts w:ascii="Arial" w:hAnsi="Arial" w:cs="Arial"/>
          <w:b/>
          <w:color w:val="365F91" w:themeColor="accent1" w:themeShade="BF"/>
          <w:sz w:val="28"/>
          <w:szCs w:val="28"/>
        </w:rPr>
        <w:t> 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výsledky </w:t>
      </w:r>
    </w:p>
    <w:p w:rsidR="005D0E6A" w:rsidRDefault="005D0E6A" w:rsidP="001F553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Satelitního účtu cestovního ruchu České republiky </w:t>
      </w:r>
    </w:p>
    <w:p w:rsidR="001F5539" w:rsidRPr="001F5539" w:rsidRDefault="005D0E6A" w:rsidP="001F553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 Modulu zaměstnanosti za rok 2017</w:t>
      </w:r>
    </w:p>
    <w:p w:rsidR="00C32370" w:rsidRDefault="00C32370" w:rsidP="00B44540">
      <w:pPr>
        <w:pStyle w:val="Zhlavzprvy"/>
        <w:jc w:val="both"/>
        <w:rPr>
          <w:rFonts w:ascii="Arial" w:hAnsi="Arial"/>
          <w:sz w:val="20"/>
        </w:rPr>
      </w:pPr>
    </w:p>
    <w:p w:rsidR="000F5742" w:rsidRDefault="005D0E6A" w:rsidP="000B06CB">
      <w:pPr>
        <w:pStyle w:val="Zhlavzprvy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přelomu února a března 2019 </w:t>
      </w:r>
      <w:r w:rsidR="000B06CB" w:rsidRPr="000B06CB">
        <w:rPr>
          <w:rFonts w:ascii="Arial" w:hAnsi="Arial"/>
          <w:sz w:val="20"/>
        </w:rPr>
        <w:t>zveřejnil ČSÚ aktuální údaje o vývoji Satelitního účtu cestovního ruchu ČR (TSA) za rok 201</w:t>
      </w:r>
      <w:r>
        <w:rPr>
          <w:rFonts w:ascii="Arial" w:hAnsi="Arial"/>
          <w:sz w:val="20"/>
        </w:rPr>
        <w:t>7</w:t>
      </w:r>
      <w:r w:rsidR="000B06CB" w:rsidRPr="000B06CB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t xml:space="preserve">s ním úzce spjatého </w:t>
      </w:r>
      <w:r w:rsidR="000B06CB" w:rsidRPr="000B06CB">
        <w:rPr>
          <w:rFonts w:ascii="Arial" w:hAnsi="Arial"/>
          <w:sz w:val="20"/>
        </w:rPr>
        <w:t xml:space="preserve">Modulu zaměstnanosti. </w:t>
      </w:r>
      <w:r w:rsidR="000F5742">
        <w:rPr>
          <w:rFonts w:ascii="Arial" w:hAnsi="Arial"/>
          <w:sz w:val="20"/>
        </w:rPr>
        <w:t>Dle</w:t>
      </w:r>
      <w:r w:rsidR="00123EE0">
        <w:rPr>
          <w:rFonts w:ascii="Arial" w:hAnsi="Arial"/>
          <w:sz w:val="20"/>
        </w:rPr>
        <w:t> </w:t>
      </w:r>
      <w:r w:rsidR="000F5742">
        <w:rPr>
          <w:rFonts w:ascii="Arial" w:hAnsi="Arial"/>
          <w:sz w:val="20"/>
        </w:rPr>
        <w:t xml:space="preserve">údajů TSA </w:t>
      </w:r>
      <w:r w:rsidRPr="005D0E6A">
        <w:rPr>
          <w:rFonts w:ascii="Arial" w:hAnsi="Arial"/>
          <w:sz w:val="20"/>
        </w:rPr>
        <w:t xml:space="preserve">navštívilo </w:t>
      </w:r>
      <w:r w:rsidR="000F5742">
        <w:rPr>
          <w:rFonts w:ascii="Arial" w:hAnsi="Arial"/>
          <w:sz w:val="20"/>
        </w:rPr>
        <w:t xml:space="preserve">v roce 2017 </w:t>
      </w:r>
      <w:r w:rsidRPr="005D0E6A">
        <w:rPr>
          <w:rFonts w:ascii="Arial" w:hAnsi="Arial"/>
          <w:sz w:val="20"/>
        </w:rPr>
        <w:t xml:space="preserve">Českou republiku 34,7 milionu zahraničních návštěvníků. </w:t>
      </w:r>
    </w:p>
    <w:p w:rsidR="000F5742" w:rsidRDefault="000F5742" w:rsidP="000B06CB">
      <w:pPr>
        <w:pStyle w:val="Zhlavzprvy"/>
        <w:jc w:val="both"/>
        <w:rPr>
          <w:rFonts w:ascii="Arial" w:hAnsi="Arial"/>
          <w:sz w:val="20"/>
        </w:rPr>
      </w:pPr>
    </w:p>
    <w:p w:rsidR="00C55DFB" w:rsidRPr="00C55DFB" w:rsidRDefault="000F5742" w:rsidP="000B06CB">
      <w:pPr>
        <w:pStyle w:val="Zhlavzprvy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Jedná se o souhrn </w:t>
      </w:r>
      <w:r w:rsidR="00002609">
        <w:rPr>
          <w:rFonts w:ascii="Arial" w:hAnsi="Arial"/>
          <w:b w:val="0"/>
          <w:sz w:val="20"/>
        </w:rPr>
        <w:t xml:space="preserve">zahraničních turistů ubytovaných v hromadném i individuálním ubytování, zahraničních jednodenních návštěvníků a tranzitujících. </w:t>
      </w:r>
      <w:r w:rsidR="00FD4106">
        <w:rPr>
          <w:rFonts w:ascii="Arial" w:hAnsi="Arial"/>
          <w:b w:val="0"/>
          <w:sz w:val="20"/>
        </w:rPr>
        <w:t xml:space="preserve">Odhaduje se, že příjezdový cestovní ruch tvořený </w:t>
      </w:r>
      <w:r w:rsidR="00FD4106" w:rsidRPr="00123EE0">
        <w:rPr>
          <w:rFonts w:ascii="Arial" w:hAnsi="Arial"/>
          <w:sz w:val="20"/>
        </w:rPr>
        <w:t>zahraničním návštěvníky v roce 2017 generoval 165 mld. Kč</w:t>
      </w:r>
      <w:r w:rsidR="00FD4106">
        <w:rPr>
          <w:rFonts w:ascii="Arial" w:hAnsi="Arial"/>
          <w:b w:val="0"/>
          <w:sz w:val="20"/>
        </w:rPr>
        <w:t xml:space="preserve">, což </w:t>
      </w:r>
      <w:r w:rsidR="00CE508B">
        <w:rPr>
          <w:rFonts w:ascii="Arial" w:hAnsi="Arial"/>
          <w:b w:val="0"/>
          <w:sz w:val="20"/>
        </w:rPr>
        <w:t>činilo</w:t>
      </w:r>
      <w:r w:rsidR="00FD4106">
        <w:rPr>
          <w:rFonts w:ascii="Arial" w:hAnsi="Arial"/>
          <w:b w:val="0"/>
          <w:sz w:val="20"/>
        </w:rPr>
        <w:t xml:space="preserve"> 56 % celkových výdajů na cestovní ruch. Zbylých téměř </w:t>
      </w:r>
      <w:r w:rsidR="00FD4106" w:rsidRPr="00123EE0">
        <w:rPr>
          <w:rFonts w:ascii="Arial" w:hAnsi="Arial"/>
          <w:sz w:val="20"/>
        </w:rPr>
        <w:t>128 mld. Kč</w:t>
      </w:r>
      <w:r w:rsidR="00FD4106">
        <w:rPr>
          <w:rFonts w:ascii="Arial" w:hAnsi="Arial"/>
          <w:b w:val="0"/>
          <w:sz w:val="20"/>
        </w:rPr>
        <w:t>, re</w:t>
      </w:r>
      <w:r w:rsidR="00CE508B">
        <w:rPr>
          <w:rFonts w:ascii="Arial" w:hAnsi="Arial"/>
          <w:b w:val="0"/>
          <w:sz w:val="20"/>
        </w:rPr>
        <w:t>sp. 44 % </w:t>
      </w:r>
      <w:r w:rsidR="00C55DFB">
        <w:rPr>
          <w:rFonts w:ascii="Arial" w:hAnsi="Arial"/>
          <w:b w:val="0"/>
          <w:sz w:val="20"/>
        </w:rPr>
        <w:t>finančních prostředků</w:t>
      </w:r>
      <w:r w:rsidR="00CE508B">
        <w:rPr>
          <w:rFonts w:ascii="Arial" w:hAnsi="Arial"/>
          <w:b w:val="0"/>
          <w:sz w:val="20"/>
        </w:rPr>
        <w:t xml:space="preserve">, </w:t>
      </w:r>
      <w:r w:rsidR="00C55DFB">
        <w:rPr>
          <w:rFonts w:ascii="Arial" w:hAnsi="Arial"/>
          <w:b w:val="0"/>
          <w:sz w:val="20"/>
        </w:rPr>
        <w:t xml:space="preserve">bylo vydáno v rámci </w:t>
      </w:r>
      <w:r w:rsidR="00C55DFB" w:rsidRPr="00123EE0">
        <w:rPr>
          <w:rFonts w:ascii="Arial" w:hAnsi="Arial"/>
          <w:sz w:val="20"/>
        </w:rPr>
        <w:t>tuzemského cestovního ruchu</w:t>
      </w:r>
      <w:r w:rsidR="00C55DFB">
        <w:rPr>
          <w:rFonts w:ascii="Arial" w:hAnsi="Arial"/>
          <w:b w:val="0"/>
          <w:sz w:val="20"/>
        </w:rPr>
        <w:t xml:space="preserve">. Ten zahrnuje domácí </w:t>
      </w:r>
      <w:r w:rsidR="00CE508B">
        <w:rPr>
          <w:rFonts w:ascii="Arial" w:hAnsi="Arial"/>
          <w:b w:val="0"/>
          <w:sz w:val="20"/>
        </w:rPr>
        <w:t>turisty a </w:t>
      </w:r>
      <w:r w:rsidR="00123EE0">
        <w:rPr>
          <w:rFonts w:ascii="Arial" w:hAnsi="Arial"/>
          <w:b w:val="0"/>
          <w:sz w:val="20"/>
        </w:rPr>
        <w:t xml:space="preserve">domácí </w:t>
      </w:r>
      <w:r w:rsidR="00C55DFB">
        <w:rPr>
          <w:rFonts w:ascii="Arial" w:hAnsi="Arial"/>
          <w:b w:val="0"/>
          <w:sz w:val="20"/>
        </w:rPr>
        <w:t>jednodenní návštěvníky.</w:t>
      </w:r>
      <w:r w:rsidR="00F17E7A">
        <w:rPr>
          <w:rFonts w:ascii="Arial" w:hAnsi="Arial"/>
          <w:b w:val="0"/>
          <w:sz w:val="20"/>
        </w:rPr>
        <w:t xml:space="preserve"> Odhadem tedy odvětví cestovního ruchu přispělo ekonomice</w:t>
      </w:r>
      <w:r w:rsidR="00CE508B">
        <w:rPr>
          <w:rFonts w:ascii="Arial" w:hAnsi="Arial"/>
          <w:b w:val="0"/>
          <w:sz w:val="20"/>
        </w:rPr>
        <w:t xml:space="preserve"> celkem 292 miliardami Kč.</w:t>
      </w:r>
      <w:r w:rsidR="00F17E7A">
        <w:rPr>
          <w:rFonts w:ascii="Arial" w:hAnsi="Arial"/>
          <w:b w:val="0"/>
          <w:sz w:val="20"/>
        </w:rPr>
        <w:t xml:space="preserve"> </w:t>
      </w:r>
    </w:p>
    <w:p w:rsidR="000F5742" w:rsidRDefault="000F5742" w:rsidP="000B06CB">
      <w:pPr>
        <w:pStyle w:val="Zhlavzprvy"/>
        <w:jc w:val="both"/>
        <w:rPr>
          <w:rFonts w:ascii="Arial" w:hAnsi="Arial"/>
          <w:sz w:val="20"/>
        </w:rPr>
      </w:pPr>
    </w:p>
    <w:p w:rsidR="000F5742" w:rsidRDefault="00C55DFB" w:rsidP="000B06CB">
      <w:pPr>
        <w:pStyle w:val="Zhlavzprvy"/>
        <w:jc w:val="both"/>
        <w:rPr>
          <w:rFonts w:ascii="Arial" w:hAnsi="Arial"/>
          <w:b w:val="0"/>
          <w:sz w:val="20"/>
        </w:rPr>
      </w:pPr>
      <w:r w:rsidRPr="00123EE0">
        <w:rPr>
          <w:rFonts w:ascii="Arial" w:hAnsi="Arial"/>
          <w:sz w:val="20"/>
        </w:rPr>
        <w:t>Rezidenti</w:t>
      </w:r>
      <w:r w:rsidRPr="001866A2">
        <w:rPr>
          <w:rFonts w:ascii="Arial" w:hAnsi="Arial"/>
          <w:b w:val="0"/>
          <w:sz w:val="20"/>
        </w:rPr>
        <w:t xml:space="preserve"> </w:t>
      </w:r>
      <w:r w:rsidR="001866A2" w:rsidRPr="001866A2">
        <w:rPr>
          <w:rFonts w:ascii="Arial" w:hAnsi="Arial"/>
          <w:b w:val="0"/>
          <w:sz w:val="20"/>
        </w:rPr>
        <w:t xml:space="preserve">uskutečnili přibližně </w:t>
      </w:r>
      <w:r w:rsidR="001866A2" w:rsidRPr="00123EE0">
        <w:rPr>
          <w:rFonts w:ascii="Arial" w:hAnsi="Arial"/>
          <w:sz w:val="20"/>
        </w:rPr>
        <w:t>90 mil. cest a jednodenních výletů v tuzemsku</w:t>
      </w:r>
      <w:r w:rsidR="001866A2" w:rsidRPr="001866A2">
        <w:rPr>
          <w:rFonts w:ascii="Arial" w:hAnsi="Arial"/>
          <w:b w:val="0"/>
          <w:sz w:val="20"/>
        </w:rPr>
        <w:t xml:space="preserve"> - z toho téměř </w:t>
      </w:r>
      <w:r w:rsidR="00787FB5">
        <w:rPr>
          <w:rFonts w:ascii="Arial" w:hAnsi="Arial"/>
          <w:b w:val="0"/>
          <w:sz w:val="20"/>
        </w:rPr>
        <w:t>33 </w:t>
      </w:r>
      <w:r w:rsidR="001866A2" w:rsidRPr="001866A2">
        <w:rPr>
          <w:rFonts w:ascii="Arial" w:hAnsi="Arial"/>
          <w:b w:val="0"/>
          <w:sz w:val="20"/>
        </w:rPr>
        <w:t>mil</w:t>
      </w:r>
      <w:r w:rsidR="00787FB5">
        <w:rPr>
          <w:rFonts w:ascii="Arial" w:hAnsi="Arial"/>
          <w:b w:val="0"/>
          <w:sz w:val="20"/>
        </w:rPr>
        <w:t>. </w:t>
      </w:r>
      <w:r w:rsidR="001866A2" w:rsidRPr="001866A2">
        <w:rPr>
          <w:rFonts w:ascii="Arial" w:hAnsi="Arial"/>
          <w:b w:val="0"/>
          <w:sz w:val="20"/>
        </w:rPr>
        <w:t xml:space="preserve">pobytů s přenocováním, a téměř </w:t>
      </w:r>
      <w:r w:rsidR="00787FB5">
        <w:rPr>
          <w:rFonts w:ascii="Arial" w:hAnsi="Arial"/>
          <w:sz w:val="20"/>
        </w:rPr>
        <w:t>11,5  mil.  </w:t>
      </w:r>
      <w:r w:rsidR="001866A2" w:rsidRPr="00123EE0">
        <w:rPr>
          <w:rFonts w:ascii="Arial" w:hAnsi="Arial"/>
          <w:sz w:val="20"/>
        </w:rPr>
        <w:t xml:space="preserve">cest </w:t>
      </w:r>
      <w:r w:rsidR="00123EE0">
        <w:rPr>
          <w:rFonts w:ascii="Arial" w:hAnsi="Arial"/>
          <w:sz w:val="20"/>
        </w:rPr>
        <w:t>a jednodenních výletů do </w:t>
      </w:r>
      <w:r w:rsidR="001866A2" w:rsidRPr="00123EE0">
        <w:rPr>
          <w:rFonts w:ascii="Arial" w:hAnsi="Arial"/>
          <w:sz w:val="20"/>
        </w:rPr>
        <w:t>zahraničí</w:t>
      </w:r>
      <w:r w:rsidR="001866A2">
        <w:rPr>
          <w:rFonts w:ascii="Arial" w:hAnsi="Arial"/>
          <w:b w:val="0"/>
          <w:sz w:val="20"/>
        </w:rPr>
        <w:t xml:space="preserve">, z toho téměř 8,9 mil. pobytů s přenocováním. Čeští občané </w:t>
      </w:r>
      <w:r w:rsidR="00123EE0">
        <w:rPr>
          <w:rFonts w:ascii="Arial" w:hAnsi="Arial"/>
          <w:b w:val="0"/>
          <w:sz w:val="20"/>
        </w:rPr>
        <w:t>dlouhodobě tráví dovolenou nejvíce v </w:t>
      </w:r>
      <w:r w:rsidR="00123EE0" w:rsidRPr="00123EE0">
        <w:rPr>
          <w:rFonts w:ascii="Arial" w:hAnsi="Arial"/>
          <w:sz w:val="20"/>
        </w:rPr>
        <w:t>Chorvatsku</w:t>
      </w:r>
      <w:r w:rsidR="00123EE0">
        <w:rPr>
          <w:rFonts w:ascii="Arial" w:hAnsi="Arial"/>
          <w:b w:val="0"/>
          <w:sz w:val="20"/>
        </w:rPr>
        <w:t>, na </w:t>
      </w:r>
      <w:r w:rsidR="00123EE0" w:rsidRPr="00123EE0">
        <w:rPr>
          <w:rFonts w:ascii="Arial" w:hAnsi="Arial"/>
          <w:sz w:val="20"/>
        </w:rPr>
        <w:t>Slovensku</w:t>
      </w:r>
      <w:r w:rsidR="00123EE0">
        <w:rPr>
          <w:rFonts w:ascii="Arial" w:hAnsi="Arial"/>
          <w:b w:val="0"/>
          <w:sz w:val="20"/>
        </w:rPr>
        <w:t>,</w:t>
      </w:r>
      <w:bookmarkStart w:id="0" w:name="_GoBack"/>
      <w:bookmarkEnd w:id="0"/>
      <w:r w:rsidR="00123EE0">
        <w:rPr>
          <w:rFonts w:ascii="Arial" w:hAnsi="Arial"/>
          <w:b w:val="0"/>
          <w:sz w:val="20"/>
        </w:rPr>
        <w:t xml:space="preserve"> v </w:t>
      </w:r>
      <w:r w:rsidR="00787FB5">
        <w:rPr>
          <w:rFonts w:ascii="Arial" w:hAnsi="Arial"/>
          <w:b w:val="0"/>
          <w:sz w:val="20"/>
        </w:rPr>
        <w:t> </w:t>
      </w:r>
      <w:r w:rsidR="00123EE0" w:rsidRPr="00123EE0">
        <w:rPr>
          <w:rFonts w:ascii="Arial" w:hAnsi="Arial"/>
          <w:sz w:val="20"/>
        </w:rPr>
        <w:t>Rakousku</w:t>
      </w:r>
      <w:r w:rsidR="00123EE0">
        <w:rPr>
          <w:rFonts w:ascii="Arial" w:hAnsi="Arial"/>
          <w:b w:val="0"/>
          <w:sz w:val="20"/>
        </w:rPr>
        <w:t xml:space="preserve">, </w:t>
      </w:r>
      <w:r w:rsidR="00123EE0" w:rsidRPr="00123EE0">
        <w:rPr>
          <w:rFonts w:ascii="Arial" w:hAnsi="Arial"/>
          <w:sz w:val="20"/>
        </w:rPr>
        <w:t>Itálii</w:t>
      </w:r>
      <w:r w:rsidR="00123EE0">
        <w:rPr>
          <w:rFonts w:ascii="Arial" w:hAnsi="Arial"/>
          <w:b w:val="0"/>
          <w:sz w:val="20"/>
        </w:rPr>
        <w:t xml:space="preserve">, </w:t>
      </w:r>
      <w:r w:rsidR="00123EE0" w:rsidRPr="00123EE0">
        <w:rPr>
          <w:rFonts w:ascii="Arial" w:hAnsi="Arial"/>
          <w:sz w:val="20"/>
        </w:rPr>
        <w:t>Řecku</w:t>
      </w:r>
      <w:r w:rsidR="00123EE0">
        <w:rPr>
          <w:rFonts w:ascii="Arial" w:hAnsi="Arial"/>
          <w:b w:val="0"/>
          <w:sz w:val="20"/>
        </w:rPr>
        <w:t xml:space="preserve"> a </w:t>
      </w:r>
      <w:r w:rsidR="00123EE0" w:rsidRPr="00123EE0">
        <w:rPr>
          <w:rFonts w:ascii="Arial" w:hAnsi="Arial"/>
          <w:sz w:val="20"/>
        </w:rPr>
        <w:t>Španělsku</w:t>
      </w:r>
      <w:r w:rsidR="00123EE0">
        <w:rPr>
          <w:rFonts w:ascii="Arial" w:hAnsi="Arial"/>
          <w:b w:val="0"/>
          <w:sz w:val="20"/>
        </w:rPr>
        <w:t>.</w:t>
      </w:r>
      <w:r w:rsidR="00485A42">
        <w:rPr>
          <w:rFonts w:ascii="Arial" w:hAnsi="Arial"/>
          <w:b w:val="0"/>
          <w:sz w:val="20"/>
        </w:rPr>
        <w:t xml:space="preserve"> V rámci příjezdového cestovního ruchu Českou republiku naopak navštívilo nejvíce </w:t>
      </w:r>
      <w:r w:rsidR="00485A42" w:rsidRPr="00485A42">
        <w:rPr>
          <w:rFonts w:ascii="Arial" w:hAnsi="Arial"/>
          <w:sz w:val="20"/>
        </w:rPr>
        <w:t>Němců</w:t>
      </w:r>
      <w:r w:rsidR="00485A42">
        <w:rPr>
          <w:rFonts w:ascii="Arial" w:hAnsi="Arial"/>
          <w:b w:val="0"/>
          <w:sz w:val="20"/>
        </w:rPr>
        <w:t xml:space="preserve">, </w:t>
      </w:r>
      <w:r w:rsidR="00485A42" w:rsidRPr="00485A42">
        <w:rPr>
          <w:rFonts w:ascii="Arial" w:hAnsi="Arial"/>
          <w:sz w:val="20"/>
        </w:rPr>
        <w:t>Slováků</w:t>
      </w:r>
      <w:r w:rsidR="00485A42">
        <w:rPr>
          <w:rFonts w:ascii="Arial" w:hAnsi="Arial"/>
          <w:b w:val="0"/>
          <w:sz w:val="20"/>
        </w:rPr>
        <w:t xml:space="preserve">, </w:t>
      </w:r>
      <w:r w:rsidR="00485A42" w:rsidRPr="00485A42">
        <w:rPr>
          <w:rFonts w:ascii="Arial" w:hAnsi="Arial"/>
          <w:sz w:val="20"/>
        </w:rPr>
        <w:t>Poláků</w:t>
      </w:r>
      <w:r w:rsidR="00485A42">
        <w:rPr>
          <w:rFonts w:ascii="Arial" w:hAnsi="Arial"/>
          <w:b w:val="0"/>
          <w:sz w:val="20"/>
        </w:rPr>
        <w:t xml:space="preserve">, </w:t>
      </w:r>
      <w:r w:rsidR="00485A42" w:rsidRPr="00485A42">
        <w:rPr>
          <w:rFonts w:ascii="Arial" w:hAnsi="Arial"/>
          <w:sz w:val="20"/>
        </w:rPr>
        <w:t>Číňanů</w:t>
      </w:r>
      <w:r w:rsidR="00485A42">
        <w:rPr>
          <w:rFonts w:ascii="Arial" w:hAnsi="Arial"/>
          <w:b w:val="0"/>
          <w:sz w:val="20"/>
        </w:rPr>
        <w:t xml:space="preserve"> a </w:t>
      </w:r>
      <w:r w:rsidR="00485A42" w:rsidRPr="00485A42">
        <w:rPr>
          <w:rFonts w:ascii="Arial" w:hAnsi="Arial"/>
          <w:sz w:val="20"/>
        </w:rPr>
        <w:t>Američanů</w:t>
      </w:r>
      <w:r w:rsidR="00485A42">
        <w:rPr>
          <w:rFonts w:ascii="Arial" w:hAnsi="Arial"/>
          <w:b w:val="0"/>
          <w:sz w:val="20"/>
        </w:rPr>
        <w:t>.</w:t>
      </w:r>
    </w:p>
    <w:p w:rsidR="005D0E6A" w:rsidRDefault="005D0E6A" w:rsidP="000B06CB">
      <w:pPr>
        <w:pStyle w:val="Zhlavzprvy"/>
        <w:jc w:val="both"/>
        <w:rPr>
          <w:rFonts w:ascii="Arial" w:hAnsi="Arial"/>
          <w:b w:val="0"/>
          <w:sz w:val="20"/>
        </w:rPr>
      </w:pPr>
    </w:p>
    <w:p w:rsidR="00485A42" w:rsidRDefault="00485A42" w:rsidP="000B06CB">
      <w:pPr>
        <w:pStyle w:val="Zhlavzprvy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Přímý podíl cestovního ruchu na celkovém HDP České republiky i v roce 2017 činil </w:t>
      </w:r>
      <w:r w:rsidRPr="00787FB5">
        <w:rPr>
          <w:rFonts w:ascii="Arial" w:hAnsi="Arial"/>
          <w:sz w:val="20"/>
        </w:rPr>
        <w:t>2,9 %</w:t>
      </w:r>
      <w:r w:rsidR="00787FB5">
        <w:rPr>
          <w:rFonts w:ascii="Arial" w:hAnsi="Arial"/>
          <w:b w:val="0"/>
          <w:sz w:val="20"/>
        </w:rPr>
        <w:t>, což </w:t>
      </w:r>
      <w:r>
        <w:rPr>
          <w:rFonts w:ascii="Arial" w:hAnsi="Arial"/>
          <w:b w:val="0"/>
          <w:sz w:val="20"/>
        </w:rPr>
        <w:t xml:space="preserve">v absolutním vyjádření </w:t>
      </w:r>
      <w:r w:rsidR="00787FB5">
        <w:rPr>
          <w:rFonts w:ascii="Arial" w:hAnsi="Arial"/>
          <w:b w:val="0"/>
          <w:sz w:val="20"/>
        </w:rPr>
        <w:t>bylo</w:t>
      </w:r>
      <w:r>
        <w:rPr>
          <w:rFonts w:ascii="Arial" w:hAnsi="Arial"/>
          <w:b w:val="0"/>
          <w:sz w:val="20"/>
        </w:rPr>
        <w:t xml:space="preserve"> téměř 149 mld. Kč, podíl na tvorbě hrubé přidané hodnoty </w:t>
      </w:r>
      <w:r w:rsidR="002F0BA2">
        <w:rPr>
          <w:rFonts w:ascii="Arial" w:hAnsi="Arial"/>
          <w:b w:val="0"/>
          <w:sz w:val="20"/>
        </w:rPr>
        <w:t xml:space="preserve">v NH </w:t>
      </w:r>
      <w:r>
        <w:rPr>
          <w:rFonts w:ascii="Arial" w:hAnsi="Arial"/>
          <w:b w:val="0"/>
          <w:sz w:val="20"/>
        </w:rPr>
        <w:t xml:space="preserve">(HDP cestovního ruchu bez čistých daní) činil </w:t>
      </w:r>
      <w:r w:rsidR="002F0BA2">
        <w:rPr>
          <w:rFonts w:ascii="Arial" w:hAnsi="Arial"/>
          <w:b w:val="0"/>
          <w:sz w:val="20"/>
        </w:rPr>
        <w:t xml:space="preserve">již druhým rokem 2,8 %, což bylo dle ČSÚ více, než </w:t>
      </w:r>
      <w:r w:rsidR="00787FB5">
        <w:rPr>
          <w:rFonts w:ascii="Arial" w:hAnsi="Arial"/>
          <w:b w:val="0"/>
          <w:sz w:val="20"/>
        </w:rPr>
        <w:t>byl</w:t>
      </w:r>
      <w:r w:rsidR="002F0BA2">
        <w:rPr>
          <w:rFonts w:ascii="Arial" w:hAnsi="Arial"/>
          <w:b w:val="0"/>
          <w:sz w:val="20"/>
        </w:rPr>
        <w:t xml:space="preserve"> podíl zemědělství, lesnictví a rybářství a naopak méně než sektoru vzdělávání či zdravotní a sociální péče.</w:t>
      </w:r>
    </w:p>
    <w:p w:rsidR="00485A42" w:rsidRDefault="00485A42" w:rsidP="000B06CB">
      <w:pPr>
        <w:pStyle w:val="Zhlavzprvy"/>
        <w:jc w:val="both"/>
        <w:rPr>
          <w:rFonts w:ascii="Arial" w:hAnsi="Arial"/>
          <w:sz w:val="20"/>
        </w:rPr>
      </w:pPr>
    </w:p>
    <w:p w:rsidR="000B06CB" w:rsidRPr="00CE508B" w:rsidRDefault="000B06CB" w:rsidP="000B06CB">
      <w:pPr>
        <w:pStyle w:val="Zhlavzprvy"/>
        <w:jc w:val="both"/>
        <w:rPr>
          <w:rFonts w:ascii="Arial" w:hAnsi="Arial"/>
          <w:b w:val="0"/>
          <w:sz w:val="20"/>
        </w:rPr>
      </w:pPr>
      <w:r w:rsidRPr="00CE508B">
        <w:rPr>
          <w:rFonts w:ascii="Arial" w:hAnsi="Arial"/>
          <w:b w:val="0"/>
          <w:sz w:val="20"/>
        </w:rPr>
        <w:t xml:space="preserve">Dle </w:t>
      </w:r>
      <w:r w:rsidR="002F0BA2" w:rsidRPr="00CE508B">
        <w:rPr>
          <w:rFonts w:ascii="Arial" w:hAnsi="Arial"/>
          <w:b w:val="0"/>
          <w:sz w:val="20"/>
        </w:rPr>
        <w:t xml:space="preserve">Modulu zaměstnanosti </w:t>
      </w:r>
      <w:r w:rsidRPr="00CE508B">
        <w:rPr>
          <w:rFonts w:ascii="Arial" w:hAnsi="Arial"/>
          <w:b w:val="0"/>
          <w:sz w:val="20"/>
        </w:rPr>
        <w:t xml:space="preserve">činil celkový počet zaměstnaných osob </w:t>
      </w:r>
      <w:r w:rsidR="002F0BA2" w:rsidRPr="00CE508B">
        <w:rPr>
          <w:rFonts w:ascii="Arial" w:hAnsi="Arial"/>
          <w:b w:val="0"/>
          <w:sz w:val="20"/>
        </w:rPr>
        <w:t xml:space="preserve">přímo </w:t>
      </w:r>
      <w:r w:rsidRPr="00CE508B">
        <w:rPr>
          <w:rFonts w:ascii="Arial" w:hAnsi="Arial"/>
          <w:b w:val="0"/>
          <w:sz w:val="20"/>
        </w:rPr>
        <w:t>v</w:t>
      </w:r>
      <w:r w:rsidR="002F0BA2" w:rsidRPr="00CE508B">
        <w:rPr>
          <w:rFonts w:ascii="Arial" w:hAnsi="Arial"/>
          <w:b w:val="0"/>
          <w:sz w:val="20"/>
        </w:rPr>
        <w:t xml:space="preserve"> odvětví </w:t>
      </w:r>
      <w:r w:rsidRPr="00CE508B">
        <w:rPr>
          <w:rFonts w:ascii="Arial" w:hAnsi="Arial"/>
          <w:b w:val="0"/>
          <w:sz w:val="20"/>
        </w:rPr>
        <w:t>cestovní</w:t>
      </w:r>
      <w:r w:rsidR="002F0BA2" w:rsidRPr="00CE508B">
        <w:rPr>
          <w:rFonts w:ascii="Arial" w:hAnsi="Arial"/>
          <w:b w:val="0"/>
          <w:sz w:val="20"/>
        </w:rPr>
        <w:t>ho ruchu</w:t>
      </w:r>
      <w:r w:rsidRPr="00CE508B">
        <w:rPr>
          <w:rFonts w:ascii="Arial" w:hAnsi="Arial"/>
          <w:b w:val="0"/>
          <w:sz w:val="20"/>
        </w:rPr>
        <w:t xml:space="preserve"> v roce 201</w:t>
      </w:r>
      <w:r w:rsidR="002F0BA2" w:rsidRPr="00CE508B">
        <w:rPr>
          <w:rFonts w:ascii="Arial" w:hAnsi="Arial"/>
          <w:b w:val="0"/>
          <w:sz w:val="20"/>
        </w:rPr>
        <w:t>7</w:t>
      </w:r>
      <w:r w:rsidR="00787FB5">
        <w:rPr>
          <w:rFonts w:ascii="Arial" w:hAnsi="Arial"/>
          <w:b w:val="0"/>
          <w:sz w:val="20"/>
        </w:rPr>
        <w:t xml:space="preserve"> přes  </w:t>
      </w:r>
      <w:r w:rsidRPr="00787FB5">
        <w:rPr>
          <w:rFonts w:ascii="Arial" w:hAnsi="Arial"/>
          <w:sz w:val="20"/>
        </w:rPr>
        <w:t>23</w:t>
      </w:r>
      <w:r w:rsidR="002F0BA2" w:rsidRPr="00787FB5">
        <w:rPr>
          <w:rFonts w:ascii="Arial" w:hAnsi="Arial"/>
          <w:sz w:val="20"/>
        </w:rPr>
        <w:t>9</w:t>
      </w:r>
      <w:r w:rsidR="00787FB5" w:rsidRPr="00787FB5">
        <w:rPr>
          <w:rFonts w:ascii="Arial" w:hAnsi="Arial"/>
          <w:sz w:val="20"/>
        </w:rPr>
        <w:t> tis. </w:t>
      </w:r>
      <w:r w:rsidRPr="00787FB5">
        <w:rPr>
          <w:rFonts w:ascii="Arial" w:hAnsi="Arial"/>
          <w:sz w:val="20"/>
        </w:rPr>
        <w:t>osob</w:t>
      </w:r>
      <w:r w:rsidRPr="00CE508B">
        <w:rPr>
          <w:rFonts w:ascii="Arial" w:hAnsi="Arial"/>
          <w:b w:val="0"/>
          <w:sz w:val="20"/>
        </w:rPr>
        <w:t xml:space="preserve"> (</w:t>
      </w:r>
      <w:r w:rsidR="00787FB5">
        <w:rPr>
          <w:rFonts w:ascii="Arial" w:hAnsi="Arial"/>
          <w:b w:val="0"/>
          <w:sz w:val="20"/>
        </w:rPr>
        <w:t>nárůst +</w:t>
      </w:r>
      <w:r w:rsidR="00787FB5" w:rsidRPr="00CE508B">
        <w:rPr>
          <w:rFonts w:ascii="Arial" w:hAnsi="Arial"/>
          <w:b w:val="0"/>
          <w:sz w:val="20"/>
        </w:rPr>
        <w:t xml:space="preserve"> </w:t>
      </w:r>
      <w:r w:rsidR="002F0BA2" w:rsidRPr="00CE508B">
        <w:rPr>
          <w:rFonts w:ascii="Arial" w:hAnsi="Arial"/>
          <w:b w:val="0"/>
          <w:sz w:val="20"/>
        </w:rPr>
        <w:t>2</w:t>
      </w:r>
      <w:r w:rsidRPr="00CE508B">
        <w:rPr>
          <w:rFonts w:ascii="Arial" w:hAnsi="Arial"/>
          <w:b w:val="0"/>
          <w:sz w:val="20"/>
        </w:rPr>
        <w:t>,4</w:t>
      </w:r>
      <w:r w:rsidR="00787FB5">
        <w:rPr>
          <w:rFonts w:ascii="Arial" w:hAnsi="Arial"/>
          <w:b w:val="0"/>
          <w:sz w:val="20"/>
        </w:rPr>
        <w:t> %</w:t>
      </w:r>
      <w:r w:rsidRPr="00CE508B">
        <w:rPr>
          <w:rFonts w:ascii="Arial" w:hAnsi="Arial"/>
          <w:b w:val="0"/>
          <w:sz w:val="20"/>
        </w:rPr>
        <w:t>). Podíl cestovního ruchu na celkové zaměstnanosti v roce 201</w:t>
      </w:r>
      <w:r w:rsidR="00787FB5">
        <w:rPr>
          <w:rFonts w:ascii="Arial" w:hAnsi="Arial"/>
          <w:b w:val="0"/>
          <w:sz w:val="20"/>
        </w:rPr>
        <w:t>7</w:t>
      </w:r>
      <w:r w:rsidRPr="00CE508B">
        <w:rPr>
          <w:rFonts w:ascii="Arial" w:hAnsi="Arial"/>
          <w:b w:val="0"/>
          <w:sz w:val="20"/>
        </w:rPr>
        <w:t xml:space="preserve"> </w:t>
      </w:r>
      <w:r w:rsidR="00787FB5">
        <w:rPr>
          <w:rFonts w:ascii="Arial" w:hAnsi="Arial"/>
          <w:b w:val="0"/>
          <w:sz w:val="20"/>
        </w:rPr>
        <w:t>dosáhl</w:t>
      </w:r>
      <w:r w:rsidRPr="00CE508B">
        <w:rPr>
          <w:rFonts w:ascii="Arial" w:hAnsi="Arial"/>
          <w:b w:val="0"/>
          <w:sz w:val="20"/>
        </w:rPr>
        <w:t xml:space="preserve"> </w:t>
      </w:r>
      <w:r w:rsidRPr="00787FB5">
        <w:rPr>
          <w:rFonts w:ascii="Arial" w:hAnsi="Arial"/>
          <w:sz w:val="20"/>
        </w:rPr>
        <w:t>4,</w:t>
      </w:r>
      <w:r w:rsidR="00CE508B" w:rsidRPr="00787FB5">
        <w:rPr>
          <w:rFonts w:ascii="Arial" w:hAnsi="Arial"/>
          <w:sz w:val="20"/>
        </w:rPr>
        <w:t>47</w:t>
      </w:r>
      <w:r w:rsidRPr="00787FB5">
        <w:rPr>
          <w:rFonts w:ascii="Arial" w:hAnsi="Arial"/>
          <w:sz w:val="20"/>
        </w:rPr>
        <w:t> %</w:t>
      </w:r>
      <w:r w:rsidR="00CE508B">
        <w:rPr>
          <w:rFonts w:ascii="Arial" w:hAnsi="Arial"/>
          <w:b w:val="0"/>
          <w:sz w:val="20"/>
        </w:rPr>
        <w:t xml:space="preserve"> a od roku 2014 má </w:t>
      </w:r>
      <w:r w:rsidR="00787FB5">
        <w:rPr>
          <w:rFonts w:ascii="Arial" w:hAnsi="Arial"/>
          <w:b w:val="0"/>
          <w:sz w:val="20"/>
        </w:rPr>
        <w:t xml:space="preserve">tento podíl </w:t>
      </w:r>
      <w:r w:rsidR="00CE508B">
        <w:rPr>
          <w:rFonts w:ascii="Arial" w:hAnsi="Arial"/>
          <w:b w:val="0"/>
          <w:sz w:val="20"/>
        </w:rPr>
        <w:t>rostoucí trend</w:t>
      </w:r>
      <w:r w:rsidRPr="00CE508B">
        <w:rPr>
          <w:rFonts w:ascii="Arial" w:hAnsi="Arial"/>
          <w:b w:val="0"/>
          <w:sz w:val="20"/>
        </w:rPr>
        <w:t xml:space="preserve">. </w:t>
      </w:r>
      <w:r w:rsidR="00CE508B">
        <w:rPr>
          <w:rFonts w:ascii="Arial" w:hAnsi="Arial"/>
          <w:b w:val="0"/>
          <w:sz w:val="20"/>
        </w:rPr>
        <w:t>Nejvíce</w:t>
      </w:r>
      <w:r w:rsidR="00787FB5">
        <w:rPr>
          <w:rFonts w:ascii="Arial" w:hAnsi="Arial"/>
          <w:b w:val="0"/>
          <w:sz w:val="20"/>
        </w:rPr>
        <w:t xml:space="preserve"> osob je zaměstnáno</w:t>
      </w:r>
      <w:r w:rsidR="00CE508B">
        <w:rPr>
          <w:rFonts w:ascii="Arial" w:hAnsi="Arial"/>
          <w:b w:val="0"/>
          <w:sz w:val="20"/>
        </w:rPr>
        <w:t xml:space="preserve"> v restauračním průmyslu (30 %) a v ubytování (18 %).</w:t>
      </w:r>
    </w:p>
    <w:p w:rsidR="002F0BA2" w:rsidRDefault="002F0BA2" w:rsidP="0006732E">
      <w:pPr>
        <w:tabs>
          <w:tab w:val="left" w:pos="3390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DE06F1" w:rsidRPr="00B33C52" w:rsidRDefault="00DE06F1" w:rsidP="0006732E">
      <w:pPr>
        <w:tabs>
          <w:tab w:val="left" w:pos="3390"/>
        </w:tabs>
        <w:spacing w:line="240" w:lineRule="exact"/>
        <w:rPr>
          <w:rFonts w:ascii="Arial" w:hAnsi="Arial" w:cs="Arial"/>
          <w:sz w:val="18"/>
          <w:szCs w:val="18"/>
        </w:rPr>
      </w:pPr>
      <w:r w:rsidRPr="00B33C52">
        <w:rPr>
          <w:rFonts w:ascii="Arial" w:hAnsi="Arial" w:cs="Arial"/>
          <w:sz w:val="18"/>
          <w:szCs w:val="18"/>
        </w:rPr>
        <w:t>zpracovalo MMR ČR dle údajů ČSÚ z</w:t>
      </w:r>
      <w:r w:rsidR="00B33C52" w:rsidRPr="00B33C52">
        <w:rPr>
          <w:rFonts w:ascii="Arial" w:hAnsi="Arial" w:cs="Arial"/>
          <w:sz w:val="18"/>
          <w:szCs w:val="18"/>
        </w:rPr>
        <w:t> </w:t>
      </w:r>
      <w:r w:rsidR="002F0BA2">
        <w:rPr>
          <w:rFonts w:ascii="Arial" w:hAnsi="Arial" w:cs="Arial"/>
          <w:sz w:val="18"/>
          <w:szCs w:val="18"/>
        </w:rPr>
        <w:t>2</w:t>
      </w:r>
      <w:r w:rsidR="00B33C52" w:rsidRPr="00B33C52">
        <w:rPr>
          <w:rFonts w:ascii="Arial" w:hAnsi="Arial" w:cs="Arial"/>
          <w:sz w:val="18"/>
          <w:szCs w:val="18"/>
        </w:rPr>
        <w:t>8. února 201</w:t>
      </w:r>
      <w:r w:rsidR="002F0BA2">
        <w:rPr>
          <w:rFonts w:ascii="Arial" w:hAnsi="Arial" w:cs="Arial"/>
          <w:sz w:val="18"/>
          <w:szCs w:val="18"/>
        </w:rPr>
        <w:t>9</w:t>
      </w:r>
    </w:p>
    <w:p w:rsidR="00A202D5" w:rsidRDefault="00DE06F1" w:rsidP="00787FB5">
      <w:pPr>
        <w:spacing w:line="200" w:lineRule="exact"/>
        <w:rPr>
          <w:rStyle w:val="Hypertextovodkaz"/>
          <w:rFonts w:ascii="Arial" w:hAnsi="Arial" w:cs="Arial"/>
          <w:sz w:val="18"/>
          <w:szCs w:val="18"/>
        </w:rPr>
      </w:pPr>
      <w:r w:rsidRPr="00857A50">
        <w:rPr>
          <w:rFonts w:ascii="Arial" w:hAnsi="Arial" w:cs="Arial"/>
          <w:sz w:val="18"/>
          <w:szCs w:val="18"/>
        </w:rPr>
        <w:t>Další informace:</w:t>
      </w:r>
      <w:r w:rsidR="00974501" w:rsidRPr="00857A50">
        <w:rPr>
          <w:rFonts w:ascii="Arial" w:hAnsi="Arial" w:cs="Arial"/>
          <w:sz w:val="18"/>
          <w:szCs w:val="18"/>
        </w:rPr>
        <w:tab/>
      </w:r>
      <w:r w:rsidR="00857A50">
        <w:rPr>
          <w:rFonts w:ascii="Arial" w:hAnsi="Arial" w:cs="Arial"/>
          <w:sz w:val="18"/>
          <w:szCs w:val="18"/>
        </w:rPr>
        <w:tab/>
      </w:r>
      <w:hyperlink r:id="rId7" w:history="1">
        <w:r w:rsidR="00CC761E" w:rsidRPr="00BA5DFD">
          <w:rPr>
            <w:rStyle w:val="Hypertextovodkaz"/>
            <w:rFonts w:ascii="Arial" w:hAnsi="Arial" w:cs="Arial"/>
            <w:sz w:val="18"/>
            <w:szCs w:val="18"/>
          </w:rPr>
          <w:t>https://www.czso.cz/csu/czso/satelitni_</w:t>
        </w:r>
        <w:r w:rsidR="00CC761E" w:rsidRPr="00BA5DFD">
          <w:rPr>
            <w:rStyle w:val="Hypertextovodkaz"/>
            <w:rFonts w:ascii="Arial" w:hAnsi="Arial" w:cs="Arial"/>
            <w:sz w:val="18"/>
            <w:szCs w:val="18"/>
          </w:rPr>
          <w:t>u</w:t>
        </w:r>
        <w:r w:rsidR="00CC761E" w:rsidRPr="00BA5DFD">
          <w:rPr>
            <w:rStyle w:val="Hypertextovodkaz"/>
            <w:rFonts w:ascii="Arial" w:hAnsi="Arial" w:cs="Arial"/>
            <w:sz w:val="18"/>
            <w:szCs w:val="18"/>
          </w:rPr>
          <w:t>cet_cestovniho_ruchu</w:t>
        </w:r>
      </w:hyperlink>
    </w:p>
    <w:p w:rsidR="00CC761E" w:rsidRDefault="00CC761E" w:rsidP="00787FB5">
      <w:pPr>
        <w:spacing w:line="200" w:lineRule="exact"/>
      </w:pPr>
    </w:p>
    <w:p w:rsidR="00B33C52" w:rsidRPr="00857A50" w:rsidRDefault="00B33C52" w:rsidP="00B33C52">
      <w:pPr>
        <w:spacing w:before="120" w:line="200" w:lineRule="exact"/>
        <w:ind w:left="1416" w:firstLine="708"/>
        <w:rPr>
          <w:rFonts w:ascii="Arial" w:hAnsi="Arial" w:cs="Arial"/>
          <w:sz w:val="18"/>
          <w:szCs w:val="18"/>
        </w:rPr>
      </w:pPr>
    </w:p>
    <w:sectPr w:rsidR="00B33C52" w:rsidRPr="00857A50" w:rsidSect="00857A50">
      <w:headerReference w:type="default" r:id="rId8"/>
      <w:footerReference w:type="default" r:id="rId9"/>
      <w:pgSz w:w="11906" w:h="16838" w:code="9"/>
      <w:pgMar w:top="1843" w:right="1418" w:bottom="1418" w:left="20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AD" w:rsidRDefault="00281DAD" w:rsidP="0020194A">
      <w:r>
        <w:separator/>
      </w:r>
    </w:p>
  </w:endnote>
  <w:endnote w:type="continuationSeparator" w:id="0">
    <w:p w:rsidR="00281DAD" w:rsidRDefault="00281DAD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A9" w:rsidRPr="00827FA5" w:rsidRDefault="005016A9" w:rsidP="00EA5DE5">
    <w:pPr>
      <w:pStyle w:val="Zpat"/>
      <w:jc w:val="right"/>
      <w:rPr>
        <w:rFonts w:ascii="Arial" w:hAnsi="Arial" w:cs="Arial"/>
      </w:rPr>
    </w:pPr>
    <w:r w:rsidRPr="00827FA5">
      <w:rPr>
        <w:rFonts w:ascii="Arial" w:hAnsi="Arial" w:cs="Arial"/>
      </w:rPr>
      <w:t xml:space="preserve">Stránka </w:t>
    </w:r>
    <w:r w:rsidR="00F377C3"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PAGE</w:instrText>
    </w:r>
    <w:r w:rsidR="00F377C3" w:rsidRPr="00827FA5">
      <w:rPr>
        <w:rFonts w:ascii="Arial" w:hAnsi="Arial" w:cs="Arial"/>
        <w:b/>
      </w:rPr>
      <w:fldChar w:fldCharType="separate"/>
    </w:r>
    <w:r w:rsidR="00CC761E">
      <w:rPr>
        <w:rFonts w:ascii="Arial" w:hAnsi="Arial" w:cs="Arial"/>
        <w:b/>
        <w:noProof/>
      </w:rPr>
      <w:t>1</w:t>
    </w:r>
    <w:r w:rsidR="00F377C3" w:rsidRPr="00827FA5">
      <w:rPr>
        <w:rFonts w:ascii="Arial" w:hAnsi="Arial" w:cs="Arial"/>
        <w:b/>
      </w:rPr>
      <w:fldChar w:fldCharType="end"/>
    </w:r>
    <w:r w:rsidRPr="00827FA5">
      <w:rPr>
        <w:rFonts w:ascii="Arial" w:hAnsi="Arial" w:cs="Arial"/>
      </w:rPr>
      <w:t xml:space="preserve"> z </w:t>
    </w:r>
    <w:r w:rsidR="00F377C3"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NUMPAGES</w:instrText>
    </w:r>
    <w:r w:rsidR="00F377C3" w:rsidRPr="00827FA5">
      <w:rPr>
        <w:rFonts w:ascii="Arial" w:hAnsi="Arial" w:cs="Arial"/>
        <w:b/>
      </w:rPr>
      <w:fldChar w:fldCharType="separate"/>
    </w:r>
    <w:r w:rsidR="00CC761E">
      <w:rPr>
        <w:rFonts w:ascii="Arial" w:hAnsi="Arial" w:cs="Arial"/>
        <w:b/>
        <w:noProof/>
      </w:rPr>
      <w:t>1</w:t>
    </w:r>
    <w:r w:rsidR="00F377C3" w:rsidRPr="00827FA5">
      <w:rPr>
        <w:rFonts w:ascii="Arial" w:hAnsi="Arial" w:cs="Arial"/>
        <w:b/>
      </w:rPr>
      <w:fldChar w:fldCharType="end"/>
    </w:r>
  </w:p>
  <w:p w:rsidR="005016A9" w:rsidRPr="00065713" w:rsidRDefault="005016A9" w:rsidP="00065713">
    <w:pPr>
      <w:pStyle w:val="Styl1"/>
      <w:ind w:left="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AD" w:rsidRDefault="00281DAD" w:rsidP="0020194A">
      <w:r>
        <w:separator/>
      </w:r>
    </w:p>
  </w:footnote>
  <w:footnote w:type="continuationSeparator" w:id="0">
    <w:p w:rsidR="00281DAD" w:rsidRDefault="00281DAD" w:rsidP="0020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A9" w:rsidRDefault="005016A9" w:rsidP="0020194A">
    <w:pPr>
      <w:pStyle w:val="Zhlav"/>
    </w:pPr>
  </w:p>
  <w:p w:rsidR="005016A9" w:rsidRPr="00B270CA" w:rsidRDefault="00963758" w:rsidP="0020194A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Aktualita</w:t>
    </w:r>
  </w:p>
  <w:p w:rsidR="005016A9" w:rsidRPr="00537174" w:rsidRDefault="00253B54" w:rsidP="0020194A">
    <w:pPr>
      <w:pStyle w:val="Zhlav"/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7BC3718" wp14:editId="0A9A95B9">
          <wp:simplePos x="0" y="0"/>
          <wp:positionH relativeFrom="page">
            <wp:posOffset>400050</wp:posOffset>
          </wp:positionH>
          <wp:positionV relativeFrom="page">
            <wp:posOffset>542925</wp:posOffset>
          </wp:positionV>
          <wp:extent cx="2162175" cy="457200"/>
          <wp:effectExtent l="0" t="0" r="9525" b="0"/>
          <wp:wrapTight wrapText="bothSides">
            <wp:wrapPolygon edited="0">
              <wp:start x="8183" y="0"/>
              <wp:lineTo x="0" y="1800"/>
              <wp:lineTo x="0" y="18900"/>
              <wp:lineTo x="2093" y="20700"/>
              <wp:lineTo x="8183" y="20700"/>
              <wp:lineTo x="18841" y="20700"/>
              <wp:lineTo x="19031" y="14400"/>
              <wp:lineTo x="21505" y="4500"/>
              <wp:lineTo x="21505" y="0"/>
              <wp:lineTo x="8183" y="0"/>
            </wp:wrapPolygon>
          </wp:wrapTight>
          <wp:docPr id="1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E6A">
      <w:rPr>
        <w:rFonts w:ascii="Arial" w:hAnsi="Arial" w:cs="Arial"/>
        <w:b/>
        <w:sz w:val="16"/>
        <w:szCs w:val="16"/>
      </w:rPr>
      <w:t>březen</w:t>
    </w:r>
    <w:r w:rsidR="00963758">
      <w:rPr>
        <w:rFonts w:ascii="Arial" w:hAnsi="Arial" w:cs="Arial"/>
        <w:b/>
        <w:sz w:val="16"/>
        <w:szCs w:val="16"/>
      </w:rPr>
      <w:t xml:space="preserve"> 201</w:t>
    </w:r>
    <w:r w:rsidR="00FA7691">
      <w:rPr>
        <w:rFonts w:ascii="Arial" w:hAnsi="Arial" w:cs="Arial"/>
        <w:b/>
        <w:sz w:val="16"/>
        <w:szCs w:val="16"/>
      </w:rPr>
      <w:t>9</w:t>
    </w:r>
    <w:r w:rsidR="004F6A7A">
      <w:rPr>
        <w:rFonts w:ascii="Arial" w:hAnsi="Arial" w:cs="Arial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7EAD"/>
    <w:multiLevelType w:val="hybridMultilevel"/>
    <w:tmpl w:val="49BAECBA"/>
    <w:lvl w:ilvl="0" w:tplc="A1A4C2C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579"/>
    <w:multiLevelType w:val="hybridMultilevel"/>
    <w:tmpl w:val="DE0C0CCE"/>
    <w:lvl w:ilvl="0" w:tplc="5B4CDC80">
      <w:numFmt w:val="bullet"/>
      <w:lvlText w:val="•"/>
      <w:lvlJc w:val="left"/>
      <w:pPr>
        <w:ind w:left="1065" w:hanging="705"/>
      </w:pPr>
      <w:rPr>
        <w:rFonts w:ascii="Arial" w:eastAsia="Times New Roman" w:hAnsi="Arial" w:cs="Arial 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94C3B"/>
    <w:multiLevelType w:val="multilevel"/>
    <w:tmpl w:val="652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505FC"/>
    <w:multiLevelType w:val="hybridMultilevel"/>
    <w:tmpl w:val="5FB87D0E"/>
    <w:lvl w:ilvl="0" w:tplc="083C48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7EC6332"/>
    <w:multiLevelType w:val="hybridMultilevel"/>
    <w:tmpl w:val="6764F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C0411"/>
    <w:multiLevelType w:val="hybridMultilevel"/>
    <w:tmpl w:val="6526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46BB0"/>
    <w:multiLevelType w:val="hybridMultilevel"/>
    <w:tmpl w:val="D7AA5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4"/>
    <w:rsid w:val="00002609"/>
    <w:rsid w:val="00011593"/>
    <w:rsid w:val="00012433"/>
    <w:rsid w:val="000226A3"/>
    <w:rsid w:val="00065713"/>
    <w:rsid w:val="0006732E"/>
    <w:rsid w:val="00071442"/>
    <w:rsid w:val="00074E14"/>
    <w:rsid w:val="00097AD1"/>
    <w:rsid w:val="000A3115"/>
    <w:rsid w:val="000A723C"/>
    <w:rsid w:val="000B06CB"/>
    <w:rsid w:val="000C137D"/>
    <w:rsid w:val="000D0DCC"/>
    <w:rsid w:val="000D1671"/>
    <w:rsid w:val="000E17E5"/>
    <w:rsid w:val="000F5742"/>
    <w:rsid w:val="00120AD0"/>
    <w:rsid w:val="00123EE0"/>
    <w:rsid w:val="00142741"/>
    <w:rsid w:val="00145FBD"/>
    <w:rsid w:val="00147D58"/>
    <w:rsid w:val="00152466"/>
    <w:rsid w:val="00153C56"/>
    <w:rsid w:val="00155819"/>
    <w:rsid w:val="001733D8"/>
    <w:rsid w:val="0017487F"/>
    <w:rsid w:val="0017615E"/>
    <w:rsid w:val="001866A2"/>
    <w:rsid w:val="001947C2"/>
    <w:rsid w:val="00194E2F"/>
    <w:rsid w:val="00195EE8"/>
    <w:rsid w:val="00196598"/>
    <w:rsid w:val="001C0BAB"/>
    <w:rsid w:val="001C2169"/>
    <w:rsid w:val="001C4CC7"/>
    <w:rsid w:val="001F16E0"/>
    <w:rsid w:val="001F5539"/>
    <w:rsid w:val="0020194A"/>
    <w:rsid w:val="00220362"/>
    <w:rsid w:val="002402E5"/>
    <w:rsid w:val="00253B54"/>
    <w:rsid w:val="00274A30"/>
    <w:rsid w:val="00281DAD"/>
    <w:rsid w:val="0029797F"/>
    <w:rsid w:val="002B0AB8"/>
    <w:rsid w:val="002B39FA"/>
    <w:rsid w:val="002B54D7"/>
    <w:rsid w:val="002B5DBD"/>
    <w:rsid w:val="002C3748"/>
    <w:rsid w:val="002D06B4"/>
    <w:rsid w:val="002E009A"/>
    <w:rsid w:val="002F0BA2"/>
    <w:rsid w:val="00302635"/>
    <w:rsid w:val="003033B8"/>
    <w:rsid w:val="003047F4"/>
    <w:rsid w:val="00305C7C"/>
    <w:rsid w:val="00317198"/>
    <w:rsid w:val="00330FFF"/>
    <w:rsid w:val="00332AF2"/>
    <w:rsid w:val="003366E1"/>
    <w:rsid w:val="00336A76"/>
    <w:rsid w:val="003378D3"/>
    <w:rsid w:val="003611C9"/>
    <w:rsid w:val="00364635"/>
    <w:rsid w:val="00382CB7"/>
    <w:rsid w:val="00390438"/>
    <w:rsid w:val="003A37E3"/>
    <w:rsid w:val="003C482B"/>
    <w:rsid w:val="003D3EA1"/>
    <w:rsid w:val="003D478F"/>
    <w:rsid w:val="003E5377"/>
    <w:rsid w:val="003F1BFE"/>
    <w:rsid w:val="003F2268"/>
    <w:rsid w:val="003F4C86"/>
    <w:rsid w:val="003F5146"/>
    <w:rsid w:val="004279BC"/>
    <w:rsid w:val="00430CB7"/>
    <w:rsid w:val="00441848"/>
    <w:rsid w:val="004455A8"/>
    <w:rsid w:val="00462F90"/>
    <w:rsid w:val="00473AF5"/>
    <w:rsid w:val="0048171B"/>
    <w:rsid w:val="00485A42"/>
    <w:rsid w:val="00491431"/>
    <w:rsid w:val="00495690"/>
    <w:rsid w:val="0049760E"/>
    <w:rsid w:val="004A58FC"/>
    <w:rsid w:val="004B2852"/>
    <w:rsid w:val="004C0922"/>
    <w:rsid w:val="004D1207"/>
    <w:rsid w:val="004D4A60"/>
    <w:rsid w:val="004E7815"/>
    <w:rsid w:val="004F6A7A"/>
    <w:rsid w:val="005016A9"/>
    <w:rsid w:val="005132EB"/>
    <w:rsid w:val="0052135E"/>
    <w:rsid w:val="00534346"/>
    <w:rsid w:val="005364F8"/>
    <w:rsid w:val="005430E3"/>
    <w:rsid w:val="00543BD9"/>
    <w:rsid w:val="00556029"/>
    <w:rsid w:val="005613BF"/>
    <w:rsid w:val="00576F7F"/>
    <w:rsid w:val="00595567"/>
    <w:rsid w:val="005A1DFB"/>
    <w:rsid w:val="005A5602"/>
    <w:rsid w:val="005A74B9"/>
    <w:rsid w:val="005D0E6A"/>
    <w:rsid w:val="005F29DB"/>
    <w:rsid w:val="00603F10"/>
    <w:rsid w:val="006577E6"/>
    <w:rsid w:val="006625C1"/>
    <w:rsid w:val="00667A39"/>
    <w:rsid w:val="006A3A30"/>
    <w:rsid w:val="006D3055"/>
    <w:rsid w:val="006E7D46"/>
    <w:rsid w:val="006F20D1"/>
    <w:rsid w:val="00723C35"/>
    <w:rsid w:val="0073071C"/>
    <w:rsid w:val="00740D87"/>
    <w:rsid w:val="007500CF"/>
    <w:rsid w:val="00754A69"/>
    <w:rsid w:val="00774A84"/>
    <w:rsid w:val="00786371"/>
    <w:rsid w:val="00787FB5"/>
    <w:rsid w:val="007C3D6C"/>
    <w:rsid w:val="007D0755"/>
    <w:rsid w:val="007D132B"/>
    <w:rsid w:val="007D4580"/>
    <w:rsid w:val="007E42C4"/>
    <w:rsid w:val="007E7234"/>
    <w:rsid w:val="0080005A"/>
    <w:rsid w:val="008141A9"/>
    <w:rsid w:val="00824C34"/>
    <w:rsid w:val="00827FA5"/>
    <w:rsid w:val="00830E69"/>
    <w:rsid w:val="0085167B"/>
    <w:rsid w:val="00857A50"/>
    <w:rsid w:val="0086082C"/>
    <w:rsid w:val="00866F22"/>
    <w:rsid w:val="008B6C45"/>
    <w:rsid w:val="008D7B4A"/>
    <w:rsid w:val="008D7C10"/>
    <w:rsid w:val="0090651D"/>
    <w:rsid w:val="00910D7A"/>
    <w:rsid w:val="00931BC4"/>
    <w:rsid w:val="009361B9"/>
    <w:rsid w:val="009370F3"/>
    <w:rsid w:val="00937989"/>
    <w:rsid w:val="009523DB"/>
    <w:rsid w:val="00963758"/>
    <w:rsid w:val="00966595"/>
    <w:rsid w:val="00971C5B"/>
    <w:rsid w:val="00971FF7"/>
    <w:rsid w:val="00972B47"/>
    <w:rsid w:val="00974501"/>
    <w:rsid w:val="00986975"/>
    <w:rsid w:val="009A6D72"/>
    <w:rsid w:val="009B0E5A"/>
    <w:rsid w:val="009B44CA"/>
    <w:rsid w:val="009C1322"/>
    <w:rsid w:val="009D0D2B"/>
    <w:rsid w:val="009E2439"/>
    <w:rsid w:val="009E3264"/>
    <w:rsid w:val="009F5734"/>
    <w:rsid w:val="00A155A4"/>
    <w:rsid w:val="00A202D5"/>
    <w:rsid w:val="00A213E4"/>
    <w:rsid w:val="00A21B09"/>
    <w:rsid w:val="00A35157"/>
    <w:rsid w:val="00A45122"/>
    <w:rsid w:val="00A65AC2"/>
    <w:rsid w:val="00A70AFF"/>
    <w:rsid w:val="00A72FB0"/>
    <w:rsid w:val="00A73A36"/>
    <w:rsid w:val="00A968FA"/>
    <w:rsid w:val="00AA3A9A"/>
    <w:rsid w:val="00AA3F73"/>
    <w:rsid w:val="00AB5B93"/>
    <w:rsid w:val="00AD3EAA"/>
    <w:rsid w:val="00B15362"/>
    <w:rsid w:val="00B17A77"/>
    <w:rsid w:val="00B33C52"/>
    <w:rsid w:val="00B36F6F"/>
    <w:rsid w:val="00B41718"/>
    <w:rsid w:val="00B44540"/>
    <w:rsid w:val="00B50BC0"/>
    <w:rsid w:val="00B5125E"/>
    <w:rsid w:val="00B641E8"/>
    <w:rsid w:val="00B64E0A"/>
    <w:rsid w:val="00B666C8"/>
    <w:rsid w:val="00BA0CC4"/>
    <w:rsid w:val="00BA7227"/>
    <w:rsid w:val="00BC3A32"/>
    <w:rsid w:val="00BD2CCA"/>
    <w:rsid w:val="00BD5334"/>
    <w:rsid w:val="00BD7E66"/>
    <w:rsid w:val="00BE4F62"/>
    <w:rsid w:val="00BF55ED"/>
    <w:rsid w:val="00C11D2E"/>
    <w:rsid w:val="00C1295A"/>
    <w:rsid w:val="00C14888"/>
    <w:rsid w:val="00C32370"/>
    <w:rsid w:val="00C346A0"/>
    <w:rsid w:val="00C533C1"/>
    <w:rsid w:val="00C55DFB"/>
    <w:rsid w:val="00C7086F"/>
    <w:rsid w:val="00C71CD0"/>
    <w:rsid w:val="00C72068"/>
    <w:rsid w:val="00C80919"/>
    <w:rsid w:val="00C8703E"/>
    <w:rsid w:val="00CA1BA7"/>
    <w:rsid w:val="00CA3A18"/>
    <w:rsid w:val="00CC761E"/>
    <w:rsid w:val="00CD16EF"/>
    <w:rsid w:val="00CD6BB4"/>
    <w:rsid w:val="00CE508B"/>
    <w:rsid w:val="00D07157"/>
    <w:rsid w:val="00D21299"/>
    <w:rsid w:val="00D25F14"/>
    <w:rsid w:val="00D3707D"/>
    <w:rsid w:val="00D4349B"/>
    <w:rsid w:val="00D7186C"/>
    <w:rsid w:val="00D83694"/>
    <w:rsid w:val="00D84DD6"/>
    <w:rsid w:val="00DA1A20"/>
    <w:rsid w:val="00DA22E5"/>
    <w:rsid w:val="00DA620D"/>
    <w:rsid w:val="00DB664B"/>
    <w:rsid w:val="00DC41D8"/>
    <w:rsid w:val="00DD4FB6"/>
    <w:rsid w:val="00DE0242"/>
    <w:rsid w:val="00DE0257"/>
    <w:rsid w:val="00DE06F1"/>
    <w:rsid w:val="00DE52EC"/>
    <w:rsid w:val="00DF2E36"/>
    <w:rsid w:val="00DF6182"/>
    <w:rsid w:val="00E02E04"/>
    <w:rsid w:val="00E85EB7"/>
    <w:rsid w:val="00E85ECF"/>
    <w:rsid w:val="00EA5DE5"/>
    <w:rsid w:val="00EA7786"/>
    <w:rsid w:val="00EB42AB"/>
    <w:rsid w:val="00EB50E0"/>
    <w:rsid w:val="00EB6D9F"/>
    <w:rsid w:val="00ED7A39"/>
    <w:rsid w:val="00EE533B"/>
    <w:rsid w:val="00EE5838"/>
    <w:rsid w:val="00F13422"/>
    <w:rsid w:val="00F17E7A"/>
    <w:rsid w:val="00F313C2"/>
    <w:rsid w:val="00F377C3"/>
    <w:rsid w:val="00F77CC0"/>
    <w:rsid w:val="00F843D4"/>
    <w:rsid w:val="00FA7691"/>
    <w:rsid w:val="00FC4A6B"/>
    <w:rsid w:val="00FD2A18"/>
    <w:rsid w:val="00FD4106"/>
    <w:rsid w:val="00FD7EA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E4138"/>
  <w15:docId w15:val="{42171154-48AB-4921-A618-E5E5EB45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9EF"/>
  </w:style>
  <w:style w:type="paragraph" w:styleId="Nadpis1">
    <w:name w:val="heading 1"/>
    <w:basedOn w:val="Normln"/>
    <w:link w:val="Nadpis1Char"/>
    <w:uiPriority w:val="9"/>
    <w:qFormat/>
    <w:rsid w:val="007C3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link w:val="Nadpis4Char"/>
    <w:uiPriority w:val="9"/>
    <w:qFormat/>
    <w:rsid w:val="007C3D6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 w:val="22"/>
      <w:szCs w:val="24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4F6A7A"/>
  </w:style>
  <w:style w:type="character" w:styleId="Siln">
    <w:name w:val="Strong"/>
    <w:uiPriority w:val="22"/>
    <w:qFormat/>
    <w:rsid w:val="005A74B9"/>
    <w:rPr>
      <w:b/>
      <w:bCs/>
    </w:rPr>
  </w:style>
  <w:style w:type="character" w:customStyle="1" w:styleId="Nadpis1Char">
    <w:name w:val="Nadpis 1 Char"/>
    <w:link w:val="Nadpis1"/>
    <w:uiPriority w:val="9"/>
    <w:rsid w:val="007C3D6C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C3D6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C3D6C"/>
    <w:pPr>
      <w:spacing w:before="100" w:beforeAutospacing="1" w:after="100" w:afterAutospacing="1"/>
    </w:pPr>
    <w:rPr>
      <w:sz w:val="24"/>
      <w:szCs w:val="24"/>
    </w:rPr>
  </w:style>
  <w:style w:type="character" w:customStyle="1" w:styleId="Zdraznn1">
    <w:name w:val="Zdůraznění1"/>
    <w:uiPriority w:val="20"/>
    <w:qFormat/>
    <w:rsid w:val="007C3D6C"/>
    <w:rPr>
      <w:i/>
      <w:iCs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DE06F1"/>
    <w:rPr>
      <w:rFonts w:ascii="Georgia" w:eastAsia="Calibri" w:hAnsi="Georgia" w:cs="Arial"/>
      <w:b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unhideWhenUsed/>
    <w:rsid w:val="00DE06F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lang w:eastAsia="en-US"/>
    </w:rPr>
  </w:style>
  <w:style w:type="character" w:customStyle="1" w:styleId="ZhlavzprvyChar1">
    <w:name w:val="Záhlaví zprávy Char1"/>
    <w:basedOn w:val="Standardnpsmoodstavce"/>
    <w:uiPriority w:val="99"/>
    <w:semiHidden/>
    <w:rsid w:val="00DE06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qFormat/>
    <w:rsid w:val="00DE06F1"/>
  </w:style>
  <w:style w:type="paragraph" w:styleId="Odstavecseseznamem">
    <w:name w:val="List Paragraph"/>
    <w:aliases w:val="Nad,Odstavec cíl se seznamem,Odstavec se seznamem5,Odstavec_muj,List Paragraph,Odrážky,Conclusion de partie,_Odstavec se seznamem,Seznam - odrážky"/>
    <w:basedOn w:val="Normln"/>
    <w:link w:val="OdstavecseseznamemChar"/>
    <w:uiPriority w:val="34"/>
    <w:qFormat/>
    <w:rsid w:val="00B666C8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Conclusion de partie Char,_Odstavec se seznamem Char,Seznam - odrážky Char"/>
    <w:basedOn w:val="Standardnpsmoodstavce"/>
    <w:link w:val="Odstavecseseznamem"/>
    <w:uiPriority w:val="34"/>
    <w:locked/>
    <w:rsid w:val="00C3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atelitni_ucet_cestovniho_ruc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tiskova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tiskova_zprava</Template>
  <TotalTime>1196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Braun: Jsme připraveni na vyjednávání</vt:lpstr>
    </vt:vector>
  </TitlesOfParts>
  <Company>MMR</Company>
  <LinksUpToDate>false</LinksUpToDate>
  <CharactersWithSpaces>2369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mailto:media@mmr.cz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Braun: Jsme připraveni na vyjednávání</dc:title>
  <dc:creator>Hervert Štěpán</dc:creator>
  <cp:lastModifiedBy>Hervert Štěpán</cp:lastModifiedBy>
  <cp:revision>3</cp:revision>
  <cp:lastPrinted>2017-02-09T14:21:00Z</cp:lastPrinted>
  <dcterms:created xsi:type="dcterms:W3CDTF">2019-03-04T14:18:00Z</dcterms:created>
  <dcterms:modified xsi:type="dcterms:W3CDTF">2019-03-05T15:10:00Z</dcterms:modified>
</cp:coreProperties>
</file>