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20C26" w14:textId="15EDD5EB" w:rsidR="00587A1F" w:rsidRDefault="00D44A70" w:rsidP="00D44A70">
      <w:pPr>
        <w:jc w:val="center"/>
        <w:rPr>
          <w:b/>
          <w:bCs/>
          <w:sz w:val="36"/>
          <w:szCs w:val="36"/>
        </w:rPr>
      </w:pPr>
      <w:r w:rsidRPr="00D44A70">
        <w:rPr>
          <w:b/>
          <w:bCs/>
          <w:sz w:val="36"/>
          <w:szCs w:val="36"/>
        </w:rPr>
        <w:t>Často kladené dotazy k výzvě Finanční podpora na přípravu projektů v souladu s cíli EU (4.1.3)</w:t>
      </w:r>
    </w:p>
    <w:tbl>
      <w:tblPr>
        <w:tblStyle w:val="Mkatabulky"/>
        <w:tblW w:w="0" w:type="auto"/>
        <w:tblLook w:val="04A0" w:firstRow="1" w:lastRow="0" w:firstColumn="1" w:lastColumn="0" w:noHBand="0" w:noVBand="1"/>
      </w:tblPr>
      <w:tblGrid>
        <w:gridCol w:w="1808"/>
        <w:gridCol w:w="5956"/>
        <w:gridCol w:w="6230"/>
      </w:tblGrid>
      <w:tr w:rsidR="00D44A70" w14:paraId="51190468" w14:textId="77777777" w:rsidTr="000A2DAE">
        <w:trPr>
          <w:trHeight w:val="349"/>
        </w:trPr>
        <w:tc>
          <w:tcPr>
            <w:tcW w:w="1808" w:type="dxa"/>
            <w:shd w:val="clear" w:color="auto" w:fill="B4C6E7" w:themeFill="accent1" w:themeFillTint="66"/>
          </w:tcPr>
          <w:p w14:paraId="67507087" w14:textId="47FC0E71" w:rsidR="00D44A70" w:rsidRPr="00D44A70" w:rsidRDefault="00D44A70" w:rsidP="00D44A70">
            <w:pPr>
              <w:rPr>
                <w:b/>
                <w:bCs/>
                <w:sz w:val="24"/>
                <w:szCs w:val="24"/>
              </w:rPr>
            </w:pPr>
            <w:r w:rsidRPr="00D44A70">
              <w:rPr>
                <w:b/>
                <w:bCs/>
                <w:sz w:val="24"/>
                <w:szCs w:val="24"/>
              </w:rPr>
              <w:t>Téma</w:t>
            </w:r>
          </w:p>
        </w:tc>
        <w:tc>
          <w:tcPr>
            <w:tcW w:w="5956" w:type="dxa"/>
            <w:shd w:val="clear" w:color="auto" w:fill="B4C6E7" w:themeFill="accent1" w:themeFillTint="66"/>
          </w:tcPr>
          <w:p w14:paraId="13F9D6A5" w14:textId="03C1C709" w:rsidR="00D44A70" w:rsidRPr="00D44A70" w:rsidRDefault="00D44A70" w:rsidP="00D44A70">
            <w:pPr>
              <w:rPr>
                <w:b/>
                <w:bCs/>
                <w:sz w:val="24"/>
                <w:szCs w:val="24"/>
              </w:rPr>
            </w:pPr>
            <w:r w:rsidRPr="00D44A70">
              <w:rPr>
                <w:b/>
                <w:bCs/>
                <w:sz w:val="24"/>
                <w:szCs w:val="24"/>
              </w:rPr>
              <w:t>Dotaz</w:t>
            </w:r>
          </w:p>
        </w:tc>
        <w:tc>
          <w:tcPr>
            <w:tcW w:w="6230" w:type="dxa"/>
            <w:shd w:val="clear" w:color="auto" w:fill="B4C6E7" w:themeFill="accent1" w:themeFillTint="66"/>
          </w:tcPr>
          <w:p w14:paraId="72AC251F" w14:textId="3F6ADA2A" w:rsidR="00D44A70" w:rsidRPr="00D44A70" w:rsidRDefault="00D44A70" w:rsidP="00D44A70">
            <w:pPr>
              <w:rPr>
                <w:b/>
                <w:bCs/>
                <w:sz w:val="24"/>
                <w:szCs w:val="24"/>
              </w:rPr>
            </w:pPr>
            <w:r w:rsidRPr="00D44A70">
              <w:rPr>
                <w:b/>
                <w:bCs/>
                <w:sz w:val="24"/>
                <w:szCs w:val="24"/>
              </w:rPr>
              <w:t>Odpověď</w:t>
            </w:r>
          </w:p>
        </w:tc>
      </w:tr>
      <w:tr w:rsidR="00F22BB3" w:rsidRPr="006B0E1E" w14:paraId="07FDEDFA" w14:textId="77777777" w:rsidTr="000A2DAE">
        <w:tc>
          <w:tcPr>
            <w:tcW w:w="1808" w:type="dxa"/>
          </w:tcPr>
          <w:p w14:paraId="7FEC1D99" w14:textId="5A8C6DC6" w:rsidR="00F22BB3" w:rsidRDefault="00F22BB3" w:rsidP="006B0E1E">
            <w:pPr>
              <w:rPr>
                <w:b/>
                <w:bCs/>
                <w:sz w:val="24"/>
                <w:szCs w:val="24"/>
              </w:rPr>
            </w:pPr>
            <w:r>
              <w:rPr>
                <w:b/>
                <w:bCs/>
                <w:sz w:val="24"/>
                <w:szCs w:val="24"/>
              </w:rPr>
              <w:t>Povinné přílohy</w:t>
            </w:r>
          </w:p>
        </w:tc>
        <w:tc>
          <w:tcPr>
            <w:tcW w:w="5956" w:type="dxa"/>
          </w:tcPr>
          <w:p w14:paraId="20387EBB" w14:textId="3C9774D5" w:rsidR="00F22BB3" w:rsidRPr="009A0D7D" w:rsidRDefault="00F22BB3" w:rsidP="006B0E1E">
            <w:pPr>
              <w:jc w:val="both"/>
              <w:rPr>
                <w:sz w:val="24"/>
                <w:szCs w:val="24"/>
              </w:rPr>
            </w:pPr>
            <w:r>
              <w:rPr>
                <w:sz w:val="24"/>
                <w:szCs w:val="24"/>
              </w:rPr>
              <w:t>Jaké bude žadatel dokládat povinné přílohy</w:t>
            </w:r>
            <w:r w:rsidR="00FC19F2">
              <w:rPr>
                <w:sz w:val="24"/>
                <w:szCs w:val="24"/>
              </w:rPr>
              <w:t xml:space="preserve">, tak jak jsou popsány ve výzvě? </w:t>
            </w:r>
          </w:p>
        </w:tc>
        <w:tc>
          <w:tcPr>
            <w:tcW w:w="6230" w:type="dxa"/>
          </w:tcPr>
          <w:p w14:paraId="195CEBCA" w14:textId="05997BB1" w:rsidR="00FC19F2" w:rsidRDefault="00FC19F2" w:rsidP="006B0E1E">
            <w:pPr>
              <w:jc w:val="both"/>
              <w:rPr>
                <w:sz w:val="24"/>
                <w:szCs w:val="24"/>
              </w:rPr>
            </w:pPr>
            <w:r>
              <w:rPr>
                <w:sz w:val="24"/>
                <w:szCs w:val="24"/>
              </w:rPr>
              <w:t xml:space="preserve">Výzva popisuje následující povinné přílohy: </w:t>
            </w:r>
          </w:p>
          <w:p w14:paraId="2FEDEAE6" w14:textId="744DC48A" w:rsidR="00FC19F2" w:rsidRPr="00FC19F2" w:rsidRDefault="00FC19F2" w:rsidP="00FC19F2">
            <w:pPr>
              <w:pStyle w:val="Odstavecseseznamem"/>
              <w:numPr>
                <w:ilvl w:val="0"/>
                <w:numId w:val="1"/>
              </w:numPr>
              <w:spacing w:beforeLines="40" w:before="96" w:afterLines="40" w:after="96" w:line="300" w:lineRule="auto"/>
              <w:contextualSpacing w:val="0"/>
              <w:rPr>
                <w:color w:val="auto"/>
                <w:sz w:val="24"/>
                <w:szCs w:val="24"/>
              </w:rPr>
            </w:pPr>
            <w:r w:rsidRPr="00FC19F2">
              <w:rPr>
                <w:color w:val="auto"/>
                <w:sz w:val="24"/>
                <w:szCs w:val="24"/>
              </w:rPr>
              <w:t>Plná moc pro žadatele není-li jím oprávněný příjemce.</w:t>
            </w:r>
            <w:r>
              <w:rPr>
                <w:color w:val="auto"/>
                <w:sz w:val="24"/>
                <w:szCs w:val="24"/>
              </w:rPr>
              <w:t xml:space="preserve"> </w:t>
            </w:r>
            <w:r w:rsidRPr="00FC19F2">
              <w:rPr>
                <w:b/>
                <w:bCs/>
                <w:color w:val="auto"/>
                <w:sz w:val="24"/>
                <w:szCs w:val="24"/>
              </w:rPr>
              <w:t>(</w:t>
            </w:r>
            <w:r>
              <w:rPr>
                <w:b/>
                <w:bCs/>
                <w:color w:val="auto"/>
                <w:sz w:val="24"/>
                <w:szCs w:val="24"/>
              </w:rPr>
              <w:t>P</w:t>
            </w:r>
            <w:r w:rsidRPr="00FC19F2">
              <w:rPr>
                <w:b/>
                <w:bCs/>
                <w:color w:val="auto"/>
                <w:sz w:val="24"/>
                <w:szCs w:val="24"/>
              </w:rPr>
              <w:t>říloha č. 7)</w:t>
            </w:r>
            <w:r>
              <w:rPr>
                <w:color w:val="auto"/>
                <w:sz w:val="24"/>
                <w:szCs w:val="24"/>
              </w:rPr>
              <w:t>.</w:t>
            </w:r>
          </w:p>
          <w:p w14:paraId="55594635" w14:textId="6BEFDA5E"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 xml:space="preserve">Popis projektu ve formátu stanovené šablony </w:t>
            </w:r>
            <w:r w:rsidRPr="00FC19F2">
              <w:rPr>
                <w:b/>
                <w:bCs/>
                <w:color w:val="auto"/>
                <w:sz w:val="24"/>
                <w:szCs w:val="24"/>
              </w:rPr>
              <w:t>(</w:t>
            </w:r>
            <w:r>
              <w:rPr>
                <w:b/>
                <w:bCs/>
                <w:color w:val="auto"/>
                <w:sz w:val="24"/>
                <w:szCs w:val="24"/>
              </w:rPr>
              <w:t>P</w:t>
            </w:r>
            <w:r w:rsidRPr="00FC19F2">
              <w:rPr>
                <w:b/>
                <w:bCs/>
                <w:color w:val="auto"/>
                <w:sz w:val="24"/>
                <w:szCs w:val="24"/>
              </w:rPr>
              <w:t>říloha č. 5)</w:t>
            </w:r>
            <w:r w:rsidRPr="00FC19F2">
              <w:rPr>
                <w:color w:val="auto"/>
                <w:sz w:val="24"/>
                <w:szCs w:val="24"/>
              </w:rPr>
              <w:t>.</w:t>
            </w:r>
          </w:p>
          <w:p w14:paraId="5CE73220" w14:textId="59DAA44F"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Doklad o prokázání právních vztahů k nemovitému majetku nezbytného k realizaci projektu.</w:t>
            </w:r>
            <w:r>
              <w:rPr>
                <w:color w:val="auto"/>
                <w:sz w:val="24"/>
                <w:szCs w:val="24"/>
              </w:rPr>
              <w:t xml:space="preserve"> </w:t>
            </w:r>
          </w:p>
          <w:p w14:paraId="2C7ACB6B" w14:textId="6A31AFBC"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Čestné prohlášení o střetu zájmů.</w:t>
            </w:r>
            <w:r>
              <w:rPr>
                <w:color w:val="auto"/>
                <w:sz w:val="24"/>
                <w:szCs w:val="24"/>
              </w:rPr>
              <w:t xml:space="preserve"> </w:t>
            </w:r>
            <w:r w:rsidRPr="00FC19F2">
              <w:rPr>
                <w:b/>
                <w:bCs/>
                <w:color w:val="auto"/>
                <w:sz w:val="24"/>
                <w:szCs w:val="24"/>
              </w:rPr>
              <w:t>(Příloha č. 4)</w:t>
            </w:r>
            <w:r>
              <w:rPr>
                <w:color w:val="auto"/>
                <w:sz w:val="24"/>
                <w:szCs w:val="24"/>
              </w:rPr>
              <w:t>.</w:t>
            </w:r>
          </w:p>
          <w:p w14:paraId="7DDAA0E2" w14:textId="1D08F9C5"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Seznam a čestné prohlášení ke střetu zájmů u veřejných zakázek.</w:t>
            </w:r>
            <w:r>
              <w:rPr>
                <w:color w:val="auto"/>
                <w:sz w:val="24"/>
                <w:szCs w:val="24"/>
              </w:rPr>
              <w:t xml:space="preserve"> </w:t>
            </w:r>
            <w:r w:rsidRPr="00FC19F2">
              <w:rPr>
                <w:b/>
                <w:bCs/>
                <w:color w:val="auto"/>
                <w:sz w:val="24"/>
                <w:szCs w:val="24"/>
              </w:rPr>
              <w:t>(Příloha č. 6)</w:t>
            </w:r>
            <w:r>
              <w:rPr>
                <w:b/>
                <w:bCs/>
                <w:color w:val="auto"/>
                <w:sz w:val="24"/>
                <w:szCs w:val="24"/>
              </w:rPr>
              <w:t>.</w:t>
            </w:r>
            <w:r>
              <w:rPr>
                <w:color w:val="auto"/>
                <w:sz w:val="24"/>
                <w:szCs w:val="24"/>
              </w:rPr>
              <w:t xml:space="preserve"> </w:t>
            </w:r>
          </w:p>
          <w:p w14:paraId="47B132E8" w14:textId="15AEB876"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 xml:space="preserve">Čestné prohlášení o </w:t>
            </w:r>
            <w:bookmarkStart w:id="0" w:name="_Hlk61009943"/>
            <w:r w:rsidRPr="00FC19F2">
              <w:rPr>
                <w:color w:val="auto"/>
                <w:sz w:val="24"/>
                <w:szCs w:val="24"/>
              </w:rPr>
              <w:t>skutečném majiteli.</w:t>
            </w:r>
            <w:bookmarkEnd w:id="0"/>
            <w:r>
              <w:rPr>
                <w:color w:val="auto"/>
                <w:sz w:val="24"/>
                <w:szCs w:val="24"/>
              </w:rPr>
              <w:t xml:space="preserve"> </w:t>
            </w:r>
            <w:r w:rsidRPr="00FC19F2">
              <w:rPr>
                <w:b/>
                <w:bCs/>
                <w:color w:val="auto"/>
                <w:sz w:val="24"/>
                <w:szCs w:val="24"/>
              </w:rPr>
              <w:t>(Příloha č. 4)</w:t>
            </w:r>
            <w:r>
              <w:rPr>
                <w:color w:val="auto"/>
                <w:sz w:val="24"/>
                <w:szCs w:val="24"/>
              </w:rPr>
              <w:t>.</w:t>
            </w:r>
          </w:p>
          <w:p w14:paraId="35B985D1" w14:textId="6AE731F3" w:rsidR="00FC19F2" w:rsidRPr="00FC19F2" w:rsidRDefault="00FC19F2" w:rsidP="00FC19F2">
            <w:pPr>
              <w:pStyle w:val="Odstavecseseznamem"/>
              <w:numPr>
                <w:ilvl w:val="0"/>
                <w:numId w:val="1"/>
              </w:numPr>
              <w:spacing w:beforeLines="40" w:before="96" w:afterLines="40" w:after="96" w:line="300" w:lineRule="auto"/>
              <w:contextualSpacing w:val="0"/>
              <w:jc w:val="both"/>
              <w:rPr>
                <w:color w:val="auto"/>
                <w:sz w:val="24"/>
                <w:szCs w:val="24"/>
              </w:rPr>
            </w:pPr>
            <w:r w:rsidRPr="00FC19F2">
              <w:rPr>
                <w:color w:val="auto"/>
                <w:sz w:val="24"/>
                <w:szCs w:val="24"/>
              </w:rPr>
              <w:t>Finanční model následné realizace výstupu projektu. Platí pouze v případě podání projektu, pro který platí následná podmínka o realizaci stavby.</w:t>
            </w:r>
            <w:r>
              <w:rPr>
                <w:color w:val="auto"/>
                <w:sz w:val="24"/>
                <w:szCs w:val="24"/>
              </w:rPr>
              <w:t xml:space="preserve"> </w:t>
            </w:r>
            <w:r w:rsidRPr="00FC19F2">
              <w:rPr>
                <w:b/>
                <w:bCs/>
                <w:color w:val="auto"/>
                <w:sz w:val="24"/>
                <w:szCs w:val="24"/>
              </w:rPr>
              <w:t>(Příloha č. 15)</w:t>
            </w:r>
            <w:r>
              <w:rPr>
                <w:b/>
                <w:bCs/>
                <w:color w:val="auto"/>
                <w:sz w:val="24"/>
                <w:szCs w:val="24"/>
              </w:rPr>
              <w:t>.</w:t>
            </w:r>
          </w:p>
          <w:p w14:paraId="3262810F" w14:textId="21AB62C5" w:rsidR="00F22BB3" w:rsidRPr="00FC19F2" w:rsidRDefault="00F22BB3" w:rsidP="006B0E1E">
            <w:pPr>
              <w:jc w:val="both"/>
              <w:rPr>
                <w:b/>
                <w:bCs/>
                <w:sz w:val="24"/>
                <w:szCs w:val="24"/>
              </w:rPr>
            </w:pPr>
            <w:r w:rsidRPr="00FC19F2">
              <w:rPr>
                <w:b/>
                <w:bCs/>
                <w:sz w:val="24"/>
                <w:szCs w:val="24"/>
              </w:rPr>
              <w:t>Povinná příloha uvedená ve výzvě pod č.</w:t>
            </w:r>
            <w:r w:rsidR="00FC19F2" w:rsidRPr="00FC19F2">
              <w:rPr>
                <w:b/>
                <w:bCs/>
                <w:sz w:val="24"/>
                <w:szCs w:val="24"/>
              </w:rPr>
              <w:t xml:space="preserve"> 4 a</w:t>
            </w:r>
            <w:r w:rsidRPr="00FC19F2">
              <w:rPr>
                <w:b/>
                <w:bCs/>
                <w:sz w:val="24"/>
                <w:szCs w:val="24"/>
              </w:rPr>
              <w:t xml:space="preserve"> 6 je součástí </w:t>
            </w:r>
            <w:r w:rsidR="005E0E4E">
              <w:rPr>
                <w:b/>
                <w:bCs/>
                <w:sz w:val="24"/>
                <w:szCs w:val="24"/>
              </w:rPr>
              <w:t xml:space="preserve">jedné </w:t>
            </w:r>
            <w:r w:rsidRPr="00FC19F2">
              <w:rPr>
                <w:b/>
                <w:bCs/>
                <w:sz w:val="24"/>
                <w:szCs w:val="24"/>
              </w:rPr>
              <w:t>přílohy Pravidel pro žadatele a příjemce</w:t>
            </w:r>
            <w:r w:rsidR="00FC19F2" w:rsidRPr="00FC19F2">
              <w:rPr>
                <w:b/>
                <w:bCs/>
                <w:sz w:val="24"/>
                <w:szCs w:val="24"/>
              </w:rPr>
              <w:t>, a to</w:t>
            </w:r>
            <w:r w:rsidRPr="00FC19F2">
              <w:rPr>
                <w:b/>
                <w:bCs/>
                <w:sz w:val="24"/>
                <w:szCs w:val="24"/>
              </w:rPr>
              <w:t xml:space="preserve"> č. 4. Příjemce o dotaci tedy bude</w:t>
            </w:r>
            <w:r w:rsidR="005E0E4E">
              <w:rPr>
                <w:b/>
                <w:bCs/>
                <w:sz w:val="24"/>
                <w:szCs w:val="24"/>
              </w:rPr>
              <w:t>,</w:t>
            </w:r>
            <w:r w:rsidRPr="00FC19F2">
              <w:rPr>
                <w:b/>
                <w:bCs/>
                <w:sz w:val="24"/>
                <w:szCs w:val="24"/>
              </w:rPr>
              <w:t xml:space="preserve"> dle výzvy</w:t>
            </w:r>
            <w:r w:rsidR="005E0E4E">
              <w:rPr>
                <w:b/>
                <w:bCs/>
                <w:sz w:val="24"/>
                <w:szCs w:val="24"/>
              </w:rPr>
              <w:t>,</w:t>
            </w:r>
            <w:r w:rsidRPr="00FC19F2">
              <w:rPr>
                <w:b/>
                <w:bCs/>
                <w:sz w:val="24"/>
                <w:szCs w:val="24"/>
              </w:rPr>
              <w:t xml:space="preserve"> dokládat šest povinných příloh</w:t>
            </w:r>
            <w:r w:rsidR="00FC19F2" w:rsidRPr="00FC19F2">
              <w:rPr>
                <w:b/>
                <w:bCs/>
                <w:sz w:val="24"/>
                <w:szCs w:val="24"/>
              </w:rPr>
              <w:t>.</w:t>
            </w:r>
            <w:r w:rsidRPr="00FC19F2">
              <w:rPr>
                <w:b/>
                <w:bCs/>
                <w:sz w:val="24"/>
                <w:szCs w:val="24"/>
              </w:rPr>
              <w:t xml:space="preserve"> </w:t>
            </w:r>
          </w:p>
        </w:tc>
      </w:tr>
      <w:tr w:rsidR="00D44A70" w:rsidRPr="006B0E1E" w14:paraId="69676753" w14:textId="77777777" w:rsidTr="000A2DAE">
        <w:tc>
          <w:tcPr>
            <w:tcW w:w="1808" w:type="dxa"/>
          </w:tcPr>
          <w:p w14:paraId="47CAE438" w14:textId="7C6C9067" w:rsidR="00D44A70" w:rsidRPr="006B0E1E" w:rsidRDefault="006B0E1E" w:rsidP="006B0E1E">
            <w:pPr>
              <w:rPr>
                <w:b/>
                <w:bCs/>
                <w:sz w:val="24"/>
                <w:szCs w:val="24"/>
              </w:rPr>
            </w:pPr>
            <w:bookmarkStart w:id="1" w:name="_Hlk150936156"/>
            <w:r>
              <w:rPr>
                <w:b/>
                <w:bCs/>
                <w:sz w:val="24"/>
                <w:szCs w:val="24"/>
              </w:rPr>
              <w:t>Rekonstrukce</w:t>
            </w:r>
          </w:p>
        </w:tc>
        <w:tc>
          <w:tcPr>
            <w:tcW w:w="5956" w:type="dxa"/>
          </w:tcPr>
          <w:p w14:paraId="4DA21B66" w14:textId="74FC8A48" w:rsidR="00D44A70" w:rsidRPr="009A0D7D" w:rsidRDefault="009A0D7D" w:rsidP="006B0E1E">
            <w:pPr>
              <w:jc w:val="both"/>
              <w:rPr>
                <w:sz w:val="24"/>
                <w:szCs w:val="24"/>
              </w:rPr>
            </w:pPr>
            <w:r w:rsidRPr="009A0D7D">
              <w:rPr>
                <w:sz w:val="24"/>
                <w:szCs w:val="24"/>
              </w:rPr>
              <w:t>Rekonstruujeme stávající bytové jednotky v bytovém domě a</w:t>
            </w:r>
            <w:r w:rsidR="009654FB">
              <w:rPr>
                <w:sz w:val="24"/>
                <w:szCs w:val="24"/>
              </w:rPr>
              <w:t xml:space="preserve"> </w:t>
            </w:r>
            <w:r w:rsidRPr="009A0D7D">
              <w:rPr>
                <w:sz w:val="24"/>
                <w:szCs w:val="24"/>
              </w:rPr>
              <w:t xml:space="preserve">zároveň navyšujeme kapacitu přístavbou 2 bytů. </w:t>
            </w:r>
            <w:r>
              <w:rPr>
                <w:sz w:val="24"/>
                <w:szCs w:val="24"/>
              </w:rPr>
              <w:t>J</w:t>
            </w:r>
            <w:r w:rsidRPr="009A0D7D">
              <w:rPr>
                <w:sz w:val="24"/>
                <w:szCs w:val="24"/>
              </w:rPr>
              <w:t>e způsobilým výdajem celá projektová dokumentace (včetně rekonstruovaných stávajících BJ</w:t>
            </w:r>
            <w:r w:rsidR="009654FB">
              <w:rPr>
                <w:sz w:val="24"/>
                <w:szCs w:val="24"/>
              </w:rPr>
              <w:t>)</w:t>
            </w:r>
            <w:r w:rsidRPr="009A0D7D">
              <w:rPr>
                <w:sz w:val="24"/>
                <w:szCs w:val="24"/>
              </w:rPr>
              <w:t>, nebo jen navýšení kapacity (nově vzniklé BJ)?</w:t>
            </w:r>
          </w:p>
        </w:tc>
        <w:tc>
          <w:tcPr>
            <w:tcW w:w="6230" w:type="dxa"/>
          </w:tcPr>
          <w:p w14:paraId="5423D99D" w14:textId="66EC172F" w:rsidR="009A0D7D" w:rsidRPr="00A31495" w:rsidRDefault="0002096F" w:rsidP="006B0E1E">
            <w:pPr>
              <w:jc w:val="both"/>
              <w:rPr>
                <w:sz w:val="24"/>
                <w:szCs w:val="24"/>
              </w:rPr>
            </w:pPr>
            <w:r w:rsidRPr="00A31495">
              <w:rPr>
                <w:sz w:val="24"/>
                <w:szCs w:val="24"/>
              </w:rPr>
              <w:t xml:space="preserve">Ano, způsobilým výdajem bude celá projektová dokumentace. Tj. v projektové dokumentaci bude zahrnuta jak rekonstrukce stávajících BJ, tak těch, které navyšují kapacitu (jedná se o jednu, technicky provázanou, projektovou dokumentaci).  </w:t>
            </w:r>
          </w:p>
          <w:p w14:paraId="4CCBBADD" w14:textId="77777777" w:rsidR="009A0D7D" w:rsidRDefault="009A0D7D" w:rsidP="006B0E1E">
            <w:pPr>
              <w:jc w:val="both"/>
              <w:rPr>
                <w:sz w:val="24"/>
                <w:szCs w:val="24"/>
              </w:rPr>
            </w:pPr>
          </w:p>
          <w:p w14:paraId="5F01F6D6" w14:textId="42C63777" w:rsidR="009A0D7D" w:rsidRPr="006B0E1E" w:rsidRDefault="009A0D7D" w:rsidP="006B0E1E">
            <w:pPr>
              <w:jc w:val="both"/>
              <w:rPr>
                <w:b/>
                <w:bCs/>
                <w:sz w:val="24"/>
                <w:szCs w:val="24"/>
              </w:rPr>
            </w:pPr>
            <w:r w:rsidRPr="009A0D7D">
              <w:rPr>
                <w:sz w:val="24"/>
                <w:szCs w:val="24"/>
              </w:rPr>
              <w:t>Nicméně</w:t>
            </w:r>
            <w:r w:rsidR="00782773">
              <w:rPr>
                <w:sz w:val="24"/>
                <w:szCs w:val="24"/>
              </w:rPr>
              <w:t xml:space="preserve"> </w:t>
            </w:r>
            <w:r w:rsidR="002A630B" w:rsidRPr="009A0D7D">
              <w:rPr>
                <w:sz w:val="24"/>
                <w:szCs w:val="24"/>
              </w:rPr>
              <w:t xml:space="preserve">musí </w:t>
            </w:r>
            <w:r w:rsidR="00A31495">
              <w:rPr>
                <w:sz w:val="24"/>
                <w:szCs w:val="24"/>
              </w:rPr>
              <w:t xml:space="preserve">být splněna podmínka, že se jedná </w:t>
            </w:r>
            <w:r w:rsidRPr="009A0D7D">
              <w:rPr>
                <w:sz w:val="24"/>
                <w:szCs w:val="24"/>
              </w:rPr>
              <w:t>o bytový dům se 4 a více byty</w:t>
            </w:r>
            <w:r w:rsidR="002A630B">
              <w:rPr>
                <w:sz w:val="24"/>
                <w:szCs w:val="24"/>
              </w:rPr>
              <w:t xml:space="preserve"> určenými k nájemnímu bydlení.</w:t>
            </w:r>
          </w:p>
        </w:tc>
      </w:tr>
      <w:bookmarkEnd w:id="1"/>
      <w:tr w:rsidR="00D44A70" w:rsidRPr="006B0E1E" w14:paraId="78D051D5" w14:textId="77777777" w:rsidTr="000A2DAE">
        <w:tc>
          <w:tcPr>
            <w:tcW w:w="1808" w:type="dxa"/>
          </w:tcPr>
          <w:p w14:paraId="3EF3D775" w14:textId="74C221FB" w:rsidR="00D44A70" w:rsidRPr="006B0E1E" w:rsidRDefault="008D36A1" w:rsidP="006B0E1E">
            <w:pPr>
              <w:rPr>
                <w:b/>
                <w:bCs/>
                <w:sz w:val="24"/>
                <w:szCs w:val="24"/>
              </w:rPr>
            </w:pPr>
            <w:r>
              <w:rPr>
                <w:b/>
                <w:bCs/>
                <w:sz w:val="24"/>
                <w:szCs w:val="24"/>
              </w:rPr>
              <w:t>Doklad o vlastnictví nemovitého majetku</w:t>
            </w:r>
          </w:p>
        </w:tc>
        <w:tc>
          <w:tcPr>
            <w:tcW w:w="5956" w:type="dxa"/>
          </w:tcPr>
          <w:p w14:paraId="2B9D8A75" w14:textId="0018D18C" w:rsidR="00D44A70" w:rsidRPr="00847DED" w:rsidRDefault="00271D32" w:rsidP="006B0E1E">
            <w:pPr>
              <w:jc w:val="both"/>
              <w:rPr>
                <w:rFonts w:cstheme="minorHAnsi"/>
                <w:sz w:val="24"/>
                <w:szCs w:val="24"/>
              </w:rPr>
            </w:pPr>
            <w:r w:rsidRPr="00847DED">
              <w:rPr>
                <w:rFonts w:cstheme="minorHAnsi"/>
                <w:sz w:val="24"/>
                <w:szCs w:val="24"/>
              </w:rPr>
              <w:t xml:space="preserve">Lze k prokázání </w:t>
            </w:r>
            <w:r w:rsidR="00177077" w:rsidRPr="00847DED">
              <w:rPr>
                <w:rFonts w:cstheme="minorHAnsi"/>
                <w:sz w:val="24"/>
                <w:szCs w:val="24"/>
              </w:rPr>
              <w:t xml:space="preserve">právního vztahu k nemovitému majetku </w:t>
            </w:r>
            <w:r w:rsidRPr="00847DED">
              <w:rPr>
                <w:rFonts w:cstheme="minorHAnsi"/>
                <w:sz w:val="24"/>
                <w:szCs w:val="24"/>
              </w:rPr>
              <w:t>předložit také smlouvu o smlouvě budoucí kupní?</w:t>
            </w:r>
          </w:p>
        </w:tc>
        <w:tc>
          <w:tcPr>
            <w:tcW w:w="6230" w:type="dxa"/>
          </w:tcPr>
          <w:p w14:paraId="55D57402" w14:textId="32739301" w:rsidR="00D44A70" w:rsidRPr="006B0E1E" w:rsidRDefault="00177077" w:rsidP="006B0E1E">
            <w:pPr>
              <w:jc w:val="both"/>
              <w:rPr>
                <w:b/>
                <w:bCs/>
                <w:sz w:val="24"/>
                <w:szCs w:val="24"/>
              </w:rPr>
            </w:pPr>
            <w:r w:rsidRPr="00847DED">
              <w:rPr>
                <w:sz w:val="24"/>
                <w:szCs w:val="24"/>
              </w:rPr>
              <w:t xml:space="preserve">Za doklad o právním vztahu k nemovitému majetku bude považována také </w:t>
            </w:r>
            <w:r w:rsidRPr="00066287">
              <w:rPr>
                <w:b/>
                <w:bCs/>
                <w:sz w:val="24"/>
                <w:szCs w:val="24"/>
              </w:rPr>
              <w:t>smlouva o smlouvě budoucí kupní</w:t>
            </w:r>
            <w:r w:rsidRPr="00847DED">
              <w:rPr>
                <w:sz w:val="24"/>
                <w:szCs w:val="24"/>
              </w:rPr>
              <w:t xml:space="preserve">. V tomto případě je podmínkou, aby příjemce dotace </w:t>
            </w:r>
            <w:r w:rsidRPr="00066287">
              <w:rPr>
                <w:b/>
                <w:bCs/>
                <w:sz w:val="24"/>
                <w:szCs w:val="24"/>
              </w:rPr>
              <w:t>v rámci závěrečného vyhodnocení akce doložil doklad prokazující vlastnictví nemovitého majetku.</w:t>
            </w:r>
          </w:p>
        </w:tc>
      </w:tr>
      <w:tr w:rsidR="00D44A70" w:rsidRPr="006B0E1E" w14:paraId="343C6AA2" w14:textId="77777777" w:rsidTr="000A2DAE">
        <w:tc>
          <w:tcPr>
            <w:tcW w:w="1808" w:type="dxa"/>
          </w:tcPr>
          <w:p w14:paraId="6AE041CD" w14:textId="32D310CA" w:rsidR="00D44A70" w:rsidRPr="006B0E1E" w:rsidRDefault="006B0E1E" w:rsidP="006B0E1E">
            <w:pPr>
              <w:rPr>
                <w:b/>
                <w:bCs/>
                <w:sz w:val="24"/>
                <w:szCs w:val="24"/>
              </w:rPr>
            </w:pPr>
            <w:r>
              <w:rPr>
                <w:b/>
                <w:bCs/>
                <w:sz w:val="24"/>
                <w:szCs w:val="24"/>
              </w:rPr>
              <w:t>Veřejná podpora</w:t>
            </w:r>
          </w:p>
        </w:tc>
        <w:tc>
          <w:tcPr>
            <w:tcW w:w="5956" w:type="dxa"/>
          </w:tcPr>
          <w:p w14:paraId="38494531" w14:textId="2236A1A9" w:rsidR="00D44A70" w:rsidRPr="00271D32" w:rsidRDefault="00271D32" w:rsidP="006B0E1E">
            <w:pPr>
              <w:jc w:val="both"/>
              <w:rPr>
                <w:sz w:val="24"/>
                <w:szCs w:val="24"/>
              </w:rPr>
            </w:pPr>
            <w:r w:rsidRPr="00271D32">
              <w:rPr>
                <w:sz w:val="24"/>
                <w:szCs w:val="24"/>
              </w:rPr>
              <w:t>Jaké aktivity nezakládají veřejnou podporu?</w:t>
            </w:r>
          </w:p>
        </w:tc>
        <w:tc>
          <w:tcPr>
            <w:tcW w:w="6230" w:type="dxa"/>
          </w:tcPr>
          <w:p w14:paraId="237E5F55" w14:textId="22DE52AC" w:rsidR="00554076" w:rsidRPr="008D36A1" w:rsidRDefault="008D36A1" w:rsidP="00271D32">
            <w:pPr>
              <w:spacing w:line="276" w:lineRule="auto"/>
              <w:jc w:val="both"/>
              <w:rPr>
                <w:rFonts w:cstheme="minorHAnsi"/>
                <w:b/>
                <w:bCs/>
                <w:sz w:val="24"/>
                <w:szCs w:val="24"/>
              </w:rPr>
            </w:pPr>
            <w:r>
              <w:rPr>
                <w:rFonts w:cstheme="minorHAnsi"/>
                <w:sz w:val="24"/>
                <w:szCs w:val="24"/>
              </w:rPr>
              <w:t xml:space="preserve">Veřejnou podporu zakládají všechny vyjmenované podporované aktivity uvedené ve výzvě. </w:t>
            </w:r>
            <w:r w:rsidR="00554076" w:rsidRPr="008D36A1">
              <w:rPr>
                <w:rFonts w:cstheme="minorHAnsi"/>
                <w:b/>
                <w:bCs/>
                <w:sz w:val="24"/>
                <w:szCs w:val="24"/>
              </w:rPr>
              <w:t>Výjimk</w:t>
            </w:r>
            <w:r w:rsidRPr="008D36A1">
              <w:rPr>
                <w:rFonts w:cstheme="minorHAnsi"/>
                <w:b/>
                <w:bCs/>
                <w:sz w:val="24"/>
                <w:szCs w:val="24"/>
              </w:rPr>
              <w:t>u mohou tvořit náklady na přípravu smlouvy typu PPP/EPC, a to v případě že půjde o obecnou studii řešící otázku, zda má žadatel postupovat metodou PPP nebo metodou Design-build, zda má uvažovat o bydlení se sníženým nájemným či tržním nájemným, zda má požadovat v domě komerční nebytové prostory atd., zda mají být zakomponovány i veřejné služby. Může jít také o studii, která bude sloužit vyhotovení regulačního plánu na konkrétní pozemky či splnění podmínek EIA a další.</w:t>
            </w:r>
            <w:r w:rsidR="00554076" w:rsidRPr="008D36A1">
              <w:rPr>
                <w:rFonts w:cstheme="minorHAnsi"/>
                <w:b/>
                <w:bCs/>
                <w:sz w:val="24"/>
                <w:szCs w:val="24"/>
              </w:rPr>
              <w:t xml:space="preserve"> </w:t>
            </w:r>
          </w:p>
          <w:p w14:paraId="6DF03C0B" w14:textId="3EFC91AE" w:rsidR="00271D32" w:rsidRPr="006B0E1E" w:rsidRDefault="00271D32" w:rsidP="006B0E1E">
            <w:pPr>
              <w:jc w:val="both"/>
              <w:rPr>
                <w:b/>
                <w:bCs/>
                <w:sz w:val="24"/>
                <w:szCs w:val="24"/>
              </w:rPr>
            </w:pPr>
          </w:p>
        </w:tc>
      </w:tr>
      <w:tr w:rsidR="00D44A70" w:rsidRPr="006B0E1E" w14:paraId="28A3B779" w14:textId="77777777" w:rsidTr="000A2DAE">
        <w:tc>
          <w:tcPr>
            <w:tcW w:w="1808" w:type="dxa"/>
          </w:tcPr>
          <w:p w14:paraId="0CD38D6A" w14:textId="4A198326" w:rsidR="00D44A70" w:rsidRPr="006B0E1E" w:rsidRDefault="006A04A7" w:rsidP="006B0E1E">
            <w:pPr>
              <w:rPr>
                <w:b/>
                <w:bCs/>
                <w:sz w:val="24"/>
                <w:szCs w:val="24"/>
              </w:rPr>
            </w:pPr>
            <w:r>
              <w:rPr>
                <w:b/>
                <w:bCs/>
                <w:sz w:val="24"/>
                <w:szCs w:val="24"/>
              </w:rPr>
              <w:t>Smlouva o dílo</w:t>
            </w:r>
          </w:p>
        </w:tc>
        <w:tc>
          <w:tcPr>
            <w:tcW w:w="5956" w:type="dxa"/>
          </w:tcPr>
          <w:p w14:paraId="2AE4D6B4" w14:textId="7D0FD74D" w:rsidR="00D44A70" w:rsidRPr="006B0E1E" w:rsidRDefault="006B0E1E" w:rsidP="006B0E1E">
            <w:pPr>
              <w:jc w:val="both"/>
              <w:rPr>
                <w:sz w:val="24"/>
                <w:szCs w:val="24"/>
              </w:rPr>
            </w:pPr>
            <w:r w:rsidRPr="006B0E1E">
              <w:rPr>
                <w:sz w:val="24"/>
                <w:szCs w:val="24"/>
              </w:rPr>
              <w:t xml:space="preserve">Může být smlouva o dílo uzavřena před datem </w:t>
            </w:r>
            <w:r w:rsidR="00847DED">
              <w:rPr>
                <w:sz w:val="24"/>
                <w:szCs w:val="24"/>
              </w:rPr>
              <w:t xml:space="preserve">časové </w:t>
            </w:r>
            <w:r w:rsidRPr="006B0E1E">
              <w:rPr>
                <w:sz w:val="24"/>
                <w:szCs w:val="24"/>
              </w:rPr>
              <w:t>způsobilosti výdajů</w:t>
            </w:r>
            <w:r>
              <w:rPr>
                <w:sz w:val="24"/>
                <w:szCs w:val="24"/>
              </w:rPr>
              <w:t>?</w:t>
            </w:r>
          </w:p>
        </w:tc>
        <w:tc>
          <w:tcPr>
            <w:tcW w:w="6230" w:type="dxa"/>
          </w:tcPr>
          <w:p w14:paraId="280D7DE6" w14:textId="569E8388" w:rsidR="00D44A70" w:rsidRPr="006B0E1E" w:rsidRDefault="00847DED" w:rsidP="006B0E1E">
            <w:pPr>
              <w:jc w:val="both"/>
              <w:rPr>
                <w:sz w:val="24"/>
                <w:szCs w:val="24"/>
              </w:rPr>
            </w:pPr>
            <w:r>
              <w:rPr>
                <w:sz w:val="24"/>
                <w:szCs w:val="24"/>
              </w:rPr>
              <w:t>Ano, s</w:t>
            </w:r>
            <w:r w:rsidR="006B0E1E" w:rsidRPr="006B0E1E">
              <w:rPr>
                <w:sz w:val="24"/>
                <w:szCs w:val="24"/>
              </w:rPr>
              <w:t>mlouva o dílo může být uzavřena před 1. 1. 2023</w:t>
            </w:r>
            <w:r w:rsidR="008D36A1">
              <w:rPr>
                <w:sz w:val="24"/>
                <w:szCs w:val="24"/>
              </w:rPr>
              <w:t>.</w:t>
            </w:r>
          </w:p>
        </w:tc>
      </w:tr>
      <w:tr w:rsidR="009654FB" w:rsidRPr="006B0E1E" w14:paraId="6FA071DF" w14:textId="77777777" w:rsidTr="000A2DAE">
        <w:tc>
          <w:tcPr>
            <w:tcW w:w="1808" w:type="dxa"/>
          </w:tcPr>
          <w:p w14:paraId="33CB316E" w14:textId="53CC8809" w:rsidR="009654FB" w:rsidRDefault="009654FB" w:rsidP="006B0E1E">
            <w:pPr>
              <w:rPr>
                <w:b/>
                <w:bCs/>
                <w:sz w:val="24"/>
                <w:szCs w:val="24"/>
              </w:rPr>
            </w:pPr>
            <w:r>
              <w:rPr>
                <w:b/>
                <w:bCs/>
                <w:sz w:val="24"/>
                <w:szCs w:val="24"/>
              </w:rPr>
              <w:t>Veřejné zakázky</w:t>
            </w:r>
          </w:p>
        </w:tc>
        <w:tc>
          <w:tcPr>
            <w:tcW w:w="5956" w:type="dxa"/>
          </w:tcPr>
          <w:p w14:paraId="15341B3C" w14:textId="690A712D" w:rsidR="009654FB" w:rsidRPr="00B02F59" w:rsidRDefault="009654FB" w:rsidP="006B0E1E">
            <w:pPr>
              <w:jc w:val="both"/>
              <w:rPr>
                <w:sz w:val="24"/>
                <w:szCs w:val="24"/>
              </w:rPr>
            </w:pPr>
            <w:r w:rsidRPr="00B02F59">
              <w:rPr>
                <w:sz w:val="24"/>
                <w:szCs w:val="24"/>
              </w:rPr>
              <w:t>Musí zadávací dokumentace</w:t>
            </w:r>
            <w:r w:rsidR="00A31495" w:rsidRPr="00B02F59">
              <w:rPr>
                <w:sz w:val="24"/>
                <w:szCs w:val="24"/>
              </w:rPr>
              <w:t xml:space="preserve">, </w:t>
            </w:r>
            <w:r w:rsidRPr="00B02F59">
              <w:rPr>
                <w:sz w:val="24"/>
                <w:szCs w:val="24"/>
              </w:rPr>
              <w:t>smlouva o dílo a veškerá dokumentace</w:t>
            </w:r>
            <w:r w:rsidR="00A31495" w:rsidRPr="00B02F59">
              <w:rPr>
                <w:sz w:val="24"/>
                <w:szCs w:val="24"/>
              </w:rPr>
              <w:t xml:space="preserve"> k VZ</w:t>
            </w:r>
            <w:r w:rsidRPr="00B02F59">
              <w:rPr>
                <w:sz w:val="24"/>
                <w:szCs w:val="24"/>
              </w:rPr>
              <w:t>, která byla uzavřena před zveřejněním výzvy obsahovat závazek „DNSH“.</w:t>
            </w:r>
          </w:p>
        </w:tc>
        <w:tc>
          <w:tcPr>
            <w:tcW w:w="6230" w:type="dxa"/>
          </w:tcPr>
          <w:p w14:paraId="0B059136" w14:textId="4628CB12" w:rsidR="009654FB" w:rsidRDefault="00B02F59" w:rsidP="006B0E1E">
            <w:pPr>
              <w:jc w:val="both"/>
              <w:rPr>
                <w:sz w:val="24"/>
                <w:szCs w:val="24"/>
              </w:rPr>
            </w:pPr>
            <w:r>
              <w:rPr>
                <w:sz w:val="24"/>
                <w:szCs w:val="24"/>
              </w:rPr>
              <w:t xml:space="preserve">Ano, </w:t>
            </w:r>
            <w:r w:rsidR="00186493">
              <w:rPr>
                <w:sz w:val="24"/>
                <w:szCs w:val="24"/>
              </w:rPr>
              <w:t xml:space="preserve">pokud Vaše smlouva stávající smlouva s dodavatelem závazek k DNSH neobsahuje, </w:t>
            </w:r>
            <w:r>
              <w:rPr>
                <w:sz w:val="24"/>
                <w:szCs w:val="24"/>
              </w:rPr>
              <w:t xml:space="preserve">doporučujeme uzavřít </w:t>
            </w:r>
            <w:r w:rsidRPr="00B02F59">
              <w:rPr>
                <w:b/>
                <w:bCs/>
                <w:sz w:val="24"/>
                <w:szCs w:val="24"/>
              </w:rPr>
              <w:t>dodatek ke smlouvě</w:t>
            </w:r>
            <w:r>
              <w:rPr>
                <w:sz w:val="24"/>
                <w:szCs w:val="24"/>
              </w:rPr>
              <w:t>,</w:t>
            </w:r>
            <w:r w:rsidR="00812A8F">
              <w:rPr>
                <w:sz w:val="24"/>
                <w:szCs w:val="24"/>
              </w:rPr>
              <w:t xml:space="preserve"> nebo </w:t>
            </w:r>
            <w:r w:rsidR="00812A8F" w:rsidRPr="00812A8F">
              <w:rPr>
                <w:b/>
                <w:bCs/>
                <w:sz w:val="24"/>
                <w:szCs w:val="24"/>
              </w:rPr>
              <w:t>Čestné prohlášení dodavatele</w:t>
            </w:r>
            <w:r w:rsidR="00812A8F">
              <w:rPr>
                <w:sz w:val="24"/>
                <w:szCs w:val="24"/>
              </w:rPr>
              <w:t>,</w:t>
            </w:r>
            <w:r>
              <w:rPr>
                <w:sz w:val="24"/>
                <w:szCs w:val="24"/>
              </w:rPr>
              <w:t xml:space="preserve"> kd</w:t>
            </w:r>
            <w:r w:rsidR="002B079B">
              <w:rPr>
                <w:sz w:val="24"/>
                <w:szCs w:val="24"/>
              </w:rPr>
              <w:t>e</w:t>
            </w:r>
            <w:r>
              <w:rPr>
                <w:sz w:val="24"/>
                <w:szCs w:val="24"/>
              </w:rPr>
              <w:t xml:space="preserve"> bude </w:t>
            </w:r>
            <w:r w:rsidRPr="000A2DAE">
              <w:rPr>
                <w:sz w:val="24"/>
                <w:szCs w:val="24"/>
              </w:rPr>
              <w:t>závazek dodavatele s plněním zásady významně nepoškozovat environmentální cíle (dále jen „DNSH“) doplněn.</w:t>
            </w:r>
          </w:p>
        </w:tc>
      </w:tr>
      <w:tr w:rsidR="00D44A70" w:rsidRPr="006B0E1E" w14:paraId="229D4EC4" w14:textId="77777777" w:rsidTr="000A2DAE">
        <w:tc>
          <w:tcPr>
            <w:tcW w:w="1808" w:type="dxa"/>
          </w:tcPr>
          <w:p w14:paraId="2BC26B69" w14:textId="496CF053" w:rsidR="00D44A70" w:rsidRPr="006B0E1E" w:rsidRDefault="00790A49" w:rsidP="006B0E1E">
            <w:pPr>
              <w:rPr>
                <w:b/>
                <w:bCs/>
                <w:sz w:val="24"/>
                <w:szCs w:val="24"/>
              </w:rPr>
            </w:pPr>
            <w:r>
              <w:rPr>
                <w:b/>
                <w:bCs/>
                <w:sz w:val="24"/>
                <w:szCs w:val="24"/>
              </w:rPr>
              <w:t>Příloha č. 15 Finanční model</w:t>
            </w:r>
          </w:p>
        </w:tc>
        <w:tc>
          <w:tcPr>
            <w:tcW w:w="5956" w:type="dxa"/>
          </w:tcPr>
          <w:p w14:paraId="5C9F5570" w14:textId="5D1F89C4" w:rsidR="00D44A70" w:rsidRPr="00B02F59" w:rsidRDefault="006E0C96" w:rsidP="006B0E1E">
            <w:pPr>
              <w:jc w:val="both"/>
              <w:rPr>
                <w:sz w:val="24"/>
                <w:szCs w:val="24"/>
              </w:rPr>
            </w:pPr>
            <w:r w:rsidRPr="00B02F59">
              <w:rPr>
                <w:sz w:val="24"/>
                <w:szCs w:val="24"/>
              </w:rPr>
              <w:t>Neznáme procentuální výši vlastních, případně úvěrových zdrojů. Prosím o informaci, zda v této fázi procenta odhadnout a v budoucnu změnit? Případně přehodnotit situaci, jakmile bude zveřejněn program nájemní bydlení?</w:t>
            </w:r>
          </w:p>
        </w:tc>
        <w:tc>
          <w:tcPr>
            <w:tcW w:w="6230" w:type="dxa"/>
          </w:tcPr>
          <w:p w14:paraId="45D72BDB" w14:textId="1496AD9D" w:rsidR="006E0C96" w:rsidRPr="00B02F59" w:rsidRDefault="009654FB" w:rsidP="006B0E1E">
            <w:pPr>
              <w:jc w:val="both"/>
              <w:rPr>
                <w:sz w:val="24"/>
                <w:szCs w:val="24"/>
              </w:rPr>
            </w:pPr>
            <w:r w:rsidRPr="00B02F59">
              <w:rPr>
                <w:sz w:val="24"/>
                <w:szCs w:val="24"/>
              </w:rPr>
              <w:t>Jedná se pouze o orientační</w:t>
            </w:r>
            <w:r w:rsidR="008D36A1">
              <w:rPr>
                <w:sz w:val="24"/>
                <w:szCs w:val="24"/>
              </w:rPr>
              <w:t xml:space="preserve"> finanční</w:t>
            </w:r>
            <w:r w:rsidRPr="00B02F59">
              <w:rPr>
                <w:sz w:val="24"/>
                <w:szCs w:val="24"/>
              </w:rPr>
              <w:t xml:space="preserve"> rozvahu, která nebude závazná pro následnou realizaci a lze ji v budoucnu měnit.</w:t>
            </w:r>
            <w:r w:rsidR="00A31495" w:rsidRPr="00B02F59">
              <w:rPr>
                <w:sz w:val="24"/>
                <w:szCs w:val="24"/>
              </w:rPr>
              <w:t xml:space="preserve"> </w:t>
            </w:r>
          </w:p>
          <w:p w14:paraId="679D8FAA" w14:textId="4578F4D1" w:rsidR="00D44A70" w:rsidRPr="00B02F59" w:rsidRDefault="006E0C96" w:rsidP="006B0E1E">
            <w:pPr>
              <w:jc w:val="both"/>
              <w:rPr>
                <w:sz w:val="24"/>
                <w:szCs w:val="24"/>
              </w:rPr>
            </w:pPr>
            <w:r w:rsidRPr="00B02F59">
              <w:rPr>
                <w:sz w:val="24"/>
                <w:szCs w:val="24"/>
              </w:rPr>
              <w:t>Nicméně je</w:t>
            </w:r>
            <w:r w:rsidR="00A31495" w:rsidRPr="00B02F59">
              <w:rPr>
                <w:sz w:val="24"/>
                <w:szCs w:val="24"/>
              </w:rPr>
              <w:t xml:space="preserve"> důležité mít dopředu rozmyšleno</w:t>
            </w:r>
            <w:r w:rsidRPr="00B02F59">
              <w:rPr>
                <w:sz w:val="24"/>
                <w:szCs w:val="24"/>
              </w:rPr>
              <w:t>, jak a za jakých podmínek bude následná realizace stavby probíhat</w:t>
            </w:r>
            <w:r w:rsidR="008E3698">
              <w:rPr>
                <w:sz w:val="24"/>
                <w:szCs w:val="24"/>
              </w:rPr>
              <w:t>.</w:t>
            </w:r>
            <w:r w:rsidRPr="00B02F59">
              <w:rPr>
                <w:sz w:val="24"/>
                <w:szCs w:val="24"/>
              </w:rPr>
              <w:t xml:space="preserve"> </w:t>
            </w:r>
            <w:r w:rsidR="002A7AE0" w:rsidRPr="002A7AE0">
              <w:rPr>
                <w:sz w:val="24"/>
                <w:szCs w:val="24"/>
              </w:rPr>
              <w:t xml:space="preserve">Žadatelé mají možnost tuto přílohu využít jako vzor, ale nejsou k tomu povinni. </w:t>
            </w:r>
            <w:r w:rsidR="002A7AE0">
              <w:rPr>
                <w:sz w:val="24"/>
                <w:szCs w:val="24"/>
              </w:rPr>
              <w:t>M</w:t>
            </w:r>
            <w:r w:rsidR="002A7AE0" w:rsidRPr="002A7AE0">
              <w:rPr>
                <w:sz w:val="24"/>
                <w:szCs w:val="24"/>
              </w:rPr>
              <w:t>ohou doložit vlastní finanční model.</w:t>
            </w:r>
          </w:p>
        </w:tc>
      </w:tr>
      <w:tr w:rsidR="000A2DAE" w:rsidRPr="006B0E1E" w14:paraId="743E33D3" w14:textId="77777777" w:rsidTr="000A2DAE">
        <w:tc>
          <w:tcPr>
            <w:tcW w:w="1808" w:type="dxa"/>
            <w:vMerge w:val="restart"/>
          </w:tcPr>
          <w:p w14:paraId="07E37F29" w14:textId="573C6515" w:rsidR="000A2DAE" w:rsidRPr="006B0E1E" w:rsidRDefault="000A2DAE" w:rsidP="006B0E1E">
            <w:pPr>
              <w:rPr>
                <w:b/>
                <w:bCs/>
                <w:sz w:val="24"/>
                <w:szCs w:val="24"/>
              </w:rPr>
            </w:pPr>
            <w:r>
              <w:rPr>
                <w:b/>
                <w:bCs/>
                <w:sz w:val="24"/>
                <w:szCs w:val="24"/>
              </w:rPr>
              <w:t>Čestná prohlášení/plná moc</w:t>
            </w:r>
          </w:p>
        </w:tc>
        <w:tc>
          <w:tcPr>
            <w:tcW w:w="5956" w:type="dxa"/>
          </w:tcPr>
          <w:p w14:paraId="3D920616" w14:textId="45C273A1" w:rsidR="000A2DAE" w:rsidRPr="002A630B" w:rsidRDefault="000A2DAE" w:rsidP="006B0E1E">
            <w:pPr>
              <w:jc w:val="both"/>
              <w:rPr>
                <w:sz w:val="24"/>
                <w:szCs w:val="24"/>
              </w:rPr>
            </w:pPr>
            <w:r w:rsidRPr="002A630B">
              <w:rPr>
                <w:sz w:val="24"/>
                <w:szCs w:val="24"/>
              </w:rPr>
              <w:t>Stačí plná moc elektronicky podepsaná, nebo je potřeba ji mít jinak ověřenou?</w:t>
            </w:r>
          </w:p>
        </w:tc>
        <w:tc>
          <w:tcPr>
            <w:tcW w:w="6230" w:type="dxa"/>
          </w:tcPr>
          <w:p w14:paraId="26004AB1" w14:textId="42FEBA82" w:rsidR="000A2DAE" w:rsidRPr="002A630B" w:rsidRDefault="000A2DAE" w:rsidP="006B0E1E">
            <w:pPr>
              <w:jc w:val="both"/>
              <w:rPr>
                <w:sz w:val="24"/>
                <w:szCs w:val="24"/>
              </w:rPr>
            </w:pPr>
            <w:r w:rsidRPr="002A630B">
              <w:rPr>
                <w:sz w:val="24"/>
                <w:szCs w:val="24"/>
              </w:rPr>
              <w:t>Plná moc stačí elektronicky podepsaná, pokud jde o autorizovaný elektronický podpis.</w:t>
            </w:r>
          </w:p>
        </w:tc>
      </w:tr>
      <w:tr w:rsidR="000A2DAE" w:rsidRPr="006B0E1E" w14:paraId="469E427C" w14:textId="77777777" w:rsidTr="000A2DAE">
        <w:tc>
          <w:tcPr>
            <w:tcW w:w="1808" w:type="dxa"/>
            <w:vMerge/>
          </w:tcPr>
          <w:p w14:paraId="1178D06E" w14:textId="77777777" w:rsidR="000A2DAE" w:rsidRDefault="000A2DAE" w:rsidP="006B0E1E">
            <w:pPr>
              <w:rPr>
                <w:b/>
                <w:bCs/>
                <w:sz w:val="24"/>
                <w:szCs w:val="24"/>
              </w:rPr>
            </w:pPr>
          </w:p>
        </w:tc>
        <w:tc>
          <w:tcPr>
            <w:tcW w:w="5956" w:type="dxa"/>
          </w:tcPr>
          <w:p w14:paraId="62E0C474" w14:textId="4433CA6F" w:rsidR="000A2DAE" w:rsidRPr="002A630B" w:rsidRDefault="000A2DAE" w:rsidP="006B0E1E">
            <w:pPr>
              <w:jc w:val="both"/>
              <w:rPr>
                <w:sz w:val="24"/>
                <w:szCs w:val="24"/>
              </w:rPr>
            </w:pPr>
            <w:r>
              <w:rPr>
                <w:sz w:val="24"/>
                <w:szCs w:val="24"/>
              </w:rPr>
              <w:t xml:space="preserve">Musíme k žádosti o podporu dokládat i ČP </w:t>
            </w:r>
            <w:r w:rsidRPr="00F75BBC">
              <w:rPr>
                <w:sz w:val="24"/>
                <w:szCs w:val="24"/>
              </w:rPr>
              <w:t>ke střetu zájmů u</w:t>
            </w:r>
            <w:r>
              <w:rPr>
                <w:sz w:val="24"/>
                <w:szCs w:val="24"/>
              </w:rPr>
              <w:t xml:space="preserve"> </w:t>
            </w:r>
            <w:r w:rsidRPr="00F75BBC">
              <w:rPr>
                <w:sz w:val="24"/>
                <w:szCs w:val="24"/>
              </w:rPr>
              <w:t>veřejných zakázek</w:t>
            </w:r>
            <w:r>
              <w:rPr>
                <w:sz w:val="24"/>
                <w:szCs w:val="24"/>
              </w:rPr>
              <w:t xml:space="preserve"> i v případě, že VZ prozatím nebyla realizována.</w:t>
            </w:r>
          </w:p>
        </w:tc>
        <w:tc>
          <w:tcPr>
            <w:tcW w:w="6230" w:type="dxa"/>
          </w:tcPr>
          <w:p w14:paraId="63DD94B1" w14:textId="307A769A" w:rsidR="000A2DAE" w:rsidRPr="002A630B" w:rsidRDefault="000A2DAE" w:rsidP="006B0E1E">
            <w:pPr>
              <w:jc w:val="both"/>
              <w:rPr>
                <w:sz w:val="24"/>
                <w:szCs w:val="24"/>
              </w:rPr>
            </w:pPr>
            <w:r>
              <w:rPr>
                <w:sz w:val="24"/>
                <w:szCs w:val="24"/>
              </w:rPr>
              <w:t xml:space="preserve">Ano, dané ČP vyplňte i v případě, že jste VZ prozatím nerealizovali. </w:t>
            </w:r>
            <w:r w:rsidR="00186493">
              <w:rPr>
                <w:sz w:val="24"/>
                <w:szCs w:val="24"/>
              </w:rPr>
              <w:t xml:space="preserve">Do kolonek </w:t>
            </w:r>
            <w:r>
              <w:rPr>
                <w:sz w:val="24"/>
                <w:szCs w:val="24"/>
              </w:rPr>
              <w:t>(seznam ke střetu zájmu), které nemůžete vyplnit, protože aktuálně nevíte (např. členy hodnotící komise</w:t>
            </w:r>
            <w:r w:rsidRPr="003B0700">
              <w:rPr>
                <w:sz w:val="24"/>
                <w:szCs w:val="24"/>
              </w:rPr>
              <w:t>;</w:t>
            </w:r>
            <w:r>
              <w:rPr>
                <w:sz w:val="24"/>
                <w:szCs w:val="24"/>
              </w:rPr>
              <w:t xml:space="preserve"> osobu, smluvně zastupující zadavatele aj.) napište </w:t>
            </w:r>
            <w:r w:rsidR="00186493">
              <w:rPr>
                <w:sz w:val="24"/>
                <w:szCs w:val="24"/>
              </w:rPr>
              <w:t>„</w:t>
            </w:r>
            <w:r>
              <w:rPr>
                <w:sz w:val="24"/>
                <w:szCs w:val="24"/>
              </w:rPr>
              <w:t xml:space="preserve">v současné chvíli z důvodu nerealizace VZ </w:t>
            </w:r>
            <w:r w:rsidRPr="00F75BBC">
              <w:rPr>
                <w:b/>
                <w:bCs/>
                <w:sz w:val="24"/>
                <w:szCs w:val="24"/>
              </w:rPr>
              <w:t>nerelevantní</w:t>
            </w:r>
            <w:r w:rsidR="00186493" w:rsidRPr="00186493">
              <w:rPr>
                <w:sz w:val="24"/>
                <w:szCs w:val="24"/>
              </w:rPr>
              <w:t>“</w:t>
            </w:r>
            <w:r w:rsidRPr="00186493">
              <w:rPr>
                <w:sz w:val="24"/>
                <w:szCs w:val="24"/>
              </w:rPr>
              <w:t>.</w:t>
            </w:r>
          </w:p>
        </w:tc>
      </w:tr>
      <w:tr w:rsidR="00D44A70" w:rsidRPr="006B0E1E" w14:paraId="468A8480" w14:textId="77777777" w:rsidTr="000A2DAE">
        <w:tc>
          <w:tcPr>
            <w:tcW w:w="1808" w:type="dxa"/>
          </w:tcPr>
          <w:p w14:paraId="11572974" w14:textId="414B4D17" w:rsidR="00D44A70" w:rsidRPr="006B0E1E" w:rsidRDefault="009654FB" w:rsidP="006B0E1E">
            <w:pPr>
              <w:rPr>
                <w:b/>
                <w:bCs/>
                <w:sz w:val="24"/>
                <w:szCs w:val="24"/>
              </w:rPr>
            </w:pPr>
            <w:r>
              <w:rPr>
                <w:b/>
                <w:bCs/>
                <w:sz w:val="24"/>
                <w:szCs w:val="24"/>
              </w:rPr>
              <w:t>Následná podmínka realizace</w:t>
            </w:r>
          </w:p>
        </w:tc>
        <w:tc>
          <w:tcPr>
            <w:tcW w:w="5956" w:type="dxa"/>
          </w:tcPr>
          <w:p w14:paraId="57DE0E19" w14:textId="30E1C377" w:rsidR="00D44A70" w:rsidRPr="002A630B" w:rsidRDefault="002A630B" w:rsidP="006B0E1E">
            <w:pPr>
              <w:jc w:val="both"/>
              <w:rPr>
                <w:sz w:val="24"/>
                <w:szCs w:val="24"/>
              </w:rPr>
            </w:pPr>
            <w:r w:rsidRPr="002A630B">
              <w:rPr>
                <w:sz w:val="24"/>
                <w:szCs w:val="24"/>
              </w:rPr>
              <w:t>Když nestihneme do 10 let postavit, budeme dotaci vracet. Bude k tomu ještě nějaká sankce nebo jen výše dotace?</w:t>
            </w:r>
          </w:p>
        </w:tc>
        <w:tc>
          <w:tcPr>
            <w:tcW w:w="6230" w:type="dxa"/>
          </w:tcPr>
          <w:p w14:paraId="7CCFAF71" w14:textId="024562DD" w:rsidR="00D44A70" w:rsidRPr="002A630B" w:rsidRDefault="009654FB" w:rsidP="006B0E1E">
            <w:pPr>
              <w:jc w:val="both"/>
              <w:rPr>
                <w:sz w:val="24"/>
                <w:szCs w:val="24"/>
              </w:rPr>
            </w:pPr>
            <w:r w:rsidRPr="002A630B">
              <w:rPr>
                <w:sz w:val="24"/>
                <w:szCs w:val="24"/>
              </w:rPr>
              <w:t>V případě nedodržení následné podmínky realizace projektu ve stanovené lhůtě, je příjemce povinen vrátit 100 % dotace poskytovateli dotace. K dané vratce není stanovena další sankce či finanční oprava (nejedná se o porušení rozpočtové kázně dle rozpočtových pravidel).</w:t>
            </w:r>
          </w:p>
        </w:tc>
      </w:tr>
      <w:tr w:rsidR="00A31495" w:rsidRPr="006B0E1E" w14:paraId="56B21E9A" w14:textId="77777777" w:rsidTr="000A2DAE">
        <w:tc>
          <w:tcPr>
            <w:tcW w:w="1808" w:type="dxa"/>
          </w:tcPr>
          <w:p w14:paraId="55A8CAAE" w14:textId="238655DA" w:rsidR="00A31495" w:rsidRDefault="00A31495" w:rsidP="006B0E1E">
            <w:pPr>
              <w:rPr>
                <w:b/>
                <w:bCs/>
                <w:sz w:val="24"/>
                <w:szCs w:val="24"/>
              </w:rPr>
            </w:pPr>
            <w:r>
              <w:rPr>
                <w:b/>
                <w:bCs/>
                <w:sz w:val="24"/>
                <w:szCs w:val="24"/>
              </w:rPr>
              <w:t>Hodnocení</w:t>
            </w:r>
          </w:p>
        </w:tc>
        <w:tc>
          <w:tcPr>
            <w:tcW w:w="5956" w:type="dxa"/>
          </w:tcPr>
          <w:p w14:paraId="47745BB6" w14:textId="27FD287B" w:rsidR="00A31495" w:rsidRPr="00B02F59" w:rsidRDefault="00A31495" w:rsidP="006B0E1E">
            <w:pPr>
              <w:jc w:val="both"/>
              <w:rPr>
                <w:sz w:val="24"/>
                <w:szCs w:val="24"/>
              </w:rPr>
            </w:pPr>
            <w:r w:rsidRPr="00B02F59">
              <w:rPr>
                <w:sz w:val="24"/>
                <w:szCs w:val="24"/>
              </w:rPr>
              <w:t>Jak bude probíhat závěrečné vyhodnocení akce?</w:t>
            </w:r>
          </w:p>
        </w:tc>
        <w:tc>
          <w:tcPr>
            <w:tcW w:w="6230" w:type="dxa"/>
          </w:tcPr>
          <w:p w14:paraId="55EF418A" w14:textId="09485BF2" w:rsidR="00A31495" w:rsidRPr="00B02F59" w:rsidRDefault="00A31495" w:rsidP="006B0E1E">
            <w:pPr>
              <w:jc w:val="both"/>
              <w:rPr>
                <w:sz w:val="24"/>
                <w:szCs w:val="24"/>
              </w:rPr>
            </w:pPr>
            <w:r w:rsidRPr="00B02F59">
              <w:rPr>
                <w:sz w:val="24"/>
                <w:szCs w:val="24"/>
              </w:rPr>
              <w:t>Na konci projektu bude týmem expertů/hodnotitelů vyhodnoceno dle stanovených kritérií, zda v projekt splnil všechny závazky, ke kterým se žadatel při podání žádosti zavázal.</w:t>
            </w:r>
          </w:p>
        </w:tc>
      </w:tr>
      <w:tr w:rsidR="002A7AE0" w:rsidRPr="006B0E1E" w14:paraId="28E27243" w14:textId="77777777" w:rsidTr="000A2DAE">
        <w:tc>
          <w:tcPr>
            <w:tcW w:w="1808" w:type="dxa"/>
          </w:tcPr>
          <w:p w14:paraId="56B14040" w14:textId="737E9D34" w:rsidR="002A7AE0" w:rsidRDefault="002A7AE0" w:rsidP="006B0E1E">
            <w:pPr>
              <w:rPr>
                <w:b/>
                <w:bCs/>
                <w:sz w:val="24"/>
                <w:szCs w:val="24"/>
              </w:rPr>
            </w:pPr>
            <w:r>
              <w:rPr>
                <w:b/>
                <w:bCs/>
                <w:sz w:val="24"/>
                <w:szCs w:val="24"/>
              </w:rPr>
              <w:t>Udržitelnost nájemního bydlení</w:t>
            </w:r>
          </w:p>
        </w:tc>
        <w:tc>
          <w:tcPr>
            <w:tcW w:w="5956" w:type="dxa"/>
          </w:tcPr>
          <w:p w14:paraId="62913AE2" w14:textId="77777777" w:rsidR="002A7AE0" w:rsidRPr="002A7AE0" w:rsidRDefault="002A7AE0" w:rsidP="002A7AE0">
            <w:pPr>
              <w:jc w:val="both"/>
              <w:rPr>
                <w:sz w:val="24"/>
                <w:szCs w:val="24"/>
              </w:rPr>
            </w:pPr>
            <w:r w:rsidRPr="002A7AE0">
              <w:rPr>
                <w:sz w:val="24"/>
                <w:szCs w:val="24"/>
              </w:rPr>
              <w:t xml:space="preserve">Momentálně pracujeme na Žádosti o dotaci z Národního plánu obnovy. Výzva č. 1 – finanční podpora přípravy projektů souladných s cíli EU. </w:t>
            </w:r>
          </w:p>
          <w:p w14:paraId="68FACCF6" w14:textId="788CD0C2" w:rsidR="002A7AE0" w:rsidRPr="00B02F59" w:rsidRDefault="002A7AE0" w:rsidP="002A7AE0">
            <w:pPr>
              <w:jc w:val="both"/>
              <w:rPr>
                <w:sz w:val="24"/>
                <w:szCs w:val="24"/>
              </w:rPr>
            </w:pPr>
            <w:r w:rsidRPr="002A7AE0">
              <w:rPr>
                <w:sz w:val="24"/>
                <w:szCs w:val="24"/>
              </w:rPr>
              <w:t>Naše žádost se bude týkat výstavby nájemních bytů v Opavě. Chtěla bych se tedy zeptat, pokud zahájíme výstavbu bytů, existuje zde nějaká časová podmínka, popř. jak dlouho tuto časovou podmínku držet, že tyto byty budou nájemní. Tedy, zda se po uplynutí doby budou moci byty prodávat (jak dlouhé doby)?</w:t>
            </w:r>
          </w:p>
        </w:tc>
        <w:tc>
          <w:tcPr>
            <w:tcW w:w="6230" w:type="dxa"/>
          </w:tcPr>
          <w:p w14:paraId="77777D97" w14:textId="6524CFAE" w:rsidR="002A7AE0" w:rsidRPr="002A7AE0" w:rsidRDefault="002A7AE0" w:rsidP="002A7AE0">
            <w:pPr>
              <w:jc w:val="both"/>
              <w:rPr>
                <w:sz w:val="24"/>
                <w:szCs w:val="24"/>
              </w:rPr>
            </w:pPr>
            <w:r w:rsidRPr="002A7AE0">
              <w:rPr>
                <w:sz w:val="24"/>
                <w:szCs w:val="24"/>
              </w:rPr>
              <w:t>Pokud jde o podmínky poskytnutí dotace týkající se doby udržitelnosti, platí zde následná podmínka realizace, jak je uvedena ve výzvě a v pravidlech pro žadatele a příjemce: V případě, že je předmětem podpory / výstupem projektu dokumentace k územnímu řízení, nebo dokumentace pro stavební povolení, nebo projekt pro výběr zhotovitele vč. realizačního projektu, nebo projektová příprava PPP, nebo projektová příprava EPC, je povinné uvedení informace, v jakém termínu od ukončení realizace projektu proběhne realizace výstavby/rekonstrukce (získání kolaudačního rozhodnutí/souhlasu) na základě podpořeného výstupu. Max. lhůta je stanovena na 10 let.</w:t>
            </w:r>
          </w:p>
          <w:p w14:paraId="3E19EF75" w14:textId="77777777" w:rsidR="002A7AE0" w:rsidRPr="002A7AE0" w:rsidRDefault="002A7AE0" w:rsidP="002A7AE0">
            <w:pPr>
              <w:jc w:val="both"/>
              <w:rPr>
                <w:sz w:val="24"/>
                <w:szCs w:val="24"/>
              </w:rPr>
            </w:pPr>
          </w:p>
          <w:p w14:paraId="04044109" w14:textId="504028F7" w:rsidR="002A7AE0" w:rsidRPr="002A7AE0" w:rsidRDefault="002A7AE0" w:rsidP="002A7AE0">
            <w:pPr>
              <w:jc w:val="both"/>
              <w:rPr>
                <w:sz w:val="24"/>
                <w:szCs w:val="24"/>
              </w:rPr>
            </w:pPr>
            <w:r w:rsidRPr="002A7AE0">
              <w:rPr>
                <w:sz w:val="24"/>
                <w:szCs w:val="24"/>
              </w:rPr>
              <w:t xml:space="preserve">Pro dovysvětlení uvádím, že v této výzvě jde především o podporu projektové dokumentace, ke které se vztahuje pouze následná podmínka (viz. výše). Nejde však o podporu samotné realizace stavby či rekonstrukce. Pokud by však město žádalo o další podporu prostřednictvím jiné výzvy na realizaci stavby (rekonstrukci), pak je pravděpodobné, že se zde objeví podmínka udržitelnosti, a sice, že po nějakou dobu bude muset nemovitost sloužit účelu nájemního bydlení. </w:t>
            </w:r>
          </w:p>
          <w:p w14:paraId="7895E0EA" w14:textId="323FAE78" w:rsidR="002A7AE0" w:rsidRPr="00B02F59" w:rsidRDefault="002A7AE0" w:rsidP="002A7AE0">
            <w:pPr>
              <w:jc w:val="both"/>
              <w:rPr>
                <w:sz w:val="24"/>
                <w:szCs w:val="24"/>
              </w:rPr>
            </w:pPr>
            <w:r w:rsidRPr="002A7AE0">
              <w:rPr>
                <w:sz w:val="24"/>
                <w:szCs w:val="24"/>
              </w:rPr>
              <w:t>To však není předmětem této podpory.  </w:t>
            </w:r>
          </w:p>
        </w:tc>
      </w:tr>
    </w:tbl>
    <w:p w14:paraId="2CD8169D" w14:textId="78E858A7" w:rsidR="00EE27D7" w:rsidRDefault="00EE27D7" w:rsidP="00D44A70">
      <w:pPr>
        <w:jc w:val="center"/>
        <w:rPr>
          <w:b/>
          <w:bCs/>
          <w:sz w:val="24"/>
          <w:szCs w:val="24"/>
        </w:rPr>
      </w:pPr>
    </w:p>
    <w:p w14:paraId="049DF3C9" w14:textId="2D316478" w:rsidR="00EE27D7" w:rsidRPr="006B0E1E" w:rsidRDefault="00EE27D7" w:rsidP="00EE27D7">
      <w:pPr>
        <w:rPr>
          <w:b/>
          <w:bCs/>
          <w:sz w:val="24"/>
          <w:szCs w:val="24"/>
        </w:rPr>
      </w:pPr>
      <w:r w:rsidRPr="00EE27D7">
        <w:rPr>
          <w:sz w:val="24"/>
          <w:szCs w:val="24"/>
        </w:rPr>
        <w:t>Konzultaci konkrétních projektových záměrů provádí</w:t>
      </w:r>
      <w:r>
        <w:rPr>
          <w:sz w:val="24"/>
          <w:szCs w:val="24"/>
        </w:rPr>
        <w:t xml:space="preserve"> </w:t>
      </w:r>
      <w:r w:rsidRPr="00EE27D7">
        <w:rPr>
          <w:sz w:val="24"/>
          <w:szCs w:val="24"/>
        </w:rPr>
        <w:t>Koordinační a kompetenční centrum</w:t>
      </w:r>
      <w:r>
        <w:rPr>
          <w:b/>
          <w:bCs/>
          <w:sz w:val="24"/>
          <w:szCs w:val="24"/>
        </w:rPr>
        <w:t xml:space="preserve">: </w:t>
      </w:r>
      <w:r w:rsidRPr="00EE27D7">
        <w:rPr>
          <w:b/>
          <w:bCs/>
          <w:sz w:val="24"/>
          <w:szCs w:val="24"/>
        </w:rPr>
        <w:t>https://sfpi.cz/kompetencni-a-koordinacni-centrum/</w:t>
      </w:r>
    </w:p>
    <w:sectPr w:rsidR="00EE27D7" w:rsidRPr="006B0E1E" w:rsidSect="00D44A7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C62FE"/>
    <w:multiLevelType w:val="hybridMultilevel"/>
    <w:tmpl w:val="E01C21E0"/>
    <w:lvl w:ilvl="0" w:tplc="07AC9D90">
      <w:start w:val="1"/>
      <w:numFmt w:val="decimal"/>
      <w:lvlText w:val="%1."/>
      <w:lvlJc w:val="left"/>
      <w:pPr>
        <w:ind w:left="397" w:hanging="397"/>
      </w:pPr>
      <w:rPr>
        <w:rFonts w:hint="default"/>
        <w:sz w:val="24"/>
        <w:szCs w:val="24"/>
      </w:rPr>
    </w:lvl>
    <w:lvl w:ilvl="1" w:tplc="5EAEC34C" w:tentative="1">
      <w:start w:val="1"/>
      <w:numFmt w:val="lowerLetter"/>
      <w:lvlText w:val="%2."/>
      <w:lvlJc w:val="left"/>
      <w:pPr>
        <w:ind w:left="1440" w:hanging="360"/>
      </w:pPr>
    </w:lvl>
    <w:lvl w:ilvl="2" w:tplc="B88A1FC2" w:tentative="1">
      <w:start w:val="1"/>
      <w:numFmt w:val="lowerRoman"/>
      <w:lvlText w:val="%3."/>
      <w:lvlJc w:val="right"/>
      <w:pPr>
        <w:ind w:left="2160" w:hanging="180"/>
      </w:pPr>
    </w:lvl>
    <w:lvl w:ilvl="3" w:tplc="D44E38E0" w:tentative="1">
      <w:start w:val="1"/>
      <w:numFmt w:val="decimal"/>
      <w:lvlText w:val="%4."/>
      <w:lvlJc w:val="left"/>
      <w:pPr>
        <w:ind w:left="2880" w:hanging="360"/>
      </w:pPr>
    </w:lvl>
    <w:lvl w:ilvl="4" w:tplc="53DED6C6" w:tentative="1">
      <w:start w:val="1"/>
      <w:numFmt w:val="lowerLetter"/>
      <w:lvlText w:val="%5."/>
      <w:lvlJc w:val="left"/>
      <w:pPr>
        <w:ind w:left="3600" w:hanging="360"/>
      </w:pPr>
    </w:lvl>
    <w:lvl w:ilvl="5" w:tplc="27DA1DBC" w:tentative="1">
      <w:start w:val="1"/>
      <w:numFmt w:val="lowerRoman"/>
      <w:lvlText w:val="%6."/>
      <w:lvlJc w:val="right"/>
      <w:pPr>
        <w:ind w:left="4320" w:hanging="180"/>
      </w:pPr>
    </w:lvl>
    <w:lvl w:ilvl="6" w:tplc="0B6EFB86" w:tentative="1">
      <w:start w:val="1"/>
      <w:numFmt w:val="decimal"/>
      <w:lvlText w:val="%7."/>
      <w:lvlJc w:val="left"/>
      <w:pPr>
        <w:ind w:left="5040" w:hanging="360"/>
      </w:pPr>
    </w:lvl>
    <w:lvl w:ilvl="7" w:tplc="EB76D170" w:tentative="1">
      <w:start w:val="1"/>
      <w:numFmt w:val="lowerLetter"/>
      <w:lvlText w:val="%8."/>
      <w:lvlJc w:val="left"/>
      <w:pPr>
        <w:ind w:left="5760" w:hanging="360"/>
      </w:pPr>
    </w:lvl>
    <w:lvl w:ilvl="8" w:tplc="532AF258" w:tentative="1">
      <w:start w:val="1"/>
      <w:numFmt w:val="lowerRoman"/>
      <w:lvlText w:val="%9."/>
      <w:lvlJc w:val="right"/>
      <w:pPr>
        <w:ind w:left="6480" w:hanging="180"/>
      </w:pPr>
    </w:lvl>
  </w:abstractNum>
  <w:num w:numId="1" w16cid:durableId="1183129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A70"/>
    <w:rsid w:val="0002096F"/>
    <w:rsid w:val="00066287"/>
    <w:rsid w:val="00095495"/>
    <w:rsid w:val="000A2DAE"/>
    <w:rsid w:val="00177077"/>
    <w:rsid w:val="00186493"/>
    <w:rsid w:val="00246F89"/>
    <w:rsid w:val="00271D32"/>
    <w:rsid w:val="002A630B"/>
    <w:rsid w:val="002A7AE0"/>
    <w:rsid w:val="002B079B"/>
    <w:rsid w:val="002C2ADE"/>
    <w:rsid w:val="003B0700"/>
    <w:rsid w:val="004F0320"/>
    <w:rsid w:val="00554076"/>
    <w:rsid w:val="00587A1F"/>
    <w:rsid w:val="005E0E4E"/>
    <w:rsid w:val="005F29D8"/>
    <w:rsid w:val="006A04A7"/>
    <w:rsid w:val="006B0E1E"/>
    <w:rsid w:val="006E0C96"/>
    <w:rsid w:val="00782773"/>
    <w:rsid w:val="00790A49"/>
    <w:rsid w:val="00812A8F"/>
    <w:rsid w:val="00847DED"/>
    <w:rsid w:val="008D36A1"/>
    <w:rsid w:val="008E3698"/>
    <w:rsid w:val="009654FB"/>
    <w:rsid w:val="009A0D7D"/>
    <w:rsid w:val="00A31495"/>
    <w:rsid w:val="00B02F59"/>
    <w:rsid w:val="00D44A70"/>
    <w:rsid w:val="00E96084"/>
    <w:rsid w:val="00EE27D7"/>
    <w:rsid w:val="00F22BB3"/>
    <w:rsid w:val="00F75BBC"/>
    <w:rsid w:val="00FC1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77A7"/>
  <w15:chartTrackingRefBased/>
  <w15:docId w15:val="{EAD75E3B-073B-4804-A87F-7401C9F9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44A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arevný seznam – zvýraznění 11,Bullet list,List Paragraph compact,Nad,Normal bullet 2,Numbered List,Odstavec cíl se seznamem,Odstavec se seznamem1,Odstavec se seznamem5,Odstavec_muj,Paragraphe de liste 2,Reference list"/>
    <w:basedOn w:val="Normln"/>
    <w:link w:val="OdstavecseseznamemChar"/>
    <w:uiPriority w:val="34"/>
    <w:unhideWhenUsed/>
    <w:qFormat/>
    <w:rsid w:val="00FC19F2"/>
    <w:pPr>
      <w:spacing w:line="293" w:lineRule="auto"/>
      <w:ind w:left="720"/>
      <w:contextualSpacing/>
    </w:pPr>
    <w:rPr>
      <w:color w:val="000000" w:themeColor="text1"/>
    </w:rPr>
  </w:style>
  <w:style w:type="character" w:customStyle="1" w:styleId="OdstavecseseznamemChar">
    <w:name w:val="Odstavec se seznamem Char"/>
    <w:aliases w:val="Barevný seznam – zvýraznění 11 Char,Bullet list Char,List Paragraph compact Char,Nad Char,Normal bullet 2 Char,Numbered List Char,Odstavec cíl se seznamem Char,Odstavec se seznamem1 Char,Odstavec se seznamem5 Char"/>
    <w:link w:val="Odstavecseseznamem"/>
    <w:uiPriority w:val="34"/>
    <w:qFormat/>
    <w:rsid w:val="00FC19F2"/>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101966">
      <w:bodyDiv w:val="1"/>
      <w:marLeft w:val="0"/>
      <w:marRight w:val="0"/>
      <w:marTop w:val="0"/>
      <w:marBottom w:val="0"/>
      <w:divBdr>
        <w:top w:val="none" w:sz="0" w:space="0" w:color="auto"/>
        <w:left w:val="none" w:sz="0" w:space="0" w:color="auto"/>
        <w:bottom w:val="none" w:sz="0" w:space="0" w:color="auto"/>
        <w:right w:val="none" w:sz="0" w:space="0" w:color="auto"/>
      </w:divBdr>
    </w:div>
    <w:div w:id="1349912962">
      <w:bodyDiv w:val="1"/>
      <w:marLeft w:val="0"/>
      <w:marRight w:val="0"/>
      <w:marTop w:val="0"/>
      <w:marBottom w:val="0"/>
      <w:divBdr>
        <w:top w:val="none" w:sz="0" w:space="0" w:color="auto"/>
        <w:left w:val="none" w:sz="0" w:space="0" w:color="auto"/>
        <w:bottom w:val="none" w:sz="0" w:space="0" w:color="auto"/>
        <w:right w:val="none" w:sz="0" w:space="0" w:color="auto"/>
      </w:divBdr>
    </w:div>
    <w:div w:id="1402947027">
      <w:bodyDiv w:val="1"/>
      <w:marLeft w:val="0"/>
      <w:marRight w:val="0"/>
      <w:marTop w:val="0"/>
      <w:marBottom w:val="0"/>
      <w:divBdr>
        <w:top w:val="none" w:sz="0" w:space="0" w:color="auto"/>
        <w:left w:val="none" w:sz="0" w:space="0" w:color="auto"/>
        <w:bottom w:val="none" w:sz="0" w:space="0" w:color="auto"/>
        <w:right w:val="none" w:sz="0" w:space="0" w:color="auto"/>
      </w:divBdr>
    </w:div>
    <w:div w:id="198253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F9BAE-107E-4815-9937-997644FA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987</Words>
  <Characters>5828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Štípková Hana</dc:creator>
  <cp:keywords/>
  <dc:description/>
  <cp:lastModifiedBy>Štípková Hana</cp:lastModifiedBy>
  <cp:revision>4</cp:revision>
  <dcterms:created xsi:type="dcterms:W3CDTF">2023-11-15T09:46:00Z</dcterms:created>
  <dcterms:modified xsi:type="dcterms:W3CDTF">2023-11-15T10:14:00Z</dcterms:modified>
</cp:coreProperties>
</file>