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27457220"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265904">
        <w:rPr>
          <w:rStyle w:val="normaltextrun"/>
          <w:rFonts w:ascii="Arial" w:eastAsia="Arial" w:hAnsi="Arial" w:cs="Arial"/>
          <w:b/>
          <w:bCs/>
          <w:caps/>
          <w:color w:val="002060"/>
          <w:sz w:val="40"/>
          <w:szCs w:val="40"/>
        </w:rPr>
        <w:t>10</w:t>
      </w:r>
    </w:p>
    <w:p w14:paraId="0F5060CC" w14:textId="74A4C233" w:rsidR="0083199B" w:rsidRPr="00321CFB" w:rsidRDefault="0083199B" w:rsidP="00271344">
      <w:pPr>
        <w:pStyle w:val="Default"/>
        <w:spacing w:line="288" w:lineRule="auto"/>
        <w:rPr>
          <w:rFonts w:asciiTheme="minorHAnsi" w:hAnsiTheme="minorHAnsi" w:cstheme="minorHAnsi"/>
          <w:color w:val="17365D" w:themeColor="text2" w:themeShade="BF"/>
        </w:rPr>
      </w:pPr>
    </w:p>
    <w:p w14:paraId="118D971A" w14:textId="622D8592" w:rsidR="00864193" w:rsidRPr="00265904" w:rsidRDefault="0083199B" w:rsidP="00864193">
      <w:pPr>
        <w:pStyle w:val="Zkladnodstavec"/>
        <w:rPr>
          <w:rFonts w:ascii="Arial" w:hAnsi="Arial" w:cs="Arial"/>
          <w:b/>
          <w:bCs/>
          <w:caps/>
          <w:color w:val="17365D" w:themeColor="text2" w:themeShade="BF"/>
          <w:sz w:val="40"/>
          <w:szCs w:val="40"/>
        </w:rPr>
      </w:pPr>
      <w:r w:rsidRPr="00265904">
        <w:rPr>
          <w:rFonts w:ascii="Arial" w:hAnsi="Arial" w:cs="Arial"/>
          <w:b/>
          <w:caps/>
          <w:color w:val="002060"/>
          <w:sz w:val="40"/>
          <w:szCs w:val="40"/>
        </w:rPr>
        <w:t>mODEL HODNOCENÍ A KRITÉRIA HODNOCENÍ ŽÁDOSTI</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437085FC" w:rsidR="00A05BA9" w:rsidRDefault="00302C7F" w:rsidP="00D535D9">
      <w:pPr>
        <w:spacing w:after="120" w:line="288" w:lineRule="auto"/>
        <w:rPr>
          <w:rFonts w:eastAsia="Arial"/>
          <w:b/>
          <w:bCs/>
          <w:color w:val="002060"/>
          <w:sz w:val="28"/>
          <w:szCs w:val="28"/>
        </w:rPr>
      </w:pPr>
      <w:r w:rsidRPr="00686B42">
        <w:rPr>
          <w:rFonts w:eastAsia="Arial"/>
          <w:b/>
          <w:bCs/>
          <w:color w:val="002060"/>
          <w:sz w:val="28"/>
          <w:szCs w:val="28"/>
        </w:rPr>
        <w:t xml:space="preserve">Platnost od </w:t>
      </w:r>
      <w:r w:rsidR="00686B42" w:rsidRPr="00686B42">
        <w:rPr>
          <w:rFonts w:eastAsia="Arial"/>
          <w:b/>
          <w:bCs/>
          <w:color w:val="002060"/>
          <w:sz w:val="28"/>
          <w:szCs w:val="28"/>
        </w:rPr>
        <w:t>30</w:t>
      </w:r>
      <w:r w:rsidR="000B5901" w:rsidRPr="00686B42">
        <w:rPr>
          <w:rFonts w:eastAsia="Arial"/>
          <w:b/>
          <w:bCs/>
          <w:color w:val="002060"/>
          <w:sz w:val="28"/>
          <w:szCs w:val="28"/>
        </w:rPr>
        <w:t xml:space="preserve">. </w:t>
      </w:r>
      <w:r w:rsidR="00686B42" w:rsidRPr="00686B42">
        <w:rPr>
          <w:rFonts w:eastAsia="Arial"/>
          <w:b/>
          <w:bCs/>
          <w:color w:val="002060"/>
          <w:sz w:val="28"/>
          <w:szCs w:val="28"/>
        </w:rPr>
        <w:t>4.</w:t>
      </w:r>
      <w:r w:rsidR="0040460C" w:rsidRPr="00686B42">
        <w:rPr>
          <w:rFonts w:eastAsia="Arial"/>
          <w:b/>
          <w:bCs/>
          <w:color w:val="002060"/>
          <w:sz w:val="28"/>
          <w:szCs w:val="28"/>
        </w:rPr>
        <w:t xml:space="preserve"> </w:t>
      </w:r>
      <w:r w:rsidR="00AB5880" w:rsidRPr="00686B42">
        <w:rPr>
          <w:rFonts w:eastAsia="Arial"/>
          <w:b/>
          <w:bCs/>
          <w:color w:val="002060"/>
          <w:sz w:val="28"/>
          <w:szCs w:val="28"/>
        </w:rPr>
        <w:t>202</w:t>
      </w:r>
      <w:r w:rsidR="005421E8" w:rsidRPr="00686B42">
        <w:rPr>
          <w:rFonts w:eastAsia="Arial"/>
          <w:b/>
          <w:bCs/>
          <w:color w:val="002060"/>
          <w:sz w:val="28"/>
          <w:szCs w:val="28"/>
        </w:rPr>
        <w:t>4</w:t>
      </w:r>
      <w:r w:rsidR="00D535D9">
        <w:rPr>
          <w:rFonts w:eastAsia="Arial"/>
          <w:b/>
          <w:bCs/>
          <w:color w:val="002060"/>
          <w:sz w:val="28"/>
          <w:szCs w:val="28"/>
        </w:rPr>
        <w:t xml:space="preserve">, </w:t>
      </w:r>
      <w:bookmarkStart w:id="0" w:name="_Hlk168651669"/>
      <w:r w:rsidR="00D535D9">
        <w:rPr>
          <w:rFonts w:eastAsia="Arial"/>
          <w:b/>
          <w:bCs/>
          <w:color w:val="002060"/>
          <w:sz w:val="28"/>
          <w:szCs w:val="28"/>
        </w:rPr>
        <w:t>aktualizováno k 7. 6. 2024</w:t>
      </w:r>
      <w:bookmarkEnd w:id="0"/>
    </w:p>
    <w:p w14:paraId="2C97D325" w14:textId="4738C546" w:rsidR="00066E38" w:rsidRDefault="00066E38" w:rsidP="00066E38">
      <w:pPr>
        <w:jc w:val="both"/>
        <w:rPr>
          <w:rFonts w:eastAsia="Arial"/>
        </w:rPr>
      </w:pPr>
    </w:p>
    <w:p w14:paraId="3C09517F" w14:textId="45007411" w:rsidR="00066E38" w:rsidRDefault="00066E38" w:rsidP="00066E38">
      <w:pPr>
        <w:jc w:val="both"/>
        <w:rPr>
          <w:rFonts w:eastAsia="Arial"/>
        </w:rPr>
      </w:pPr>
    </w:p>
    <w:p w14:paraId="4E0B1806" w14:textId="3378DE31" w:rsidR="00864193" w:rsidRDefault="00864193" w:rsidP="00864193">
      <w:pPr>
        <w:jc w:val="both"/>
        <w:rPr>
          <w:rFonts w:eastAsia="Arial" w:cstheme="minorHAnsi"/>
          <w:b/>
          <w:bCs/>
        </w:rPr>
      </w:pPr>
      <w:bookmarkStart w:id="1" w:name="_Toc125556037"/>
      <w:r>
        <w:rPr>
          <w:rFonts w:eastAsia="Arial" w:cstheme="minorHAnsi"/>
        </w:rPr>
        <w:t>Ž</w:t>
      </w:r>
      <w:r w:rsidRPr="00676876">
        <w:rPr>
          <w:rFonts w:eastAsia="Arial" w:cstheme="minorHAnsi"/>
        </w:rPr>
        <w:t xml:space="preserve">ádost o podporu ve výzvě č. </w:t>
      </w:r>
      <w:r w:rsidR="005421E8">
        <w:rPr>
          <w:rFonts w:eastAsia="Arial" w:cstheme="minorHAnsi"/>
        </w:rPr>
        <w:t>5</w:t>
      </w:r>
      <w:r w:rsidRPr="00676876">
        <w:rPr>
          <w:rFonts w:eastAsia="Arial" w:cstheme="minorHAnsi"/>
        </w:rPr>
        <w:t xml:space="preserve"> – </w:t>
      </w:r>
      <w:r w:rsidR="003E6BF6">
        <w:rPr>
          <w:rFonts w:eastAsia="Arial" w:cstheme="minorHAnsi"/>
        </w:rPr>
        <w:t>f</w:t>
      </w:r>
      <w:r w:rsidRPr="00676876">
        <w:rPr>
          <w:rFonts w:eastAsia="Arial" w:cstheme="minorHAnsi"/>
        </w:rPr>
        <w:t xml:space="preserve">inanční podpora přípravy projektů souladných s cíli EU </w:t>
      </w:r>
      <w:r w:rsidR="005421E8">
        <w:rPr>
          <w:rFonts w:eastAsia="Arial" w:cstheme="minorHAnsi"/>
        </w:rPr>
        <w:t>(</w:t>
      </w:r>
      <w:r w:rsidRPr="00676876">
        <w:rPr>
          <w:rFonts w:eastAsia="Arial" w:cstheme="minorHAnsi"/>
        </w:rPr>
        <w:t>příprava projektů dostupného</w:t>
      </w:r>
      <w:r w:rsidR="005421E8">
        <w:rPr>
          <w:rFonts w:eastAsia="Arial" w:cstheme="minorHAnsi"/>
        </w:rPr>
        <w:t xml:space="preserve"> (vč. sociálního)</w:t>
      </w:r>
      <w:r w:rsidRPr="00676876">
        <w:rPr>
          <w:rFonts w:eastAsia="Arial" w:cstheme="minorHAnsi"/>
        </w:rPr>
        <w:t xml:space="preserve"> nájemního bydlení</w:t>
      </w:r>
      <w:r w:rsidR="005421E8">
        <w:rPr>
          <w:rFonts w:eastAsia="Arial" w:cstheme="minorHAnsi"/>
        </w:rPr>
        <w:t>)</w:t>
      </w:r>
      <w:r w:rsidRPr="00676876">
        <w:rPr>
          <w:rFonts w:eastAsia="Arial" w:cstheme="minorHAnsi"/>
        </w:rPr>
        <w:t xml:space="preserve"> prochází jednokolovým hodnocením, které</w:t>
      </w:r>
      <w:r w:rsidR="00FF1F17">
        <w:rPr>
          <w:rFonts w:eastAsia="Arial" w:cstheme="minorHAnsi"/>
        </w:rPr>
        <w:t> </w:t>
      </w:r>
      <w:r w:rsidRPr="00676876">
        <w:rPr>
          <w:rFonts w:eastAsia="Arial" w:cstheme="minorHAnsi"/>
        </w:rPr>
        <w:t>spočívá v </w:t>
      </w:r>
      <w:r w:rsidRPr="00676876">
        <w:rPr>
          <w:rFonts w:eastAsia="Arial" w:cstheme="minorHAnsi"/>
          <w:b/>
          <w:bCs/>
        </w:rPr>
        <w:t>hodnocení formálních náležitostí</w:t>
      </w:r>
      <w:r w:rsidR="00CE341B">
        <w:rPr>
          <w:rFonts w:eastAsia="Arial" w:cstheme="minorHAnsi"/>
          <w:b/>
          <w:bCs/>
        </w:rPr>
        <w:t xml:space="preserve"> a</w:t>
      </w:r>
      <w:r w:rsidRPr="00676876">
        <w:rPr>
          <w:rFonts w:eastAsia="Arial" w:cstheme="minorHAnsi"/>
          <w:b/>
          <w:bCs/>
        </w:rPr>
        <w:t xml:space="preserve"> přijatelnosti</w:t>
      </w:r>
      <w:r w:rsidR="00CE341B" w:rsidRPr="00CE341B">
        <w:rPr>
          <w:rFonts w:eastAsia="Arial" w:cstheme="minorHAnsi"/>
        </w:rPr>
        <w:t>.</w:t>
      </w:r>
      <w:r w:rsidR="00681BFC" w:rsidRPr="00681BFC">
        <w:t xml:space="preserve"> </w:t>
      </w:r>
      <w:r w:rsidR="00681BFC" w:rsidRPr="00681BFC">
        <w:rPr>
          <w:rFonts w:eastAsia="Arial" w:cstheme="minorHAnsi"/>
        </w:rPr>
        <w:t>Hodnocení kritérií formálních náležitostí a přijatelnosti probíhá současně.</w:t>
      </w:r>
      <w:r w:rsidR="006B4EF7">
        <w:rPr>
          <w:rFonts w:eastAsia="Arial" w:cstheme="minorHAnsi"/>
        </w:rPr>
        <w:t xml:space="preserve"> </w:t>
      </w:r>
    </w:p>
    <w:p w14:paraId="67A1ABD8" w14:textId="1005CBD4" w:rsidR="00864193" w:rsidRPr="00676876" w:rsidRDefault="71F75DBB" w:rsidP="00066E38">
      <w:pPr>
        <w:jc w:val="both"/>
        <w:rPr>
          <w:rFonts w:ascii="Calibri" w:eastAsia="Calibri" w:hAnsi="Calibri" w:cs="Calibri"/>
        </w:rPr>
      </w:pPr>
      <w:r w:rsidRPr="00066E38">
        <w:rPr>
          <w:rFonts w:ascii="Calibri" w:eastAsia="Calibri" w:hAnsi="Calibri" w:cs="Calibri"/>
        </w:rPr>
        <w:t xml:space="preserve">Kritéria pro kontrolu formálních náležitostí a přijatelnosti jsou </w:t>
      </w:r>
      <w:r w:rsidRPr="00066E38">
        <w:rPr>
          <w:rFonts w:ascii="Calibri" w:eastAsia="Calibri" w:hAnsi="Calibri" w:cs="Calibri"/>
          <w:b/>
          <w:bCs/>
        </w:rPr>
        <w:t xml:space="preserve">napravitelná </w:t>
      </w:r>
      <w:r w:rsidRPr="00066E38">
        <w:rPr>
          <w:rFonts w:ascii="Calibri" w:eastAsia="Calibri" w:hAnsi="Calibri" w:cs="Calibri"/>
        </w:rPr>
        <w:t xml:space="preserve">a </w:t>
      </w:r>
      <w:r w:rsidRPr="00066E38">
        <w:rPr>
          <w:rFonts w:ascii="Calibri" w:eastAsia="Calibri" w:hAnsi="Calibri" w:cs="Calibri"/>
          <w:b/>
          <w:bCs/>
        </w:rPr>
        <w:t>nenapravitelná</w:t>
      </w:r>
      <w:r w:rsidRPr="00066E38">
        <w:rPr>
          <w:rFonts w:ascii="Calibri" w:eastAsia="Calibri" w:hAnsi="Calibri" w:cs="Calibri"/>
        </w:rPr>
        <w:t xml:space="preserve"> a mají </w:t>
      </w:r>
      <w:r w:rsidRPr="00667C58">
        <w:rPr>
          <w:rFonts w:ascii="Calibri" w:eastAsia="Calibri" w:hAnsi="Calibri" w:cs="Calibri"/>
          <w:b/>
          <w:bCs/>
        </w:rPr>
        <w:t>formu vylučovacích kritérií v podobě: ano / ne (resp. splňuje / nesplňuje).</w:t>
      </w:r>
      <w:r w:rsidRPr="00066E38">
        <w:rPr>
          <w:rFonts w:ascii="Calibri" w:eastAsia="Calibri" w:hAnsi="Calibri" w:cs="Calibri"/>
        </w:rPr>
        <w:t xml:space="preserve"> V případě nesplnění jednoho či více napravitelných kritérií bude žadatel vyzván k doplnění/opravě žádosti o podporu dle ustanovení § 14k odst. 1, 3 a 4 zákona č. 218/2000 Sb. v platném znění. </w:t>
      </w:r>
      <w:r w:rsidR="00681BFC" w:rsidRPr="00681BFC">
        <w:rPr>
          <w:rFonts w:ascii="Calibri" w:eastAsia="Calibri" w:hAnsi="Calibri" w:cs="Calibri"/>
        </w:rPr>
        <w:t>Lhůta k odstranění vad žádosti bude poskytnuta na základě § 14k odst. 1 zákona č. 218/2000 Sb. v platném znění. V případě neodstranění vad žádosti ve stanovené lhůtě, MMR usnesením řízení o poskytnutí dotace zastaví.</w:t>
      </w:r>
      <w:r w:rsidR="00681BFC">
        <w:rPr>
          <w:rFonts w:ascii="Calibri" w:eastAsia="Calibri" w:hAnsi="Calibri" w:cs="Calibri"/>
        </w:rPr>
        <w:t xml:space="preserve"> </w:t>
      </w:r>
      <w:r w:rsidR="00CE341B" w:rsidRPr="00CE341B">
        <w:rPr>
          <w:rFonts w:ascii="Calibri" w:eastAsia="Calibri" w:hAnsi="Calibri" w:cs="Calibri"/>
        </w:rPr>
        <w:t>Žadatel může být vyzván k</w:t>
      </w:r>
      <w:r w:rsidR="00CE341B">
        <w:rPr>
          <w:rFonts w:ascii="Calibri" w:eastAsia="Calibri" w:hAnsi="Calibri" w:cs="Calibri"/>
        </w:rPr>
        <w:t> </w:t>
      </w:r>
      <w:r w:rsidR="00CE341B" w:rsidRPr="00CE341B">
        <w:rPr>
          <w:rFonts w:ascii="Calibri" w:eastAsia="Calibri" w:hAnsi="Calibri" w:cs="Calibri"/>
        </w:rPr>
        <w:t>doplnění/opravě jedné žádosti o podporu maximálně dvakrát</w:t>
      </w:r>
      <w:r w:rsidR="00CE341B">
        <w:rPr>
          <w:rFonts w:ascii="Calibri" w:eastAsia="Calibri" w:hAnsi="Calibri" w:cs="Calibri"/>
        </w:rPr>
        <w:t xml:space="preserve">. </w:t>
      </w:r>
      <w:r w:rsidR="00681BFC" w:rsidRPr="00681BFC">
        <w:rPr>
          <w:rFonts w:ascii="Calibri" w:eastAsia="Calibri" w:hAnsi="Calibri" w:cs="Calibri"/>
        </w:rPr>
        <w:t>V případě opětovného nesplnění (po dvou opravách) jednoho napravitelného kritéria formálních náležitostí nebo přijatelnosti je žádost o podporu vyloučena z dalšího procesu hodnocení (tj. nejsou dále kontrolovány formální náležitosti a přijatelnost).</w:t>
      </w:r>
    </w:p>
    <w:p w14:paraId="1AA56C42" w14:textId="7A4B3F0E" w:rsidR="00864193" w:rsidRPr="00676876" w:rsidRDefault="00CE341B" w:rsidP="00066E38">
      <w:pPr>
        <w:jc w:val="both"/>
        <w:rPr>
          <w:rFonts w:eastAsia="Arial"/>
        </w:rPr>
      </w:pPr>
      <w:r>
        <w:rPr>
          <w:rFonts w:eastAsia="Arial"/>
        </w:rPr>
        <w:t>Výstupy podpořených projektů budou hodnoceny na základě k</w:t>
      </w:r>
      <w:r w:rsidR="00864193" w:rsidRPr="00066E38">
        <w:rPr>
          <w:rFonts w:eastAsia="Arial"/>
        </w:rPr>
        <w:t>ritéri</w:t>
      </w:r>
      <w:r>
        <w:rPr>
          <w:rFonts w:eastAsia="Arial"/>
        </w:rPr>
        <w:t>í</w:t>
      </w:r>
      <w:r w:rsidR="00864193" w:rsidRPr="00066E38">
        <w:rPr>
          <w:rFonts w:eastAsia="Arial"/>
        </w:rPr>
        <w:t xml:space="preserve"> evaluace kvality výstupu projektu</w:t>
      </w:r>
      <w:r w:rsidR="002A4E67">
        <w:rPr>
          <w:rFonts w:eastAsia="Arial"/>
        </w:rPr>
        <w:t xml:space="preserve"> a enviromentální</w:t>
      </w:r>
      <w:r>
        <w:rPr>
          <w:rFonts w:eastAsia="Arial"/>
        </w:rPr>
        <w:t>ch</w:t>
      </w:r>
      <w:r w:rsidR="002A4E67">
        <w:rPr>
          <w:rFonts w:eastAsia="Arial"/>
        </w:rPr>
        <w:t xml:space="preserve"> kritéri</w:t>
      </w:r>
      <w:r>
        <w:rPr>
          <w:rFonts w:eastAsia="Arial"/>
        </w:rPr>
        <w:t>í. Tato kritéria</w:t>
      </w:r>
      <w:r w:rsidR="002A4E67">
        <w:rPr>
          <w:rFonts w:eastAsia="Arial"/>
        </w:rPr>
        <w:t xml:space="preserve"> </w:t>
      </w:r>
      <w:r w:rsidR="00864193" w:rsidRPr="00066E38">
        <w:rPr>
          <w:rFonts w:eastAsia="Arial"/>
        </w:rPr>
        <w:t>jsou</w:t>
      </w:r>
      <w:r w:rsidR="00864193" w:rsidRPr="00066E38">
        <w:rPr>
          <w:rFonts w:eastAsia="Arial"/>
          <w:b/>
          <w:bCs/>
        </w:rPr>
        <w:t xml:space="preserve"> bodovaná</w:t>
      </w:r>
      <w:r w:rsidR="002A4E67">
        <w:rPr>
          <w:rFonts w:eastAsia="Arial"/>
          <w:b/>
          <w:bCs/>
        </w:rPr>
        <w:t xml:space="preserve">. Jejich závěrečné </w:t>
      </w:r>
      <w:r w:rsidR="002A4E67" w:rsidRPr="00066E38">
        <w:rPr>
          <w:rFonts w:eastAsia="Arial"/>
          <w:b/>
          <w:bCs/>
        </w:rPr>
        <w:t>vyhodnocení</w:t>
      </w:r>
      <w:r w:rsidR="00864193" w:rsidRPr="00066E38">
        <w:rPr>
          <w:rFonts w:eastAsia="Arial"/>
          <w:b/>
          <w:bCs/>
        </w:rPr>
        <w:t xml:space="preserve"> bude probíhat </w:t>
      </w:r>
      <w:r w:rsidR="00FE7E21">
        <w:rPr>
          <w:rFonts w:eastAsia="Arial"/>
          <w:b/>
          <w:bCs/>
        </w:rPr>
        <w:t xml:space="preserve">po </w:t>
      </w:r>
      <w:r w:rsidR="00FE7E21" w:rsidRPr="00EB4CC2">
        <w:rPr>
          <w:rFonts w:eastAsia="Arial"/>
          <w:b/>
          <w:bCs/>
        </w:rPr>
        <w:t>podání Závěrečné zprávy o realizaci</w:t>
      </w:r>
      <w:r w:rsidR="00864193" w:rsidRPr="00EB4CC2">
        <w:rPr>
          <w:rFonts w:eastAsia="Arial"/>
          <w:b/>
          <w:bCs/>
        </w:rPr>
        <w:t>.</w:t>
      </w:r>
      <w:r w:rsidR="00864193" w:rsidRPr="00066E38">
        <w:rPr>
          <w:rFonts w:eastAsia="Arial"/>
          <w:b/>
          <w:bCs/>
        </w:rPr>
        <w:t xml:space="preserve"> </w:t>
      </w:r>
    </w:p>
    <w:p w14:paraId="6DB3B76E" w14:textId="31579975" w:rsidR="6EB75FEC" w:rsidRDefault="6EB75FEC" w:rsidP="00667C58">
      <w:pPr>
        <w:jc w:val="both"/>
        <w:rPr>
          <w:rFonts w:ascii="Calibri" w:eastAsia="Calibri" w:hAnsi="Calibri" w:cs="Calibri"/>
        </w:rPr>
      </w:pPr>
      <w:r w:rsidRPr="00066E38">
        <w:rPr>
          <w:rFonts w:eastAsia="Arial"/>
          <w:b/>
          <w:bCs/>
        </w:rPr>
        <w:t xml:space="preserve">Pro hodnocení kvality výstupu projektu </w:t>
      </w:r>
      <w:r w:rsidR="00CE341B">
        <w:rPr>
          <w:rFonts w:eastAsia="Arial"/>
          <w:b/>
          <w:bCs/>
        </w:rPr>
        <w:t>lze využít</w:t>
      </w:r>
      <w:r w:rsidRPr="00066E38">
        <w:rPr>
          <w:rFonts w:eastAsia="Arial"/>
          <w:b/>
          <w:bCs/>
        </w:rPr>
        <w:t xml:space="preserve"> dvě varianty: </w:t>
      </w:r>
    </w:p>
    <w:p w14:paraId="5F0F2B91" w14:textId="24DB6FE9" w:rsidR="6EB75FEC" w:rsidRPr="00667C58" w:rsidRDefault="6EB75FEC" w:rsidP="007E2F25">
      <w:pPr>
        <w:spacing w:line="240" w:lineRule="auto"/>
        <w:jc w:val="both"/>
        <w:rPr>
          <w:rFonts w:eastAsia="Arial"/>
        </w:rPr>
      </w:pPr>
      <w:r w:rsidRPr="00066E38">
        <w:rPr>
          <w:rFonts w:eastAsia="Arial"/>
          <w:b/>
          <w:bCs/>
        </w:rPr>
        <w:t xml:space="preserve">Varianta A: </w:t>
      </w:r>
      <w:r w:rsidRPr="00667C58">
        <w:rPr>
          <w:rFonts w:eastAsia="Arial"/>
        </w:rPr>
        <w:t xml:space="preserve">Žadatel se zaváže, že konečný výstup projektu </w:t>
      </w:r>
      <w:r w:rsidR="79F7F64E" w:rsidRPr="00667C58">
        <w:rPr>
          <w:rFonts w:eastAsia="Arial"/>
        </w:rPr>
        <w:t xml:space="preserve">dosáhne minimální bodové hranice stanovené pro splnění </w:t>
      </w:r>
      <w:r w:rsidR="007A63E9">
        <w:rPr>
          <w:rFonts w:eastAsia="Arial"/>
        </w:rPr>
        <w:t xml:space="preserve">kritérií kvality výstupu projektu a </w:t>
      </w:r>
      <w:r w:rsidR="00667C58">
        <w:rPr>
          <w:rFonts w:eastAsia="Arial"/>
        </w:rPr>
        <w:t xml:space="preserve">enviromentálních </w:t>
      </w:r>
      <w:r w:rsidR="79F7F64E" w:rsidRPr="00667C58">
        <w:rPr>
          <w:rFonts w:eastAsia="Arial"/>
        </w:rPr>
        <w:t>kritérií</w:t>
      </w:r>
      <w:r w:rsidR="002A4E67">
        <w:rPr>
          <w:rFonts w:eastAsia="Arial"/>
        </w:rPr>
        <w:t xml:space="preserve"> a splní podmín</w:t>
      </w:r>
      <w:r w:rsidR="00A95C77">
        <w:rPr>
          <w:rFonts w:eastAsia="Arial"/>
        </w:rPr>
        <w:t>ky</w:t>
      </w:r>
      <w:r w:rsidR="002A4E67">
        <w:rPr>
          <w:rFonts w:eastAsia="Arial"/>
        </w:rPr>
        <w:t xml:space="preserve"> DNSH</w:t>
      </w:r>
      <w:r w:rsidR="007F4D2A">
        <w:rPr>
          <w:rFonts w:eastAsia="Arial"/>
        </w:rPr>
        <w:t>.</w:t>
      </w:r>
    </w:p>
    <w:p w14:paraId="3771A641" w14:textId="1C63ACFB" w:rsidR="2F955155" w:rsidRPr="003E6BF6" w:rsidRDefault="007F4D2A" w:rsidP="00066E38">
      <w:pPr>
        <w:jc w:val="both"/>
        <w:rPr>
          <w:rFonts w:eastAsia="Arial" w:cstheme="minorHAnsi"/>
          <w:b/>
          <w:bCs/>
        </w:rPr>
      </w:pPr>
      <w:r w:rsidRPr="003E6BF6">
        <w:rPr>
          <w:rFonts w:eastAsia="Arial" w:cstheme="minorHAnsi"/>
          <w:b/>
          <w:bCs/>
        </w:rPr>
        <w:t>NEBO</w:t>
      </w:r>
    </w:p>
    <w:p w14:paraId="5F8F25D7" w14:textId="445F64BC" w:rsidR="006C3468" w:rsidRPr="007E2F25" w:rsidRDefault="2A28E61B" w:rsidP="007E2F25">
      <w:pPr>
        <w:pStyle w:val="Bezmezer"/>
        <w:jc w:val="both"/>
        <w:rPr>
          <w:rFonts w:asciiTheme="minorHAnsi" w:hAnsiTheme="minorHAnsi" w:cstheme="minorHAnsi"/>
          <w:sz w:val="22"/>
        </w:rPr>
      </w:pPr>
      <w:r w:rsidRPr="007E2F25">
        <w:rPr>
          <w:rFonts w:asciiTheme="minorHAnsi" w:eastAsia="Arial" w:hAnsiTheme="minorHAnsi" w:cstheme="minorHAnsi"/>
          <w:b/>
          <w:bCs/>
          <w:sz w:val="22"/>
        </w:rPr>
        <w:t xml:space="preserve">Varianta B: </w:t>
      </w:r>
      <w:r w:rsidR="007A63E9" w:rsidRPr="007E2F25">
        <w:rPr>
          <w:rFonts w:asciiTheme="minorHAnsi" w:hAnsiTheme="minorHAnsi" w:cstheme="minorHAnsi"/>
          <w:sz w:val="22"/>
        </w:rPr>
        <w:t xml:space="preserve">Žadatel se zaváže, že </w:t>
      </w:r>
      <w:r w:rsidR="006C3468" w:rsidRPr="007E2F25">
        <w:rPr>
          <w:rFonts w:asciiTheme="minorHAnsi" w:hAnsiTheme="minorHAnsi" w:cstheme="minorHAnsi"/>
          <w:sz w:val="22"/>
        </w:rPr>
        <w:t>konečný výstup projektu dosáhne minimální bodové hranice stanovené pro splnění kritérií kvality výstupu projektu</w:t>
      </w:r>
      <w:r w:rsidR="009A3E1D">
        <w:rPr>
          <w:rFonts w:asciiTheme="minorHAnsi" w:hAnsiTheme="minorHAnsi" w:cstheme="minorHAnsi"/>
          <w:sz w:val="22"/>
        </w:rPr>
        <w:t xml:space="preserve">, splní podmínky DNSH </w:t>
      </w:r>
      <w:r w:rsidR="006C3468" w:rsidRPr="007E2F25">
        <w:rPr>
          <w:rFonts w:asciiTheme="minorHAnsi" w:hAnsiTheme="minorHAnsi" w:cstheme="minorHAnsi"/>
          <w:sz w:val="22"/>
        </w:rPr>
        <w:t xml:space="preserve">a </w:t>
      </w:r>
      <w:r w:rsidR="00522C07">
        <w:rPr>
          <w:rFonts w:asciiTheme="minorHAnsi" w:hAnsiTheme="minorHAnsi" w:cstheme="minorHAnsi"/>
          <w:sz w:val="22"/>
        </w:rPr>
        <w:t xml:space="preserve">získá certifikát níže uvedené úrovně pro certifikaci kvality budov </w:t>
      </w:r>
      <w:r w:rsidR="006C3468" w:rsidRPr="007E2F25">
        <w:rPr>
          <w:rFonts w:asciiTheme="minorHAnsi" w:hAnsiTheme="minorHAnsi" w:cstheme="minorHAnsi"/>
          <w:sz w:val="22"/>
        </w:rPr>
        <w:t xml:space="preserve">dle na území ČR užívaných metodik pro certifikaci kvality budov. </w:t>
      </w:r>
    </w:p>
    <w:p w14:paraId="11AB9634" w14:textId="13480F9F" w:rsidR="006C3468" w:rsidRDefault="006C3468" w:rsidP="007E2F25">
      <w:pPr>
        <w:pStyle w:val="Bezmezer"/>
        <w:jc w:val="both"/>
        <w:rPr>
          <w:rFonts w:asciiTheme="minorHAnsi" w:hAnsiTheme="minorHAnsi" w:cstheme="minorHAnsi"/>
          <w:sz w:val="22"/>
        </w:rPr>
      </w:pPr>
      <w:r w:rsidRPr="007E2F25">
        <w:rPr>
          <w:rFonts w:asciiTheme="minorHAnsi" w:hAnsiTheme="minorHAnsi" w:cstheme="minorHAnsi"/>
          <w:sz w:val="22"/>
        </w:rPr>
        <w:t>Doporučenými metodikami</w:t>
      </w:r>
      <w:r w:rsidR="00522C07">
        <w:rPr>
          <w:rFonts w:asciiTheme="minorHAnsi" w:hAnsiTheme="minorHAnsi" w:cstheme="minorHAnsi"/>
          <w:sz w:val="22"/>
        </w:rPr>
        <w:t xml:space="preserve"> s požadovanou úrovní certifikace</w:t>
      </w:r>
      <w:r w:rsidRPr="007E2F25">
        <w:rPr>
          <w:rFonts w:asciiTheme="minorHAnsi" w:hAnsiTheme="minorHAnsi" w:cstheme="minorHAnsi"/>
          <w:sz w:val="22"/>
        </w:rPr>
        <w:t xml:space="preserve"> jsou: </w:t>
      </w:r>
      <w:proofErr w:type="spellStart"/>
      <w:r w:rsidRPr="007E2F25">
        <w:rPr>
          <w:rFonts w:asciiTheme="minorHAnsi" w:hAnsiTheme="minorHAnsi" w:cstheme="minorHAnsi"/>
          <w:sz w:val="22"/>
        </w:rPr>
        <w:t>SBToolCZ</w:t>
      </w:r>
      <w:proofErr w:type="spellEnd"/>
      <w:r w:rsidRPr="007E2F25">
        <w:rPr>
          <w:rFonts w:asciiTheme="minorHAnsi" w:hAnsiTheme="minorHAnsi" w:cstheme="minorHAnsi"/>
          <w:sz w:val="22"/>
        </w:rPr>
        <w:t xml:space="preserve">: minimálně na úrovni bronzového certifikátu, nebo BREEAM (úroveň </w:t>
      </w:r>
      <w:proofErr w:type="spellStart"/>
      <w:r w:rsidRPr="007E2F25">
        <w:rPr>
          <w:rFonts w:asciiTheme="minorHAnsi" w:hAnsiTheme="minorHAnsi" w:cstheme="minorHAnsi"/>
          <w:sz w:val="22"/>
        </w:rPr>
        <w:t>Good</w:t>
      </w:r>
      <w:proofErr w:type="spellEnd"/>
      <w:r w:rsidRPr="007E2F25">
        <w:rPr>
          <w:rFonts w:asciiTheme="minorHAnsi" w:hAnsiTheme="minorHAnsi" w:cstheme="minorHAnsi"/>
          <w:sz w:val="22"/>
        </w:rPr>
        <w:t xml:space="preserve"> (&gt;45 %)</w:t>
      </w:r>
      <w:r w:rsidR="0024575C">
        <w:rPr>
          <w:rFonts w:asciiTheme="minorHAnsi" w:hAnsiTheme="minorHAnsi" w:cstheme="minorHAnsi"/>
          <w:sz w:val="22"/>
        </w:rPr>
        <w:t>)</w:t>
      </w:r>
      <w:r w:rsidRPr="007E2F25">
        <w:rPr>
          <w:rFonts w:asciiTheme="minorHAnsi" w:hAnsiTheme="minorHAnsi" w:cstheme="minorHAnsi"/>
          <w:sz w:val="22"/>
        </w:rPr>
        <w:t xml:space="preserve">, nebo LEED (úroveň </w:t>
      </w:r>
      <w:proofErr w:type="spellStart"/>
      <w:r w:rsidRPr="007E2F25">
        <w:rPr>
          <w:rFonts w:asciiTheme="minorHAnsi" w:hAnsiTheme="minorHAnsi" w:cstheme="minorHAnsi"/>
          <w:sz w:val="22"/>
        </w:rPr>
        <w:t>Certified</w:t>
      </w:r>
      <w:proofErr w:type="spellEnd"/>
      <w:r w:rsidRPr="007E2F25">
        <w:rPr>
          <w:rFonts w:asciiTheme="minorHAnsi" w:hAnsiTheme="minorHAnsi" w:cstheme="minorHAnsi"/>
          <w:sz w:val="22"/>
        </w:rPr>
        <w:t xml:space="preserve"> (40–49 bodů)), nebo DGNB (úroveň Bronze (35–50 %</w:t>
      </w:r>
      <w:r w:rsidR="0024575C">
        <w:rPr>
          <w:rFonts w:asciiTheme="minorHAnsi" w:hAnsiTheme="minorHAnsi" w:cstheme="minorHAnsi"/>
          <w:sz w:val="22"/>
        </w:rPr>
        <w:t>)</w:t>
      </w:r>
      <w:r w:rsidRPr="007E2F25">
        <w:rPr>
          <w:rFonts w:asciiTheme="minorHAnsi" w:hAnsiTheme="minorHAnsi" w:cstheme="minorHAnsi"/>
          <w:sz w:val="22"/>
        </w:rPr>
        <w:t>), nebo dle dalších metodik využívaných na území ČR obdobné úrovně.</w:t>
      </w:r>
    </w:p>
    <w:p w14:paraId="3919199A" w14:textId="77777777" w:rsidR="005536D8" w:rsidRDefault="005536D8" w:rsidP="007E2F25">
      <w:pPr>
        <w:pStyle w:val="Bezmezer"/>
        <w:jc w:val="both"/>
        <w:rPr>
          <w:rFonts w:asciiTheme="minorHAnsi" w:hAnsiTheme="minorHAnsi" w:cstheme="minorHAnsi"/>
          <w:sz w:val="22"/>
        </w:rPr>
      </w:pPr>
    </w:p>
    <w:p w14:paraId="7D8FD725" w14:textId="5CE28817" w:rsidR="005536D8" w:rsidRPr="00EB0220" w:rsidRDefault="005536D8" w:rsidP="005536D8">
      <w:pPr>
        <w:jc w:val="both"/>
        <w:rPr>
          <w:rFonts w:cstheme="minorHAnsi"/>
          <w:u w:val="single"/>
        </w:rPr>
      </w:pPr>
      <w:r w:rsidRPr="00EB0220">
        <w:rPr>
          <w:rFonts w:eastAsia="Arial" w:cstheme="minorHAnsi"/>
          <w:b/>
          <w:bCs/>
          <w:u w:val="single"/>
        </w:rPr>
        <w:t>V</w:t>
      </w:r>
      <w:r w:rsidR="00EB0220" w:rsidRPr="00EB0220">
        <w:rPr>
          <w:rFonts w:eastAsia="Arial" w:cstheme="minorHAnsi"/>
          <w:b/>
          <w:bCs/>
          <w:u w:val="single"/>
        </w:rPr>
        <w:t>arianty</w:t>
      </w:r>
      <w:r w:rsidRPr="00EB0220">
        <w:rPr>
          <w:rFonts w:eastAsia="Arial" w:cstheme="minorHAnsi"/>
          <w:b/>
          <w:bCs/>
          <w:u w:val="single"/>
        </w:rPr>
        <w:t xml:space="preserve"> A </w:t>
      </w:r>
      <w:proofErr w:type="spellStart"/>
      <w:r w:rsidR="00EB0220" w:rsidRPr="00EB0220">
        <w:rPr>
          <w:rFonts w:eastAsia="Arial" w:cstheme="minorHAnsi"/>
          <w:b/>
          <w:bCs/>
          <w:u w:val="single"/>
        </w:rPr>
        <w:t>a</w:t>
      </w:r>
      <w:proofErr w:type="spellEnd"/>
      <w:r w:rsidRPr="00EB0220">
        <w:rPr>
          <w:rFonts w:eastAsia="Arial" w:cstheme="minorHAnsi"/>
          <w:b/>
          <w:bCs/>
          <w:u w:val="single"/>
        </w:rPr>
        <w:t xml:space="preserve"> B </w:t>
      </w:r>
      <w:r w:rsidR="00EB0220" w:rsidRPr="00EB0220">
        <w:rPr>
          <w:rFonts w:eastAsia="Arial" w:cstheme="minorHAnsi"/>
          <w:b/>
          <w:bCs/>
          <w:u w:val="single"/>
        </w:rPr>
        <w:t>mezi sebou nelze kombinovat</w:t>
      </w:r>
      <w:r w:rsidRPr="00EB0220">
        <w:rPr>
          <w:rFonts w:eastAsia="Arial" w:cstheme="minorHAnsi"/>
          <w:b/>
          <w:bCs/>
          <w:u w:val="single"/>
        </w:rPr>
        <w:t xml:space="preserve">. </w:t>
      </w:r>
    </w:p>
    <w:bookmarkEnd w:id="1"/>
    <w:p w14:paraId="1B5C0C11" w14:textId="77777777" w:rsidR="007E2F25" w:rsidRDefault="007E2F25" w:rsidP="007F4D2A">
      <w:pPr>
        <w:pStyle w:val="Nadpis1"/>
        <w:spacing w:line="288" w:lineRule="auto"/>
        <w:jc w:val="both"/>
        <w:rPr>
          <w:caps/>
          <w:sz w:val="28"/>
        </w:rPr>
      </w:pPr>
    </w:p>
    <w:p w14:paraId="49B4A60E" w14:textId="77777777" w:rsidR="007E2F25" w:rsidRDefault="007E2F25" w:rsidP="007F4D2A">
      <w:pPr>
        <w:pStyle w:val="Nadpis1"/>
        <w:spacing w:line="288" w:lineRule="auto"/>
        <w:jc w:val="both"/>
        <w:rPr>
          <w:caps/>
          <w:sz w:val="28"/>
        </w:rPr>
      </w:pPr>
    </w:p>
    <w:p w14:paraId="6DAAE216" w14:textId="77777777" w:rsidR="00CA22C2" w:rsidRPr="00CA22C2" w:rsidRDefault="00CA22C2" w:rsidP="00CA22C2"/>
    <w:p w14:paraId="4373A735" w14:textId="29242C0A" w:rsidR="00402722" w:rsidRPr="002C046C" w:rsidRDefault="00402722" w:rsidP="007F4D2A">
      <w:pPr>
        <w:pStyle w:val="Nadpis1"/>
        <w:spacing w:line="288" w:lineRule="auto"/>
        <w:jc w:val="both"/>
        <w:rPr>
          <w:caps/>
          <w:sz w:val="28"/>
        </w:rPr>
      </w:pPr>
      <w:r w:rsidRPr="002C046C">
        <w:rPr>
          <w:caps/>
          <w:sz w:val="28"/>
        </w:rPr>
        <w:lastRenderedPageBreak/>
        <w:t>kritéria hodnocení žádostí</w:t>
      </w:r>
    </w:p>
    <w:p w14:paraId="458A00CD" w14:textId="50D55B11" w:rsidR="007F4D2A" w:rsidRPr="002C046C" w:rsidRDefault="007F4D2A"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sidRPr="002C046C">
        <w:rPr>
          <w:rFonts w:asciiTheme="majorHAnsi" w:eastAsiaTheme="majorEastAsia" w:hAnsiTheme="majorHAnsi" w:cstheme="majorBidi"/>
          <w:b/>
          <w:bCs/>
          <w:caps/>
          <w:color w:val="365F91" w:themeColor="accent1" w:themeShade="BF"/>
          <w:sz w:val="28"/>
          <w:szCs w:val="28"/>
        </w:rPr>
        <w:t xml:space="preserve">Formální náležitosti </w:t>
      </w:r>
    </w:p>
    <w:tbl>
      <w:tblPr>
        <w:tblStyle w:val="Mkatabulky"/>
        <w:tblW w:w="9498" w:type="dxa"/>
        <w:tblInd w:w="-5" w:type="dxa"/>
        <w:tblLook w:val="0600" w:firstRow="0" w:lastRow="0" w:firstColumn="0" w:lastColumn="0" w:noHBand="1" w:noVBand="1"/>
      </w:tblPr>
      <w:tblGrid>
        <w:gridCol w:w="1418"/>
        <w:gridCol w:w="5521"/>
        <w:gridCol w:w="1620"/>
        <w:gridCol w:w="939"/>
      </w:tblGrid>
      <w:tr w:rsidR="009D4619" w14:paraId="34C81026" w14:textId="77777777" w:rsidTr="006776B1">
        <w:trPr>
          <w:trHeight w:val="518"/>
        </w:trPr>
        <w:tc>
          <w:tcPr>
            <w:tcW w:w="6939" w:type="dxa"/>
            <w:gridSpan w:val="2"/>
            <w:shd w:val="clear" w:color="auto" w:fill="000000" w:themeFill="text1"/>
            <w:vAlign w:val="center"/>
          </w:tcPr>
          <w:p w14:paraId="12F1C066"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620" w:type="dxa"/>
            <w:shd w:val="clear" w:color="auto" w:fill="000000" w:themeFill="text1"/>
          </w:tcPr>
          <w:p w14:paraId="3D87DC79"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939" w:type="dxa"/>
            <w:shd w:val="clear" w:color="auto" w:fill="000000" w:themeFill="text1"/>
            <w:vAlign w:val="center"/>
          </w:tcPr>
          <w:p w14:paraId="5F6EB2A3" w14:textId="57499938"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14:paraId="6109DF42" w14:textId="77777777" w:rsidTr="006776B1">
        <w:trPr>
          <w:trHeight w:val="518"/>
        </w:trPr>
        <w:tc>
          <w:tcPr>
            <w:tcW w:w="1418" w:type="dxa"/>
            <w:vMerge w:val="restart"/>
            <w:shd w:val="clear" w:color="auto" w:fill="D9D9D9" w:themeFill="background1" w:themeFillShade="D9"/>
            <w:vAlign w:val="center"/>
          </w:tcPr>
          <w:p w14:paraId="7A206216" w14:textId="77777777" w:rsidR="009D4619" w:rsidRPr="00846F91"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5521" w:type="dxa"/>
            <w:vAlign w:val="center"/>
          </w:tcPr>
          <w:p w14:paraId="475FCF7E"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1620" w:type="dxa"/>
          </w:tcPr>
          <w:p w14:paraId="518F5A38" w14:textId="465EEEA3"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939" w:type="dxa"/>
            <w:vAlign w:val="center"/>
          </w:tcPr>
          <w:p w14:paraId="41A7E506" w14:textId="2021F3B6"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51A3B454" w14:textId="77777777" w:rsidTr="006776B1">
        <w:trPr>
          <w:trHeight w:val="518"/>
        </w:trPr>
        <w:tc>
          <w:tcPr>
            <w:tcW w:w="1418" w:type="dxa"/>
            <w:vMerge/>
            <w:shd w:val="clear" w:color="auto" w:fill="D9D9D9" w:themeFill="background1" w:themeFillShade="D9"/>
            <w:vAlign w:val="center"/>
          </w:tcPr>
          <w:p w14:paraId="52C6DD2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321E72B7" w14:textId="6297248F"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w:t>
            </w:r>
            <w:r>
              <w:rPr>
                <w:rFonts w:asciiTheme="minorHAnsi" w:hAnsiTheme="minorHAnsi" w:cstheme="minorHAnsi"/>
                <w:color w:val="000000" w:themeColor="text1"/>
              </w:rPr>
              <w:t> </w:t>
            </w:r>
            <w:r w:rsidRPr="00394E77">
              <w:rPr>
                <w:rFonts w:asciiTheme="minorHAnsi" w:hAnsiTheme="minorHAnsi" w:cstheme="minorHAnsi"/>
                <w:color w:val="000000" w:themeColor="text1"/>
              </w:rPr>
              <w:t>formě podle textu výzvy a Pravidel pro žadatele a příjemce.</w:t>
            </w:r>
          </w:p>
        </w:tc>
        <w:tc>
          <w:tcPr>
            <w:tcW w:w="1620" w:type="dxa"/>
          </w:tcPr>
          <w:p w14:paraId="1D77F2D4" w14:textId="6337F08E"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939" w:type="dxa"/>
          </w:tcPr>
          <w:p w14:paraId="552398A4" w14:textId="0384ECA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3063D28F" w14:textId="77777777" w:rsidTr="006776B1">
        <w:trPr>
          <w:trHeight w:val="518"/>
        </w:trPr>
        <w:tc>
          <w:tcPr>
            <w:tcW w:w="1418" w:type="dxa"/>
            <w:vMerge/>
            <w:shd w:val="clear" w:color="auto" w:fill="D9D9D9" w:themeFill="background1" w:themeFillShade="D9"/>
            <w:vAlign w:val="center"/>
          </w:tcPr>
          <w:p w14:paraId="1049D1CF"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7B02BD20"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1620" w:type="dxa"/>
          </w:tcPr>
          <w:p w14:paraId="5324EAFD" w14:textId="0711211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939" w:type="dxa"/>
          </w:tcPr>
          <w:p w14:paraId="331E670B" w14:textId="1DAB63EB"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47929965" w14:textId="77777777" w:rsidTr="006776B1">
        <w:trPr>
          <w:trHeight w:val="518"/>
        </w:trPr>
        <w:tc>
          <w:tcPr>
            <w:tcW w:w="1418" w:type="dxa"/>
            <w:vMerge/>
            <w:shd w:val="clear" w:color="auto" w:fill="D9D9D9" w:themeFill="background1" w:themeFillShade="D9"/>
            <w:vAlign w:val="center"/>
          </w:tcPr>
          <w:p w14:paraId="00918F52"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6B33E852" w14:textId="2D9121FD" w:rsidR="009D4619" w:rsidRPr="00394E77" w:rsidRDefault="009D4619"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1620" w:type="dxa"/>
          </w:tcPr>
          <w:p w14:paraId="23FC8BEA" w14:textId="48D2E589"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939" w:type="dxa"/>
            <w:vAlign w:val="center"/>
          </w:tcPr>
          <w:p w14:paraId="41648016" w14:textId="4A57C3BA"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609ABD56" w14:textId="77777777" w:rsidTr="006776B1">
        <w:trPr>
          <w:trHeight w:val="518"/>
        </w:trPr>
        <w:tc>
          <w:tcPr>
            <w:tcW w:w="1418" w:type="dxa"/>
            <w:vMerge/>
            <w:shd w:val="clear" w:color="auto" w:fill="D9D9D9" w:themeFill="background1" w:themeFillShade="D9"/>
            <w:vAlign w:val="center"/>
          </w:tcPr>
          <w:p w14:paraId="5E138384"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2DA95843" w14:textId="69762E63"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w:t>
            </w:r>
            <w:r>
              <w:rPr>
                <w:rFonts w:asciiTheme="minorHAnsi" w:hAnsiTheme="minorHAnsi" w:cstheme="minorHAnsi"/>
                <w:color w:val="000000" w:themeColor="text1"/>
              </w:rPr>
              <w:t> </w:t>
            </w:r>
            <w:r w:rsidRPr="00394E77">
              <w:rPr>
                <w:rFonts w:asciiTheme="minorHAnsi" w:hAnsiTheme="minorHAnsi" w:cstheme="minorHAnsi"/>
                <w:color w:val="000000" w:themeColor="text1"/>
              </w:rPr>
              <w:t>výzvě.</w:t>
            </w:r>
          </w:p>
        </w:tc>
        <w:tc>
          <w:tcPr>
            <w:tcW w:w="1620" w:type="dxa"/>
          </w:tcPr>
          <w:p w14:paraId="0095A2E1" w14:textId="7A6CDBFD"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939" w:type="dxa"/>
          </w:tcPr>
          <w:p w14:paraId="54ABDF1A" w14:textId="2A906594"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300C4F1" w14:textId="77777777" w:rsidTr="006776B1">
        <w:trPr>
          <w:trHeight w:val="518"/>
        </w:trPr>
        <w:tc>
          <w:tcPr>
            <w:tcW w:w="1418" w:type="dxa"/>
            <w:vMerge/>
            <w:shd w:val="clear" w:color="auto" w:fill="D9D9D9" w:themeFill="background1" w:themeFillShade="D9"/>
            <w:vAlign w:val="center"/>
          </w:tcPr>
          <w:p w14:paraId="2B5E84B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6416B068" w14:textId="1A7F7CBD"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Projekt respektuje minimální a </w:t>
            </w:r>
            <w:r>
              <w:rPr>
                <w:rFonts w:asciiTheme="minorHAnsi" w:hAnsiTheme="minorHAnsi" w:cstheme="minorHAnsi"/>
                <w:color w:val="000000" w:themeColor="text1"/>
              </w:rPr>
              <w:t>maximální výši dotace.</w:t>
            </w:r>
          </w:p>
        </w:tc>
        <w:tc>
          <w:tcPr>
            <w:tcW w:w="1620" w:type="dxa"/>
          </w:tcPr>
          <w:p w14:paraId="2B8DF949" w14:textId="35E771A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939" w:type="dxa"/>
          </w:tcPr>
          <w:p w14:paraId="557A61A4" w14:textId="0796497D"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DBA4DAD" w14:textId="77777777" w:rsidTr="006776B1">
        <w:trPr>
          <w:trHeight w:val="518"/>
        </w:trPr>
        <w:tc>
          <w:tcPr>
            <w:tcW w:w="1418" w:type="dxa"/>
            <w:vMerge/>
            <w:shd w:val="clear" w:color="auto" w:fill="D9D9D9" w:themeFill="background1" w:themeFillShade="D9"/>
            <w:vAlign w:val="center"/>
          </w:tcPr>
          <w:p w14:paraId="5F902EC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395EC72E"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1620" w:type="dxa"/>
          </w:tcPr>
          <w:p w14:paraId="403BA561" w14:textId="6974F900"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939" w:type="dxa"/>
          </w:tcPr>
          <w:p w14:paraId="040C0F79" w14:textId="00A11F55"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5E8FE27" w14:textId="77777777" w:rsidTr="006776B1">
        <w:trPr>
          <w:trHeight w:val="518"/>
        </w:trPr>
        <w:tc>
          <w:tcPr>
            <w:tcW w:w="1418" w:type="dxa"/>
            <w:vMerge/>
            <w:shd w:val="clear" w:color="auto" w:fill="D9D9D9" w:themeFill="background1" w:themeFillShade="D9"/>
            <w:vAlign w:val="center"/>
          </w:tcPr>
          <w:p w14:paraId="4F42D2F1"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51A3535F"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na činnosti, které tvoří obsah žádosti o podporu, nezískal podporu z jiných veřejných zdrojů.</w:t>
            </w:r>
          </w:p>
        </w:tc>
        <w:tc>
          <w:tcPr>
            <w:tcW w:w="1620" w:type="dxa"/>
          </w:tcPr>
          <w:p w14:paraId="19B77538" w14:textId="22263C0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939" w:type="dxa"/>
          </w:tcPr>
          <w:p w14:paraId="01C24BF7" w14:textId="4B4463D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4BECC98" w14:textId="77777777" w:rsidTr="006776B1">
        <w:trPr>
          <w:trHeight w:val="518"/>
        </w:trPr>
        <w:tc>
          <w:tcPr>
            <w:tcW w:w="1418" w:type="dxa"/>
            <w:vMerge/>
            <w:shd w:val="clear" w:color="auto" w:fill="D9D9D9" w:themeFill="background1" w:themeFillShade="D9"/>
            <w:vAlign w:val="center"/>
          </w:tcPr>
          <w:p w14:paraId="266AD339"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21" w:type="dxa"/>
            <w:vAlign w:val="center"/>
          </w:tcPr>
          <w:p w14:paraId="6B35ECE6"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620" w:type="dxa"/>
          </w:tcPr>
          <w:p w14:paraId="0226F0E5" w14:textId="37BF518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939" w:type="dxa"/>
          </w:tcPr>
          <w:p w14:paraId="0ECE206E" w14:textId="2E18A2B6"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EF7BFA7" w14:textId="680F9137" w:rsidR="00066E38" w:rsidRPr="002C046C" w:rsidRDefault="00792DFF"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podmínky </w:t>
      </w:r>
      <w:r w:rsidR="007F4D2A" w:rsidRPr="002C046C">
        <w:rPr>
          <w:rFonts w:asciiTheme="majorHAnsi" w:eastAsiaTheme="majorEastAsia" w:hAnsiTheme="majorHAnsi" w:cstheme="majorBidi"/>
          <w:b/>
          <w:bCs/>
          <w:caps/>
          <w:color w:val="365F91" w:themeColor="accent1" w:themeShade="BF"/>
          <w:sz w:val="28"/>
          <w:szCs w:val="28"/>
        </w:rPr>
        <w:t>Přijatelnost</w:t>
      </w:r>
      <w:r>
        <w:rPr>
          <w:rFonts w:asciiTheme="majorHAnsi" w:eastAsiaTheme="majorEastAsia" w:hAnsiTheme="majorHAnsi" w:cstheme="majorBidi"/>
          <w:b/>
          <w:bCs/>
          <w:caps/>
          <w:color w:val="365F91" w:themeColor="accent1" w:themeShade="BF"/>
          <w:sz w:val="28"/>
          <w:szCs w:val="28"/>
        </w:rPr>
        <w:t>i</w:t>
      </w:r>
    </w:p>
    <w:tbl>
      <w:tblPr>
        <w:tblStyle w:val="Mkatabulky"/>
        <w:tblW w:w="9498" w:type="dxa"/>
        <w:tblInd w:w="-5" w:type="dxa"/>
        <w:tblLook w:val="0600" w:firstRow="0" w:lastRow="0" w:firstColumn="0" w:lastColumn="0" w:noHBand="1" w:noVBand="1"/>
      </w:tblPr>
      <w:tblGrid>
        <w:gridCol w:w="1326"/>
        <w:gridCol w:w="5617"/>
        <w:gridCol w:w="1701"/>
        <w:gridCol w:w="854"/>
      </w:tblGrid>
      <w:tr w:rsidR="009D4619" w14:paraId="6374BA25" w14:textId="77777777" w:rsidTr="006776B1">
        <w:trPr>
          <w:trHeight w:val="518"/>
        </w:trPr>
        <w:tc>
          <w:tcPr>
            <w:tcW w:w="6946" w:type="dxa"/>
            <w:gridSpan w:val="2"/>
            <w:shd w:val="clear" w:color="auto" w:fill="000000" w:themeFill="text1"/>
            <w:vAlign w:val="center"/>
          </w:tcPr>
          <w:p w14:paraId="7556A0F8"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701" w:type="dxa"/>
            <w:shd w:val="clear" w:color="auto" w:fill="000000" w:themeFill="text1"/>
          </w:tcPr>
          <w:p w14:paraId="532A4443"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851" w:type="dxa"/>
            <w:shd w:val="clear" w:color="auto" w:fill="000000" w:themeFill="text1"/>
            <w:vAlign w:val="center"/>
          </w:tcPr>
          <w:p w14:paraId="176A48BA" w14:textId="6C45F739"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rsidRPr="00570145" w14:paraId="01D8BF12" w14:textId="77777777" w:rsidTr="006776B1">
        <w:tblPrEx>
          <w:tblLook w:val="04A0" w:firstRow="1" w:lastRow="0" w:firstColumn="1" w:lastColumn="0" w:noHBand="0" w:noVBand="1"/>
        </w:tblPrEx>
        <w:trPr>
          <w:trHeight w:val="518"/>
        </w:trPr>
        <w:tc>
          <w:tcPr>
            <w:tcW w:w="1326" w:type="dxa"/>
            <w:vMerge w:val="restart"/>
            <w:shd w:val="clear" w:color="auto" w:fill="D9D9D9" w:themeFill="background1" w:themeFillShade="D9"/>
            <w:vAlign w:val="center"/>
          </w:tcPr>
          <w:p w14:paraId="10160E96" w14:textId="36066FF0" w:rsidR="009D4619" w:rsidRPr="00111D36"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5620" w:type="dxa"/>
          </w:tcPr>
          <w:p w14:paraId="393A4E9C" w14:textId="54AA5755" w:rsidR="009D4619" w:rsidRPr="00570145" w:rsidRDefault="009D4619" w:rsidP="00066E38">
            <w:pPr>
              <w:pStyle w:val="Bezmezer"/>
              <w:spacing w:line="288" w:lineRule="auto"/>
              <w:ind w:right="150"/>
              <w:rPr>
                <w:rFonts w:asciiTheme="minorHAnsi" w:hAnsiTheme="minorHAnsi"/>
                <w:color w:val="000000" w:themeColor="text1"/>
              </w:rPr>
            </w:pPr>
            <w:r w:rsidRPr="00066E38">
              <w:rPr>
                <w:rFonts w:asciiTheme="minorHAnsi" w:hAnsiTheme="minorHAnsi"/>
                <w:color w:val="000000" w:themeColor="text1"/>
              </w:rPr>
              <w:t>Kvalita výstupu projektu dosáhne stanovené kvalitativní hranice pro jednotlivé sledované oblasti</w:t>
            </w:r>
            <w:r w:rsidR="00522C07">
              <w:rPr>
                <w:rFonts w:asciiTheme="minorHAnsi" w:hAnsiTheme="minorHAnsi"/>
                <w:color w:val="000000" w:themeColor="text1"/>
              </w:rPr>
              <w:t>: e</w:t>
            </w:r>
            <w:r w:rsidRPr="00066E38">
              <w:rPr>
                <w:rFonts w:asciiTheme="minorHAnsi" w:hAnsiTheme="minorHAnsi"/>
                <w:color w:val="000000" w:themeColor="text1"/>
              </w:rPr>
              <w:t>konomická efektivita, uživatelská kvalita prostředí, sociální kritéria, environmentální kritéria</w:t>
            </w:r>
            <w:r w:rsidR="00522C07">
              <w:rPr>
                <w:rFonts w:asciiTheme="minorHAnsi" w:hAnsiTheme="minorHAnsi"/>
                <w:color w:val="000000" w:themeColor="text1"/>
              </w:rPr>
              <w:t xml:space="preserve"> (splnění enviromentálních kritérií lze nahradit získáním certifikátu kvality budov</w:t>
            </w:r>
            <w:r w:rsidRPr="00066E38">
              <w:rPr>
                <w:rFonts w:asciiTheme="minorHAnsi" w:hAnsiTheme="minorHAnsi"/>
                <w:color w:val="000000" w:themeColor="text1"/>
              </w:rPr>
              <w:t xml:space="preserve">) celkem </w:t>
            </w:r>
            <w:r>
              <w:rPr>
                <w:rFonts w:asciiTheme="minorHAnsi" w:hAnsiTheme="minorHAnsi"/>
                <w:color w:val="000000" w:themeColor="text1"/>
              </w:rPr>
              <w:t xml:space="preserve">minimálně </w:t>
            </w:r>
            <w:r w:rsidR="00C70D78">
              <w:rPr>
                <w:rFonts w:asciiTheme="minorHAnsi" w:hAnsiTheme="minorHAnsi"/>
                <w:color w:val="000000" w:themeColor="text1"/>
              </w:rPr>
              <w:t>25</w:t>
            </w:r>
            <w:r w:rsidRPr="007655FF">
              <w:rPr>
                <w:rFonts w:asciiTheme="minorHAnsi" w:hAnsiTheme="minorHAnsi"/>
                <w:color w:val="000000" w:themeColor="text1"/>
              </w:rPr>
              <w:t xml:space="preserve"> bodů.</w:t>
            </w:r>
          </w:p>
        </w:tc>
        <w:tc>
          <w:tcPr>
            <w:tcW w:w="1701" w:type="dxa"/>
          </w:tcPr>
          <w:p w14:paraId="136F3C18" w14:textId="0D61AE07"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851" w:type="dxa"/>
          </w:tcPr>
          <w:p w14:paraId="0CE68068" w14:textId="1789903D" w:rsidR="009D4619" w:rsidRPr="00570145"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rsidRPr="007655FF" w14:paraId="528A39B2" w14:textId="77777777" w:rsidTr="006776B1">
        <w:tblPrEx>
          <w:tblLook w:val="04A0" w:firstRow="1" w:lastRow="0" w:firstColumn="1" w:lastColumn="0" w:noHBand="0" w:noVBand="1"/>
        </w:tblPrEx>
        <w:trPr>
          <w:trHeight w:val="518"/>
        </w:trPr>
        <w:tc>
          <w:tcPr>
            <w:tcW w:w="1326" w:type="dxa"/>
            <w:vMerge/>
          </w:tcPr>
          <w:p w14:paraId="7326CC3C"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620" w:type="dxa"/>
          </w:tcPr>
          <w:p w14:paraId="32760A91" w14:textId="02E3257B" w:rsidR="009D4619" w:rsidRPr="005D156F" w:rsidRDefault="009D4619" w:rsidP="006260B8">
            <w:pPr>
              <w:pStyle w:val="Bezmezer"/>
              <w:spacing w:line="288" w:lineRule="auto"/>
              <w:ind w:right="150"/>
              <w:rPr>
                <w:rFonts w:asciiTheme="minorHAnsi" w:hAnsiTheme="minorHAnsi" w:cstheme="minorHAnsi"/>
                <w:color w:val="000000" w:themeColor="text1"/>
                <w:highlight w:val="yellow"/>
              </w:rPr>
            </w:pPr>
            <w:r>
              <w:rPr>
                <w:rStyle w:val="cf01"/>
              </w:rPr>
              <w:t>Realizace následné výstavby proběhne do 10 let od ukončení přípravného projektu.</w:t>
            </w:r>
          </w:p>
        </w:tc>
        <w:tc>
          <w:tcPr>
            <w:tcW w:w="1701" w:type="dxa"/>
          </w:tcPr>
          <w:p w14:paraId="0311EF02" w14:textId="0A717470"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851" w:type="dxa"/>
          </w:tcPr>
          <w:p w14:paraId="75803550" w14:textId="2D612695" w:rsidR="009D4619" w:rsidRPr="007655FF"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5F03CF1C" w14:textId="77777777" w:rsidTr="006776B1">
        <w:tblPrEx>
          <w:tblLook w:val="04A0" w:firstRow="1" w:lastRow="0" w:firstColumn="1" w:lastColumn="0" w:noHBand="0" w:noVBand="1"/>
        </w:tblPrEx>
        <w:trPr>
          <w:trHeight w:val="518"/>
        </w:trPr>
        <w:tc>
          <w:tcPr>
            <w:tcW w:w="1326" w:type="dxa"/>
            <w:vMerge/>
          </w:tcPr>
          <w:p w14:paraId="1BD4306B"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620" w:type="dxa"/>
          </w:tcPr>
          <w:p w14:paraId="365228AD" w14:textId="41D1E6B2" w:rsidR="009D4619" w:rsidRDefault="009D4619" w:rsidP="006260B8">
            <w:pPr>
              <w:pStyle w:val="Bezmezer"/>
              <w:spacing w:line="288" w:lineRule="auto"/>
              <w:ind w:right="150"/>
              <w:rPr>
                <w:rFonts w:asciiTheme="minorHAnsi" w:hAnsiTheme="minorHAnsi" w:cstheme="minorHAnsi"/>
                <w:color w:val="000000" w:themeColor="text1"/>
              </w:rPr>
            </w:pPr>
            <w:bookmarkStart w:id="2" w:name="_Hlk149573090"/>
            <w:r>
              <w:rPr>
                <w:rStyle w:val="cf01"/>
              </w:rPr>
              <w:t xml:space="preserve">Náklady na pořízení projektové dokumentace dle žádosti nepřesáhnou 15 % předpokládané ceny stavby (průzkumy se nepovažují za součást projektové dokumentace). </w:t>
            </w:r>
            <w:bookmarkEnd w:id="2"/>
          </w:p>
        </w:tc>
        <w:tc>
          <w:tcPr>
            <w:tcW w:w="1701" w:type="dxa"/>
          </w:tcPr>
          <w:p w14:paraId="566BEB82" w14:textId="4BB27766"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851" w:type="dxa"/>
          </w:tcPr>
          <w:p w14:paraId="08EF4A58" w14:textId="620AE123" w:rsidR="009D4619"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2525E55F" w14:textId="77777777" w:rsidTr="006776B1">
        <w:tblPrEx>
          <w:tblLook w:val="04A0" w:firstRow="1" w:lastRow="0" w:firstColumn="1" w:lastColumn="0" w:noHBand="0" w:noVBand="1"/>
        </w:tblPrEx>
        <w:trPr>
          <w:trHeight w:val="518"/>
        </w:trPr>
        <w:tc>
          <w:tcPr>
            <w:tcW w:w="1326" w:type="dxa"/>
            <w:vMerge/>
          </w:tcPr>
          <w:p w14:paraId="302D4767"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620" w:type="dxa"/>
            <w:vAlign w:val="center"/>
          </w:tcPr>
          <w:p w14:paraId="54191947" w14:textId="2628126F" w:rsidR="009D4619" w:rsidRPr="00BC4A9A" w:rsidRDefault="009D4619" w:rsidP="006260B8">
            <w:pPr>
              <w:pStyle w:val="Bezmezer"/>
              <w:spacing w:line="288" w:lineRule="auto"/>
              <w:ind w:right="150"/>
              <w:rPr>
                <w:rStyle w:val="cf01"/>
                <w:vertAlign w:val="superscript"/>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701" w:type="dxa"/>
          </w:tcPr>
          <w:p w14:paraId="2224B9A1" w14:textId="660AC1E1"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851" w:type="dxa"/>
          </w:tcPr>
          <w:p w14:paraId="61EB90FB" w14:textId="0536CB5F" w:rsidR="009D4619" w:rsidRPr="008E6C64"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1773ED1E" w14:textId="77777777" w:rsidTr="006776B1">
        <w:tblPrEx>
          <w:tblLook w:val="04A0" w:firstRow="1" w:lastRow="0" w:firstColumn="1" w:lastColumn="0" w:noHBand="0" w:noVBand="1"/>
        </w:tblPrEx>
        <w:trPr>
          <w:trHeight w:val="518"/>
        </w:trPr>
        <w:tc>
          <w:tcPr>
            <w:tcW w:w="1326" w:type="dxa"/>
            <w:vMerge/>
          </w:tcPr>
          <w:p w14:paraId="39DD2E7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620" w:type="dxa"/>
            <w:vAlign w:val="center"/>
          </w:tcPr>
          <w:p w14:paraId="754CC44D" w14:textId="0E306BF8" w:rsidR="009D4619" w:rsidRDefault="009D4619" w:rsidP="006260B8">
            <w:pPr>
              <w:pStyle w:val="Bezmezer"/>
              <w:spacing w:line="288" w:lineRule="auto"/>
              <w:ind w:right="150"/>
              <w:rPr>
                <w:rFonts w:asciiTheme="minorHAnsi" w:hAnsiTheme="minorHAnsi" w:cstheme="minorHAnsi"/>
                <w:color w:val="000000" w:themeColor="text1"/>
              </w:rPr>
            </w:pPr>
          </w:p>
        </w:tc>
        <w:tc>
          <w:tcPr>
            <w:tcW w:w="1701" w:type="dxa"/>
          </w:tcPr>
          <w:p w14:paraId="64A476FE" w14:textId="77777777" w:rsidR="009D4619" w:rsidRDefault="009D4619" w:rsidP="006260B8">
            <w:pPr>
              <w:pStyle w:val="Bezmezer"/>
              <w:spacing w:line="288" w:lineRule="auto"/>
              <w:ind w:right="150"/>
              <w:jc w:val="center"/>
              <w:rPr>
                <w:rFonts w:asciiTheme="minorHAnsi" w:hAnsiTheme="minorHAnsi" w:cstheme="minorHAnsi"/>
                <w:color w:val="000000" w:themeColor="text1"/>
              </w:rPr>
            </w:pPr>
          </w:p>
        </w:tc>
        <w:tc>
          <w:tcPr>
            <w:tcW w:w="851" w:type="dxa"/>
          </w:tcPr>
          <w:p w14:paraId="1D13B0D7" w14:textId="75F21F37" w:rsidR="009D4619" w:rsidRDefault="009D4619" w:rsidP="006260B8">
            <w:pPr>
              <w:pStyle w:val="Bezmezer"/>
              <w:spacing w:line="288" w:lineRule="auto"/>
              <w:ind w:right="150"/>
              <w:jc w:val="center"/>
              <w:rPr>
                <w:rFonts w:asciiTheme="minorHAnsi" w:hAnsiTheme="minorHAnsi" w:cstheme="minorHAnsi"/>
                <w:color w:val="000000" w:themeColor="text1"/>
              </w:rPr>
            </w:pPr>
          </w:p>
        </w:tc>
      </w:tr>
    </w:tbl>
    <w:p w14:paraId="3AD0BFB0" w14:textId="46A57F29" w:rsidR="00864193" w:rsidRDefault="00864193" w:rsidP="00B130DC"/>
    <w:p w14:paraId="412BDA31" w14:textId="78FC717E" w:rsidR="00BD5F08" w:rsidRPr="002C046C" w:rsidRDefault="00681BFC"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hodnocení </w:t>
      </w:r>
      <w:r w:rsidR="007F4D2A" w:rsidRPr="002C046C">
        <w:rPr>
          <w:rFonts w:asciiTheme="majorHAnsi" w:eastAsiaTheme="majorEastAsia" w:hAnsiTheme="majorHAnsi" w:cstheme="majorBidi"/>
          <w:b/>
          <w:bCs/>
          <w:caps/>
          <w:color w:val="365F91" w:themeColor="accent1" w:themeShade="BF"/>
          <w:sz w:val="28"/>
          <w:szCs w:val="28"/>
        </w:rPr>
        <w:t>Kvalit</w:t>
      </w:r>
      <w:r>
        <w:rPr>
          <w:rFonts w:asciiTheme="majorHAnsi" w:eastAsiaTheme="majorEastAsia" w:hAnsiTheme="majorHAnsi" w:cstheme="majorBidi"/>
          <w:b/>
          <w:bCs/>
          <w:caps/>
          <w:color w:val="365F91" w:themeColor="accent1" w:themeShade="BF"/>
          <w:sz w:val="28"/>
          <w:szCs w:val="28"/>
        </w:rPr>
        <w:t>y</w:t>
      </w:r>
      <w:r w:rsidR="007F4D2A" w:rsidRPr="002C046C">
        <w:rPr>
          <w:rFonts w:asciiTheme="majorHAnsi" w:eastAsiaTheme="majorEastAsia" w:hAnsiTheme="majorHAnsi" w:cstheme="majorBidi"/>
          <w:b/>
          <w:bCs/>
          <w:caps/>
          <w:color w:val="365F91" w:themeColor="accent1" w:themeShade="BF"/>
          <w:sz w:val="28"/>
          <w:szCs w:val="28"/>
        </w:rPr>
        <w:t xml:space="preserve"> výstupu </w:t>
      </w:r>
    </w:p>
    <w:p w14:paraId="4477B0D9" w14:textId="702EBB3E" w:rsidR="007F4D2A" w:rsidRPr="002C046C" w:rsidRDefault="007F4D2A" w:rsidP="007F4D2A">
      <w:pPr>
        <w:pStyle w:val="Odstavecseseznamem"/>
        <w:numPr>
          <w:ilvl w:val="1"/>
          <w:numId w:val="35"/>
        </w:numPr>
        <w:rPr>
          <w:rFonts w:asciiTheme="majorHAnsi" w:eastAsiaTheme="majorEastAsia" w:hAnsiTheme="majorHAnsi" w:cstheme="majorBidi"/>
          <w:b/>
          <w:bCs/>
          <w:caps/>
          <w:color w:val="1F497D" w:themeColor="text2"/>
          <w:sz w:val="24"/>
          <w:szCs w:val="24"/>
          <w:highlight w:val="cyan"/>
        </w:rPr>
      </w:pPr>
      <w:r w:rsidRPr="002C046C">
        <w:rPr>
          <w:b/>
          <w:bCs/>
          <w:color w:val="1F497D" w:themeColor="text2"/>
          <w:sz w:val="24"/>
          <w:szCs w:val="24"/>
          <w:highlight w:val="cyan"/>
        </w:rPr>
        <w:t>VARIANTA A: KRITÉRIA KVALITY VÝSTUPU PROJEKTU</w:t>
      </w:r>
      <w:r w:rsidR="00E533F7" w:rsidRPr="002C046C">
        <w:rPr>
          <w:b/>
          <w:bCs/>
          <w:color w:val="1F497D" w:themeColor="text2"/>
          <w:sz w:val="24"/>
          <w:szCs w:val="24"/>
          <w:highlight w:val="cyan"/>
        </w:rPr>
        <w:t xml:space="preserve"> A ENVIRO</w:t>
      </w:r>
      <w:r w:rsidR="00FF1F17">
        <w:rPr>
          <w:b/>
          <w:bCs/>
          <w:color w:val="1F497D" w:themeColor="text2"/>
          <w:sz w:val="24"/>
          <w:szCs w:val="24"/>
          <w:highlight w:val="cyan"/>
        </w:rPr>
        <w:t>N</w:t>
      </w:r>
      <w:r w:rsidR="00E533F7" w:rsidRPr="002C046C">
        <w:rPr>
          <w:b/>
          <w:bCs/>
          <w:color w:val="1F497D" w:themeColor="text2"/>
          <w:sz w:val="24"/>
          <w:szCs w:val="24"/>
          <w:highlight w:val="cyan"/>
        </w:rPr>
        <w:t>MENTÁLN</w:t>
      </w:r>
      <w:r w:rsidR="00CE341B">
        <w:rPr>
          <w:b/>
          <w:bCs/>
          <w:color w:val="1F497D" w:themeColor="text2"/>
          <w:sz w:val="24"/>
          <w:szCs w:val="24"/>
          <w:highlight w:val="cyan"/>
        </w:rPr>
        <w:t>Í</w:t>
      </w:r>
      <w:r w:rsidR="00E533F7" w:rsidRPr="002C046C">
        <w:rPr>
          <w:b/>
          <w:bCs/>
          <w:color w:val="1F497D" w:themeColor="text2"/>
          <w:sz w:val="24"/>
          <w:szCs w:val="24"/>
          <w:highlight w:val="cyan"/>
        </w:rPr>
        <w:t xml:space="preserve"> KRITÉRIA</w:t>
      </w:r>
    </w:p>
    <w:p w14:paraId="40E055C7" w14:textId="3E3105CE" w:rsidR="007655FF" w:rsidRPr="002C046C" w:rsidRDefault="002C046C" w:rsidP="007655FF">
      <w:pPr>
        <w:spacing w:after="120"/>
        <w:rPr>
          <w:b/>
          <w:bCs/>
          <w:caps/>
          <w:color w:val="1F497D" w:themeColor="text2"/>
        </w:rPr>
      </w:pPr>
      <w:r>
        <w:rPr>
          <w:b/>
          <w:bCs/>
          <w:color w:val="1F497D" w:themeColor="text2"/>
        </w:rPr>
        <w:t xml:space="preserve">3.1.1 </w:t>
      </w:r>
      <w:r w:rsidR="007655FF" w:rsidRPr="002C046C">
        <w:rPr>
          <w:b/>
          <w:bCs/>
          <w:caps/>
          <w:color w:val="1F497D" w:themeColor="text2"/>
        </w:rPr>
        <w:t>Kritéria kvality výstupu</w:t>
      </w:r>
      <w:r w:rsidR="002A4E67">
        <w:rPr>
          <w:b/>
          <w:bCs/>
          <w:caps/>
          <w:color w:val="1F497D" w:themeColor="text2"/>
        </w:rPr>
        <w:t xml:space="preserve"> projektu</w:t>
      </w:r>
    </w:p>
    <w:p w14:paraId="73908C80" w14:textId="3962E376" w:rsidR="007655FF" w:rsidRPr="003C1F81" w:rsidRDefault="007655FF" w:rsidP="007655FF">
      <w:r>
        <w:t xml:space="preserve">Max. </w:t>
      </w:r>
      <w:r w:rsidR="007827B1">
        <w:t>87</w:t>
      </w:r>
      <w:r w:rsidR="00E96063">
        <w:t xml:space="preserve"> </w:t>
      </w:r>
      <w:r>
        <w:t>bodů</w:t>
      </w:r>
    </w:p>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7DD21C59" w14:textId="6D4D786A" w:rsidR="007F4D2A" w:rsidRDefault="00E533F7" w:rsidP="006260B8">
            <w:pPr>
              <w:pStyle w:val="Bezmezer"/>
              <w:spacing w:line="288" w:lineRule="auto"/>
              <w:ind w:right="150"/>
              <w:rPr>
                <w:b/>
                <w:bCs/>
              </w:rPr>
            </w:pPr>
            <w:r>
              <w:rPr>
                <w:b/>
                <w:bCs/>
              </w:rPr>
              <w:t xml:space="preserve">KRITÉRIA </w:t>
            </w:r>
            <w:r w:rsidR="00BD5F08" w:rsidRPr="00667C58">
              <w:rPr>
                <w:b/>
                <w:bCs/>
              </w:rPr>
              <w:t>KVALITY VÝSTUPU PROJEKTU</w:t>
            </w:r>
          </w:p>
          <w:p w14:paraId="477A219E" w14:textId="274ADB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0F7AA14E" w:rsidR="00864193" w:rsidRPr="00111D36" w:rsidRDefault="00C056A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864193" w:rsidRPr="00570145" w14:paraId="6E581675" w14:textId="77777777" w:rsidTr="006260B8">
        <w:trPr>
          <w:trHeight w:val="518"/>
        </w:trPr>
        <w:tc>
          <w:tcPr>
            <w:tcW w:w="2245" w:type="dxa"/>
            <w:shd w:val="clear" w:color="auto" w:fill="D9D9D9" w:themeFill="background1" w:themeFillShade="D9"/>
            <w:vAlign w:val="center"/>
          </w:tcPr>
          <w:p w14:paraId="5CA0B443" w14:textId="77777777" w:rsidR="00864193" w:rsidRPr="00396C72" w:rsidRDefault="00864193" w:rsidP="006260B8">
            <w:pPr>
              <w:pStyle w:val="Bezmezer"/>
              <w:spacing w:line="288" w:lineRule="auto"/>
              <w:ind w:right="150"/>
              <w:rPr>
                <w:rStyle w:val="cf01"/>
                <w:b/>
                <w:bCs/>
              </w:rPr>
            </w:pPr>
          </w:p>
        </w:tc>
        <w:tc>
          <w:tcPr>
            <w:tcW w:w="5564" w:type="dxa"/>
            <w:shd w:val="clear" w:color="auto" w:fill="F2F2F2" w:themeFill="background1" w:themeFillShade="F2"/>
            <w:vAlign w:val="center"/>
          </w:tcPr>
          <w:p w14:paraId="1C306554" w14:textId="127E92C3"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sidR="003E7867">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7AC0C1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BD9ADCB"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
            </w:r>
            <w:r w:rsidR="008D7CB0">
              <w:rPr>
                <w:rFonts w:asciiTheme="minorHAnsi" w:hAnsiTheme="minorHAnsi" w:cstheme="minorHAnsi"/>
                <w:color w:val="000000" w:themeColor="text1"/>
              </w:rPr>
              <w:t xml:space="preserve"> (</w:t>
            </w:r>
            <w:r w:rsidR="008D7CB0" w:rsidRPr="0063559B">
              <w:rPr>
                <w:rFonts w:asciiTheme="minorHAnsi" w:hAnsiTheme="minorHAnsi" w:cstheme="minorHAnsi"/>
                <w:color w:val="000000" w:themeColor="text1"/>
              </w:rPr>
              <w:t>referenční / srovnávaná hodnota částky za projektovou dokumentaci je částka vč. DPH</w:t>
            </w:r>
            <w:r w:rsidR="008D7CB0">
              <w:rPr>
                <w:rFonts w:asciiTheme="minorHAnsi" w:hAnsiTheme="minorHAnsi" w:cstheme="minorHAnsi"/>
                <w:color w:val="000000" w:themeColor="text1"/>
              </w:rPr>
              <w:t>)</w:t>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A5F8F40" w14:textId="77777777" w:rsidTr="006260B8">
        <w:trPr>
          <w:trHeight w:val="518"/>
        </w:trPr>
        <w:tc>
          <w:tcPr>
            <w:tcW w:w="2245" w:type="dxa"/>
            <w:vMerge/>
            <w:shd w:val="clear" w:color="auto" w:fill="D9D9D9" w:themeFill="background1" w:themeFillShade="D9"/>
            <w:vAlign w:val="center"/>
          </w:tcPr>
          <w:p w14:paraId="174A5E79"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1B17001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5C6ADAFA"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A3CE7E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r w:rsidR="00E823F3">
              <w:rPr>
                <w:rStyle w:val="Znakapoznpodarou"/>
                <w:rFonts w:asciiTheme="minorHAnsi" w:hAnsiTheme="minorHAnsi" w:cstheme="minorHAnsi"/>
                <w:color w:val="000000" w:themeColor="text1"/>
              </w:rPr>
              <w:footnoteReference w:id="3"/>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4"/>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5"/>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6"/>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5805FF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r w:rsidR="00B00AFF">
              <w:rPr>
                <w:rStyle w:val="Znakapoznpodarou"/>
                <w:rFonts w:asciiTheme="minorHAnsi" w:hAnsiTheme="minorHAnsi" w:cstheme="minorHAnsi"/>
                <w:color w:val="000000" w:themeColor="text1"/>
              </w:rPr>
              <w:footnoteReference w:id="7"/>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8"/>
            </w:r>
            <w:r>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292FE5E6"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Realizace v prolukách</w:t>
            </w:r>
            <w:r w:rsidR="008D7CB0">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53CD568F"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46C292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r w:rsidR="004E73CD">
              <w:rPr>
                <w:rStyle w:val="Znakapoznpodarou"/>
                <w:rFonts w:asciiTheme="minorHAnsi" w:hAnsiTheme="minorHAnsi" w:cstheme="minorHAnsi"/>
                <w:color w:val="000000" w:themeColor="text1"/>
              </w:rPr>
              <w:footnoteReference w:id="11"/>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5A3BCAD"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r w:rsidR="00267BF9">
              <w:rPr>
                <w:rStyle w:val="Znakapoznpodarou"/>
                <w:rFonts w:asciiTheme="minorHAnsi" w:hAnsiTheme="minorHAnsi" w:cstheme="minorHAnsi"/>
                <w:color w:val="000000" w:themeColor="text1"/>
              </w:rPr>
              <w:footnoteReference w:id="12"/>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3"/>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864193" w:rsidRPr="00570145" w14:paraId="4691163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3677B8F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29FF69F8"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A370B86"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dostupnosti bydlení</w:t>
            </w:r>
            <w:r w:rsidR="0011474F">
              <w:rPr>
                <w:rStyle w:val="Znakapoznpodarou"/>
                <w:rFonts w:asciiTheme="minorHAnsi" w:hAnsiTheme="minorHAnsi" w:cstheme="minorHAnsi"/>
                <w:color w:val="000000" w:themeColor="text1"/>
              </w:rPr>
              <w:footnoteReference w:id="14"/>
            </w:r>
            <w:r>
              <w:rPr>
                <w:rFonts w:asciiTheme="minorHAnsi" w:hAnsiTheme="minorHAnsi" w:cstheme="minorHAnsi"/>
                <w:color w:val="000000" w:themeColor="text1"/>
              </w:rPr>
              <w:t xml:space="preserve"> </w:t>
            </w:r>
          </w:p>
        </w:tc>
        <w:tc>
          <w:tcPr>
            <w:tcW w:w="1263" w:type="dxa"/>
          </w:tcPr>
          <w:p w14:paraId="57746D93" w14:textId="30C895D9" w:rsidR="00864193" w:rsidRPr="00570145"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44AFA728" w:rsidR="00864193"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C056A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C056A3" w:rsidRDefault="00C056A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3920E048" w:rsidR="00C056A3" w:rsidRPr="00591B82" w:rsidRDefault="00C056A3" w:rsidP="006260B8">
            <w:pPr>
              <w:pStyle w:val="Bezmezer"/>
              <w:spacing w:line="288" w:lineRule="auto"/>
              <w:ind w:right="150"/>
              <w:rPr>
                <w:rFonts w:asciiTheme="minorHAnsi" w:hAnsiTheme="minorHAnsi" w:cstheme="minorHAnsi"/>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5"/>
            </w:r>
          </w:p>
        </w:tc>
        <w:tc>
          <w:tcPr>
            <w:tcW w:w="1263" w:type="dxa"/>
          </w:tcPr>
          <w:p w14:paraId="7BDDFB6B" w14:textId="7A3978F7" w:rsidR="00C056A3" w:rsidRPr="00591B82" w:rsidRDefault="00C056A3" w:rsidP="006260B8">
            <w:pPr>
              <w:pStyle w:val="Bezmezer"/>
              <w:spacing w:line="288" w:lineRule="auto"/>
              <w:ind w:right="150"/>
              <w:jc w:val="center"/>
              <w:rPr>
                <w:rFonts w:asciiTheme="minorHAnsi" w:hAnsiTheme="minorHAnsi" w:cstheme="minorHAnsi"/>
              </w:rPr>
            </w:pPr>
            <w:r>
              <w:rPr>
                <w:rFonts w:asciiTheme="minorHAnsi" w:hAnsiTheme="minorHAnsi" w:cstheme="minorHAnsi"/>
                <w:color w:val="000000" w:themeColor="text1"/>
              </w:rPr>
              <w:t>5</w:t>
            </w:r>
          </w:p>
        </w:tc>
      </w:tr>
    </w:tbl>
    <w:p w14:paraId="6D4676FA" w14:textId="77777777" w:rsidR="00AF652C" w:rsidRDefault="00AF652C" w:rsidP="00B130DC">
      <w:pPr>
        <w:rPr>
          <w:b/>
          <w:bCs/>
          <w:color w:val="1F497D" w:themeColor="text2"/>
        </w:rPr>
      </w:pPr>
    </w:p>
    <w:p w14:paraId="00D3847D" w14:textId="2482740F" w:rsidR="007F4D2A" w:rsidRPr="007F4D2A" w:rsidRDefault="000B5901" w:rsidP="00B130DC">
      <w:pPr>
        <w:rPr>
          <w:b/>
          <w:bCs/>
          <w:color w:val="1F497D" w:themeColor="text2"/>
        </w:rPr>
      </w:pPr>
      <w:r>
        <w:rPr>
          <w:b/>
          <w:bCs/>
          <w:color w:val="1F497D" w:themeColor="text2"/>
        </w:rPr>
        <w:t>3</w:t>
      </w:r>
      <w:r w:rsidR="002C046C">
        <w:rPr>
          <w:b/>
          <w:bCs/>
          <w:color w:val="1F497D" w:themeColor="text2"/>
        </w:rPr>
        <w:t xml:space="preserve">.1.2 </w:t>
      </w:r>
      <w:r w:rsidR="007F4D2A" w:rsidRPr="007F4D2A">
        <w:rPr>
          <w:b/>
          <w:bCs/>
          <w:color w:val="1F497D" w:themeColor="text2"/>
        </w:rPr>
        <w:t>ENVIRO</w:t>
      </w:r>
      <w:r w:rsidR="00FF1F17">
        <w:rPr>
          <w:b/>
          <w:bCs/>
          <w:color w:val="1F497D" w:themeColor="text2"/>
        </w:rPr>
        <w:t>N</w:t>
      </w:r>
      <w:r w:rsidR="007F4D2A" w:rsidRPr="007F4D2A">
        <w:rPr>
          <w:b/>
          <w:bCs/>
          <w:color w:val="1F497D" w:themeColor="text2"/>
        </w:rPr>
        <w:t>MENTÁLNÍ KRITÉRIA</w:t>
      </w:r>
    </w:p>
    <w:p w14:paraId="5A0BAC86" w14:textId="5CB22B4B" w:rsidR="007F4D2A" w:rsidRDefault="007F4D2A" w:rsidP="00681BFC">
      <w:pPr>
        <w:jc w:val="both"/>
        <w:rPr>
          <w:i/>
          <w:iCs/>
          <w:color w:val="548DD4" w:themeColor="text2" w:themeTint="99"/>
        </w:rPr>
      </w:pPr>
      <w:r w:rsidRPr="007655FF">
        <w:rPr>
          <w:i/>
          <w:iCs/>
          <w:color w:val="548DD4" w:themeColor="text2" w:themeTint="99"/>
        </w:rPr>
        <w:t>Kurzivou jsou uvedena opatření, jež lze uvést v části DNSH do seznamu navržených opatření pro přizpůsobení se změně klimatu</w:t>
      </w:r>
      <w:r w:rsidR="00681BFC">
        <w:rPr>
          <w:i/>
          <w:iCs/>
          <w:color w:val="548DD4" w:themeColor="text2" w:themeTint="99"/>
        </w:rPr>
        <w:t>,</w:t>
      </w:r>
      <w:r w:rsidRPr="007655FF">
        <w:rPr>
          <w:i/>
          <w:iCs/>
          <w:color w:val="548DD4" w:themeColor="text2" w:themeTint="99"/>
        </w:rPr>
        <w:t xml:space="preserve"> resp. v části flexibilita, </w:t>
      </w:r>
      <w:proofErr w:type="spellStart"/>
      <w:r w:rsidRPr="007655FF">
        <w:rPr>
          <w:i/>
          <w:iCs/>
          <w:color w:val="548DD4" w:themeColor="text2" w:themeTint="99"/>
        </w:rPr>
        <w:t>demontovatelnost</w:t>
      </w:r>
      <w:proofErr w:type="spellEnd"/>
      <w:r w:rsidRPr="007655FF">
        <w:rPr>
          <w:i/>
          <w:iCs/>
          <w:color w:val="548DD4" w:themeColor="text2" w:themeTint="99"/>
        </w:rPr>
        <w:t>, recyklovatelnost, adaptabilita objektu</w:t>
      </w:r>
      <w:r w:rsidR="00681BFC">
        <w:rPr>
          <w:i/>
          <w:iCs/>
          <w:color w:val="548DD4" w:themeColor="text2" w:themeTint="99"/>
        </w:rPr>
        <w:t>.</w:t>
      </w:r>
    </w:p>
    <w:p w14:paraId="0CE68426" w14:textId="1434D4EC" w:rsidR="007F4D2A" w:rsidRDefault="007F4D2A" w:rsidP="007F4D2A">
      <w:r w:rsidRPr="0011474F">
        <w:t xml:space="preserve">Celkový maximální počet bodů v environmentální oblasti je </w:t>
      </w:r>
      <w:r w:rsidR="00B45134">
        <w:t>33</w:t>
      </w:r>
      <w:r w:rsidRPr="0011474F">
        <w:t xml:space="preserve">. Povinné minimum je </w:t>
      </w:r>
      <w:r w:rsidR="00B45134">
        <w:t>10</w:t>
      </w:r>
      <w:r w:rsidRPr="0011474F">
        <w:t>.</w:t>
      </w:r>
    </w:p>
    <w:tbl>
      <w:tblPr>
        <w:tblW w:w="9776" w:type="dxa"/>
        <w:tblCellMar>
          <w:left w:w="70" w:type="dxa"/>
          <w:right w:w="70" w:type="dxa"/>
        </w:tblCellMar>
        <w:tblLook w:val="04A0" w:firstRow="1" w:lastRow="0" w:firstColumn="1" w:lastColumn="0" w:noHBand="0" w:noVBand="1"/>
      </w:tblPr>
      <w:tblGrid>
        <w:gridCol w:w="204"/>
        <w:gridCol w:w="242"/>
        <w:gridCol w:w="5484"/>
        <w:gridCol w:w="2773"/>
        <w:gridCol w:w="1073"/>
      </w:tblGrid>
      <w:tr w:rsidR="008A1E1F" w:rsidRPr="008A1E1F" w14:paraId="75604CD9" w14:textId="77777777" w:rsidTr="008A1E1F">
        <w:trPr>
          <w:trHeight w:val="600"/>
        </w:trPr>
        <w:tc>
          <w:tcPr>
            <w:tcW w:w="5930" w:type="dxa"/>
            <w:gridSpan w:val="3"/>
            <w:tcBorders>
              <w:top w:val="single" w:sz="4" w:space="0" w:color="auto"/>
              <w:left w:val="single" w:sz="4" w:space="0" w:color="auto"/>
              <w:bottom w:val="nil"/>
              <w:right w:val="nil"/>
            </w:tcBorders>
            <w:shd w:val="clear" w:color="000000" w:fill="000000"/>
            <w:vAlign w:val="bottom"/>
            <w:hideMark/>
          </w:tcPr>
          <w:p w14:paraId="4828915E" w14:textId="0E321F88" w:rsidR="008A1E1F" w:rsidRPr="008A1E1F" w:rsidRDefault="008A1E1F" w:rsidP="008A1E1F">
            <w:pPr>
              <w:spacing w:after="0" w:line="240" w:lineRule="auto"/>
              <w:rPr>
                <w:rFonts w:ascii="Calibri" w:eastAsia="Times New Roman" w:hAnsi="Calibri" w:cs="Calibri"/>
                <w:b/>
                <w:bCs/>
                <w:color w:val="FFFFFF"/>
                <w:sz w:val="32"/>
                <w:szCs w:val="32"/>
                <w:lang w:eastAsia="cs-CZ"/>
              </w:rPr>
            </w:pPr>
            <w:r w:rsidRPr="008A1E1F">
              <w:rPr>
                <w:rFonts w:ascii="Calibri" w:eastAsia="Times New Roman" w:hAnsi="Calibri" w:cs="Calibri"/>
                <w:b/>
                <w:bCs/>
                <w:color w:val="FFFFFF"/>
                <w:sz w:val="32"/>
                <w:szCs w:val="32"/>
                <w:lang w:eastAsia="cs-CZ"/>
              </w:rPr>
              <w:t>Enviro</w:t>
            </w:r>
            <w:r w:rsidR="00FF1F17">
              <w:rPr>
                <w:rFonts w:ascii="Calibri" w:eastAsia="Times New Roman" w:hAnsi="Calibri" w:cs="Calibri"/>
                <w:b/>
                <w:bCs/>
                <w:color w:val="FFFFFF"/>
                <w:sz w:val="32"/>
                <w:szCs w:val="32"/>
                <w:lang w:eastAsia="cs-CZ"/>
              </w:rPr>
              <w:t>n</w:t>
            </w:r>
            <w:r w:rsidRPr="008A1E1F">
              <w:rPr>
                <w:rFonts w:ascii="Calibri" w:eastAsia="Times New Roman" w:hAnsi="Calibri" w:cs="Calibri"/>
                <w:b/>
                <w:bCs/>
                <w:color w:val="FFFFFF"/>
                <w:sz w:val="32"/>
                <w:szCs w:val="32"/>
                <w:lang w:eastAsia="cs-CZ"/>
              </w:rPr>
              <w:t>mentální kritéria</w:t>
            </w:r>
          </w:p>
        </w:tc>
        <w:tc>
          <w:tcPr>
            <w:tcW w:w="2773" w:type="dxa"/>
            <w:tcBorders>
              <w:top w:val="single" w:sz="4" w:space="0" w:color="auto"/>
              <w:left w:val="nil"/>
              <w:bottom w:val="nil"/>
              <w:right w:val="nil"/>
            </w:tcBorders>
            <w:shd w:val="clear" w:color="000000" w:fill="000000"/>
            <w:vAlign w:val="bottom"/>
            <w:hideMark/>
          </w:tcPr>
          <w:p w14:paraId="575DA65A" w14:textId="77777777" w:rsidR="008A1E1F" w:rsidRPr="00AF652C" w:rsidRDefault="008A1E1F" w:rsidP="008A1E1F">
            <w:pPr>
              <w:spacing w:after="0" w:line="240" w:lineRule="auto"/>
              <w:rPr>
                <w:rFonts w:ascii="Calibri" w:eastAsia="Times New Roman" w:hAnsi="Calibri" w:cs="Calibri"/>
                <w:b/>
                <w:bCs/>
                <w:color w:val="FFFFFF"/>
                <w:lang w:eastAsia="cs-CZ"/>
              </w:rPr>
            </w:pPr>
            <w:r w:rsidRPr="00AF652C">
              <w:rPr>
                <w:rFonts w:ascii="Calibri" w:eastAsia="Times New Roman" w:hAnsi="Calibri" w:cs="Calibri"/>
                <w:b/>
                <w:bCs/>
                <w:color w:val="FFFFFF"/>
                <w:lang w:eastAsia="cs-CZ"/>
              </w:rPr>
              <w:t>splnění kritéria</w:t>
            </w:r>
          </w:p>
        </w:tc>
        <w:tc>
          <w:tcPr>
            <w:tcW w:w="1073" w:type="dxa"/>
            <w:tcBorders>
              <w:top w:val="single" w:sz="4" w:space="0" w:color="auto"/>
              <w:left w:val="nil"/>
              <w:bottom w:val="nil"/>
              <w:right w:val="single" w:sz="4" w:space="0" w:color="auto"/>
            </w:tcBorders>
            <w:shd w:val="clear" w:color="000000" w:fill="000000"/>
            <w:vAlign w:val="bottom"/>
            <w:hideMark/>
          </w:tcPr>
          <w:p w14:paraId="3EC3B76B" w14:textId="37ADC94D" w:rsidR="008A1E1F" w:rsidRPr="00AF652C" w:rsidRDefault="00AF652C" w:rsidP="008A1E1F">
            <w:pPr>
              <w:spacing w:after="0" w:line="240" w:lineRule="auto"/>
              <w:jc w:val="center"/>
              <w:rPr>
                <w:rFonts w:ascii="Calibri" w:eastAsia="Times New Roman" w:hAnsi="Calibri" w:cs="Calibri"/>
                <w:b/>
                <w:bCs/>
                <w:color w:val="FFFFFF"/>
                <w:lang w:eastAsia="cs-CZ"/>
              </w:rPr>
            </w:pPr>
            <w:r w:rsidRPr="00AF652C">
              <w:rPr>
                <w:rFonts w:ascii="Calibri" w:eastAsia="Times New Roman" w:hAnsi="Calibri" w:cs="Calibri"/>
                <w:b/>
                <w:bCs/>
                <w:color w:val="FFFFFF"/>
                <w:lang w:eastAsia="cs-CZ"/>
              </w:rPr>
              <w:t xml:space="preserve">Max. </w:t>
            </w:r>
            <w:r w:rsidR="008A1E1F" w:rsidRPr="00AF652C">
              <w:rPr>
                <w:rFonts w:ascii="Calibri" w:eastAsia="Times New Roman" w:hAnsi="Calibri" w:cs="Calibri"/>
                <w:b/>
                <w:bCs/>
                <w:color w:val="FFFFFF"/>
                <w:lang w:eastAsia="cs-CZ"/>
              </w:rPr>
              <w:t>počet bodů</w:t>
            </w:r>
          </w:p>
        </w:tc>
      </w:tr>
      <w:tr w:rsidR="008A1E1F" w:rsidRPr="008A1E1F" w14:paraId="765E2A26" w14:textId="77777777" w:rsidTr="008A1E1F">
        <w:trPr>
          <w:trHeight w:val="382"/>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0A711DE4"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xml:space="preserve">1.Nakládání s vodami, v tom: </w:t>
            </w:r>
          </w:p>
        </w:tc>
        <w:tc>
          <w:tcPr>
            <w:tcW w:w="2773" w:type="dxa"/>
            <w:tcBorders>
              <w:top w:val="single" w:sz="4" w:space="0" w:color="auto"/>
              <w:left w:val="nil"/>
              <w:bottom w:val="single" w:sz="4" w:space="0" w:color="auto"/>
              <w:right w:val="nil"/>
            </w:tcBorders>
            <w:shd w:val="clear" w:color="000000" w:fill="D0CECE"/>
            <w:vAlign w:val="bottom"/>
            <w:hideMark/>
          </w:tcPr>
          <w:p w14:paraId="30946D73"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single" w:sz="4" w:space="0" w:color="auto"/>
              <w:left w:val="nil"/>
              <w:bottom w:val="single" w:sz="4" w:space="0" w:color="auto"/>
              <w:right w:val="single" w:sz="4" w:space="0" w:color="auto"/>
            </w:tcBorders>
            <w:shd w:val="clear" w:color="000000" w:fill="D0CECE"/>
            <w:vAlign w:val="bottom"/>
            <w:hideMark/>
          </w:tcPr>
          <w:p w14:paraId="4937A267"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4</w:t>
            </w:r>
          </w:p>
        </w:tc>
      </w:tr>
      <w:tr w:rsidR="008A1E1F" w:rsidRPr="008A1E1F" w14:paraId="1AF8DF76"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1583E0C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nil"/>
              <w:left w:val="nil"/>
              <w:bottom w:val="single" w:sz="4" w:space="0" w:color="auto"/>
              <w:right w:val="nil"/>
            </w:tcBorders>
            <w:shd w:val="clear" w:color="000000" w:fill="E7E6E6"/>
            <w:vAlign w:val="bottom"/>
            <w:hideMark/>
          </w:tcPr>
          <w:p w14:paraId="7F5203C8" w14:textId="77777777"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1. 1 Nakládání se srážkovou vodou</w:t>
            </w:r>
          </w:p>
        </w:tc>
        <w:tc>
          <w:tcPr>
            <w:tcW w:w="1073" w:type="dxa"/>
            <w:tcBorders>
              <w:top w:val="nil"/>
              <w:left w:val="nil"/>
              <w:bottom w:val="nil"/>
              <w:right w:val="single" w:sz="4" w:space="0" w:color="auto"/>
            </w:tcBorders>
            <w:shd w:val="clear" w:color="000000" w:fill="E7E6E6"/>
            <w:vAlign w:val="bottom"/>
            <w:hideMark/>
          </w:tcPr>
          <w:p w14:paraId="08680E4A"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1F3EAF61" w14:textId="77777777" w:rsidTr="008A1E1F">
        <w:trPr>
          <w:trHeight w:val="525"/>
        </w:trPr>
        <w:tc>
          <w:tcPr>
            <w:tcW w:w="204" w:type="dxa"/>
            <w:tcBorders>
              <w:top w:val="nil"/>
              <w:left w:val="single" w:sz="4" w:space="0" w:color="auto"/>
              <w:bottom w:val="nil"/>
              <w:right w:val="nil"/>
            </w:tcBorders>
            <w:shd w:val="clear" w:color="auto" w:fill="auto"/>
            <w:vAlign w:val="bottom"/>
            <w:hideMark/>
          </w:tcPr>
          <w:p w14:paraId="58A17CA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4637AA6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center"/>
            <w:hideMark/>
          </w:tcPr>
          <w:p w14:paraId="6091BAF6" w14:textId="5011F9D9"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theme="minorHAnsi"/>
                <w:i/>
                <w:iCs/>
                <w:color w:val="000000"/>
                <w:sz w:val="20"/>
                <w:szCs w:val="20"/>
                <w:lang w:eastAsia="cs-CZ"/>
              </w:rPr>
              <w:t>a.</w:t>
            </w:r>
            <w:r w:rsidRPr="008A1E1F">
              <w:rPr>
                <w:rFonts w:ascii="Times New Roman" w:eastAsia="Times New Roman" w:hAnsi="Times New Roman" w:cs="Times New Roman"/>
                <w:i/>
                <w:iCs/>
                <w:color w:val="000000"/>
                <w:sz w:val="20"/>
                <w:szCs w:val="20"/>
                <w:lang w:eastAsia="cs-CZ"/>
              </w:rPr>
              <w:t> </w:t>
            </w:r>
            <w:r w:rsidRPr="008A1E1F">
              <w:rPr>
                <w:rFonts w:ascii="Calibri" w:eastAsia="Times New Roman" w:hAnsi="Calibri" w:cs="Calibri"/>
                <w:i/>
                <w:iCs/>
                <w:color w:val="000000"/>
                <w:sz w:val="20"/>
                <w:szCs w:val="20"/>
                <w:lang w:eastAsia="cs-CZ"/>
              </w:rPr>
              <w:t>Akumulace, Využití na zálivku a/nebo splachování (využití srážkové vody)</w:t>
            </w:r>
          </w:p>
        </w:tc>
        <w:tc>
          <w:tcPr>
            <w:tcW w:w="2773" w:type="dxa"/>
            <w:tcBorders>
              <w:top w:val="nil"/>
              <w:left w:val="nil"/>
              <w:bottom w:val="single" w:sz="4" w:space="0" w:color="auto"/>
              <w:right w:val="single" w:sz="4" w:space="0" w:color="auto"/>
            </w:tcBorders>
            <w:shd w:val="clear" w:color="auto" w:fill="auto"/>
            <w:vAlign w:val="bottom"/>
            <w:hideMark/>
          </w:tcPr>
          <w:p w14:paraId="51BE6561" w14:textId="254A8214" w:rsidR="008A1E1F" w:rsidRPr="008A1E1F" w:rsidRDefault="006776B1"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w:t>
            </w:r>
            <w:r w:rsidR="008A1E1F" w:rsidRPr="008A1E1F">
              <w:rPr>
                <w:rFonts w:ascii="Calibri" w:eastAsia="Times New Roman" w:hAnsi="Calibri" w:cs="Calibri"/>
                <w:color w:val="000000"/>
                <w:sz w:val="20"/>
                <w:szCs w:val="20"/>
                <w:lang w:eastAsia="cs-CZ"/>
              </w:rPr>
              <w:t>plnění – 100</w:t>
            </w:r>
            <w:r w:rsidR="00AF652C">
              <w:rPr>
                <w:rFonts w:ascii="Calibri" w:eastAsia="Times New Roman" w:hAnsi="Calibri" w:cs="Calibri"/>
                <w:color w:val="000000"/>
                <w:sz w:val="20"/>
                <w:szCs w:val="20"/>
                <w:lang w:eastAsia="cs-CZ"/>
              </w:rPr>
              <w:t xml:space="preserve"> </w:t>
            </w:r>
            <w:r w:rsidR="008A1E1F" w:rsidRPr="008A1E1F">
              <w:rPr>
                <w:rFonts w:ascii="Calibri" w:eastAsia="Times New Roman" w:hAnsi="Calibri" w:cs="Calibri"/>
                <w:color w:val="000000"/>
                <w:sz w:val="20"/>
                <w:szCs w:val="20"/>
                <w:lang w:eastAsia="cs-CZ"/>
              </w:rPr>
              <w:t>% běžného srážkového úhrnu je akumulováno a využit</w:t>
            </w:r>
            <w:r w:rsidR="00AF652C">
              <w:rPr>
                <w:rFonts w:ascii="Calibri" w:eastAsia="Times New Roman" w:hAnsi="Calibri" w:cs="Calibri"/>
                <w:color w:val="000000"/>
                <w:sz w:val="20"/>
                <w:szCs w:val="20"/>
                <w:lang w:eastAsia="cs-CZ"/>
              </w:rPr>
              <w:t>o</w:t>
            </w:r>
          </w:p>
        </w:tc>
        <w:tc>
          <w:tcPr>
            <w:tcW w:w="1073" w:type="dxa"/>
            <w:tcBorders>
              <w:top w:val="nil"/>
              <w:left w:val="nil"/>
              <w:bottom w:val="single" w:sz="4" w:space="0" w:color="auto"/>
              <w:right w:val="single" w:sz="4" w:space="0" w:color="auto"/>
            </w:tcBorders>
            <w:shd w:val="clear" w:color="auto" w:fill="auto"/>
            <w:vAlign w:val="bottom"/>
            <w:hideMark/>
          </w:tcPr>
          <w:p w14:paraId="1044174D"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1,6</w:t>
            </w:r>
          </w:p>
        </w:tc>
      </w:tr>
      <w:tr w:rsidR="008A1E1F" w:rsidRPr="008A1E1F" w14:paraId="0B5A0ABE" w14:textId="77777777" w:rsidTr="006B629C">
        <w:trPr>
          <w:trHeight w:val="526"/>
        </w:trPr>
        <w:tc>
          <w:tcPr>
            <w:tcW w:w="204" w:type="dxa"/>
            <w:tcBorders>
              <w:top w:val="nil"/>
              <w:left w:val="single" w:sz="4" w:space="0" w:color="auto"/>
              <w:bottom w:val="nil"/>
              <w:right w:val="nil"/>
            </w:tcBorders>
            <w:shd w:val="clear" w:color="auto" w:fill="auto"/>
            <w:vAlign w:val="bottom"/>
            <w:hideMark/>
          </w:tcPr>
          <w:p w14:paraId="42DADDE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617EB8B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nil"/>
              <w:right w:val="single" w:sz="4" w:space="0" w:color="auto"/>
            </w:tcBorders>
            <w:shd w:val="clear" w:color="auto" w:fill="auto"/>
            <w:vAlign w:val="bottom"/>
            <w:hideMark/>
          </w:tcPr>
          <w:p w14:paraId="5580EBE4" w14:textId="242CEB81" w:rsidR="008A1E1F" w:rsidRPr="008A1E1F" w:rsidRDefault="008A1E1F" w:rsidP="008A1E1F">
            <w:pPr>
              <w:spacing w:after="0" w:line="240" w:lineRule="auto"/>
              <w:rPr>
                <w:rFonts w:ascii="Calibri" w:eastAsia="Times New Roman" w:hAnsi="Calibri" w:cs="Calibri"/>
                <w:i/>
                <w:iCs/>
                <w:color w:val="000000"/>
                <w:sz w:val="20"/>
                <w:szCs w:val="20"/>
                <w:lang w:eastAsia="cs-CZ"/>
              </w:rPr>
            </w:pPr>
            <w:bookmarkStart w:id="3" w:name="RANGE!D7"/>
            <w:r w:rsidRPr="008A1E1F">
              <w:rPr>
                <w:rFonts w:ascii="Calibri" w:eastAsia="Times New Roman" w:hAnsi="Calibri" w:cs="Calibri"/>
                <w:i/>
                <w:iCs/>
                <w:color w:val="000000"/>
                <w:sz w:val="20"/>
                <w:szCs w:val="20"/>
                <w:lang w:eastAsia="cs-CZ"/>
              </w:rPr>
              <w:t>b.</w:t>
            </w:r>
            <w:r w:rsidR="000A453F">
              <w:rPr>
                <w:rFonts w:ascii="Calibri" w:eastAsia="Times New Roman" w:hAnsi="Calibri" w:cs="Calibri"/>
                <w:i/>
                <w:iCs/>
                <w:color w:val="000000"/>
                <w:sz w:val="20"/>
                <w:szCs w:val="20"/>
                <w:lang w:eastAsia="cs-CZ"/>
              </w:rPr>
              <w:t xml:space="preserve"> </w:t>
            </w:r>
            <w:r w:rsidRPr="008A1E1F">
              <w:rPr>
                <w:rFonts w:ascii="Calibri" w:eastAsia="Times New Roman" w:hAnsi="Calibri" w:cs="Calibri"/>
                <w:i/>
                <w:iCs/>
                <w:color w:val="000000"/>
                <w:sz w:val="20"/>
                <w:szCs w:val="20"/>
                <w:lang w:eastAsia="cs-CZ"/>
              </w:rPr>
              <w:t xml:space="preserve">Extenzivní se zvýšenou akumulací dešťové vody a </w:t>
            </w:r>
            <w:proofErr w:type="spellStart"/>
            <w:r w:rsidRPr="008A1E1F">
              <w:rPr>
                <w:rFonts w:ascii="Calibri" w:eastAsia="Times New Roman" w:hAnsi="Calibri" w:cs="Calibri"/>
                <w:i/>
                <w:iCs/>
                <w:color w:val="000000"/>
                <w:sz w:val="20"/>
                <w:szCs w:val="20"/>
                <w:lang w:eastAsia="cs-CZ"/>
              </w:rPr>
              <w:t>polointenzivní</w:t>
            </w:r>
            <w:proofErr w:type="spellEnd"/>
            <w:r w:rsidR="00B831AF">
              <w:rPr>
                <w:rStyle w:val="Znakapoznpodarou"/>
                <w:rFonts w:ascii="Calibri" w:eastAsia="Times New Roman" w:hAnsi="Calibri" w:cs="Calibri"/>
                <w:i/>
                <w:iCs/>
                <w:color w:val="000000"/>
                <w:sz w:val="20"/>
                <w:szCs w:val="20"/>
                <w:lang w:eastAsia="cs-CZ"/>
              </w:rPr>
              <w:footnoteReference w:id="16"/>
            </w:r>
            <w:r w:rsidRPr="008A1E1F">
              <w:rPr>
                <w:rFonts w:ascii="Calibri" w:eastAsia="Times New Roman" w:hAnsi="Calibri" w:cs="Calibri"/>
                <w:i/>
                <w:iCs/>
                <w:color w:val="000000"/>
                <w:sz w:val="20"/>
                <w:szCs w:val="20"/>
                <w:lang w:eastAsia="cs-CZ"/>
              </w:rPr>
              <w:t xml:space="preserve">  zelená střecha na objektu</w:t>
            </w:r>
            <w:bookmarkEnd w:id="3"/>
          </w:p>
        </w:tc>
        <w:tc>
          <w:tcPr>
            <w:tcW w:w="2773" w:type="dxa"/>
            <w:tcBorders>
              <w:top w:val="nil"/>
              <w:left w:val="nil"/>
              <w:bottom w:val="nil"/>
              <w:right w:val="single" w:sz="4" w:space="0" w:color="auto"/>
            </w:tcBorders>
            <w:shd w:val="clear" w:color="auto" w:fill="auto"/>
            <w:vAlign w:val="bottom"/>
            <w:hideMark/>
          </w:tcPr>
          <w:p w14:paraId="4DE6787F" w14:textId="45B6D54E"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Podmínka udělení bodu</w:t>
            </w:r>
            <w:r w:rsidR="00AF652C">
              <w:rPr>
                <w:rFonts w:ascii="Calibri" w:eastAsia="Times New Roman" w:hAnsi="Calibri" w:cs="Calibri"/>
                <w:color w:val="000000"/>
                <w:sz w:val="20"/>
                <w:szCs w:val="20"/>
                <w:lang w:eastAsia="cs-CZ"/>
              </w:rPr>
              <w:t>:</w:t>
            </w:r>
            <w:r w:rsidRPr="008A1E1F">
              <w:rPr>
                <w:rFonts w:ascii="Calibri" w:eastAsia="Times New Roman" w:hAnsi="Calibri" w:cs="Calibri"/>
                <w:color w:val="000000"/>
                <w:sz w:val="20"/>
                <w:szCs w:val="20"/>
                <w:lang w:eastAsia="cs-CZ"/>
              </w:rPr>
              <w:t xml:space="preserve"> min. 0,3 půdorysné plochy všech šikmých i plochých střech</w:t>
            </w:r>
          </w:p>
        </w:tc>
        <w:tc>
          <w:tcPr>
            <w:tcW w:w="1073" w:type="dxa"/>
            <w:tcBorders>
              <w:top w:val="nil"/>
              <w:left w:val="nil"/>
              <w:bottom w:val="single" w:sz="4" w:space="0" w:color="auto"/>
              <w:right w:val="single" w:sz="4" w:space="0" w:color="auto"/>
            </w:tcBorders>
            <w:shd w:val="clear" w:color="auto" w:fill="auto"/>
            <w:vAlign w:val="bottom"/>
            <w:hideMark/>
          </w:tcPr>
          <w:p w14:paraId="1DA984D8"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0,8</w:t>
            </w:r>
          </w:p>
        </w:tc>
      </w:tr>
      <w:tr w:rsidR="008A1E1F" w:rsidRPr="008A1E1F" w14:paraId="121DE822"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185ADE5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726" w:type="dxa"/>
            <w:gridSpan w:val="2"/>
            <w:tcBorders>
              <w:top w:val="single" w:sz="4" w:space="0" w:color="auto"/>
              <w:left w:val="nil"/>
              <w:bottom w:val="single" w:sz="4" w:space="0" w:color="auto"/>
              <w:right w:val="single" w:sz="4" w:space="0" w:color="000000"/>
            </w:tcBorders>
            <w:shd w:val="clear" w:color="000000" w:fill="E7E6E6"/>
            <w:noWrap/>
            <w:vAlign w:val="bottom"/>
            <w:hideMark/>
          </w:tcPr>
          <w:p w14:paraId="710F5AE2" w14:textId="2FAB8B1F"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1.2 </w:t>
            </w:r>
            <w:r w:rsidRPr="00C46A07">
              <w:rPr>
                <w:rFonts w:ascii="Calibri" w:eastAsia="Times New Roman" w:hAnsi="Calibri" w:cs="Calibri"/>
                <w:i/>
                <w:iCs/>
                <w:color w:val="000000"/>
                <w:sz w:val="20"/>
                <w:szCs w:val="20"/>
                <w:lang w:eastAsia="cs-CZ"/>
              </w:rPr>
              <w:t>Využití šedých vod</w:t>
            </w:r>
            <w:r w:rsidR="00C46A07">
              <w:rPr>
                <w:rStyle w:val="Znakapoznpodarou"/>
                <w:rFonts w:ascii="Calibri" w:eastAsia="Times New Roman" w:hAnsi="Calibri" w:cs="Calibri"/>
                <w:i/>
                <w:iCs/>
                <w:color w:val="000000"/>
                <w:sz w:val="20"/>
                <w:szCs w:val="20"/>
                <w:lang w:eastAsia="cs-CZ"/>
              </w:rPr>
              <w:footnoteReference w:id="17"/>
            </w:r>
          </w:p>
        </w:tc>
        <w:tc>
          <w:tcPr>
            <w:tcW w:w="2773" w:type="dxa"/>
            <w:tcBorders>
              <w:top w:val="single" w:sz="4" w:space="0" w:color="auto"/>
              <w:left w:val="nil"/>
              <w:bottom w:val="single" w:sz="4" w:space="0" w:color="auto"/>
              <w:right w:val="single" w:sz="4" w:space="0" w:color="auto"/>
            </w:tcBorders>
            <w:shd w:val="clear" w:color="000000" w:fill="E7E6E6"/>
            <w:vAlign w:val="bottom"/>
            <w:hideMark/>
          </w:tcPr>
          <w:p w14:paraId="751E764D"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single" w:sz="4" w:space="0" w:color="auto"/>
              <w:left w:val="nil"/>
              <w:bottom w:val="nil"/>
              <w:right w:val="single" w:sz="4" w:space="0" w:color="auto"/>
            </w:tcBorders>
            <w:shd w:val="clear" w:color="auto" w:fill="F2F2F2" w:themeFill="background1" w:themeFillShade="F2"/>
            <w:vAlign w:val="bottom"/>
            <w:hideMark/>
          </w:tcPr>
          <w:p w14:paraId="2CAD5EE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724CA82C" w14:textId="77777777" w:rsidTr="008A1E1F">
        <w:trPr>
          <w:trHeight w:val="525"/>
        </w:trPr>
        <w:tc>
          <w:tcPr>
            <w:tcW w:w="204" w:type="dxa"/>
            <w:tcBorders>
              <w:top w:val="nil"/>
              <w:left w:val="single" w:sz="4" w:space="0" w:color="auto"/>
              <w:bottom w:val="nil"/>
              <w:right w:val="nil"/>
            </w:tcBorders>
            <w:shd w:val="clear" w:color="auto" w:fill="auto"/>
            <w:vAlign w:val="bottom"/>
            <w:hideMark/>
          </w:tcPr>
          <w:p w14:paraId="205F26A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7D59FD3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noWrap/>
            <w:vAlign w:val="bottom"/>
            <w:hideMark/>
          </w:tcPr>
          <w:p w14:paraId="005474E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c. </w:t>
            </w:r>
            <w:r w:rsidRPr="00C46A07">
              <w:rPr>
                <w:rFonts w:ascii="Calibri" w:eastAsia="Times New Roman" w:hAnsi="Calibri" w:cs="Calibri"/>
                <w:i/>
                <w:iCs/>
                <w:color w:val="000000"/>
                <w:sz w:val="20"/>
                <w:szCs w:val="20"/>
                <w:lang w:eastAsia="cs-CZ"/>
              </w:rPr>
              <w:t>Na splachování</w:t>
            </w:r>
          </w:p>
        </w:tc>
        <w:tc>
          <w:tcPr>
            <w:tcW w:w="2773" w:type="dxa"/>
            <w:tcBorders>
              <w:top w:val="nil"/>
              <w:left w:val="nil"/>
              <w:bottom w:val="single" w:sz="4" w:space="0" w:color="auto"/>
              <w:right w:val="single" w:sz="4" w:space="0" w:color="auto"/>
            </w:tcBorders>
            <w:shd w:val="clear" w:color="auto" w:fill="auto"/>
            <w:vAlign w:val="bottom"/>
            <w:hideMark/>
          </w:tcPr>
          <w:p w14:paraId="4314E1A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theme="minorHAnsi"/>
                <w:color w:val="000000"/>
                <w:sz w:val="20"/>
                <w:szCs w:val="20"/>
                <w:lang w:eastAsia="cs-CZ"/>
              </w:rPr>
              <w:t>Podmínka udělení bodu – 100% šedé vody vzniklé v objektu je akumulováno a využito</w:t>
            </w:r>
          </w:p>
        </w:tc>
        <w:tc>
          <w:tcPr>
            <w:tcW w:w="1073" w:type="dxa"/>
            <w:tcBorders>
              <w:top w:val="nil"/>
              <w:left w:val="nil"/>
              <w:bottom w:val="nil"/>
              <w:right w:val="single" w:sz="4" w:space="0" w:color="auto"/>
            </w:tcBorders>
            <w:shd w:val="clear" w:color="auto" w:fill="auto"/>
            <w:vAlign w:val="bottom"/>
            <w:hideMark/>
          </w:tcPr>
          <w:p w14:paraId="1320F466"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1,6</w:t>
            </w:r>
          </w:p>
        </w:tc>
      </w:tr>
      <w:tr w:rsidR="008A1E1F" w:rsidRPr="008A1E1F" w14:paraId="1956A059" w14:textId="77777777" w:rsidTr="008A1E1F">
        <w:trPr>
          <w:trHeight w:val="120"/>
        </w:trPr>
        <w:tc>
          <w:tcPr>
            <w:tcW w:w="204" w:type="dxa"/>
            <w:tcBorders>
              <w:top w:val="single" w:sz="4" w:space="0" w:color="auto"/>
              <w:left w:val="single" w:sz="4" w:space="0" w:color="auto"/>
              <w:bottom w:val="single" w:sz="4" w:space="0" w:color="auto"/>
              <w:right w:val="nil"/>
            </w:tcBorders>
            <w:shd w:val="clear" w:color="auto" w:fill="auto"/>
            <w:vAlign w:val="bottom"/>
            <w:hideMark/>
          </w:tcPr>
          <w:p w14:paraId="01DC85E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left w:val="nil"/>
              <w:bottom w:val="single" w:sz="4" w:space="0" w:color="auto"/>
              <w:right w:val="nil"/>
            </w:tcBorders>
            <w:shd w:val="clear" w:color="auto" w:fill="auto"/>
            <w:vAlign w:val="bottom"/>
          </w:tcPr>
          <w:p w14:paraId="04093082" w14:textId="66489D90"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nil"/>
            </w:tcBorders>
            <w:shd w:val="clear" w:color="auto" w:fill="auto"/>
            <w:vAlign w:val="bottom"/>
          </w:tcPr>
          <w:p w14:paraId="6F9692F0" w14:textId="3F9F889C"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2773" w:type="dxa"/>
            <w:tcBorders>
              <w:top w:val="nil"/>
              <w:left w:val="nil"/>
              <w:bottom w:val="single" w:sz="4" w:space="0" w:color="auto"/>
              <w:right w:val="nil"/>
            </w:tcBorders>
            <w:shd w:val="clear" w:color="auto" w:fill="auto"/>
            <w:vAlign w:val="bottom"/>
            <w:hideMark/>
          </w:tcPr>
          <w:p w14:paraId="7E8FFC5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single" w:sz="4" w:space="0" w:color="auto"/>
              <w:left w:val="nil"/>
              <w:bottom w:val="single" w:sz="4" w:space="0" w:color="auto"/>
              <w:right w:val="single" w:sz="4" w:space="0" w:color="auto"/>
            </w:tcBorders>
            <w:shd w:val="clear" w:color="auto" w:fill="auto"/>
            <w:vAlign w:val="bottom"/>
            <w:hideMark/>
          </w:tcPr>
          <w:p w14:paraId="74D137CD"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0BBADCF1" w14:textId="77777777" w:rsidTr="008A1E1F">
        <w:trPr>
          <w:trHeight w:val="248"/>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2B5226F6" w14:textId="3C7B55AC"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2. Tepelný komfort,</w:t>
            </w:r>
            <w:r w:rsidR="00AF652C">
              <w:rPr>
                <w:rFonts w:ascii="Calibri" w:eastAsia="Times New Roman" w:hAnsi="Calibri" w:cs="Calibri"/>
                <w:b/>
                <w:bCs/>
                <w:color w:val="000000"/>
                <w:sz w:val="20"/>
                <w:szCs w:val="20"/>
                <w:lang w:eastAsia="cs-CZ"/>
              </w:rPr>
              <w:t xml:space="preserve"> v</w:t>
            </w:r>
            <w:r w:rsidRPr="008A1E1F">
              <w:rPr>
                <w:rFonts w:ascii="Calibri" w:eastAsia="Times New Roman" w:hAnsi="Calibri" w:cs="Calibri"/>
                <w:b/>
                <w:bCs/>
                <w:color w:val="000000"/>
                <w:sz w:val="20"/>
                <w:szCs w:val="20"/>
                <w:lang w:eastAsia="cs-CZ"/>
              </w:rPr>
              <w:t xml:space="preserve"> tom: </w:t>
            </w:r>
          </w:p>
        </w:tc>
        <w:tc>
          <w:tcPr>
            <w:tcW w:w="2773" w:type="dxa"/>
            <w:tcBorders>
              <w:top w:val="nil"/>
              <w:left w:val="nil"/>
              <w:bottom w:val="single" w:sz="4" w:space="0" w:color="auto"/>
              <w:right w:val="nil"/>
            </w:tcBorders>
            <w:shd w:val="clear" w:color="000000" w:fill="D0CECE"/>
            <w:vAlign w:val="bottom"/>
            <w:hideMark/>
          </w:tcPr>
          <w:p w14:paraId="09AD80CA"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nil"/>
              <w:left w:val="nil"/>
              <w:bottom w:val="single" w:sz="4" w:space="0" w:color="auto"/>
              <w:right w:val="single" w:sz="4" w:space="0" w:color="auto"/>
            </w:tcBorders>
            <w:shd w:val="clear" w:color="000000" w:fill="D0CECE"/>
            <w:vAlign w:val="bottom"/>
            <w:hideMark/>
          </w:tcPr>
          <w:p w14:paraId="60327B8E"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4</w:t>
            </w:r>
          </w:p>
        </w:tc>
      </w:tr>
      <w:tr w:rsidR="008A1E1F" w:rsidRPr="008A1E1F" w14:paraId="2CC0D14F"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1ABAC1A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09A4BF33" w14:textId="77777777"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2.1 Ochrana proti přehřívání budovy</w:t>
            </w:r>
          </w:p>
        </w:tc>
        <w:tc>
          <w:tcPr>
            <w:tcW w:w="1073" w:type="dxa"/>
            <w:tcBorders>
              <w:top w:val="nil"/>
              <w:left w:val="nil"/>
              <w:bottom w:val="nil"/>
              <w:right w:val="single" w:sz="4" w:space="0" w:color="auto"/>
            </w:tcBorders>
            <w:shd w:val="clear" w:color="000000" w:fill="E7E6E6"/>
            <w:vAlign w:val="bottom"/>
            <w:hideMark/>
          </w:tcPr>
          <w:p w14:paraId="1047C798"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3E514EA5"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7C2A9B4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09944CB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center"/>
            <w:hideMark/>
          </w:tcPr>
          <w:p w14:paraId="194EB782" w14:textId="71CACB1E"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theme="minorHAnsi"/>
                <w:i/>
                <w:iCs/>
                <w:color w:val="000000"/>
                <w:sz w:val="20"/>
                <w:szCs w:val="20"/>
                <w:lang w:eastAsia="cs-CZ"/>
              </w:rPr>
              <w:t>a.</w:t>
            </w:r>
            <w:r w:rsidR="00435D22">
              <w:rPr>
                <w:rFonts w:ascii="Times New Roman" w:eastAsia="Times New Roman" w:hAnsi="Times New Roman" w:cs="Times New Roman"/>
                <w:i/>
                <w:iCs/>
                <w:color w:val="000000"/>
                <w:sz w:val="20"/>
                <w:szCs w:val="20"/>
                <w:lang w:eastAsia="cs-CZ"/>
              </w:rPr>
              <w:t xml:space="preserve"> </w:t>
            </w:r>
            <w:r w:rsidRPr="008A1E1F">
              <w:rPr>
                <w:rFonts w:ascii="Calibri" w:eastAsia="Times New Roman" w:hAnsi="Calibri" w:cs="Calibri"/>
                <w:i/>
                <w:iCs/>
                <w:color w:val="000000"/>
                <w:sz w:val="20"/>
                <w:szCs w:val="20"/>
                <w:lang w:eastAsia="cs-CZ"/>
              </w:rPr>
              <w:t xml:space="preserve">Venkovní Žaluzie () </w:t>
            </w:r>
          </w:p>
        </w:tc>
        <w:tc>
          <w:tcPr>
            <w:tcW w:w="277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BE2B936" w14:textId="355BEBE3" w:rsidR="008A1E1F" w:rsidRPr="008A1E1F" w:rsidRDefault="008A1E1F" w:rsidP="006776B1">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Podmínka udělení bodu – 70 % oken na východní, jižní a západní straně objektu mají úplné stínění jedním z uvedených způsobů nebo jejich kombinací</w:t>
            </w:r>
          </w:p>
        </w:tc>
        <w:tc>
          <w:tcPr>
            <w:tcW w:w="1073" w:type="dxa"/>
            <w:vMerge w:val="restart"/>
            <w:tcBorders>
              <w:top w:val="nil"/>
              <w:left w:val="nil"/>
              <w:bottom w:val="nil"/>
              <w:right w:val="single" w:sz="4" w:space="0" w:color="auto"/>
            </w:tcBorders>
            <w:shd w:val="clear" w:color="auto" w:fill="auto"/>
            <w:vAlign w:val="center"/>
            <w:hideMark/>
          </w:tcPr>
          <w:p w14:paraId="43E8354B" w14:textId="0EB09ADD" w:rsidR="008A1E1F" w:rsidRPr="008A1E1F" w:rsidRDefault="00781E3D" w:rsidP="006776B1">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w:t>
            </w:r>
          </w:p>
        </w:tc>
      </w:tr>
      <w:tr w:rsidR="008A1E1F" w:rsidRPr="008A1E1F" w14:paraId="108DEEF0" w14:textId="77777777" w:rsidTr="00781E3D">
        <w:trPr>
          <w:trHeight w:val="723"/>
        </w:trPr>
        <w:tc>
          <w:tcPr>
            <w:tcW w:w="204" w:type="dxa"/>
            <w:tcBorders>
              <w:top w:val="nil"/>
              <w:left w:val="single" w:sz="4" w:space="0" w:color="auto"/>
              <w:bottom w:val="nil"/>
              <w:right w:val="nil"/>
            </w:tcBorders>
            <w:shd w:val="clear" w:color="auto" w:fill="auto"/>
            <w:vAlign w:val="bottom"/>
            <w:hideMark/>
          </w:tcPr>
          <w:p w14:paraId="5042E5F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317CD5E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center"/>
            <w:hideMark/>
          </w:tcPr>
          <w:p w14:paraId="1D27AA7C" w14:textId="6248B6C0"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b. Pevné slunolamy - např. vnější markýzy, balkony</w:t>
            </w:r>
            <w:r w:rsidR="00C46A07">
              <w:rPr>
                <w:rStyle w:val="Znakapoznpodarou"/>
                <w:rFonts w:ascii="Calibri" w:eastAsia="Times New Roman" w:hAnsi="Calibri" w:cs="Calibri"/>
                <w:i/>
                <w:iCs/>
                <w:color w:val="000000"/>
                <w:sz w:val="20"/>
                <w:szCs w:val="20"/>
                <w:lang w:eastAsia="cs-CZ"/>
              </w:rPr>
              <w:footnoteReference w:id="18"/>
            </w:r>
            <w:r w:rsidRPr="008A1E1F">
              <w:rPr>
                <w:rFonts w:ascii="Calibri" w:eastAsia="Times New Roman" w:hAnsi="Calibri" w:cs="Calibri"/>
                <w:i/>
                <w:iCs/>
                <w:color w:val="000000"/>
                <w:sz w:val="20"/>
                <w:szCs w:val="20"/>
                <w:lang w:eastAsia="cs-CZ"/>
              </w:rPr>
              <w:t xml:space="preserve"> (účinné pro orientaci směrem na jih). Případně pro orientaci V a Z jsou vhodnější boční žebra.</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15C4122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nil"/>
              <w:bottom w:val="nil"/>
              <w:right w:val="single" w:sz="4" w:space="0" w:color="auto"/>
            </w:tcBorders>
            <w:vAlign w:val="center"/>
            <w:hideMark/>
          </w:tcPr>
          <w:p w14:paraId="1DF9BB2A"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1ED00D8B" w14:textId="77777777" w:rsidTr="006B629C">
        <w:trPr>
          <w:trHeight w:val="266"/>
        </w:trPr>
        <w:tc>
          <w:tcPr>
            <w:tcW w:w="204" w:type="dxa"/>
            <w:tcBorders>
              <w:top w:val="nil"/>
              <w:left w:val="single" w:sz="4" w:space="0" w:color="auto"/>
              <w:bottom w:val="nil"/>
              <w:right w:val="nil"/>
            </w:tcBorders>
            <w:shd w:val="clear" w:color="auto" w:fill="auto"/>
            <w:vAlign w:val="bottom"/>
            <w:hideMark/>
          </w:tcPr>
          <w:p w14:paraId="301414E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0D729FB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noWrap/>
            <w:vAlign w:val="bottom"/>
            <w:hideMark/>
          </w:tcPr>
          <w:p w14:paraId="0166C385" w14:textId="03A0590A"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c. Vegetační stínění</w:t>
            </w:r>
            <w:r w:rsidR="00C46A07">
              <w:rPr>
                <w:rStyle w:val="Znakapoznpodarou"/>
                <w:rFonts w:ascii="Calibri" w:eastAsia="Times New Roman" w:hAnsi="Calibri" w:cs="Calibri"/>
                <w:i/>
                <w:iCs/>
                <w:color w:val="000000"/>
                <w:sz w:val="20"/>
                <w:szCs w:val="20"/>
                <w:lang w:eastAsia="cs-CZ"/>
              </w:rPr>
              <w:footnoteReference w:id="19"/>
            </w:r>
            <w:r w:rsidRPr="008A1E1F">
              <w:rPr>
                <w:rFonts w:ascii="Calibri" w:eastAsia="Times New Roman" w:hAnsi="Calibri" w:cs="Calibri"/>
                <w:i/>
                <w:iCs/>
                <w:color w:val="000000"/>
                <w:sz w:val="20"/>
                <w:szCs w:val="20"/>
                <w:lang w:eastAsia="cs-CZ"/>
              </w:rPr>
              <w:t xml:space="preserve"> </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5E677F1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nil"/>
              <w:bottom w:val="single" w:sz="4" w:space="0" w:color="000000"/>
              <w:right w:val="single" w:sz="4" w:space="0" w:color="auto"/>
            </w:tcBorders>
            <w:vAlign w:val="center"/>
            <w:hideMark/>
          </w:tcPr>
          <w:p w14:paraId="43834A8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54798893"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2EA44CD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nil"/>
              <w:left w:val="nil"/>
              <w:bottom w:val="single" w:sz="4" w:space="0" w:color="auto"/>
              <w:right w:val="single" w:sz="4" w:space="0" w:color="000000"/>
            </w:tcBorders>
            <w:shd w:val="clear" w:color="000000" w:fill="E7E6E6"/>
            <w:vAlign w:val="bottom"/>
            <w:hideMark/>
          </w:tcPr>
          <w:p w14:paraId="70238DB1" w14:textId="01106DB4"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2.2 Redukce tepe</w:t>
            </w:r>
            <w:r w:rsidR="006776B1">
              <w:rPr>
                <w:rFonts w:ascii="Calibri" w:eastAsia="Times New Roman" w:hAnsi="Calibri" w:cs="Calibri"/>
                <w:i/>
                <w:iCs/>
                <w:color w:val="000000"/>
                <w:sz w:val="20"/>
                <w:szCs w:val="20"/>
                <w:lang w:eastAsia="cs-CZ"/>
              </w:rPr>
              <w:t>l</w:t>
            </w:r>
            <w:r w:rsidRPr="008A1E1F">
              <w:rPr>
                <w:rFonts w:ascii="Calibri" w:eastAsia="Times New Roman" w:hAnsi="Calibri" w:cs="Calibri"/>
                <w:i/>
                <w:iCs/>
                <w:color w:val="000000"/>
                <w:sz w:val="20"/>
                <w:szCs w:val="20"/>
                <w:lang w:eastAsia="cs-CZ"/>
              </w:rPr>
              <w:t>ného ostrova</w:t>
            </w:r>
          </w:p>
        </w:tc>
        <w:tc>
          <w:tcPr>
            <w:tcW w:w="1073" w:type="dxa"/>
            <w:tcBorders>
              <w:top w:val="single" w:sz="4" w:space="0" w:color="000000"/>
              <w:left w:val="nil"/>
              <w:bottom w:val="nil"/>
              <w:right w:val="single" w:sz="4" w:space="0" w:color="auto"/>
            </w:tcBorders>
            <w:shd w:val="clear" w:color="000000" w:fill="E7E6E6"/>
            <w:vAlign w:val="bottom"/>
            <w:hideMark/>
          </w:tcPr>
          <w:p w14:paraId="1EFFC01B"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0E15D988" w14:textId="77777777" w:rsidTr="00781E3D">
        <w:trPr>
          <w:trHeight w:val="321"/>
        </w:trPr>
        <w:tc>
          <w:tcPr>
            <w:tcW w:w="204" w:type="dxa"/>
            <w:tcBorders>
              <w:top w:val="nil"/>
              <w:left w:val="single" w:sz="4" w:space="0" w:color="auto"/>
              <w:bottom w:val="nil"/>
              <w:right w:val="nil"/>
            </w:tcBorders>
            <w:shd w:val="clear" w:color="auto" w:fill="auto"/>
            <w:vAlign w:val="bottom"/>
            <w:hideMark/>
          </w:tcPr>
          <w:p w14:paraId="5579552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lastRenderedPageBreak/>
              <w:t> </w:t>
            </w:r>
          </w:p>
        </w:tc>
        <w:tc>
          <w:tcPr>
            <w:tcW w:w="242" w:type="dxa"/>
            <w:tcBorders>
              <w:top w:val="nil"/>
              <w:left w:val="nil"/>
              <w:bottom w:val="nil"/>
              <w:right w:val="nil"/>
            </w:tcBorders>
            <w:shd w:val="clear" w:color="auto" w:fill="auto"/>
            <w:vAlign w:val="bottom"/>
            <w:hideMark/>
          </w:tcPr>
          <w:p w14:paraId="2AC4ACA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center"/>
            <w:hideMark/>
          </w:tcPr>
          <w:p w14:paraId="561F992B" w14:textId="1F371D99"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a. Stínění a povrch zpevněných ploch na pozemku</w:t>
            </w:r>
            <w:r w:rsidR="00D6303C">
              <w:rPr>
                <w:rStyle w:val="Znakapoznpodarou"/>
                <w:rFonts w:ascii="Calibri" w:eastAsia="Times New Roman" w:hAnsi="Calibri" w:cs="Calibri"/>
                <w:i/>
                <w:iCs/>
                <w:color w:val="000000"/>
                <w:sz w:val="20"/>
                <w:szCs w:val="20"/>
                <w:lang w:eastAsia="cs-CZ"/>
              </w:rPr>
              <w:footnoteReference w:id="20"/>
            </w:r>
          </w:p>
        </w:tc>
        <w:tc>
          <w:tcPr>
            <w:tcW w:w="2773" w:type="dxa"/>
            <w:vMerge w:val="restart"/>
            <w:tcBorders>
              <w:top w:val="nil"/>
              <w:left w:val="single" w:sz="4" w:space="0" w:color="auto"/>
              <w:bottom w:val="single" w:sz="4" w:space="0" w:color="000000"/>
              <w:right w:val="single" w:sz="4" w:space="0" w:color="auto"/>
            </w:tcBorders>
            <w:shd w:val="clear" w:color="auto" w:fill="auto"/>
            <w:vAlign w:val="center"/>
            <w:hideMark/>
          </w:tcPr>
          <w:p w14:paraId="1543EA0E" w14:textId="04CC6163"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theme="minorHAnsi"/>
                <w:color w:val="000000"/>
                <w:sz w:val="20"/>
                <w:szCs w:val="20"/>
                <w:lang w:eastAsia="cs-CZ"/>
              </w:rPr>
              <w:t>Podmínka udělení bodu redukce je zajištěna jedním z uvedených způsobů nebo jejich kombinací</w:t>
            </w:r>
          </w:p>
        </w:tc>
        <w:tc>
          <w:tcPr>
            <w:tcW w:w="1073" w:type="dxa"/>
            <w:vMerge w:val="restart"/>
            <w:tcBorders>
              <w:top w:val="nil"/>
              <w:left w:val="nil"/>
              <w:bottom w:val="nil"/>
              <w:right w:val="single" w:sz="4" w:space="0" w:color="auto"/>
            </w:tcBorders>
            <w:shd w:val="clear" w:color="auto" w:fill="auto"/>
            <w:vAlign w:val="center"/>
            <w:hideMark/>
          </w:tcPr>
          <w:p w14:paraId="6976CFFC" w14:textId="18C55ACA" w:rsidR="008A1E1F" w:rsidRPr="008A1E1F" w:rsidRDefault="00781E3D" w:rsidP="008A1E1F">
            <w:pPr>
              <w:spacing w:after="0" w:line="240" w:lineRule="auto"/>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w:t>
            </w:r>
          </w:p>
        </w:tc>
      </w:tr>
      <w:tr w:rsidR="008A1E1F" w:rsidRPr="008A1E1F" w14:paraId="062A1EDB" w14:textId="77777777" w:rsidTr="00781E3D">
        <w:trPr>
          <w:trHeight w:val="283"/>
        </w:trPr>
        <w:tc>
          <w:tcPr>
            <w:tcW w:w="204" w:type="dxa"/>
            <w:tcBorders>
              <w:top w:val="nil"/>
              <w:left w:val="single" w:sz="4" w:space="0" w:color="auto"/>
              <w:bottom w:val="nil"/>
              <w:right w:val="nil"/>
            </w:tcBorders>
            <w:shd w:val="clear" w:color="auto" w:fill="auto"/>
            <w:vAlign w:val="bottom"/>
            <w:hideMark/>
          </w:tcPr>
          <w:p w14:paraId="7746E7D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7639B84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center"/>
            <w:hideMark/>
          </w:tcPr>
          <w:p w14:paraId="1F5EDE59" w14:textId="77777777"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b. Povrch střech je z 75 % tvořen zelenou střechou</w:t>
            </w:r>
          </w:p>
        </w:tc>
        <w:tc>
          <w:tcPr>
            <w:tcW w:w="2773" w:type="dxa"/>
            <w:vMerge/>
            <w:tcBorders>
              <w:top w:val="nil"/>
              <w:left w:val="single" w:sz="4" w:space="0" w:color="auto"/>
              <w:bottom w:val="single" w:sz="4" w:space="0" w:color="000000"/>
              <w:right w:val="single" w:sz="4" w:space="0" w:color="auto"/>
            </w:tcBorders>
            <w:vAlign w:val="center"/>
            <w:hideMark/>
          </w:tcPr>
          <w:p w14:paraId="1584C77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nil"/>
              <w:bottom w:val="nil"/>
              <w:right w:val="single" w:sz="4" w:space="0" w:color="auto"/>
            </w:tcBorders>
            <w:vAlign w:val="center"/>
            <w:hideMark/>
          </w:tcPr>
          <w:p w14:paraId="21E5C10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2D76A5B9" w14:textId="77777777" w:rsidTr="006B629C">
        <w:trPr>
          <w:trHeight w:val="414"/>
        </w:trPr>
        <w:tc>
          <w:tcPr>
            <w:tcW w:w="204" w:type="dxa"/>
            <w:tcBorders>
              <w:top w:val="nil"/>
              <w:left w:val="single" w:sz="4" w:space="0" w:color="auto"/>
              <w:bottom w:val="nil"/>
              <w:right w:val="nil"/>
            </w:tcBorders>
            <w:shd w:val="clear" w:color="auto" w:fill="auto"/>
            <w:vAlign w:val="bottom"/>
            <w:hideMark/>
          </w:tcPr>
          <w:p w14:paraId="18EE62B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0C4DF84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center"/>
            <w:hideMark/>
          </w:tcPr>
          <w:p w14:paraId="263B5214" w14:textId="77777777"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c. Povrch střech je 75 % tvořen materiálem s min. odrazivostí 82 u ploché střechy do 5°, s min. odrazivostí 39 u šikmé střechy nad 5°</w:t>
            </w:r>
          </w:p>
        </w:tc>
        <w:tc>
          <w:tcPr>
            <w:tcW w:w="2773" w:type="dxa"/>
            <w:vMerge/>
            <w:tcBorders>
              <w:top w:val="nil"/>
              <w:left w:val="single" w:sz="4" w:space="0" w:color="auto"/>
              <w:bottom w:val="single" w:sz="4" w:space="0" w:color="000000"/>
              <w:right w:val="single" w:sz="4" w:space="0" w:color="auto"/>
            </w:tcBorders>
            <w:vAlign w:val="center"/>
            <w:hideMark/>
          </w:tcPr>
          <w:p w14:paraId="4CC8944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nil"/>
              <w:bottom w:val="single" w:sz="4" w:space="0" w:color="000000"/>
              <w:right w:val="single" w:sz="4" w:space="0" w:color="auto"/>
            </w:tcBorders>
            <w:vAlign w:val="center"/>
            <w:hideMark/>
          </w:tcPr>
          <w:p w14:paraId="45ECEE1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3EEB474D"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3BC07AF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nil"/>
              <w:left w:val="nil"/>
              <w:bottom w:val="single" w:sz="4" w:space="0" w:color="auto"/>
              <w:right w:val="single" w:sz="4" w:space="0" w:color="000000"/>
            </w:tcBorders>
            <w:shd w:val="clear" w:color="000000" w:fill="E7E6E6"/>
            <w:vAlign w:val="bottom"/>
            <w:hideMark/>
          </w:tcPr>
          <w:p w14:paraId="623AC1A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2.3 Tepelný komfort v letním a zimním období </w:t>
            </w:r>
          </w:p>
        </w:tc>
        <w:tc>
          <w:tcPr>
            <w:tcW w:w="1073" w:type="dxa"/>
            <w:tcBorders>
              <w:top w:val="single" w:sz="4" w:space="0" w:color="000000"/>
              <w:left w:val="nil"/>
              <w:bottom w:val="nil"/>
              <w:right w:val="single" w:sz="4" w:space="0" w:color="auto"/>
            </w:tcBorders>
            <w:shd w:val="clear" w:color="000000" w:fill="E7E6E6"/>
            <w:vAlign w:val="bottom"/>
            <w:hideMark/>
          </w:tcPr>
          <w:p w14:paraId="03250988"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0B0E4F09" w14:textId="77777777" w:rsidTr="00781E3D">
        <w:trPr>
          <w:trHeight w:val="1021"/>
        </w:trPr>
        <w:tc>
          <w:tcPr>
            <w:tcW w:w="204" w:type="dxa"/>
            <w:tcBorders>
              <w:top w:val="nil"/>
              <w:left w:val="single" w:sz="4" w:space="0" w:color="auto"/>
              <w:bottom w:val="nil"/>
              <w:right w:val="nil"/>
            </w:tcBorders>
            <w:shd w:val="clear" w:color="auto" w:fill="auto"/>
            <w:vAlign w:val="bottom"/>
            <w:hideMark/>
          </w:tcPr>
          <w:p w14:paraId="631B24D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23617B7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center"/>
            <w:hideMark/>
          </w:tcPr>
          <w:p w14:paraId="6DC95306" w14:textId="399C2DE9"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a. </w:t>
            </w:r>
            <w:r w:rsidR="00435D22">
              <w:rPr>
                <w:rFonts w:ascii="Calibri" w:eastAsia="Times New Roman" w:hAnsi="Calibri" w:cs="Calibri"/>
                <w:color w:val="000000"/>
                <w:sz w:val="20"/>
                <w:szCs w:val="20"/>
                <w:lang w:eastAsia="cs-CZ"/>
              </w:rPr>
              <w:t>M</w:t>
            </w:r>
            <w:r w:rsidRPr="008A1E1F">
              <w:rPr>
                <w:rFonts w:ascii="Calibri" w:eastAsia="Times New Roman" w:hAnsi="Calibri" w:cs="Calibri"/>
                <w:color w:val="000000"/>
                <w:sz w:val="20"/>
                <w:szCs w:val="20"/>
                <w:lang w:eastAsia="cs-CZ"/>
              </w:rPr>
              <w:t>aximální výpočtová teplota vzduchu &lt;27 stupňů Celsia ve výpočtové místnosti (minimálně jedna výpočtová na každých max. 30 místností jedna výpočtová místnost). Posouzení se provede dle ČSN 730540/2:2011.</w:t>
            </w:r>
          </w:p>
        </w:tc>
        <w:tc>
          <w:tcPr>
            <w:tcW w:w="2773" w:type="dxa"/>
            <w:vMerge w:val="restart"/>
            <w:tcBorders>
              <w:top w:val="nil"/>
              <w:left w:val="single" w:sz="4" w:space="0" w:color="auto"/>
              <w:bottom w:val="single" w:sz="4" w:space="0" w:color="000000"/>
              <w:right w:val="single" w:sz="4" w:space="0" w:color="auto"/>
            </w:tcBorders>
            <w:shd w:val="clear" w:color="auto" w:fill="auto"/>
            <w:vAlign w:val="center"/>
            <w:hideMark/>
          </w:tcPr>
          <w:p w14:paraId="5F82F720" w14:textId="71ED8A03" w:rsidR="008A1E1F" w:rsidRPr="008A1E1F" w:rsidRDefault="00E84358" w:rsidP="006776B1">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M</w:t>
            </w:r>
            <w:r w:rsidR="008A1E1F" w:rsidRPr="008A1E1F">
              <w:rPr>
                <w:rFonts w:ascii="Calibri" w:eastAsia="Times New Roman" w:hAnsi="Calibri" w:cs="Calibri"/>
                <w:color w:val="000000"/>
                <w:sz w:val="20"/>
                <w:szCs w:val="20"/>
                <w:lang w:eastAsia="cs-CZ"/>
              </w:rPr>
              <w:t xml:space="preserve">ax 2 body při splnění obou </w:t>
            </w:r>
            <w:r w:rsidR="006B629C">
              <w:rPr>
                <w:rFonts w:ascii="Calibri" w:eastAsia="Times New Roman" w:hAnsi="Calibri" w:cs="Calibri"/>
                <w:color w:val="000000"/>
                <w:sz w:val="20"/>
                <w:szCs w:val="20"/>
                <w:lang w:eastAsia="cs-CZ"/>
              </w:rPr>
              <w:t>uvedených</w:t>
            </w:r>
            <w:r w:rsidR="008A1E1F" w:rsidRPr="008A1E1F">
              <w:rPr>
                <w:rFonts w:ascii="Calibri" w:eastAsia="Times New Roman" w:hAnsi="Calibri" w:cs="Calibri"/>
                <w:color w:val="000000"/>
                <w:sz w:val="20"/>
                <w:szCs w:val="20"/>
                <w:lang w:eastAsia="cs-CZ"/>
              </w:rPr>
              <w:t xml:space="preserve"> požadavků</w:t>
            </w:r>
          </w:p>
        </w:tc>
        <w:tc>
          <w:tcPr>
            <w:tcW w:w="1073" w:type="dxa"/>
            <w:vMerge w:val="restart"/>
            <w:tcBorders>
              <w:top w:val="nil"/>
              <w:left w:val="nil"/>
              <w:bottom w:val="single" w:sz="4" w:space="0" w:color="000000"/>
              <w:right w:val="single" w:sz="4" w:space="0" w:color="auto"/>
            </w:tcBorders>
            <w:shd w:val="clear" w:color="auto" w:fill="auto"/>
            <w:vAlign w:val="center"/>
            <w:hideMark/>
          </w:tcPr>
          <w:p w14:paraId="3E4F80D5"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r w:rsidR="008A1E1F" w:rsidRPr="008A1E1F" w14:paraId="6A2B9EF2" w14:textId="77777777" w:rsidTr="00781E3D">
        <w:trPr>
          <w:trHeight w:val="979"/>
        </w:trPr>
        <w:tc>
          <w:tcPr>
            <w:tcW w:w="204" w:type="dxa"/>
            <w:tcBorders>
              <w:top w:val="nil"/>
              <w:left w:val="single" w:sz="4" w:space="0" w:color="auto"/>
              <w:bottom w:val="single" w:sz="4" w:space="0" w:color="auto"/>
              <w:right w:val="nil"/>
            </w:tcBorders>
            <w:shd w:val="clear" w:color="auto" w:fill="auto"/>
            <w:vAlign w:val="bottom"/>
            <w:hideMark/>
          </w:tcPr>
          <w:p w14:paraId="3EFAD61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37F36D8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center"/>
            <w:hideMark/>
          </w:tcPr>
          <w:p w14:paraId="10BD6042" w14:textId="2E4D3103"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b. </w:t>
            </w:r>
            <w:r w:rsidR="00435D22">
              <w:rPr>
                <w:rFonts w:ascii="Calibri" w:eastAsia="Times New Roman" w:hAnsi="Calibri" w:cs="Calibri"/>
                <w:color w:val="000000"/>
                <w:sz w:val="20"/>
                <w:szCs w:val="20"/>
                <w:lang w:eastAsia="cs-CZ"/>
              </w:rPr>
              <w:t>P</w:t>
            </w:r>
            <w:r w:rsidRPr="008A1E1F">
              <w:rPr>
                <w:rFonts w:ascii="Calibri" w:eastAsia="Times New Roman" w:hAnsi="Calibri" w:cs="Calibri"/>
                <w:color w:val="000000"/>
                <w:sz w:val="20"/>
                <w:szCs w:val="20"/>
                <w:lang w:eastAsia="cs-CZ"/>
              </w:rPr>
              <w:t>odmínky v zimním období musí být v souladu s normou ČSN 73 0540-2 - pokles výsledné teploty v místnosti s nejvyšším průměrným součinitelem prostupu tepla nesmí překročit 3 stupně Celsia.</w:t>
            </w:r>
          </w:p>
        </w:tc>
        <w:tc>
          <w:tcPr>
            <w:tcW w:w="2773" w:type="dxa"/>
            <w:vMerge/>
            <w:tcBorders>
              <w:top w:val="nil"/>
              <w:left w:val="single" w:sz="4" w:space="0" w:color="auto"/>
              <w:bottom w:val="single" w:sz="4" w:space="0" w:color="000000"/>
              <w:right w:val="single" w:sz="4" w:space="0" w:color="auto"/>
            </w:tcBorders>
            <w:vAlign w:val="center"/>
            <w:hideMark/>
          </w:tcPr>
          <w:p w14:paraId="4C228EC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nil"/>
              <w:bottom w:val="single" w:sz="4" w:space="0" w:color="000000"/>
              <w:right w:val="single" w:sz="4" w:space="0" w:color="auto"/>
            </w:tcBorders>
            <w:vAlign w:val="center"/>
            <w:hideMark/>
          </w:tcPr>
          <w:p w14:paraId="64CB669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10B0EF81" w14:textId="77777777" w:rsidTr="008A1E1F">
        <w:trPr>
          <w:trHeight w:val="135"/>
        </w:trPr>
        <w:tc>
          <w:tcPr>
            <w:tcW w:w="204" w:type="dxa"/>
            <w:tcBorders>
              <w:top w:val="nil"/>
              <w:left w:val="single" w:sz="4" w:space="0" w:color="auto"/>
              <w:bottom w:val="single" w:sz="4" w:space="0" w:color="auto"/>
              <w:right w:val="nil"/>
            </w:tcBorders>
            <w:shd w:val="clear" w:color="auto" w:fill="auto"/>
            <w:vAlign w:val="bottom"/>
            <w:hideMark/>
          </w:tcPr>
          <w:p w14:paraId="267D9FE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tcPr>
          <w:p w14:paraId="3C6D2429" w14:textId="43AACCD8"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nil"/>
            </w:tcBorders>
            <w:shd w:val="clear" w:color="auto" w:fill="auto"/>
            <w:vAlign w:val="bottom"/>
          </w:tcPr>
          <w:p w14:paraId="4211034C" w14:textId="739F5C74"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2773" w:type="dxa"/>
            <w:tcBorders>
              <w:top w:val="nil"/>
              <w:left w:val="nil"/>
              <w:bottom w:val="single" w:sz="4" w:space="0" w:color="auto"/>
              <w:right w:val="nil"/>
            </w:tcBorders>
            <w:shd w:val="clear" w:color="auto" w:fill="auto"/>
            <w:vAlign w:val="bottom"/>
            <w:hideMark/>
          </w:tcPr>
          <w:p w14:paraId="21B8629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nil"/>
              <w:left w:val="nil"/>
              <w:bottom w:val="single" w:sz="4" w:space="0" w:color="auto"/>
              <w:right w:val="single" w:sz="4" w:space="0" w:color="auto"/>
            </w:tcBorders>
            <w:shd w:val="clear" w:color="auto" w:fill="auto"/>
            <w:vAlign w:val="bottom"/>
            <w:hideMark/>
          </w:tcPr>
          <w:p w14:paraId="39ABD902"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1D8194AC" w14:textId="77777777" w:rsidTr="008A1E1F">
        <w:trPr>
          <w:trHeight w:val="300"/>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6EE0F02B"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xml:space="preserve">3. LCC, údržba, odpady, v tom: </w:t>
            </w:r>
          </w:p>
        </w:tc>
        <w:tc>
          <w:tcPr>
            <w:tcW w:w="2773" w:type="dxa"/>
            <w:tcBorders>
              <w:top w:val="nil"/>
              <w:left w:val="nil"/>
              <w:bottom w:val="single" w:sz="4" w:space="0" w:color="auto"/>
              <w:right w:val="nil"/>
            </w:tcBorders>
            <w:shd w:val="clear" w:color="000000" w:fill="D0CECE"/>
            <w:vAlign w:val="bottom"/>
            <w:hideMark/>
          </w:tcPr>
          <w:p w14:paraId="466A8653"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nil"/>
              <w:left w:val="nil"/>
              <w:bottom w:val="single" w:sz="4" w:space="0" w:color="auto"/>
              <w:right w:val="single" w:sz="4" w:space="0" w:color="auto"/>
            </w:tcBorders>
            <w:shd w:val="clear" w:color="000000" w:fill="D0CECE"/>
            <w:vAlign w:val="bottom"/>
            <w:hideMark/>
          </w:tcPr>
          <w:p w14:paraId="7FAFFCC9"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9</w:t>
            </w:r>
          </w:p>
        </w:tc>
      </w:tr>
      <w:tr w:rsidR="008A1E1F" w:rsidRPr="008A1E1F" w14:paraId="7A306DA4"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0F31427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6FCF504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3.1 Systém Měření a Regulace pro snížení potřeby provozních energií</w:t>
            </w:r>
          </w:p>
        </w:tc>
        <w:tc>
          <w:tcPr>
            <w:tcW w:w="1073" w:type="dxa"/>
            <w:tcBorders>
              <w:top w:val="nil"/>
              <w:left w:val="nil"/>
              <w:bottom w:val="nil"/>
              <w:right w:val="single" w:sz="4" w:space="0" w:color="auto"/>
            </w:tcBorders>
            <w:shd w:val="clear" w:color="000000" w:fill="E7E6E6"/>
            <w:vAlign w:val="bottom"/>
            <w:hideMark/>
          </w:tcPr>
          <w:p w14:paraId="7F47A275"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3BF9456F"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2EEB389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nil"/>
              <w:right w:val="single" w:sz="4" w:space="0" w:color="000000"/>
            </w:tcBorders>
            <w:shd w:val="clear" w:color="auto" w:fill="auto"/>
            <w:vAlign w:val="center"/>
            <w:hideMark/>
          </w:tcPr>
          <w:p w14:paraId="10E7F1F9" w14:textId="4F718CFE" w:rsidR="008A1E1F" w:rsidRPr="008A1E1F" w:rsidRDefault="00435D22" w:rsidP="008A1E1F">
            <w:pPr>
              <w:spacing w:after="0" w:line="240" w:lineRule="auto"/>
              <w:rPr>
                <w:rFonts w:ascii="Calibri" w:eastAsia="Times New Roman" w:hAnsi="Calibri" w:cs="Calibri"/>
                <w:color w:val="000000"/>
                <w:sz w:val="20"/>
                <w:szCs w:val="20"/>
                <w:lang w:eastAsia="cs-CZ"/>
              </w:rPr>
            </w:pPr>
            <w:r>
              <w:rPr>
                <w:rFonts w:ascii="Calibri" w:eastAsia="Courier New" w:hAnsi="Calibri" w:cs="Calibri"/>
                <w:bCs/>
                <w:color w:val="000000"/>
                <w:sz w:val="20"/>
                <w:szCs w:val="20"/>
                <w:lang w:eastAsia="cs-CZ"/>
              </w:rPr>
              <w:t>S</w:t>
            </w:r>
            <w:r w:rsidR="008A1E1F" w:rsidRPr="008A1E1F">
              <w:rPr>
                <w:rFonts w:ascii="Calibri" w:eastAsia="Courier New" w:hAnsi="Calibri" w:cs="Calibri"/>
                <w:bCs/>
                <w:color w:val="000000"/>
                <w:sz w:val="20"/>
                <w:szCs w:val="20"/>
                <w:lang w:eastAsia="cs-CZ"/>
              </w:rPr>
              <w:t xml:space="preserve">ystém splňuje některé z následujících charakteristik: </w:t>
            </w:r>
          </w:p>
        </w:tc>
        <w:tc>
          <w:tcPr>
            <w:tcW w:w="1073" w:type="dxa"/>
            <w:vMerge w:val="restart"/>
            <w:tcBorders>
              <w:top w:val="nil"/>
              <w:left w:val="single" w:sz="4" w:space="0" w:color="auto"/>
              <w:bottom w:val="nil"/>
              <w:right w:val="single" w:sz="4" w:space="0" w:color="auto"/>
            </w:tcBorders>
            <w:shd w:val="clear" w:color="auto" w:fill="auto"/>
            <w:vAlign w:val="center"/>
            <w:hideMark/>
          </w:tcPr>
          <w:p w14:paraId="2D3A9881"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3</w:t>
            </w:r>
          </w:p>
        </w:tc>
      </w:tr>
      <w:tr w:rsidR="008A1E1F" w:rsidRPr="008A1E1F" w14:paraId="7BA82F2F" w14:textId="77777777" w:rsidTr="00781E3D">
        <w:trPr>
          <w:trHeight w:val="170"/>
        </w:trPr>
        <w:tc>
          <w:tcPr>
            <w:tcW w:w="204" w:type="dxa"/>
            <w:tcBorders>
              <w:top w:val="nil"/>
              <w:left w:val="single" w:sz="4" w:space="0" w:color="auto"/>
              <w:bottom w:val="nil"/>
              <w:right w:val="nil"/>
            </w:tcBorders>
            <w:shd w:val="clear" w:color="auto" w:fill="auto"/>
            <w:vAlign w:val="bottom"/>
            <w:hideMark/>
          </w:tcPr>
          <w:p w14:paraId="64E9927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6FA56CB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vAlign w:val="center"/>
            <w:hideMark/>
          </w:tcPr>
          <w:p w14:paraId="3849C317" w14:textId="77777777" w:rsidR="008A1E1F" w:rsidRPr="00E84358" w:rsidRDefault="008A1E1F" w:rsidP="00E84358">
            <w:pPr>
              <w:pStyle w:val="Odstavecseseznamem"/>
              <w:numPr>
                <w:ilvl w:val="0"/>
                <w:numId w:val="45"/>
              </w:numPr>
              <w:spacing w:after="0" w:line="240" w:lineRule="auto"/>
              <w:rPr>
                <w:rFonts w:ascii="Calibri" w:eastAsia="Times New Roman" w:hAnsi="Calibri" w:cs="Calibri"/>
                <w:color w:val="000000"/>
                <w:sz w:val="20"/>
                <w:szCs w:val="20"/>
                <w:lang w:eastAsia="cs-CZ"/>
              </w:rPr>
            </w:pPr>
            <w:r w:rsidRPr="00E84358">
              <w:rPr>
                <w:rFonts w:ascii="Calibri" w:eastAsia="Wingdings" w:hAnsi="Calibri" w:cs="Wingdings"/>
                <w:color w:val="000000"/>
                <w:sz w:val="20"/>
                <w:szCs w:val="20"/>
                <w:lang w:eastAsia="cs-CZ"/>
              </w:rPr>
              <w:t>umožňuje predikci spotřeb základních energií;</w:t>
            </w:r>
          </w:p>
        </w:tc>
        <w:tc>
          <w:tcPr>
            <w:tcW w:w="1073" w:type="dxa"/>
            <w:vMerge/>
            <w:tcBorders>
              <w:top w:val="nil"/>
              <w:left w:val="single" w:sz="4" w:space="0" w:color="auto"/>
              <w:bottom w:val="nil"/>
              <w:right w:val="single" w:sz="4" w:space="0" w:color="auto"/>
            </w:tcBorders>
            <w:vAlign w:val="center"/>
            <w:hideMark/>
          </w:tcPr>
          <w:p w14:paraId="00CE0BD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49B7E142" w14:textId="77777777" w:rsidTr="00781E3D">
        <w:trPr>
          <w:trHeight w:val="170"/>
        </w:trPr>
        <w:tc>
          <w:tcPr>
            <w:tcW w:w="204" w:type="dxa"/>
            <w:tcBorders>
              <w:top w:val="nil"/>
              <w:left w:val="single" w:sz="4" w:space="0" w:color="auto"/>
              <w:bottom w:val="nil"/>
              <w:right w:val="nil"/>
            </w:tcBorders>
            <w:shd w:val="clear" w:color="auto" w:fill="auto"/>
            <w:vAlign w:val="bottom"/>
            <w:hideMark/>
          </w:tcPr>
          <w:p w14:paraId="7E270B3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3AE747E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vAlign w:val="center"/>
            <w:hideMark/>
          </w:tcPr>
          <w:p w14:paraId="55BF396B" w14:textId="0C718D00" w:rsidR="008A1E1F" w:rsidRPr="00E84358" w:rsidRDefault="008A1E1F" w:rsidP="00E84358">
            <w:pPr>
              <w:pStyle w:val="Odstavecseseznamem"/>
              <w:numPr>
                <w:ilvl w:val="0"/>
                <w:numId w:val="45"/>
              </w:numPr>
              <w:spacing w:after="0" w:line="240" w:lineRule="auto"/>
              <w:rPr>
                <w:rFonts w:ascii="Wingdings" w:eastAsia="Times New Roman" w:hAnsi="Wingdings" w:cs="Calibri"/>
                <w:color w:val="000000"/>
                <w:sz w:val="20"/>
                <w:szCs w:val="20"/>
                <w:lang w:eastAsia="cs-CZ"/>
              </w:rPr>
            </w:pPr>
            <w:r w:rsidRPr="00E84358">
              <w:rPr>
                <w:rFonts w:ascii="Calibri" w:eastAsia="Wingdings" w:hAnsi="Calibri" w:cs="Calibri"/>
                <w:color w:val="000000"/>
                <w:sz w:val="20"/>
                <w:szCs w:val="20"/>
                <w:lang w:eastAsia="cs-CZ"/>
              </w:rPr>
              <w:t>lze zobrazit parametry vnitřního prostředí v hodnocených jednotkách či jejich částech</w:t>
            </w:r>
          </w:p>
        </w:tc>
        <w:tc>
          <w:tcPr>
            <w:tcW w:w="1073" w:type="dxa"/>
            <w:vMerge/>
            <w:tcBorders>
              <w:top w:val="nil"/>
              <w:left w:val="single" w:sz="4" w:space="0" w:color="auto"/>
              <w:bottom w:val="nil"/>
              <w:right w:val="single" w:sz="4" w:space="0" w:color="auto"/>
            </w:tcBorders>
            <w:vAlign w:val="center"/>
            <w:hideMark/>
          </w:tcPr>
          <w:p w14:paraId="240AB46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49B9342D" w14:textId="77777777" w:rsidTr="00781E3D">
        <w:trPr>
          <w:trHeight w:val="170"/>
        </w:trPr>
        <w:tc>
          <w:tcPr>
            <w:tcW w:w="204" w:type="dxa"/>
            <w:tcBorders>
              <w:top w:val="nil"/>
              <w:left w:val="single" w:sz="4" w:space="0" w:color="auto"/>
              <w:bottom w:val="nil"/>
              <w:right w:val="nil"/>
            </w:tcBorders>
            <w:shd w:val="clear" w:color="auto" w:fill="auto"/>
            <w:vAlign w:val="bottom"/>
            <w:hideMark/>
          </w:tcPr>
          <w:p w14:paraId="2E4974E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53165FD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vAlign w:val="center"/>
            <w:hideMark/>
          </w:tcPr>
          <w:p w14:paraId="1C669A9D" w14:textId="77777777" w:rsidR="008A1E1F" w:rsidRPr="00E84358" w:rsidRDefault="008A1E1F" w:rsidP="00E84358">
            <w:pPr>
              <w:pStyle w:val="Odstavecseseznamem"/>
              <w:numPr>
                <w:ilvl w:val="0"/>
                <w:numId w:val="45"/>
              </w:numPr>
              <w:spacing w:after="0" w:line="240" w:lineRule="auto"/>
              <w:rPr>
                <w:rFonts w:ascii="Calibri" w:eastAsia="Times New Roman" w:hAnsi="Calibri" w:cs="Calibri"/>
                <w:color w:val="000000"/>
                <w:sz w:val="20"/>
                <w:szCs w:val="20"/>
                <w:lang w:eastAsia="cs-CZ"/>
              </w:rPr>
            </w:pPr>
            <w:r w:rsidRPr="00E84358">
              <w:rPr>
                <w:rFonts w:ascii="Calibri" w:eastAsia="Wingdings" w:hAnsi="Calibri" w:cs="Wingdings"/>
                <w:color w:val="000000"/>
                <w:sz w:val="20"/>
                <w:szCs w:val="20"/>
                <w:lang w:eastAsia="cs-CZ"/>
              </w:rPr>
              <w:t>kromě jednotek lze zobrazit i spotřeby společných prostor bytového domu</w:t>
            </w:r>
          </w:p>
        </w:tc>
        <w:tc>
          <w:tcPr>
            <w:tcW w:w="1073" w:type="dxa"/>
            <w:vMerge/>
            <w:tcBorders>
              <w:top w:val="nil"/>
              <w:left w:val="single" w:sz="4" w:space="0" w:color="auto"/>
              <w:bottom w:val="nil"/>
              <w:right w:val="single" w:sz="4" w:space="0" w:color="auto"/>
            </w:tcBorders>
            <w:vAlign w:val="center"/>
            <w:hideMark/>
          </w:tcPr>
          <w:p w14:paraId="274629AA"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44D24B2B" w14:textId="77777777" w:rsidTr="00781E3D">
        <w:trPr>
          <w:trHeight w:val="170"/>
        </w:trPr>
        <w:tc>
          <w:tcPr>
            <w:tcW w:w="204" w:type="dxa"/>
            <w:tcBorders>
              <w:top w:val="nil"/>
              <w:left w:val="single" w:sz="4" w:space="0" w:color="auto"/>
              <w:bottom w:val="nil"/>
              <w:right w:val="nil"/>
            </w:tcBorders>
            <w:shd w:val="clear" w:color="auto" w:fill="auto"/>
            <w:vAlign w:val="bottom"/>
            <w:hideMark/>
          </w:tcPr>
          <w:p w14:paraId="61137EE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43F78A7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vAlign w:val="center"/>
            <w:hideMark/>
          </w:tcPr>
          <w:p w14:paraId="0A8762A1" w14:textId="77777777" w:rsidR="008A1E1F" w:rsidRPr="00E84358" w:rsidRDefault="008A1E1F" w:rsidP="00E84358">
            <w:pPr>
              <w:pStyle w:val="Odstavecseseznamem"/>
              <w:numPr>
                <w:ilvl w:val="0"/>
                <w:numId w:val="45"/>
              </w:numPr>
              <w:spacing w:after="0" w:line="240" w:lineRule="auto"/>
              <w:rPr>
                <w:rFonts w:ascii="Calibri" w:eastAsia="Times New Roman" w:hAnsi="Calibri" w:cs="Calibri"/>
                <w:color w:val="000000"/>
                <w:sz w:val="20"/>
                <w:szCs w:val="20"/>
                <w:lang w:eastAsia="cs-CZ"/>
              </w:rPr>
            </w:pPr>
            <w:r w:rsidRPr="00E84358">
              <w:rPr>
                <w:rFonts w:ascii="Calibri" w:eastAsia="Wingdings" w:hAnsi="Calibri" w:cs="Wingdings"/>
                <w:color w:val="000000"/>
                <w:sz w:val="20"/>
                <w:szCs w:val="20"/>
                <w:lang w:eastAsia="cs-CZ"/>
              </w:rPr>
              <w:t>umožňuje regulaci parametrů tepelně upravovaného vnitřního prostředí</w:t>
            </w:r>
          </w:p>
        </w:tc>
        <w:tc>
          <w:tcPr>
            <w:tcW w:w="1073" w:type="dxa"/>
            <w:vMerge/>
            <w:tcBorders>
              <w:top w:val="nil"/>
              <w:left w:val="single" w:sz="4" w:space="0" w:color="auto"/>
              <w:bottom w:val="nil"/>
              <w:right w:val="single" w:sz="4" w:space="0" w:color="auto"/>
            </w:tcBorders>
            <w:vAlign w:val="center"/>
            <w:hideMark/>
          </w:tcPr>
          <w:p w14:paraId="06DF6FD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5B57393A" w14:textId="77777777" w:rsidTr="00781E3D">
        <w:trPr>
          <w:trHeight w:val="170"/>
        </w:trPr>
        <w:tc>
          <w:tcPr>
            <w:tcW w:w="204" w:type="dxa"/>
            <w:tcBorders>
              <w:top w:val="nil"/>
              <w:left w:val="single" w:sz="4" w:space="0" w:color="auto"/>
              <w:bottom w:val="nil"/>
              <w:right w:val="nil"/>
            </w:tcBorders>
            <w:shd w:val="clear" w:color="auto" w:fill="auto"/>
            <w:vAlign w:val="bottom"/>
            <w:hideMark/>
          </w:tcPr>
          <w:p w14:paraId="529A961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0F7C2E7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vAlign w:val="bottom"/>
            <w:hideMark/>
          </w:tcPr>
          <w:p w14:paraId="2A107E94" w14:textId="77777777" w:rsidR="008A1E1F" w:rsidRPr="00E84358" w:rsidRDefault="008A1E1F" w:rsidP="00E84358">
            <w:pPr>
              <w:pStyle w:val="Odstavecseseznamem"/>
              <w:numPr>
                <w:ilvl w:val="0"/>
                <w:numId w:val="45"/>
              </w:numPr>
              <w:spacing w:after="0" w:line="240" w:lineRule="auto"/>
              <w:rPr>
                <w:rFonts w:ascii="Calibri" w:eastAsia="Times New Roman" w:hAnsi="Calibri" w:cs="Calibri"/>
                <w:color w:val="000000"/>
                <w:sz w:val="20"/>
                <w:szCs w:val="20"/>
                <w:lang w:eastAsia="cs-CZ"/>
              </w:rPr>
            </w:pPr>
            <w:r w:rsidRPr="00E84358">
              <w:rPr>
                <w:rFonts w:ascii="Calibri" w:eastAsia="Times New Roman" w:hAnsi="Calibri" w:cs="Calibri"/>
                <w:color w:val="000000"/>
                <w:sz w:val="20"/>
                <w:szCs w:val="20"/>
                <w:lang w:eastAsia="cs-CZ"/>
              </w:rPr>
              <w:t>data spotřeby jsou přístupná přes internet</w:t>
            </w:r>
          </w:p>
        </w:tc>
        <w:tc>
          <w:tcPr>
            <w:tcW w:w="1073" w:type="dxa"/>
            <w:vMerge/>
            <w:tcBorders>
              <w:top w:val="nil"/>
              <w:left w:val="single" w:sz="4" w:space="0" w:color="auto"/>
              <w:bottom w:val="nil"/>
              <w:right w:val="single" w:sz="4" w:space="0" w:color="auto"/>
            </w:tcBorders>
            <w:vAlign w:val="center"/>
            <w:hideMark/>
          </w:tcPr>
          <w:p w14:paraId="55D4AF5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0D70CDFC"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3C3B4EB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4A48C5B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257" w:type="dxa"/>
            <w:gridSpan w:val="2"/>
            <w:tcBorders>
              <w:top w:val="nil"/>
              <w:left w:val="nil"/>
              <w:bottom w:val="single" w:sz="4" w:space="0" w:color="auto"/>
              <w:right w:val="single" w:sz="4" w:space="0" w:color="000000"/>
            </w:tcBorders>
            <w:shd w:val="clear" w:color="auto" w:fill="auto"/>
            <w:vAlign w:val="bottom"/>
            <w:hideMark/>
          </w:tcPr>
          <w:p w14:paraId="64D5A62A" w14:textId="1F340E6B" w:rsidR="008A1E1F" w:rsidRPr="00E84358" w:rsidRDefault="008A1E1F" w:rsidP="00E84358">
            <w:pPr>
              <w:pStyle w:val="Odstavecseseznamem"/>
              <w:numPr>
                <w:ilvl w:val="0"/>
                <w:numId w:val="45"/>
              </w:numPr>
              <w:spacing w:after="0" w:line="240" w:lineRule="auto"/>
              <w:rPr>
                <w:rFonts w:ascii="Calibri" w:eastAsia="Times New Roman" w:hAnsi="Calibri" w:cs="Calibri"/>
                <w:color w:val="000000"/>
                <w:sz w:val="20"/>
                <w:szCs w:val="20"/>
                <w:lang w:eastAsia="cs-CZ"/>
              </w:rPr>
            </w:pPr>
            <w:r w:rsidRPr="00E84358">
              <w:rPr>
                <w:rFonts w:ascii="Calibri" w:eastAsia="Times New Roman" w:hAnsi="Calibri" w:cs="Calibri"/>
                <w:color w:val="000000"/>
                <w:sz w:val="20"/>
                <w:szCs w:val="20"/>
                <w:lang w:eastAsia="cs-CZ"/>
              </w:rPr>
              <w:t>existuje přehled o všech spotřebovávaných vstupních energiích a vodě</w:t>
            </w:r>
            <w:r w:rsidR="00D6303C">
              <w:rPr>
                <w:rStyle w:val="Znakapoznpodarou"/>
                <w:rFonts w:ascii="Calibri" w:eastAsia="Times New Roman" w:hAnsi="Calibri" w:cs="Calibri"/>
                <w:color w:val="000000"/>
                <w:sz w:val="20"/>
                <w:szCs w:val="20"/>
                <w:lang w:eastAsia="cs-CZ"/>
              </w:rPr>
              <w:footnoteReference w:id="21"/>
            </w:r>
          </w:p>
        </w:tc>
        <w:tc>
          <w:tcPr>
            <w:tcW w:w="1073" w:type="dxa"/>
            <w:vMerge/>
            <w:tcBorders>
              <w:top w:val="nil"/>
              <w:left w:val="single" w:sz="4" w:space="0" w:color="auto"/>
              <w:bottom w:val="single" w:sz="4" w:space="0" w:color="000000"/>
              <w:right w:val="single" w:sz="4" w:space="0" w:color="auto"/>
            </w:tcBorders>
            <w:vAlign w:val="center"/>
            <w:hideMark/>
          </w:tcPr>
          <w:p w14:paraId="73548B4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17619A23"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3B9AFB4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nil"/>
              <w:left w:val="nil"/>
              <w:bottom w:val="single" w:sz="4" w:space="0" w:color="auto"/>
              <w:right w:val="single" w:sz="4" w:space="0" w:color="000000"/>
            </w:tcBorders>
            <w:shd w:val="clear" w:color="000000" w:fill="E7E6E6"/>
            <w:vAlign w:val="bottom"/>
            <w:hideMark/>
          </w:tcPr>
          <w:p w14:paraId="43A61474" w14:textId="014DDDE9"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3.2 Plán údržby a </w:t>
            </w:r>
            <w:r w:rsidR="00E84358" w:rsidRPr="008A1E1F">
              <w:rPr>
                <w:rFonts w:ascii="Calibri" w:eastAsia="Times New Roman" w:hAnsi="Calibri" w:cs="Calibri"/>
                <w:color w:val="000000"/>
                <w:sz w:val="20"/>
                <w:szCs w:val="20"/>
                <w:lang w:eastAsia="cs-CZ"/>
              </w:rPr>
              <w:t>oprav – zpracování</w:t>
            </w:r>
            <w:r w:rsidRPr="008A1E1F">
              <w:rPr>
                <w:rFonts w:ascii="Calibri" w:eastAsia="Times New Roman" w:hAnsi="Calibri" w:cs="Calibri"/>
                <w:color w:val="000000"/>
                <w:sz w:val="20"/>
                <w:szCs w:val="20"/>
                <w:lang w:eastAsia="cs-CZ"/>
              </w:rPr>
              <w:t xml:space="preserve"> je zahrnuto v projektu</w:t>
            </w:r>
          </w:p>
        </w:tc>
        <w:tc>
          <w:tcPr>
            <w:tcW w:w="1073" w:type="dxa"/>
            <w:tcBorders>
              <w:top w:val="single" w:sz="4" w:space="0" w:color="000000"/>
              <w:left w:val="nil"/>
              <w:bottom w:val="single" w:sz="4" w:space="0" w:color="000000"/>
              <w:right w:val="single" w:sz="4" w:space="0" w:color="auto"/>
            </w:tcBorders>
            <w:shd w:val="clear" w:color="000000" w:fill="E7E6E6"/>
            <w:vAlign w:val="bottom"/>
            <w:hideMark/>
          </w:tcPr>
          <w:p w14:paraId="556B7B2F"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r w:rsidR="008A1E1F" w:rsidRPr="008A1E1F" w14:paraId="01E70A5E"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1662DEF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nil"/>
              <w:left w:val="nil"/>
              <w:bottom w:val="single" w:sz="4" w:space="0" w:color="auto"/>
              <w:right w:val="single" w:sz="4" w:space="0" w:color="000000"/>
            </w:tcBorders>
            <w:shd w:val="clear" w:color="000000" w:fill="E7E6E6"/>
            <w:vAlign w:val="bottom"/>
            <w:hideMark/>
          </w:tcPr>
          <w:p w14:paraId="6A0FC68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3.3 Zpracování LLC analýzy</w:t>
            </w:r>
          </w:p>
        </w:tc>
        <w:tc>
          <w:tcPr>
            <w:tcW w:w="1073" w:type="dxa"/>
            <w:tcBorders>
              <w:top w:val="single" w:sz="4" w:space="0" w:color="000000"/>
              <w:left w:val="nil"/>
              <w:bottom w:val="nil"/>
              <w:right w:val="single" w:sz="4" w:space="0" w:color="auto"/>
            </w:tcBorders>
            <w:shd w:val="clear" w:color="000000" w:fill="E7E6E6"/>
            <w:vAlign w:val="bottom"/>
            <w:hideMark/>
          </w:tcPr>
          <w:p w14:paraId="7A3FEFFF"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591A7491" w14:textId="77777777" w:rsidTr="006B629C">
        <w:trPr>
          <w:trHeight w:val="1049"/>
        </w:trPr>
        <w:tc>
          <w:tcPr>
            <w:tcW w:w="204" w:type="dxa"/>
            <w:tcBorders>
              <w:top w:val="nil"/>
              <w:left w:val="single" w:sz="4" w:space="0" w:color="auto"/>
              <w:bottom w:val="nil"/>
              <w:right w:val="nil"/>
            </w:tcBorders>
            <w:shd w:val="clear" w:color="auto" w:fill="auto"/>
            <w:vAlign w:val="bottom"/>
            <w:hideMark/>
          </w:tcPr>
          <w:p w14:paraId="17856E0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right w:val="nil"/>
            </w:tcBorders>
            <w:shd w:val="clear" w:color="auto" w:fill="auto"/>
            <w:vAlign w:val="bottom"/>
            <w:hideMark/>
          </w:tcPr>
          <w:p w14:paraId="74DAA6A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single" w:sz="4" w:space="0" w:color="auto"/>
              <w:left w:val="nil"/>
              <w:right w:val="single" w:sz="4" w:space="0" w:color="000000"/>
            </w:tcBorders>
            <w:shd w:val="clear" w:color="auto" w:fill="auto"/>
            <w:vAlign w:val="center"/>
            <w:hideMark/>
          </w:tcPr>
          <w:p w14:paraId="03388102" w14:textId="2F66A958"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Naplnění požadavků se prokazuje existencí dokumentů, které vhodnou a dostatečnou formou prezentují náklady životního cyklu a jsou zpracovány odborným způsobem. V optimálním případě je LCC analýza podložena softwarovým modelem. LCC analýza musí postihovat fáze výstavby a provozu. Zahrnutí konce životního cyklu je nepovinné</w:t>
            </w:r>
            <w:r w:rsidR="00E84358">
              <w:rPr>
                <w:rFonts w:ascii="Calibri" w:eastAsia="Times New Roman" w:hAnsi="Calibri" w:cs="Calibri"/>
                <w:color w:val="000000"/>
                <w:sz w:val="20"/>
                <w:szCs w:val="20"/>
                <w:lang w:eastAsia="cs-CZ"/>
              </w:rPr>
              <w:t>.</w:t>
            </w:r>
          </w:p>
        </w:tc>
        <w:tc>
          <w:tcPr>
            <w:tcW w:w="1073" w:type="dxa"/>
            <w:vMerge w:val="restart"/>
            <w:tcBorders>
              <w:top w:val="nil"/>
              <w:left w:val="single" w:sz="4" w:space="0" w:color="auto"/>
              <w:bottom w:val="nil"/>
              <w:right w:val="single" w:sz="4" w:space="0" w:color="auto"/>
            </w:tcBorders>
            <w:shd w:val="clear" w:color="auto" w:fill="auto"/>
            <w:vAlign w:val="center"/>
            <w:hideMark/>
          </w:tcPr>
          <w:p w14:paraId="29B9D483"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r w:rsidR="008A1E1F" w:rsidRPr="008A1E1F" w14:paraId="3065CB40" w14:textId="77777777" w:rsidTr="006B629C">
        <w:trPr>
          <w:trHeight w:val="540"/>
        </w:trPr>
        <w:tc>
          <w:tcPr>
            <w:tcW w:w="204" w:type="dxa"/>
            <w:tcBorders>
              <w:top w:val="nil"/>
              <w:left w:val="single" w:sz="4" w:space="0" w:color="auto"/>
              <w:bottom w:val="nil"/>
              <w:right w:val="nil"/>
            </w:tcBorders>
            <w:shd w:val="clear" w:color="auto" w:fill="auto"/>
            <w:vAlign w:val="bottom"/>
            <w:hideMark/>
          </w:tcPr>
          <w:p w14:paraId="66F6BA6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left w:val="nil"/>
              <w:bottom w:val="nil"/>
              <w:right w:val="single" w:sz="4" w:space="0" w:color="000000"/>
            </w:tcBorders>
            <w:shd w:val="clear" w:color="auto" w:fill="auto"/>
            <w:vAlign w:val="center"/>
            <w:hideMark/>
          </w:tcPr>
          <w:p w14:paraId="22594E6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Courier New" w:hAnsi="Calibri" w:cs="Calibri"/>
                <w:bCs/>
                <w:color w:val="000000"/>
                <w:sz w:val="20"/>
                <w:szCs w:val="20"/>
                <w:lang w:eastAsia="cs-CZ"/>
              </w:rPr>
              <w:t xml:space="preserve">V analýze musí být identifikovány všechny významné výdajové a příjmové položky. LCC analýza musí povinně obsahovat následující: </w:t>
            </w:r>
          </w:p>
        </w:tc>
        <w:tc>
          <w:tcPr>
            <w:tcW w:w="1073" w:type="dxa"/>
            <w:vMerge/>
            <w:tcBorders>
              <w:top w:val="nil"/>
              <w:left w:val="single" w:sz="4" w:space="0" w:color="auto"/>
              <w:bottom w:val="nil"/>
              <w:right w:val="single" w:sz="4" w:space="0" w:color="auto"/>
            </w:tcBorders>
            <w:vAlign w:val="center"/>
            <w:hideMark/>
          </w:tcPr>
          <w:p w14:paraId="572137C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5DDAA062"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4C3316B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5EFA3FD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noWrap/>
            <w:vAlign w:val="center"/>
            <w:hideMark/>
          </w:tcPr>
          <w:p w14:paraId="417110FF" w14:textId="77777777" w:rsidR="008A1E1F" w:rsidRPr="00E84358" w:rsidRDefault="008A1E1F" w:rsidP="00E84358">
            <w:pPr>
              <w:pStyle w:val="Odstavecseseznamem"/>
              <w:numPr>
                <w:ilvl w:val="0"/>
                <w:numId w:val="46"/>
              </w:numPr>
              <w:spacing w:after="0" w:line="240" w:lineRule="auto"/>
              <w:rPr>
                <w:rFonts w:ascii="Calibri" w:eastAsia="Times New Roman" w:hAnsi="Calibri" w:cs="Calibri"/>
                <w:color w:val="000000"/>
                <w:sz w:val="20"/>
                <w:szCs w:val="20"/>
                <w:lang w:eastAsia="cs-CZ"/>
              </w:rPr>
            </w:pPr>
            <w:r w:rsidRPr="00E84358">
              <w:rPr>
                <w:rFonts w:ascii="Calibri" w:eastAsia="Wingdings" w:hAnsi="Calibri" w:cs="Wingdings"/>
                <w:color w:val="000000"/>
                <w:sz w:val="20"/>
                <w:szCs w:val="20"/>
                <w:lang w:eastAsia="cs-CZ"/>
              </w:rPr>
              <w:t>náklady na výstavbu;</w:t>
            </w:r>
          </w:p>
        </w:tc>
        <w:tc>
          <w:tcPr>
            <w:tcW w:w="1073" w:type="dxa"/>
            <w:vMerge/>
            <w:tcBorders>
              <w:top w:val="nil"/>
              <w:left w:val="single" w:sz="4" w:space="0" w:color="auto"/>
              <w:bottom w:val="nil"/>
              <w:right w:val="single" w:sz="4" w:space="0" w:color="auto"/>
            </w:tcBorders>
            <w:vAlign w:val="center"/>
            <w:hideMark/>
          </w:tcPr>
          <w:p w14:paraId="29A5EF5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0CD7B2BF"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2747C50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075DF62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noWrap/>
            <w:vAlign w:val="center"/>
            <w:hideMark/>
          </w:tcPr>
          <w:p w14:paraId="3AB83B5C" w14:textId="77777777" w:rsidR="008A1E1F" w:rsidRPr="00E84358" w:rsidRDefault="008A1E1F" w:rsidP="00E84358">
            <w:pPr>
              <w:pStyle w:val="Odstavecseseznamem"/>
              <w:numPr>
                <w:ilvl w:val="0"/>
                <w:numId w:val="46"/>
              </w:numPr>
              <w:spacing w:after="0" w:line="240" w:lineRule="auto"/>
              <w:rPr>
                <w:rFonts w:ascii="Calibri" w:eastAsia="Times New Roman" w:hAnsi="Calibri" w:cs="Calibri"/>
                <w:color w:val="000000"/>
                <w:sz w:val="20"/>
                <w:szCs w:val="20"/>
                <w:lang w:eastAsia="cs-CZ"/>
              </w:rPr>
            </w:pPr>
            <w:r w:rsidRPr="00E84358">
              <w:rPr>
                <w:rFonts w:ascii="Calibri" w:eastAsia="Wingdings" w:hAnsi="Calibri" w:cs="Wingdings"/>
                <w:color w:val="000000"/>
                <w:sz w:val="20"/>
                <w:szCs w:val="20"/>
                <w:lang w:eastAsia="cs-CZ"/>
              </w:rPr>
              <w:t>náklady na energie a vodu;</w:t>
            </w:r>
          </w:p>
        </w:tc>
        <w:tc>
          <w:tcPr>
            <w:tcW w:w="1073" w:type="dxa"/>
            <w:vMerge/>
            <w:tcBorders>
              <w:top w:val="nil"/>
              <w:left w:val="single" w:sz="4" w:space="0" w:color="auto"/>
              <w:bottom w:val="nil"/>
              <w:right w:val="single" w:sz="4" w:space="0" w:color="auto"/>
            </w:tcBorders>
            <w:vAlign w:val="center"/>
            <w:hideMark/>
          </w:tcPr>
          <w:p w14:paraId="48CA1D6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7A4817CD"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49F0FC3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3D079D1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nil"/>
              <w:right w:val="single" w:sz="4" w:space="0" w:color="000000"/>
            </w:tcBorders>
            <w:shd w:val="clear" w:color="auto" w:fill="auto"/>
            <w:noWrap/>
            <w:vAlign w:val="center"/>
            <w:hideMark/>
          </w:tcPr>
          <w:p w14:paraId="68238660" w14:textId="3AF68A8F" w:rsidR="008A1E1F" w:rsidRPr="00E84358" w:rsidRDefault="00D6303C" w:rsidP="00E84358">
            <w:pPr>
              <w:pStyle w:val="Odstavecseseznamem"/>
              <w:numPr>
                <w:ilvl w:val="0"/>
                <w:numId w:val="46"/>
              </w:numPr>
              <w:spacing w:after="0" w:line="240" w:lineRule="auto"/>
              <w:rPr>
                <w:rFonts w:ascii="Calibri" w:eastAsia="Times New Roman" w:hAnsi="Calibri" w:cs="Calibri"/>
                <w:color w:val="000000"/>
                <w:sz w:val="20"/>
                <w:szCs w:val="20"/>
                <w:lang w:eastAsia="cs-CZ"/>
              </w:rPr>
            </w:pPr>
            <w:r w:rsidRPr="00E84358">
              <w:rPr>
                <w:rFonts w:ascii="Calibri" w:eastAsia="Times New Roman" w:hAnsi="Calibri" w:cs="Calibri"/>
                <w:color w:val="000000"/>
                <w:sz w:val="20"/>
                <w:szCs w:val="20"/>
                <w:lang w:eastAsia="cs-CZ"/>
              </w:rPr>
              <w:t>náklady administrativní</w:t>
            </w:r>
            <w:r>
              <w:rPr>
                <w:rStyle w:val="Znakapoznpodarou"/>
                <w:rFonts w:ascii="Calibri" w:eastAsia="Times New Roman" w:hAnsi="Calibri" w:cs="Calibri"/>
                <w:color w:val="000000"/>
                <w:sz w:val="20"/>
                <w:szCs w:val="20"/>
                <w:lang w:eastAsia="cs-CZ"/>
              </w:rPr>
              <w:footnoteReference w:id="22"/>
            </w:r>
          </w:p>
        </w:tc>
        <w:tc>
          <w:tcPr>
            <w:tcW w:w="1073" w:type="dxa"/>
            <w:vMerge/>
            <w:tcBorders>
              <w:top w:val="nil"/>
              <w:left w:val="single" w:sz="4" w:space="0" w:color="auto"/>
              <w:bottom w:val="nil"/>
              <w:right w:val="single" w:sz="4" w:space="0" w:color="auto"/>
            </w:tcBorders>
            <w:vAlign w:val="center"/>
            <w:hideMark/>
          </w:tcPr>
          <w:p w14:paraId="35E7021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57BE2495"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3AC5FF7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58E5888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257" w:type="dxa"/>
            <w:gridSpan w:val="2"/>
            <w:tcBorders>
              <w:top w:val="nil"/>
              <w:left w:val="nil"/>
              <w:bottom w:val="single" w:sz="4" w:space="0" w:color="auto"/>
              <w:right w:val="single" w:sz="4" w:space="0" w:color="000000"/>
            </w:tcBorders>
            <w:shd w:val="clear" w:color="auto" w:fill="auto"/>
            <w:noWrap/>
            <w:vAlign w:val="center"/>
            <w:hideMark/>
          </w:tcPr>
          <w:p w14:paraId="78B2EA18" w14:textId="2BA3DD0C" w:rsidR="008A1E1F" w:rsidRPr="00E84358" w:rsidRDefault="00D6303C" w:rsidP="00E84358">
            <w:pPr>
              <w:pStyle w:val="Odstavecseseznamem"/>
              <w:numPr>
                <w:ilvl w:val="0"/>
                <w:numId w:val="46"/>
              </w:numPr>
              <w:spacing w:after="0" w:line="240" w:lineRule="auto"/>
              <w:rPr>
                <w:rFonts w:ascii="Calibri" w:eastAsia="Times New Roman" w:hAnsi="Calibri" w:cs="Calibri"/>
                <w:color w:val="000000"/>
                <w:sz w:val="20"/>
                <w:szCs w:val="20"/>
                <w:lang w:eastAsia="cs-CZ"/>
              </w:rPr>
            </w:pPr>
            <w:r w:rsidRPr="00E84358">
              <w:rPr>
                <w:rFonts w:ascii="Calibri" w:eastAsia="Wingdings" w:hAnsi="Calibri" w:cs="Wingdings"/>
                <w:color w:val="000000"/>
                <w:sz w:val="20"/>
                <w:szCs w:val="20"/>
                <w:lang w:eastAsia="cs-CZ"/>
              </w:rPr>
              <w:t>náklady odpadového hospodářství.</w:t>
            </w:r>
          </w:p>
        </w:tc>
        <w:tc>
          <w:tcPr>
            <w:tcW w:w="1073" w:type="dxa"/>
            <w:vMerge/>
            <w:tcBorders>
              <w:top w:val="nil"/>
              <w:left w:val="single" w:sz="4" w:space="0" w:color="auto"/>
              <w:bottom w:val="single" w:sz="4" w:space="0" w:color="000000"/>
              <w:right w:val="single" w:sz="4" w:space="0" w:color="auto"/>
            </w:tcBorders>
            <w:vAlign w:val="center"/>
            <w:hideMark/>
          </w:tcPr>
          <w:p w14:paraId="02CB992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2D833F8A"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348E5EA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nil"/>
              <w:left w:val="nil"/>
              <w:bottom w:val="single" w:sz="4" w:space="0" w:color="auto"/>
              <w:right w:val="single" w:sz="4" w:space="0" w:color="000000"/>
            </w:tcBorders>
            <w:shd w:val="clear" w:color="000000" w:fill="E7E6E6"/>
            <w:vAlign w:val="bottom"/>
            <w:hideMark/>
          </w:tcPr>
          <w:p w14:paraId="54D29E3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3.4 Měření spotřeb / energetický management</w:t>
            </w:r>
          </w:p>
        </w:tc>
        <w:tc>
          <w:tcPr>
            <w:tcW w:w="1073" w:type="dxa"/>
            <w:tcBorders>
              <w:top w:val="single" w:sz="4" w:space="0" w:color="000000"/>
              <w:left w:val="nil"/>
              <w:bottom w:val="nil"/>
              <w:right w:val="single" w:sz="4" w:space="0" w:color="auto"/>
            </w:tcBorders>
            <w:shd w:val="clear" w:color="000000" w:fill="E7E6E6"/>
            <w:vAlign w:val="bottom"/>
            <w:hideMark/>
          </w:tcPr>
          <w:p w14:paraId="2F0D5504"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712BAD5A" w14:textId="77777777" w:rsidTr="00E84358">
        <w:trPr>
          <w:trHeight w:val="569"/>
        </w:trPr>
        <w:tc>
          <w:tcPr>
            <w:tcW w:w="204" w:type="dxa"/>
            <w:tcBorders>
              <w:top w:val="nil"/>
              <w:left w:val="single" w:sz="4" w:space="0" w:color="auto"/>
              <w:bottom w:val="single" w:sz="4" w:space="0" w:color="auto"/>
              <w:right w:val="nil"/>
            </w:tcBorders>
            <w:shd w:val="clear" w:color="auto" w:fill="auto"/>
            <w:vAlign w:val="bottom"/>
            <w:hideMark/>
          </w:tcPr>
          <w:p w14:paraId="1F2956B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0FF1870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257" w:type="dxa"/>
            <w:gridSpan w:val="2"/>
            <w:tcBorders>
              <w:top w:val="single" w:sz="4" w:space="0" w:color="auto"/>
              <w:left w:val="nil"/>
              <w:bottom w:val="single" w:sz="4" w:space="0" w:color="auto"/>
              <w:right w:val="single" w:sz="4" w:space="0" w:color="000000"/>
            </w:tcBorders>
            <w:shd w:val="clear" w:color="auto" w:fill="auto"/>
            <w:vAlign w:val="center"/>
            <w:hideMark/>
          </w:tcPr>
          <w:p w14:paraId="3FD6B0E6" w14:textId="698D95EC"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V případě centrálního systému vytápění/chlazení bude u každé jednotky měřena spotřeba tepla/chladu v </w:t>
            </w:r>
            <w:r w:rsidR="00E84358" w:rsidRPr="008A1E1F">
              <w:rPr>
                <w:rFonts w:ascii="Calibri" w:eastAsia="Times New Roman" w:hAnsi="Calibri" w:cs="Calibri"/>
                <w:color w:val="000000"/>
                <w:sz w:val="20"/>
                <w:szCs w:val="20"/>
                <w:lang w:eastAsia="cs-CZ"/>
              </w:rPr>
              <w:t>1hodinovém</w:t>
            </w:r>
            <w:r w:rsidRPr="008A1E1F">
              <w:rPr>
                <w:rFonts w:ascii="Calibri" w:eastAsia="Times New Roman" w:hAnsi="Calibri" w:cs="Calibri"/>
                <w:color w:val="000000"/>
                <w:sz w:val="20"/>
                <w:szCs w:val="20"/>
                <w:lang w:eastAsia="cs-CZ"/>
              </w:rPr>
              <w:t xml:space="preserve"> kroku a data budou centrálně ukládána.</w:t>
            </w:r>
          </w:p>
        </w:tc>
        <w:tc>
          <w:tcPr>
            <w:tcW w:w="1073" w:type="dxa"/>
            <w:tcBorders>
              <w:top w:val="nil"/>
              <w:left w:val="nil"/>
              <w:bottom w:val="single" w:sz="4" w:space="0" w:color="auto"/>
              <w:right w:val="single" w:sz="4" w:space="0" w:color="auto"/>
            </w:tcBorders>
            <w:shd w:val="clear" w:color="auto" w:fill="auto"/>
            <w:vAlign w:val="bottom"/>
            <w:hideMark/>
          </w:tcPr>
          <w:p w14:paraId="2A4D43B8"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r w:rsidR="008A1E1F" w:rsidRPr="008A1E1F" w14:paraId="1FDAA64F" w14:textId="77777777" w:rsidTr="008A1E1F">
        <w:trPr>
          <w:trHeight w:val="120"/>
        </w:trPr>
        <w:tc>
          <w:tcPr>
            <w:tcW w:w="204" w:type="dxa"/>
            <w:tcBorders>
              <w:top w:val="nil"/>
              <w:left w:val="single" w:sz="4" w:space="0" w:color="auto"/>
              <w:bottom w:val="single" w:sz="4" w:space="0" w:color="auto"/>
              <w:right w:val="nil"/>
            </w:tcBorders>
            <w:shd w:val="clear" w:color="auto" w:fill="auto"/>
            <w:vAlign w:val="bottom"/>
            <w:hideMark/>
          </w:tcPr>
          <w:p w14:paraId="33A648C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lastRenderedPageBreak/>
              <w:t> </w:t>
            </w:r>
          </w:p>
        </w:tc>
        <w:tc>
          <w:tcPr>
            <w:tcW w:w="242" w:type="dxa"/>
            <w:tcBorders>
              <w:top w:val="nil"/>
              <w:left w:val="nil"/>
              <w:bottom w:val="single" w:sz="4" w:space="0" w:color="auto"/>
              <w:right w:val="nil"/>
            </w:tcBorders>
            <w:shd w:val="clear" w:color="auto" w:fill="auto"/>
            <w:vAlign w:val="bottom"/>
          </w:tcPr>
          <w:p w14:paraId="0D4320DD" w14:textId="256C8FF3"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nil"/>
            </w:tcBorders>
            <w:shd w:val="clear" w:color="auto" w:fill="auto"/>
            <w:vAlign w:val="bottom"/>
          </w:tcPr>
          <w:p w14:paraId="63506998" w14:textId="0AD195CD"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2773" w:type="dxa"/>
            <w:tcBorders>
              <w:top w:val="nil"/>
              <w:left w:val="nil"/>
              <w:bottom w:val="single" w:sz="4" w:space="0" w:color="auto"/>
              <w:right w:val="nil"/>
            </w:tcBorders>
            <w:shd w:val="clear" w:color="auto" w:fill="auto"/>
            <w:vAlign w:val="bottom"/>
            <w:hideMark/>
          </w:tcPr>
          <w:p w14:paraId="1EEFC59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nil"/>
              <w:left w:val="nil"/>
              <w:bottom w:val="single" w:sz="4" w:space="0" w:color="auto"/>
              <w:right w:val="single" w:sz="4" w:space="0" w:color="auto"/>
            </w:tcBorders>
            <w:shd w:val="clear" w:color="auto" w:fill="auto"/>
            <w:vAlign w:val="bottom"/>
            <w:hideMark/>
          </w:tcPr>
          <w:p w14:paraId="6F7CBFE5"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7CC45EFC" w14:textId="77777777" w:rsidTr="008A1E1F">
        <w:trPr>
          <w:trHeight w:val="300"/>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222AF0C1"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xml:space="preserve">4. Lokalita, doprava, v tom: </w:t>
            </w:r>
          </w:p>
        </w:tc>
        <w:tc>
          <w:tcPr>
            <w:tcW w:w="2773" w:type="dxa"/>
            <w:tcBorders>
              <w:top w:val="nil"/>
              <w:left w:val="nil"/>
              <w:bottom w:val="single" w:sz="4" w:space="0" w:color="auto"/>
              <w:right w:val="nil"/>
            </w:tcBorders>
            <w:shd w:val="clear" w:color="000000" w:fill="D0CECE"/>
            <w:vAlign w:val="bottom"/>
            <w:hideMark/>
          </w:tcPr>
          <w:p w14:paraId="6462DD99"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nil"/>
              <w:left w:val="nil"/>
              <w:bottom w:val="single" w:sz="4" w:space="0" w:color="auto"/>
              <w:right w:val="single" w:sz="4" w:space="0" w:color="auto"/>
            </w:tcBorders>
            <w:shd w:val="clear" w:color="000000" w:fill="D0CECE"/>
            <w:vAlign w:val="bottom"/>
            <w:hideMark/>
          </w:tcPr>
          <w:p w14:paraId="3FDC2D58"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4</w:t>
            </w:r>
          </w:p>
        </w:tc>
      </w:tr>
      <w:tr w:rsidR="008A1E1F" w:rsidRPr="008A1E1F" w14:paraId="4605C4C4"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147CD77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1462DC0E" w14:textId="36F9B3BD"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4.1 </w:t>
            </w:r>
            <w:r w:rsidR="00435D22">
              <w:rPr>
                <w:rFonts w:ascii="Calibri" w:eastAsia="Times New Roman" w:hAnsi="Calibri" w:cs="Calibri"/>
                <w:color w:val="000000"/>
                <w:sz w:val="20"/>
                <w:szCs w:val="20"/>
                <w:lang w:eastAsia="cs-CZ"/>
              </w:rPr>
              <w:t>D</w:t>
            </w:r>
            <w:r w:rsidRPr="008A1E1F">
              <w:rPr>
                <w:rFonts w:ascii="Calibri" w:eastAsia="Times New Roman" w:hAnsi="Calibri" w:cs="Calibri"/>
                <w:color w:val="000000"/>
                <w:sz w:val="20"/>
                <w:szCs w:val="20"/>
                <w:lang w:eastAsia="cs-CZ"/>
              </w:rPr>
              <w:t>ostupnost základní a mateřské školy</w:t>
            </w:r>
          </w:p>
        </w:tc>
        <w:tc>
          <w:tcPr>
            <w:tcW w:w="1073" w:type="dxa"/>
            <w:tcBorders>
              <w:top w:val="nil"/>
              <w:left w:val="nil"/>
              <w:bottom w:val="nil"/>
              <w:right w:val="single" w:sz="4" w:space="0" w:color="auto"/>
            </w:tcBorders>
            <w:shd w:val="clear" w:color="000000" w:fill="E7E6E6"/>
            <w:vAlign w:val="bottom"/>
            <w:hideMark/>
          </w:tcPr>
          <w:p w14:paraId="2FA0C72D"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60047939"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665A6E9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left w:val="nil"/>
              <w:bottom w:val="nil"/>
              <w:right w:val="nil"/>
            </w:tcBorders>
            <w:shd w:val="clear" w:color="auto" w:fill="auto"/>
            <w:vAlign w:val="center"/>
            <w:hideMark/>
          </w:tcPr>
          <w:p w14:paraId="36526DF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nil"/>
              <w:right w:val="nil"/>
            </w:tcBorders>
            <w:shd w:val="clear" w:color="auto" w:fill="auto"/>
            <w:noWrap/>
            <w:vAlign w:val="bottom"/>
            <w:hideMark/>
          </w:tcPr>
          <w:p w14:paraId="1350F938" w14:textId="7ADD4787"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D</w:t>
            </w:r>
            <w:r w:rsidR="008A1E1F" w:rsidRPr="008A1E1F">
              <w:rPr>
                <w:rFonts w:ascii="Calibri" w:eastAsia="Times New Roman" w:hAnsi="Calibri" w:cs="Calibri"/>
                <w:color w:val="000000"/>
                <w:sz w:val="20"/>
                <w:szCs w:val="20"/>
                <w:lang w:eastAsia="cs-CZ"/>
              </w:rPr>
              <w:t xml:space="preserve">o 1 km docházkové vzdálenosti nebo </w:t>
            </w:r>
            <w:r w:rsidR="00EA6A76">
              <w:rPr>
                <w:rFonts w:ascii="Calibri" w:eastAsia="Times New Roman" w:hAnsi="Calibri" w:cs="Calibri"/>
                <w:color w:val="000000"/>
                <w:sz w:val="20"/>
                <w:szCs w:val="20"/>
                <w:lang w:eastAsia="cs-CZ"/>
              </w:rPr>
              <w:t xml:space="preserve">do </w:t>
            </w:r>
            <w:r w:rsidR="008A1E1F" w:rsidRPr="008A1E1F">
              <w:rPr>
                <w:rFonts w:ascii="Calibri" w:eastAsia="Times New Roman" w:hAnsi="Calibri" w:cs="Calibri"/>
                <w:color w:val="000000"/>
                <w:sz w:val="20"/>
                <w:szCs w:val="20"/>
                <w:lang w:eastAsia="cs-CZ"/>
              </w:rPr>
              <w:t xml:space="preserve">30 minut veřejnou </w:t>
            </w:r>
            <w:r w:rsidR="00EA6A76">
              <w:rPr>
                <w:rFonts w:ascii="Calibri" w:eastAsia="Times New Roman" w:hAnsi="Calibri" w:cs="Calibri"/>
                <w:color w:val="000000"/>
                <w:sz w:val="20"/>
                <w:szCs w:val="20"/>
                <w:lang w:eastAsia="cs-CZ"/>
              </w:rPr>
              <w:t>d</w:t>
            </w:r>
            <w:r w:rsidR="008A1E1F" w:rsidRPr="008A1E1F">
              <w:rPr>
                <w:rFonts w:ascii="Calibri" w:eastAsia="Times New Roman" w:hAnsi="Calibri" w:cs="Calibri"/>
                <w:color w:val="000000"/>
                <w:sz w:val="20"/>
                <w:szCs w:val="20"/>
                <w:lang w:eastAsia="cs-CZ"/>
              </w:rPr>
              <w:t>opravou</w:t>
            </w:r>
          </w:p>
        </w:tc>
        <w:tc>
          <w:tcPr>
            <w:tcW w:w="2773" w:type="dxa"/>
            <w:tcBorders>
              <w:top w:val="single" w:sz="4" w:space="0" w:color="auto"/>
              <w:left w:val="nil"/>
              <w:bottom w:val="nil"/>
              <w:right w:val="single" w:sz="4" w:space="0" w:color="auto"/>
            </w:tcBorders>
            <w:shd w:val="clear" w:color="auto" w:fill="auto"/>
            <w:vAlign w:val="center"/>
            <w:hideMark/>
          </w:tcPr>
          <w:p w14:paraId="2475891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nil"/>
              <w:left w:val="nil"/>
              <w:bottom w:val="single" w:sz="4" w:space="0" w:color="000000"/>
              <w:right w:val="single" w:sz="4" w:space="0" w:color="auto"/>
            </w:tcBorders>
            <w:shd w:val="clear" w:color="auto" w:fill="auto"/>
            <w:vAlign w:val="center"/>
            <w:hideMark/>
          </w:tcPr>
          <w:p w14:paraId="4C186C6D"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tc>
      </w:tr>
      <w:tr w:rsidR="008A1E1F" w:rsidRPr="008A1E1F" w14:paraId="34C4E108"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26AB619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17CAB3B2" w14:textId="4CD9B8F6"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4.2 Dostupnost veřejné </w:t>
            </w:r>
            <w:r w:rsidR="00435D22" w:rsidRPr="008A1E1F">
              <w:rPr>
                <w:rFonts w:ascii="Calibri" w:eastAsia="Times New Roman" w:hAnsi="Calibri" w:cs="Calibri"/>
                <w:color w:val="000000"/>
                <w:sz w:val="20"/>
                <w:szCs w:val="20"/>
                <w:lang w:eastAsia="cs-CZ"/>
              </w:rPr>
              <w:t>dopravy – zastávka</w:t>
            </w:r>
            <w:r w:rsidRPr="008A1E1F">
              <w:rPr>
                <w:rFonts w:ascii="Calibri" w:eastAsia="Times New Roman" w:hAnsi="Calibri" w:cs="Calibri"/>
                <w:color w:val="000000"/>
                <w:sz w:val="20"/>
                <w:szCs w:val="20"/>
                <w:lang w:eastAsia="cs-CZ"/>
              </w:rPr>
              <w:t xml:space="preserve"> autobusu/tram/trolejbus </w:t>
            </w:r>
            <w:r w:rsidR="00862214">
              <w:rPr>
                <w:rFonts w:ascii="Calibri" w:eastAsia="Times New Roman" w:hAnsi="Calibri" w:cs="Calibri"/>
                <w:color w:val="000000"/>
                <w:sz w:val="20"/>
                <w:szCs w:val="20"/>
                <w:lang w:eastAsia="cs-CZ"/>
              </w:rPr>
              <w:t>NEBO</w:t>
            </w:r>
            <w:r w:rsidRPr="008A1E1F">
              <w:rPr>
                <w:rFonts w:ascii="Calibri" w:eastAsia="Times New Roman" w:hAnsi="Calibri" w:cs="Calibri"/>
                <w:color w:val="000000"/>
                <w:sz w:val="20"/>
                <w:szCs w:val="20"/>
                <w:lang w:eastAsia="cs-CZ"/>
              </w:rPr>
              <w:t xml:space="preserve"> vlak/metro</w:t>
            </w:r>
          </w:p>
        </w:tc>
        <w:tc>
          <w:tcPr>
            <w:tcW w:w="1073" w:type="dxa"/>
            <w:tcBorders>
              <w:top w:val="single" w:sz="4" w:space="0" w:color="000000"/>
              <w:left w:val="nil"/>
              <w:bottom w:val="nil"/>
              <w:right w:val="single" w:sz="4" w:space="0" w:color="auto"/>
            </w:tcBorders>
            <w:shd w:val="clear" w:color="000000" w:fill="E7E6E6"/>
            <w:vAlign w:val="bottom"/>
            <w:hideMark/>
          </w:tcPr>
          <w:p w14:paraId="565C7A18" w14:textId="0A81DB7A"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0622ABBC" w14:textId="77777777" w:rsidTr="00862214">
        <w:trPr>
          <w:trHeight w:val="344"/>
        </w:trPr>
        <w:tc>
          <w:tcPr>
            <w:tcW w:w="204" w:type="dxa"/>
            <w:tcBorders>
              <w:top w:val="nil"/>
              <w:left w:val="single" w:sz="4" w:space="0" w:color="auto"/>
              <w:bottom w:val="nil"/>
            </w:tcBorders>
            <w:shd w:val="clear" w:color="auto" w:fill="auto"/>
            <w:vAlign w:val="bottom"/>
            <w:hideMark/>
          </w:tcPr>
          <w:p w14:paraId="7FF9C27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bottom w:val="nil"/>
            </w:tcBorders>
            <w:shd w:val="clear" w:color="auto" w:fill="auto"/>
            <w:vAlign w:val="center"/>
          </w:tcPr>
          <w:p w14:paraId="2BA6A29B" w14:textId="5E3B6F3A"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8257" w:type="dxa"/>
            <w:gridSpan w:val="2"/>
            <w:tcBorders>
              <w:top w:val="nil"/>
              <w:left w:val="nil"/>
              <w:bottom w:val="single" w:sz="4" w:space="0" w:color="auto"/>
              <w:right w:val="single" w:sz="4" w:space="0" w:color="auto"/>
            </w:tcBorders>
            <w:shd w:val="clear" w:color="auto" w:fill="auto"/>
            <w:noWrap/>
            <w:vAlign w:val="bottom"/>
            <w:hideMark/>
          </w:tcPr>
          <w:p w14:paraId="32B8D785" w14:textId="5CD33EA7"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Z</w:t>
            </w:r>
            <w:r w:rsidR="008A1E1F" w:rsidRPr="008A1E1F">
              <w:rPr>
                <w:rFonts w:ascii="Calibri" w:eastAsia="Times New Roman" w:hAnsi="Calibri" w:cs="Calibri"/>
                <w:color w:val="000000"/>
                <w:sz w:val="20"/>
                <w:szCs w:val="20"/>
                <w:lang w:eastAsia="cs-CZ"/>
              </w:rPr>
              <w:t xml:space="preserve">astávka autobus/ tram/trolejbus: </w:t>
            </w:r>
            <w:r w:rsidR="00EA6A76">
              <w:rPr>
                <w:rFonts w:ascii="Calibri" w:eastAsia="Times New Roman" w:hAnsi="Calibri" w:cs="Calibri"/>
                <w:color w:val="000000"/>
                <w:sz w:val="20"/>
                <w:szCs w:val="20"/>
                <w:lang w:eastAsia="cs-CZ"/>
              </w:rPr>
              <w:t xml:space="preserve">do </w:t>
            </w:r>
            <w:r w:rsidR="008A1E1F" w:rsidRPr="008A1E1F">
              <w:rPr>
                <w:rFonts w:ascii="Calibri" w:eastAsia="Times New Roman" w:hAnsi="Calibri" w:cs="Calibri"/>
                <w:color w:val="000000"/>
                <w:sz w:val="20"/>
                <w:szCs w:val="20"/>
                <w:lang w:eastAsia="cs-CZ"/>
              </w:rPr>
              <w:t>400 m docházkov</w:t>
            </w:r>
            <w:r w:rsidR="00EA6A76">
              <w:rPr>
                <w:rFonts w:ascii="Calibri" w:eastAsia="Times New Roman" w:hAnsi="Calibri" w:cs="Calibri"/>
                <w:color w:val="000000"/>
                <w:sz w:val="20"/>
                <w:szCs w:val="20"/>
                <w:lang w:eastAsia="cs-CZ"/>
              </w:rPr>
              <w:t>é</w:t>
            </w:r>
            <w:r w:rsidR="008A1E1F" w:rsidRPr="008A1E1F">
              <w:rPr>
                <w:rFonts w:ascii="Calibri" w:eastAsia="Times New Roman" w:hAnsi="Calibri" w:cs="Calibri"/>
                <w:color w:val="000000"/>
                <w:sz w:val="20"/>
                <w:szCs w:val="20"/>
                <w:lang w:eastAsia="cs-CZ"/>
              </w:rPr>
              <w:t xml:space="preserve"> vzdálenost</w:t>
            </w:r>
            <w:r w:rsidR="00EA6A76">
              <w:rPr>
                <w:rFonts w:ascii="Calibri" w:eastAsia="Times New Roman" w:hAnsi="Calibri" w:cs="Calibri"/>
                <w:color w:val="000000"/>
                <w:sz w:val="20"/>
                <w:szCs w:val="20"/>
                <w:lang w:eastAsia="cs-CZ"/>
              </w:rPr>
              <w:t>i</w:t>
            </w:r>
          </w:p>
        </w:tc>
        <w:tc>
          <w:tcPr>
            <w:tcW w:w="1073" w:type="dxa"/>
            <w:vMerge w:val="restart"/>
            <w:tcBorders>
              <w:top w:val="nil"/>
              <w:left w:val="single" w:sz="4" w:space="0" w:color="auto"/>
              <w:bottom w:val="nil"/>
              <w:right w:val="single" w:sz="4" w:space="0" w:color="auto"/>
            </w:tcBorders>
            <w:shd w:val="clear" w:color="auto" w:fill="auto"/>
            <w:vAlign w:val="center"/>
            <w:hideMark/>
          </w:tcPr>
          <w:p w14:paraId="7830E088"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tc>
      </w:tr>
      <w:tr w:rsidR="008A1E1F" w:rsidRPr="008A1E1F" w14:paraId="53E666B1" w14:textId="77777777" w:rsidTr="006B629C">
        <w:trPr>
          <w:trHeight w:val="300"/>
        </w:trPr>
        <w:tc>
          <w:tcPr>
            <w:tcW w:w="204" w:type="dxa"/>
            <w:tcBorders>
              <w:top w:val="nil"/>
              <w:left w:val="single" w:sz="4" w:space="0" w:color="auto"/>
              <w:bottom w:val="nil"/>
            </w:tcBorders>
            <w:shd w:val="clear" w:color="auto" w:fill="auto"/>
            <w:vAlign w:val="bottom"/>
            <w:hideMark/>
          </w:tcPr>
          <w:p w14:paraId="7B22F52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bottom w:val="single" w:sz="4" w:space="0" w:color="auto"/>
            </w:tcBorders>
            <w:shd w:val="clear" w:color="auto" w:fill="auto"/>
            <w:vAlign w:val="center"/>
          </w:tcPr>
          <w:p w14:paraId="0724D429" w14:textId="2C59C25B"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nil"/>
              <w:right w:val="nil"/>
            </w:tcBorders>
            <w:shd w:val="clear" w:color="auto" w:fill="auto"/>
            <w:noWrap/>
            <w:vAlign w:val="bottom"/>
            <w:hideMark/>
          </w:tcPr>
          <w:p w14:paraId="2AEBD27B" w14:textId="7E986ACB"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Z</w:t>
            </w:r>
            <w:r w:rsidR="008A1E1F" w:rsidRPr="008A1E1F">
              <w:rPr>
                <w:rFonts w:ascii="Calibri" w:eastAsia="Times New Roman" w:hAnsi="Calibri" w:cs="Calibri"/>
                <w:color w:val="000000"/>
                <w:sz w:val="20"/>
                <w:szCs w:val="20"/>
                <w:lang w:eastAsia="cs-CZ"/>
              </w:rPr>
              <w:t xml:space="preserve">astávka vlak/metro: </w:t>
            </w:r>
            <w:r w:rsidR="00EA6A76">
              <w:rPr>
                <w:rFonts w:ascii="Calibri" w:eastAsia="Times New Roman" w:hAnsi="Calibri" w:cs="Calibri"/>
                <w:color w:val="000000"/>
                <w:sz w:val="20"/>
                <w:szCs w:val="20"/>
                <w:lang w:eastAsia="cs-CZ"/>
              </w:rPr>
              <w:t xml:space="preserve">do </w:t>
            </w:r>
            <w:r w:rsidR="008A1E1F" w:rsidRPr="008A1E1F">
              <w:rPr>
                <w:rFonts w:ascii="Calibri" w:eastAsia="Times New Roman" w:hAnsi="Calibri" w:cs="Calibri"/>
                <w:color w:val="000000"/>
                <w:sz w:val="20"/>
                <w:szCs w:val="20"/>
                <w:lang w:eastAsia="cs-CZ"/>
              </w:rPr>
              <w:t>1 km docházkové vzdálenosti</w:t>
            </w:r>
          </w:p>
        </w:tc>
        <w:tc>
          <w:tcPr>
            <w:tcW w:w="2773" w:type="dxa"/>
            <w:tcBorders>
              <w:left w:val="nil"/>
              <w:bottom w:val="nil"/>
              <w:right w:val="single" w:sz="4" w:space="0" w:color="auto"/>
            </w:tcBorders>
            <w:shd w:val="clear" w:color="auto" w:fill="auto"/>
            <w:vAlign w:val="center"/>
            <w:hideMark/>
          </w:tcPr>
          <w:p w14:paraId="33F68B4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vMerge/>
            <w:tcBorders>
              <w:top w:val="nil"/>
              <w:left w:val="single" w:sz="4" w:space="0" w:color="auto"/>
              <w:bottom w:val="single" w:sz="4" w:space="0" w:color="000000"/>
              <w:right w:val="single" w:sz="4" w:space="0" w:color="auto"/>
            </w:tcBorders>
            <w:vAlign w:val="center"/>
            <w:hideMark/>
          </w:tcPr>
          <w:p w14:paraId="14491CE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5AB56859" w14:textId="77777777" w:rsidTr="006B629C">
        <w:trPr>
          <w:trHeight w:val="300"/>
        </w:trPr>
        <w:tc>
          <w:tcPr>
            <w:tcW w:w="204" w:type="dxa"/>
            <w:tcBorders>
              <w:top w:val="nil"/>
              <w:left w:val="single" w:sz="4" w:space="0" w:color="auto"/>
              <w:bottom w:val="nil"/>
              <w:right w:val="nil"/>
            </w:tcBorders>
            <w:shd w:val="clear" w:color="auto" w:fill="auto"/>
            <w:vAlign w:val="bottom"/>
            <w:hideMark/>
          </w:tcPr>
          <w:p w14:paraId="48FE648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62643D4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4.3 Šetrné formy dopravy</w:t>
            </w:r>
          </w:p>
        </w:tc>
        <w:tc>
          <w:tcPr>
            <w:tcW w:w="1073" w:type="dxa"/>
            <w:tcBorders>
              <w:top w:val="single" w:sz="4" w:space="0" w:color="000000"/>
              <w:left w:val="nil"/>
              <w:bottom w:val="nil"/>
              <w:right w:val="single" w:sz="4" w:space="0" w:color="auto"/>
            </w:tcBorders>
            <w:shd w:val="clear" w:color="000000" w:fill="E7E6E6"/>
            <w:vAlign w:val="bottom"/>
            <w:hideMark/>
          </w:tcPr>
          <w:p w14:paraId="3A90A923"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56FDDFCE"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7C7106D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1720E85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647CF623" w14:textId="4B41A5A6"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w:t>
            </w:r>
            <w:r w:rsidR="008A1E1F" w:rsidRPr="008A1E1F">
              <w:rPr>
                <w:rFonts w:ascii="Calibri" w:eastAsia="Times New Roman" w:hAnsi="Calibri" w:cs="Calibri"/>
                <w:color w:val="000000"/>
                <w:sz w:val="20"/>
                <w:szCs w:val="20"/>
                <w:lang w:eastAsia="cs-CZ"/>
              </w:rPr>
              <w:t>klepní kóje pro umístění kol, min. 2 m² na byt;</w:t>
            </w:r>
          </w:p>
        </w:tc>
        <w:tc>
          <w:tcPr>
            <w:tcW w:w="2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FB9BF2" w14:textId="0F973A99" w:rsidR="008A1E1F" w:rsidRPr="008A1E1F" w:rsidRDefault="006776B1" w:rsidP="006776B1">
            <w:pPr>
              <w:spacing w:after="0" w:line="240" w:lineRule="auto"/>
              <w:rPr>
                <w:rFonts w:ascii="Calibri" w:eastAsia="Times New Roman" w:hAnsi="Calibri" w:cs="Calibri"/>
                <w:color w:val="000000"/>
                <w:sz w:val="20"/>
                <w:szCs w:val="20"/>
                <w:lang w:eastAsia="cs-CZ"/>
              </w:rPr>
            </w:pPr>
            <w:r>
              <w:rPr>
                <w:rFonts w:ascii="Calibri" w:eastAsia="Times New Roman" w:hAnsi="Calibri" w:cstheme="minorHAnsi"/>
                <w:color w:val="000000"/>
                <w:sz w:val="20"/>
                <w:szCs w:val="20"/>
                <w:lang w:eastAsia="cs-CZ"/>
              </w:rPr>
              <w:t>M</w:t>
            </w:r>
            <w:r w:rsidR="008A1E1F" w:rsidRPr="008A1E1F">
              <w:rPr>
                <w:rFonts w:ascii="Calibri" w:eastAsia="Times New Roman" w:hAnsi="Calibri" w:cstheme="minorHAnsi"/>
                <w:color w:val="000000"/>
                <w:sz w:val="20"/>
                <w:szCs w:val="20"/>
                <w:lang w:eastAsia="cs-CZ"/>
              </w:rPr>
              <w:t xml:space="preserve">ax. 2 body při splnění 2 </w:t>
            </w:r>
            <w:r w:rsidR="00E84358" w:rsidRPr="008A1E1F">
              <w:rPr>
                <w:rFonts w:ascii="Calibri" w:eastAsia="Times New Roman" w:hAnsi="Calibri" w:cstheme="minorHAnsi"/>
                <w:color w:val="000000"/>
                <w:sz w:val="20"/>
                <w:szCs w:val="20"/>
                <w:lang w:eastAsia="cs-CZ"/>
              </w:rPr>
              <w:t>z uvedených</w:t>
            </w:r>
            <w:r w:rsidR="008A1E1F" w:rsidRPr="008A1E1F">
              <w:rPr>
                <w:rFonts w:ascii="Calibri" w:eastAsia="Times New Roman" w:hAnsi="Calibri" w:cstheme="minorHAnsi"/>
                <w:color w:val="000000"/>
                <w:sz w:val="20"/>
                <w:szCs w:val="20"/>
                <w:lang w:eastAsia="cs-CZ"/>
              </w:rPr>
              <w:t xml:space="preserve"> charakteristik</w:t>
            </w:r>
          </w:p>
        </w:tc>
        <w:tc>
          <w:tcPr>
            <w:tcW w:w="1073" w:type="dxa"/>
            <w:vMerge w:val="restart"/>
            <w:tcBorders>
              <w:top w:val="nil"/>
              <w:left w:val="single" w:sz="4" w:space="0" w:color="auto"/>
              <w:bottom w:val="single" w:sz="4" w:space="0" w:color="000000"/>
              <w:right w:val="single" w:sz="4" w:space="0" w:color="auto"/>
            </w:tcBorders>
            <w:shd w:val="clear" w:color="auto" w:fill="auto"/>
            <w:vAlign w:val="center"/>
            <w:hideMark/>
          </w:tcPr>
          <w:p w14:paraId="579A56B9"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r w:rsidR="008A1E1F" w:rsidRPr="008A1E1F" w14:paraId="46AA10D8" w14:textId="77777777" w:rsidTr="00781E3D">
        <w:trPr>
          <w:trHeight w:val="435"/>
        </w:trPr>
        <w:tc>
          <w:tcPr>
            <w:tcW w:w="204" w:type="dxa"/>
            <w:tcBorders>
              <w:top w:val="nil"/>
              <w:left w:val="single" w:sz="4" w:space="0" w:color="auto"/>
              <w:bottom w:val="nil"/>
              <w:right w:val="nil"/>
            </w:tcBorders>
            <w:shd w:val="clear" w:color="auto" w:fill="auto"/>
            <w:vAlign w:val="bottom"/>
            <w:hideMark/>
          </w:tcPr>
          <w:p w14:paraId="647FD18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left w:val="nil"/>
              <w:bottom w:val="nil"/>
              <w:right w:val="nil"/>
            </w:tcBorders>
            <w:shd w:val="clear" w:color="auto" w:fill="auto"/>
            <w:vAlign w:val="center"/>
            <w:hideMark/>
          </w:tcPr>
          <w:p w14:paraId="169707C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bottom"/>
            <w:hideMark/>
          </w:tcPr>
          <w:p w14:paraId="3B1168C8" w14:textId="002E67FF"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O</w:t>
            </w:r>
            <w:r w:rsidR="008A1E1F" w:rsidRPr="008A1E1F">
              <w:rPr>
                <w:rFonts w:ascii="Calibri" w:eastAsia="Times New Roman" w:hAnsi="Calibri" w:cs="Calibri"/>
                <w:color w:val="000000"/>
                <w:sz w:val="20"/>
                <w:szCs w:val="20"/>
                <w:lang w:eastAsia="cs-CZ"/>
              </w:rPr>
              <w:t>dstavná stání na kola v blízkosti vstupního prostoru domu s možností dobíjení, 2 stání na byt, min. polovina míst;</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25ED893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24B4C9A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5E27BAFF" w14:textId="77777777" w:rsidTr="00781E3D">
        <w:trPr>
          <w:trHeight w:val="499"/>
        </w:trPr>
        <w:tc>
          <w:tcPr>
            <w:tcW w:w="204" w:type="dxa"/>
            <w:tcBorders>
              <w:top w:val="nil"/>
              <w:left w:val="single" w:sz="4" w:space="0" w:color="auto"/>
              <w:bottom w:val="nil"/>
              <w:right w:val="nil"/>
            </w:tcBorders>
            <w:shd w:val="clear" w:color="auto" w:fill="auto"/>
            <w:vAlign w:val="bottom"/>
            <w:hideMark/>
          </w:tcPr>
          <w:p w14:paraId="0555193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2CB6332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bottom"/>
            <w:hideMark/>
          </w:tcPr>
          <w:p w14:paraId="64D4E130" w14:textId="4A83A2A1"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G</w:t>
            </w:r>
            <w:r w:rsidR="008A1E1F" w:rsidRPr="008A1E1F">
              <w:rPr>
                <w:rFonts w:ascii="Calibri" w:eastAsia="Times New Roman" w:hAnsi="Calibri" w:cs="Calibri"/>
                <w:color w:val="000000"/>
                <w:sz w:val="20"/>
                <w:szCs w:val="20"/>
                <w:lang w:eastAsia="cs-CZ"/>
              </w:rPr>
              <w:t xml:space="preserve">arážová stání, </w:t>
            </w:r>
            <w:r w:rsidR="00781E3D" w:rsidRPr="008A1E1F">
              <w:rPr>
                <w:rFonts w:ascii="Calibri" w:eastAsia="Times New Roman" w:hAnsi="Calibri" w:cs="Calibri"/>
                <w:color w:val="000000"/>
                <w:sz w:val="20"/>
                <w:szCs w:val="20"/>
                <w:lang w:eastAsia="cs-CZ"/>
              </w:rPr>
              <w:t>s instalací</w:t>
            </w:r>
            <w:r w:rsidR="008A1E1F" w:rsidRPr="008A1E1F">
              <w:rPr>
                <w:rFonts w:ascii="Calibri" w:eastAsia="Times New Roman" w:hAnsi="Calibri" w:cs="Calibri"/>
                <w:color w:val="000000"/>
                <w:sz w:val="20"/>
                <w:szCs w:val="20"/>
                <w:lang w:eastAsia="cs-CZ"/>
              </w:rPr>
              <w:t xml:space="preserve"> dobíjení elektromobilů (min. 5 % stání, minimálně 1 stání);</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55CFEAF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2476019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00663D7A" w14:textId="77777777" w:rsidTr="008A1E1F">
        <w:trPr>
          <w:trHeight w:val="525"/>
        </w:trPr>
        <w:tc>
          <w:tcPr>
            <w:tcW w:w="204" w:type="dxa"/>
            <w:tcBorders>
              <w:top w:val="nil"/>
              <w:left w:val="single" w:sz="4" w:space="0" w:color="auto"/>
              <w:bottom w:val="single" w:sz="4" w:space="0" w:color="auto"/>
              <w:right w:val="nil"/>
            </w:tcBorders>
            <w:shd w:val="clear" w:color="auto" w:fill="auto"/>
            <w:vAlign w:val="bottom"/>
            <w:hideMark/>
          </w:tcPr>
          <w:p w14:paraId="353DAAD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19D0E58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bottom"/>
            <w:hideMark/>
          </w:tcPr>
          <w:p w14:paraId="7E01846A" w14:textId="70EA1B93"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I</w:t>
            </w:r>
            <w:r w:rsidR="008A1E1F" w:rsidRPr="008A1E1F">
              <w:rPr>
                <w:rFonts w:ascii="Calibri" w:eastAsia="Times New Roman" w:hAnsi="Calibri" w:cs="Calibri"/>
                <w:color w:val="000000"/>
                <w:sz w:val="20"/>
                <w:szCs w:val="20"/>
                <w:lang w:eastAsia="cs-CZ"/>
              </w:rPr>
              <w:t>nstalace dobíjecích stanic pro odstavná parkovací stání (doprava v klidu)</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1B41CEB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46A343A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194A7787" w14:textId="77777777" w:rsidTr="008A1E1F">
        <w:trPr>
          <w:trHeight w:val="120"/>
        </w:trPr>
        <w:tc>
          <w:tcPr>
            <w:tcW w:w="204" w:type="dxa"/>
            <w:tcBorders>
              <w:top w:val="nil"/>
              <w:left w:val="single" w:sz="4" w:space="0" w:color="auto"/>
              <w:bottom w:val="single" w:sz="4" w:space="0" w:color="auto"/>
              <w:right w:val="nil"/>
            </w:tcBorders>
            <w:shd w:val="clear" w:color="auto" w:fill="auto"/>
            <w:vAlign w:val="bottom"/>
            <w:hideMark/>
          </w:tcPr>
          <w:p w14:paraId="6D51177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tcPr>
          <w:p w14:paraId="5AFDCECD" w14:textId="7F6C2A4A"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nil"/>
            </w:tcBorders>
            <w:shd w:val="clear" w:color="auto" w:fill="auto"/>
            <w:vAlign w:val="bottom"/>
          </w:tcPr>
          <w:p w14:paraId="55F37AE5" w14:textId="50DB12C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2773" w:type="dxa"/>
            <w:tcBorders>
              <w:top w:val="nil"/>
              <w:left w:val="nil"/>
              <w:bottom w:val="single" w:sz="4" w:space="0" w:color="auto"/>
              <w:right w:val="nil"/>
            </w:tcBorders>
            <w:shd w:val="clear" w:color="auto" w:fill="auto"/>
            <w:vAlign w:val="bottom"/>
            <w:hideMark/>
          </w:tcPr>
          <w:p w14:paraId="78BE76A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nil"/>
              <w:left w:val="nil"/>
              <w:bottom w:val="single" w:sz="4" w:space="0" w:color="auto"/>
              <w:right w:val="single" w:sz="4" w:space="0" w:color="auto"/>
            </w:tcBorders>
            <w:shd w:val="clear" w:color="auto" w:fill="auto"/>
            <w:vAlign w:val="bottom"/>
            <w:hideMark/>
          </w:tcPr>
          <w:p w14:paraId="3DDB1892"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39E8C86B" w14:textId="77777777" w:rsidTr="008A1E1F">
        <w:trPr>
          <w:trHeight w:val="300"/>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58D82B64"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xml:space="preserve">5. Materiály, v tom: </w:t>
            </w:r>
          </w:p>
        </w:tc>
        <w:tc>
          <w:tcPr>
            <w:tcW w:w="2773" w:type="dxa"/>
            <w:tcBorders>
              <w:top w:val="nil"/>
              <w:left w:val="nil"/>
              <w:bottom w:val="single" w:sz="4" w:space="0" w:color="auto"/>
              <w:right w:val="nil"/>
            </w:tcBorders>
            <w:shd w:val="clear" w:color="000000" w:fill="D0CECE"/>
            <w:vAlign w:val="bottom"/>
            <w:hideMark/>
          </w:tcPr>
          <w:p w14:paraId="780581C1"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nil"/>
              <w:left w:val="nil"/>
              <w:bottom w:val="single" w:sz="4" w:space="0" w:color="auto"/>
              <w:right w:val="single" w:sz="4" w:space="0" w:color="auto"/>
            </w:tcBorders>
            <w:shd w:val="clear" w:color="000000" w:fill="D0CECE"/>
            <w:vAlign w:val="bottom"/>
            <w:hideMark/>
          </w:tcPr>
          <w:p w14:paraId="064FAE92"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1</w:t>
            </w:r>
          </w:p>
        </w:tc>
      </w:tr>
      <w:tr w:rsidR="008A1E1F" w:rsidRPr="008A1E1F" w14:paraId="49C53222" w14:textId="77777777" w:rsidTr="008A1E1F">
        <w:trPr>
          <w:trHeight w:val="960"/>
        </w:trPr>
        <w:tc>
          <w:tcPr>
            <w:tcW w:w="204" w:type="dxa"/>
            <w:tcBorders>
              <w:top w:val="nil"/>
              <w:left w:val="single" w:sz="4" w:space="0" w:color="auto"/>
              <w:bottom w:val="nil"/>
              <w:right w:val="nil"/>
            </w:tcBorders>
            <w:shd w:val="clear" w:color="auto" w:fill="auto"/>
            <w:vAlign w:val="bottom"/>
            <w:hideMark/>
          </w:tcPr>
          <w:p w14:paraId="325D7F3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47E76D93" w14:textId="0C999B8F"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5.1 Bude rozpracován požadavek na využití materiálů použitých na výstavbu/stavební úpravy. Hodnocení povede k motivaci používat recyklované a recyklovatelné materiály s nízkou environmentální stopou</w:t>
            </w:r>
            <w:r w:rsidR="00D6303C">
              <w:rPr>
                <w:rStyle w:val="Znakapoznpodarou"/>
                <w:rFonts w:ascii="Calibri" w:eastAsia="Times New Roman" w:hAnsi="Calibri" w:cs="Calibri"/>
                <w:color w:val="000000"/>
                <w:sz w:val="20"/>
                <w:szCs w:val="20"/>
                <w:lang w:eastAsia="cs-CZ"/>
              </w:rPr>
              <w:footnoteReference w:id="23"/>
            </w:r>
            <w:r w:rsidRPr="008A1E1F">
              <w:rPr>
                <w:rFonts w:ascii="Calibri" w:eastAsia="Times New Roman" w:hAnsi="Calibri" w:cs="Calibri"/>
                <w:color w:val="000000"/>
                <w:sz w:val="20"/>
                <w:szCs w:val="20"/>
                <w:lang w:eastAsia="cs-CZ"/>
              </w:rPr>
              <w:t>.</w:t>
            </w:r>
          </w:p>
        </w:tc>
        <w:tc>
          <w:tcPr>
            <w:tcW w:w="1073" w:type="dxa"/>
            <w:tcBorders>
              <w:top w:val="nil"/>
              <w:left w:val="nil"/>
              <w:bottom w:val="nil"/>
              <w:right w:val="single" w:sz="4" w:space="0" w:color="auto"/>
            </w:tcBorders>
            <w:shd w:val="clear" w:color="000000" w:fill="E7E6E6"/>
            <w:vAlign w:val="bottom"/>
            <w:hideMark/>
          </w:tcPr>
          <w:p w14:paraId="14638A81"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3BA939D1" w14:textId="77777777" w:rsidTr="008A1E1F">
        <w:trPr>
          <w:trHeight w:val="585"/>
        </w:trPr>
        <w:tc>
          <w:tcPr>
            <w:tcW w:w="204" w:type="dxa"/>
            <w:tcBorders>
              <w:top w:val="nil"/>
              <w:left w:val="single" w:sz="4" w:space="0" w:color="auto"/>
              <w:bottom w:val="single" w:sz="4" w:space="0" w:color="auto"/>
              <w:right w:val="nil"/>
            </w:tcBorders>
            <w:shd w:val="clear" w:color="auto" w:fill="auto"/>
            <w:vAlign w:val="bottom"/>
            <w:hideMark/>
          </w:tcPr>
          <w:p w14:paraId="2D210FD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left w:val="nil"/>
              <w:bottom w:val="single" w:sz="4" w:space="0" w:color="auto"/>
              <w:right w:val="nil"/>
            </w:tcBorders>
            <w:shd w:val="clear" w:color="auto" w:fill="auto"/>
            <w:vAlign w:val="center"/>
            <w:hideMark/>
          </w:tcPr>
          <w:p w14:paraId="68690AC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257" w:type="dxa"/>
            <w:gridSpan w:val="2"/>
            <w:tcBorders>
              <w:top w:val="single" w:sz="4" w:space="0" w:color="auto"/>
              <w:left w:val="nil"/>
              <w:bottom w:val="single" w:sz="4" w:space="0" w:color="auto"/>
              <w:right w:val="single" w:sz="4" w:space="0" w:color="000000"/>
            </w:tcBorders>
            <w:shd w:val="clear" w:color="auto" w:fill="auto"/>
            <w:vAlign w:val="bottom"/>
            <w:hideMark/>
          </w:tcPr>
          <w:p w14:paraId="20D09C64" w14:textId="4620E93F"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Prokázání bude provedeno výpočtem podílu obnovitelných (</w:t>
            </w:r>
            <w:proofErr w:type="spellStart"/>
            <w:r w:rsidRPr="008A1E1F">
              <w:rPr>
                <w:rFonts w:ascii="Calibri" w:eastAsia="Times New Roman" w:hAnsi="Calibri" w:cs="Calibri"/>
                <w:color w:val="000000"/>
                <w:sz w:val="20"/>
                <w:szCs w:val="20"/>
                <w:lang w:eastAsia="cs-CZ"/>
              </w:rPr>
              <w:t>mo</w:t>
            </w:r>
            <w:proofErr w:type="spellEnd"/>
            <w:r w:rsidRPr="008A1E1F">
              <w:rPr>
                <w:rFonts w:ascii="Calibri" w:eastAsia="Times New Roman" w:hAnsi="Calibri" w:cs="Calibri"/>
                <w:color w:val="000000"/>
                <w:sz w:val="20"/>
                <w:szCs w:val="20"/>
                <w:lang w:eastAsia="cs-CZ"/>
              </w:rPr>
              <w:t>) a recyklovaných (</w:t>
            </w:r>
            <w:proofErr w:type="spellStart"/>
            <w:r w:rsidRPr="008A1E1F">
              <w:rPr>
                <w:rFonts w:ascii="Calibri" w:eastAsia="Times New Roman" w:hAnsi="Calibri" w:cs="Calibri"/>
                <w:color w:val="000000"/>
                <w:sz w:val="20"/>
                <w:szCs w:val="20"/>
                <w:lang w:eastAsia="cs-CZ"/>
              </w:rPr>
              <w:t>mr</w:t>
            </w:r>
            <w:proofErr w:type="spellEnd"/>
            <w:r w:rsidRPr="008A1E1F">
              <w:rPr>
                <w:rFonts w:ascii="Calibri" w:eastAsia="Times New Roman" w:hAnsi="Calibri" w:cs="Calibri"/>
                <w:color w:val="000000"/>
                <w:sz w:val="20"/>
                <w:szCs w:val="20"/>
                <w:lang w:eastAsia="cs-CZ"/>
              </w:rPr>
              <w:t xml:space="preserve">) materiálů na celkové </w:t>
            </w:r>
            <w:r w:rsidR="00E84358" w:rsidRPr="008A1E1F">
              <w:rPr>
                <w:rFonts w:ascii="Calibri" w:eastAsia="Times New Roman" w:hAnsi="Calibri" w:cs="Calibri"/>
                <w:color w:val="000000"/>
                <w:sz w:val="20"/>
                <w:szCs w:val="20"/>
                <w:lang w:eastAsia="cs-CZ"/>
              </w:rPr>
              <w:t>hmotnosti</w:t>
            </w:r>
            <w:r w:rsidRPr="008A1E1F">
              <w:rPr>
                <w:rFonts w:ascii="Calibri" w:eastAsia="Times New Roman" w:hAnsi="Calibri" w:cs="Calibri"/>
                <w:color w:val="000000"/>
                <w:sz w:val="20"/>
                <w:szCs w:val="20"/>
                <w:lang w:eastAsia="cs-CZ"/>
              </w:rPr>
              <w:t xml:space="preserve"> stavby (m)</w:t>
            </w:r>
            <w:r w:rsidR="00D6303C">
              <w:rPr>
                <w:rStyle w:val="Znakapoznpodarou"/>
                <w:rFonts w:ascii="Calibri" w:eastAsia="Times New Roman" w:hAnsi="Calibri" w:cs="Calibri"/>
                <w:color w:val="000000"/>
                <w:sz w:val="20"/>
                <w:szCs w:val="20"/>
                <w:lang w:eastAsia="cs-CZ"/>
              </w:rPr>
              <w:footnoteReference w:id="24"/>
            </w:r>
            <w:r w:rsidRPr="008A1E1F">
              <w:rPr>
                <w:rFonts w:ascii="Calibri" w:eastAsia="Times New Roman" w:hAnsi="Calibri" w:cs="Calibri"/>
                <w:color w:val="000000"/>
                <w:sz w:val="20"/>
                <w:szCs w:val="20"/>
                <w:lang w:eastAsia="cs-CZ"/>
              </w:rPr>
              <w:t>. (</w:t>
            </w:r>
            <w:proofErr w:type="spellStart"/>
            <w:r w:rsidRPr="008A1E1F">
              <w:rPr>
                <w:rFonts w:ascii="Calibri" w:eastAsia="Times New Roman" w:hAnsi="Calibri" w:cs="Calibri"/>
                <w:color w:val="000000"/>
                <w:sz w:val="20"/>
                <w:szCs w:val="20"/>
                <w:lang w:eastAsia="cs-CZ"/>
              </w:rPr>
              <w:t>mo+</w:t>
            </w:r>
            <w:proofErr w:type="gramStart"/>
            <w:r w:rsidRPr="008A1E1F">
              <w:rPr>
                <w:rFonts w:ascii="Calibri" w:eastAsia="Times New Roman" w:hAnsi="Calibri" w:cs="Calibri"/>
                <w:color w:val="000000"/>
                <w:sz w:val="20"/>
                <w:szCs w:val="20"/>
                <w:lang w:eastAsia="cs-CZ"/>
              </w:rPr>
              <w:t>mr</w:t>
            </w:r>
            <w:proofErr w:type="spellEnd"/>
            <w:r w:rsidRPr="008A1E1F">
              <w:rPr>
                <w:rFonts w:ascii="Calibri" w:eastAsia="Times New Roman" w:hAnsi="Calibri" w:cs="Calibri"/>
                <w:color w:val="000000"/>
                <w:sz w:val="20"/>
                <w:szCs w:val="20"/>
                <w:lang w:eastAsia="cs-CZ"/>
              </w:rPr>
              <w:t>)/</w:t>
            </w:r>
            <w:proofErr w:type="gramEnd"/>
            <w:r w:rsidRPr="008A1E1F">
              <w:rPr>
                <w:rFonts w:ascii="Calibri" w:eastAsia="Times New Roman" w:hAnsi="Calibri" w:cs="Calibri"/>
                <w:color w:val="000000"/>
                <w:sz w:val="20"/>
                <w:szCs w:val="20"/>
                <w:lang w:eastAsia="cs-CZ"/>
              </w:rPr>
              <w:t>m &gt; 20%.</w:t>
            </w:r>
          </w:p>
        </w:tc>
        <w:tc>
          <w:tcPr>
            <w:tcW w:w="1073" w:type="dxa"/>
            <w:tcBorders>
              <w:top w:val="nil"/>
              <w:left w:val="nil"/>
              <w:bottom w:val="single" w:sz="4" w:space="0" w:color="auto"/>
              <w:right w:val="single" w:sz="4" w:space="0" w:color="auto"/>
            </w:tcBorders>
            <w:shd w:val="clear" w:color="auto" w:fill="auto"/>
            <w:vAlign w:val="center"/>
            <w:hideMark/>
          </w:tcPr>
          <w:p w14:paraId="7E0C5F19"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tc>
      </w:tr>
      <w:tr w:rsidR="008A1E1F" w:rsidRPr="008A1E1F" w14:paraId="5DC685BB" w14:textId="77777777" w:rsidTr="00781E3D">
        <w:trPr>
          <w:trHeight w:val="70"/>
        </w:trPr>
        <w:tc>
          <w:tcPr>
            <w:tcW w:w="204" w:type="dxa"/>
            <w:tcBorders>
              <w:top w:val="nil"/>
              <w:left w:val="single" w:sz="4" w:space="0" w:color="auto"/>
              <w:bottom w:val="single" w:sz="4" w:space="0" w:color="auto"/>
              <w:right w:val="nil"/>
            </w:tcBorders>
            <w:shd w:val="clear" w:color="auto" w:fill="auto"/>
            <w:vAlign w:val="bottom"/>
            <w:hideMark/>
          </w:tcPr>
          <w:p w14:paraId="661BEAF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tcPr>
          <w:p w14:paraId="58117F49" w14:textId="0DA7EEA9"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nil"/>
            </w:tcBorders>
            <w:shd w:val="clear" w:color="auto" w:fill="auto"/>
            <w:vAlign w:val="bottom"/>
          </w:tcPr>
          <w:p w14:paraId="324CFBE5" w14:textId="687939B6"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2773" w:type="dxa"/>
            <w:tcBorders>
              <w:top w:val="nil"/>
              <w:left w:val="nil"/>
              <w:bottom w:val="single" w:sz="4" w:space="0" w:color="auto"/>
              <w:right w:val="nil"/>
            </w:tcBorders>
            <w:shd w:val="clear" w:color="auto" w:fill="auto"/>
            <w:vAlign w:val="bottom"/>
            <w:hideMark/>
          </w:tcPr>
          <w:p w14:paraId="4E685B0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1073" w:type="dxa"/>
            <w:tcBorders>
              <w:top w:val="nil"/>
              <w:left w:val="nil"/>
              <w:bottom w:val="single" w:sz="4" w:space="0" w:color="auto"/>
              <w:right w:val="single" w:sz="4" w:space="0" w:color="auto"/>
            </w:tcBorders>
            <w:shd w:val="clear" w:color="auto" w:fill="auto"/>
            <w:vAlign w:val="bottom"/>
            <w:hideMark/>
          </w:tcPr>
          <w:p w14:paraId="147814E6"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0360151D" w14:textId="77777777" w:rsidTr="008A1E1F">
        <w:trPr>
          <w:trHeight w:val="300"/>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24055065"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xml:space="preserve">6. Kvalita vnitřního prostředí, v tom: </w:t>
            </w:r>
          </w:p>
        </w:tc>
        <w:tc>
          <w:tcPr>
            <w:tcW w:w="2773" w:type="dxa"/>
            <w:tcBorders>
              <w:top w:val="nil"/>
              <w:left w:val="nil"/>
              <w:bottom w:val="single" w:sz="4" w:space="0" w:color="auto"/>
              <w:right w:val="nil"/>
            </w:tcBorders>
            <w:shd w:val="clear" w:color="000000" w:fill="D0CECE"/>
            <w:vAlign w:val="bottom"/>
            <w:hideMark/>
          </w:tcPr>
          <w:p w14:paraId="7AE9F706"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nil"/>
              <w:left w:val="nil"/>
              <w:bottom w:val="single" w:sz="4" w:space="0" w:color="auto"/>
              <w:right w:val="single" w:sz="4" w:space="0" w:color="auto"/>
            </w:tcBorders>
            <w:shd w:val="clear" w:color="000000" w:fill="D0CECE"/>
            <w:vAlign w:val="bottom"/>
            <w:hideMark/>
          </w:tcPr>
          <w:p w14:paraId="7CB69431"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8</w:t>
            </w:r>
          </w:p>
        </w:tc>
      </w:tr>
      <w:tr w:rsidR="008A1E1F" w:rsidRPr="008A1E1F" w14:paraId="472E7CC5"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1816B00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396B189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6.1 Odvětrávání vnitřního prostředí</w:t>
            </w:r>
          </w:p>
        </w:tc>
        <w:tc>
          <w:tcPr>
            <w:tcW w:w="1073" w:type="dxa"/>
            <w:tcBorders>
              <w:top w:val="nil"/>
              <w:left w:val="nil"/>
              <w:bottom w:val="nil"/>
              <w:right w:val="single" w:sz="4" w:space="0" w:color="auto"/>
            </w:tcBorders>
            <w:shd w:val="clear" w:color="000000" w:fill="E7E6E6"/>
            <w:vAlign w:val="bottom"/>
            <w:hideMark/>
          </w:tcPr>
          <w:p w14:paraId="5C9B26DB"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4CECD3EB" w14:textId="77777777" w:rsidTr="008A1E1F">
        <w:trPr>
          <w:trHeight w:val="525"/>
        </w:trPr>
        <w:tc>
          <w:tcPr>
            <w:tcW w:w="204" w:type="dxa"/>
            <w:tcBorders>
              <w:top w:val="nil"/>
              <w:left w:val="single" w:sz="4" w:space="0" w:color="auto"/>
              <w:bottom w:val="nil"/>
              <w:right w:val="nil"/>
            </w:tcBorders>
            <w:shd w:val="clear" w:color="auto" w:fill="auto"/>
            <w:vAlign w:val="bottom"/>
            <w:hideMark/>
          </w:tcPr>
          <w:p w14:paraId="5D7569E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7C6CC90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746963B7" w14:textId="543695EE"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Použití </w:t>
            </w:r>
            <w:r w:rsidR="00781E3D" w:rsidRPr="008A1E1F">
              <w:rPr>
                <w:rFonts w:ascii="Calibri" w:eastAsia="Times New Roman" w:hAnsi="Calibri" w:cs="Calibri"/>
                <w:color w:val="000000"/>
                <w:sz w:val="20"/>
                <w:szCs w:val="20"/>
                <w:lang w:eastAsia="cs-CZ"/>
              </w:rPr>
              <w:t>filtrů – systémy</w:t>
            </w:r>
            <w:r w:rsidRPr="008A1E1F">
              <w:rPr>
                <w:rFonts w:ascii="Calibri" w:eastAsia="Times New Roman" w:hAnsi="Calibri" w:cs="Calibri"/>
                <w:color w:val="000000"/>
                <w:sz w:val="20"/>
                <w:szCs w:val="20"/>
                <w:lang w:eastAsia="cs-CZ"/>
              </w:rPr>
              <w:t xml:space="preserve"> podporující větrání mají instalovány filtry F7;</w:t>
            </w:r>
          </w:p>
        </w:tc>
        <w:tc>
          <w:tcPr>
            <w:tcW w:w="2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2350A8" w14:textId="6C832074" w:rsidR="008A1E1F" w:rsidRPr="008A1E1F" w:rsidRDefault="006776B1" w:rsidP="006776B1">
            <w:pPr>
              <w:spacing w:after="0" w:line="240" w:lineRule="auto"/>
              <w:rPr>
                <w:rFonts w:ascii="Calibri" w:eastAsia="Times New Roman" w:hAnsi="Calibri" w:cs="Calibri"/>
                <w:color w:val="000000"/>
                <w:sz w:val="20"/>
                <w:szCs w:val="20"/>
                <w:lang w:eastAsia="cs-CZ"/>
              </w:rPr>
            </w:pPr>
            <w:r>
              <w:rPr>
                <w:rFonts w:ascii="Calibri" w:eastAsia="Times New Roman" w:hAnsi="Calibri" w:cstheme="minorHAnsi"/>
                <w:color w:val="000000"/>
                <w:sz w:val="20"/>
                <w:szCs w:val="20"/>
                <w:lang w:eastAsia="cs-CZ"/>
              </w:rPr>
              <w:t>M</w:t>
            </w:r>
            <w:r w:rsidR="008A1E1F" w:rsidRPr="008A1E1F">
              <w:rPr>
                <w:rFonts w:ascii="Calibri" w:eastAsia="Times New Roman" w:hAnsi="Calibri" w:cstheme="minorHAnsi"/>
                <w:color w:val="000000"/>
                <w:sz w:val="20"/>
                <w:szCs w:val="20"/>
                <w:lang w:eastAsia="cs-CZ"/>
              </w:rPr>
              <w:t>ax. 2 body při splnění 2 z uvedených charakteristik</w:t>
            </w:r>
          </w:p>
        </w:tc>
        <w:tc>
          <w:tcPr>
            <w:tcW w:w="1073" w:type="dxa"/>
            <w:vMerge w:val="restart"/>
            <w:tcBorders>
              <w:top w:val="nil"/>
              <w:left w:val="single" w:sz="4" w:space="0" w:color="auto"/>
              <w:bottom w:val="single" w:sz="4" w:space="0" w:color="000000"/>
              <w:right w:val="single" w:sz="4" w:space="0" w:color="auto"/>
            </w:tcBorders>
            <w:shd w:val="clear" w:color="auto" w:fill="auto"/>
            <w:vAlign w:val="center"/>
            <w:hideMark/>
          </w:tcPr>
          <w:p w14:paraId="07D9E32C"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r w:rsidR="008A1E1F" w:rsidRPr="008A1E1F" w14:paraId="2222C9C2" w14:textId="77777777" w:rsidTr="00781E3D">
        <w:trPr>
          <w:trHeight w:val="607"/>
        </w:trPr>
        <w:tc>
          <w:tcPr>
            <w:tcW w:w="204" w:type="dxa"/>
            <w:tcBorders>
              <w:top w:val="nil"/>
              <w:left w:val="single" w:sz="4" w:space="0" w:color="auto"/>
              <w:bottom w:val="nil"/>
              <w:right w:val="nil"/>
            </w:tcBorders>
            <w:shd w:val="clear" w:color="auto" w:fill="auto"/>
            <w:vAlign w:val="bottom"/>
            <w:hideMark/>
          </w:tcPr>
          <w:p w14:paraId="348ABC6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left w:val="nil"/>
              <w:bottom w:val="nil"/>
              <w:right w:val="nil"/>
            </w:tcBorders>
            <w:shd w:val="clear" w:color="auto" w:fill="auto"/>
            <w:vAlign w:val="center"/>
            <w:hideMark/>
          </w:tcPr>
          <w:p w14:paraId="496ABA0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bottom"/>
            <w:hideMark/>
          </w:tcPr>
          <w:p w14:paraId="1E703727" w14:textId="0074A0EE"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w:t>
            </w:r>
            <w:r w:rsidR="008A1E1F" w:rsidRPr="008A1E1F">
              <w:rPr>
                <w:rFonts w:ascii="Calibri" w:eastAsia="Times New Roman" w:hAnsi="Calibri" w:cs="Calibri"/>
                <w:color w:val="000000"/>
                <w:sz w:val="20"/>
                <w:szCs w:val="20"/>
                <w:lang w:eastAsia="cs-CZ"/>
              </w:rPr>
              <w:t xml:space="preserve"> doložením nárazové větrání Kuchyně, koupelna, WC, koupelna s WC (min.100, 50, 25, 70 m³/h);</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5200900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7AA1897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328064BD" w14:textId="77777777" w:rsidTr="008A1E1F">
        <w:trPr>
          <w:trHeight w:val="525"/>
        </w:trPr>
        <w:tc>
          <w:tcPr>
            <w:tcW w:w="204" w:type="dxa"/>
            <w:tcBorders>
              <w:top w:val="nil"/>
              <w:left w:val="single" w:sz="4" w:space="0" w:color="auto"/>
              <w:bottom w:val="nil"/>
              <w:right w:val="nil"/>
            </w:tcBorders>
            <w:shd w:val="clear" w:color="auto" w:fill="auto"/>
            <w:vAlign w:val="bottom"/>
            <w:hideMark/>
          </w:tcPr>
          <w:p w14:paraId="2BA2EE5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249D874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bottom"/>
            <w:hideMark/>
          </w:tcPr>
          <w:p w14:paraId="4A5B46D8" w14:textId="7D8A65A5"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R</w:t>
            </w:r>
            <w:r w:rsidR="008A1E1F" w:rsidRPr="008A1E1F">
              <w:rPr>
                <w:rFonts w:ascii="Calibri" w:eastAsia="Times New Roman" w:hAnsi="Calibri" w:cs="Calibri"/>
                <w:color w:val="000000"/>
                <w:sz w:val="20"/>
                <w:szCs w:val="20"/>
                <w:lang w:eastAsia="cs-CZ"/>
              </w:rPr>
              <w:t>egulace systému větrání –jakýkoli systém regulace (ne nepřetržitý provoz);</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2AB9B21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30F1421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02FFEECE" w14:textId="77777777" w:rsidTr="008A1E1F">
        <w:trPr>
          <w:trHeight w:val="525"/>
        </w:trPr>
        <w:tc>
          <w:tcPr>
            <w:tcW w:w="204" w:type="dxa"/>
            <w:tcBorders>
              <w:top w:val="nil"/>
              <w:left w:val="single" w:sz="4" w:space="0" w:color="auto"/>
              <w:bottom w:val="single" w:sz="4" w:space="0" w:color="auto"/>
              <w:right w:val="nil"/>
            </w:tcBorders>
            <w:shd w:val="clear" w:color="auto" w:fill="auto"/>
            <w:vAlign w:val="bottom"/>
            <w:hideMark/>
          </w:tcPr>
          <w:p w14:paraId="02A562F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1DD2F32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bottom"/>
            <w:hideMark/>
          </w:tcPr>
          <w:p w14:paraId="40C5F875" w14:textId="29067E74"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Ú</w:t>
            </w:r>
            <w:r w:rsidR="008A1E1F" w:rsidRPr="008A1E1F">
              <w:rPr>
                <w:rFonts w:ascii="Calibri" w:eastAsia="Times New Roman" w:hAnsi="Calibri" w:cs="Calibri"/>
                <w:color w:val="000000"/>
                <w:sz w:val="20"/>
                <w:szCs w:val="20"/>
                <w:lang w:eastAsia="cs-CZ"/>
              </w:rPr>
              <w:t>držba systému větrání – podle návrhu projektanta a s doklady o údržbě;</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05D9653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000CB81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0DF3F9E4"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2F79062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50ED6824" w14:textId="1A68D2E2" w:rsidR="008A1E1F" w:rsidRPr="008A1E1F" w:rsidRDefault="00D6303C"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6.2 Akustický</w:t>
            </w:r>
            <w:r w:rsidR="008A1E1F" w:rsidRPr="008A1E1F">
              <w:rPr>
                <w:rFonts w:ascii="Calibri" w:eastAsia="Times New Roman" w:hAnsi="Calibri" w:cs="Calibri"/>
                <w:color w:val="000000"/>
                <w:sz w:val="20"/>
                <w:szCs w:val="20"/>
                <w:lang w:eastAsia="cs-CZ"/>
              </w:rPr>
              <w:t xml:space="preserve"> komfort</w:t>
            </w:r>
          </w:p>
        </w:tc>
        <w:tc>
          <w:tcPr>
            <w:tcW w:w="1073" w:type="dxa"/>
            <w:tcBorders>
              <w:top w:val="nil"/>
              <w:left w:val="nil"/>
              <w:bottom w:val="nil"/>
              <w:right w:val="single" w:sz="4" w:space="0" w:color="auto"/>
            </w:tcBorders>
            <w:shd w:val="clear" w:color="000000" w:fill="E7E6E6"/>
            <w:vAlign w:val="bottom"/>
            <w:hideMark/>
          </w:tcPr>
          <w:p w14:paraId="3EC10545"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360F6760" w14:textId="77777777" w:rsidTr="00E84358">
        <w:trPr>
          <w:trHeight w:val="921"/>
        </w:trPr>
        <w:tc>
          <w:tcPr>
            <w:tcW w:w="204" w:type="dxa"/>
            <w:tcBorders>
              <w:top w:val="nil"/>
              <w:left w:val="single" w:sz="4" w:space="0" w:color="auto"/>
              <w:bottom w:val="nil"/>
              <w:right w:val="nil"/>
            </w:tcBorders>
            <w:shd w:val="clear" w:color="auto" w:fill="auto"/>
            <w:vAlign w:val="bottom"/>
            <w:hideMark/>
          </w:tcPr>
          <w:p w14:paraId="63C660CA"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4C7C11B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4EC0FF6F" w14:textId="0D3E9112"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K</w:t>
            </w:r>
            <w:r w:rsidR="008A1E1F" w:rsidRPr="008A1E1F">
              <w:rPr>
                <w:rFonts w:ascii="Calibri" w:eastAsia="Times New Roman" w:hAnsi="Calibri" w:cs="Calibri"/>
                <w:color w:val="000000"/>
                <w:sz w:val="20"/>
                <w:szCs w:val="20"/>
                <w:lang w:eastAsia="cs-CZ"/>
              </w:rPr>
              <w:t>onstrukce splní požadavky splnění s rezervou do 3 dB (u dveří s rezervou 1 dB) oproti požadavkům normy ČSN 73 0532 v </w:t>
            </w:r>
            <w:proofErr w:type="spellStart"/>
            <w:r w:rsidR="008A1E1F" w:rsidRPr="008A1E1F">
              <w:rPr>
                <w:rFonts w:ascii="Calibri" w:eastAsia="Times New Roman" w:hAnsi="Calibri" w:cs="Calibri"/>
                <w:color w:val="000000"/>
                <w:sz w:val="20"/>
                <w:szCs w:val="20"/>
                <w:lang w:eastAsia="cs-CZ"/>
              </w:rPr>
              <w:t>obl</w:t>
            </w:r>
            <w:proofErr w:type="spellEnd"/>
            <w:r w:rsidR="008A1E1F" w:rsidRPr="008A1E1F">
              <w:rPr>
                <w:rFonts w:ascii="Calibri" w:eastAsia="Times New Roman" w:hAnsi="Calibri" w:cs="Calibri"/>
                <w:color w:val="000000"/>
                <w:sz w:val="20"/>
                <w:szCs w:val="20"/>
                <w:lang w:eastAsia="cs-CZ"/>
              </w:rPr>
              <w:t>. vzduchové neprůzvučnosti a kročejového hluku. Bude prokázáno akustickou studií</w:t>
            </w:r>
          </w:p>
        </w:tc>
        <w:tc>
          <w:tcPr>
            <w:tcW w:w="2773" w:type="dxa"/>
            <w:tcBorders>
              <w:top w:val="single" w:sz="4" w:space="0" w:color="auto"/>
              <w:left w:val="nil"/>
              <w:bottom w:val="nil"/>
              <w:right w:val="single" w:sz="4" w:space="0" w:color="auto"/>
            </w:tcBorders>
            <w:shd w:val="clear" w:color="auto" w:fill="auto"/>
            <w:vAlign w:val="center"/>
            <w:hideMark/>
          </w:tcPr>
          <w:p w14:paraId="5D14309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Lze udělit 0 v případě nesplnění nebo 1 bod v případě splnění</w:t>
            </w:r>
          </w:p>
        </w:tc>
        <w:tc>
          <w:tcPr>
            <w:tcW w:w="1073" w:type="dxa"/>
            <w:tcBorders>
              <w:top w:val="nil"/>
              <w:left w:val="nil"/>
              <w:bottom w:val="nil"/>
              <w:right w:val="single" w:sz="4" w:space="0" w:color="auto"/>
            </w:tcBorders>
            <w:shd w:val="clear" w:color="auto" w:fill="auto"/>
            <w:vAlign w:val="center"/>
            <w:hideMark/>
          </w:tcPr>
          <w:p w14:paraId="6A9A21CB"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tc>
      </w:tr>
      <w:tr w:rsidR="008A1E1F" w:rsidRPr="008A1E1F" w14:paraId="4AD11756"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07FDA6A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28EFAAF7" w14:textId="33491EBA"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6.3 Bezbariérovost stavby</w:t>
            </w:r>
          </w:p>
        </w:tc>
        <w:tc>
          <w:tcPr>
            <w:tcW w:w="1073" w:type="dxa"/>
            <w:tcBorders>
              <w:top w:val="single" w:sz="4" w:space="0" w:color="auto"/>
              <w:left w:val="nil"/>
              <w:bottom w:val="nil"/>
              <w:right w:val="single" w:sz="4" w:space="0" w:color="auto"/>
            </w:tcBorders>
            <w:shd w:val="clear" w:color="000000" w:fill="E7E6E6"/>
            <w:vAlign w:val="bottom"/>
            <w:hideMark/>
          </w:tcPr>
          <w:p w14:paraId="0D7E8C17"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77A5B25F" w14:textId="77777777" w:rsidTr="00781E3D">
        <w:trPr>
          <w:trHeight w:val="437"/>
        </w:trPr>
        <w:tc>
          <w:tcPr>
            <w:tcW w:w="204" w:type="dxa"/>
            <w:tcBorders>
              <w:top w:val="nil"/>
              <w:left w:val="single" w:sz="4" w:space="0" w:color="auto"/>
              <w:bottom w:val="nil"/>
              <w:right w:val="nil"/>
            </w:tcBorders>
            <w:shd w:val="clear" w:color="auto" w:fill="auto"/>
            <w:vAlign w:val="bottom"/>
            <w:hideMark/>
          </w:tcPr>
          <w:p w14:paraId="527914EF"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lastRenderedPageBreak/>
              <w:t> </w:t>
            </w:r>
          </w:p>
        </w:tc>
        <w:tc>
          <w:tcPr>
            <w:tcW w:w="242" w:type="dxa"/>
            <w:tcBorders>
              <w:top w:val="nil"/>
              <w:left w:val="nil"/>
              <w:bottom w:val="nil"/>
              <w:right w:val="nil"/>
            </w:tcBorders>
            <w:shd w:val="clear" w:color="auto" w:fill="auto"/>
            <w:vAlign w:val="bottom"/>
            <w:hideMark/>
          </w:tcPr>
          <w:p w14:paraId="0A24F4BC"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46CD96F4" w14:textId="426EF37B" w:rsidR="008A1E1F" w:rsidRPr="008A1E1F" w:rsidRDefault="008A1E1F" w:rsidP="008A1E1F">
            <w:pPr>
              <w:spacing w:after="0" w:line="240" w:lineRule="auto"/>
              <w:rPr>
                <w:rFonts w:ascii="Calibri" w:eastAsia="Times New Roman" w:hAnsi="Calibri" w:cs="Calibri"/>
                <w:i/>
                <w:iCs/>
                <w:color w:val="000000"/>
                <w:sz w:val="20"/>
                <w:szCs w:val="20"/>
                <w:lang w:eastAsia="cs-CZ"/>
              </w:rPr>
            </w:pPr>
            <w:r w:rsidRPr="008A1E1F">
              <w:rPr>
                <w:rFonts w:ascii="Calibri" w:eastAsia="Times New Roman" w:hAnsi="Calibri" w:cs="Calibri"/>
                <w:i/>
                <w:iCs/>
                <w:color w:val="000000"/>
                <w:sz w:val="20"/>
                <w:szCs w:val="20"/>
                <w:lang w:eastAsia="cs-CZ"/>
              </w:rPr>
              <w:t>Dispozice umožňuje dodatečnou výstavbu výtahu, jde-li o objekt o 2 nebo 3 nadzemních podlažích</w:t>
            </w:r>
            <w:r w:rsidR="00D6303C">
              <w:rPr>
                <w:rStyle w:val="Znakapoznpodarou"/>
                <w:rFonts w:ascii="Calibri" w:eastAsia="Times New Roman" w:hAnsi="Calibri" w:cs="Calibri"/>
                <w:i/>
                <w:iCs/>
                <w:color w:val="000000"/>
                <w:sz w:val="20"/>
                <w:szCs w:val="20"/>
                <w:lang w:eastAsia="cs-CZ"/>
              </w:rPr>
              <w:footnoteReference w:id="25"/>
            </w:r>
            <w:r w:rsidRPr="008A1E1F">
              <w:rPr>
                <w:rFonts w:ascii="Calibri" w:eastAsia="Times New Roman" w:hAnsi="Calibri" w:cs="Calibri"/>
                <w:i/>
                <w:iCs/>
                <w:color w:val="000000"/>
                <w:sz w:val="20"/>
                <w:szCs w:val="20"/>
                <w:lang w:eastAsia="cs-CZ"/>
              </w:rPr>
              <w:t>;</w:t>
            </w:r>
          </w:p>
        </w:tc>
        <w:tc>
          <w:tcPr>
            <w:tcW w:w="2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4F37E" w14:textId="5569C800" w:rsidR="008A1E1F" w:rsidRPr="008A1E1F" w:rsidRDefault="006776B1"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theme="minorHAnsi"/>
                <w:color w:val="000000"/>
                <w:sz w:val="20"/>
                <w:szCs w:val="20"/>
                <w:lang w:eastAsia="cs-CZ"/>
              </w:rPr>
              <w:t>M</w:t>
            </w:r>
            <w:r w:rsidR="008A1E1F" w:rsidRPr="008A1E1F">
              <w:rPr>
                <w:rFonts w:ascii="Calibri" w:eastAsia="Times New Roman" w:hAnsi="Calibri" w:cstheme="minorHAnsi"/>
                <w:color w:val="000000"/>
                <w:sz w:val="20"/>
                <w:szCs w:val="20"/>
                <w:lang w:eastAsia="cs-CZ"/>
              </w:rPr>
              <w:t xml:space="preserve">ax. 3 body při splnění 2 </w:t>
            </w:r>
            <w:r w:rsidR="00E84358" w:rsidRPr="008A1E1F">
              <w:rPr>
                <w:rFonts w:ascii="Calibri" w:eastAsia="Times New Roman" w:hAnsi="Calibri" w:cstheme="minorHAnsi"/>
                <w:color w:val="000000"/>
                <w:sz w:val="20"/>
                <w:szCs w:val="20"/>
                <w:lang w:eastAsia="cs-CZ"/>
              </w:rPr>
              <w:t>z uvedených</w:t>
            </w:r>
            <w:r w:rsidR="008A1E1F" w:rsidRPr="008A1E1F">
              <w:rPr>
                <w:rFonts w:ascii="Calibri" w:eastAsia="Times New Roman" w:hAnsi="Calibri" w:cstheme="minorHAnsi"/>
                <w:color w:val="000000"/>
                <w:sz w:val="20"/>
                <w:szCs w:val="20"/>
                <w:lang w:eastAsia="cs-CZ"/>
              </w:rPr>
              <w:t xml:space="preserve"> charakteristik</w:t>
            </w:r>
          </w:p>
        </w:tc>
        <w:tc>
          <w:tcPr>
            <w:tcW w:w="1073" w:type="dxa"/>
            <w:vMerge w:val="restart"/>
            <w:tcBorders>
              <w:top w:val="nil"/>
              <w:left w:val="single" w:sz="4" w:space="0" w:color="auto"/>
              <w:bottom w:val="single" w:sz="4" w:space="0" w:color="000000"/>
              <w:right w:val="single" w:sz="4" w:space="0" w:color="auto"/>
            </w:tcBorders>
            <w:shd w:val="clear" w:color="auto" w:fill="auto"/>
            <w:vAlign w:val="center"/>
            <w:hideMark/>
          </w:tcPr>
          <w:p w14:paraId="1C9E1559"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3</w:t>
            </w:r>
          </w:p>
        </w:tc>
      </w:tr>
      <w:tr w:rsidR="008A1E1F" w:rsidRPr="008A1E1F" w14:paraId="3D248D6E" w14:textId="77777777" w:rsidTr="00781E3D">
        <w:trPr>
          <w:trHeight w:val="501"/>
        </w:trPr>
        <w:tc>
          <w:tcPr>
            <w:tcW w:w="204" w:type="dxa"/>
            <w:tcBorders>
              <w:top w:val="nil"/>
              <w:left w:val="single" w:sz="4" w:space="0" w:color="auto"/>
              <w:bottom w:val="nil"/>
              <w:right w:val="nil"/>
            </w:tcBorders>
            <w:shd w:val="clear" w:color="auto" w:fill="auto"/>
            <w:vAlign w:val="bottom"/>
            <w:hideMark/>
          </w:tcPr>
          <w:p w14:paraId="2AB8EBD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single" w:sz="4" w:space="0" w:color="auto"/>
              <w:left w:val="nil"/>
              <w:bottom w:val="nil"/>
              <w:right w:val="nil"/>
            </w:tcBorders>
            <w:shd w:val="clear" w:color="auto" w:fill="auto"/>
            <w:vAlign w:val="center"/>
            <w:hideMark/>
          </w:tcPr>
          <w:p w14:paraId="133B437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bottom"/>
            <w:hideMark/>
          </w:tcPr>
          <w:p w14:paraId="6396CDFE" w14:textId="1415D17B" w:rsidR="008A1E1F" w:rsidRPr="008A1E1F" w:rsidRDefault="00862214" w:rsidP="008A1E1F">
            <w:pPr>
              <w:spacing w:after="0" w:line="240" w:lineRule="auto"/>
              <w:rPr>
                <w:rFonts w:ascii="Calibri" w:eastAsia="Times New Roman" w:hAnsi="Calibri" w:cs="Calibri"/>
                <w:i/>
                <w:iCs/>
                <w:color w:val="000000"/>
                <w:sz w:val="20"/>
                <w:szCs w:val="20"/>
                <w:lang w:eastAsia="cs-CZ"/>
              </w:rPr>
            </w:pPr>
            <w:r>
              <w:rPr>
                <w:rFonts w:ascii="Calibri" w:eastAsia="Times New Roman" w:hAnsi="Calibri" w:cs="Calibri"/>
                <w:i/>
                <w:iCs/>
                <w:color w:val="000000"/>
                <w:sz w:val="20"/>
                <w:szCs w:val="20"/>
                <w:lang w:eastAsia="cs-CZ"/>
              </w:rPr>
              <w:t>V</w:t>
            </w:r>
            <w:r w:rsidR="008A1E1F" w:rsidRPr="008A1E1F">
              <w:rPr>
                <w:rFonts w:ascii="Calibri" w:eastAsia="Times New Roman" w:hAnsi="Calibri" w:cs="Calibri"/>
                <w:i/>
                <w:iCs/>
                <w:color w:val="000000"/>
                <w:sz w:val="20"/>
                <w:szCs w:val="20"/>
                <w:lang w:eastAsia="cs-CZ"/>
              </w:rPr>
              <w:t xml:space="preserve"> rámci dispozice je uplatněn alespoň jeden upravitelný byt (tj. upravitelný na plnou bezbariérovost);</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2B696CD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0681D06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00424BB8" w14:textId="77777777" w:rsidTr="00781E3D">
        <w:trPr>
          <w:trHeight w:val="693"/>
        </w:trPr>
        <w:tc>
          <w:tcPr>
            <w:tcW w:w="204" w:type="dxa"/>
            <w:tcBorders>
              <w:top w:val="nil"/>
              <w:left w:val="single" w:sz="4" w:space="0" w:color="auto"/>
              <w:bottom w:val="nil"/>
              <w:right w:val="nil"/>
            </w:tcBorders>
            <w:shd w:val="clear" w:color="auto" w:fill="auto"/>
            <w:vAlign w:val="bottom"/>
            <w:hideMark/>
          </w:tcPr>
          <w:p w14:paraId="3E528D87"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000C425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bottom"/>
            <w:hideMark/>
          </w:tcPr>
          <w:p w14:paraId="7159FCB0" w14:textId="6491816B"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D</w:t>
            </w:r>
            <w:r w:rsidR="008A1E1F" w:rsidRPr="008A1E1F">
              <w:rPr>
                <w:rFonts w:ascii="Calibri" w:eastAsia="Times New Roman" w:hAnsi="Calibri" w:cs="Calibri"/>
                <w:color w:val="000000"/>
                <w:sz w:val="20"/>
                <w:szCs w:val="20"/>
                <w:lang w:eastAsia="cs-CZ"/>
              </w:rPr>
              <w:t>ům je vybaven prostorem pro odkládání kočárků a pomůcek pro usnadnění pohybu v min. velikosti 2 m² na každé 4 byty, lze řešit v rámci chodby;</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243FDA2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40A11F80"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17F0CD68" w14:textId="77777777" w:rsidTr="00781E3D">
        <w:trPr>
          <w:trHeight w:val="534"/>
        </w:trPr>
        <w:tc>
          <w:tcPr>
            <w:tcW w:w="204" w:type="dxa"/>
            <w:tcBorders>
              <w:top w:val="nil"/>
              <w:left w:val="single" w:sz="4" w:space="0" w:color="auto"/>
              <w:bottom w:val="single" w:sz="4" w:space="0" w:color="auto"/>
              <w:right w:val="nil"/>
            </w:tcBorders>
            <w:shd w:val="clear" w:color="auto" w:fill="auto"/>
            <w:vAlign w:val="bottom"/>
            <w:hideMark/>
          </w:tcPr>
          <w:p w14:paraId="0A5F79A2"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0BCA00A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nil"/>
              <w:left w:val="nil"/>
              <w:bottom w:val="single" w:sz="4" w:space="0" w:color="auto"/>
              <w:right w:val="single" w:sz="4" w:space="0" w:color="auto"/>
            </w:tcBorders>
            <w:shd w:val="clear" w:color="auto" w:fill="auto"/>
            <w:vAlign w:val="bottom"/>
            <w:hideMark/>
          </w:tcPr>
          <w:p w14:paraId="5F874BB0" w14:textId="60F24C2C" w:rsidR="008A1E1F" w:rsidRPr="008A1E1F" w:rsidRDefault="00862214"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D</w:t>
            </w:r>
            <w:r w:rsidR="008A1E1F" w:rsidRPr="008A1E1F">
              <w:rPr>
                <w:rFonts w:ascii="Calibri" w:eastAsia="Times New Roman" w:hAnsi="Calibri" w:cs="Calibri"/>
                <w:color w:val="000000"/>
                <w:sz w:val="20"/>
                <w:szCs w:val="20"/>
                <w:lang w:eastAsia="cs-CZ"/>
              </w:rPr>
              <w:t>ům je plně bezbariérový bez využití technických řešení (plná přístupnost do všech prostor domu na invalidním vozíku bez využití výtahů, plošin atd.);</w:t>
            </w:r>
          </w:p>
        </w:tc>
        <w:tc>
          <w:tcPr>
            <w:tcW w:w="2773" w:type="dxa"/>
            <w:vMerge/>
            <w:tcBorders>
              <w:top w:val="single" w:sz="4" w:space="0" w:color="auto"/>
              <w:left w:val="single" w:sz="4" w:space="0" w:color="auto"/>
              <w:bottom w:val="single" w:sz="4" w:space="0" w:color="000000"/>
              <w:right w:val="single" w:sz="4" w:space="0" w:color="auto"/>
            </w:tcBorders>
            <w:vAlign w:val="center"/>
            <w:hideMark/>
          </w:tcPr>
          <w:p w14:paraId="646F91C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1073" w:type="dxa"/>
            <w:vMerge/>
            <w:tcBorders>
              <w:top w:val="nil"/>
              <w:left w:val="single" w:sz="4" w:space="0" w:color="auto"/>
              <w:bottom w:val="single" w:sz="4" w:space="0" w:color="000000"/>
              <w:right w:val="single" w:sz="4" w:space="0" w:color="auto"/>
            </w:tcBorders>
            <w:vAlign w:val="center"/>
            <w:hideMark/>
          </w:tcPr>
          <w:p w14:paraId="273784D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r>
      <w:tr w:rsidR="008A1E1F" w:rsidRPr="008A1E1F" w14:paraId="116D078A"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0C04CE53"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2F6BFAD4" w14:textId="02B4A2FA" w:rsidR="008A1E1F" w:rsidRPr="008A1E1F" w:rsidRDefault="00E84358"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6.4 Koncentrace</w:t>
            </w:r>
            <w:r w:rsidR="008A1E1F" w:rsidRPr="008A1E1F">
              <w:rPr>
                <w:rFonts w:ascii="Calibri" w:eastAsia="Times New Roman" w:hAnsi="Calibri" w:cs="Calibri"/>
                <w:color w:val="000000"/>
                <w:sz w:val="20"/>
                <w:szCs w:val="20"/>
                <w:lang w:eastAsia="cs-CZ"/>
              </w:rPr>
              <w:t xml:space="preserve"> radonu</w:t>
            </w:r>
          </w:p>
        </w:tc>
        <w:tc>
          <w:tcPr>
            <w:tcW w:w="1073" w:type="dxa"/>
            <w:tcBorders>
              <w:top w:val="nil"/>
              <w:left w:val="nil"/>
              <w:bottom w:val="nil"/>
              <w:right w:val="single" w:sz="4" w:space="0" w:color="auto"/>
            </w:tcBorders>
            <w:shd w:val="clear" w:color="000000" w:fill="E7E6E6"/>
            <w:vAlign w:val="bottom"/>
            <w:hideMark/>
          </w:tcPr>
          <w:p w14:paraId="5C826517"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2959F772" w14:textId="77777777" w:rsidTr="00E84358">
        <w:trPr>
          <w:trHeight w:val="809"/>
        </w:trPr>
        <w:tc>
          <w:tcPr>
            <w:tcW w:w="204" w:type="dxa"/>
            <w:tcBorders>
              <w:top w:val="nil"/>
              <w:left w:val="single" w:sz="4" w:space="0" w:color="auto"/>
              <w:bottom w:val="nil"/>
              <w:right w:val="nil"/>
            </w:tcBorders>
            <w:shd w:val="clear" w:color="auto" w:fill="auto"/>
            <w:vAlign w:val="bottom"/>
            <w:hideMark/>
          </w:tcPr>
          <w:p w14:paraId="1EC6E6FE"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4F98580B"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22767990" w14:textId="3A5671E0" w:rsidR="008A1E1F" w:rsidRPr="008A1E1F" w:rsidRDefault="00435D22"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P</w:t>
            </w:r>
            <w:r w:rsidR="008A1E1F" w:rsidRPr="008A1E1F">
              <w:rPr>
                <w:rFonts w:ascii="Calibri" w:eastAsia="Times New Roman" w:hAnsi="Calibri" w:cs="Calibri"/>
                <w:color w:val="000000"/>
                <w:sz w:val="20"/>
                <w:szCs w:val="20"/>
                <w:lang w:eastAsia="cs-CZ"/>
              </w:rPr>
              <w:t xml:space="preserve">rostory splní při stanovené intenzitě větrání min. 0,3 h-1 u obytného prostoru/ 0,6 h u pobytového prostoru požadavky na koncentraci radonu &lt;= 270 </w:t>
            </w:r>
            <w:proofErr w:type="spellStart"/>
            <w:r w:rsidR="008A1E1F" w:rsidRPr="008A1E1F">
              <w:rPr>
                <w:rFonts w:ascii="Calibri" w:eastAsia="Times New Roman" w:hAnsi="Calibri" w:cs="Calibri"/>
                <w:color w:val="000000"/>
                <w:sz w:val="20"/>
                <w:szCs w:val="20"/>
                <w:lang w:eastAsia="cs-CZ"/>
              </w:rPr>
              <w:t>Bq</w:t>
            </w:r>
            <w:proofErr w:type="spellEnd"/>
            <w:r w:rsidR="008A1E1F" w:rsidRPr="008A1E1F">
              <w:rPr>
                <w:rFonts w:ascii="Calibri" w:eastAsia="Times New Roman" w:hAnsi="Calibri" w:cs="Calibri"/>
                <w:color w:val="000000"/>
                <w:sz w:val="20"/>
                <w:szCs w:val="20"/>
                <w:lang w:eastAsia="cs-CZ"/>
              </w:rPr>
              <w:t>/m³ (tj. dojde k min. 10% zlepšení oproti normovým požadavkům)</w:t>
            </w:r>
            <w:r w:rsidR="00C77A03">
              <w:rPr>
                <w:rStyle w:val="Znakapoznpodarou"/>
                <w:rFonts w:ascii="Calibri" w:eastAsia="Times New Roman" w:hAnsi="Calibri" w:cs="Calibri"/>
                <w:color w:val="000000"/>
                <w:sz w:val="20"/>
                <w:szCs w:val="20"/>
                <w:lang w:eastAsia="cs-CZ"/>
              </w:rPr>
              <w:footnoteReference w:id="26"/>
            </w:r>
          </w:p>
        </w:tc>
        <w:tc>
          <w:tcPr>
            <w:tcW w:w="2773" w:type="dxa"/>
            <w:tcBorders>
              <w:top w:val="single" w:sz="4" w:space="0" w:color="auto"/>
              <w:left w:val="nil"/>
              <w:bottom w:val="nil"/>
              <w:right w:val="single" w:sz="4" w:space="0" w:color="auto"/>
            </w:tcBorders>
            <w:shd w:val="clear" w:color="auto" w:fill="auto"/>
            <w:vAlign w:val="center"/>
            <w:hideMark/>
          </w:tcPr>
          <w:p w14:paraId="36223B71" w14:textId="36D271A4" w:rsidR="008A1E1F" w:rsidRPr="008A1E1F" w:rsidRDefault="006776B1"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M</w:t>
            </w:r>
            <w:r w:rsidR="000B5A04">
              <w:rPr>
                <w:rFonts w:ascii="Calibri" w:eastAsia="Times New Roman" w:hAnsi="Calibri" w:cs="Calibri"/>
                <w:color w:val="000000"/>
                <w:sz w:val="20"/>
                <w:szCs w:val="20"/>
                <w:lang w:eastAsia="cs-CZ"/>
              </w:rPr>
              <w:t>aximálně 1 bod při splnění požadavků</w:t>
            </w:r>
          </w:p>
        </w:tc>
        <w:tc>
          <w:tcPr>
            <w:tcW w:w="1073" w:type="dxa"/>
            <w:tcBorders>
              <w:top w:val="nil"/>
              <w:left w:val="nil"/>
              <w:bottom w:val="nil"/>
              <w:right w:val="single" w:sz="4" w:space="0" w:color="auto"/>
            </w:tcBorders>
            <w:shd w:val="clear" w:color="auto" w:fill="auto"/>
            <w:vAlign w:val="center"/>
            <w:hideMark/>
          </w:tcPr>
          <w:p w14:paraId="5A4F2562"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tc>
      </w:tr>
      <w:tr w:rsidR="008A1E1F" w:rsidRPr="008A1E1F" w14:paraId="2C0E7510"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7B7697E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0FAE10F9" w14:textId="1C13A443"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6.5 Studie denního osvětlení/oslunění – předložit ověření, že je splněno</w:t>
            </w:r>
          </w:p>
        </w:tc>
        <w:tc>
          <w:tcPr>
            <w:tcW w:w="1073" w:type="dxa"/>
            <w:tcBorders>
              <w:top w:val="single" w:sz="4" w:space="0" w:color="auto"/>
              <w:left w:val="nil"/>
              <w:bottom w:val="nil"/>
              <w:right w:val="single" w:sz="4" w:space="0" w:color="auto"/>
            </w:tcBorders>
            <w:shd w:val="clear" w:color="000000" w:fill="E7E6E6"/>
            <w:vAlign w:val="bottom"/>
            <w:hideMark/>
          </w:tcPr>
          <w:p w14:paraId="23CDDFC6"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0B5A04" w:rsidRPr="008A1E1F" w14:paraId="60660ADC" w14:textId="77777777" w:rsidTr="009B396B">
        <w:trPr>
          <w:trHeight w:val="156"/>
        </w:trPr>
        <w:tc>
          <w:tcPr>
            <w:tcW w:w="204" w:type="dxa"/>
            <w:tcBorders>
              <w:top w:val="nil"/>
              <w:left w:val="single" w:sz="4" w:space="0" w:color="auto"/>
              <w:bottom w:val="nil"/>
              <w:right w:val="nil"/>
            </w:tcBorders>
            <w:shd w:val="clear" w:color="auto" w:fill="auto"/>
            <w:vAlign w:val="bottom"/>
            <w:hideMark/>
          </w:tcPr>
          <w:p w14:paraId="41ADC140"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41DB974E"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20486A1F"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proofErr w:type="spellStart"/>
            <w:r w:rsidRPr="008A1E1F">
              <w:rPr>
                <w:rFonts w:ascii="Calibri" w:eastAsia="Times New Roman" w:hAnsi="Calibri" w:cs="Calibri"/>
                <w:color w:val="000000"/>
                <w:sz w:val="20"/>
                <w:szCs w:val="20"/>
                <w:lang w:eastAsia="cs-CZ"/>
              </w:rPr>
              <w:t>Prosluněnost</w:t>
            </w:r>
            <w:proofErr w:type="spellEnd"/>
            <w:r w:rsidRPr="008A1E1F">
              <w:rPr>
                <w:rFonts w:ascii="Calibri" w:eastAsia="Times New Roman" w:hAnsi="Calibri" w:cs="Calibri"/>
                <w:color w:val="000000"/>
                <w:sz w:val="20"/>
                <w:szCs w:val="20"/>
                <w:lang w:eastAsia="cs-CZ"/>
              </w:rPr>
              <w:t xml:space="preserve"> alespoň 1/3 obytných místností dle ČSN EN 17037</w:t>
            </w:r>
          </w:p>
        </w:tc>
        <w:tc>
          <w:tcPr>
            <w:tcW w:w="2773" w:type="dxa"/>
            <w:vMerge w:val="restart"/>
            <w:tcBorders>
              <w:top w:val="single" w:sz="4" w:space="0" w:color="auto"/>
              <w:left w:val="nil"/>
              <w:right w:val="single" w:sz="4" w:space="0" w:color="auto"/>
            </w:tcBorders>
            <w:shd w:val="clear" w:color="auto" w:fill="auto"/>
            <w:vAlign w:val="center"/>
            <w:hideMark/>
          </w:tcPr>
          <w:p w14:paraId="151BF87D" w14:textId="3D9C6BC4" w:rsidR="000B5A04" w:rsidRPr="008A1E1F" w:rsidRDefault="006776B1"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M</w:t>
            </w:r>
            <w:r w:rsidR="000B5A04">
              <w:rPr>
                <w:rFonts w:ascii="Calibri" w:eastAsia="Times New Roman" w:hAnsi="Calibri" w:cs="Calibri"/>
                <w:color w:val="000000"/>
                <w:sz w:val="20"/>
                <w:szCs w:val="20"/>
                <w:lang w:eastAsia="cs-CZ"/>
              </w:rPr>
              <w:t>aximálně 1 bod při splnění požadavků</w:t>
            </w:r>
          </w:p>
        </w:tc>
        <w:tc>
          <w:tcPr>
            <w:tcW w:w="1073" w:type="dxa"/>
            <w:vMerge w:val="restart"/>
            <w:tcBorders>
              <w:top w:val="nil"/>
              <w:left w:val="nil"/>
              <w:right w:val="single" w:sz="4" w:space="0" w:color="auto"/>
            </w:tcBorders>
            <w:shd w:val="clear" w:color="auto" w:fill="auto"/>
            <w:vAlign w:val="center"/>
            <w:hideMark/>
          </w:tcPr>
          <w:p w14:paraId="34A78392" w14:textId="77777777" w:rsidR="000B5A04" w:rsidRPr="008A1E1F" w:rsidRDefault="000B5A04"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p w14:paraId="6D1882FD" w14:textId="196F5960" w:rsidR="000B5A04" w:rsidRPr="008A1E1F" w:rsidRDefault="000B5A04"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0B5A04" w:rsidRPr="008A1E1F" w14:paraId="7CB0B0D6" w14:textId="77777777" w:rsidTr="009B396B">
        <w:trPr>
          <w:trHeight w:val="518"/>
        </w:trPr>
        <w:tc>
          <w:tcPr>
            <w:tcW w:w="204" w:type="dxa"/>
            <w:tcBorders>
              <w:top w:val="nil"/>
              <w:left w:val="single" w:sz="4" w:space="0" w:color="auto"/>
              <w:bottom w:val="nil"/>
              <w:right w:val="nil"/>
            </w:tcBorders>
            <w:shd w:val="clear" w:color="auto" w:fill="auto"/>
            <w:vAlign w:val="bottom"/>
            <w:hideMark/>
          </w:tcPr>
          <w:p w14:paraId="45BB89F1"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46A7AB3B"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single" w:sz="4" w:space="0" w:color="auto"/>
              <w:right w:val="single" w:sz="4" w:space="0" w:color="auto"/>
            </w:tcBorders>
            <w:shd w:val="clear" w:color="auto" w:fill="auto"/>
            <w:vAlign w:val="bottom"/>
            <w:hideMark/>
          </w:tcPr>
          <w:p w14:paraId="2960D79E"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xml:space="preserve">hodnota činitele denní osvětlenosti 1,5 % a více ve dvou kontrolních bodech obytných místností dle ČSN EN 17037 </w:t>
            </w:r>
          </w:p>
        </w:tc>
        <w:tc>
          <w:tcPr>
            <w:tcW w:w="2773" w:type="dxa"/>
            <w:vMerge/>
            <w:tcBorders>
              <w:left w:val="nil"/>
              <w:bottom w:val="nil"/>
              <w:right w:val="single" w:sz="4" w:space="0" w:color="auto"/>
            </w:tcBorders>
            <w:shd w:val="clear" w:color="auto" w:fill="auto"/>
            <w:vAlign w:val="center"/>
            <w:hideMark/>
          </w:tcPr>
          <w:p w14:paraId="033C926E" w14:textId="15F5E02D" w:rsidR="000B5A04" w:rsidRPr="008A1E1F" w:rsidRDefault="000B5A04" w:rsidP="008A1E1F">
            <w:pPr>
              <w:spacing w:after="0" w:line="240" w:lineRule="auto"/>
              <w:rPr>
                <w:rFonts w:ascii="Calibri" w:eastAsia="Times New Roman" w:hAnsi="Calibri" w:cs="Calibri"/>
                <w:color w:val="000000"/>
                <w:sz w:val="20"/>
                <w:szCs w:val="20"/>
                <w:lang w:eastAsia="cs-CZ"/>
              </w:rPr>
            </w:pPr>
          </w:p>
        </w:tc>
        <w:tc>
          <w:tcPr>
            <w:tcW w:w="1073" w:type="dxa"/>
            <w:vMerge/>
            <w:tcBorders>
              <w:left w:val="nil"/>
              <w:right w:val="single" w:sz="4" w:space="0" w:color="auto"/>
            </w:tcBorders>
            <w:shd w:val="clear" w:color="auto" w:fill="auto"/>
            <w:vAlign w:val="center"/>
            <w:hideMark/>
          </w:tcPr>
          <w:p w14:paraId="45CA4B1F" w14:textId="09239212" w:rsidR="000B5A04" w:rsidRPr="008A1E1F" w:rsidRDefault="000B5A04" w:rsidP="008A1E1F">
            <w:pPr>
              <w:spacing w:after="0" w:line="240" w:lineRule="auto"/>
              <w:jc w:val="center"/>
              <w:rPr>
                <w:rFonts w:ascii="Calibri" w:eastAsia="Times New Roman" w:hAnsi="Calibri" w:cs="Calibri"/>
                <w:color w:val="000000"/>
                <w:sz w:val="20"/>
                <w:szCs w:val="20"/>
                <w:lang w:eastAsia="cs-CZ"/>
              </w:rPr>
            </w:pPr>
          </w:p>
        </w:tc>
      </w:tr>
      <w:tr w:rsidR="000B5A04" w:rsidRPr="008A1E1F" w14:paraId="285619BA" w14:textId="77777777" w:rsidTr="00DC2BAC">
        <w:trPr>
          <w:trHeight w:val="120"/>
        </w:trPr>
        <w:tc>
          <w:tcPr>
            <w:tcW w:w="204" w:type="dxa"/>
            <w:tcBorders>
              <w:top w:val="nil"/>
              <w:left w:val="single" w:sz="4" w:space="0" w:color="auto"/>
              <w:bottom w:val="nil"/>
              <w:right w:val="nil"/>
            </w:tcBorders>
            <w:shd w:val="clear" w:color="auto" w:fill="auto"/>
            <w:vAlign w:val="bottom"/>
            <w:hideMark/>
          </w:tcPr>
          <w:p w14:paraId="217D0B03"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551C42F0" w14:textId="77777777" w:rsidR="000B5A04" w:rsidRPr="008A1E1F" w:rsidRDefault="000B5A04" w:rsidP="008A1E1F">
            <w:pPr>
              <w:spacing w:after="0" w:line="240" w:lineRule="auto"/>
              <w:rPr>
                <w:rFonts w:ascii="Calibri" w:eastAsia="Times New Roman" w:hAnsi="Calibri" w:cs="Calibri"/>
                <w:color w:val="000000"/>
                <w:sz w:val="20"/>
                <w:szCs w:val="20"/>
                <w:lang w:eastAsia="cs-CZ"/>
              </w:rPr>
            </w:pPr>
          </w:p>
        </w:tc>
        <w:tc>
          <w:tcPr>
            <w:tcW w:w="5484" w:type="dxa"/>
            <w:tcBorders>
              <w:top w:val="nil"/>
              <w:left w:val="nil"/>
              <w:bottom w:val="nil"/>
              <w:right w:val="nil"/>
            </w:tcBorders>
            <w:shd w:val="clear" w:color="auto" w:fill="auto"/>
            <w:vAlign w:val="bottom"/>
            <w:hideMark/>
          </w:tcPr>
          <w:p w14:paraId="3840CAA7" w14:textId="77777777" w:rsidR="000B5A04" w:rsidRPr="008A1E1F" w:rsidRDefault="000B5A04" w:rsidP="008A1E1F">
            <w:pPr>
              <w:spacing w:after="0" w:line="240" w:lineRule="auto"/>
              <w:rPr>
                <w:rFonts w:ascii="Times New Roman" w:eastAsia="Times New Roman" w:hAnsi="Times New Roman" w:cs="Times New Roman"/>
                <w:sz w:val="20"/>
                <w:szCs w:val="20"/>
                <w:lang w:eastAsia="cs-CZ"/>
              </w:rPr>
            </w:pPr>
          </w:p>
        </w:tc>
        <w:tc>
          <w:tcPr>
            <w:tcW w:w="2773" w:type="dxa"/>
            <w:tcBorders>
              <w:top w:val="nil"/>
              <w:left w:val="nil"/>
              <w:bottom w:val="nil"/>
              <w:right w:val="nil"/>
            </w:tcBorders>
            <w:shd w:val="clear" w:color="auto" w:fill="auto"/>
            <w:vAlign w:val="center"/>
            <w:hideMark/>
          </w:tcPr>
          <w:p w14:paraId="28AB3DDD" w14:textId="77777777" w:rsidR="000B5A04" w:rsidRPr="008A1E1F" w:rsidRDefault="000B5A04" w:rsidP="008A1E1F">
            <w:pPr>
              <w:spacing w:after="0" w:line="240" w:lineRule="auto"/>
              <w:rPr>
                <w:rFonts w:ascii="Times New Roman" w:eastAsia="Times New Roman" w:hAnsi="Times New Roman" w:cs="Times New Roman"/>
                <w:sz w:val="20"/>
                <w:szCs w:val="20"/>
                <w:lang w:eastAsia="cs-CZ"/>
              </w:rPr>
            </w:pPr>
          </w:p>
        </w:tc>
        <w:tc>
          <w:tcPr>
            <w:tcW w:w="1073" w:type="dxa"/>
            <w:vMerge/>
            <w:tcBorders>
              <w:left w:val="nil"/>
              <w:bottom w:val="nil"/>
              <w:right w:val="single" w:sz="4" w:space="0" w:color="auto"/>
            </w:tcBorders>
            <w:shd w:val="clear" w:color="auto" w:fill="auto"/>
            <w:vAlign w:val="center"/>
            <w:hideMark/>
          </w:tcPr>
          <w:p w14:paraId="4C710EEB" w14:textId="0084E202" w:rsidR="000B5A04" w:rsidRPr="008A1E1F" w:rsidRDefault="000B5A04" w:rsidP="008A1E1F">
            <w:pPr>
              <w:spacing w:after="0" w:line="240" w:lineRule="auto"/>
              <w:jc w:val="center"/>
              <w:rPr>
                <w:rFonts w:ascii="Calibri" w:eastAsia="Times New Roman" w:hAnsi="Calibri" w:cs="Calibri"/>
                <w:color w:val="000000"/>
                <w:sz w:val="20"/>
                <w:szCs w:val="20"/>
                <w:lang w:eastAsia="cs-CZ"/>
              </w:rPr>
            </w:pPr>
          </w:p>
        </w:tc>
      </w:tr>
      <w:tr w:rsidR="008A1E1F" w:rsidRPr="008A1E1F" w14:paraId="21199D5E" w14:textId="77777777" w:rsidTr="008A1E1F">
        <w:trPr>
          <w:trHeight w:val="300"/>
        </w:trPr>
        <w:tc>
          <w:tcPr>
            <w:tcW w:w="5930" w:type="dxa"/>
            <w:gridSpan w:val="3"/>
            <w:tcBorders>
              <w:top w:val="single" w:sz="4" w:space="0" w:color="auto"/>
              <w:left w:val="single" w:sz="4" w:space="0" w:color="auto"/>
              <w:bottom w:val="single" w:sz="4" w:space="0" w:color="auto"/>
              <w:right w:val="nil"/>
            </w:tcBorders>
            <w:shd w:val="clear" w:color="000000" w:fill="D0CECE"/>
            <w:vAlign w:val="bottom"/>
            <w:hideMark/>
          </w:tcPr>
          <w:p w14:paraId="0A25AB92"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xml:space="preserve">7. Ostatní, v tom: </w:t>
            </w:r>
          </w:p>
        </w:tc>
        <w:tc>
          <w:tcPr>
            <w:tcW w:w="2773" w:type="dxa"/>
            <w:tcBorders>
              <w:top w:val="single" w:sz="4" w:space="0" w:color="auto"/>
              <w:left w:val="nil"/>
              <w:bottom w:val="single" w:sz="4" w:space="0" w:color="auto"/>
              <w:right w:val="nil"/>
            </w:tcBorders>
            <w:shd w:val="clear" w:color="000000" w:fill="D0CECE"/>
            <w:vAlign w:val="bottom"/>
            <w:hideMark/>
          </w:tcPr>
          <w:p w14:paraId="6233BFF3" w14:textId="77777777" w:rsidR="008A1E1F" w:rsidRPr="008A1E1F" w:rsidRDefault="008A1E1F" w:rsidP="008A1E1F">
            <w:pPr>
              <w:spacing w:after="0" w:line="240" w:lineRule="auto"/>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 </w:t>
            </w:r>
          </w:p>
        </w:tc>
        <w:tc>
          <w:tcPr>
            <w:tcW w:w="1073" w:type="dxa"/>
            <w:tcBorders>
              <w:top w:val="single" w:sz="4" w:space="0" w:color="auto"/>
              <w:left w:val="nil"/>
              <w:bottom w:val="single" w:sz="4" w:space="0" w:color="auto"/>
              <w:right w:val="single" w:sz="4" w:space="0" w:color="auto"/>
            </w:tcBorders>
            <w:shd w:val="clear" w:color="000000" w:fill="D0CECE"/>
            <w:vAlign w:val="bottom"/>
            <w:hideMark/>
          </w:tcPr>
          <w:p w14:paraId="7657CB27" w14:textId="77777777" w:rsidR="008A1E1F" w:rsidRPr="008A1E1F" w:rsidRDefault="008A1E1F" w:rsidP="008A1E1F">
            <w:pPr>
              <w:spacing w:after="0" w:line="240" w:lineRule="auto"/>
              <w:jc w:val="center"/>
              <w:rPr>
                <w:rFonts w:ascii="Calibri" w:eastAsia="Times New Roman" w:hAnsi="Calibri" w:cs="Calibri"/>
                <w:b/>
                <w:bCs/>
                <w:color w:val="000000"/>
                <w:sz w:val="20"/>
                <w:szCs w:val="20"/>
                <w:lang w:eastAsia="cs-CZ"/>
              </w:rPr>
            </w:pPr>
            <w:r w:rsidRPr="008A1E1F">
              <w:rPr>
                <w:rFonts w:ascii="Calibri" w:eastAsia="Times New Roman" w:hAnsi="Calibri" w:cs="Calibri"/>
                <w:b/>
                <w:bCs/>
                <w:color w:val="000000"/>
                <w:sz w:val="20"/>
                <w:szCs w:val="20"/>
                <w:lang w:eastAsia="cs-CZ"/>
              </w:rPr>
              <w:t>3</w:t>
            </w:r>
          </w:p>
        </w:tc>
      </w:tr>
      <w:tr w:rsidR="008A1E1F" w:rsidRPr="008A1E1F" w14:paraId="0B1579CC"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6EB6DEE9"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78928096"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7.1 Participace</w:t>
            </w:r>
          </w:p>
        </w:tc>
        <w:tc>
          <w:tcPr>
            <w:tcW w:w="1073" w:type="dxa"/>
            <w:tcBorders>
              <w:top w:val="nil"/>
              <w:left w:val="nil"/>
              <w:bottom w:val="nil"/>
              <w:right w:val="single" w:sz="4" w:space="0" w:color="auto"/>
            </w:tcBorders>
            <w:shd w:val="clear" w:color="000000" w:fill="E7E6E6"/>
            <w:vAlign w:val="bottom"/>
            <w:hideMark/>
          </w:tcPr>
          <w:p w14:paraId="275BE2B8"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795544EA" w14:textId="77777777" w:rsidTr="00781E3D">
        <w:trPr>
          <w:trHeight w:val="665"/>
        </w:trPr>
        <w:tc>
          <w:tcPr>
            <w:tcW w:w="204" w:type="dxa"/>
            <w:tcBorders>
              <w:top w:val="nil"/>
              <w:left w:val="single" w:sz="4" w:space="0" w:color="auto"/>
              <w:bottom w:val="nil"/>
              <w:right w:val="nil"/>
            </w:tcBorders>
            <w:shd w:val="clear" w:color="auto" w:fill="auto"/>
            <w:vAlign w:val="bottom"/>
            <w:hideMark/>
          </w:tcPr>
          <w:p w14:paraId="51EE4F7D"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nil"/>
              <w:right w:val="nil"/>
            </w:tcBorders>
            <w:shd w:val="clear" w:color="auto" w:fill="auto"/>
            <w:vAlign w:val="bottom"/>
            <w:hideMark/>
          </w:tcPr>
          <w:p w14:paraId="3E6C5A15"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5DC8B224"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Koncový uživatel objektu byl/bude aktivně účasten a seznámen s některou projektovou fází s možností ji ovlivnit (záměr, studie, projektová dokumentace)</w:t>
            </w:r>
          </w:p>
        </w:tc>
        <w:tc>
          <w:tcPr>
            <w:tcW w:w="2773" w:type="dxa"/>
            <w:tcBorders>
              <w:top w:val="single" w:sz="4" w:space="0" w:color="auto"/>
              <w:left w:val="nil"/>
              <w:bottom w:val="nil"/>
              <w:right w:val="single" w:sz="4" w:space="0" w:color="auto"/>
            </w:tcBorders>
            <w:shd w:val="clear" w:color="auto" w:fill="auto"/>
            <w:vAlign w:val="center"/>
            <w:hideMark/>
          </w:tcPr>
          <w:p w14:paraId="7766F919" w14:textId="055C5945"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r w:rsidR="006776B1">
              <w:rPr>
                <w:rFonts w:ascii="Calibri" w:eastAsia="Times New Roman" w:hAnsi="Calibri" w:cs="Calibri"/>
                <w:color w:val="000000"/>
                <w:sz w:val="20"/>
                <w:szCs w:val="20"/>
                <w:lang w:eastAsia="cs-CZ"/>
              </w:rPr>
              <w:t>Maximálně 1 bod při splnění požadavků</w:t>
            </w:r>
          </w:p>
        </w:tc>
        <w:tc>
          <w:tcPr>
            <w:tcW w:w="1073" w:type="dxa"/>
            <w:tcBorders>
              <w:top w:val="nil"/>
              <w:left w:val="nil"/>
              <w:bottom w:val="nil"/>
              <w:right w:val="single" w:sz="4" w:space="0" w:color="auto"/>
            </w:tcBorders>
            <w:shd w:val="clear" w:color="auto" w:fill="auto"/>
            <w:vAlign w:val="center"/>
            <w:hideMark/>
          </w:tcPr>
          <w:p w14:paraId="446F351C"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1</w:t>
            </w:r>
          </w:p>
        </w:tc>
      </w:tr>
      <w:tr w:rsidR="008A1E1F" w:rsidRPr="008A1E1F" w14:paraId="7B865B13" w14:textId="77777777" w:rsidTr="008A1E1F">
        <w:trPr>
          <w:trHeight w:val="300"/>
        </w:trPr>
        <w:tc>
          <w:tcPr>
            <w:tcW w:w="204" w:type="dxa"/>
            <w:tcBorders>
              <w:top w:val="nil"/>
              <w:left w:val="single" w:sz="4" w:space="0" w:color="auto"/>
              <w:bottom w:val="nil"/>
              <w:right w:val="nil"/>
            </w:tcBorders>
            <w:shd w:val="clear" w:color="auto" w:fill="auto"/>
            <w:vAlign w:val="bottom"/>
            <w:hideMark/>
          </w:tcPr>
          <w:p w14:paraId="5741CBBA"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8499" w:type="dxa"/>
            <w:gridSpan w:val="3"/>
            <w:tcBorders>
              <w:top w:val="single" w:sz="4" w:space="0" w:color="auto"/>
              <w:left w:val="nil"/>
              <w:bottom w:val="single" w:sz="4" w:space="0" w:color="auto"/>
              <w:right w:val="single" w:sz="4" w:space="0" w:color="000000"/>
            </w:tcBorders>
            <w:shd w:val="clear" w:color="000000" w:fill="E7E6E6"/>
            <w:vAlign w:val="bottom"/>
            <w:hideMark/>
          </w:tcPr>
          <w:p w14:paraId="12318F31"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7.2 Kvalita výsadeb</w:t>
            </w:r>
          </w:p>
        </w:tc>
        <w:tc>
          <w:tcPr>
            <w:tcW w:w="1073" w:type="dxa"/>
            <w:tcBorders>
              <w:top w:val="single" w:sz="4" w:space="0" w:color="auto"/>
              <w:left w:val="nil"/>
              <w:bottom w:val="nil"/>
              <w:right w:val="single" w:sz="4" w:space="0" w:color="auto"/>
            </w:tcBorders>
            <w:shd w:val="clear" w:color="000000" w:fill="E7E6E6"/>
            <w:vAlign w:val="bottom"/>
            <w:hideMark/>
          </w:tcPr>
          <w:p w14:paraId="124EFE81"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r>
      <w:tr w:rsidR="008A1E1F" w:rsidRPr="008A1E1F" w14:paraId="21DE4934" w14:textId="77777777" w:rsidTr="008A1E1F">
        <w:trPr>
          <w:trHeight w:val="525"/>
        </w:trPr>
        <w:tc>
          <w:tcPr>
            <w:tcW w:w="204" w:type="dxa"/>
            <w:tcBorders>
              <w:top w:val="nil"/>
              <w:left w:val="single" w:sz="4" w:space="0" w:color="auto"/>
              <w:bottom w:val="single" w:sz="4" w:space="0" w:color="auto"/>
              <w:right w:val="nil"/>
            </w:tcBorders>
            <w:shd w:val="clear" w:color="auto" w:fill="auto"/>
            <w:vAlign w:val="bottom"/>
            <w:hideMark/>
          </w:tcPr>
          <w:p w14:paraId="6C60DB4A"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242" w:type="dxa"/>
            <w:tcBorders>
              <w:top w:val="nil"/>
              <w:left w:val="nil"/>
              <w:bottom w:val="single" w:sz="4" w:space="0" w:color="auto"/>
              <w:right w:val="nil"/>
            </w:tcBorders>
            <w:shd w:val="clear" w:color="auto" w:fill="auto"/>
            <w:vAlign w:val="bottom"/>
            <w:hideMark/>
          </w:tcPr>
          <w:p w14:paraId="5AC99B98" w14:textId="77777777"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14:paraId="0362FDD9" w14:textId="7C9BB49C" w:rsidR="008A1E1F" w:rsidRPr="008A1E1F" w:rsidRDefault="00435D22" w:rsidP="008A1E1F">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w:t>
            </w:r>
            <w:r w:rsidR="008A1E1F" w:rsidRPr="008A1E1F">
              <w:rPr>
                <w:rFonts w:ascii="Calibri" w:eastAsia="Times New Roman" w:hAnsi="Calibri" w:cs="Calibri"/>
                <w:color w:val="000000"/>
                <w:sz w:val="20"/>
                <w:szCs w:val="20"/>
                <w:lang w:eastAsia="cs-CZ"/>
              </w:rPr>
              <w:t xml:space="preserve">ýsadba velkých opadavých stromů (min. 1 na </w:t>
            </w:r>
            <w:r w:rsidR="006776B1" w:rsidRPr="008A1E1F">
              <w:rPr>
                <w:rFonts w:ascii="Calibri" w:eastAsia="Times New Roman" w:hAnsi="Calibri" w:cs="Calibri"/>
                <w:color w:val="000000"/>
                <w:sz w:val="20"/>
                <w:szCs w:val="20"/>
                <w:lang w:eastAsia="cs-CZ"/>
              </w:rPr>
              <w:t>100 m</w:t>
            </w:r>
            <w:r w:rsidR="008A1E1F" w:rsidRPr="008A1E1F">
              <w:rPr>
                <w:rFonts w:ascii="Calibri" w:eastAsia="Times New Roman" w:hAnsi="Calibri" w:cs="Calibri"/>
                <w:color w:val="000000"/>
                <w:sz w:val="20"/>
                <w:szCs w:val="20"/>
                <w:lang w:eastAsia="cs-CZ"/>
              </w:rPr>
              <w:t>² plochy pozemku)</w:t>
            </w:r>
          </w:p>
        </w:tc>
        <w:tc>
          <w:tcPr>
            <w:tcW w:w="2773" w:type="dxa"/>
            <w:tcBorders>
              <w:top w:val="nil"/>
              <w:left w:val="nil"/>
              <w:bottom w:val="single" w:sz="4" w:space="0" w:color="auto"/>
              <w:right w:val="single" w:sz="4" w:space="0" w:color="auto"/>
            </w:tcBorders>
            <w:shd w:val="clear" w:color="auto" w:fill="auto"/>
            <w:vAlign w:val="center"/>
            <w:hideMark/>
          </w:tcPr>
          <w:p w14:paraId="07B12954" w14:textId="4A2CA48F" w:rsidR="008A1E1F" w:rsidRPr="008A1E1F" w:rsidRDefault="008A1E1F" w:rsidP="008A1E1F">
            <w:pPr>
              <w:spacing w:after="0" w:line="240" w:lineRule="auto"/>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 </w:t>
            </w:r>
            <w:r w:rsidR="006776B1">
              <w:rPr>
                <w:rFonts w:ascii="Calibri" w:eastAsia="Times New Roman" w:hAnsi="Calibri" w:cs="Calibri"/>
                <w:color w:val="000000"/>
                <w:sz w:val="20"/>
                <w:szCs w:val="20"/>
                <w:lang w:eastAsia="cs-CZ"/>
              </w:rPr>
              <w:t>Maximálně 2 body při splnění požadavků</w:t>
            </w:r>
          </w:p>
        </w:tc>
        <w:tc>
          <w:tcPr>
            <w:tcW w:w="1073" w:type="dxa"/>
            <w:tcBorders>
              <w:top w:val="nil"/>
              <w:left w:val="nil"/>
              <w:bottom w:val="single" w:sz="4" w:space="0" w:color="auto"/>
              <w:right w:val="single" w:sz="4" w:space="0" w:color="auto"/>
            </w:tcBorders>
            <w:shd w:val="clear" w:color="auto" w:fill="auto"/>
            <w:vAlign w:val="center"/>
            <w:hideMark/>
          </w:tcPr>
          <w:p w14:paraId="328B3789" w14:textId="77777777" w:rsidR="008A1E1F" w:rsidRPr="008A1E1F" w:rsidRDefault="008A1E1F" w:rsidP="008A1E1F">
            <w:pPr>
              <w:spacing w:after="0" w:line="240" w:lineRule="auto"/>
              <w:jc w:val="center"/>
              <w:rPr>
                <w:rFonts w:ascii="Calibri" w:eastAsia="Times New Roman" w:hAnsi="Calibri" w:cs="Calibri"/>
                <w:color w:val="000000"/>
                <w:sz w:val="20"/>
                <w:szCs w:val="20"/>
                <w:lang w:eastAsia="cs-CZ"/>
              </w:rPr>
            </w:pPr>
            <w:r w:rsidRPr="008A1E1F">
              <w:rPr>
                <w:rFonts w:ascii="Calibri" w:eastAsia="Times New Roman" w:hAnsi="Calibri" w:cs="Calibri"/>
                <w:color w:val="000000"/>
                <w:sz w:val="20"/>
                <w:szCs w:val="20"/>
                <w:lang w:eastAsia="cs-CZ"/>
              </w:rPr>
              <w:t>2</w:t>
            </w:r>
          </w:p>
        </w:tc>
      </w:tr>
    </w:tbl>
    <w:p w14:paraId="498A71C9" w14:textId="77777777" w:rsidR="004B1B3A" w:rsidRDefault="004B1B3A" w:rsidP="007F4D2A"/>
    <w:p w14:paraId="5791249C" w14:textId="243DCB5A" w:rsidR="00630021" w:rsidRDefault="00630021" w:rsidP="007F4D2A">
      <w:pPr>
        <w:pStyle w:val="Nadpis1"/>
        <w:spacing w:line="288" w:lineRule="auto"/>
        <w:ind w:left="284"/>
        <w:jc w:val="both"/>
        <w:rPr>
          <w:caps/>
        </w:rPr>
      </w:pPr>
      <w:r>
        <w:rPr>
          <w:caps/>
        </w:rPr>
        <w:t>Minimální potřebné bodové hodnocení</w:t>
      </w:r>
      <w:r w:rsidR="00565E2B">
        <w:rPr>
          <w:rStyle w:val="Znakapoznpodarou"/>
          <w:caps/>
        </w:rPr>
        <w:footnoteReference w:id="27"/>
      </w:r>
    </w:p>
    <w:p w14:paraId="12D578F5" w14:textId="4246A5C9" w:rsidR="00864193" w:rsidRDefault="007F4D2A" w:rsidP="00864193">
      <w:pPr>
        <w:pStyle w:val="Odstavecseseznamem"/>
        <w:numPr>
          <w:ilvl w:val="0"/>
          <w:numId w:val="34"/>
        </w:numPr>
      </w:pPr>
      <w:r>
        <w:t>Nutný m</w:t>
      </w:r>
      <w:r w:rsidR="00864193">
        <w:t>inimální počet bodů za ekonomickou efektiv</w:t>
      </w:r>
      <w:r w:rsidR="00FF1F17">
        <w:t>nost</w:t>
      </w:r>
      <w:r w:rsidR="00864193">
        <w:t>: 1</w:t>
      </w:r>
    </w:p>
    <w:p w14:paraId="3F328123" w14:textId="1F0082D1" w:rsidR="00864193" w:rsidRDefault="007F4D2A" w:rsidP="00864193">
      <w:pPr>
        <w:pStyle w:val="Odstavecseseznamem"/>
        <w:numPr>
          <w:ilvl w:val="0"/>
          <w:numId w:val="34"/>
        </w:numPr>
      </w:pPr>
      <w:r>
        <w:t>Nutný m</w:t>
      </w:r>
      <w:r w:rsidR="00864193">
        <w:t>inimální počet bodů za</w:t>
      </w:r>
      <w:r w:rsidR="00A95C77" w:rsidRPr="00A95C77">
        <w:t xml:space="preserve"> kvalit</w:t>
      </w:r>
      <w:r w:rsidR="00A95C77">
        <w:t>u</w:t>
      </w:r>
      <w:r w:rsidR="00A95C77" w:rsidRPr="00A95C77">
        <w:t xml:space="preserve"> prostředí a stavby</w:t>
      </w:r>
      <w:r w:rsidR="00864193">
        <w:t>: 6</w:t>
      </w:r>
    </w:p>
    <w:p w14:paraId="0F90F721" w14:textId="435A2696" w:rsidR="00864193" w:rsidRDefault="007F4D2A" w:rsidP="00864193">
      <w:pPr>
        <w:pStyle w:val="Odstavecseseznamem"/>
        <w:numPr>
          <w:ilvl w:val="0"/>
          <w:numId w:val="34"/>
        </w:numPr>
      </w:pPr>
      <w:r>
        <w:t>Nutný m</w:t>
      </w:r>
      <w:r w:rsidR="00864193">
        <w:t xml:space="preserve">inimální počet bodů za sociální kritéria: </w:t>
      </w:r>
      <w:r w:rsidR="00E96063">
        <w:t>0</w:t>
      </w:r>
    </w:p>
    <w:p w14:paraId="1FA4C299" w14:textId="5FE428B7" w:rsidR="00792DFF" w:rsidRDefault="00792DFF" w:rsidP="00792DFF">
      <w:pPr>
        <w:pStyle w:val="Odstavecseseznamem"/>
        <w:numPr>
          <w:ilvl w:val="0"/>
          <w:numId w:val="34"/>
        </w:numPr>
      </w:pPr>
      <w:r>
        <w:t>Nutný minimální počet bodů za enviro</w:t>
      </w:r>
      <w:r w:rsidR="00FF1F17">
        <w:t>n</w:t>
      </w:r>
      <w:r>
        <w:t>mentální kritéria</w:t>
      </w:r>
      <w:r w:rsidR="00E8051B">
        <w:t xml:space="preserve"> (udržitelnost)</w:t>
      </w:r>
      <w:r>
        <w:t xml:space="preserve">: </w:t>
      </w:r>
      <w:r w:rsidR="00B45134">
        <w:t>10</w:t>
      </w:r>
    </w:p>
    <w:p w14:paraId="760BE146" w14:textId="77777777" w:rsidR="007F4D2A" w:rsidRDefault="007F4D2A" w:rsidP="007F4D2A">
      <w:pPr>
        <w:pStyle w:val="Odstavecseseznamem"/>
        <w:ind w:left="360"/>
      </w:pPr>
    </w:p>
    <w:p w14:paraId="2D99EDDF" w14:textId="21C26384" w:rsidR="00CB2771" w:rsidRDefault="00864193" w:rsidP="00837CA0">
      <w:pPr>
        <w:pStyle w:val="Odstavecseseznamem"/>
        <w:ind w:left="360"/>
        <w:rPr>
          <w:b/>
          <w:bCs/>
        </w:rPr>
      </w:pPr>
      <w:r w:rsidRPr="007F4D2A">
        <w:rPr>
          <w:b/>
          <w:bCs/>
        </w:rPr>
        <w:t xml:space="preserve">Minimální počet bodů celkem: </w:t>
      </w:r>
      <w:r w:rsidR="00C70D78">
        <w:rPr>
          <w:b/>
          <w:bCs/>
        </w:rPr>
        <w:t>25</w:t>
      </w:r>
    </w:p>
    <w:p w14:paraId="397088C2" w14:textId="77777777" w:rsidR="00CB2771" w:rsidRDefault="00CB2771">
      <w:pPr>
        <w:rPr>
          <w:b/>
          <w:bCs/>
        </w:rPr>
      </w:pPr>
      <w:r>
        <w:rPr>
          <w:b/>
          <w:bCs/>
        </w:rPr>
        <w:br w:type="page"/>
      </w:r>
    </w:p>
    <w:p w14:paraId="6909AF19" w14:textId="7CDF3756" w:rsidR="00BD5F08" w:rsidRPr="002C046C" w:rsidRDefault="00BD5F08" w:rsidP="007F4D2A">
      <w:pPr>
        <w:pStyle w:val="Odstavecseseznamem"/>
        <w:numPr>
          <w:ilvl w:val="1"/>
          <w:numId w:val="35"/>
        </w:numPr>
        <w:rPr>
          <w:b/>
          <w:bCs/>
          <w:color w:val="1F497D" w:themeColor="text2"/>
          <w:sz w:val="24"/>
          <w:szCs w:val="24"/>
        </w:rPr>
      </w:pPr>
      <w:r w:rsidRPr="002C046C">
        <w:rPr>
          <w:b/>
          <w:bCs/>
          <w:color w:val="1F497D" w:themeColor="text2"/>
          <w:sz w:val="24"/>
          <w:szCs w:val="24"/>
          <w:highlight w:val="green"/>
        </w:rPr>
        <w:lastRenderedPageBreak/>
        <w:t>VARIANTA B: CERTIKACE VÝSTUPU</w:t>
      </w:r>
      <w:r w:rsidR="007F4D2A" w:rsidRPr="002C046C">
        <w:rPr>
          <w:b/>
          <w:bCs/>
          <w:color w:val="1F497D" w:themeColor="text2"/>
          <w:sz w:val="24"/>
          <w:szCs w:val="24"/>
          <w:highlight w:val="green"/>
        </w:rPr>
        <w:t xml:space="preserve"> + KRITÉRIA KVALITY VÝSTUPU</w:t>
      </w:r>
    </w:p>
    <w:p w14:paraId="29769FC9" w14:textId="6E4F99E2" w:rsidR="007F4D2A" w:rsidRDefault="007F4D2A" w:rsidP="007F4D2A">
      <w:pPr>
        <w:pStyle w:val="Odstavecseseznamem"/>
        <w:ind w:left="360"/>
        <w:rPr>
          <w:b/>
          <w:bCs/>
          <w:color w:val="1F497D" w:themeColor="text2"/>
        </w:rPr>
      </w:pPr>
    </w:p>
    <w:p w14:paraId="0CAB506E" w14:textId="172328B2" w:rsidR="007655FF" w:rsidRDefault="002C046C" w:rsidP="007F4D2A">
      <w:pPr>
        <w:pStyle w:val="Odstavecseseznamem"/>
        <w:ind w:left="360"/>
        <w:rPr>
          <w:b/>
          <w:bCs/>
          <w:color w:val="1F497D" w:themeColor="text2"/>
        </w:rPr>
      </w:pPr>
      <w:r>
        <w:rPr>
          <w:b/>
          <w:bCs/>
          <w:color w:val="1F497D" w:themeColor="text2"/>
        </w:rPr>
        <w:t>3.2.</w:t>
      </w:r>
      <w:r w:rsidR="00792DFF">
        <w:rPr>
          <w:b/>
          <w:bCs/>
          <w:color w:val="1F497D" w:themeColor="text2"/>
        </w:rPr>
        <w:t>1</w:t>
      </w:r>
      <w:r>
        <w:rPr>
          <w:b/>
          <w:bCs/>
          <w:color w:val="1F497D" w:themeColor="text2"/>
        </w:rPr>
        <w:t xml:space="preserve"> </w:t>
      </w:r>
      <w:r w:rsidR="007655FF" w:rsidRPr="002C046C">
        <w:rPr>
          <w:b/>
          <w:bCs/>
          <w:caps/>
          <w:color w:val="1F497D" w:themeColor="text2"/>
        </w:rPr>
        <w:t>Kritéria kvality výstupu</w:t>
      </w:r>
    </w:p>
    <w:p w14:paraId="759605AC" w14:textId="15A17995" w:rsidR="007655FF" w:rsidRPr="007655FF" w:rsidRDefault="007655FF" w:rsidP="007F4D2A">
      <w:pPr>
        <w:pStyle w:val="Odstavecseseznamem"/>
        <w:ind w:left="360"/>
      </w:pPr>
      <w:r w:rsidRPr="007655FF">
        <w:t xml:space="preserve">Max. </w:t>
      </w:r>
      <w:r w:rsidR="007827B1">
        <w:t>87</w:t>
      </w:r>
      <w:r w:rsidR="00E96063" w:rsidRPr="007655FF">
        <w:t xml:space="preserve"> </w:t>
      </w:r>
      <w:r w:rsidRPr="007655FF">
        <w:t>bodů</w:t>
      </w:r>
    </w:p>
    <w:tbl>
      <w:tblPr>
        <w:tblStyle w:val="Mkatabulky"/>
        <w:tblW w:w="9072" w:type="dxa"/>
        <w:tblInd w:w="-5" w:type="dxa"/>
        <w:tblLook w:val="0600" w:firstRow="0" w:lastRow="0" w:firstColumn="0" w:lastColumn="0" w:noHBand="1" w:noVBand="1"/>
      </w:tblPr>
      <w:tblGrid>
        <w:gridCol w:w="2245"/>
        <w:gridCol w:w="5564"/>
        <w:gridCol w:w="1263"/>
      </w:tblGrid>
      <w:tr w:rsidR="00BD5F08" w14:paraId="19A8B7E2" w14:textId="77777777" w:rsidTr="007518FF">
        <w:trPr>
          <w:trHeight w:val="518"/>
        </w:trPr>
        <w:tc>
          <w:tcPr>
            <w:tcW w:w="7809" w:type="dxa"/>
            <w:gridSpan w:val="2"/>
            <w:shd w:val="clear" w:color="auto" w:fill="000000" w:themeFill="text1"/>
            <w:vAlign w:val="center"/>
          </w:tcPr>
          <w:p w14:paraId="79C03E9A" w14:textId="4CE4A4E3" w:rsidR="00BD5F08" w:rsidRPr="00111D36" w:rsidRDefault="00BD5F08" w:rsidP="007518FF">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2E98CC" w14:textId="76DBABD3" w:rsidR="00BD5F08" w:rsidRPr="00111D36" w:rsidRDefault="00C056A3" w:rsidP="007518FF">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BD5F08" w:rsidRPr="00570145" w14:paraId="0FFB951C" w14:textId="77777777" w:rsidTr="007518FF">
        <w:trPr>
          <w:trHeight w:val="518"/>
        </w:trPr>
        <w:tc>
          <w:tcPr>
            <w:tcW w:w="2245" w:type="dxa"/>
            <w:shd w:val="clear" w:color="auto" w:fill="D9D9D9" w:themeFill="background1" w:themeFillShade="D9"/>
            <w:vAlign w:val="center"/>
          </w:tcPr>
          <w:p w14:paraId="78A3108C" w14:textId="77777777" w:rsidR="00BD5F08" w:rsidRPr="00396C72" w:rsidRDefault="00BD5F08" w:rsidP="007518FF">
            <w:pPr>
              <w:pStyle w:val="Bezmezer"/>
              <w:spacing w:line="288" w:lineRule="auto"/>
              <w:ind w:right="150"/>
              <w:rPr>
                <w:rStyle w:val="cf01"/>
                <w:b/>
                <w:bCs/>
              </w:rPr>
            </w:pPr>
          </w:p>
        </w:tc>
        <w:tc>
          <w:tcPr>
            <w:tcW w:w="5564" w:type="dxa"/>
            <w:shd w:val="clear" w:color="auto" w:fill="F2F2F2" w:themeFill="background1" w:themeFillShade="F2"/>
            <w:vAlign w:val="center"/>
          </w:tcPr>
          <w:p w14:paraId="22BEB496"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9229D5C"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p>
        </w:tc>
      </w:tr>
      <w:tr w:rsidR="00BD5F08" w:rsidRPr="00570145" w14:paraId="60D6F160" w14:textId="77777777" w:rsidTr="007518FF">
        <w:trPr>
          <w:trHeight w:val="518"/>
        </w:trPr>
        <w:tc>
          <w:tcPr>
            <w:tcW w:w="2245" w:type="dxa"/>
            <w:vMerge w:val="restart"/>
            <w:shd w:val="clear" w:color="auto" w:fill="D9D9D9" w:themeFill="background1" w:themeFillShade="D9"/>
            <w:vAlign w:val="center"/>
          </w:tcPr>
          <w:p w14:paraId="41941FF9" w14:textId="77777777" w:rsidR="00BD5F08" w:rsidRPr="00396C72" w:rsidRDefault="00BD5F08" w:rsidP="007518FF">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6A9B7443" w14:textId="54DF7482" w:rsidR="00BD5F08" w:rsidRPr="00570145" w:rsidRDefault="00BD5F08" w:rsidP="007518FF">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8"/>
            </w:r>
            <w:r w:rsidR="008D7CB0">
              <w:rPr>
                <w:rFonts w:asciiTheme="minorHAnsi" w:hAnsiTheme="minorHAnsi" w:cstheme="minorHAnsi"/>
                <w:color w:val="000000" w:themeColor="text1"/>
              </w:rPr>
              <w:t xml:space="preserve"> (</w:t>
            </w:r>
            <w:r w:rsidR="008D7CB0" w:rsidRPr="005B7B77">
              <w:rPr>
                <w:rFonts w:asciiTheme="minorHAnsi" w:hAnsiTheme="minorHAnsi" w:cstheme="minorHAnsi"/>
                <w:color w:val="000000" w:themeColor="text1"/>
              </w:rPr>
              <w:t>referenční / srovnávaná hodnota částky za projektovou dokumentaci je částka vč. DPH</w:t>
            </w:r>
            <w:r w:rsidR="008D7CB0">
              <w:rPr>
                <w:rFonts w:asciiTheme="minorHAnsi" w:hAnsiTheme="minorHAnsi" w:cstheme="minorHAnsi"/>
                <w:color w:val="000000" w:themeColor="text1"/>
              </w:rPr>
              <w:t>)</w:t>
            </w:r>
          </w:p>
        </w:tc>
        <w:tc>
          <w:tcPr>
            <w:tcW w:w="1263" w:type="dxa"/>
            <w:tcBorders>
              <w:bottom w:val="single" w:sz="4" w:space="0" w:color="auto"/>
            </w:tcBorders>
            <w:vAlign w:val="center"/>
          </w:tcPr>
          <w:p w14:paraId="68C82240"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6CD44308" w14:textId="77777777" w:rsidTr="007518FF">
        <w:trPr>
          <w:trHeight w:val="518"/>
        </w:trPr>
        <w:tc>
          <w:tcPr>
            <w:tcW w:w="2245" w:type="dxa"/>
            <w:vMerge/>
            <w:shd w:val="clear" w:color="auto" w:fill="D9D9D9" w:themeFill="background1" w:themeFillShade="D9"/>
            <w:vAlign w:val="center"/>
          </w:tcPr>
          <w:p w14:paraId="30F6E0F1" w14:textId="77777777" w:rsidR="00BD5F08" w:rsidRPr="00111D36" w:rsidRDefault="00BD5F08" w:rsidP="007518FF">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0A205B11"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165242AA" w14:textId="77777777" w:rsidR="00BD5F08" w:rsidRPr="0000004A" w:rsidRDefault="00BD5F08" w:rsidP="007518FF">
            <w:pPr>
              <w:pStyle w:val="Bezmezer"/>
              <w:spacing w:line="288" w:lineRule="auto"/>
              <w:ind w:right="150"/>
              <w:jc w:val="center"/>
              <w:rPr>
                <w:rFonts w:asciiTheme="minorHAnsi" w:hAnsiTheme="minorHAnsi" w:cstheme="minorHAnsi"/>
                <w:b/>
                <w:bCs/>
                <w:color w:val="000000" w:themeColor="text1"/>
              </w:rPr>
            </w:pPr>
          </w:p>
        </w:tc>
      </w:tr>
      <w:tr w:rsidR="00BD5F08" w:rsidRPr="00570145" w14:paraId="191A07BD" w14:textId="77777777" w:rsidTr="007518FF">
        <w:trPr>
          <w:trHeight w:val="518"/>
        </w:trPr>
        <w:tc>
          <w:tcPr>
            <w:tcW w:w="2245" w:type="dxa"/>
            <w:vMerge/>
            <w:shd w:val="clear" w:color="auto" w:fill="D9D9D9" w:themeFill="background1" w:themeFillShade="D9"/>
            <w:vAlign w:val="center"/>
          </w:tcPr>
          <w:p w14:paraId="3A3F2B64"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4707073" w14:textId="7B578374"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0896B7E8" w14:textId="675AF884"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223D850" w14:textId="77777777" w:rsidTr="007518FF">
        <w:trPr>
          <w:trHeight w:val="518"/>
        </w:trPr>
        <w:tc>
          <w:tcPr>
            <w:tcW w:w="2245" w:type="dxa"/>
            <w:vMerge/>
            <w:shd w:val="clear" w:color="auto" w:fill="D9D9D9" w:themeFill="background1" w:themeFillShade="D9"/>
            <w:vAlign w:val="center"/>
          </w:tcPr>
          <w:p w14:paraId="40DB9E0B"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444AEDC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0990C6B6"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23D88C43" w14:textId="77777777" w:rsidTr="007518FF">
        <w:trPr>
          <w:trHeight w:val="518"/>
        </w:trPr>
        <w:tc>
          <w:tcPr>
            <w:tcW w:w="2245" w:type="dxa"/>
            <w:vMerge/>
            <w:shd w:val="clear" w:color="auto" w:fill="D9D9D9" w:themeFill="background1" w:themeFillShade="D9"/>
            <w:vAlign w:val="center"/>
          </w:tcPr>
          <w:p w14:paraId="567FABCF"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7AEF0694"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29"/>
            </w:r>
          </w:p>
        </w:tc>
        <w:tc>
          <w:tcPr>
            <w:tcW w:w="1263" w:type="dxa"/>
            <w:vAlign w:val="center"/>
          </w:tcPr>
          <w:p w14:paraId="3EDC489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BD5F08" w:rsidRPr="00570145" w14:paraId="1E0188D5" w14:textId="77777777" w:rsidTr="007518FF">
        <w:trPr>
          <w:trHeight w:val="518"/>
        </w:trPr>
        <w:tc>
          <w:tcPr>
            <w:tcW w:w="2245" w:type="dxa"/>
            <w:vMerge/>
            <w:shd w:val="clear" w:color="auto" w:fill="D9D9D9" w:themeFill="background1" w:themeFillShade="D9"/>
            <w:vAlign w:val="center"/>
          </w:tcPr>
          <w:p w14:paraId="4589B8E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F87A2E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30"/>
            </w:r>
          </w:p>
        </w:tc>
        <w:tc>
          <w:tcPr>
            <w:tcW w:w="1263" w:type="dxa"/>
            <w:vAlign w:val="center"/>
          </w:tcPr>
          <w:p w14:paraId="21824799"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49A9DA4" w14:textId="77777777" w:rsidTr="007518FF">
        <w:trPr>
          <w:trHeight w:val="518"/>
        </w:trPr>
        <w:tc>
          <w:tcPr>
            <w:tcW w:w="2245" w:type="dxa"/>
            <w:vMerge/>
            <w:shd w:val="clear" w:color="auto" w:fill="D9D9D9" w:themeFill="background1" w:themeFillShade="D9"/>
            <w:vAlign w:val="center"/>
          </w:tcPr>
          <w:p w14:paraId="3BEB1B7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5894D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31"/>
            </w:r>
          </w:p>
        </w:tc>
        <w:tc>
          <w:tcPr>
            <w:tcW w:w="1263" w:type="dxa"/>
            <w:vAlign w:val="center"/>
          </w:tcPr>
          <w:p w14:paraId="3F755DC1"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BD5F08" w:rsidRPr="00570145" w14:paraId="466A0E1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A9E5EF8"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78AE0105"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p>
        </w:tc>
      </w:tr>
      <w:tr w:rsidR="00BD5F08" w:rsidRPr="00570145" w14:paraId="42C1582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DAC143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D90B68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32"/>
            </w:r>
            <w:r>
              <w:rPr>
                <w:rFonts w:asciiTheme="minorHAnsi" w:hAnsiTheme="minorHAnsi" w:cstheme="minorHAnsi"/>
                <w:color w:val="000000" w:themeColor="text1"/>
              </w:rPr>
              <w:t xml:space="preserve"> </w:t>
            </w:r>
          </w:p>
        </w:tc>
        <w:tc>
          <w:tcPr>
            <w:tcW w:w="1263" w:type="dxa"/>
          </w:tcPr>
          <w:p w14:paraId="33B85C8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1836F7F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E602FE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B1A994C"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6677AD0F"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56ABD32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FD448BB"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DF6DA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33"/>
            </w:r>
          </w:p>
        </w:tc>
        <w:tc>
          <w:tcPr>
            <w:tcW w:w="1263" w:type="dxa"/>
          </w:tcPr>
          <w:p w14:paraId="622F9674"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7255CD9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18D0786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0A7DD3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12DE39A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38B3F32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0BD46F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85755CE" w14:textId="52DA6459"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Realizace v prolukách</w:t>
            </w:r>
            <w:r w:rsidR="008D7CB0">
              <w:rPr>
                <w:rStyle w:val="Znakapoznpodarou"/>
                <w:rFonts w:asciiTheme="minorHAnsi" w:hAnsiTheme="minorHAnsi" w:cstheme="minorHAnsi"/>
                <w:color w:val="000000" w:themeColor="text1"/>
              </w:rPr>
              <w:footnoteReference w:id="34"/>
            </w:r>
            <w:r>
              <w:rPr>
                <w:rFonts w:asciiTheme="minorHAnsi" w:hAnsiTheme="minorHAnsi" w:cstheme="minorHAnsi"/>
                <w:color w:val="000000" w:themeColor="text1"/>
              </w:rPr>
              <w:t xml:space="preserve"> </w:t>
            </w:r>
          </w:p>
        </w:tc>
        <w:tc>
          <w:tcPr>
            <w:tcW w:w="1263" w:type="dxa"/>
          </w:tcPr>
          <w:p w14:paraId="298399E7"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4F9BE60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A832C6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454A5496" w14:textId="44F67624"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35"/>
            </w:r>
            <w:r>
              <w:rPr>
                <w:rFonts w:asciiTheme="minorHAnsi" w:hAnsiTheme="minorHAnsi" w:cstheme="minorHAnsi"/>
                <w:color w:val="000000" w:themeColor="text1"/>
              </w:rPr>
              <w:t xml:space="preserve"> a kvalita dispozičního řešení</w:t>
            </w:r>
            <w:r w:rsidR="008D7CB0">
              <w:rPr>
                <w:rStyle w:val="Znakapoznpodarou"/>
                <w:rFonts w:asciiTheme="minorHAnsi" w:hAnsiTheme="minorHAnsi" w:cstheme="minorHAnsi"/>
                <w:color w:val="000000" w:themeColor="text1"/>
              </w:rPr>
              <w:footnoteReference w:id="36"/>
            </w:r>
          </w:p>
        </w:tc>
      </w:tr>
      <w:tr w:rsidR="00BD5F08" w:rsidRPr="00570145" w14:paraId="3CB4139E"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2AD50EE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4AA8DA9A" w14:textId="5D16CE19"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r w:rsidR="00F1392B">
              <w:rPr>
                <w:rStyle w:val="Znakapoznpodarou"/>
                <w:rFonts w:asciiTheme="minorHAnsi" w:hAnsiTheme="minorHAnsi" w:cstheme="minorHAnsi"/>
                <w:color w:val="000000" w:themeColor="text1"/>
              </w:rPr>
              <w:footnoteReference w:id="37"/>
            </w:r>
          </w:p>
        </w:tc>
        <w:tc>
          <w:tcPr>
            <w:tcW w:w="1263" w:type="dxa"/>
          </w:tcPr>
          <w:p w14:paraId="4AD7325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688ACEE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3617B9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2DCE94D0" w14:textId="5AA0067C"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r w:rsidR="00F1392B">
              <w:rPr>
                <w:rStyle w:val="Znakapoznpodarou"/>
                <w:rFonts w:asciiTheme="minorHAnsi" w:hAnsiTheme="minorHAnsi" w:cstheme="minorHAnsi"/>
                <w:color w:val="000000" w:themeColor="text1"/>
              </w:rPr>
              <w:footnoteReference w:id="38"/>
            </w:r>
          </w:p>
        </w:tc>
        <w:tc>
          <w:tcPr>
            <w:tcW w:w="1263" w:type="dxa"/>
          </w:tcPr>
          <w:p w14:paraId="692FC44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265947B9"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302F992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2D1454D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39"/>
            </w:r>
          </w:p>
        </w:tc>
        <w:tc>
          <w:tcPr>
            <w:tcW w:w="1263" w:type="dxa"/>
            <w:tcBorders>
              <w:bottom w:val="single" w:sz="4" w:space="0" w:color="auto"/>
            </w:tcBorders>
          </w:tcPr>
          <w:p w14:paraId="0006F7B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BD5F08" w:rsidRPr="00570145" w14:paraId="6D62CBD0"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4A2158C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7C589AB8" w14:textId="77777777" w:rsidR="00BD5F08" w:rsidRPr="0000004A" w:rsidRDefault="00BD5F08" w:rsidP="00BD5F0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6E347469" w14:textId="77777777" w:rsidR="00BD5F08" w:rsidRPr="0000004A" w:rsidRDefault="00BD5F08" w:rsidP="00BD5F08">
            <w:pPr>
              <w:pStyle w:val="Bezmezer"/>
              <w:spacing w:line="288" w:lineRule="auto"/>
              <w:ind w:right="150"/>
              <w:jc w:val="center"/>
              <w:rPr>
                <w:rFonts w:asciiTheme="minorHAnsi" w:hAnsiTheme="minorHAnsi" w:cstheme="minorHAnsi"/>
                <w:b/>
                <w:bCs/>
                <w:color w:val="000000" w:themeColor="text1"/>
              </w:rPr>
            </w:pPr>
          </w:p>
        </w:tc>
      </w:tr>
      <w:tr w:rsidR="00BD5F08" w:rsidRPr="00570145" w14:paraId="1F5D945A"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231EB85"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tcPr>
          <w:p w14:paraId="5024F1A8" w14:textId="5349E90F"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dle indexu dostupnosti bydlení</w:t>
            </w:r>
            <w:r w:rsidR="0011474F">
              <w:rPr>
                <w:rStyle w:val="Znakapoznpodarou"/>
                <w:rFonts w:asciiTheme="minorHAnsi" w:hAnsiTheme="minorHAnsi" w:cstheme="minorHAnsi"/>
                <w:color w:val="000000" w:themeColor="text1"/>
              </w:rPr>
              <w:footnoteReference w:id="40"/>
            </w:r>
            <w:r>
              <w:rPr>
                <w:rFonts w:asciiTheme="minorHAnsi" w:hAnsiTheme="minorHAnsi" w:cstheme="minorHAnsi"/>
                <w:color w:val="000000" w:themeColor="text1"/>
              </w:rPr>
              <w:t xml:space="preserve"> </w:t>
            </w:r>
          </w:p>
        </w:tc>
        <w:tc>
          <w:tcPr>
            <w:tcW w:w="1263" w:type="dxa"/>
          </w:tcPr>
          <w:p w14:paraId="3457978C" w14:textId="2B29FFCC" w:rsidR="00BD5F08" w:rsidRPr="00570145"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BD5F08" w:rsidRPr="00570145" w14:paraId="120EB33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41106E7"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C42AD52"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25002817" w14:textId="207D9BD0" w:rsidR="00BD5F08"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402250B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75242075"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05FE1D2C"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41"/>
            </w:r>
          </w:p>
        </w:tc>
        <w:tc>
          <w:tcPr>
            <w:tcW w:w="1263" w:type="dxa"/>
          </w:tcPr>
          <w:p w14:paraId="00B1CD6C"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3E1BDF56" w14:textId="77777777" w:rsidR="00792DFF" w:rsidRDefault="00792DFF" w:rsidP="00792DFF">
      <w:pPr>
        <w:pStyle w:val="Odstavecseseznamem"/>
        <w:ind w:left="360"/>
        <w:rPr>
          <w:rFonts w:eastAsia="Arial"/>
          <w:b/>
          <w:bCs/>
          <w:caps/>
          <w:color w:val="1F497D" w:themeColor="text2"/>
        </w:rPr>
      </w:pPr>
    </w:p>
    <w:p w14:paraId="2DE99141" w14:textId="4A0CE45E" w:rsidR="00792DFF" w:rsidRPr="002C046C" w:rsidRDefault="00792DFF" w:rsidP="00792DFF">
      <w:pPr>
        <w:pStyle w:val="Odstavecseseznamem"/>
        <w:ind w:left="360"/>
        <w:rPr>
          <w:rFonts w:eastAsia="Arial"/>
          <w:b/>
          <w:bCs/>
          <w:caps/>
          <w:color w:val="1F497D" w:themeColor="text2"/>
        </w:rPr>
      </w:pPr>
      <w:r w:rsidRPr="002C046C">
        <w:rPr>
          <w:rFonts w:eastAsia="Arial"/>
          <w:b/>
          <w:bCs/>
          <w:caps/>
          <w:color w:val="1F497D" w:themeColor="text2"/>
        </w:rPr>
        <w:t>3.2.</w:t>
      </w:r>
      <w:r>
        <w:rPr>
          <w:rFonts w:eastAsia="Arial"/>
          <w:b/>
          <w:bCs/>
          <w:caps/>
          <w:color w:val="1F497D" w:themeColor="text2"/>
        </w:rPr>
        <w:t>2</w:t>
      </w:r>
      <w:r w:rsidRPr="002C046C">
        <w:rPr>
          <w:rFonts w:eastAsia="Arial"/>
          <w:b/>
          <w:bCs/>
          <w:caps/>
          <w:color w:val="1F497D" w:themeColor="text2"/>
        </w:rPr>
        <w:t xml:space="preserve"> Certifikace kvality budov</w:t>
      </w:r>
    </w:p>
    <w:p w14:paraId="74762C8C" w14:textId="0392EF20" w:rsidR="00792DFF" w:rsidRPr="007655FF" w:rsidRDefault="00792DFF" w:rsidP="00792DFF">
      <w:pPr>
        <w:pStyle w:val="Odstavecseseznamem"/>
        <w:spacing w:before="120"/>
        <w:ind w:left="357"/>
        <w:rPr>
          <w:rFonts w:eastAsia="Arial"/>
        </w:rPr>
      </w:pPr>
      <w:r w:rsidRPr="007655FF">
        <w:t>Počet bodů: 16</w:t>
      </w:r>
    </w:p>
    <w:p w14:paraId="12AF1C61" w14:textId="114412DD" w:rsidR="006C3468" w:rsidRPr="006C3468" w:rsidRDefault="00522C07" w:rsidP="0001499B">
      <w:pPr>
        <w:pStyle w:val="Odstavecseseznamem"/>
        <w:spacing w:before="120"/>
        <w:ind w:left="357"/>
        <w:jc w:val="both"/>
      </w:pPr>
      <w:r w:rsidRPr="00522C07">
        <w:t>Konečný výstup projektu dosáhne minimální bodové hranice stanovené pro splnění kritérií kvality výstupu projektu</w:t>
      </w:r>
      <w:r w:rsidR="009A3E1D">
        <w:t>, splní podmínky DNSH</w:t>
      </w:r>
      <w:r w:rsidRPr="00522C07">
        <w:t xml:space="preserve"> a získá certifikát níže uvedené úrovně pro certifikaci kvality budov dle na území ČR užívaných metodik pro certifikaci kvality budov.</w:t>
      </w:r>
      <w:r w:rsidR="006C3468" w:rsidRPr="006C3468">
        <w:t xml:space="preserve"> </w:t>
      </w:r>
    </w:p>
    <w:p w14:paraId="62E066C4" w14:textId="6CDC7043" w:rsidR="006C3468" w:rsidRDefault="006C3468" w:rsidP="0001499B">
      <w:pPr>
        <w:pStyle w:val="Odstavecseseznamem"/>
        <w:spacing w:before="120"/>
        <w:ind w:left="357"/>
        <w:jc w:val="both"/>
      </w:pPr>
      <w:r w:rsidRPr="006C3468">
        <w:lastRenderedPageBreak/>
        <w:t xml:space="preserve">Doporučenými metodikami </w:t>
      </w:r>
      <w:r w:rsidR="00522C07">
        <w:t xml:space="preserve">s požadovanou úrovní certifikace </w:t>
      </w:r>
      <w:r w:rsidRPr="006C3468">
        <w:t xml:space="preserve">jsou: </w:t>
      </w:r>
      <w:proofErr w:type="spellStart"/>
      <w:r w:rsidRPr="006C3468">
        <w:t>SBToolCZ</w:t>
      </w:r>
      <w:proofErr w:type="spellEnd"/>
      <w:r w:rsidRPr="006C3468">
        <w:t xml:space="preserve">: minimálně na úrovni bronzového certifikátu, nebo BREEAM (úroveň </w:t>
      </w:r>
      <w:proofErr w:type="spellStart"/>
      <w:r w:rsidRPr="006C3468">
        <w:t>Good</w:t>
      </w:r>
      <w:proofErr w:type="spellEnd"/>
      <w:r w:rsidRPr="006C3468">
        <w:t xml:space="preserve"> (&gt;45 %), nebo LEED (úroveň </w:t>
      </w:r>
      <w:proofErr w:type="spellStart"/>
      <w:r w:rsidRPr="006C3468">
        <w:t>Certified</w:t>
      </w:r>
      <w:proofErr w:type="spellEnd"/>
      <w:r w:rsidRPr="006C3468">
        <w:t xml:space="preserve"> (40–49 bodů)), nebo DGNB (úroveň Bronze (35–50 %), nebo dle dalších metodik využívaných na území ČR obdobné úrovně.</w:t>
      </w:r>
    </w:p>
    <w:p w14:paraId="3654424C" w14:textId="77777777" w:rsidR="002E09F6" w:rsidRPr="006C3468" w:rsidRDefault="002E09F6" w:rsidP="0001499B">
      <w:pPr>
        <w:pStyle w:val="Odstavecseseznamem"/>
        <w:spacing w:before="120"/>
        <w:ind w:left="357"/>
        <w:jc w:val="both"/>
      </w:pPr>
    </w:p>
    <w:p w14:paraId="36DF2A4F" w14:textId="1ED8E3DB" w:rsidR="00BD5F08" w:rsidRDefault="00BD5F08" w:rsidP="00792DFF">
      <w:pPr>
        <w:pStyle w:val="Nadpis1"/>
        <w:spacing w:line="288" w:lineRule="auto"/>
        <w:ind w:left="284"/>
        <w:jc w:val="both"/>
        <w:rPr>
          <w:caps/>
        </w:rPr>
      </w:pPr>
      <w:r>
        <w:rPr>
          <w:caps/>
        </w:rPr>
        <w:t>Minimální potřebné bodové hodnocení</w:t>
      </w:r>
      <w:r>
        <w:rPr>
          <w:rStyle w:val="Znakapoznpodarou"/>
          <w:caps/>
        </w:rPr>
        <w:footnoteReference w:id="42"/>
      </w:r>
    </w:p>
    <w:p w14:paraId="2A66F4A3" w14:textId="5C734BB8" w:rsidR="00BD5F08" w:rsidRDefault="007F4D2A" w:rsidP="00792DFF">
      <w:pPr>
        <w:pStyle w:val="Odstavecseseznamem"/>
        <w:numPr>
          <w:ilvl w:val="0"/>
          <w:numId w:val="43"/>
        </w:numPr>
      </w:pPr>
      <w:r>
        <w:t>Nutný m</w:t>
      </w:r>
      <w:r w:rsidR="00BD5F08">
        <w:t>inimální počet bodů za ekonomickou efektivitu: 1</w:t>
      </w:r>
    </w:p>
    <w:p w14:paraId="5862722A" w14:textId="319B0C0E" w:rsidR="00BD5F08" w:rsidRDefault="007F4D2A" w:rsidP="00792DFF">
      <w:pPr>
        <w:pStyle w:val="Odstavecseseznamem"/>
        <w:numPr>
          <w:ilvl w:val="0"/>
          <w:numId w:val="43"/>
        </w:numPr>
      </w:pPr>
      <w:r>
        <w:t>Nutný m</w:t>
      </w:r>
      <w:r w:rsidR="00BD5F08">
        <w:t>inimální počet bodů za</w:t>
      </w:r>
      <w:r w:rsidR="00A95C77" w:rsidRPr="00A95C77">
        <w:t xml:space="preserve"> kvalit</w:t>
      </w:r>
      <w:r w:rsidR="00A95C77">
        <w:t>u</w:t>
      </w:r>
      <w:r w:rsidR="00A95C77" w:rsidRPr="00A95C77">
        <w:t xml:space="preserve"> prostředí a stavby</w:t>
      </w:r>
      <w:r w:rsidR="00BD5F08">
        <w:t>: 6</w:t>
      </w:r>
    </w:p>
    <w:p w14:paraId="53C28DF9" w14:textId="4E2C0438" w:rsidR="00BD5F08" w:rsidRDefault="007F4D2A" w:rsidP="00792DFF">
      <w:pPr>
        <w:pStyle w:val="Odstavecseseznamem"/>
        <w:numPr>
          <w:ilvl w:val="0"/>
          <w:numId w:val="43"/>
        </w:numPr>
      </w:pPr>
      <w:r>
        <w:t>Nutný m</w:t>
      </w:r>
      <w:r w:rsidR="00BD5F08">
        <w:t xml:space="preserve">inimální počet bodů za sociální kritéria: </w:t>
      </w:r>
      <w:r w:rsidR="00E96063">
        <w:t>0</w:t>
      </w:r>
    </w:p>
    <w:p w14:paraId="06A4DF28" w14:textId="514822B2" w:rsidR="00E8051B" w:rsidRDefault="00792DFF" w:rsidP="00E8051B">
      <w:pPr>
        <w:pStyle w:val="Odstavecseseznamem"/>
        <w:numPr>
          <w:ilvl w:val="0"/>
          <w:numId w:val="43"/>
        </w:numPr>
      </w:pPr>
      <w:r>
        <w:t>Počet bodů za udržitelnost – získání certifikátu kvality budov: 16</w:t>
      </w:r>
    </w:p>
    <w:p w14:paraId="53863D50" w14:textId="77777777" w:rsidR="00EB4CC2" w:rsidRDefault="00EB4CC2" w:rsidP="00E8051B">
      <w:pPr>
        <w:pStyle w:val="Odstavecseseznamem"/>
        <w:ind w:left="360"/>
        <w:rPr>
          <w:b/>
          <w:bCs/>
        </w:rPr>
      </w:pPr>
    </w:p>
    <w:p w14:paraId="0CE706BF" w14:textId="4C96E2C3" w:rsidR="00BD5F08" w:rsidRPr="00E8051B" w:rsidRDefault="00E533F7" w:rsidP="00E8051B">
      <w:pPr>
        <w:pStyle w:val="Odstavecseseznamem"/>
        <w:ind w:left="360"/>
      </w:pPr>
      <w:r w:rsidRPr="00E8051B">
        <w:rPr>
          <w:b/>
          <w:bCs/>
        </w:rPr>
        <w:t>Nutný m</w:t>
      </w:r>
      <w:r w:rsidR="00BD5F08" w:rsidRPr="00E8051B">
        <w:rPr>
          <w:b/>
          <w:bCs/>
        </w:rPr>
        <w:t xml:space="preserve">inimální počet bodů celkem: </w:t>
      </w:r>
      <w:r w:rsidR="00C70D78">
        <w:rPr>
          <w:b/>
          <w:bCs/>
        </w:rPr>
        <w:t>25</w:t>
      </w:r>
    </w:p>
    <w:sectPr w:rsidR="00BD5F08" w:rsidRPr="00E8051B" w:rsidSect="00E3210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5C57" w14:textId="77777777" w:rsidR="00A2511A" w:rsidRDefault="00A2511A" w:rsidP="00634381">
      <w:pPr>
        <w:spacing w:after="0" w:line="240" w:lineRule="auto"/>
      </w:pPr>
      <w:r>
        <w:separator/>
      </w:r>
    </w:p>
  </w:endnote>
  <w:endnote w:type="continuationSeparator" w:id="0">
    <w:p w14:paraId="717979D7" w14:textId="77777777" w:rsidR="00A2511A" w:rsidRDefault="00A2511A" w:rsidP="00634381">
      <w:pPr>
        <w:spacing w:after="0" w:line="240" w:lineRule="auto"/>
      </w:pPr>
      <w:r>
        <w:continuationSeparator/>
      </w:r>
    </w:p>
  </w:endnote>
  <w:endnote w:type="continuationNotice" w:id="1">
    <w:p w14:paraId="3E3D64DD" w14:textId="77777777" w:rsidR="00A2511A" w:rsidRDefault="00A25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E09D" w14:textId="47ACEBC3" w:rsidR="00A408A4" w:rsidRPr="00830435" w:rsidRDefault="00A408A4" w:rsidP="00A408A4">
    <w:pPr>
      <w:pStyle w:val="Zpat"/>
      <w:rPr>
        <w:rFonts w:ascii="Calibri" w:hAnsi="Calibri" w:cs="Calibri"/>
        <w:b/>
        <w:bCs/>
        <w:color w:val="002060"/>
        <w:sz w:val="20"/>
        <w:szCs w:val="20"/>
      </w:rPr>
    </w:pPr>
    <w:bookmarkStart w:id="4" w:name="_Hlk103025839"/>
    <w:bookmarkStart w:id="5" w:name="_Hlk103025840"/>
    <w:bookmarkStart w:id="6" w:name="_Hlk103026097"/>
    <w:bookmarkStart w:id="7" w:name="_Hlk103026098"/>
    <w:bookmarkStart w:id="8" w:name="_Hlk103026383"/>
    <w:bookmarkStart w:id="9" w:name="_Hlk103026384"/>
    <w:bookmarkStart w:id="10" w:name="_Hlk103027005"/>
    <w:bookmarkStart w:id="11" w:name="_Hlk103027006"/>
    <w:r w:rsidRPr="00830435">
      <w:rPr>
        <w:rFonts w:ascii="Calibri" w:hAnsi="Calibri" w:cs="Calibri"/>
        <w:b/>
        <w:bCs/>
        <w:color w:val="002060"/>
        <w:sz w:val="20"/>
        <w:szCs w:val="20"/>
      </w:rPr>
      <w:t xml:space="preserve">PRŮBĚŽNÁ </w:t>
    </w:r>
    <w:bookmarkEnd w:id="4"/>
    <w:bookmarkEnd w:id="5"/>
    <w:bookmarkEnd w:id="6"/>
    <w:bookmarkEnd w:id="7"/>
    <w:bookmarkEnd w:id="8"/>
    <w:bookmarkEnd w:id="9"/>
    <w:bookmarkEnd w:id="10"/>
    <w:bookmarkEnd w:id="11"/>
    <w:r w:rsidRPr="00830435">
      <w:rPr>
        <w:rFonts w:ascii="Calibri" w:hAnsi="Calibri" w:cs="Calibri"/>
        <w:b/>
        <w:bCs/>
        <w:color w:val="002060"/>
        <w:sz w:val="20"/>
        <w:szCs w:val="20"/>
      </w:rPr>
      <w:t xml:space="preserve">VÝZVA – Finanční podpora přípravy projektů souladných s cíli EU </w:t>
    </w:r>
    <w:r w:rsidR="00FF1F17">
      <w:rPr>
        <w:rFonts w:ascii="Calibri" w:hAnsi="Calibri" w:cs="Calibri"/>
        <w:b/>
        <w:bCs/>
        <w:color w:val="002060"/>
        <w:sz w:val="20"/>
        <w:szCs w:val="20"/>
      </w:rPr>
      <w:t>(</w:t>
    </w:r>
    <w:r w:rsidRPr="00830435">
      <w:rPr>
        <w:rFonts w:ascii="Calibri" w:hAnsi="Calibri" w:cs="Calibri"/>
        <w:b/>
        <w:bCs/>
        <w:color w:val="002060"/>
        <w:sz w:val="20"/>
        <w:szCs w:val="20"/>
      </w:rPr>
      <w:t>příprava projektů dostupného (vč. sociálního) a udržitelného nájemního bydlení</w:t>
    </w:r>
    <w:r w:rsidR="00FF1F17">
      <w:rPr>
        <w:rFonts w:ascii="Calibri" w:hAnsi="Calibri" w:cs="Calibri"/>
        <w:b/>
        <w:bCs/>
        <w:color w:val="002060"/>
        <w:sz w:val="20"/>
        <w:szCs w:val="20"/>
      </w:rPr>
      <w:t>)</w:t>
    </w:r>
  </w:p>
  <w:p w14:paraId="50895670" w14:textId="1C4F3BC6" w:rsidR="008572CA" w:rsidRPr="00A408A4" w:rsidRDefault="008572CA" w:rsidP="00A408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6B853" w14:textId="77777777" w:rsidR="00A2511A" w:rsidRDefault="00A2511A" w:rsidP="00634381">
      <w:pPr>
        <w:spacing w:after="0" w:line="240" w:lineRule="auto"/>
      </w:pPr>
      <w:r>
        <w:separator/>
      </w:r>
    </w:p>
  </w:footnote>
  <w:footnote w:type="continuationSeparator" w:id="0">
    <w:p w14:paraId="69BE818C" w14:textId="77777777" w:rsidR="00A2511A" w:rsidRDefault="00A2511A" w:rsidP="00634381">
      <w:pPr>
        <w:spacing w:after="0" w:line="240" w:lineRule="auto"/>
      </w:pPr>
      <w:r>
        <w:continuationSeparator/>
      </w:r>
    </w:p>
  </w:footnote>
  <w:footnote w:type="continuationNotice" w:id="1">
    <w:p w14:paraId="6882FD22" w14:textId="77777777" w:rsidR="00A2511A" w:rsidRDefault="00A2511A">
      <w:pPr>
        <w:spacing w:after="0" w:line="240" w:lineRule="auto"/>
      </w:pPr>
    </w:p>
  </w:footnote>
  <w:footnote w:id="2">
    <w:p w14:paraId="7865FB1C" w14:textId="534C12E3" w:rsidR="00864193" w:rsidRPr="008C6F53" w:rsidRDefault="0086419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C23DEF">
        <w:rPr>
          <w:rFonts w:ascii="Calibri Light" w:hAnsi="Calibri Light" w:cs="Calibri Light"/>
          <w:sz w:val="18"/>
          <w:szCs w:val="18"/>
        </w:rPr>
        <w:t xml:space="preserve">Kompletní zpracování projektové dokumentace činí </w:t>
      </w:r>
      <w:r w:rsidR="00C70D78">
        <w:rPr>
          <w:rFonts w:ascii="Calibri Light" w:hAnsi="Calibri Light" w:cs="Calibri Light"/>
          <w:sz w:val="18"/>
          <w:szCs w:val="18"/>
        </w:rPr>
        <w:t>15</w:t>
      </w:r>
      <w:r w:rsidR="00C23DEF">
        <w:rPr>
          <w:rFonts w:ascii="Calibri Light" w:hAnsi="Calibri Light" w:cs="Calibri Light"/>
          <w:sz w:val="18"/>
          <w:szCs w:val="18"/>
        </w:rPr>
        <w:t>% z celkových předpokládaných investičních nákladů realizace stavby vypočtených ve finančním </w:t>
      </w:r>
      <w:r w:rsidR="00C23DEF" w:rsidRPr="00CA22C2">
        <w:rPr>
          <w:rFonts w:ascii="Calibri Light" w:hAnsi="Calibri Light" w:cs="Calibri Light"/>
          <w:sz w:val="18"/>
          <w:szCs w:val="18"/>
        </w:rPr>
        <w:t>modelu v příloze č. 1</w:t>
      </w:r>
      <w:r w:rsidR="00CA22C2">
        <w:rPr>
          <w:rFonts w:ascii="Calibri Light" w:hAnsi="Calibri Light" w:cs="Calibri Light"/>
          <w:sz w:val="18"/>
          <w:szCs w:val="18"/>
        </w:rPr>
        <w:t>2</w:t>
      </w:r>
      <w:r w:rsidR="00C23DEF">
        <w:rPr>
          <w:rFonts w:ascii="Calibri Light" w:hAnsi="Calibri Light" w:cs="Calibri Light"/>
          <w:sz w:val="18"/>
          <w:szCs w:val="18"/>
        </w:rPr>
        <w:t xml:space="preserve"> této výzvy. Kompletní zpracování projektové dokumentace znamená všechny projektové fáze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w:t>
      </w:r>
      <w:r w:rsidR="008F585C">
        <w:rPr>
          <w:rFonts w:ascii="Calibri Light" w:hAnsi="Calibri Light" w:cs="Calibri Light"/>
          <w:sz w:val="18"/>
          <w:szCs w:val="18"/>
        </w:rPr>
        <w:t xml:space="preserve">: </w:t>
      </w:r>
      <w:r w:rsidR="00C23DEF">
        <w:rPr>
          <w:rFonts w:ascii="Calibri Light" w:hAnsi="Calibri Light" w:cs="Calibri Light"/>
          <w:sz w:val="18"/>
          <w:szCs w:val="18"/>
        </w:rPr>
        <w:t xml:space="preserve">x &lt; 8% = </w:t>
      </w:r>
      <w:r w:rsidR="00C23DEF" w:rsidRPr="00317700">
        <w:rPr>
          <w:rFonts w:ascii="Calibri Light" w:hAnsi="Calibri Light" w:cs="Calibri Light"/>
          <w:sz w:val="18"/>
          <w:szCs w:val="18"/>
        </w:rPr>
        <w:t>Velmi efektivní (5</w:t>
      </w:r>
      <w:r w:rsidR="00C23DEF">
        <w:rPr>
          <w:rFonts w:ascii="Calibri Light" w:hAnsi="Calibri Light" w:cs="Calibri Light"/>
          <w:sz w:val="18"/>
          <w:szCs w:val="18"/>
        </w:rPr>
        <w:t xml:space="preserve"> bodů</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10 %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8 % = </w:t>
      </w:r>
      <w:r w:rsidR="00C23DEF" w:rsidRPr="00317700">
        <w:rPr>
          <w:rFonts w:ascii="Calibri Light" w:hAnsi="Calibri Light" w:cs="Calibri Light"/>
          <w:sz w:val="18"/>
          <w:szCs w:val="18"/>
        </w:rPr>
        <w:t>Efektivní (3</w:t>
      </w:r>
      <w:r w:rsidR="00C23DEF">
        <w:rPr>
          <w:rFonts w:ascii="Calibri Light" w:hAnsi="Calibri Light" w:cs="Calibri Light"/>
          <w:sz w:val="18"/>
          <w:szCs w:val="18"/>
        </w:rPr>
        <w:t xml:space="preserve"> body</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1</w:t>
      </w:r>
      <w:r w:rsidR="00CA22C2">
        <w:rPr>
          <w:rFonts w:ascii="Calibri Light" w:hAnsi="Calibri Light" w:cs="Calibri Light"/>
          <w:sz w:val="18"/>
          <w:szCs w:val="18"/>
        </w:rPr>
        <w:t>5</w:t>
      </w:r>
      <w:r w:rsidR="00C23DEF">
        <w:rPr>
          <w:rFonts w:ascii="Calibri Light" w:hAnsi="Calibri Light" w:cs="Calibri Light"/>
          <w:sz w:val="18"/>
          <w:szCs w:val="18"/>
        </w:rPr>
        <w:t xml:space="preserve">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10 % = </w:t>
      </w:r>
      <w:r w:rsidR="00C23DEF" w:rsidRPr="00317700">
        <w:rPr>
          <w:rFonts w:ascii="Calibri Light" w:hAnsi="Calibri Light" w:cs="Calibri Light"/>
          <w:sz w:val="18"/>
          <w:szCs w:val="18"/>
        </w:rPr>
        <w:t xml:space="preserve"> ne zcela efektivní (1</w:t>
      </w:r>
      <w:r w:rsidR="00C23DEF">
        <w:rPr>
          <w:rFonts w:ascii="Calibri Light" w:hAnsi="Calibri Light" w:cs="Calibri Light"/>
          <w:sz w:val="18"/>
          <w:szCs w:val="18"/>
        </w:rPr>
        <w:t>bod</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neefektivní (neakceptovatelné)</w:t>
      </w:r>
      <w:r w:rsidR="00C23DEF">
        <w:rPr>
          <w:rFonts w:ascii="Calibri Light" w:hAnsi="Calibri Light" w:cs="Calibri Light"/>
          <w:sz w:val="18"/>
          <w:szCs w:val="18"/>
        </w:rPr>
        <w:t xml:space="preserve"> x &gt; 1</w:t>
      </w:r>
      <w:r w:rsidR="00CA22C2">
        <w:rPr>
          <w:rFonts w:ascii="Calibri Light" w:hAnsi="Calibri Light" w:cs="Calibri Light"/>
          <w:sz w:val="18"/>
          <w:szCs w:val="18"/>
        </w:rPr>
        <w:t>5</w:t>
      </w:r>
      <w:r w:rsidR="00C23DEF">
        <w:rPr>
          <w:rFonts w:ascii="Calibri Light" w:hAnsi="Calibri Light" w:cs="Calibri Light"/>
          <w:sz w:val="18"/>
          <w:szCs w:val="18"/>
        </w:rPr>
        <w:t xml:space="preserve">%; při dílčím zadání pouze některé projektové fáze bude vypočítaná cena dané projektové fáze posouzena v souladu </w:t>
      </w:r>
      <w:r w:rsidR="00C23DEF" w:rsidRPr="008C6F53">
        <w:rPr>
          <w:rFonts w:ascii="Calibri Light" w:hAnsi="Calibri Light" w:cs="Calibri Light"/>
          <w:sz w:val="18"/>
          <w:szCs w:val="18"/>
        </w:rPr>
        <w:t xml:space="preserve">s </w:t>
      </w:r>
      <w:hyperlink r:id="rId1" w:history="1">
        <w:r w:rsidR="008C6F53" w:rsidRPr="008C6F53">
          <w:rPr>
            <w:rStyle w:val="Hypertextovodkaz"/>
            <w:sz w:val="18"/>
            <w:szCs w:val="18"/>
          </w:rPr>
          <w:t>Pozemní a krajinářské stavby - Česká komora architektů (cka.cz)</w:t>
        </w:r>
      </w:hyperlink>
    </w:p>
  </w:footnote>
  <w:footnote w:id="3">
    <w:p w14:paraId="0D98F7FD" w14:textId="0E777C94" w:rsidR="00E823F3" w:rsidRDefault="00E823F3" w:rsidP="006776B1">
      <w:pPr>
        <w:pStyle w:val="Textpoznpodarou"/>
        <w:jc w:val="both"/>
      </w:pPr>
      <w:r>
        <w:rPr>
          <w:rStyle w:val="Znakapoznpodarou"/>
        </w:rPr>
        <w:footnoteRef/>
      </w:r>
      <w:r>
        <w:t xml:space="preserve"> </w:t>
      </w:r>
      <w:r w:rsidRPr="008C6F53">
        <w:rPr>
          <w:sz w:val="18"/>
          <w:szCs w:val="18"/>
        </w:rPr>
        <w:t>jedná se o činnosti popsané v této dotační výzvě – podporované aktivity</w:t>
      </w:r>
    </w:p>
  </w:footnote>
  <w:footnote w:id="4">
    <w:p w14:paraId="7B5F46EC" w14:textId="77777777" w:rsidR="00864193" w:rsidRPr="00317700" w:rsidRDefault="0086419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5">
    <w:p w14:paraId="1130BF5A" w14:textId="77777777" w:rsidR="00864193" w:rsidRPr="00317700" w:rsidRDefault="0086419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Pr="00317700">
        <w:rPr>
          <w:rFonts w:ascii="Calibri Light" w:hAnsi="Calibri Light" w:cs="Calibri Light"/>
          <w:sz w:val="18"/>
          <w:szCs w:val="18"/>
        </w:rPr>
        <w:t>Zero emission building.</w:t>
      </w:r>
    </w:p>
  </w:footnote>
  <w:footnote w:id="6">
    <w:p w14:paraId="16299DAA" w14:textId="77777777" w:rsidR="00864193" w:rsidRPr="00317700" w:rsidRDefault="0086419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7">
    <w:p w14:paraId="58EDDF04" w14:textId="77588495" w:rsidR="00B00AFF" w:rsidRDefault="00B00AFF" w:rsidP="006776B1">
      <w:pPr>
        <w:pStyle w:val="Textpoznpodarou"/>
        <w:jc w:val="both"/>
      </w:pPr>
      <w:r>
        <w:rPr>
          <w:rStyle w:val="Znakapoznpodarou"/>
        </w:rPr>
        <w:footnoteRef/>
      </w:r>
      <w:r>
        <w:t xml:space="preserve"> </w:t>
      </w:r>
      <w:r>
        <w:rPr>
          <w:rFonts w:ascii="Calibri Light" w:hAnsi="Calibri Light" w:cs="Calibri Light"/>
          <w:sz w:val="18"/>
          <w:szCs w:val="18"/>
        </w:rPr>
        <w:t>Pokud projekt vzešel z architektonické soutěže nebo je podporovanou aktivitou přímo architektonická soutěž, která přebere navrhovaná kritéria z této výzvy, má se skupina kritérií Kvalita architektonického a urbanistického řešení nebo jejich část za splněné.</w:t>
      </w:r>
    </w:p>
  </w:footnote>
  <w:footnote w:id="8">
    <w:p w14:paraId="55923E8D" w14:textId="77777777" w:rsidR="00864193" w:rsidRPr="00317700" w:rsidRDefault="0086419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3D89AC31" w:rsidR="00864193" w:rsidRPr="00317700" w:rsidRDefault="00864193" w:rsidP="006776B1">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r w:rsidRPr="00317700">
        <w:rPr>
          <w:rFonts w:ascii="Calibri Light" w:hAnsi="Calibri Light" w:cs="Calibri Light"/>
          <w:sz w:val="18"/>
          <w:szCs w:val="18"/>
        </w:rPr>
        <w:t>poloveřejný/polosoukromý/soukromý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r w:rsidR="000A1D16">
        <w:rPr>
          <w:rFonts w:ascii="Calibri Light" w:hAnsi="Calibri Light" w:cs="Calibri Light"/>
          <w:sz w:val="18"/>
          <w:szCs w:val="18"/>
        </w:rPr>
        <w:t xml:space="preserve"> </w:t>
      </w:r>
    </w:p>
  </w:footnote>
  <w:footnote w:id="10">
    <w:p w14:paraId="2D93701D" w14:textId="018F850F" w:rsidR="008D7CB0" w:rsidRPr="0063559B" w:rsidRDefault="008D7CB0" w:rsidP="006776B1">
      <w:pPr>
        <w:spacing w:after="0" w:line="240" w:lineRule="auto"/>
        <w:jc w:val="both"/>
        <w:rPr>
          <w:rFonts w:ascii="Calibri Light" w:hAnsi="Calibri Light" w:cs="Calibri Light"/>
          <w:sz w:val="18"/>
          <w:szCs w:val="18"/>
        </w:rPr>
      </w:pPr>
      <w:r w:rsidRPr="0063559B">
        <w:rPr>
          <w:rStyle w:val="Znakapoznpodarou"/>
          <w:rFonts w:ascii="Calibri Light" w:hAnsi="Calibri Light" w:cs="Calibri Light"/>
          <w:sz w:val="18"/>
          <w:szCs w:val="18"/>
        </w:rPr>
        <w:footnoteRef/>
      </w:r>
      <w:r w:rsidRPr="0063559B">
        <w:rPr>
          <w:rStyle w:val="Znakapoznpodarou"/>
        </w:rPr>
        <w:t xml:space="preserve"> </w:t>
      </w:r>
      <w:r>
        <w:rPr>
          <w:rFonts w:ascii="Calibri Light" w:hAnsi="Calibri Light" w:cs="Calibri Light"/>
          <w:sz w:val="18"/>
          <w:szCs w:val="18"/>
        </w:rPr>
        <w:t>P</w:t>
      </w:r>
      <w:r w:rsidRPr="0063559B">
        <w:rPr>
          <w:rFonts w:ascii="Calibri Light" w:hAnsi="Calibri Light" w:cs="Calibri Light"/>
          <w:sz w:val="18"/>
          <w:szCs w:val="18"/>
        </w:rPr>
        <w:t xml:space="preserve">roluku definuje MMR proluku v blokové zástavbě i proluku v zástavbě, jež není bloková, tedy i prázdnou parcelu v řadě samostatných již stojících domů. Definice proluky zde </w:t>
      </w:r>
      <w:r w:rsidR="004E73CD" w:rsidRPr="0063559B">
        <w:rPr>
          <w:rStyle w:val="Hypertextovodkaz"/>
          <w:rFonts w:ascii="Calibri Light" w:hAnsi="Calibri Light" w:cs="Calibri Light"/>
          <w:sz w:val="18"/>
          <w:szCs w:val="18"/>
        </w:rPr>
        <w:t>Proluka- (gov.cz)</w:t>
      </w:r>
      <w:r w:rsidRPr="0063559B">
        <w:rPr>
          <w:rStyle w:val="Hypertextovodkaz"/>
        </w:rPr>
        <w:t>.</w:t>
      </w:r>
    </w:p>
  </w:footnote>
  <w:footnote w:id="11">
    <w:p w14:paraId="7473C5D6" w14:textId="708CD83C" w:rsidR="004E73CD" w:rsidRDefault="004E73CD" w:rsidP="006776B1">
      <w:pPr>
        <w:pStyle w:val="Textpoznpodarou"/>
        <w:jc w:val="both"/>
      </w:pPr>
      <w:r>
        <w:rPr>
          <w:rStyle w:val="Znakapoznpodarou"/>
        </w:rPr>
        <w:footnoteRef/>
      </w:r>
      <w:r>
        <w:t xml:space="preserve"> </w:t>
      </w:r>
      <w:r w:rsidRPr="00317700">
        <w:rPr>
          <w:rFonts w:ascii="Calibri Light" w:hAnsi="Calibri Light" w:cs="Calibri Light"/>
          <w:sz w:val="18"/>
          <w:szCs w:val="18"/>
        </w:rPr>
        <w:t xml:space="preserve">Využití metodiky </w:t>
      </w:r>
      <w:hyperlink r:id="rId2"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667C58">
        <w:rPr>
          <w:rFonts w:ascii="Calibri Light" w:hAnsi="Calibri Light" w:cs="Calibri Light"/>
          <w:sz w:val="18"/>
          <w:szCs w:val="18"/>
        </w:rPr>
        <w:t xml:space="preserve">poměr mezi PPP a HPP, který bude mimo zdůvodnitelné </w:t>
      </w:r>
      <w:r w:rsidR="006B629C" w:rsidRPr="00667C58">
        <w:rPr>
          <w:rFonts w:ascii="Calibri Light" w:hAnsi="Calibri Light" w:cs="Calibri Light"/>
          <w:sz w:val="18"/>
          <w:szCs w:val="18"/>
        </w:rPr>
        <w:t>případy&gt;</w:t>
      </w:r>
      <w:r w:rsidRPr="00667C58">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12">
    <w:p w14:paraId="258A1E3A" w14:textId="516DD1D8" w:rsidR="00267BF9" w:rsidRDefault="00267BF9" w:rsidP="006776B1">
      <w:pPr>
        <w:pStyle w:val="Textpoznpodarou"/>
        <w:jc w:val="both"/>
      </w:pPr>
      <w:r>
        <w:rPr>
          <w:rStyle w:val="Znakapoznpodarou"/>
        </w:rPr>
        <w:footnoteRef/>
      </w:r>
      <w:r>
        <w:t xml:space="preserve"> </w:t>
      </w:r>
      <w:r w:rsidRPr="00F53BD5">
        <w:rPr>
          <w:rFonts w:ascii="Calibri Light" w:hAnsi="Calibri Light" w:cs="Calibri Light"/>
          <w:sz w:val="18"/>
          <w:szCs w:val="18"/>
        </w:rPr>
        <w:t xml:space="preserve">Typologický mix je popsán na str. 9 a 10 </w:t>
      </w:r>
      <w:r w:rsidRPr="00317700">
        <w:rPr>
          <w:rFonts w:ascii="Calibri Light" w:hAnsi="Calibri Light" w:cs="Calibri Light"/>
          <w:sz w:val="18"/>
          <w:szCs w:val="18"/>
        </w:rPr>
        <w:t xml:space="preserve">metodiky </w:t>
      </w:r>
      <w:hyperlink r:id="rId3" w:history="1">
        <w:r w:rsidRPr="006A75E2">
          <w:rPr>
            <w:rStyle w:val="Hypertextovodkaz"/>
            <w:rFonts w:ascii="Calibri Light" w:hAnsi="Calibri Light" w:cs="Calibri Light"/>
            <w:sz w:val="18"/>
            <w:szCs w:val="18"/>
          </w:rPr>
          <w:t>Pražské developerské společnosti</w:t>
        </w:r>
      </w:hyperlink>
      <w:r w:rsidRPr="00F53BD5">
        <w:rPr>
          <w:rFonts w:ascii="Calibri Light" w:hAnsi="Calibri Light" w:cs="Calibri Light"/>
          <w:sz w:val="18"/>
          <w:szCs w:val="18"/>
        </w:rPr>
        <w:t xml:space="preserve">, stanoví standardy bytů, jejich velikosti a počty ve zpracovávaném projektu. </w:t>
      </w:r>
      <w:r>
        <w:rPr>
          <w:rFonts w:ascii="Calibri Light" w:hAnsi="Calibri Light" w:cs="Calibri Light"/>
          <w:sz w:val="18"/>
          <w:szCs w:val="18"/>
        </w:rPr>
        <w:t>P</w:t>
      </w:r>
      <w:r w:rsidRPr="00F53BD5">
        <w:rPr>
          <w:rFonts w:ascii="Calibri Light" w:hAnsi="Calibri Light" w:cs="Calibri Light"/>
          <w:sz w:val="18"/>
          <w:szCs w:val="18"/>
        </w:rPr>
        <w:t>ro různé objekty o malé velikosti je nutné přepočítat a poměr zohlednit odpovídajícím způsobem.</w:t>
      </w:r>
    </w:p>
  </w:footnote>
  <w:footnote w:id="13">
    <w:p w14:paraId="2DF1F148" w14:textId="79F045F2" w:rsidR="00864193" w:rsidRPr="00317700" w:rsidRDefault="0086419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r w:rsidR="004E73CD">
        <w:rPr>
          <w:rFonts w:ascii="Calibri Light" w:hAnsi="Calibri Light" w:cs="Calibri Light"/>
          <w:sz w:val="18"/>
          <w:szCs w:val="18"/>
        </w:rPr>
        <w:t xml:space="preserve"> </w:t>
      </w:r>
      <w:r w:rsidR="004E73CD" w:rsidRPr="00F53BD5">
        <w:rPr>
          <w:rFonts w:ascii="Calibri Light" w:hAnsi="Calibri Light" w:cs="Calibri Light"/>
          <w:sz w:val="18"/>
          <w:szCs w:val="18"/>
        </w:rPr>
        <w:t>Hodnocení komfortu uživatele je popsáno konkrétním vybavením, organizací i umístěním konkrétních místností, jež objekt má mít, a to na str. 12 metodiky</w:t>
      </w:r>
      <w:r w:rsidR="004E73CD">
        <w:rPr>
          <w:rFonts w:ascii="Calibri Light" w:hAnsi="Calibri Light" w:cs="Calibri Light"/>
          <w:sz w:val="18"/>
          <w:szCs w:val="18"/>
        </w:rPr>
        <w:t xml:space="preserve"> </w:t>
      </w:r>
      <w:hyperlink r:id="rId4" w:history="1">
        <w:r w:rsidR="004E73CD" w:rsidRPr="006A75E2">
          <w:rPr>
            <w:rStyle w:val="Hypertextovodkaz"/>
            <w:rFonts w:ascii="Calibri Light" w:hAnsi="Calibri Light" w:cs="Calibri Light"/>
            <w:sz w:val="18"/>
            <w:szCs w:val="18"/>
          </w:rPr>
          <w:t>Pražské developerské společnosti</w:t>
        </w:r>
      </w:hyperlink>
      <w:r w:rsidR="004E73CD" w:rsidRPr="00F53BD5">
        <w:rPr>
          <w:rFonts w:ascii="Calibri Light" w:hAnsi="Calibri Light" w:cs="Calibri Light"/>
          <w:sz w:val="18"/>
          <w:szCs w:val="18"/>
        </w:rPr>
        <w:t>.</w:t>
      </w:r>
    </w:p>
  </w:footnote>
  <w:footnote w:id="14">
    <w:p w14:paraId="5FD775C9" w14:textId="48B8084F" w:rsidR="0011474F" w:rsidRPr="0011474F" w:rsidRDefault="0011474F" w:rsidP="006776B1">
      <w:pPr>
        <w:pStyle w:val="Textpoznpodarou"/>
        <w:jc w:val="both"/>
        <w:rPr>
          <w:rFonts w:ascii="Calibri Light" w:hAnsi="Calibri Light" w:cs="Calibri Light"/>
          <w:sz w:val="18"/>
          <w:szCs w:val="18"/>
        </w:rPr>
      </w:pPr>
      <w:r>
        <w:rPr>
          <w:rStyle w:val="Znakapoznpodarou"/>
        </w:rPr>
        <w:footnoteRef/>
      </w:r>
      <w:r>
        <w:t xml:space="preserve"> </w:t>
      </w:r>
      <w:r w:rsidRPr="0011474F">
        <w:rPr>
          <w:rFonts w:ascii="Calibri Light" w:hAnsi="Calibri Light" w:cs="Calibri Light"/>
          <w:sz w:val="18"/>
          <w:szCs w:val="18"/>
        </w:rPr>
        <w:t xml:space="preserve">Bodové hodnocení dostupnosti bydlení je uvedeno v Příloze č. 11 Metodika hodnocení sociálních kritérií, kap. Potřebnost výstavby dle dostupnosti bydlení. </w:t>
      </w:r>
    </w:p>
  </w:footnote>
  <w:footnote w:id="15">
    <w:p w14:paraId="3D48F0E4" w14:textId="77777777" w:rsidR="00C056A3" w:rsidRPr="00317700" w:rsidRDefault="00C056A3"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6">
    <w:p w14:paraId="07A32EB4" w14:textId="4F82F36B" w:rsidR="00B831AF" w:rsidRPr="00B831AF" w:rsidRDefault="00B831AF" w:rsidP="006776B1">
      <w:pPr>
        <w:pStyle w:val="Textpoznpodarou"/>
        <w:jc w:val="both"/>
        <w:rPr>
          <w:rFonts w:ascii="Calibri Light" w:hAnsi="Calibri Light" w:cs="Calibri Light"/>
          <w:sz w:val="18"/>
          <w:szCs w:val="18"/>
        </w:rPr>
      </w:pPr>
      <w:r>
        <w:rPr>
          <w:rStyle w:val="Znakapoznpodarou"/>
        </w:rPr>
        <w:footnoteRef/>
      </w:r>
      <w:r>
        <w:t xml:space="preserve"> </w:t>
      </w:r>
      <w:r w:rsidRPr="00B831AF">
        <w:rPr>
          <w:rFonts w:ascii="Calibri Light" w:hAnsi="Calibri Light" w:cs="Calibri Light"/>
          <w:sz w:val="18"/>
          <w:szCs w:val="18"/>
        </w:rPr>
        <w:t xml:space="preserve">Polointenzivní střech splňuje následující </w:t>
      </w:r>
      <w:r w:rsidR="006B629C" w:rsidRPr="00B831AF">
        <w:rPr>
          <w:rFonts w:ascii="Calibri Light" w:hAnsi="Calibri Light" w:cs="Calibri Light"/>
          <w:sz w:val="18"/>
          <w:szCs w:val="18"/>
        </w:rPr>
        <w:t>parametry – mocnost</w:t>
      </w:r>
      <w:r w:rsidRPr="00B831AF">
        <w:rPr>
          <w:rFonts w:ascii="Calibri Light" w:hAnsi="Calibri Light" w:cs="Calibri Light"/>
          <w:sz w:val="18"/>
          <w:szCs w:val="18"/>
        </w:rPr>
        <w:t xml:space="preserve"> vegetačního souvrství </w:t>
      </w:r>
      <w:r w:rsidR="006B629C" w:rsidRPr="00B831AF">
        <w:rPr>
          <w:rFonts w:ascii="Calibri Light" w:hAnsi="Calibri Light" w:cs="Calibri Light"/>
          <w:sz w:val="18"/>
          <w:szCs w:val="18"/>
        </w:rPr>
        <w:t>150–350</w:t>
      </w:r>
      <w:r w:rsidRPr="00B831AF">
        <w:rPr>
          <w:rFonts w:ascii="Calibri Light" w:hAnsi="Calibri Light" w:cs="Calibri Light"/>
          <w:sz w:val="18"/>
          <w:szCs w:val="18"/>
        </w:rPr>
        <w:t xml:space="preserve"> mm, zajištěna zálivka mimo vodovodní řad.</w:t>
      </w:r>
    </w:p>
  </w:footnote>
  <w:footnote w:id="17">
    <w:p w14:paraId="6305036B" w14:textId="7457ECB7" w:rsidR="00C46A07" w:rsidRPr="00C46A07" w:rsidRDefault="00C46A07" w:rsidP="006776B1">
      <w:pPr>
        <w:pStyle w:val="Textpoznpodarou"/>
        <w:jc w:val="both"/>
        <w:rPr>
          <w:rFonts w:ascii="Calibri Light" w:hAnsi="Calibri Light" w:cs="Calibri Light"/>
          <w:sz w:val="18"/>
          <w:szCs w:val="18"/>
        </w:rPr>
      </w:pPr>
      <w:r>
        <w:rPr>
          <w:rStyle w:val="Znakapoznpodarou"/>
        </w:rPr>
        <w:footnoteRef/>
      </w:r>
      <w:r>
        <w:t xml:space="preserve"> </w:t>
      </w:r>
      <w:r w:rsidRPr="00C46A07">
        <w:rPr>
          <w:rFonts w:ascii="Calibri Light" w:hAnsi="Calibri Light" w:cs="Calibri Light"/>
          <w:sz w:val="18"/>
          <w:szCs w:val="18"/>
        </w:rPr>
        <w:t>Šedá voda dle zákona 258/2000, Sb., o veřejném zdraví, par. 3, odst.7 - Užitkovou vodou se rozumí srážková nebo šedá voda, která je upravena a hygienicky zabezpečena. Šedou vodou se rozumí odpadní voda z umyvadel, sprch a van. Užitkovou vodu lze využít pro splachování toalet a pisoárů, praní, úklid, mytí vozidel, závlahu, vodní prvky nebo kropení komunikací. Prováděcí právní předpis určí vyžadovanou míru úpravy a hygienického zabezpečení a způsob jeho prokázání.</w:t>
      </w:r>
    </w:p>
  </w:footnote>
  <w:footnote w:id="18">
    <w:p w14:paraId="1A97BFEA" w14:textId="114D20F9" w:rsidR="00C46A07" w:rsidRPr="00D6303C" w:rsidRDefault="00C46A07" w:rsidP="006776B1">
      <w:pPr>
        <w:pStyle w:val="Textpoznpodarou"/>
        <w:jc w:val="both"/>
        <w:rPr>
          <w:rFonts w:ascii="Calibri Light" w:hAnsi="Calibri Light" w:cs="Calibri Light"/>
          <w:sz w:val="18"/>
          <w:szCs w:val="18"/>
        </w:rPr>
      </w:pPr>
      <w:r>
        <w:rPr>
          <w:rStyle w:val="Znakapoznpodarou"/>
        </w:rPr>
        <w:footnoteRef/>
      </w:r>
      <w:r>
        <w:t xml:space="preserve"> </w:t>
      </w:r>
      <w:r w:rsidRPr="00C46A07">
        <w:rPr>
          <w:rFonts w:ascii="Calibri Light" w:hAnsi="Calibri Light" w:cs="Calibri Light"/>
          <w:sz w:val="18"/>
          <w:szCs w:val="18"/>
        </w:rPr>
        <w:t>Hloubka vyložení v poměru výška okna ku hloubka balkonu/markýzy 1/0,68 +- 10</w:t>
      </w:r>
      <w:r w:rsidR="006B629C">
        <w:rPr>
          <w:rFonts w:ascii="Calibri Light" w:hAnsi="Calibri Light" w:cs="Calibri Light"/>
          <w:sz w:val="18"/>
          <w:szCs w:val="18"/>
        </w:rPr>
        <w:t xml:space="preserve"> </w:t>
      </w:r>
      <w:r w:rsidRPr="00C46A07">
        <w:rPr>
          <w:rFonts w:ascii="Calibri Light" w:hAnsi="Calibri Light" w:cs="Calibri Light"/>
          <w:sz w:val="18"/>
          <w:szCs w:val="18"/>
        </w:rPr>
        <w:t>%</w:t>
      </w:r>
      <w:r>
        <w:rPr>
          <w:rFonts w:ascii="Calibri Light" w:hAnsi="Calibri Light" w:cs="Calibri Light"/>
          <w:sz w:val="18"/>
          <w:szCs w:val="18"/>
        </w:rPr>
        <w:t>.</w:t>
      </w:r>
      <w:r w:rsidRPr="00C46A07">
        <w:rPr>
          <w:rFonts w:ascii="Calibri Light" w:hAnsi="Calibri Light" w:cs="Calibri Light"/>
          <w:sz w:val="18"/>
          <w:szCs w:val="18"/>
        </w:rPr>
        <w:t xml:space="preserve"> </w:t>
      </w:r>
    </w:p>
  </w:footnote>
  <w:footnote w:id="19">
    <w:p w14:paraId="39847CDF" w14:textId="285783E7" w:rsidR="00C46A07" w:rsidRPr="00D6303C" w:rsidRDefault="00C46A07" w:rsidP="006776B1">
      <w:pPr>
        <w:pStyle w:val="Textpoznpodarou"/>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velký opadavý listnatý strom výsadbová velikost 16/18 do vzdálenosti 10 m od jižní, východní, západní fasády na každých 100 m2 fasády</w:t>
      </w:r>
    </w:p>
  </w:footnote>
  <w:footnote w:id="20">
    <w:p w14:paraId="207743D6" w14:textId="6E4D3F1F" w:rsidR="00D6303C" w:rsidRPr="00D6303C" w:rsidRDefault="00D6303C" w:rsidP="006776B1">
      <w:pPr>
        <w:pStyle w:val="Textpoznpodarou"/>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Min. 50</w:t>
      </w:r>
      <w:r w:rsidR="006776B1">
        <w:rPr>
          <w:rFonts w:ascii="Calibri Light" w:hAnsi="Calibri Light" w:cs="Calibri Light"/>
          <w:sz w:val="18"/>
          <w:szCs w:val="18"/>
        </w:rPr>
        <w:t xml:space="preserve"> </w:t>
      </w:r>
      <w:r w:rsidRPr="00D6303C">
        <w:rPr>
          <w:rFonts w:ascii="Calibri Light" w:hAnsi="Calibri Light" w:cs="Calibri Light"/>
          <w:sz w:val="18"/>
          <w:szCs w:val="18"/>
        </w:rPr>
        <w:t>% zpevněných ploch je stíněno vegetací (nebo bude stíněno v horizontu 10 let po vzrůstu vegetace), architektonickými prvky, technickým zařízením nebo jsou využity materiály s odrazivostí SRI min. 0,33, nebo mají zpevněné plochy koeficient odtoku max. 0,7</w:t>
      </w:r>
    </w:p>
  </w:footnote>
  <w:footnote w:id="21">
    <w:p w14:paraId="2B19EBD3" w14:textId="080D1775" w:rsidR="00D6303C" w:rsidRPr="00D6303C" w:rsidRDefault="00D6303C" w:rsidP="006776B1">
      <w:pPr>
        <w:pStyle w:val="Textpoznpodarou"/>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Časový krok odečtu a ukládání dat je vhodný pro vodu, plyn a teplo v 1hodinovém intervalu a následně agregovat do denních, měsíčních a ročních spotřeb. Mimo jiné hodinový krok pomůže případně odhalit havárie, tj. např. únik vody. Pro elektrickou energii je vhodný časový krok 15minutový, neboť v těchto intervalech se bude zúčtovávat elektrická energie např. pro komunitní energetiku.</w:t>
      </w:r>
    </w:p>
  </w:footnote>
  <w:footnote w:id="22">
    <w:p w14:paraId="1F2E5795" w14:textId="0B4B0A12" w:rsidR="00D6303C" w:rsidRPr="00D6303C" w:rsidRDefault="00D6303C" w:rsidP="006776B1">
      <w:pPr>
        <w:pStyle w:val="Textpoznpodarou"/>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výdaje vyplývající z vlastnictví budovy a vznikají bez ohledu na to, zda je budova provozována, či nikoli. Řadí se sem především daň z pozemku, daň z nemovitosti, náklady na pojištění a náklady na správu.</w:t>
      </w:r>
    </w:p>
  </w:footnote>
  <w:footnote w:id="23">
    <w:p w14:paraId="7BF16AA7" w14:textId="5DC68786" w:rsidR="00D6303C" w:rsidRPr="00D6303C" w:rsidRDefault="00D6303C" w:rsidP="006776B1">
      <w:pPr>
        <w:spacing w:after="0" w:line="240" w:lineRule="auto"/>
        <w:ind w:left="-20" w:right="-20"/>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 xml:space="preserve">Projekty budov a stavební metody podporují oběhové hospodářství a s odkazem na normu ISO 2088756 nebo jiné normy pro posuzování </w:t>
      </w:r>
      <w:r w:rsidRPr="00D6303C">
        <w:rPr>
          <w:rFonts w:ascii="Calibri Light" w:hAnsi="Calibri Light" w:cs="Calibri Light"/>
          <w:sz w:val="18"/>
          <w:szCs w:val="18"/>
        </w:rPr>
        <w:t>demontovatelnosti nebo přizpůsobivosti budov zejména prokazují, že jsou navrženy tak, aby byly efektivnější, adaptabilnější, flexibilnější a demontovatelnější, s cílem umožnit opětovné použití a recyklaci.</w:t>
      </w:r>
    </w:p>
  </w:footnote>
  <w:footnote w:id="24">
    <w:p w14:paraId="724CFAAB" w14:textId="77777777" w:rsidR="00D6303C" w:rsidRPr="00D6303C" w:rsidRDefault="00D6303C" w:rsidP="006776B1">
      <w:pPr>
        <w:pStyle w:val="Textpoznpodarou"/>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V případě rekonstrukce se bude jednat o materiály nově vnášené do stavby.</w:t>
      </w:r>
    </w:p>
    <w:p w14:paraId="50B72427" w14:textId="0E396F54" w:rsidR="00D6303C" w:rsidRDefault="00D6303C" w:rsidP="006776B1">
      <w:pPr>
        <w:pStyle w:val="Textpoznpodarou"/>
        <w:jc w:val="both"/>
      </w:pPr>
    </w:p>
  </w:footnote>
  <w:footnote w:id="25">
    <w:p w14:paraId="357F852F" w14:textId="173D0955" w:rsidR="00D6303C" w:rsidRPr="00C77A03" w:rsidRDefault="00D6303C" w:rsidP="006776B1">
      <w:pPr>
        <w:pStyle w:val="Textpoznpodarou"/>
        <w:jc w:val="both"/>
        <w:rPr>
          <w:rFonts w:ascii="Calibri Light" w:hAnsi="Calibri Light" w:cs="Calibri Light"/>
          <w:sz w:val="18"/>
          <w:szCs w:val="18"/>
        </w:rPr>
      </w:pPr>
      <w:r>
        <w:rPr>
          <w:rStyle w:val="Znakapoznpodarou"/>
        </w:rPr>
        <w:footnoteRef/>
      </w:r>
      <w:r>
        <w:t xml:space="preserve"> </w:t>
      </w:r>
      <w:r w:rsidRPr="00D6303C">
        <w:rPr>
          <w:rFonts w:ascii="Calibri Light" w:hAnsi="Calibri Light" w:cs="Calibri Light"/>
          <w:sz w:val="18"/>
          <w:szCs w:val="18"/>
        </w:rPr>
        <w:t>Vztahuje se na novostavby i rekonstrukce. Podle aktuálně připravované vyhlášky o požadavcích na výstavbu s předpokládanou platností od 1.7.2024 je povinná výstavba výtahů pro bytové objekty od 4 pater. U objektů o 2 a 3 nadzemních podlažích je bonifikována možnost výtah přistavět později.</w:t>
      </w:r>
    </w:p>
  </w:footnote>
  <w:footnote w:id="26">
    <w:p w14:paraId="2EE5E35C" w14:textId="6D37ED8F" w:rsidR="00C77A03" w:rsidRDefault="00C77A03" w:rsidP="006776B1">
      <w:pPr>
        <w:pStyle w:val="Textpoznpodarou"/>
        <w:jc w:val="both"/>
      </w:pPr>
      <w:r>
        <w:rPr>
          <w:rStyle w:val="Znakapoznpodarou"/>
        </w:rPr>
        <w:footnoteRef/>
      </w:r>
      <w:r>
        <w:t xml:space="preserve"> </w:t>
      </w:r>
      <w:r w:rsidRPr="00C77A03">
        <w:rPr>
          <w:rFonts w:ascii="Calibri Light" w:hAnsi="Calibri Light" w:cs="Calibri Light"/>
          <w:sz w:val="18"/>
          <w:szCs w:val="18"/>
        </w:rPr>
        <w:t>Měření koncentrace se provádí za běžného provozu po dobu jednoho týdne, a to vč. měření intenzity větrání.</w:t>
      </w:r>
    </w:p>
  </w:footnote>
  <w:footnote w:id="27">
    <w:p w14:paraId="71AF0353" w14:textId="164D98C2" w:rsidR="00565E2B" w:rsidRPr="0063559B" w:rsidRDefault="00565E2B" w:rsidP="006776B1">
      <w:pPr>
        <w:pStyle w:val="Textpoznpodarou"/>
        <w:jc w:val="both"/>
        <w:rPr>
          <w:rFonts w:cstheme="minorHAnsi"/>
          <w:sz w:val="18"/>
          <w:szCs w:val="18"/>
        </w:rPr>
      </w:pPr>
      <w:r w:rsidRPr="0063559B">
        <w:rPr>
          <w:rStyle w:val="Znakapoznpodarou"/>
          <w:rFonts w:cstheme="minorHAnsi"/>
          <w:sz w:val="18"/>
          <w:szCs w:val="18"/>
        </w:rPr>
        <w:footnoteRef/>
      </w:r>
      <w:r w:rsidRPr="0063559B">
        <w:rPr>
          <w:rFonts w:cstheme="minorHAnsi"/>
          <w:sz w:val="18"/>
          <w:szCs w:val="18"/>
        </w:rPr>
        <w:t xml:space="preserve"> Netýká se předmětu podpory </w:t>
      </w:r>
      <w:r w:rsidR="0011474F" w:rsidRPr="0063559B">
        <w:rPr>
          <w:rFonts w:cstheme="minorHAnsi"/>
          <w:sz w:val="18"/>
          <w:szCs w:val="18"/>
        </w:rPr>
        <w:t>Architektonické studie a S</w:t>
      </w:r>
      <w:r w:rsidRPr="0063559B">
        <w:rPr>
          <w:rFonts w:cstheme="minorHAnsi"/>
          <w:sz w:val="18"/>
          <w:szCs w:val="18"/>
        </w:rPr>
        <w:t>tudie proveditelnosti</w:t>
      </w:r>
    </w:p>
  </w:footnote>
  <w:footnote w:id="28">
    <w:p w14:paraId="64E7DC0C" w14:textId="77777777" w:rsidR="00BD5F08"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p w14:paraId="73021794" w14:textId="2DB9EB55" w:rsidR="00D04FBE" w:rsidRPr="00317700" w:rsidRDefault="00D04FBE" w:rsidP="006776B1">
      <w:pPr>
        <w:pStyle w:val="Textpoznpodarou"/>
        <w:jc w:val="both"/>
        <w:rPr>
          <w:rFonts w:ascii="Calibri Light" w:hAnsi="Calibri Light" w:cs="Calibri Light"/>
          <w:sz w:val="18"/>
          <w:szCs w:val="18"/>
        </w:rPr>
      </w:pPr>
      <w:r>
        <w:rPr>
          <w:rFonts w:ascii="Calibri Light" w:hAnsi="Calibri Light" w:cs="Calibri Light"/>
          <w:sz w:val="18"/>
          <w:szCs w:val="18"/>
        </w:rPr>
        <w:t>Kompletní zpracování projektové dokumentace činí 15</w:t>
      </w:r>
      <w:r w:rsidR="00435D22">
        <w:rPr>
          <w:rFonts w:ascii="Calibri Light" w:hAnsi="Calibri Light" w:cs="Calibri Light"/>
          <w:sz w:val="18"/>
          <w:szCs w:val="18"/>
        </w:rPr>
        <w:t xml:space="preserve"> </w:t>
      </w:r>
      <w:r>
        <w:rPr>
          <w:rFonts w:ascii="Calibri Light" w:hAnsi="Calibri Light" w:cs="Calibri Light"/>
          <w:sz w:val="18"/>
          <w:szCs w:val="18"/>
        </w:rPr>
        <w:t>% z celkových předpokládaných investičních nákladů realizace stavby vypočtených ve finančním </w:t>
      </w:r>
      <w:r w:rsidRPr="00CA22C2">
        <w:rPr>
          <w:rFonts w:ascii="Calibri Light" w:hAnsi="Calibri Light" w:cs="Calibri Light"/>
          <w:sz w:val="18"/>
          <w:szCs w:val="18"/>
        </w:rPr>
        <w:t>modelu v příloze č. 1</w:t>
      </w:r>
      <w:r>
        <w:rPr>
          <w:rFonts w:ascii="Calibri Light" w:hAnsi="Calibri Light" w:cs="Calibri Light"/>
          <w:sz w:val="18"/>
          <w:szCs w:val="18"/>
        </w:rPr>
        <w:t xml:space="preserve">2 této výzvy. Kompletní zpracování projektové dokumentace znamená všechny projektové fáze,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 x &lt; 8% = </w:t>
      </w:r>
      <w:r w:rsidRPr="00317700">
        <w:rPr>
          <w:rFonts w:ascii="Calibri Light" w:hAnsi="Calibri Light" w:cs="Calibri Light"/>
          <w:sz w:val="18"/>
          <w:szCs w:val="18"/>
        </w:rPr>
        <w:t>Velmi efektivní (5</w:t>
      </w:r>
      <w:r>
        <w:rPr>
          <w:rFonts w:ascii="Calibri Light" w:hAnsi="Calibri Light" w:cs="Calibri Light"/>
          <w:sz w:val="18"/>
          <w:szCs w:val="18"/>
        </w:rPr>
        <w:t xml:space="preserve"> bodů</w:t>
      </w:r>
      <w:r w:rsidRPr="00317700">
        <w:rPr>
          <w:rFonts w:ascii="Calibri Light" w:hAnsi="Calibri Light" w:cs="Calibri Light"/>
          <w:sz w:val="18"/>
          <w:szCs w:val="18"/>
        </w:rPr>
        <w:t>)</w:t>
      </w:r>
      <w:r>
        <w:rPr>
          <w:rFonts w:ascii="Calibri Light" w:hAnsi="Calibri Light" w:cs="Calibri Light"/>
          <w:sz w:val="18"/>
          <w:szCs w:val="18"/>
        </w:rPr>
        <w:t xml:space="preserve">, </w:t>
      </w:r>
      <w:r w:rsidRPr="00317700">
        <w:rPr>
          <w:rFonts w:ascii="Calibri Light" w:hAnsi="Calibri Light" w:cs="Calibri Light"/>
          <w:sz w:val="18"/>
          <w:szCs w:val="18"/>
        </w:rPr>
        <w:t xml:space="preserve"> </w:t>
      </w:r>
      <w:r>
        <w:rPr>
          <w:rFonts w:ascii="Calibri Light" w:hAnsi="Calibri Light" w:cs="Calibri Light"/>
          <w:sz w:val="18"/>
          <w:szCs w:val="18"/>
        </w:rPr>
        <w:t>10 % =&gt; x</w:t>
      </w:r>
      <w:r w:rsidRPr="00317700">
        <w:rPr>
          <w:rFonts w:ascii="Calibri Light" w:hAnsi="Calibri Light" w:cs="Calibri Light"/>
          <w:sz w:val="18"/>
          <w:szCs w:val="18"/>
        </w:rPr>
        <w:t xml:space="preserve"> </w:t>
      </w:r>
      <w:r>
        <w:rPr>
          <w:rFonts w:ascii="Calibri Light" w:hAnsi="Calibri Light" w:cs="Calibri Light"/>
          <w:sz w:val="18"/>
          <w:szCs w:val="18"/>
        </w:rPr>
        <w:t xml:space="preserve">&gt;= 8 % = </w:t>
      </w:r>
      <w:r w:rsidRPr="00317700">
        <w:rPr>
          <w:rFonts w:ascii="Calibri Light" w:hAnsi="Calibri Light" w:cs="Calibri Light"/>
          <w:sz w:val="18"/>
          <w:szCs w:val="18"/>
        </w:rPr>
        <w:t>Efektivní (3</w:t>
      </w:r>
      <w:r>
        <w:rPr>
          <w:rFonts w:ascii="Calibri Light" w:hAnsi="Calibri Light" w:cs="Calibri Light"/>
          <w:sz w:val="18"/>
          <w:szCs w:val="18"/>
        </w:rPr>
        <w:t xml:space="preserve"> body</w:t>
      </w:r>
      <w:r w:rsidRPr="00317700">
        <w:rPr>
          <w:rFonts w:ascii="Calibri Light" w:hAnsi="Calibri Light" w:cs="Calibri Light"/>
          <w:sz w:val="18"/>
          <w:szCs w:val="18"/>
        </w:rPr>
        <w:t xml:space="preserve">) </w:t>
      </w:r>
      <w:r>
        <w:rPr>
          <w:rFonts w:ascii="Calibri Light" w:hAnsi="Calibri Light" w:cs="Calibri Light"/>
          <w:sz w:val="18"/>
          <w:szCs w:val="18"/>
        </w:rPr>
        <w:t>, 15 % =&gt; x</w:t>
      </w:r>
      <w:r w:rsidRPr="00317700">
        <w:rPr>
          <w:rFonts w:ascii="Calibri Light" w:hAnsi="Calibri Light" w:cs="Calibri Light"/>
          <w:sz w:val="18"/>
          <w:szCs w:val="18"/>
        </w:rPr>
        <w:t xml:space="preserve"> </w:t>
      </w:r>
      <w:r>
        <w:rPr>
          <w:rFonts w:ascii="Calibri Light" w:hAnsi="Calibri Light" w:cs="Calibri Light"/>
          <w:sz w:val="18"/>
          <w:szCs w:val="18"/>
        </w:rPr>
        <w:t xml:space="preserve">&gt;= 10 % = </w:t>
      </w:r>
      <w:r w:rsidRPr="00317700">
        <w:rPr>
          <w:rFonts w:ascii="Calibri Light" w:hAnsi="Calibri Light" w:cs="Calibri Light"/>
          <w:sz w:val="18"/>
          <w:szCs w:val="18"/>
        </w:rPr>
        <w:t xml:space="preserve"> ne zcela efektivní (1</w:t>
      </w:r>
      <w:r>
        <w:rPr>
          <w:rFonts w:ascii="Calibri Light" w:hAnsi="Calibri Light" w:cs="Calibri Light"/>
          <w:sz w:val="18"/>
          <w:szCs w:val="18"/>
        </w:rPr>
        <w:t>bod</w:t>
      </w:r>
      <w:r w:rsidRPr="00317700">
        <w:rPr>
          <w:rFonts w:ascii="Calibri Light" w:hAnsi="Calibri Light" w:cs="Calibri Light"/>
          <w:sz w:val="18"/>
          <w:szCs w:val="18"/>
        </w:rPr>
        <w:t>)</w:t>
      </w:r>
      <w:r>
        <w:rPr>
          <w:rFonts w:ascii="Calibri Light" w:hAnsi="Calibri Light" w:cs="Calibri Light"/>
          <w:sz w:val="18"/>
          <w:szCs w:val="18"/>
        </w:rPr>
        <w:t xml:space="preserve">, </w:t>
      </w:r>
      <w:r w:rsidRPr="00317700">
        <w:rPr>
          <w:rFonts w:ascii="Calibri Light" w:hAnsi="Calibri Light" w:cs="Calibri Light"/>
          <w:sz w:val="18"/>
          <w:szCs w:val="18"/>
        </w:rPr>
        <w:t>neefektivní (neakceptovatelné)</w:t>
      </w:r>
      <w:r>
        <w:rPr>
          <w:rFonts w:ascii="Calibri Light" w:hAnsi="Calibri Light" w:cs="Calibri Light"/>
          <w:sz w:val="18"/>
          <w:szCs w:val="18"/>
        </w:rPr>
        <w:t xml:space="preserve"> x &gt; 15%; při dílčím zadání pouze některé projektové fáze bude vypočítaná cena dané projektové fáze posouzena v souladu </w:t>
      </w:r>
      <w:r w:rsidRPr="008C6F53">
        <w:rPr>
          <w:rFonts w:ascii="Calibri Light" w:hAnsi="Calibri Light" w:cs="Calibri Light"/>
          <w:sz w:val="18"/>
          <w:szCs w:val="18"/>
        </w:rPr>
        <w:t xml:space="preserve">s </w:t>
      </w:r>
      <w:hyperlink r:id="rId5" w:history="1">
        <w:r w:rsidRPr="008C6F53">
          <w:rPr>
            <w:rStyle w:val="Hypertextovodkaz"/>
            <w:sz w:val="18"/>
            <w:szCs w:val="18"/>
          </w:rPr>
          <w:t>Pozemní a krajinářské stavby - Česká komora architektů (cka.cz)</w:t>
        </w:r>
      </w:hyperlink>
    </w:p>
  </w:footnote>
  <w:footnote w:id="29">
    <w:p w14:paraId="2DF19293" w14:textId="77777777" w:rsidR="00BD5F08" w:rsidRPr="00317700"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30">
    <w:p w14:paraId="2790DF8E" w14:textId="77777777" w:rsidR="00BD5F08" w:rsidRPr="00317700"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Pr="00317700">
        <w:rPr>
          <w:rFonts w:ascii="Calibri Light" w:hAnsi="Calibri Light" w:cs="Calibri Light"/>
          <w:sz w:val="18"/>
          <w:szCs w:val="18"/>
        </w:rPr>
        <w:t>Zero emission building.</w:t>
      </w:r>
    </w:p>
  </w:footnote>
  <w:footnote w:id="31">
    <w:p w14:paraId="7BDD0F5E" w14:textId="77777777" w:rsidR="00BD5F08" w:rsidRPr="00317700"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32">
    <w:p w14:paraId="6AA37F9C" w14:textId="77777777" w:rsidR="00BD5F08" w:rsidRPr="00317700"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33">
    <w:p w14:paraId="1D636442" w14:textId="77777777" w:rsidR="00BD5F08" w:rsidRPr="00317700" w:rsidRDefault="00BD5F08" w:rsidP="006776B1">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r w:rsidRPr="00317700">
        <w:rPr>
          <w:rFonts w:ascii="Calibri Light" w:hAnsi="Calibri Light" w:cs="Calibri Light"/>
          <w:sz w:val="18"/>
          <w:szCs w:val="18"/>
        </w:rPr>
        <w:t>poloveřejný/polosoukromý/soukromý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34">
    <w:p w14:paraId="1F488932" w14:textId="3152FFA4" w:rsidR="008D7CB0" w:rsidRDefault="008D7CB0" w:rsidP="006776B1">
      <w:pPr>
        <w:pStyle w:val="Textpoznpodarou"/>
        <w:jc w:val="both"/>
      </w:pPr>
      <w:r>
        <w:rPr>
          <w:rStyle w:val="Znakapoznpodarou"/>
        </w:rPr>
        <w:footnoteRef/>
      </w:r>
      <w:r>
        <w:t xml:space="preserve"> </w:t>
      </w:r>
      <w:r>
        <w:rPr>
          <w:rFonts w:ascii="Calibri Light" w:hAnsi="Calibri Light" w:cs="Calibri Light"/>
          <w:sz w:val="18"/>
          <w:szCs w:val="18"/>
        </w:rPr>
        <w:t>P</w:t>
      </w:r>
      <w:r w:rsidRPr="005B7B77">
        <w:rPr>
          <w:rFonts w:ascii="Calibri Light" w:hAnsi="Calibri Light" w:cs="Calibri Light"/>
          <w:sz w:val="18"/>
          <w:szCs w:val="18"/>
        </w:rPr>
        <w:t xml:space="preserve">roluku definuje MMR proluku v blokové zástavbě i proluku v zástavbě, jež není bloková, tedy i prázdnou parcelu v řadě samostatných již stojících domů. Definice proluky zde </w:t>
      </w:r>
      <w:hyperlink r:id="rId6" w:history="1">
        <w:r w:rsidRPr="0063559B">
          <w:rPr>
            <w:rStyle w:val="Hypertextovodkaz"/>
          </w:rPr>
          <w:t>Proluka- (gov.cz)</w:t>
        </w:r>
      </w:hyperlink>
    </w:p>
  </w:footnote>
  <w:footnote w:id="35">
    <w:p w14:paraId="0909F0A0" w14:textId="77777777" w:rsidR="00BD5F08" w:rsidRPr="00317700" w:rsidRDefault="00BD5F08" w:rsidP="006776B1">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7"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7518FF">
        <w:rPr>
          <w:rFonts w:ascii="Calibri Light" w:hAnsi="Calibri Light" w:cs="Calibri Light"/>
          <w:sz w:val="18"/>
          <w:szCs w:val="18"/>
        </w:rPr>
        <w:t xml:space="preserve">poměr mezi PPP a HPP, který bude mimo zdůvodnitelné </w:t>
      </w:r>
      <w:r w:rsidRPr="007518FF">
        <w:rPr>
          <w:rFonts w:ascii="Calibri Light" w:hAnsi="Calibri Light" w:cs="Calibri Light"/>
          <w:sz w:val="18"/>
          <w:szCs w:val="18"/>
        </w:rPr>
        <w:t>případy &gt; 0,7</w:t>
      </w:r>
      <w:r>
        <w:rPr>
          <w:rFonts w:ascii="Calibri Light" w:hAnsi="Calibri Light" w:cs="Calibri Light"/>
          <w:sz w:val="18"/>
          <w:szCs w:val="18"/>
        </w:rPr>
        <w:t>, dodržení mixu standardů a prostorových nároků bytů str.10</w:t>
      </w:r>
    </w:p>
  </w:footnote>
  <w:footnote w:id="36">
    <w:p w14:paraId="3E1F2649" w14:textId="7E48125B" w:rsidR="008D7CB0" w:rsidRPr="0063559B" w:rsidRDefault="008D7CB0" w:rsidP="006776B1">
      <w:pPr>
        <w:pStyle w:val="Prosttext"/>
        <w:jc w:val="both"/>
        <w:rPr>
          <w:rFonts w:ascii="Calibri Light" w:hAnsi="Calibri Light" w:cs="Calibri Light"/>
          <w:sz w:val="18"/>
          <w:szCs w:val="18"/>
        </w:rPr>
      </w:pPr>
      <w:r>
        <w:rPr>
          <w:rStyle w:val="Znakapoznpodarou"/>
        </w:rPr>
        <w:footnoteRef/>
      </w:r>
      <w:r>
        <w:t xml:space="preserve"> </w:t>
      </w:r>
      <w:r w:rsidRPr="005B7B77">
        <w:rPr>
          <w:rFonts w:ascii="Calibri Light" w:hAnsi="Calibri Light" w:cs="Calibri Light"/>
          <w:sz w:val="18"/>
          <w:szCs w:val="18"/>
          <w14:ligatures w14:val="none"/>
        </w:rPr>
        <w:t>Kritéria vychází z </w:t>
      </w:r>
      <w:hyperlink r:id="rId8" w:history="1">
        <w:r w:rsidRPr="005B7B77">
          <w:rPr>
            <w:rFonts w:ascii="Calibri Light" w:hAnsi="Calibri Light" w:cs="Calibri Light"/>
            <w:sz w:val="18"/>
            <w:szCs w:val="18"/>
            <w14:ligatures w14:val="none"/>
          </w:rPr>
          <w:t xml:space="preserve">metodiky Pražské developerské společnosti. </w:t>
        </w:r>
      </w:hyperlink>
      <w:r w:rsidRPr="005B7B77">
        <w:rPr>
          <w:rFonts w:ascii="Calibri Light" w:hAnsi="Calibri Light" w:cs="Calibri Light"/>
          <w:sz w:val="18"/>
          <w:szCs w:val="18"/>
          <w14:ligatures w14:val="none"/>
        </w:rPr>
        <w:t xml:space="preserve">Efektivita dispozice je stanoven poměr mezi PPP a HPP, který bude mimo zdůvodnitelné </w:t>
      </w:r>
      <w:r w:rsidRPr="005B7B77">
        <w:rPr>
          <w:rFonts w:ascii="Calibri Light" w:hAnsi="Calibri Light" w:cs="Calibri Light"/>
          <w:sz w:val="18"/>
          <w:szCs w:val="18"/>
          <w14:ligatures w14:val="none"/>
        </w:rPr>
        <w:t>případy &gt; 0,7 (metodika PDS, bod 2.1. str.9,)Typologický mix je popsán na str. 9 a 10 této metodiky, stanoví standardy bytů, jejich velikosti a počty ve zpracovávaném projektu. Samozřejmě pro různé objekty o malé velikosti je nutné přepočítat a poměr zohlednit odpovídajícím způsobem. Hodnocení komfortu uživatele je popsáno konkrétním vybavením, organizací i umístěním konkrétních místností, jež objekt má mít, a to na str. 12 zmíněné metodiky.</w:t>
      </w:r>
    </w:p>
  </w:footnote>
  <w:footnote w:id="37">
    <w:p w14:paraId="5DEC3500" w14:textId="517AD5D1" w:rsidR="00F1392B" w:rsidRDefault="00F1392B" w:rsidP="006776B1">
      <w:pPr>
        <w:pStyle w:val="Textpoznpodarou"/>
        <w:jc w:val="both"/>
      </w:pPr>
      <w:r>
        <w:rPr>
          <w:rStyle w:val="Znakapoznpodarou"/>
        </w:rPr>
        <w:footnoteRef/>
      </w:r>
      <w:r>
        <w:t xml:space="preserve"> </w:t>
      </w:r>
      <w:r w:rsidRPr="00317700">
        <w:rPr>
          <w:rFonts w:ascii="Calibri Light" w:hAnsi="Calibri Light" w:cs="Calibri Light"/>
          <w:sz w:val="18"/>
          <w:szCs w:val="18"/>
        </w:rPr>
        <w:t xml:space="preserve">Využití metodiky </w:t>
      </w:r>
      <w:hyperlink r:id="rId9"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667C58">
        <w:rPr>
          <w:rFonts w:ascii="Calibri Light" w:hAnsi="Calibri Light" w:cs="Calibri Light"/>
          <w:sz w:val="18"/>
          <w:szCs w:val="18"/>
        </w:rPr>
        <w:t xml:space="preserve">poměr mezi PPP a HPP, který bude mimo zdůvodnitelné </w:t>
      </w:r>
      <w:r w:rsidRPr="00667C58">
        <w:rPr>
          <w:rFonts w:ascii="Calibri Light" w:hAnsi="Calibri Light" w:cs="Calibri Light"/>
          <w:sz w:val="18"/>
          <w:szCs w:val="18"/>
        </w:rPr>
        <w:t>případy &gt; 0,7</w:t>
      </w:r>
      <w:r>
        <w:rPr>
          <w:rFonts w:ascii="Calibri Light" w:hAnsi="Calibri Light" w:cs="Calibri Light"/>
          <w:sz w:val="18"/>
          <w:szCs w:val="18"/>
        </w:rPr>
        <w:t>, dodržení mixu standardů a prostorových nároků bytů str.10.</w:t>
      </w:r>
    </w:p>
  </w:footnote>
  <w:footnote w:id="38">
    <w:p w14:paraId="4825BB88" w14:textId="0C31B2EC" w:rsidR="00F1392B" w:rsidRDefault="00F1392B" w:rsidP="006776B1">
      <w:pPr>
        <w:pStyle w:val="Textpoznpodarou"/>
        <w:jc w:val="both"/>
      </w:pPr>
      <w:r>
        <w:rPr>
          <w:rStyle w:val="Znakapoznpodarou"/>
        </w:rPr>
        <w:footnoteRef/>
      </w:r>
      <w:r>
        <w:t xml:space="preserve"> </w:t>
      </w:r>
      <w:r w:rsidRPr="00F53BD5">
        <w:rPr>
          <w:rFonts w:ascii="Calibri Light" w:hAnsi="Calibri Light" w:cs="Calibri Light"/>
          <w:sz w:val="18"/>
          <w:szCs w:val="18"/>
        </w:rPr>
        <w:t xml:space="preserve">Typologický mix je popsán na str. 9 a 10 </w:t>
      </w:r>
      <w:r w:rsidRPr="00317700">
        <w:rPr>
          <w:rFonts w:ascii="Calibri Light" w:hAnsi="Calibri Light" w:cs="Calibri Light"/>
          <w:sz w:val="18"/>
          <w:szCs w:val="18"/>
        </w:rPr>
        <w:t xml:space="preserve">metodiky </w:t>
      </w:r>
      <w:hyperlink r:id="rId10" w:history="1">
        <w:r w:rsidRPr="006A75E2">
          <w:rPr>
            <w:rStyle w:val="Hypertextovodkaz"/>
            <w:rFonts w:ascii="Calibri Light" w:hAnsi="Calibri Light" w:cs="Calibri Light"/>
            <w:sz w:val="18"/>
            <w:szCs w:val="18"/>
          </w:rPr>
          <w:t>Pražské developerské společnosti</w:t>
        </w:r>
      </w:hyperlink>
      <w:r w:rsidRPr="00F53BD5">
        <w:rPr>
          <w:rFonts w:ascii="Calibri Light" w:hAnsi="Calibri Light" w:cs="Calibri Light"/>
          <w:sz w:val="18"/>
          <w:szCs w:val="18"/>
        </w:rPr>
        <w:t xml:space="preserve">, stanoví standardy bytů, jejich velikosti a počty ve zpracovávaném projektu. </w:t>
      </w:r>
      <w:r>
        <w:rPr>
          <w:rFonts w:ascii="Calibri Light" w:hAnsi="Calibri Light" w:cs="Calibri Light"/>
          <w:sz w:val="18"/>
          <w:szCs w:val="18"/>
        </w:rPr>
        <w:t>P</w:t>
      </w:r>
      <w:r w:rsidRPr="00F53BD5">
        <w:rPr>
          <w:rFonts w:ascii="Calibri Light" w:hAnsi="Calibri Light" w:cs="Calibri Light"/>
          <w:sz w:val="18"/>
          <w:szCs w:val="18"/>
        </w:rPr>
        <w:t>ro různé objekty o malé velikosti je nutné přepočítat a poměr zohlednit odpovídajícím způsobem.</w:t>
      </w:r>
    </w:p>
  </w:footnote>
  <w:footnote w:id="39">
    <w:p w14:paraId="5D60E9E3" w14:textId="7C88F233" w:rsidR="00BD5F08" w:rsidRPr="00317700"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F1392B" w:rsidRPr="00317700">
        <w:rPr>
          <w:rFonts w:ascii="Calibri Light" w:hAnsi="Calibri Light" w:cs="Calibri Light"/>
          <w:sz w:val="18"/>
          <w:szCs w:val="18"/>
        </w:rPr>
        <w:t>Mj. např. stavba obsahuje závětří u vstupu, zádveří, společný sklad s prostorem cca 1 m</w:t>
      </w:r>
      <w:r w:rsidR="00F1392B" w:rsidRPr="00317700">
        <w:rPr>
          <w:rFonts w:ascii="Calibri Light" w:hAnsi="Calibri Light" w:cs="Calibri Light"/>
          <w:sz w:val="18"/>
          <w:szCs w:val="18"/>
          <w:vertAlign w:val="superscript"/>
        </w:rPr>
        <w:t>2</w:t>
      </w:r>
      <w:r w:rsidR="00F1392B" w:rsidRPr="00317700">
        <w:rPr>
          <w:rFonts w:ascii="Calibri Light" w:hAnsi="Calibri Light" w:cs="Calibri Light"/>
          <w:sz w:val="18"/>
          <w:szCs w:val="18"/>
        </w:rPr>
        <w:t xml:space="preserve"> na obyvatele, skladovací místnost na každý byt apod.</w:t>
      </w:r>
      <w:r w:rsidR="00F1392B">
        <w:rPr>
          <w:rFonts w:ascii="Calibri Light" w:hAnsi="Calibri Light" w:cs="Calibri Light"/>
          <w:sz w:val="18"/>
          <w:szCs w:val="18"/>
        </w:rPr>
        <w:t xml:space="preserve"> </w:t>
      </w:r>
      <w:r w:rsidR="00F1392B" w:rsidRPr="00F53BD5">
        <w:rPr>
          <w:rFonts w:ascii="Calibri Light" w:hAnsi="Calibri Light" w:cs="Calibri Light"/>
          <w:sz w:val="18"/>
          <w:szCs w:val="18"/>
        </w:rPr>
        <w:t>Hodnocení komfortu uživatele je popsáno konkrétním vybavením, organizací i umístěním konkrétních místností, jež objekt má mít, a to na str. 12 metodiky</w:t>
      </w:r>
      <w:r w:rsidR="00F1392B">
        <w:rPr>
          <w:rFonts w:ascii="Calibri Light" w:hAnsi="Calibri Light" w:cs="Calibri Light"/>
          <w:sz w:val="18"/>
          <w:szCs w:val="18"/>
        </w:rPr>
        <w:t xml:space="preserve"> </w:t>
      </w:r>
      <w:hyperlink r:id="rId11" w:history="1">
        <w:r w:rsidR="00F1392B" w:rsidRPr="006A75E2">
          <w:rPr>
            <w:rStyle w:val="Hypertextovodkaz"/>
            <w:rFonts w:ascii="Calibri Light" w:hAnsi="Calibri Light" w:cs="Calibri Light"/>
            <w:sz w:val="18"/>
            <w:szCs w:val="18"/>
          </w:rPr>
          <w:t>Pražské developerské společnosti</w:t>
        </w:r>
      </w:hyperlink>
    </w:p>
  </w:footnote>
  <w:footnote w:id="40">
    <w:p w14:paraId="557ECFAC" w14:textId="4B637C97" w:rsidR="0011474F" w:rsidRDefault="0011474F" w:rsidP="006776B1">
      <w:pPr>
        <w:pStyle w:val="Textpoznpodarou"/>
        <w:jc w:val="both"/>
      </w:pPr>
      <w:r>
        <w:rPr>
          <w:rStyle w:val="Znakapoznpodarou"/>
        </w:rPr>
        <w:footnoteRef/>
      </w:r>
      <w:r>
        <w:t xml:space="preserve"> </w:t>
      </w:r>
      <w:r w:rsidRPr="0011474F">
        <w:rPr>
          <w:rFonts w:ascii="Calibri Light" w:hAnsi="Calibri Light" w:cs="Calibri Light"/>
          <w:sz w:val="18"/>
          <w:szCs w:val="18"/>
        </w:rPr>
        <w:t>Bodové hodnocení dostupnosti bydlení je uvedeno v Příloze č. 11 Metodika hodnocení sociálních kritérií, kap. Potřebnost výstavby dle dostupnosti bydlení</w:t>
      </w:r>
      <w:r>
        <w:rPr>
          <w:rFonts w:ascii="Calibri Light" w:hAnsi="Calibri Light" w:cs="Calibri Light"/>
          <w:sz w:val="18"/>
          <w:szCs w:val="18"/>
        </w:rPr>
        <w:t>.</w:t>
      </w:r>
    </w:p>
  </w:footnote>
  <w:footnote w:id="41">
    <w:p w14:paraId="69F99968" w14:textId="77777777" w:rsidR="00BD5F08" w:rsidRPr="00317700" w:rsidRDefault="00BD5F08" w:rsidP="006776B1">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42">
    <w:p w14:paraId="277F12DC" w14:textId="688A61FD" w:rsidR="00BD5F08" w:rsidRPr="00565E2B" w:rsidRDefault="00BD5F08" w:rsidP="00BD5F0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r w:rsidR="00792DFF">
        <w:rPr>
          <w:rFonts w:ascii="Calibri Light" w:hAnsi="Calibri Light" w:cs="Calibri Light"/>
          <w:sz w:val="18"/>
          <w:szCs w:val="18"/>
        </w:rPr>
        <w:t xml:space="preserve"> a architektonické studie.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79CAD10C" w:rsidR="00A05BA9" w:rsidRDefault="00DE3C19" w:rsidP="00DE3C19">
    <w:pPr>
      <w:pStyle w:val="Zhlav"/>
      <w:jc w:val="center"/>
    </w:pPr>
    <w:r>
      <w:rPr>
        <w:noProof/>
      </w:rPr>
      <w:drawing>
        <wp:inline distT="0" distB="0" distL="0" distR="0" wp14:anchorId="74C2AEEB" wp14:editId="1C20D6AE">
          <wp:extent cx="4953000" cy="699928"/>
          <wp:effectExtent l="0" t="0" r="0" b="5080"/>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964764" cy="701590"/>
                  </a:xfrm>
                  <a:prstGeom prst="rect">
                    <a:avLst/>
                  </a:prstGeom>
                </pic:spPr>
              </pic:pic>
            </a:graphicData>
          </a:graphic>
        </wp:inline>
      </w:drawing>
    </w:r>
  </w:p>
  <w:p w14:paraId="46ABBD8F" w14:textId="2E1B22D6"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E39FD"/>
    <w:multiLevelType w:val="hybridMultilevel"/>
    <w:tmpl w:val="D458E612"/>
    <w:lvl w:ilvl="0" w:tplc="214A99B6">
      <w:start w:val="10"/>
      <w:numFmt w:val="bullet"/>
      <w:lvlText w:val="-"/>
      <w:lvlJc w:val="left"/>
      <w:pPr>
        <w:ind w:left="720" w:hanging="360"/>
      </w:pPr>
      <w:rPr>
        <w:rFonts w:ascii="Calibri" w:hAnsi="Calibri" w:hint="default"/>
        <w:b/>
        <w:i w:val="0"/>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43018"/>
    <w:multiLevelType w:val="hybridMultilevel"/>
    <w:tmpl w:val="1C3C9580"/>
    <w:lvl w:ilvl="0" w:tplc="7828344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F9159B"/>
    <w:multiLevelType w:val="hybridMultilevel"/>
    <w:tmpl w:val="40BE4E5E"/>
    <w:lvl w:ilvl="0" w:tplc="33AC9326">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7139A"/>
    <w:multiLevelType w:val="hybridMultilevel"/>
    <w:tmpl w:val="73D06F06"/>
    <w:lvl w:ilvl="0" w:tplc="A0D2410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6CE18C3"/>
    <w:multiLevelType w:val="hybridMultilevel"/>
    <w:tmpl w:val="8F3A3160"/>
    <w:lvl w:ilvl="0" w:tplc="79FE7CCC">
      <w:start w:val="1"/>
      <w:numFmt w:val="decimal"/>
      <w:lvlText w:val="%1."/>
      <w:lvlJc w:val="left"/>
      <w:pPr>
        <w:ind w:left="284" w:hanging="284"/>
      </w:pPr>
    </w:lvl>
    <w:lvl w:ilvl="1" w:tplc="222AF814">
      <w:start w:val="1"/>
      <w:numFmt w:val="lowerLetter"/>
      <w:lvlText w:val="%2."/>
      <w:lvlJc w:val="left"/>
      <w:pPr>
        <w:ind w:left="1440" w:hanging="360"/>
      </w:pPr>
    </w:lvl>
    <w:lvl w:ilvl="2" w:tplc="C8EA2E62">
      <w:start w:val="1"/>
      <w:numFmt w:val="lowerRoman"/>
      <w:lvlText w:val="%3."/>
      <w:lvlJc w:val="right"/>
      <w:pPr>
        <w:ind w:left="2160" w:hanging="180"/>
      </w:pPr>
    </w:lvl>
    <w:lvl w:ilvl="3" w:tplc="CF72D3E0">
      <w:start w:val="1"/>
      <w:numFmt w:val="decimal"/>
      <w:lvlText w:val="%4."/>
      <w:lvlJc w:val="left"/>
      <w:pPr>
        <w:ind w:left="2880" w:hanging="360"/>
      </w:pPr>
    </w:lvl>
    <w:lvl w:ilvl="4" w:tplc="E56E2CDE">
      <w:start w:val="1"/>
      <w:numFmt w:val="lowerLetter"/>
      <w:lvlText w:val="%5."/>
      <w:lvlJc w:val="left"/>
      <w:pPr>
        <w:ind w:left="3600" w:hanging="360"/>
      </w:pPr>
    </w:lvl>
    <w:lvl w:ilvl="5" w:tplc="B5E0BF5A">
      <w:start w:val="1"/>
      <w:numFmt w:val="lowerRoman"/>
      <w:lvlText w:val="%6."/>
      <w:lvlJc w:val="right"/>
      <w:pPr>
        <w:ind w:left="4320" w:hanging="180"/>
      </w:pPr>
    </w:lvl>
    <w:lvl w:ilvl="6" w:tplc="55F2A056">
      <w:start w:val="1"/>
      <w:numFmt w:val="decimal"/>
      <w:lvlText w:val="%7."/>
      <w:lvlJc w:val="left"/>
      <w:pPr>
        <w:ind w:left="5040" w:hanging="360"/>
      </w:pPr>
    </w:lvl>
    <w:lvl w:ilvl="7" w:tplc="92041212">
      <w:start w:val="1"/>
      <w:numFmt w:val="lowerLetter"/>
      <w:lvlText w:val="%8."/>
      <w:lvlJc w:val="left"/>
      <w:pPr>
        <w:ind w:left="5760" w:hanging="360"/>
      </w:pPr>
    </w:lvl>
    <w:lvl w:ilvl="8" w:tplc="893E8914">
      <w:start w:val="1"/>
      <w:numFmt w:val="lowerRoman"/>
      <w:lvlText w:val="%9."/>
      <w:lvlJc w:val="right"/>
      <w:pPr>
        <w:ind w:left="6480" w:hanging="180"/>
      </w:pPr>
    </w:lvl>
  </w:abstractNum>
  <w:abstractNum w:abstractNumId="7"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2" w15:restartNumberingAfterBreak="0">
    <w:nsid w:val="1EB94709"/>
    <w:multiLevelType w:val="multilevel"/>
    <w:tmpl w:val="0810BF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eastAsiaTheme="minorHAnsi" w:hAnsiTheme="minorHAnsi" w:cstheme="minorBidi" w:hint="default"/>
        <w:color w:val="auto"/>
        <w:sz w:val="22"/>
      </w:rPr>
    </w:lvl>
    <w:lvl w:ilvl="2">
      <w:start w:val="1"/>
      <w:numFmt w:val="decimal"/>
      <w:isLgl/>
      <w:lvlText w:val="%1.%2.%3"/>
      <w:lvlJc w:val="left"/>
      <w:pPr>
        <w:ind w:left="1080" w:hanging="720"/>
      </w:pPr>
      <w:rPr>
        <w:rFonts w:asciiTheme="minorHAnsi" w:eastAsiaTheme="minorHAnsi" w:hAnsiTheme="minorHAnsi" w:cstheme="minorBidi" w:hint="default"/>
        <w:color w:val="auto"/>
        <w:sz w:val="22"/>
      </w:rPr>
    </w:lvl>
    <w:lvl w:ilvl="3">
      <w:start w:val="1"/>
      <w:numFmt w:val="decimal"/>
      <w:isLgl/>
      <w:lvlText w:val="%1.%2.%3.%4"/>
      <w:lvlJc w:val="left"/>
      <w:pPr>
        <w:ind w:left="1440" w:hanging="1080"/>
      </w:pPr>
      <w:rPr>
        <w:rFonts w:asciiTheme="minorHAnsi" w:eastAsiaTheme="minorHAnsi" w:hAnsiTheme="minorHAnsi" w:cstheme="minorBidi" w:hint="default"/>
        <w:color w:val="auto"/>
        <w:sz w:val="22"/>
      </w:rPr>
    </w:lvl>
    <w:lvl w:ilvl="4">
      <w:start w:val="1"/>
      <w:numFmt w:val="decimal"/>
      <w:isLgl/>
      <w:lvlText w:val="%1.%2.%3.%4.%5"/>
      <w:lvlJc w:val="left"/>
      <w:pPr>
        <w:ind w:left="1440" w:hanging="1080"/>
      </w:pPr>
      <w:rPr>
        <w:rFonts w:asciiTheme="minorHAnsi" w:eastAsiaTheme="minorHAnsi" w:hAnsiTheme="minorHAnsi" w:cstheme="minorBidi" w:hint="default"/>
        <w:color w:val="auto"/>
        <w:sz w:val="22"/>
      </w:rPr>
    </w:lvl>
    <w:lvl w:ilvl="5">
      <w:start w:val="1"/>
      <w:numFmt w:val="decimal"/>
      <w:isLgl/>
      <w:lvlText w:val="%1.%2.%3.%4.%5.%6"/>
      <w:lvlJc w:val="left"/>
      <w:pPr>
        <w:ind w:left="1800" w:hanging="1440"/>
      </w:pPr>
      <w:rPr>
        <w:rFonts w:asciiTheme="minorHAnsi" w:eastAsiaTheme="minorHAnsi" w:hAnsiTheme="minorHAnsi" w:cstheme="minorBidi" w:hint="default"/>
        <w:color w:val="auto"/>
        <w:sz w:val="22"/>
      </w:rPr>
    </w:lvl>
    <w:lvl w:ilvl="6">
      <w:start w:val="1"/>
      <w:numFmt w:val="decimal"/>
      <w:isLgl/>
      <w:lvlText w:val="%1.%2.%3.%4.%5.%6.%7"/>
      <w:lvlJc w:val="left"/>
      <w:pPr>
        <w:ind w:left="1800" w:hanging="1440"/>
      </w:pPr>
      <w:rPr>
        <w:rFonts w:asciiTheme="minorHAnsi" w:eastAsiaTheme="minorHAnsi" w:hAnsiTheme="minorHAnsi" w:cstheme="minorBidi" w:hint="default"/>
        <w:color w:val="auto"/>
        <w:sz w:val="22"/>
      </w:rPr>
    </w:lvl>
    <w:lvl w:ilvl="7">
      <w:start w:val="1"/>
      <w:numFmt w:val="decimal"/>
      <w:isLgl/>
      <w:lvlText w:val="%1.%2.%3.%4.%5.%6.%7.%8"/>
      <w:lvlJc w:val="left"/>
      <w:pPr>
        <w:ind w:left="2160" w:hanging="1800"/>
      </w:pPr>
      <w:rPr>
        <w:rFonts w:asciiTheme="minorHAnsi" w:eastAsiaTheme="minorHAnsi" w:hAnsiTheme="minorHAnsi" w:cstheme="minorBidi" w:hint="default"/>
        <w:color w:val="auto"/>
        <w:sz w:val="22"/>
      </w:rPr>
    </w:lvl>
    <w:lvl w:ilvl="8">
      <w:start w:val="1"/>
      <w:numFmt w:val="decimal"/>
      <w:isLgl/>
      <w:lvlText w:val="%1.%2.%3.%4.%5.%6.%7.%8.%9"/>
      <w:lvlJc w:val="left"/>
      <w:pPr>
        <w:ind w:left="2160" w:hanging="1800"/>
      </w:pPr>
      <w:rPr>
        <w:rFonts w:asciiTheme="minorHAnsi" w:eastAsiaTheme="minorHAnsi" w:hAnsiTheme="minorHAnsi" w:cstheme="minorBidi" w:hint="default"/>
        <w:color w:val="auto"/>
        <w:sz w:val="22"/>
      </w:rPr>
    </w:lvl>
  </w:abstractNum>
  <w:abstractNum w:abstractNumId="13"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5"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861C32"/>
    <w:multiLevelType w:val="hybridMultilevel"/>
    <w:tmpl w:val="A2E8226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2A94343"/>
    <w:multiLevelType w:val="hybridMultilevel"/>
    <w:tmpl w:val="A2E8226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A977311"/>
    <w:multiLevelType w:val="hybridMultilevel"/>
    <w:tmpl w:val="5784CF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8" w15:restartNumberingAfterBreak="0">
    <w:nsid w:val="42EB655A"/>
    <w:multiLevelType w:val="hybridMultilevel"/>
    <w:tmpl w:val="F1FCF148"/>
    <w:lvl w:ilvl="0" w:tplc="214A99B6">
      <w:start w:val="10"/>
      <w:numFmt w:val="bullet"/>
      <w:lvlText w:val="-"/>
      <w:lvlJc w:val="left"/>
      <w:pPr>
        <w:ind w:left="720" w:hanging="360"/>
      </w:pPr>
      <w:rPr>
        <w:rFonts w:ascii="Calibri" w:hAnsi="Calibri" w:hint="default"/>
        <w:b/>
        <w:i w:val="0"/>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43067C"/>
    <w:multiLevelType w:val="hybridMultilevel"/>
    <w:tmpl w:val="97E49012"/>
    <w:lvl w:ilvl="0" w:tplc="FFFFFFFF">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157307"/>
    <w:multiLevelType w:val="hybridMultilevel"/>
    <w:tmpl w:val="0AF2661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356038"/>
    <w:multiLevelType w:val="hybridMultilevel"/>
    <w:tmpl w:val="0D76D89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1"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9F5B8F"/>
    <w:multiLevelType w:val="hybridMultilevel"/>
    <w:tmpl w:val="8E2463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945622">
    <w:abstractNumId w:val="6"/>
  </w:num>
  <w:num w:numId="2" w16cid:durableId="1488478788">
    <w:abstractNumId w:val="19"/>
  </w:num>
  <w:num w:numId="3" w16cid:durableId="1008093380">
    <w:abstractNumId w:val="22"/>
  </w:num>
  <w:num w:numId="4" w16cid:durableId="640306141">
    <w:abstractNumId w:val="23"/>
  </w:num>
  <w:num w:numId="5" w16cid:durableId="1337419672">
    <w:abstractNumId w:val="37"/>
  </w:num>
  <w:num w:numId="6" w16cid:durableId="1826432939">
    <w:abstractNumId w:val="8"/>
  </w:num>
  <w:num w:numId="7" w16cid:durableId="496269526">
    <w:abstractNumId w:val="33"/>
  </w:num>
  <w:num w:numId="8" w16cid:durableId="2084329746">
    <w:abstractNumId w:val="9"/>
  </w:num>
  <w:num w:numId="9" w16cid:durableId="1783650163">
    <w:abstractNumId w:val="10"/>
  </w:num>
  <w:num w:numId="10" w16cid:durableId="1539659222">
    <w:abstractNumId w:val="26"/>
  </w:num>
  <w:num w:numId="11" w16cid:durableId="1229343372">
    <w:abstractNumId w:val="4"/>
  </w:num>
  <w:num w:numId="12" w16cid:durableId="428744404">
    <w:abstractNumId w:val="40"/>
  </w:num>
  <w:num w:numId="13" w16cid:durableId="436368045">
    <w:abstractNumId w:val="29"/>
  </w:num>
  <w:num w:numId="14" w16cid:durableId="1486775676">
    <w:abstractNumId w:val="9"/>
    <w:lvlOverride w:ilvl="0">
      <w:startOverride w:val="1"/>
    </w:lvlOverride>
  </w:num>
  <w:num w:numId="15" w16cid:durableId="1656763395">
    <w:abstractNumId w:val="34"/>
  </w:num>
  <w:num w:numId="16" w16cid:durableId="109864799">
    <w:abstractNumId w:val="11"/>
  </w:num>
  <w:num w:numId="17" w16cid:durableId="632251890">
    <w:abstractNumId w:val="32"/>
  </w:num>
  <w:num w:numId="18" w16cid:durableId="1211646391">
    <w:abstractNumId w:val="31"/>
  </w:num>
  <w:num w:numId="19" w16cid:durableId="1246721192">
    <w:abstractNumId w:val="17"/>
  </w:num>
  <w:num w:numId="20" w16cid:durableId="329063453">
    <w:abstractNumId w:val="36"/>
  </w:num>
  <w:num w:numId="21" w16cid:durableId="1792019052">
    <w:abstractNumId w:val="38"/>
  </w:num>
  <w:num w:numId="22" w16cid:durableId="1561093147">
    <w:abstractNumId w:val="13"/>
  </w:num>
  <w:num w:numId="23" w16cid:durableId="1026563710">
    <w:abstractNumId w:val="44"/>
  </w:num>
  <w:num w:numId="24" w16cid:durableId="794643437">
    <w:abstractNumId w:val="42"/>
  </w:num>
  <w:num w:numId="25" w16cid:durableId="1812550362">
    <w:abstractNumId w:val="30"/>
  </w:num>
  <w:num w:numId="26" w16cid:durableId="1151018753">
    <w:abstractNumId w:val="15"/>
  </w:num>
  <w:num w:numId="27" w16cid:durableId="1423259974">
    <w:abstractNumId w:val="41"/>
  </w:num>
  <w:num w:numId="28" w16cid:durableId="417950227">
    <w:abstractNumId w:val="16"/>
  </w:num>
  <w:num w:numId="29" w16cid:durableId="2061049278">
    <w:abstractNumId w:val="27"/>
  </w:num>
  <w:num w:numId="30" w16cid:durableId="1132166415">
    <w:abstractNumId w:val="0"/>
  </w:num>
  <w:num w:numId="31" w16cid:durableId="233122586">
    <w:abstractNumId w:val="7"/>
  </w:num>
  <w:num w:numId="32" w16cid:durableId="934628978">
    <w:abstractNumId w:val="14"/>
  </w:num>
  <w:num w:numId="33" w16cid:durableId="297221455">
    <w:abstractNumId w:val="20"/>
  </w:num>
  <w:num w:numId="34" w16cid:durableId="762995111">
    <w:abstractNumId w:val="18"/>
  </w:num>
  <w:num w:numId="35" w16cid:durableId="1953514682">
    <w:abstractNumId w:val="12"/>
  </w:num>
  <w:num w:numId="36" w16cid:durableId="546264608">
    <w:abstractNumId w:val="25"/>
  </w:num>
  <w:num w:numId="37" w16cid:durableId="1209494756">
    <w:abstractNumId w:val="43"/>
  </w:num>
  <w:num w:numId="38" w16cid:durableId="992294659">
    <w:abstractNumId w:val="35"/>
  </w:num>
  <w:num w:numId="39" w16cid:durableId="805701672">
    <w:abstractNumId w:val="21"/>
  </w:num>
  <w:num w:numId="40" w16cid:durableId="122430979">
    <w:abstractNumId w:val="39"/>
  </w:num>
  <w:num w:numId="41" w16cid:durableId="94133982">
    <w:abstractNumId w:val="24"/>
  </w:num>
  <w:num w:numId="42" w16cid:durableId="1125654737">
    <w:abstractNumId w:val="2"/>
  </w:num>
  <w:num w:numId="43" w16cid:durableId="133452248">
    <w:abstractNumId w:val="3"/>
  </w:num>
  <w:num w:numId="44" w16cid:durableId="253049012">
    <w:abstractNumId w:val="5"/>
  </w:num>
  <w:num w:numId="45" w16cid:durableId="1038361036">
    <w:abstractNumId w:val="28"/>
  </w:num>
  <w:num w:numId="46" w16cid:durableId="756096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99B"/>
    <w:rsid w:val="00014F63"/>
    <w:rsid w:val="000208E2"/>
    <w:rsid w:val="00036A3E"/>
    <w:rsid w:val="00040AD3"/>
    <w:rsid w:val="00044DB9"/>
    <w:rsid w:val="0005496E"/>
    <w:rsid w:val="0005599F"/>
    <w:rsid w:val="0005663F"/>
    <w:rsid w:val="00057100"/>
    <w:rsid w:val="00057399"/>
    <w:rsid w:val="00057C7F"/>
    <w:rsid w:val="00066E38"/>
    <w:rsid w:val="00070FE9"/>
    <w:rsid w:val="000721F8"/>
    <w:rsid w:val="000735D0"/>
    <w:rsid w:val="00077C66"/>
    <w:rsid w:val="000852DF"/>
    <w:rsid w:val="000855EE"/>
    <w:rsid w:val="000869D1"/>
    <w:rsid w:val="00096838"/>
    <w:rsid w:val="00097DB6"/>
    <w:rsid w:val="000A1D16"/>
    <w:rsid w:val="000A3C1C"/>
    <w:rsid w:val="000A453F"/>
    <w:rsid w:val="000A49D6"/>
    <w:rsid w:val="000A5206"/>
    <w:rsid w:val="000A6AB4"/>
    <w:rsid w:val="000A7939"/>
    <w:rsid w:val="000B42E0"/>
    <w:rsid w:val="000B553E"/>
    <w:rsid w:val="000B5901"/>
    <w:rsid w:val="000B5A04"/>
    <w:rsid w:val="000B5C1F"/>
    <w:rsid w:val="000B5F15"/>
    <w:rsid w:val="000B688B"/>
    <w:rsid w:val="000C7C5F"/>
    <w:rsid w:val="000D115B"/>
    <w:rsid w:val="000D7CA1"/>
    <w:rsid w:val="000E2058"/>
    <w:rsid w:val="000E4312"/>
    <w:rsid w:val="000E4DD3"/>
    <w:rsid w:val="000E61EE"/>
    <w:rsid w:val="000F21FB"/>
    <w:rsid w:val="000F6876"/>
    <w:rsid w:val="00102CAB"/>
    <w:rsid w:val="0010305A"/>
    <w:rsid w:val="00103148"/>
    <w:rsid w:val="00106FBD"/>
    <w:rsid w:val="00111D36"/>
    <w:rsid w:val="0011474F"/>
    <w:rsid w:val="00122F9F"/>
    <w:rsid w:val="0012346C"/>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141F"/>
    <w:rsid w:val="001830A5"/>
    <w:rsid w:val="00184027"/>
    <w:rsid w:val="00194BE8"/>
    <w:rsid w:val="00197707"/>
    <w:rsid w:val="001B3653"/>
    <w:rsid w:val="001B37E4"/>
    <w:rsid w:val="001B7408"/>
    <w:rsid w:val="001C266B"/>
    <w:rsid w:val="001C3E0E"/>
    <w:rsid w:val="001C7491"/>
    <w:rsid w:val="001C792D"/>
    <w:rsid w:val="001D102C"/>
    <w:rsid w:val="001D292A"/>
    <w:rsid w:val="001D2A83"/>
    <w:rsid w:val="001E18AA"/>
    <w:rsid w:val="001E4FFD"/>
    <w:rsid w:val="001E7A61"/>
    <w:rsid w:val="001F0322"/>
    <w:rsid w:val="001F2410"/>
    <w:rsid w:val="001F3266"/>
    <w:rsid w:val="001F43CB"/>
    <w:rsid w:val="001F6836"/>
    <w:rsid w:val="001F746C"/>
    <w:rsid w:val="002011C3"/>
    <w:rsid w:val="00203ACF"/>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98B"/>
    <w:rsid w:val="00243A41"/>
    <w:rsid w:val="002442B8"/>
    <w:rsid w:val="0024575C"/>
    <w:rsid w:val="00245A55"/>
    <w:rsid w:val="00246697"/>
    <w:rsid w:val="002520E7"/>
    <w:rsid w:val="002552E9"/>
    <w:rsid w:val="00257542"/>
    <w:rsid w:val="00257788"/>
    <w:rsid w:val="00261941"/>
    <w:rsid w:val="0026250F"/>
    <w:rsid w:val="0026252B"/>
    <w:rsid w:val="00265904"/>
    <w:rsid w:val="00267BF9"/>
    <w:rsid w:val="00271344"/>
    <w:rsid w:val="002748BB"/>
    <w:rsid w:val="002821CC"/>
    <w:rsid w:val="002854DB"/>
    <w:rsid w:val="00286C01"/>
    <w:rsid w:val="00291F6A"/>
    <w:rsid w:val="00292BA0"/>
    <w:rsid w:val="002932D8"/>
    <w:rsid w:val="002A27C8"/>
    <w:rsid w:val="002A2FE7"/>
    <w:rsid w:val="002A4E67"/>
    <w:rsid w:val="002B368E"/>
    <w:rsid w:val="002B6556"/>
    <w:rsid w:val="002C046C"/>
    <w:rsid w:val="002C177C"/>
    <w:rsid w:val="002C572D"/>
    <w:rsid w:val="002C69A1"/>
    <w:rsid w:val="002C7481"/>
    <w:rsid w:val="002C7A46"/>
    <w:rsid w:val="002D4204"/>
    <w:rsid w:val="002D6115"/>
    <w:rsid w:val="002E09F6"/>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472A0"/>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A532D"/>
    <w:rsid w:val="003B1000"/>
    <w:rsid w:val="003B60B6"/>
    <w:rsid w:val="003C67B4"/>
    <w:rsid w:val="003C6B60"/>
    <w:rsid w:val="003D5845"/>
    <w:rsid w:val="003D5D97"/>
    <w:rsid w:val="003D6380"/>
    <w:rsid w:val="003E6BF6"/>
    <w:rsid w:val="003E745D"/>
    <w:rsid w:val="003E7867"/>
    <w:rsid w:val="003F30FE"/>
    <w:rsid w:val="003F6935"/>
    <w:rsid w:val="003F7209"/>
    <w:rsid w:val="00400CD0"/>
    <w:rsid w:val="00401D28"/>
    <w:rsid w:val="00402722"/>
    <w:rsid w:val="0040460C"/>
    <w:rsid w:val="00405EE4"/>
    <w:rsid w:val="0041598A"/>
    <w:rsid w:val="00415AEE"/>
    <w:rsid w:val="004343F1"/>
    <w:rsid w:val="00435D22"/>
    <w:rsid w:val="004408B1"/>
    <w:rsid w:val="004446E8"/>
    <w:rsid w:val="00446B7E"/>
    <w:rsid w:val="00450F93"/>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1B3A"/>
    <w:rsid w:val="004B24BB"/>
    <w:rsid w:val="004B2990"/>
    <w:rsid w:val="004B3C6F"/>
    <w:rsid w:val="004C14C5"/>
    <w:rsid w:val="004C1FEB"/>
    <w:rsid w:val="004C74D2"/>
    <w:rsid w:val="004D0AC6"/>
    <w:rsid w:val="004D3DD0"/>
    <w:rsid w:val="004D5710"/>
    <w:rsid w:val="004D65FF"/>
    <w:rsid w:val="004E342F"/>
    <w:rsid w:val="004E6082"/>
    <w:rsid w:val="004E73CD"/>
    <w:rsid w:val="004F3D4D"/>
    <w:rsid w:val="0050490F"/>
    <w:rsid w:val="00505848"/>
    <w:rsid w:val="00513C5E"/>
    <w:rsid w:val="00520431"/>
    <w:rsid w:val="005211DB"/>
    <w:rsid w:val="00522C07"/>
    <w:rsid w:val="00523E34"/>
    <w:rsid w:val="00524A63"/>
    <w:rsid w:val="00526EDC"/>
    <w:rsid w:val="0053396E"/>
    <w:rsid w:val="005421E8"/>
    <w:rsid w:val="00546D5F"/>
    <w:rsid w:val="0055028E"/>
    <w:rsid w:val="0055065D"/>
    <w:rsid w:val="005536D8"/>
    <w:rsid w:val="00557F92"/>
    <w:rsid w:val="0056072C"/>
    <w:rsid w:val="00565E2B"/>
    <w:rsid w:val="00567958"/>
    <w:rsid w:val="00570145"/>
    <w:rsid w:val="00570383"/>
    <w:rsid w:val="0057190E"/>
    <w:rsid w:val="00572BF4"/>
    <w:rsid w:val="00576EF1"/>
    <w:rsid w:val="00585341"/>
    <w:rsid w:val="0059138C"/>
    <w:rsid w:val="005923E7"/>
    <w:rsid w:val="0059589A"/>
    <w:rsid w:val="00596086"/>
    <w:rsid w:val="005961ED"/>
    <w:rsid w:val="005A012C"/>
    <w:rsid w:val="005A160B"/>
    <w:rsid w:val="005B007F"/>
    <w:rsid w:val="005B50EE"/>
    <w:rsid w:val="005B64B6"/>
    <w:rsid w:val="005B7EA5"/>
    <w:rsid w:val="005B7FFE"/>
    <w:rsid w:val="005C3EC4"/>
    <w:rsid w:val="005C55B9"/>
    <w:rsid w:val="005C59EB"/>
    <w:rsid w:val="005C62B7"/>
    <w:rsid w:val="005C79C0"/>
    <w:rsid w:val="005D156F"/>
    <w:rsid w:val="005D1844"/>
    <w:rsid w:val="005D4B8E"/>
    <w:rsid w:val="005D79C8"/>
    <w:rsid w:val="005E4A47"/>
    <w:rsid w:val="005E4C33"/>
    <w:rsid w:val="005E5868"/>
    <w:rsid w:val="005E6D5B"/>
    <w:rsid w:val="005E7F63"/>
    <w:rsid w:val="005F01E8"/>
    <w:rsid w:val="005F02EF"/>
    <w:rsid w:val="005F0D26"/>
    <w:rsid w:val="005F7F9C"/>
    <w:rsid w:val="0060422B"/>
    <w:rsid w:val="006207DF"/>
    <w:rsid w:val="00620E26"/>
    <w:rsid w:val="006221F8"/>
    <w:rsid w:val="00623785"/>
    <w:rsid w:val="00630021"/>
    <w:rsid w:val="00632B48"/>
    <w:rsid w:val="00634381"/>
    <w:rsid w:val="0063506C"/>
    <w:rsid w:val="0063559B"/>
    <w:rsid w:val="00635FC7"/>
    <w:rsid w:val="00641887"/>
    <w:rsid w:val="00647234"/>
    <w:rsid w:val="00656F30"/>
    <w:rsid w:val="00657BFA"/>
    <w:rsid w:val="00667162"/>
    <w:rsid w:val="00667C58"/>
    <w:rsid w:val="00676EF2"/>
    <w:rsid w:val="0067736D"/>
    <w:rsid w:val="006776B1"/>
    <w:rsid w:val="006803CD"/>
    <w:rsid w:val="00681BFC"/>
    <w:rsid w:val="00682152"/>
    <w:rsid w:val="00684B35"/>
    <w:rsid w:val="00686B42"/>
    <w:rsid w:val="00691BCF"/>
    <w:rsid w:val="006957A5"/>
    <w:rsid w:val="0069719B"/>
    <w:rsid w:val="006972F0"/>
    <w:rsid w:val="00697611"/>
    <w:rsid w:val="006A6DD1"/>
    <w:rsid w:val="006A75E2"/>
    <w:rsid w:val="006B08A0"/>
    <w:rsid w:val="006B1ABE"/>
    <w:rsid w:val="006B3868"/>
    <w:rsid w:val="006B3982"/>
    <w:rsid w:val="006B4EF7"/>
    <w:rsid w:val="006B629C"/>
    <w:rsid w:val="006C22BD"/>
    <w:rsid w:val="006C3468"/>
    <w:rsid w:val="006C5A66"/>
    <w:rsid w:val="006C7D86"/>
    <w:rsid w:val="006E44D0"/>
    <w:rsid w:val="006E5180"/>
    <w:rsid w:val="006E5C82"/>
    <w:rsid w:val="006E72F1"/>
    <w:rsid w:val="006F0FD9"/>
    <w:rsid w:val="006F3E67"/>
    <w:rsid w:val="006F7985"/>
    <w:rsid w:val="007043C9"/>
    <w:rsid w:val="007052CD"/>
    <w:rsid w:val="007117A4"/>
    <w:rsid w:val="007168D8"/>
    <w:rsid w:val="00722201"/>
    <w:rsid w:val="00722EA1"/>
    <w:rsid w:val="00727BEA"/>
    <w:rsid w:val="00730A46"/>
    <w:rsid w:val="00751C73"/>
    <w:rsid w:val="00752664"/>
    <w:rsid w:val="00754349"/>
    <w:rsid w:val="0075715C"/>
    <w:rsid w:val="00757BD7"/>
    <w:rsid w:val="00763129"/>
    <w:rsid w:val="00763307"/>
    <w:rsid w:val="0076431E"/>
    <w:rsid w:val="007655FF"/>
    <w:rsid w:val="0076574B"/>
    <w:rsid w:val="00781B5C"/>
    <w:rsid w:val="00781E3D"/>
    <w:rsid w:val="007827B1"/>
    <w:rsid w:val="00786C27"/>
    <w:rsid w:val="00786C3F"/>
    <w:rsid w:val="00792DFF"/>
    <w:rsid w:val="007973A8"/>
    <w:rsid w:val="007A3D95"/>
    <w:rsid w:val="007A63E9"/>
    <w:rsid w:val="007A65CB"/>
    <w:rsid w:val="007B5A1C"/>
    <w:rsid w:val="007B6B7D"/>
    <w:rsid w:val="007C0922"/>
    <w:rsid w:val="007C0AB0"/>
    <w:rsid w:val="007C0F78"/>
    <w:rsid w:val="007C55C6"/>
    <w:rsid w:val="007D2576"/>
    <w:rsid w:val="007D4670"/>
    <w:rsid w:val="007D7779"/>
    <w:rsid w:val="007E2F25"/>
    <w:rsid w:val="007E53BF"/>
    <w:rsid w:val="007E74B4"/>
    <w:rsid w:val="007E7D86"/>
    <w:rsid w:val="007F29BA"/>
    <w:rsid w:val="007F4BB9"/>
    <w:rsid w:val="007F4D2A"/>
    <w:rsid w:val="007F57DD"/>
    <w:rsid w:val="007F76A5"/>
    <w:rsid w:val="007F7FEA"/>
    <w:rsid w:val="008005E0"/>
    <w:rsid w:val="008032AD"/>
    <w:rsid w:val="00804494"/>
    <w:rsid w:val="008107DB"/>
    <w:rsid w:val="00813536"/>
    <w:rsid w:val="00814A94"/>
    <w:rsid w:val="00817EFD"/>
    <w:rsid w:val="00824C5E"/>
    <w:rsid w:val="00825918"/>
    <w:rsid w:val="00827F6D"/>
    <w:rsid w:val="00830305"/>
    <w:rsid w:val="00830417"/>
    <w:rsid w:val="00830435"/>
    <w:rsid w:val="0083199B"/>
    <w:rsid w:val="0083207B"/>
    <w:rsid w:val="00836E0D"/>
    <w:rsid w:val="00837CA0"/>
    <w:rsid w:val="00844F3C"/>
    <w:rsid w:val="00850DC5"/>
    <w:rsid w:val="00852918"/>
    <w:rsid w:val="008572CA"/>
    <w:rsid w:val="00862214"/>
    <w:rsid w:val="00863CFB"/>
    <w:rsid w:val="00864193"/>
    <w:rsid w:val="008716F6"/>
    <w:rsid w:val="008728F5"/>
    <w:rsid w:val="00874DB4"/>
    <w:rsid w:val="008812C3"/>
    <w:rsid w:val="00884241"/>
    <w:rsid w:val="0088426A"/>
    <w:rsid w:val="0088453F"/>
    <w:rsid w:val="00885D11"/>
    <w:rsid w:val="00895CD7"/>
    <w:rsid w:val="008A1E1F"/>
    <w:rsid w:val="008A3E67"/>
    <w:rsid w:val="008A5F96"/>
    <w:rsid w:val="008A6BB7"/>
    <w:rsid w:val="008B7BB5"/>
    <w:rsid w:val="008B7DD4"/>
    <w:rsid w:val="008C5A6B"/>
    <w:rsid w:val="008C6F53"/>
    <w:rsid w:val="008C7A51"/>
    <w:rsid w:val="008D6E1E"/>
    <w:rsid w:val="008D771C"/>
    <w:rsid w:val="008D7CB0"/>
    <w:rsid w:val="008E20CB"/>
    <w:rsid w:val="008E4C9B"/>
    <w:rsid w:val="008E58DA"/>
    <w:rsid w:val="008E6A6B"/>
    <w:rsid w:val="008F2089"/>
    <w:rsid w:val="008F585C"/>
    <w:rsid w:val="008F5940"/>
    <w:rsid w:val="008F6493"/>
    <w:rsid w:val="00900F86"/>
    <w:rsid w:val="009023B6"/>
    <w:rsid w:val="009146C0"/>
    <w:rsid w:val="00917D66"/>
    <w:rsid w:val="00920BF6"/>
    <w:rsid w:val="00921380"/>
    <w:rsid w:val="009263F8"/>
    <w:rsid w:val="00927DD6"/>
    <w:rsid w:val="00932304"/>
    <w:rsid w:val="00932786"/>
    <w:rsid w:val="00936696"/>
    <w:rsid w:val="00936E48"/>
    <w:rsid w:val="00941215"/>
    <w:rsid w:val="009447C2"/>
    <w:rsid w:val="009503F3"/>
    <w:rsid w:val="00950845"/>
    <w:rsid w:val="00954D68"/>
    <w:rsid w:val="009563DA"/>
    <w:rsid w:val="00961249"/>
    <w:rsid w:val="00961665"/>
    <w:rsid w:val="00962088"/>
    <w:rsid w:val="00962278"/>
    <w:rsid w:val="00964210"/>
    <w:rsid w:val="0096682A"/>
    <w:rsid w:val="009679E3"/>
    <w:rsid w:val="0097615F"/>
    <w:rsid w:val="0097661D"/>
    <w:rsid w:val="00977539"/>
    <w:rsid w:val="009777DD"/>
    <w:rsid w:val="00977985"/>
    <w:rsid w:val="00977A5B"/>
    <w:rsid w:val="00991CCA"/>
    <w:rsid w:val="00994A83"/>
    <w:rsid w:val="009A3E1D"/>
    <w:rsid w:val="009B6EB8"/>
    <w:rsid w:val="009C273F"/>
    <w:rsid w:val="009C2DA4"/>
    <w:rsid w:val="009D2D37"/>
    <w:rsid w:val="009D4619"/>
    <w:rsid w:val="009D501E"/>
    <w:rsid w:val="009D7224"/>
    <w:rsid w:val="009D72A8"/>
    <w:rsid w:val="009E08B6"/>
    <w:rsid w:val="009E4637"/>
    <w:rsid w:val="009E4F57"/>
    <w:rsid w:val="009F01AC"/>
    <w:rsid w:val="009F39E1"/>
    <w:rsid w:val="009F7CFA"/>
    <w:rsid w:val="00A01903"/>
    <w:rsid w:val="00A01B73"/>
    <w:rsid w:val="00A0236F"/>
    <w:rsid w:val="00A02E83"/>
    <w:rsid w:val="00A035A3"/>
    <w:rsid w:val="00A04ADF"/>
    <w:rsid w:val="00A05BA9"/>
    <w:rsid w:val="00A12BE8"/>
    <w:rsid w:val="00A22033"/>
    <w:rsid w:val="00A24831"/>
    <w:rsid w:val="00A2511A"/>
    <w:rsid w:val="00A25FAF"/>
    <w:rsid w:val="00A311A0"/>
    <w:rsid w:val="00A33F6A"/>
    <w:rsid w:val="00A408A4"/>
    <w:rsid w:val="00A439A8"/>
    <w:rsid w:val="00A60C48"/>
    <w:rsid w:val="00A67C37"/>
    <w:rsid w:val="00A75B08"/>
    <w:rsid w:val="00A87C7F"/>
    <w:rsid w:val="00A927A9"/>
    <w:rsid w:val="00A9543E"/>
    <w:rsid w:val="00A95C77"/>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652C"/>
    <w:rsid w:val="00AF7CA2"/>
    <w:rsid w:val="00B0097D"/>
    <w:rsid w:val="00B00AFF"/>
    <w:rsid w:val="00B0270E"/>
    <w:rsid w:val="00B028A3"/>
    <w:rsid w:val="00B06069"/>
    <w:rsid w:val="00B0722B"/>
    <w:rsid w:val="00B130DC"/>
    <w:rsid w:val="00B20E1B"/>
    <w:rsid w:val="00B27D24"/>
    <w:rsid w:val="00B30814"/>
    <w:rsid w:val="00B32019"/>
    <w:rsid w:val="00B32976"/>
    <w:rsid w:val="00B32AB8"/>
    <w:rsid w:val="00B35048"/>
    <w:rsid w:val="00B3528F"/>
    <w:rsid w:val="00B35949"/>
    <w:rsid w:val="00B41D54"/>
    <w:rsid w:val="00B44B9E"/>
    <w:rsid w:val="00B45134"/>
    <w:rsid w:val="00B45F31"/>
    <w:rsid w:val="00B53ED0"/>
    <w:rsid w:val="00B5542F"/>
    <w:rsid w:val="00B55EB2"/>
    <w:rsid w:val="00B5632A"/>
    <w:rsid w:val="00B56469"/>
    <w:rsid w:val="00B57CF2"/>
    <w:rsid w:val="00B61FB2"/>
    <w:rsid w:val="00B63DA4"/>
    <w:rsid w:val="00B67634"/>
    <w:rsid w:val="00B70E2A"/>
    <w:rsid w:val="00B7197B"/>
    <w:rsid w:val="00B74525"/>
    <w:rsid w:val="00B82463"/>
    <w:rsid w:val="00B8276E"/>
    <w:rsid w:val="00B831AF"/>
    <w:rsid w:val="00B83E2D"/>
    <w:rsid w:val="00B8444F"/>
    <w:rsid w:val="00B87183"/>
    <w:rsid w:val="00B92155"/>
    <w:rsid w:val="00B92EF2"/>
    <w:rsid w:val="00B9550D"/>
    <w:rsid w:val="00B95F61"/>
    <w:rsid w:val="00B97B84"/>
    <w:rsid w:val="00BA1F8E"/>
    <w:rsid w:val="00BA5398"/>
    <w:rsid w:val="00BA7A18"/>
    <w:rsid w:val="00BB1CFB"/>
    <w:rsid w:val="00BB3F6E"/>
    <w:rsid w:val="00BB4207"/>
    <w:rsid w:val="00BB4709"/>
    <w:rsid w:val="00BB769E"/>
    <w:rsid w:val="00BC4A9A"/>
    <w:rsid w:val="00BC558C"/>
    <w:rsid w:val="00BD1E03"/>
    <w:rsid w:val="00BD2659"/>
    <w:rsid w:val="00BD56D4"/>
    <w:rsid w:val="00BD5F08"/>
    <w:rsid w:val="00BE5263"/>
    <w:rsid w:val="00BE5725"/>
    <w:rsid w:val="00BE66FE"/>
    <w:rsid w:val="00BF5D8A"/>
    <w:rsid w:val="00C044A5"/>
    <w:rsid w:val="00C053B0"/>
    <w:rsid w:val="00C056A3"/>
    <w:rsid w:val="00C0586B"/>
    <w:rsid w:val="00C23DEF"/>
    <w:rsid w:val="00C23F14"/>
    <w:rsid w:val="00C24C75"/>
    <w:rsid w:val="00C346E3"/>
    <w:rsid w:val="00C355FD"/>
    <w:rsid w:val="00C35FF0"/>
    <w:rsid w:val="00C36870"/>
    <w:rsid w:val="00C46A07"/>
    <w:rsid w:val="00C47B5E"/>
    <w:rsid w:val="00C52975"/>
    <w:rsid w:val="00C533FF"/>
    <w:rsid w:val="00C54A22"/>
    <w:rsid w:val="00C55C4B"/>
    <w:rsid w:val="00C6023B"/>
    <w:rsid w:val="00C61088"/>
    <w:rsid w:val="00C61809"/>
    <w:rsid w:val="00C6668B"/>
    <w:rsid w:val="00C70D78"/>
    <w:rsid w:val="00C712DD"/>
    <w:rsid w:val="00C72B91"/>
    <w:rsid w:val="00C75F21"/>
    <w:rsid w:val="00C765F7"/>
    <w:rsid w:val="00C77A03"/>
    <w:rsid w:val="00C84940"/>
    <w:rsid w:val="00C84E1F"/>
    <w:rsid w:val="00C85696"/>
    <w:rsid w:val="00C86710"/>
    <w:rsid w:val="00C91AAD"/>
    <w:rsid w:val="00C952E4"/>
    <w:rsid w:val="00C973F7"/>
    <w:rsid w:val="00CA01F8"/>
    <w:rsid w:val="00CA18AE"/>
    <w:rsid w:val="00CA22C2"/>
    <w:rsid w:val="00CB017A"/>
    <w:rsid w:val="00CB0F80"/>
    <w:rsid w:val="00CB2771"/>
    <w:rsid w:val="00CC0179"/>
    <w:rsid w:val="00CC21DF"/>
    <w:rsid w:val="00CC2C6C"/>
    <w:rsid w:val="00CC3749"/>
    <w:rsid w:val="00CC4A29"/>
    <w:rsid w:val="00CD25E8"/>
    <w:rsid w:val="00CD75DE"/>
    <w:rsid w:val="00CE1528"/>
    <w:rsid w:val="00CE341B"/>
    <w:rsid w:val="00CE44F4"/>
    <w:rsid w:val="00CE5EF4"/>
    <w:rsid w:val="00CF4451"/>
    <w:rsid w:val="00CF47C5"/>
    <w:rsid w:val="00CF5985"/>
    <w:rsid w:val="00D03C00"/>
    <w:rsid w:val="00D04FBE"/>
    <w:rsid w:val="00D12720"/>
    <w:rsid w:val="00D131A7"/>
    <w:rsid w:val="00D13F11"/>
    <w:rsid w:val="00D14A07"/>
    <w:rsid w:val="00D24B22"/>
    <w:rsid w:val="00D33570"/>
    <w:rsid w:val="00D4056F"/>
    <w:rsid w:val="00D41130"/>
    <w:rsid w:val="00D50E66"/>
    <w:rsid w:val="00D5314B"/>
    <w:rsid w:val="00D535D9"/>
    <w:rsid w:val="00D55693"/>
    <w:rsid w:val="00D56052"/>
    <w:rsid w:val="00D575E0"/>
    <w:rsid w:val="00D60C18"/>
    <w:rsid w:val="00D62C05"/>
    <w:rsid w:val="00D6303C"/>
    <w:rsid w:val="00D645F8"/>
    <w:rsid w:val="00D65927"/>
    <w:rsid w:val="00D72354"/>
    <w:rsid w:val="00D72631"/>
    <w:rsid w:val="00D74DEE"/>
    <w:rsid w:val="00D75796"/>
    <w:rsid w:val="00D77D25"/>
    <w:rsid w:val="00D77E91"/>
    <w:rsid w:val="00D80838"/>
    <w:rsid w:val="00D8746C"/>
    <w:rsid w:val="00D8785D"/>
    <w:rsid w:val="00D87C4A"/>
    <w:rsid w:val="00D926B8"/>
    <w:rsid w:val="00D948E7"/>
    <w:rsid w:val="00D96651"/>
    <w:rsid w:val="00D97BA9"/>
    <w:rsid w:val="00DA4909"/>
    <w:rsid w:val="00DA4C8A"/>
    <w:rsid w:val="00DA5275"/>
    <w:rsid w:val="00DA67EE"/>
    <w:rsid w:val="00DA722D"/>
    <w:rsid w:val="00DA7F0E"/>
    <w:rsid w:val="00DB407F"/>
    <w:rsid w:val="00DB7E8C"/>
    <w:rsid w:val="00DC1023"/>
    <w:rsid w:val="00DD4346"/>
    <w:rsid w:val="00DD75FD"/>
    <w:rsid w:val="00DE3C19"/>
    <w:rsid w:val="00DE55D2"/>
    <w:rsid w:val="00DE7A84"/>
    <w:rsid w:val="00DE7BF1"/>
    <w:rsid w:val="00DF003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3210D"/>
    <w:rsid w:val="00E4715D"/>
    <w:rsid w:val="00E4772B"/>
    <w:rsid w:val="00E51D48"/>
    <w:rsid w:val="00E533F7"/>
    <w:rsid w:val="00E5478F"/>
    <w:rsid w:val="00E54796"/>
    <w:rsid w:val="00E61590"/>
    <w:rsid w:val="00E62A53"/>
    <w:rsid w:val="00E74896"/>
    <w:rsid w:val="00E75295"/>
    <w:rsid w:val="00E8051B"/>
    <w:rsid w:val="00E823F3"/>
    <w:rsid w:val="00E825C1"/>
    <w:rsid w:val="00E83DAE"/>
    <w:rsid w:val="00E84358"/>
    <w:rsid w:val="00E86085"/>
    <w:rsid w:val="00E8731D"/>
    <w:rsid w:val="00E91466"/>
    <w:rsid w:val="00E96063"/>
    <w:rsid w:val="00EA58BE"/>
    <w:rsid w:val="00EA5E94"/>
    <w:rsid w:val="00EA6A76"/>
    <w:rsid w:val="00EA754E"/>
    <w:rsid w:val="00EB0220"/>
    <w:rsid w:val="00EB0EA0"/>
    <w:rsid w:val="00EB382C"/>
    <w:rsid w:val="00EB4303"/>
    <w:rsid w:val="00EB4CC2"/>
    <w:rsid w:val="00EB6B75"/>
    <w:rsid w:val="00EC0554"/>
    <w:rsid w:val="00EC190D"/>
    <w:rsid w:val="00EC2559"/>
    <w:rsid w:val="00EC6455"/>
    <w:rsid w:val="00EE0881"/>
    <w:rsid w:val="00EE2480"/>
    <w:rsid w:val="00EE2A53"/>
    <w:rsid w:val="00EE4D22"/>
    <w:rsid w:val="00EE4FDD"/>
    <w:rsid w:val="00EE6E91"/>
    <w:rsid w:val="00EF1237"/>
    <w:rsid w:val="00F02008"/>
    <w:rsid w:val="00F03128"/>
    <w:rsid w:val="00F0474F"/>
    <w:rsid w:val="00F11638"/>
    <w:rsid w:val="00F11EC9"/>
    <w:rsid w:val="00F13735"/>
    <w:rsid w:val="00F1392B"/>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63F0"/>
    <w:rsid w:val="00F97F76"/>
    <w:rsid w:val="00FA0C07"/>
    <w:rsid w:val="00FA3F7A"/>
    <w:rsid w:val="00FA4A0D"/>
    <w:rsid w:val="00FB3370"/>
    <w:rsid w:val="00FB613E"/>
    <w:rsid w:val="00FC0AB3"/>
    <w:rsid w:val="00FC152A"/>
    <w:rsid w:val="00FC2854"/>
    <w:rsid w:val="00FC37B1"/>
    <w:rsid w:val="00FD216A"/>
    <w:rsid w:val="00FE18F8"/>
    <w:rsid w:val="00FE7E21"/>
    <w:rsid w:val="00FF0E8C"/>
    <w:rsid w:val="00FF1F17"/>
    <w:rsid w:val="00FF2468"/>
    <w:rsid w:val="00FF3BEC"/>
    <w:rsid w:val="00FF75E8"/>
    <w:rsid w:val="021A9726"/>
    <w:rsid w:val="0B3BA4AE"/>
    <w:rsid w:val="0C35532B"/>
    <w:rsid w:val="0E8C6DCD"/>
    <w:rsid w:val="1252F3A0"/>
    <w:rsid w:val="126C1DFF"/>
    <w:rsid w:val="128B6C52"/>
    <w:rsid w:val="1346B693"/>
    <w:rsid w:val="13F6B187"/>
    <w:rsid w:val="1447F5B7"/>
    <w:rsid w:val="1AA1CD84"/>
    <w:rsid w:val="20FFD431"/>
    <w:rsid w:val="276F15B5"/>
    <w:rsid w:val="28C71E17"/>
    <w:rsid w:val="29EB6C36"/>
    <w:rsid w:val="2A28E61B"/>
    <w:rsid w:val="2CDF1BB8"/>
    <w:rsid w:val="2DDE5739"/>
    <w:rsid w:val="2EBEDD59"/>
    <w:rsid w:val="2F955155"/>
    <w:rsid w:val="3356F203"/>
    <w:rsid w:val="389CE752"/>
    <w:rsid w:val="3E8D78DC"/>
    <w:rsid w:val="3F52D1C1"/>
    <w:rsid w:val="41649477"/>
    <w:rsid w:val="46E8008E"/>
    <w:rsid w:val="493F1B30"/>
    <w:rsid w:val="4F7374C9"/>
    <w:rsid w:val="5088F74A"/>
    <w:rsid w:val="537FF910"/>
    <w:rsid w:val="552D5E50"/>
    <w:rsid w:val="560475DB"/>
    <w:rsid w:val="573A6DB0"/>
    <w:rsid w:val="5B105FB0"/>
    <w:rsid w:val="5E177546"/>
    <w:rsid w:val="5F18B46A"/>
    <w:rsid w:val="60FF877A"/>
    <w:rsid w:val="61F13BE0"/>
    <w:rsid w:val="64BED29D"/>
    <w:rsid w:val="6622872B"/>
    <w:rsid w:val="66AF96FB"/>
    <w:rsid w:val="67D3A022"/>
    <w:rsid w:val="6CF59C0F"/>
    <w:rsid w:val="6EB75FEC"/>
    <w:rsid w:val="6F25FE29"/>
    <w:rsid w:val="709C1681"/>
    <w:rsid w:val="71F75DBB"/>
    <w:rsid w:val="7678B44E"/>
    <w:rsid w:val="77486269"/>
    <w:rsid w:val="79F7F64E"/>
    <w:rsid w:val="7B3EA940"/>
    <w:rsid w:val="7CE7F5D2"/>
    <w:rsid w:val="7D10C028"/>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4"/>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 w:type="character" w:styleId="Nevyeenzmnka">
    <w:name w:val="Unresolved Mention"/>
    <w:basedOn w:val="Standardnpsmoodstavce"/>
    <w:uiPriority w:val="99"/>
    <w:semiHidden/>
    <w:unhideWhenUsed/>
    <w:rsid w:val="006A75E2"/>
    <w:rPr>
      <w:color w:val="605E5C"/>
      <w:shd w:val="clear" w:color="auto" w:fill="E1DFDD"/>
    </w:rPr>
  </w:style>
  <w:style w:type="character" w:styleId="Sledovanodkaz">
    <w:name w:val="FollowedHyperlink"/>
    <w:basedOn w:val="Standardnpsmoodstavce"/>
    <w:uiPriority w:val="99"/>
    <w:semiHidden/>
    <w:unhideWhenUsed/>
    <w:rsid w:val="00850DC5"/>
    <w:rPr>
      <w:color w:val="800080" w:themeColor="followedHyperlink"/>
      <w:u w:val="single"/>
    </w:rPr>
  </w:style>
  <w:style w:type="paragraph" w:styleId="Prosttext">
    <w:name w:val="Plain Text"/>
    <w:basedOn w:val="Normln"/>
    <w:link w:val="ProsttextChar"/>
    <w:uiPriority w:val="99"/>
    <w:unhideWhenUsed/>
    <w:rsid w:val="008D7CB0"/>
    <w:pPr>
      <w:spacing w:after="0" w:line="240" w:lineRule="auto"/>
    </w:pPr>
    <w:rPr>
      <w:rFonts w:ascii="Calibri" w:hAnsi="Calibri" w:cs="Calibri"/>
      <w14:ligatures w14:val="standardContextual"/>
    </w:rPr>
  </w:style>
  <w:style w:type="character" w:customStyle="1" w:styleId="ProsttextChar">
    <w:name w:val="Prostý text Char"/>
    <w:basedOn w:val="Standardnpsmoodstavce"/>
    <w:link w:val="Prosttext"/>
    <w:uiPriority w:val="99"/>
    <w:rsid w:val="008D7CB0"/>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307">
      <w:bodyDiv w:val="1"/>
      <w:marLeft w:val="0"/>
      <w:marRight w:val="0"/>
      <w:marTop w:val="0"/>
      <w:marBottom w:val="0"/>
      <w:divBdr>
        <w:top w:val="none" w:sz="0" w:space="0" w:color="auto"/>
        <w:left w:val="none" w:sz="0" w:space="0" w:color="auto"/>
        <w:bottom w:val="none" w:sz="0" w:space="0" w:color="auto"/>
        <w:right w:val="none" w:sz="0" w:space="0" w:color="auto"/>
      </w:divBdr>
    </w:div>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274335232">
      <w:bodyDiv w:val="1"/>
      <w:marLeft w:val="0"/>
      <w:marRight w:val="0"/>
      <w:marTop w:val="0"/>
      <w:marBottom w:val="0"/>
      <w:divBdr>
        <w:top w:val="none" w:sz="0" w:space="0" w:color="auto"/>
        <w:left w:val="none" w:sz="0" w:space="0" w:color="auto"/>
        <w:bottom w:val="none" w:sz="0" w:space="0" w:color="auto"/>
        <w:right w:val="none" w:sz="0" w:space="0" w:color="auto"/>
      </w:divBdr>
    </w:div>
    <w:div w:id="283384894">
      <w:bodyDiv w:val="1"/>
      <w:marLeft w:val="0"/>
      <w:marRight w:val="0"/>
      <w:marTop w:val="0"/>
      <w:marBottom w:val="0"/>
      <w:divBdr>
        <w:top w:val="none" w:sz="0" w:space="0" w:color="auto"/>
        <w:left w:val="none" w:sz="0" w:space="0" w:color="auto"/>
        <w:bottom w:val="none" w:sz="0" w:space="0" w:color="auto"/>
        <w:right w:val="none" w:sz="0" w:space="0" w:color="auto"/>
      </w:divBdr>
    </w:div>
    <w:div w:id="31969600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72991285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dspraha.eu/wp-content/uploads/2021/05/Zada%CC%81ni%CC%81-investora-pro-me%CC%8Cstskou-bytovou-vy%CC%81stavbu.pdf" TargetMode="External"/><Relationship Id="rId3" Type="http://schemas.openxmlformats.org/officeDocument/2006/relationships/hyperlink" Target="https://pdspraha.eu/wp-content/uploads/2021/05/Zada%CC%81ni%CC%81-investora-pro-me%CC%8Cstskou-bytovou-vy%CC%81stavbu.pdf" TargetMode="External"/><Relationship Id="rId7" Type="http://schemas.openxmlformats.org/officeDocument/2006/relationships/hyperlink" Target="https://pdspraha.eu/wp-content/uploads/2021/05/Zada%CC%81ni%CC%81-investora-pro-me%CC%8Cstskou-bytovou-vy%CC%81stavbu.pdf" TargetMode="External"/><Relationship Id="rId2" Type="http://schemas.openxmlformats.org/officeDocument/2006/relationships/hyperlink" Target="https://pdspraha.eu/wp-content/uploads/2021/05/Zada%CC%81ni%CC%81-investora-pro-me%CC%8Cstskou-bytovou-vy%CC%81stavbu.pdf" TargetMode="External"/><Relationship Id="rId1" Type="http://schemas.openxmlformats.org/officeDocument/2006/relationships/hyperlink" Target="https://www.cka.cz/sluzby/clenum/kalkulacky/pozemni-a-krajinarske-stavby" TargetMode="External"/><Relationship Id="rId6" Type="http://schemas.openxmlformats.org/officeDocument/2006/relationships/hyperlink" Target="https://mmr.gov.cz/getmedia/540fffb4-3586-4351-95ed-7472fa2107d8/Proluka-" TargetMode="External"/><Relationship Id="rId11" Type="http://schemas.openxmlformats.org/officeDocument/2006/relationships/hyperlink" Target="https://pdspraha.eu/wp-content/uploads/2021/05/Zada%CC%81ni%CC%81-investora-pro-me%CC%8Cstskou-bytovou-vy%CC%81stavbu.pdf" TargetMode="External"/><Relationship Id="rId5" Type="http://schemas.openxmlformats.org/officeDocument/2006/relationships/hyperlink" Target="https://www.cka.cz/sluzby/clenum/kalkulacky/pozemni-a-krajinarske-stavby" TargetMode="External"/><Relationship Id="rId10" Type="http://schemas.openxmlformats.org/officeDocument/2006/relationships/hyperlink" Target="https://pdspraha.eu/wp-content/uploads/2021/05/Zada%CC%81ni%CC%81-investora-pro-me%CC%8Cstskou-bytovou-vy%CC%81stavbu.pdf" TargetMode="External"/><Relationship Id="rId4" Type="http://schemas.openxmlformats.org/officeDocument/2006/relationships/hyperlink" Target="https://pdspraha.eu/wp-content/uploads/2021/05/Zada%CC%81ni%CC%81-investora-pro-me%CC%8Cstskou-bytovou-vy%CC%81stavbu.pdf" TargetMode="External"/><Relationship Id="rId9" Type="http://schemas.openxmlformats.org/officeDocument/2006/relationships/hyperlink" Target="https://pdspraha.eu/wp-content/uploads/2021/05/Zada%CC%81ni%CC%81-investora-pro-me%CC%8Cstskou-bytovou-vy%CC%81stavb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01a9ee-79c3-425e-99ad-5b699f96342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1750B6EC1F2B40819987233751261C" ma:contentTypeVersion="6" ma:contentTypeDescription="Vytvoří nový dokument" ma:contentTypeScope="" ma:versionID="6339a882a7e1d4c8bae6c152b2633d4e">
  <xsd:schema xmlns:xsd="http://www.w3.org/2001/XMLSchema" xmlns:xs="http://www.w3.org/2001/XMLSchema" xmlns:p="http://schemas.microsoft.com/office/2006/metadata/properties" xmlns:ns2="5b50ccbe-8a56-40d6-860b-7f3cb9507b6c" xmlns:ns3="8001a9ee-79c3-425e-99ad-5b699f96342e" targetNamespace="http://schemas.microsoft.com/office/2006/metadata/properties" ma:root="true" ma:fieldsID="f1eb7151707b26277bc789b16d89f26f" ns2:_="" ns3:_="">
    <xsd:import namespace="5b50ccbe-8a56-40d6-860b-7f3cb9507b6c"/>
    <xsd:import namespace="8001a9ee-79c3-425e-99ad-5b699f9634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ccbe-8a56-40d6-860b-7f3cb950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a9ee-79c3-425e-99ad-5b699f96342e"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8001a9ee-79c3-425e-99ad-5b699f96342e"/>
  </ds:schemaRefs>
</ds:datastoreItem>
</file>

<file path=customXml/itemProps2.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3.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4.xml><?xml version="1.0" encoding="utf-8"?>
<ds:datastoreItem xmlns:ds="http://schemas.openxmlformats.org/officeDocument/2006/customXml" ds:itemID="{C0C041C1-502E-43D1-9CB8-2156DAA6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ccbe-8a56-40d6-860b-7f3cb9507b6c"/>
    <ds:schemaRef ds:uri="8001a9ee-79c3-425e-99ad-5b699f963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2328</Words>
  <Characters>13739</Characters>
  <Application>Microsoft Office Word</Application>
  <DocSecurity>4</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Nikischer Richard</cp:lastModifiedBy>
  <cp:revision>2</cp:revision>
  <cp:lastPrinted>2016-04-29T19:17:00Z</cp:lastPrinted>
  <dcterms:created xsi:type="dcterms:W3CDTF">2024-06-07T09:38:00Z</dcterms:created>
  <dcterms:modified xsi:type="dcterms:W3CDTF">2024-06-07T09:38:00Z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0x0101007E1750B6EC1F2B40819987233751261C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