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E2F2A" w:rsidP="6B439F21" w14:paraId="2ED31626" w14:textId="77777777">
      <w:pPr>
        <w:pStyle w:val="Zkladnodstavec"/>
        <w:jc w:val="center"/>
        <w:rPr>
          <w:noProof/>
          <w:color w:val="000000" w:themeColor="text1"/>
        </w:rPr>
      </w:pPr>
    </w:p>
    <w:p w:rsidR="001E2F2A" w:rsidP="001E2F2A" w14:paraId="7305794E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:rsidR="00C955E1" w:rsidP="001E2F2A" w14:paraId="340BACCF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:rsidR="001E2F2A" w:rsidRPr="003D1343" w:rsidP="07985EE3" w14:paraId="3EF14443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1E2F2A" w:rsidRPr="003D1343" w:rsidP="07985EE3" w14:paraId="48D4879F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1E2F2A" w:rsidRPr="003D1343" w:rsidP="07985EE3" w14:paraId="1C63AAF7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1E2F2A" w:rsidRPr="00DA03BB" w:rsidP="07985EE3" w14:paraId="36A29528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Pr="00DA03BB" w:rsidR="00BB1644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0DA03B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:rsidR="001E2F2A" w:rsidRPr="00DA03BB" w:rsidP="07985EE3" w14:paraId="1640E7B1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C955E1" w:rsidRPr="00DA03BB" w:rsidP="07985EE3" w14:paraId="530521B4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1E2F2A" w:rsidRPr="00DA03BB" w:rsidP="07985EE3" w14:paraId="06EADD45" w14:textId="6D663E8C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Pr="00DA03BB" w:rsidR="002953F6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:rsidR="001E2F2A" w:rsidRPr="00DA03BB" w:rsidP="07985EE3" w14:paraId="7B376299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:rsidR="001E2F2A" w:rsidRPr="00DA03BB" w:rsidP="07985EE3" w14:paraId="16CE932D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Podmínk</w:t>
      </w:r>
      <w:r w:rsidRPr="00DA03BB" w:rsidR="00B007B7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y</w:t>
      </w:r>
      <w:r w:rsidRPr="00DA03BB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k</w:t>
      </w:r>
      <w:r w:rsidRPr="00DA03BB" w:rsidR="003313BC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e stanovení výdajů</w:t>
      </w:r>
    </w:p>
    <w:p w:rsidR="001E2F2A" w:rsidRPr="00DA03BB" w:rsidP="07985EE3" w14:paraId="0DF0E81D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6E054DF0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5C8BF33C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7FFF3928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7D40B71A" w14:textId="77777777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36BD5F26" w14:textId="77777777">
      <w:pPr>
        <w:pStyle w:val="Default"/>
        <w:jc w:val="center"/>
        <w:rPr>
          <w:rFonts w:eastAsia="Arial"/>
          <w:color w:val="323E4F" w:themeColor="text2" w:themeShade="BF"/>
        </w:rPr>
      </w:pPr>
    </w:p>
    <w:p w:rsidR="001E2F2A" w:rsidRPr="00DA03BB" w:rsidP="07985EE3" w14:paraId="19F814A4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RPr="00DA03BB" w:rsidP="07985EE3" w14:paraId="5D3C9744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RPr="00DA03BB" w:rsidP="07985EE3" w14:paraId="7883F4AD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RPr="00DA03BB" w:rsidP="07985EE3" w14:paraId="794E7D0A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C955E1" w:rsidRPr="00DA03BB" w:rsidP="07985EE3" w14:paraId="531FF3EC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1E2F2A" w:rsidRPr="00DA03BB" w:rsidP="07985EE3" w14:paraId="0BDD985A" w14:textId="77777777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:rsidR="001E2F2A" w:rsidRPr="00DA03BB" w:rsidP="07985EE3" w14:paraId="4F2A7296" w14:textId="6A05E9F4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06879EA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C9569F">
        <w:rPr>
          <w:rFonts w:ascii="Arial" w:eastAsia="Arial" w:hAnsi="Arial" w:cs="Arial"/>
          <w:b/>
          <w:bCs/>
          <w:color w:val="002060"/>
          <w:sz w:val="28"/>
          <w:szCs w:val="28"/>
        </w:rPr>
        <w:t>4. 3</w:t>
      </w:r>
      <w:r w:rsidRPr="006879EA" w:rsidR="00CF70F8">
        <w:rPr>
          <w:rFonts w:ascii="Arial" w:eastAsia="Arial" w:hAnsi="Arial" w:cs="Arial"/>
          <w:b/>
          <w:bCs/>
          <w:color w:val="002060"/>
          <w:sz w:val="28"/>
          <w:szCs w:val="28"/>
        </w:rPr>
        <w:t>. 2024</w:t>
      </w:r>
    </w:p>
    <w:p w:rsidR="00147AE5" w:rsidRPr="00DA03BB" w:rsidP="00320804" w14:paraId="2A7ABFAE" w14:textId="77777777">
      <w:pPr>
        <w:widowControl w:val="0"/>
      </w:pPr>
      <w:r w:rsidRPr="00DA03BB"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14:paraId="3A1730A5" w14:textId="77777777" w:rsidTr="69FA01A9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22" w:type="dxa"/>
            <w:shd w:val="clear" w:color="auto" w:fill="D9D9D9" w:themeFill="background1" w:themeFillShade="D9"/>
          </w:tcPr>
          <w:p w:rsidR="009E12B4" w:rsidRPr="00DA03BB" w:rsidP="00104A11" w14:paraId="42185239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bookmarkStart w:id="0" w:name="_Hlk158905112"/>
            <w:r w:rsidRPr="00DA03BB">
              <w:rPr>
                <w:rFonts w:ascii="Arial" w:hAnsi="Arial" w:cs="Arial"/>
                <w:b/>
              </w:rPr>
              <w:t>P</w:t>
            </w:r>
            <w:r w:rsidRPr="00DA03BB" w:rsidR="00EA0230">
              <w:rPr>
                <w:rFonts w:ascii="Arial" w:hAnsi="Arial" w:cs="Arial"/>
                <w:b/>
              </w:rPr>
              <w:t xml:space="preserve">odmínky </w:t>
            </w:r>
            <w:r w:rsidRPr="00DA03BB" w:rsidR="00104A11">
              <w:rPr>
                <w:rFonts w:ascii="Arial" w:hAnsi="Arial" w:cs="Arial"/>
                <w:b/>
              </w:rPr>
              <w:t xml:space="preserve">poskytnutí </w:t>
            </w:r>
            <w:r w:rsidRPr="00DA03BB" w:rsidR="00216129">
              <w:rPr>
                <w:rFonts w:ascii="Arial" w:hAnsi="Arial" w:cs="Arial"/>
                <w:b/>
              </w:rPr>
              <w:t>finančních prostředků</w:t>
            </w:r>
            <w:bookmarkEnd w:id="0"/>
            <w:r w:rsidRPr="00DA03BB">
              <w:rPr>
                <w:rFonts w:ascii="Arial" w:hAnsi="Arial" w:cs="Arial"/>
                <w:b/>
              </w:rPr>
              <w:t>:</w:t>
            </w:r>
          </w:p>
        </w:tc>
      </w:tr>
      <w:tr w14:paraId="495DD4B1" w14:textId="77777777" w:rsidTr="69FA01A9">
        <w:tblPrEx>
          <w:tblW w:w="9322" w:type="dxa"/>
          <w:tblLook w:val="04A0"/>
        </w:tblPrEx>
        <w:tc>
          <w:tcPr>
            <w:tcW w:w="9322" w:type="dxa"/>
            <w:shd w:val="clear" w:color="auto" w:fill="auto"/>
          </w:tcPr>
          <w:p w:rsidR="00B77696" w:rsidRPr="00DA03BB" w:rsidP="00C6388C" w14:paraId="26B1FEE9" w14:textId="77777777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65E9DF12" w:rsidRPr="00DA03BB" w:rsidP="00793FA1" w14:paraId="158D09BD" w14:textId="623A0699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DA03BB" w:rsidR="003313BC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A625DE">
              <w:rPr>
                <w:rFonts w:ascii="Arial" w:hAnsi="Arial" w:cs="Arial"/>
                <w:sz w:val="18"/>
                <w:szCs w:val="18"/>
              </w:rPr>
              <w:t xml:space="preserve">(dále jen „Příjemce“)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Pr="00DA03BB" w:rsidR="00391AC6">
              <w:rPr>
                <w:rFonts w:ascii="Arial" w:hAnsi="Arial" w:cs="Arial"/>
                <w:sz w:val="18"/>
                <w:szCs w:val="18"/>
              </w:rPr>
              <w:t xml:space="preserve">stanovené ve Výzvě, </w:t>
            </w:r>
            <w:r w:rsidRPr="00DA03BB" w:rsidR="00216129">
              <w:rPr>
                <w:rFonts w:ascii="Arial" w:hAnsi="Arial" w:cs="Arial"/>
                <w:sz w:val="18"/>
                <w:szCs w:val="18"/>
              </w:rPr>
              <w:t xml:space="preserve">Stanovení </w:t>
            </w:r>
            <w:r w:rsidRPr="00DA03BB" w:rsidR="00391AC6">
              <w:rPr>
                <w:rFonts w:ascii="Arial" w:hAnsi="Arial" w:cs="Arial"/>
                <w:sz w:val="18"/>
                <w:szCs w:val="18"/>
              </w:rPr>
              <w:t>výdajů</w:t>
            </w:r>
            <w:r w:rsidRPr="00DA03BB" w:rsidR="043845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A03BB" w:rsidR="0438458A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DA03BB" w:rsidR="02809676">
              <w:rPr>
                <w:rFonts w:ascii="Arial" w:hAnsi="Arial" w:cs="Arial"/>
                <w:sz w:val="18"/>
                <w:szCs w:val="18"/>
              </w:rPr>
              <w:t>Pravidl</w:t>
            </w:r>
            <w:r w:rsidRPr="00DA03BB" w:rsidR="0438458A">
              <w:rPr>
                <w:rFonts w:ascii="Arial" w:hAnsi="Arial" w:cs="Arial"/>
                <w:sz w:val="18"/>
                <w:szCs w:val="18"/>
              </w:rPr>
              <w:t>ech</w:t>
            </w:r>
            <w:r w:rsidRPr="00DA03BB" w:rsidR="02809676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Pr="00DA03BB" w:rsidR="0C9EC5B6">
              <w:rPr>
                <w:rFonts w:ascii="Arial" w:hAnsi="Arial" w:cs="Arial"/>
                <w:sz w:val="18"/>
                <w:szCs w:val="18"/>
              </w:rPr>
              <w:t>íjemce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:rsidR="009E12B4" w:rsidRPr="00DA03BB" w:rsidP="00793FA1" w14:paraId="5EBB4A03" w14:textId="602ABF4C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je povinen </w:t>
            </w:r>
            <w:r w:rsidRPr="00DA03BB" w:rsidR="00104A11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5256A5">
              <w:rPr>
                <w:rFonts w:ascii="Arial" w:hAnsi="Arial" w:cs="Arial"/>
                <w:sz w:val="18"/>
                <w:szCs w:val="18"/>
              </w:rPr>
              <w:t>podpory</w:t>
            </w:r>
            <w:r w:rsidRPr="00DA03BB" w:rsidR="003313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 w:rsidR="00104A11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00DA03BB">
              <w:rPr>
                <w:rFonts w:ascii="Arial" w:hAnsi="Arial" w:cs="Arial"/>
                <w:sz w:val="18"/>
                <w:szCs w:val="18"/>
              </w:rPr>
              <w:t>v souladu s </w:t>
            </w:r>
            <w:r w:rsidR="005256A5">
              <w:rPr>
                <w:rFonts w:ascii="Arial" w:hAnsi="Arial" w:cs="Arial"/>
                <w:sz w:val="18"/>
                <w:szCs w:val="18"/>
              </w:rPr>
              <w:t>dokumentací a pokyny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Pr="00DA03BB" w:rsidR="003313BC">
              <w:rPr>
                <w:rFonts w:ascii="Arial" w:hAnsi="Arial" w:cs="Arial"/>
                <w:sz w:val="18"/>
                <w:szCs w:val="18"/>
              </w:rPr>
              <w:t>správcem programu a poskytovatelem 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7696" w:rsidRPr="00DA03BB" w:rsidP="00793FA1" w14:paraId="52133153" w14:textId="6E456CFF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Pr="00DA03BB" w:rsidR="003313BC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Pr="00DA03BB" w:rsidR="00391AC6">
              <w:rPr>
                <w:rFonts w:ascii="Arial" w:hAnsi="Arial" w:cs="Arial"/>
                <w:sz w:val="18"/>
                <w:szCs w:val="18"/>
              </w:rPr>
              <w:t xml:space="preserve">uvedených ve </w:t>
            </w:r>
            <w:r w:rsidRPr="00DA03BB" w:rsidR="00216129">
              <w:rPr>
                <w:rFonts w:ascii="Arial" w:hAnsi="Arial" w:cs="Arial"/>
                <w:sz w:val="18"/>
                <w:szCs w:val="18"/>
              </w:rPr>
              <w:t>S</w:t>
            </w:r>
            <w:r w:rsidRPr="00DA03BB" w:rsidR="00391AC6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nebude překročena. </w:t>
            </w:r>
            <w:r w:rsidR="00CF70F8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Pr="00DA03BB" w:rsidR="00525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bud</w:t>
            </w:r>
            <w:r w:rsidR="00CF70F8">
              <w:rPr>
                <w:rFonts w:ascii="Arial" w:hAnsi="Arial" w:cs="Arial"/>
                <w:sz w:val="18"/>
                <w:szCs w:val="18"/>
              </w:rPr>
              <w:t>ou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příjemcem vynaložen</w:t>
            </w:r>
            <w:r w:rsidR="00CF70F8">
              <w:rPr>
                <w:rFonts w:ascii="Arial" w:hAnsi="Arial" w:cs="Arial"/>
                <w:sz w:val="18"/>
                <w:szCs w:val="18"/>
              </w:rPr>
              <w:t>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na odůvodněné a řádně prokázané způsobilé výdaje. Nezpůsobilé výdaje projektu hradí příjemce z vlastních zdrojů.</w:t>
            </w:r>
            <w:r w:rsidRPr="00DA03BB" w:rsidR="5DA8D929">
              <w:rPr>
                <w:rFonts w:ascii="Arial" w:hAnsi="Arial" w:cs="Arial"/>
                <w:sz w:val="18"/>
                <w:szCs w:val="18"/>
              </w:rPr>
              <w:t xml:space="preserve"> Navýšení </w:t>
            </w:r>
            <w:r w:rsidRPr="00DA03BB" w:rsidR="00391AC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A03BB" w:rsidR="5DA8D929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:rsidR="007B1C6C" w:rsidRPr="00DA03BB" w:rsidP="00793FA1" w14:paraId="45582DFF" w14:textId="6684CC50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předkládat pravdivé a úplné informace o stavu realizace projektu prostřednictvím </w:t>
            </w:r>
            <w:r w:rsidR="003F0D23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práv</w:t>
            </w:r>
            <w:r w:rsidR="00273A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realizaci projektu (dále „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“)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</w:t>
            </w:r>
            <w:r w:rsidR="00CF70F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poskytovateli předkládá současně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</w:t>
            </w:r>
            <w:r w:rsidR="003F0D23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jednodušen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Pr="00DA03BB" w:rsidR="42E8B38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předkládá příjemce do </w:t>
            </w:r>
            <w:r w:rsidRPr="00DA03BB" w:rsidR="003079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0 kalendářních dnů po ukončení sledovaného období</w:t>
            </w:r>
            <w:r w:rsidRPr="00DA03BB"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Pr="00DA03BB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</w:t>
            </w:r>
            <w:r w:rsidRPr="00DA03BB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řed </w:t>
            </w:r>
            <w:r w:rsidR="00273A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jejím </w:t>
            </w:r>
            <w:r w:rsidRPr="00DA03BB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uplynutím </w:t>
            </w:r>
            <w:r w:rsidR="00273A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požádá</w:t>
            </w:r>
            <w:r w:rsidRPr="00DA03BB" w:rsidR="51164A3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svou žádost dostatečně o</w:t>
            </w:r>
            <w:r w:rsidRPr="00DA03BB" w:rsidR="423DEB85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  <w:r w:rsidRPr="00DA03BB" w:rsidR="0030795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85FC3" w:rsidRPr="00DA03BB" w:rsidP="00793FA1" w14:paraId="62E9583E" w14:textId="0F9F070F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termínech stanovenýc</w:t>
            </w:r>
            <w:r w:rsidRPr="00DA03BB"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</w:t>
            </w:r>
            <w:r w:rsidRPr="00DA03BB"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:rsidR="517DF6EC" w:rsidRPr="00DA03BB" w:rsidP="00793FA1" w14:paraId="2CEB1CBD" w14:textId="6045F05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doložit </w:t>
            </w:r>
            <w:r w:rsidR="00CF70F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poskytovateli 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Závěrečnou zprávu o plnění projektu NPO.</w:t>
            </w:r>
          </w:p>
          <w:p w:rsidR="00997083" w:rsidRPr="00DA03BB" w:rsidP="00793FA1" w14:paraId="52BA4CCF" w14:textId="741B93EC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je povinen oznámit poskytovateli </w:t>
            </w:r>
            <w:r w:rsidR="003F0D23">
              <w:rPr>
                <w:rFonts w:ascii="Arial" w:hAnsi="Arial" w:cs="Arial"/>
                <w:sz w:val="18"/>
                <w:szCs w:val="18"/>
              </w:rPr>
              <w:t>každou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změnu 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>údajů</w:t>
            </w:r>
            <w:r w:rsidRPr="00DA03BB" w:rsidR="5355AD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Pr="00DA03BB"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podporu</w:t>
            </w:r>
            <w:r w:rsidR="003F0D23">
              <w:rPr>
                <w:rFonts w:ascii="Arial" w:hAnsi="Arial" w:cs="Arial"/>
                <w:sz w:val="18"/>
                <w:szCs w:val="18"/>
              </w:rPr>
              <w:t>, a to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před samotnou realizací této změny. V případě, že má změna vliv na podávanou </w:t>
            </w:r>
            <w:r w:rsidRPr="00DA03BB">
              <w:rPr>
                <w:rFonts w:ascii="Arial" w:hAnsi="Arial" w:cs="Arial"/>
                <w:sz w:val="18"/>
                <w:szCs w:val="18"/>
              </w:rPr>
              <w:t>ZŽoP</w:t>
            </w:r>
            <w:r w:rsidRPr="00DA03BB">
              <w:rPr>
                <w:rFonts w:ascii="Arial" w:hAnsi="Arial" w:cs="Arial"/>
                <w:sz w:val="18"/>
                <w:szCs w:val="18"/>
              </w:rPr>
              <w:t>/</w:t>
            </w:r>
            <w:r w:rsidRPr="00DA03BB">
              <w:rPr>
                <w:rFonts w:ascii="Arial" w:hAnsi="Arial" w:cs="Arial"/>
                <w:sz w:val="18"/>
                <w:szCs w:val="18"/>
              </w:rPr>
              <w:t>ZoR</w:t>
            </w:r>
            <w:r w:rsidRPr="00DA03BB" w:rsidR="5355AD09">
              <w:rPr>
                <w:rFonts w:ascii="Arial" w:hAnsi="Arial" w:cs="Arial"/>
                <w:sz w:val="18"/>
                <w:szCs w:val="18"/>
              </w:rPr>
              <w:t>,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před podáním této </w:t>
            </w:r>
            <w:r w:rsidRPr="00DA03BB">
              <w:rPr>
                <w:rFonts w:ascii="Arial" w:hAnsi="Arial" w:cs="Arial"/>
                <w:sz w:val="18"/>
                <w:szCs w:val="18"/>
              </w:rPr>
              <w:t>ZŽoP</w:t>
            </w:r>
            <w:r w:rsidRPr="00DA03BB">
              <w:rPr>
                <w:rFonts w:ascii="Arial" w:hAnsi="Arial" w:cs="Arial"/>
                <w:sz w:val="18"/>
                <w:szCs w:val="18"/>
              </w:rPr>
              <w:t>/</w:t>
            </w:r>
            <w:r w:rsidRPr="00DA03BB">
              <w:rPr>
                <w:rFonts w:ascii="Arial" w:hAnsi="Arial" w:cs="Arial"/>
                <w:sz w:val="18"/>
                <w:szCs w:val="18"/>
              </w:rPr>
              <w:t>ZoR</w:t>
            </w:r>
            <w:r w:rsidR="003F0D23">
              <w:rPr>
                <w:rFonts w:ascii="Arial" w:hAnsi="Arial" w:cs="Arial"/>
                <w:sz w:val="18"/>
                <w:szCs w:val="18"/>
              </w:rPr>
              <w:t>,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nejpozději</w:t>
            </w:r>
            <w:r w:rsidR="003F0D23">
              <w:rPr>
                <w:rFonts w:ascii="Arial" w:hAnsi="Arial" w:cs="Arial"/>
                <w:sz w:val="18"/>
                <w:szCs w:val="18"/>
              </w:rPr>
              <w:t xml:space="preserve"> však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s datem ukončení sledovaného období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>/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projektu. V návaznosti na funkčnost systému je třeba, aby byla nejdříve schválena žádost o změnu a následně podána </w:t>
            </w:r>
            <w:r w:rsidRPr="00DA03BB">
              <w:rPr>
                <w:rFonts w:ascii="Arial" w:hAnsi="Arial" w:cs="Arial"/>
                <w:sz w:val="18"/>
                <w:szCs w:val="18"/>
              </w:rPr>
              <w:t>ZŽoP</w:t>
            </w:r>
            <w:r w:rsidRPr="00DA03BB">
              <w:rPr>
                <w:rFonts w:ascii="Arial" w:hAnsi="Arial" w:cs="Arial"/>
                <w:sz w:val="18"/>
                <w:szCs w:val="18"/>
              </w:rPr>
              <w:t>/</w:t>
            </w:r>
            <w:r w:rsidRPr="00DA03BB">
              <w:rPr>
                <w:rFonts w:ascii="Arial" w:hAnsi="Arial" w:cs="Arial"/>
                <w:sz w:val="18"/>
                <w:szCs w:val="18"/>
              </w:rPr>
              <w:t>ZoR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47AE5" w:rsidRPr="00DA03BB" w:rsidP="00793FA1" w14:paraId="50218C59" w14:textId="39541D76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Pr="00DA03BB"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Pr="00DA03BB" w:rsidR="00C168B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00DA03B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účelu, na který mu </w:t>
            </w:r>
            <w:r w:rsidRPr="00DA03BB" w:rsidR="00391AC6">
              <w:rPr>
                <w:rFonts w:ascii="Arial" w:eastAsia="Calibri" w:hAnsi="Arial" w:cs="Arial"/>
                <w:sz w:val="18"/>
                <w:szCs w:val="18"/>
                <w:lang w:eastAsia="en-US"/>
              </w:rPr>
              <w:t>byly finanční prostředky poskytnuty</w:t>
            </w:r>
            <w:r w:rsidR="008E60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E85FC3" w:rsidRPr="00DA03BB" w:rsidP="00793FA1" w14:paraId="3212026E" w14:textId="311ED3BB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</w:t>
            </w:r>
            <w:r w:rsidR="003F0D23">
              <w:rPr>
                <w:rFonts w:ascii="Arial" w:hAnsi="Arial" w:cs="Arial"/>
                <w:sz w:val="18"/>
                <w:szCs w:val="18"/>
              </w:rPr>
              <w:t>nejméně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do konce roku 2026 od doby, kdy projekt nabyl </w:t>
            </w:r>
            <w:r w:rsidRPr="00DA03BB" w:rsidR="00C6388C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DA03BB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</w:t>
            </w:r>
            <w:r w:rsidR="003F0D23">
              <w:rPr>
                <w:rFonts w:ascii="Arial" w:hAnsi="Arial" w:cs="Arial"/>
                <w:sz w:val="18"/>
                <w:szCs w:val="18"/>
              </w:rPr>
              <w:t>. T</w:t>
            </w:r>
            <w:r w:rsidRPr="00DA03BB">
              <w:rPr>
                <w:rFonts w:ascii="Arial" w:hAnsi="Arial" w:cs="Arial"/>
                <w:sz w:val="18"/>
                <w:szCs w:val="18"/>
              </w:rPr>
              <w:t>uto skutečnost poskytovateli doklád</w:t>
            </w:r>
            <w:r w:rsidR="003F0D23">
              <w:rPr>
                <w:rFonts w:ascii="Arial" w:hAnsi="Arial" w:cs="Arial"/>
                <w:sz w:val="18"/>
                <w:szCs w:val="18"/>
              </w:rPr>
              <w:t>á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prostřednictvím pravidelných zpráv o udržitelnosti.</w:t>
            </w:r>
          </w:p>
          <w:p w:rsidR="0097568F" w:rsidRPr="00DA03BB" w:rsidP="00793FA1" w14:paraId="77F41677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:rsidR="00174E2B" w:rsidRPr="00DA03BB" w:rsidP="00793FA1" w14:paraId="6A0ED1A2" w14:textId="6B4909D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povede veškeré výdaje související s</w:t>
            </w:r>
            <w:r w:rsidR="003F0D23">
              <w:rPr>
                <w:rFonts w:ascii="Arial" w:hAnsi="Arial" w:cs="Arial"/>
                <w:sz w:val="18"/>
                <w:szCs w:val="18"/>
              </w:rPr>
              <w:t xml:space="preserve"> poskytnutými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finančními prostředky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v účetní evidenci odděleně s jednoznačnou analytikou. </w:t>
            </w:r>
          </w:p>
          <w:p w:rsidR="00174E2B" w:rsidRPr="00DA03BB" w:rsidP="00793FA1" w14:paraId="558D1E2C" w14:textId="1E028472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</w:t>
            </w:r>
            <w:r w:rsidRPr="00DA03BB"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zadávání veřejných zakázek, </w:t>
            </w:r>
            <w:r w:rsidR="000B6CD9">
              <w:rPr>
                <w:rFonts w:ascii="Arial" w:hAnsi="Arial" w:cs="Arial"/>
                <w:sz w:val="18"/>
                <w:szCs w:val="18"/>
              </w:rPr>
              <w:t xml:space="preserve">ve znění pozdějších předpisů, </w:t>
            </w:r>
            <w:r w:rsidRPr="00DA03BB">
              <w:rPr>
                <w:rFonts w:ascii="Arial" w:hAnsi="Arial" w:cs="Arial"/>
                <w:sz w:val="18"/>
                <w:szCs w:val="18"/>
              </w:rPr>
              <w:t>a v souladu s Metodickým pokynem pro zadávací řízení pro Národní plán obnovy na období 2021-2026.</w:t>
            </w:r>
          </w:p>
          <w:p w:rsidR="4134120B" w:rsidRPr="00DA03BB" w:rsidP="00793FA1" w14:paraId="21CB7486" w14:textId="21119D02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je povinen evidovat údaje o dodavatelích </w:t>
            </w:r>
            <w:r w:rsidR="00793FA1">
              <w:rPr>
                <w:rFonts w:ascii="Arial" w:hAnsi="Arial" w:cs="Arial"/>
                <w:sz w:val="18"/>
                <w:szCs w:val="18"/>
              </w:rPr>
              <w:t xml:space="preserve">v souladu s </w:t>
            </w:r>
            <w:r w:rsidRPr="00DA03BB">
              <w:rPr>
                <w:rFonts w:ascii="Arial" w:hAnsi="Arial" w:cs="Arial"/>
                <w:sz w:val="18"/>
                <w:szCs w:val="18"/>
              </w:rPr>
              <w:t>Pravid</w:t>
            </w:r>
            <w:r w:rsidR="00793FA1">
              <w:rPr>
                <w:rFonts w:ascii="Arial" w:hAnsi="Arial" w:cs="Arial"/>
                <w:sz w:val="18"/>
                <w:szCs w:val="18"/>
              </w:rPr>
              <w:t>ly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a požadovan</w:t>
            </w:r>
            <w:r w:rsidR="00AB4739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A02380">
              <w:rPr>
                <w:rFonts w:ascii="Arial" w:hAnsi="Arial" w:cs="Arial"/>
                <w:sz w:val="18"/>
                <w:szCs w:val="18"/>
              </w:rPr>
              <w:t>dokumentaci</w:t>
            </w:r>
            <w:r w:rsidRPr="00DA03BB" w:rsidR="00A02380">
              <w:rPr>
                <w:rFonts w:ascii="Arial" w:hAnsi="Arial" w:cs="Arial"/>
                <w:sz w:val="18"/>
                <w:szCs w:val="18"/>
              </w:rPr>
              <w:t xml:space="preserve"> dokladovat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6CD9">
              <w:rPr>
                <w:rFonts w:ascii="Arial" w:hAnsi="Arial" w:cs="Arial"/>
                <w:sz w:val="18"/>
                <w:szCs w:val="18"/>
              </w:rPr>
              <w:t>v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modulu veřejných zakázek v IS KP14+.</w:t>
            </w:r>
          </w:p>
          <w:p w:rsidR="00793FA1" w:rsidP="00793FA1" w14:paraId="18CF9113" w14:textId="20145875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Finanční kontrola, řízení o odnětí dotace nebo návratné finanční výpomoci a ukládání sankcí za porušení rozpočtové kázně jsou prováděny v souladu s příslušnými ustanoveními zákona č. 218/2000 Sb., o rozpočtových pravidlech a o změně některých souvisejících zákonů (rozpočtová pravidla), ve znění pozdějších předpisů (dále jen “rozpočtová pravidla”), zákonem č. 320/2001 Sb., o finanční kontrole ve veřejné správě a o změně některých zákonů (zákon o finanční kontrole), ve znění pozdějších předpisů, a zákonem č. 255/2012 Sb., o kontrole (kontrolní řád), ve znění pozdějších předpisů.</w:t>
            </w:r>
          </w:p>
          <w:p w:rsidR="00793FA1" w:rsidP="00793FA1" w14:paraId="08FC620D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podpory souhlasí s provedením ověřování skutečností uvedených v žádosti, plnění podmínek čerpání podpory poskytovatelem či jinými pověřenými osobami a s výkonem veřejnosprávních kontrol dle zákona o finanční kontrole. Příjemce je dále povinen zaměstnancům a zmocněncům pověřených orgánů na žádost poskytovat informace a dokumentaci, vytvořit těmto osobám podmínky k provedení kontroly realizace projektu a poskytnout jim při provádění kontroly součinnost.</w:t>
            </w:r>
          </w:p>
          <w:p w:rsidR="00C24644" w:rsidRPr="00DA03BB" w:rsidP="00793FA1" w14:paraId="11D7C862" w14:textId="5CFCEBFE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poskytnutých 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:rsidR="009E12B4" w:rsidRPr="00DA03BB" w:rsidP="00793FA1" w14:paraId="1E2F1D4A" w14:textId="29F99054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>v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>souladu s</w:t>
            </w:r>
            <w:r w:rsidR="007B530D">
              <w:rPr>
                <w:rFonts w:ascii="Arial" w:hAnsi="Arial" w:cs="Arial"/>
                <w:sz w:val="18"/>
                <w:szCs w:val="18"/>
              </w:rPr>
              <w:t> 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 xml:space="preserve">platnými právními předpisy, nejméně však po dobu 10 let od proplacení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B530D">
              <w:rPr>
                <w:rFonts w:ascii="Arial" w:hAnsi="Arial" w:cs="Arial"/>
                <w:sz w:val="18"/>
                <w:szCs w:val="18"/>
              </w:rPr>
              <w:t>,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 w:rsidR="7373B512">
              <w:rPr>
                <w:rFonts w:ascii="Arial" w:hAnsi="Arial" w:cs="Arial"/>
                <w:sz w:val="18"/>
                <w:szCs w:val="18"/>
              </w:rPr>
              <w:t xml:space="preserve">uchovávat pro potřeby kontroly a archivace </w:t>
            </w:r>
            <w:r w:rsidRPr="00DA03BB">
              <w:rPr>
                <w:rFonts w:ascii="Arial" w:hAnsi="Arial" w:cs="Arial"/>
                <w:sz w:val="18"/>
                <w:szCs w:val="18"/>
              </w:rPr>
              <w:t>veškerou dokumentaci související s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> poskytnutými finančními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701D4" w:rsidRPr="00DA03BB" w:rsidP="00793FA1" w14:paraId="10835084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>V</w:t>
            </w:r>
            <w:r w:rsidRPr="00DA03BB" w:rsidR="00C168B6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Pr="00DA03BB" w:rsidR="00150220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DA03BB">
              <w:rPr>
                <w:rFonts w:ascii="Arial" w:hAnsi="Arial" w:cs="Arial"/>
                <w:sz w:val="18"/>
                <w:szCs w:val="18"/>
              </w:rPr>
              <w:t>z</w:t>
            </w:r>
            <w:r w:rsidRPr="00DA03BB" w:rsidR="00150220">
              <w:rPr>
                <w:rFonts w:ascii="Arial" w:hAnsi="Arial" w:cs="Arial"/>
                <w:sz w:val="18"/>
                <w:szCs w:val="18"/>
              </w:rPr>
              <w:t> RRF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Pr="00DA03BB" w:rsidR="006B6A67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:rsidR="00147AE5" w:rsidRPr="00DA03BB" w:rsidP="00793FA1" w14:paraId="18B48703" w14:textId="77777777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byly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>poskytnuty finanční prostředky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, nepřevede do konce udržitelnosti na jinou právnickou nebo fyzickou osobu bez předchozího souhlasu poskytovatele </w:t>
            </w:r>
            <w:r w:rsidRPr="00DA03BB" w:rsidR="007A271E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4103" w:rsidRPr="00DA03BB" w:rsidP="00793FA1" w14:paraId="60AC3443" w14:textId="56828125">
            <w:pPr>
              <w:pStyle w:val="ListParagraph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03BB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Pr="00DA03BB" w:rsidR="0057516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Pr="00DA03BB" w:rsidR="004E50DF">
              <w:rPr>
                <w:rFonts w:ascii="Arial" w:hAnsi="Arial" w:cs="Arial"/>
                <w:sz w:val="18"/>
                <w:szCs w:val="18"/>
              </w:rPr>
              <w:t>některou z </w:t>
            </w:r>
            <w:r w:rsidR="007B530D">
              <w:rPr>
                <w:rFonts w:ascii="Arial" w:hAnsi="Arial" w:cs="Arial"/>
                <w:sz w:val="18"/>
                <w:szCs w:val="18"/>
              </w:rPr>
              <w:t>p</w:t>
            </w:r>
            <w:r w:rsidRPr="00DA03BB">
              <w:rPr>
                <w:rFonts w:ascii="Arial" w:hAnsi="Arial" w:cs="Arial"/>
                <w:sz w:val="18"/>
                <w:szCs w:val="18"/>
              </w:rPr>
              <w:t>odmín</w:t>
            </w:r>
            <w:r w:rsidRPr="00DA03BB" w:rsidR="004E50DF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Pr="00DA03BB" w:rsidR="007A271E">
              <w:rPr>
                <w:rFonts w:ascii="Arial" w:hAnsi="Arial" w:cs="Arial"/>
                <w:sz w:val="18"/>
                <w:szCs w:val="18"/>
              </w:rPr>
              <w:t>S</w:t>
            </w:r>
            <w:r w:rsidRPr="00DA03BB" w:rsidR="006F6553">
              <w:rPr>
                <w:rFonts w:ascii="Arial" w:hAnsi="Arial" w:cs="Arial"/>
                <w:sz w:val="18"/>
                <w:szCs w:val="18"/>
              </w:rPr>
              <w:t>tanovení výdajů</w:t>
            </w:r>
            <w:r w:rsidRPr="00DA03BB" w:rsidR="009566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3BB">
              <w:rPr>
                <w:rFonts w:ascii="Arial" w:hAnsi="Arial" w:cs="Arial"/>
                <w:sz w:val="18"/>
                <w:szCs w:val="18"/>
              </w:rPr>
              <w:t>uveden</w:t>
            </w:r>
            <w:r w:rsidRPr="00DA03BB" w:rsidR="004E50DF">
              <w:rPr>
                <w:rFonts w:ascii="Arial" w:hAnsi="Arial" w:cs="Arial"/>
                <w:sz w:val="18"/>
                <w:szCs w:val="18"/>
              </w:rPr>
              <w:t>ých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Pr="00DA03BB"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Pr="00DA03BB" w:rsidR="006F6553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>, neprodleně o tom informuje poskytovatele; v </w:t>
            </w:r>
            <w:r w:rsidR="007B530D">
              <w:rPr>
                <w:rFonts w:ascii="Arial" w:hAnsi="Arial" w:cs="Arial"/>
                <w:sz w:val="18"/>
                <w:szCs w:val="18"/>
              </w:rPr>
              <w:t>odůvodněném</w:t>
            </w:r>
            <w:r w:rsidRPr="00DA03BB">
              <w:rPr>
                <w:rFonts w:ascii="Arial" w:hAnsi="Arial" w:cs="Arial"/>
                <w:sz w:val="18"/>
                <w:szCs w:val="18"/>
              </w:rPr>
              <w:t xml:space="preserve"> případě požádá o změnu </w:t>
            </w:r>
            <w:r w:rsidRPr="00DA03BB" w:rsidR="006F6553">
              <w:rPr>
                <w:rFonts w:ascii="Arial" w:hAnsi="Arial" w:cs="Arial"/>
                <w:sz w:val="18"/>
                <w:szCs w:val="18"/>
              </w:rPr>
              <w:t>Stanovení výdajů</w:t>
            </w:r>
            <w:r w:rsidRPr="00DA03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2953F6" w:rsidP="00836E4E" w14:paraId="6E32AF76" w14:textId="77777777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14:paraId="5618665C" w14:textId="77777777" w:rsidTr="40FD4FE4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D9D9D9" w:themeFill="background1" w:themeFillShade="D9"/>
          </w:tcPr>
          <w:p w:rsidR="009E12B4" w:rsidRPr="00E268CD" w:rsidP="00E268CD" w14:paraId="5D81C2BB" w14:textId="77777777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6F6553">
              <w:rPr>
                <w:rFonts w:ascii="Arial" w:hAnsi="Arial" w:cs="Arial"/>
                <w:b/>
              </w:rPr>
              <w:t>finančních prostředků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14:paraId="5B48E6D2" w14:textId="77777777" w:rsidTr="40FD4FE4">
        <w:tblPrEx>
          <w:tblW w:w="9356" w:type="dxa"/>
          <w:tblInd w:w="-34" w:type="dxa"/>
          <w:tblLook w:val="04A0"/>
        </w:tblPrEx>
        <w:tc>
          <w:tcPr>
            <w:tcW w:w="9356" w:type="dxa"/>
            <w:shd w:val="clear" w:color="auto" w:fill="auto"/>
          </w:tcPr>
          <w:p w:rsidR="00554FBD" w:rsidRPr="00554FBD" w:rsidP="00554FBD" w14:paraId="011BBCE1" w14:textId="68A3B01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</w:t>
            </w:r>
            <w:r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 w:rsidR="0021612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poskytovatel </w:t>
            </w:r>
            <w:r w:rsidR="007A271E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inanční oprav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</w:t>
            </w:r>
          </w:p>
          <w:p w:rsidR="00554FBD" w:rsidP="00554FBD" w14:paraId="2029B4F8" w14:textId="77777777">
            <w:pPr>
              <w:pStyle w:val="ListParagraph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při nesplnění podmínek pod bodem 8 </w:t>
            </w:r>
            <w:r w:rsidRPr="517DF6EC" w:rsidR="000858EF">
              <w:rPr>
                <w:rFonts w:ascii="Arial" w:hAnsi="Arial" w:cs="Arial"/>
                <w:sz w:val="18"/>
                <w:szCs w:val="18"/>
              </w:rPr>
              <w:t>nebud</w:t>
            </w:r>
            <w:r w:rsidR="000858EF">
              <w:rPr>
                <w:rFonts w:ascii="Arial" w:hAnsi="Arial" w:cs="Arial"/>
                <w:sz w:val="18"/>
                <w:szCs w:val="18"/>
              </w:rPr>
              <w:t>ou</w:t>
            </w:r>
            <w:r w:rsidRPr="517DF6EC" w:rsidR="000858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8EF">
              <w:rPr>
                <w:rFonts w:ascii="Arial" w:hAnsi="Arial" w:cs="Arial"/>
                <w:sz w:val="18"/>
                <w:szCs w:val="18"/>
              </w:rPr>
              <w:t>finanční prostředky vyplaceny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:rsidR="00554FBD" w:rsidRPr="00554FBD" w:rsidP="00554FBD" w14:paraId="7B104E88" w14:textId="77777777">
            <w:pPr>
              <w:pStyle w:val="ListParagraph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</w:t>
            </w:r>
            <w:r w:rsidR="000858EF">
              <w:rPr>
                <w:rFonts w:ascii="Arial" w:hAnsi="Arial" w:cs="Arial"/>
                <w:sz w:val="18"/>
                <w:szCs w:val="18"/>
              </w:rPr>
              <w:t>ou finanční prostředky vyplaceny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nebude vyplacena část </w:t>
            </w:r>
            <w:r w:rsidR="000858E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40FD4FE4">
              <w:rPr>
                <w:rFonts w:ascii="Arial" w:hAnsi="Arial" w:cs="Arial"/>
                <w:sz w:val="18"/>
                <w:szCs w:val="18"/>
              </w:rPr>
              <w:t>použitá na financování předmětné zakázky podle typu porušení a sazeb finančních oprav dle Rozhodnutí komise C(2019) 3452 ze dne 14.5.2019 nebo případně novějšího.</w:t>
            </w:r>
          </w:p>
          <w:p w:rsidR="00554FBD" w:rsidP="00554FBD" w14:paraId="3BA1A4D7" w14:textId="77777777">
            <w:pPr>
              <w:pStyle w:val="Body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0858EF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4134120B" w:rsidR="000858EF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s výběrovým/zadávacím řízením, u kterého se porušení pravidla vyskytlo. </w:t>
            </w:r>
          </w:p>
          <w:p w:rsidR="4134120B" w:rsidP="008E6013" w14:paraId="433D9DDA" w14:textId="1F2EA99C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</w:t>
            </w:r>
          </w:p>
          <w:p w:rsidR="00554FBD" w:rsidP="00554FBD" w14:paraId="2DDD948E" w14:textId="77777777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Pr="517DF6EC" w:rsidR="00147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Pr="517DF6EC" w:rsidR="317BF05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</w:t>
            </w:r>
            <w:r w:rsidR="00053A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nebo při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nedodržení lhůty pro odevzdání </w:t>
            </w:r>
            <w:r w:rsidRPr="517DF6EC" w:rsidR="00147AE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uplatněna </w:t>
            </w:r>
            <w:r w:rsidRPr="517DF6EC" w:rsidR="317BF05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Pr="517DF6EC" w:rsidR="11E11E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1" w:name="_Hlk90458541"/>
          </w:p>
          <w:bookmarkEnd w:id="1"/>
          <w:p w:rsidR="00783868" w:rsidP="00554FBD" w14:paraId="2898D5B1" w14:textId="77777777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Pr="517DF6EC" w:rsidR="11E11E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:rsidR="00554FBD" w:rsidP="00554FBD" w14:paraId="0A4AB36E" w14:textId="717118CD">
            <w:pPr>
              <w:pStyle w:val="Body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</w:t>
            </w:r>
            <w:r w:rsidR="00A023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17</w:t>
            </w:r>
            <w:r w:rsidRPr="517DF6EC" w:rsidR="016F80E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517DF6EC" w:rsidR="67077DA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stanovena sankce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příslušných právních předpisů</w:t>
            </w:r>
            <w:r w:rsidRPr="517DF6EC" w:rsidR="016F80E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:rsidR="009E12B4" w:rsidRPr="00554FBD" w:rsidP="00554FBD" w14:paraId="14A41427" w14:textId="7081CE1F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Stanovení výdajů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jejich pod</w:t>
            </w:r>
            <w:r w:rsidRPr="00554FBD"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mínek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čerpání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finančních prostředků 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zjištěné po vyplacení 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Pr="00554FBD" w:rsidR="45C9B50A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</w:t>
            </w:r>
            <w:r w:rsidR="00A02380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44 a násl. </w:t>
            </w:r>
            <w:r w:rsidRPr="00554FBD" w:rsidR="7F53B4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D74CEA" w:rsidP="00D74CEA" w14:paraId="75A5CC58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Není-li uvedeno jinak, představuje porušení povinností uvedených v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="00A751A2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Stanovení výdajů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porušení rozpočtové kázně podle § 44 odst. 1 písm. </w:t>
            </w:r>
            <w:r w:rsidRPr="00554FBD" w:rsidR="77CE076B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Pr="00554FBD" w:rsidR="06036430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 w:rsidR="18F4825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:rsidR="00D74CEA" w:rsidP="00D74CEA" w14:paraId="749D444D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337F09E2" w:rsidR="00B00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337F09E2" w:rsidR="21D42F2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Pr="337F09E2" w:rsidR="40217D30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:rsidR="00D74CEA" w:rsidP="00D74CEA" w14:paraId="50523362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je povinen vrátit neoprávněně </w:t>
            </w:r>
            <w:r w:rsidRPr="00D74CEA" w:rsidR="27DFCE73">
              <w:rPr>
                <w:rFonts w:ascii="Arial" w:hAnsi="Arial" w:cs="Arial"/>
                <w:sz w:val="18"/>
                <w:szCs w:val="18"/>
              </w:rPr>
              <w:t>poskytnuté</w:t>
            </w:r>
            <w:r w:rsidRPr="00D74CEA" w:rsidR="35CD45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 w:rsidR="009E12B4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 w:rsidR="393900C6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či pověřenou osobou provádějící veřejnosprávní kontrolu. </w:t>
            </w:r>
          </w:p>
          <w:p w:rsidR="009E12B4" w:rsidRPr="00D74CEA" w:rsidP="00D74CEA" w14:paraId="7C8A28B7" w14:textId="77777777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B007B7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může podle § 15 odst. 1 </w:t>
            </w:r>
            <w:r w:rsidRPr="00D74CEA" w:rsidR="1E118D0D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Pr="00D74CEA" w:rsidR="4031F4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26B24" w:rsidP="001445BC" w14:paraId="0A87A6BD" w14:textId="77777777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7"/>
        <w:gridCol w:w="1564"/>
        <w:gridCol w:w="2972"/>
      </w:tblGrid>
      <w:tr w14:paraId="70C3CA71" w14:textId="77777777" w:rsidTr="00851E05">
        <w:tblPrEx>
          <w:tblW w:w="9356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5BC" w:rsidRPr="00F56B7A" w14:paraId="7866994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C" w:rsidRPr="00F56B7A" w:rsidP="001445BC" w14:paraId="131377B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45BC" w:rsidRPr="00F56B7A" w14:paraId="6CE4540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45BC" w:rsidRPr="00F56B7A" w14:paraId="0E79C69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6003FCD" w14:textId="77777777" w:rsidTr="00851E05">
        <w:tblPrEx>
          <w:tblW w:w="9356" w:type="dxa"/>
          <w:tblInd w:w="-34" w:type="dxa"/>
          <w:tblLayout w:type="fixed"/>
          <w:tblLook w:val="04A0"/>
        </w:tblPrEx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5BC" w:rsidRPr="00F56B7A" w14:paraId="223A57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C" w:rsidRPr="00F56B7A" w:rsidP="001445BC" w14:paraId="333A91B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5BC" w:rsidRPr="00F56B7A" w14:paraId="68F46A9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5BC" w:rsidRPr="00F56B7A" w14:paraId="03A96E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D5EB078" w14:textId="77777777" w:rsidTr="00851E05">
        <w:tblPrEx>
          <w:tblW w:w="9356" w:type="dxa"/>
          <w:tblInd w:w="-34" w:type="dxa"/>
          <w:tblLayout w:type="fixed"/>
          <w:tblLook w:val="04A0"/>
        </w:tblPrEx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45BC" w:rsidRPr="00F56B7A" w14:paraId="229C4A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45BC" w:rsidRPr="00F56B7A" w:rsidP="001445BC" w14:paraId="60D59A3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1445BC" w:rsidRPr="00F56B7A" w14:paraId="7D8A77A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45BC" w:rsidRPr="00F56B7A" w14:paraId="441D915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7B4CF35" w14:textId="77777777" w:rsidTr="00100266">
        <w:tblPrEx>
          <w:tblW w:w="9356" w:type="dxa"/>
          <w:tblInd w:w="-34" w:type="dxa"/>
          <w:tblLayout w:type="fixed"/>
          <w:tblLook w:val="04A0"/>
        </w:tblPrEx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907" w:rsidRPr="00F56B7A" w14:paraId="74A4C5F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32907" w:rsidRPr="00F56B7A" w:rsidP="006B56C3" w14:paraId="704B241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E32907" w:rsidRPr="00F56B7A" w:rsidP="009378BA" w14:paraId="0DB4695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Pr="00F56B7A" w:rsidR="009378B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6F" w:rsidRPr="00F56B7A" w:rsidP="00DD5D6F" w14:paraId="5D39E022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:rsidR="00DD5D6F" w:rsidRPr="00F56B7A" w:rsidP="00DD5D6F" w14:paraId="105854AB" w14:textId="7777777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14:paraId="1111550A" w14:textId="77777777" w:rsidTr="00715B20">
        <w:tblPrEx>
          <w:tblW w:w="9356" w:type="dxa"/>
          <w:tblInd w:w="-34" w:type="dxa"/>
          <w:tblLayout w:type="fixed"/>
          <w:tblLook w:val="04A0"/>
        </w:tblPrEx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907" w:rsidRPr="00F56B7A" w14:paraId="5E7DE8B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Schválil:</w:t>
            </w:r>
          </w:p>
          <w:p w:rsidR="00E32907" w:rsidRPr="00F56B7A" w14:paraId="1F5675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32907" w:rsidRPr="00F56B7A" w:rsidP="001445BC" w14:paraId="52DCE2E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E32907" w:rsidRPr="00F56B7A" w14:paraId="7EF8A84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07" w:rsidRPr="00F56B7A" w14:paraId="245CA42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963B9BF" w14:textId="77777777" w:rsidTr="00851E05">
        <w:tblPrEx>
          <w:tblW w:w="9356" w:type="dxa"/>
          <w:tblInd w:w="-34" w:type="dxa"/>
          <w:tblLayout w:type="fixed"/>
          <w:tblLook w:val="04A0"/>
        </w:tblPrEx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45BC" w:rsidRPr="00F56B7A" w14:paraId="60F82C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45BC" w:rsidRPr="00F56B7A" w:rsidP="001445BC" w14:paraId="2BC8BE1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5BC" w:rsidRPr="00F56B7A" w14:paraId="4F309D8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5BC" w:rsidRPr="00F56B7A" w14:paraId="1718B1A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5BC" w:rsidRPr="005369AA" w:rsidP="00147AE5" w14:paraId="71D98DB4" w14:textId="77777777">
      <w:pPr>
        <w:autoSpaceDE w:val="0"/>
        <w:autoSpaceDN w:val="0"/>
        <w:adjustRightInd w:val="0"/>
        <w:rPr>
          <w:sz w:val="8"/>
          <w:szCs w:val="8"/>
        </w:rPr>
      </w:pPr>
    </w:p>
    <w:sectPr w:rsidSect="00147AE5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5E1" w:rsidP="00C955E1" w14:paraId="4E37DD06" w14:textId="77777777">
    <w:pPr>
      <w:pStyle w:val="Footer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:rsidR="009A57CB" w:rsidRPr="006879EA" w:rsidP="00985DF8" w14:paraId="5026FD67" w14:textId="756CD220">
    <w:pPr>
      <w:pStyle w:val="Footer"/>
      <w:rPr>
        <w:rFonts w:asciiTheme="minorHAnsi" w:hAnsiTheme="minorHAnsi" w:cstheme="minorHAnsi"/>
        <w:b/>
        <w:bCs/>
        <w:color w:val="2F5496" w:themeColor="accent1" w:themeShade="BF"/>
        <w:sz w:val="22"/>
        <w:szCs w:val="22"/>
      </w:rPr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6879EA">
      <w:rPr>
        <w:rFonts w:asciiTheme="minorHAnsi" w:hAnsiTheme="minorHAnsi" w:cstheme="minorHAnsi"/>
        <w:b/>
        <w:bCs/>
        <w:color w:val="002060"/>
        <w:sz w:val="22"/>
        <w:szCs w:val="22"/>
      </w:rPr>
      <w:t>PRŮBĚŽNÁ VÝZVA Č. 1 – Nastavení metodické podpory pro zřízení regionálních center a finančních nástrojů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5E1" w14:paraId="4C3830AB" w14:textId="77777777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95716" name="Obrázek 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7CB" w:rsidP="00147AE5" w14:paraId="22AFE9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430EA"/>
    <w:multiLevelType w:val="hybridMultilevel"/>
    <w:tmpl w:val="63F29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43481"/>
    <w:multiLevelType w:val="hybridMultilevel"/>
    <w:tmpl w:val="8C66AE4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164"/>
    <w:multiLevelType w:val="hybridMultilevel"/>
    <w:tmpl w:val="E7A41D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B3B36"/>
    <w:multiLevelType w:val="hybridMultilevel"/>
    <w:tmpl w:val="90A20F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6B08"/>
    <w:multiLevelType w:val="hybridMultilevel"/>
    <w:tmpl w:val="F1665F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F97F60"/>
    <w:multiLevelType w:val="hybridMultilevel"/>
    <w:tmpl w:val="BF386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8564D85"/>
    <w:multiLevelType w:val="hybridMultilevel"/>
    <w:tmpl w:val="C6EE18E8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93ED6"/>
    <w:multiLevelType w:val="hybridMultilevel"/>
    <w:tmpl w:val="BB040DB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14150"/>
    <w:multiLevelType w:val="hybridMultilevel"/>
    <w:tmpl w:val="68FE5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B491D"/>
    <w:multiLevelType w:val="hybridMultilevel"/>
    <w:tmpl w:val="424CEF8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AC3EF0"/>
    <w:multiLevelType w:val="hybridMultilevel"/>
    <w:tmpl w:val="7B2A976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277EE"/>
    <w:multiLevelType w:val="hybridMultilevel"/>
    <w:tmpl w:val="7EEA72D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A269E"/>
    <w:multiLevelType w:val="hybridMultilevel"/>
    <w:tmpl w:val="74A0AE00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34A2A3B"/>
    <w:multiLevelType w:val="hybridMultilevel"/>
    <w:tmpl w:val="E204380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B1DDD"/>
    <w:multiLevelType w:val="hybridMultilevel"/>
    <w:tmpl w:val="74A0AE00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5C7577"/>
    <w:multiLevelType w:val="hybridMultilevel"/>
    <w:tmpl w:val="2B70D0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13C10"/>
    <w:multiLevelType w:val="hybridMultilevel"/>
    <w:tmpl w:val="C77212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A7B74"/>
    <w:multiLevelType w:val="hybridMultilevel"/>
    <w:tmpl w:val="A608064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92422B"/>
    <w:multiLevelType w:val="hybridMultilevel"/>
    <w:tmpl w:val="5F8AB0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27A3B"/>
    <w:multiLevelType w:val="hybridMultilevel"/>
    <w:tmpl w:val="2F16B68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81F2E"/>
    <w:multiLevelType w:val="hybridMultilevel"/>
    <w:tmpl w:val="DB60A02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A3571"/>
    <w:multiLevelType w:val="hybridMultilevel"/>
    <w:tmpl w:val="C1381E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A30749"/>
    <w:multiLevelType w:val="hybridMultilevel"/>
    <w:tmpl w:val="4D0C3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101DA"/>
    <w:multiLevelType w:val="hybridMultilevel"/>
    <w:tmpl w:val="6C905A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E57F0"/>
    <w:multiLevelType w:val="hybridMultilevel"/>
    <w:tmpl w:val="94808B1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A1E1AEE"/>
    <w:multiLevelType w:val="hybridMultilevel"/>
    <w:tmpl w:val="C016C7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7"/>
  </w:num>
  <w:num w:numId="4">
    <w:abstractNumId w:val="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</w:num>
  <w:num w:numId="10">
    <w:abstractNumId w:val="22"/>
  </w:num>
  <w:num w:numId="11">
    <w:abstractNumId w:val="20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"/>
  </w:num>
  <w:num w:numId="17">
    <w:abstractNumId w:val="25"/>
  </w:num>
  <w:num w:numId="18">
    <w:abstractNumId w:val="8"/>
  </w:num>
  <w:num w:numId="19">
    <w:abstractNumId w:val="27"/>
  </w:num>
  <w:num w:numId="20">
    <w:abstractNumId w:val="21"/>
  </w:num>
  <w:num w:numId="21">
    <w:abstractNumId w:val="13"/>
  </w:num>
  <w:num w:numId="22">
    <w:abstractNumId w:val="15"/>
  </w:num>
  <w:num w:numId="23">
    <w:abstractNumId w:val="2"/>
  </w:num>
  <w:num w:numId="24">
    <w:abstractNumId w:val="16"/>
  </w:num>
  <w:num w:numId="25">
    <w:abstractNumId w:val="7"/>
  </w:num>
  <w:num w:numId="26">
    <w:abstractNumId w:val="5"/>
  </w:num>
  <w:num w:numId="27">
    <w:abstractNumId w:val="23"/>
  </w:num>
  <w:num w:numId="28">
    <w:abstractNumId w:val="4"/>
  </w:num>
  <w:num w:numId="29">
    <w:abstractNumId w:val="9"/>
  </w:num>
  <w:num w:numId="30">
    <w:abstractNumId w:val="19"/>
  </w:num>
  <w:num w:numId="31">
    <w:abstractNumId w:val="1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53A0B"/>
    <w:rsid w:val="000652CC"/>
    <w:rsid w:val="00065FCE"/>
    <w:rsid w:val="00072B8B"/>
    <w:rsid w:val="00074A67"/>
    <w:rsid w:val="00084B67"/>
    <w:rsid w:val="000858EF"/>
    <w:rsid w:val="00090E19"/>
    <w:rsid w:val="00092658"/>
    <w:rsid w:val="0009276F"/>
    <w:rsid w:val="000A0C15"/>
    <w:rsid w:val="000A22AC"/>
    <w:rsid w:val="000A4982"/>
    <w:rsid w:val="000B6CD9"/>
    <w:rsid w:val="000D1D69"/>
    <w:rsid w:val="000D68A8"/>
    <w:rsid w:val="000E3AE9"/>
    <w:rsid w:val="000F6B91"/>
    <w:rsid w:val="000F739A"/>
    <w:rsid w:val="00100266"/>
    <w:rsid w:val="00101233"/>
    <w:rsid w:val="00104A11"/>
    <w:rsid w:val="00106CEE"/>
    <w:rsid w:val="00111568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1E5F"/>
    <w:rsid w:val="00195D6C"/>
    <w:rsid w:val="00197B0A"/>
    <w:rsid w:val="001A66A2"/>
    <w:rsid w:val="001B32D2"/>
    <w:rsid w:val="001B4A6C"/>
    <w:rsid w:val="001C3046"/>
    <w:rsid w:val="001C5863"/>
    <w:rsid w:val="001D1C41"/>
    <w:rsid w:val="001D2F0D"/>
    <w:rsid w:val="001D4559"/>
    <w:rsid w:val="001D5686"/>
    <w:rsid w:val="001E2F2A"/>
    <w:rsid w:val="001E4A72"/>
    <w:rsid w:val="00202F20"/>
    <w:rsid w:val="00216129"/>
    <w:rsid w:val="00216880"/>
    <w:rsid w:val="00217515"/>
    <w:rsid w:val="00241B76"/>
    <w:rsid w:val="0025070C"/>
    <w:rsid w:val="00251A4C"/>
    <w:rsid w:val="002537C4"/>
    <w:rsid w:val="00256685"/>
    <w:rsid w:val="002614C6"/>
    <w:rsid w:val="0026176F"/>
    <w:rsid w:val="00267BF1"/>
    <w:rsid w:val="00272656"/>
    <w:rsid w:val="00273AA4"/>
    <w:rsid w:val="00294783"/>
    <w:rsid w:val="002953F6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07956"/>
    <w:rsid w:val="003129F4"/>
    <w:rsid w:val="00313A73"/>
    <w:rsid w:val="00320804"/>
    <w:rsid w:val="003223FF"/>
    <w:rsid w:val="003309A0"/>
    <w:rsid w:val="003313BC"/>
    <w:rsid w:val="0033179D"/>
    <w:rsid w:val="003325E6"/>
    <w:rsid w:val="00332B01"/>
    <w:rsid w:val="00341D92"/>
    <w:rsid w:val="00346228"/>
    <w:rsid w:val="00351D05"/>
    <w:rsid w:val="00377E46"/>
    <w:rsid w:val="00391AC6"/>
    <w:rsid w:val="003A7C0C"/>
    <w:rsid w:val="003B1BE2"/>
    <w:rsid w:val="003C615A"/>
    <w:rsid w:val="003D1343"/>
    <w:rsid w:val="003D30DC"/>
    <w:rsid w:val="003D4BCB"/>
    <w:rsid w:val="003E2216"/>
    <w:rsid w:val="003E28A6"/>
    <w:rsid w:val="003E4FA2"/>
    <w:rsid w:val="003F0D23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37E96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17FD"/>
    <w:rsid w:val="004F356C"/>
    <w:rsid w:val="005055AB"/>
    <w:rsid w:val="005109C9"/>
    <w:rsid w:val="00512D2B"/>
    <w:rsid w:val="005135E6"/>
    <w:rsid w:val="00523174"/>
    <w:rsid w:val="005256A5"/>
    <w:rsid w:val="00526BA2"/>
    <w:rsid w:val="00531BEA"/>
    <w:rsid w:val="005342A2"/>
    <w:rsid w:val="005369AA"/>
    <w:rsid w:val="00544385"/>
    <w:rsid w:val="0054745E"/>
    <w:rsid w:val="00547863"/>
    <w:rsid w:val="00554FBD"/>
    <w:rsid w:val="0055702B"/>
    <w:rsid w:val="005571C1"/>
    <w:rsid w:val="005620E1"/>
    <w:rsid w:val="00565915"/>
    <w:rsid w:val="005701D4"/>
    <w:rsid w:val="0057516F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52C7F"/>
    <w:rsid w:val="006633B6"/>
    <w:rsid w:val="0067012E"/>
    <w:rsid w:val="00674C21"/>
    <w:rsid w:val="00680C1B"/>
    <w:rsid w:val="00680D14"/>
    <w:rsid w:val="00683935"/>
    <w:rsid w:val="00686672"/>
    <w:rsid w:val="006879EA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6F6553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0802"/>
    <w:rsid w:val="00764022"/>
    <w:rsid w:val="007747A7"/>
    <w:rsid w:val="00774908"/>
    <w:rsid w:val="00783868"/>
    <w:rsid w:val="007845D0"/>
    <w:rsid w:val="007849C9"/>
    <w:rsid w:val="00793FA1"/>
    <w:rsid w:val="00795B26"/>
    <w:rsid w:val="007A1C4E"/>
    <w:rsid w:val="007A271E"/>
    <w:rsid w:val="007A6406"/>
    <w:rsid w:val="007B030D"/>
    <w:rsid w:val="007B1C6C"/>
    <w:rsid w:val="007B530D"/>
    <w:rsid w:val="007B6612"/>
    <w:rsid w:val="007C7D31"/>
    <w:rsid w:val="007D44BE"/>
    <w:rsid w:val="007F2E53"/>
    <w:rsid w:val="007F389C"/>
    <w:rsid w:val="00800122"/>
    <w:rsid w:val="008007E1"/>
    <w:rsid w:val="00801BDF"/>
    <w:rsid w:val="00802CFA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E6013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02380"/>
    <w:rsid w:val="00A10F3C"/>
    <w:rsid w:val="00A12BE2"/>
    <w:rsid w:val="00A1509B"/>
    <w:rsid w:val="00A23424"/>
    <w:rsid w:val="00A23814"/>
    <w:rsid w:val="00A26E6F"/>
    <w:rsid w:val="00A32934"/>
    <w:rsid w:val="00A35D9F"/>
    <w:rsid w:val="00A405F7"/>
    <w:rsid w:val="00A47E42"/>
    <w:rsid w:val="00A6156C"/>
    <w:rsid w:val="00A625DE"/>
    <w:rsid w:val="00A71ED4"/>
    <w:rsid w:val="00A735F3"/>
    <w:rsid w:val="00A751A2"/>
    <w:rsid w:val="00A95104"/>
    <w:rsid w:val="00A963EA"/>
    <w:rsid w:val="00A96740"/>
    <w:rsid w:val="00AA30D6"/>
    <w:rsid w:val="00AA37B0"/>
    <w:rsid w:val="00AA3885"/>
    <w:rsid w:val="00AA4E92"/>
    <w:rsid w:val="00AA5089"/>
    <w:rsid w:val="00AA6758"/>
    <w:rsid w:val="00AB4739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07B7"/>
    <w:rsid w:val="00B0186A"/>
    <w:rsid w:val="00B0401B"/>
    <w:rsid w:val="00B0456B"/>
    <w:rsid w:val="00B05913"/>
    <w:rsid w:val="00B06A97"/>
    <w:rsid w:val="00B1399F"/>
    <w:rsid w:val="00B1548A"/>
    <w:rsid w:val="00B26B24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77F9A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2301"/>
    <w:rsid w:val="00C5521E"/>
    <w:rsid w:val="00C57E26"/>
    <w:rsid w:val="00C6388C"/>
    <w:rsid w:val="00C73C60"/>
    <w:rsid w:val="00C86EB5"/>
    <w:rsid w:val="00C955E1"/>
    <w:rsid w:val="00C9569F"/>
    <w:rsid w:val="00CA26EA"/>
    <w:rsid w:val="00CA2A52"/>
    <w:rsid w:val="00CA2CD9"/>
    <w:rsid w:val="00CA5A99"/>
    <w:rsid w:val="00CA72B6"/>
    <w:rsid w:val="00CB467E"/>
    <w:rsid w:val="00CB5C4C"/>
    <w:rsid w:val="00CC10A0"/>
    <w:rsid w:val="00CC2167"/>
    <w:rsid w:val="00CC51F3"/>
    <w:rsid w:val="00CE11E8"/>
    <w:rsid w:val="00CE2B88"/>
    <w:rsid w:val="00CE2DB3"/>
    <w:rsid w:val="00CE78C7"/>
    <w:rsid w:val="00CF0794"/>
    <w:rsid w:val="00CF49C4"/>
    <w:rsid w:val="00CF70F8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03BB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465D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18D8"/>
    <w:rsid w:val="00E527FD"/>
    <w:rsid w:val="00E56452"/>
    <w:rsid w:val="00E60DE5"/>
    <w:rsid w:val="00E61084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1DBF"/>
    <w:rsid w:val="00F37205"/>
    <w:rsid w:val="00F56B7A"/>
    <w:rsid w:val="00F62504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94651E"/>
  </w:style>
  <w:style w:type="paragraph" w:styleId="Footer">
    <w:name w:val="footer"/>
    <w:basedOn w:val="Normal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94651E"/>
  </w:style>
  <w:style w:type="paragraph" w:styleId="ListParagraph">
    <w:name w:val="List Paragraph"/>
    <w:aliases w:val="Nad"/>
    <w:basedOn w:val="Normal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4C03"/>
    <w:rPr>
      <w:lang w:eastAsia="cs-CZ"/>
    </w:rPr>
  </w:style>
  <w:style w:type="table" w:styleId="TableGrid">
    <w:name w:val="Table Grid"/>
    <w:basedOn w:val="TableNormal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B692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DefaultParagraphFont"/>
    <w:link w:val="CommentText"/>
    <w:uiPriority w:val="99"/>
    <w:rsid w:val="007F2E53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CommentSubject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FollowedHyperlink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BodyText">
    <w:name w:val="Body Text"/>
    <w:basedOn w:val="Normal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DefaultParagraphFont"/>
    <w:link w:val="Body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ListParagraph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al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1176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Blažková Kristina</cp:lastModifiedBy>
  <cp:revision>3</cp:revision>
  <cp:lastPrinted>2020-10-20T19:45:00Z</cp:lastPrinted>
  <dcterms:created xsi:type="dcterms:W3CDTF">2024-02-29T14:34:00Z</dcterms:created>
  <dcterms:modified xsi:type="dcterms:W3CDTF">2024-02-29T14:54:00Z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