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1F1D4B6D"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0A4208">
        <w:rPr>
          <w:rFonts w:ascii="Arial" w:eastAsia="Arial" w:hAnsi="Arial" w:cs="Arial"/>
          <w:b/>
          <w:bCs/>
          <w:sz w:val="32"/>
          <w:szCs w:val="32"/>
          <w:lang w:eastAsia="cs-CZ"/>
        </w:rPr>
        <w:t>řízení projektů IT</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A4208">
        <w:rPr>
          <w:rFonts w:ascii="Arial" w:eastAsia="Arial" w:hAnsi="Arial" w:cs="Arial"/>
          <w:b/>
          <w:bCs/>
          <w:sz w:val="32"/>
          <w:szCs w:val="32"/>
          <w:lang w:eastAsia="cs-CZ"/>
        </w:rPr>
        <w:t>o</w:t>
      </w:r>
      <w:r w:rsidR="000A4208" w:rsidRPr="000A4208">
        <w:rPr>
          <w:rFonts w:ascii="Arial" w:eastAsia="Arial" w:hAnsi="Arial" w:cs="Arial"/>
          <w:b/>
          <w:bCs/>
          <w:sz w:val="32"/>
          <w:szCs w:val="32"/>
          <w:lang w:eastAsia="cs-CZ"/>
        </w:rPr>
        <w:t>dbor dodávek a kvality služeb AS</w:t>
      </w:r>
      <w:r w:rsidR="00B317BA">
        <w:rPr>
          <w:rFonts w:ascii="Arial" w:eastAsia="Arial" w:hAnsi="Arial" w:cs="Arial"/>
          <w:b/>
          <w:bCs/>
          <w:sz w:val="32"/>
          <w:szCs w:val="32"/>
          <w:lang w:eastAsia="cs-CZ"/>
        </w:rPr>
        <w:t>, MMR_</w:t>
      </w:r>
      <w:r w:rsidR="000A4208">
        <w:rPr>
          <w:rFonts w:ascii="Arial" w:eastAsia="Arial" w:hAnsi="Arial" w:cs="Arial"/>
          <w:b/>
          <w:bCs/>
          <w:sz w:val="32"/>
          <w:szCs w:val="32"/>
          <w:lang w:eastAsia="cs-CZ"/>
        </w:rPr>
        <w:t>1438</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3E5AC182" w14:textId="4A13948F" w:rsidR="00CF53F1" w:rsidRPr="001C26E6" w:rsidRDefault="00660F1A" w:rsidP="000A4208">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0A4208">
        <w:rPr>
          <w:rFonts w:ascii="Arial" w:eastAsia="Arial" w:hAnsi="Arial" w:cs="Arial"/>
          <w:lang w:eastAsia="cs-CZ"/>
        </w:rPr>
        <w:t>60756</w:t>
      </w:r>
      <w:r w:rsidR="00A60F48" w:rsidRPr="00A60F48">
        <w:rPr>
          <w:rFonts w:ascii="Arial" w:eastAsia="Arial" w:hAnsi="Arial" w:cs="Arial"/>
          <w:lang w:eastAsia="cs-CZ"/>
        </w:rPr>
        <w:t>/2025-94</w:t>
      </w:r>
      <w:r w:rsidR="00D3147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E5B06A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w:t>
      </w:r>
      <w:r w:rsidR="000A4208">
        <w:rPr>
          <w:rFonts w:ascii="Arial" w:hAnsi="Arial" w:cs="Arial"/>
        </w:rPr>
        <w:t>438</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0A4208">
        <w:rPr>
          <w:rFonts w:ascii="Arial" w:eastAsia="Arial" w:hAnsi="Arial" w:cs="Arial"/>
          <w:b/>
          <w:bCs/>
          <w:lang w:eastAsia="cs-CZ"/>
        </w:rPr>
        <w:t>řízení projektů IT</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0A4208">
        <w:rPr>
          <w:rFonts w:ascii="Arial" w:eastAsia="Arial" w:hAnsi="Arial" w:cs="Arial"/>
          <w:lang w:eastAsia="cs-CZ"/>
        </w:rPr>
        <w:t>dodávek a kvality služeb AS</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135674">
        <w:rPr>
          <w:rFonts w:ascii="Arial" w:hAnsi="Arial" w:cs="Arial"/>
        </w:rPr>
        <w:t xml:space="preserve">sekce </w:t>
      </w:r>
      <w:hyperlink r:id="rId8" w:history="1">
        <w:r w:rsidR="000A4208">
          <w:rPr>
            <w:rFonts w:ascii="Arial" w:hAnsi="Arial" w:cs="Arial"/>
          </w:rPr>
          <w:t>IT</w:t>
        </w:r>
      </w:hyperlink>
      <w:r w:rsidR="002855C1" w:rsidRPr="00135674">
        <w:rPr>
          <w:rFonts w:ascii="Arial" w:hAnsi="Arial" w:cs="Arial"/>
        </w:rPr>
        <w:t xml:space="preserve"> </w:t>
      </w:r>
      <w:r w:rsidRPr="00135674">
        <w:rPr>
          <w:rFonts w:ascii="Arial" w:hAnsi="Arial" w:cs="Arial"/>
        </w:rPr>
        <w:t>v</w:t>
      </w:r>
      <w:r w:rsidRPr="00937B4A">
        <w:rPr>
          <w:rFonts w:ascii="Arial" w:eastAsia="Arial" w:hAnsi="Arial" w:cs="Arial"/>
          <w:lang w:eastAsia="cs-CZ"/>
        </w:rPr>
        <w:t xml:space="preserve">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392DEBE2" w14:textId="734DD6F0" w:rsidR="00B317BA" w:rsidRDefault="000A4208" w:rsidP="000A4208">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135674">
        <w:rPr>
          <w:rFonts w:ascii="Arial" w:eastAsia="Arial" w:hAnsi="Arial" w:cs="Arial"/>
          <w:lang w:eastAsia="cs-CZ"/>
        </w:rPr>
        <w:t>8</w:t>
      </w:r>
      <w:r w:rsidR="00CE0CDD" w:rsidRPr="00CE0CDD">
        <w:rPr>
          <w:rFonts w:ascii="Arial" w:eastAsia="Arial" w:hAnsi="Arial" w:cs="Arial"/>
          <w:lang w:eastAsia="cs-CZ"/>
        </w:rPr>
        <w:t xml:space="preserve"> </w:t>
      </w:r>
      <w:r w:rsidR="00A3644C">
        <w:rPr>
          <w:rFonts w:ascii="Arial" w:eastAsia="Arial" w:hAnsi="Arial" w:cs="Arial"/>
          <w:lang w:eastAsia="cs-CZ"/>
        </w:rPr>
        <w:t>–</w:t>
      </w:r>
      <w:r w:rsidRPr="000A4208">
        <w:rPr>
          <w:rFonts w:ascii="Arial" w:eastAsia="Arial" w:hAnsi="Arial" w:cs="Arial"/>
          <w:lang w:eastAsia="cs-CZ"/>
        </w:rPr>
        <w:t xml:space="preserve"> Informační a komunikační technologie.</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662117BC" w14:textId="3ED00706"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Pr="000A4208">
        <w:rPr>
          <w:rFonts w:ascii="Arial" w:eastAsia="Arial" w:hAnsi="Arial" w:cs="Arial"/>
          <w:lang w:eastAsia="cs-CZ"/>
        </w:rPr>
        <w:t>vorba a rozvoj celostátní koncepce a celostátní systémová koordinace procesů elektronizace veřejné správy</w:t>
      </w:r>
      <w:r>
        <w:rPr>
          <w:rFonts w:ascii="Arial" w:eastAsia="Arial" w:hAnsi="Arial" w:cs="Arial"/>
          <w:lang w:eastAsia="cs-CZ"/>
        </w:rPr>
        <w:t>;</w:t>
      </w:r>
    </w:p>
    <w:p w14:paraId="19DBC72E" w14:textId="5BE29E9C"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poskytuje metodologickou podporu dodávek IT projektů v sekci ICT</w:t>
      </w:r>
      <w:r>
        <w:rPr>
          <w:rFonts w:ascii="Arial" w:eastAsia="Arial" w:hAnsi="Arial" w:cs="Arial"/>
          <w:lang w:eastAsia="cs-CZ"/>
        </w:rPr>
        <w:t>;</w:t>
      </w:r>
    </w:p>
    <w:p w14:paraId="2F03618C" w14:textId="20B2F3E8"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nastavuje, rozvoj, sdílení a aktualizaci metodik a standardů projektového řízení v IT oblasti</w:t>
      </w:r>
      <w:r>
        <w:rPr>
          <w:rFonts w:ascii="Arial" w:eastAsia="Arial" w:hAnsi="Arial" w:cs="Arial"/>
          <w:lang w:eastAsia="cs-CZ"/>
        </w:rPr>
        <w:t>;</w:t>
      </w:r>
    </w:p>
    <w:p w14:paraId="1F0DDDBC" w14:textId="399962B7"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koordinuje projekty v oblasti IT</w:t>
      </w:r>
      <w:r>
        <w:rPr>
          <w:rFonts w:ascii="Arial" w:eastAsia="Arial" w:hAnsi="Arial" w:cs="Arial"/>
          <w:lang w:eastAsia="cs-CZ"/>
        </w:rPr>
        <w:t>;</w:t>
      </w:r>
    </w:p>
    <w:p w14:paraId="07D81C1C" w14:textId="0C045F29"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funguje jako centrální bod pro sdílení informací a osvědčených postupů mezi projekty IT</w:t>
      </w:r>
      <w:r>
        <w:rPr>
          <w:rFonts w:ascii="Arial" w:eastAsia="Arial" w:hAnsi="Arial" w:cs="Arial"/>
          <w:lang w:eastAsia="cs-CZ"/>
        </w:rPr>
        <w:t>;</w:t>
      </w:r>
    </w:p>
    <w:p w14:paraId="49F3A1E5" w14:textId="5911E6CE"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zajišťuje pravidelnou komunikaci mezi manažery projektů IT pro výměnu zkušeností a koordinaci činností</w:t>
      </w:r>
      <w:r>
        <w:rPr>
          <w:rFonts w:ascii="Arial" w:eastAsia="Arial" w:hAnsi="Arial" w:cs="Arial"/>
          <w:lang w:eastAsia="cs-CZ"/>
        </w:rPr>
        <w:t>;</w:t>
      </w:r>
    </w:p>
    <w:p w14:paraId="384DDFD9" w14:textId="6D16557C"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standardizuje nástroje a procesy IT</w:t>
      </w:r>
      <w:r>
        <w:rPr>
          <w:rFonts w:ascii="Arial" w:eastAsia="Arial" w:hAnsi="Arial" w:cs="Arial"/>
          <w:lang w:eastAsia="cs-CZ"/>
        </w:rPr>
        <w:t>;</w:t>
      </w:r>
    </w:p>
    <w:p w14:paraId="32C694B5" w14:textId="5D3B5D2C"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kontroluje a hodnotí projekty IT</w:t>
      </w:r>
      <w:r>
        <w:rPr>
          <w:rFonts w:ascii="Arial" w:eastAsia="Arial" w:hAnsi="Arial" w:cs="Arial"/>
          <w:lang w:eastAsia="cs-CZ"/>
        </w:rPr>
        <w:t>;</w:t>
      </w:r>
    </w:p>
    <w:p w14:paraId="423B54CD" w14:textId="760DC978" w:rsidR="000A4208" w:rsidRDefault="000A4208" w:rsidP="00A60F48">
      <w:pPr>
        <w:pStyle w:val="Odstavecseseznamem"/>
        <w:numPr>
          <w:ilvl w:val="0"/>
          <w:numId w:val="17"/>
        </w:numPr>
        <w:spacing w:after="0"/>
        <w:ind w:left="714" w:hanging="357"/>
        <w:jc w:val="both"/>
        <w:rPr>
          <w:rFonts w:ascii="Arial" w:eastAsia="Arial" w:hAnsi="Arial" w:cs="Arial"/>
          <w:lang w:eastAsia="cs-CZ"/>
        </w:rPr>
      </w:pPr>
      <w:r w:rsidRPr="000A4208">
        <w:rPr>
          <w:rFonts w:ascii="Arial" w:eastAsia="Arial" w:hAnsi="Arial" w:cs="Arial"/>
          <w:lang w:eastAsia="cs-CZ"/>
        </w:rPr>
        <w:t>provádí pravidelně audity projektů IT pro zajištění dodržování stanovených standardů a metodik.</w:t>
      </w:r>
    </w:p>
    <w:p w14:paraId="7F341816" w14:textId="18753605" w:rsidR="00E87135" w:rsidRPr="00E87135" w:rsidRDefault="00E87135" w:rsidP="00E87135">
      <w:pPr>
        <w:spacing w:after="0"/>
        <w:jc w:val="center"/>
        <w:rPr>
          <w:rFonts w:ascii="Arial" w:eastAsia="Arial" w:hAnsi="Arial" w:cs="Arial"/>
          <w:lang w:eastAsia="cs-CZ"/>
        </w:rPr>
      </w:pPr>
      <w:r>
        <w:rPr>
          <w:rFonts w:ascii="Arial" w:eastAsia="Arial" w:hAnsi="Arial" w:cs="Arial"/>
          <w:lang w:eastAsia="cs-CZ"/>
        </w:rPr>
        <w:t>Praxe v dané problematice min. 3 roky (výhodou).</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7F42A13D"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A4208">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5B177759"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E87135">
        <w:rPr>
          <w:rFonts w:ascii="Arial" w:eastAsia="Arial" w:hAnsi="Arial" w:cs="Arial"/>
          <w:b/>
          <w:bCs/>
          <w:lang w:eastAsia="cs-CZ"/>
        </w:rPr>
        <w:t>36</w:t>
      </w:r>
      <w:r w:rsidRPr="00A1230A">
        <w:rPr>
          <w:rFonts w:ascii="Arial" w:eastAsia="Arial" w:hAnsi="Arial" w:cs="Arial"/>
          <w:b/>
          <w:bCs/>
          <w:lang w:eastAsia="cs-CZ"/>
        </w:rPr>
        <w:t>.</w:t>
      </w:r>
      <w:r w:rsidR="00A1230A" w:rsidRPr="00A1230A">
        <w:rPr>
          <w:rFonts w:ascii="Arial" w:eastAsia="Arial" w:hAnsi="Arial" w:cs="Arial"/>
          <w:b/>
          <w:bCs/>
          <w:lang w:eastAsia="cs-CZ"/>
        </w:rPr>
        <w:t>2</w:t>
      </w:r>
      <w:r w:rsidR="00E87135">
        <w:rPr>
          <w:rFonts w:ascii="Arial" w:eastAsia="Arial" w:hAnsi="Arial" w:cs="Arial"/>
          <w:b/>
          <w:bCs/>
          <w:lang w:eastAsia="cs-CZ"/>
        </w:rPr>
        <w:t>40</w:t>
      </w:r>
      <w:r w:rsidRPr="00A1230A">
        <w:rPr>
          <w:rFonts w:ascii="Arial" w:eastAsia="Arial" w:hAnsi="Arial" w:cs="Arial"/>
          <w:b/>
          <w:bCs/>
          <w:lang w:eastAsia="cs-CZ"/>
        </w:rPr>
        <w:t xml:space="preserve"> Kč do </w:t>
      </w:r>
      <w:r w:rsidR="00E87135">
        <w:rPr>
          <w:rFonts w:ascii="Arial" w:eastAsia="Arial" w:hAnsi="Arial" w:cs="Arial"/>
          <w:b/>
          <w:bCs/>
          <w:lang w:eastAsia="cs-CZ"/>
        </w:rPr>
        <w:t>52</w:t>
      </w:r>
      <w:r w:rsidRPr="00A1230A">
        <w:rPr>
          <w:rFonts w:ascii="Arial" w:eastAsia="Arial" w:hAnsi="Arial" w:cs="Arial"/>
          <w:b/>
          <w:bCs/>
          <w:lang w:eastAsia="cs-CZ"/>
        </w:rPr>
        <w:t>.</w:t>
      </w:r>
      <w:r w:rsidR="00E87135">
        <w:rPr>
          <w:rFonts w:ascii="Arial" w:eastAsia="Arial" w:hAnsi="Arial" w:cs="Arial"/>
          <w:b/>
          <w:bCs/>
          <w:lang w:eastAsia="cs-CZ"/>
        </w:rPr>
        <w:t>93</w:t>
      </w:r>
      <w:r w:rsidR="00056D4C">
        <w:rPr>
          <w:rFonts w:ascii="Arial" w:eastAsia="Arial" w:hAnsi="Arial" w:cs="Arial"/>
          <w:b/>
          <w:bCs/>
          <w:lang w:eastAsia="cs-CZ"/>
        </w:rPr>
        <w:t>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6ACE067B"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od</w:t>
      </w:r>
      <w:r w:rsidR="00135674">
        <w:rPr>
          <w:rFonts w:ascii="Arial" w:eastAsia="Arial" w:hAnsi="Arial" w:cs="Arial"/>
          <w:b/>
          <w:bCs/>
          <w:lang w:eastAsia="cs-CZ"/>
        </w:rPr>
        <w:t xml:space="preserve"> </w:t>
      </w:r>
      <w:r w:rsidRPr="00A32EE3">
        <w:rPr>
          <w:rFonts w:ascii="Arial" w:eastAsia="Arial" w:hAnsi="Arial" w:cs="Arial"/>
          <w:b/>
          <w:bCs/>
          <w:lang w:eastAsia="cs-CZ"/>
        </w:rPr>
        <w:t xml:space="preserve">0 Kč do </w:t>
      </w:r>
      <w:r w:rsidR="00E87135">
        <w:rPr>
          <w:rFonts w:ascii="Arial" w:eastAsia="Arial" w:hAnsi="Arial" w:cs="Arial"/>
          <w:b/>
          <w:bCs/>
          <w:lang w:eastAsia="cs-CZ"/>
        </w:rPr>
        <w:t>52</w:t>
      </w:r>
      <w:r w:rsidRPr="00A32EE3">
        <w:rPr>
          <w:rFonts w:ascii="Arial" w:eastAsia="Arial" w:hAnsi="Arial" w:cs="Arial"/>
          <w:b/>
          <w:bCs/>
          <w:lang w:eastAsia="cs-CZ"/>
        </w:rPr>
        <w:t>.</w:t>
      </w:r>
      <w:r w:rsidR="00E87135">
        <w:rPr>
          <w:rFonts w:ascii="Arial" w:eastAsia="Arial" w:hAnsi="Arial" w:cs="Arial"/>
          <w:b/>
          <w:bCs/>
          <w:lang w:eastAsia="cs-CZ"/>
        </w:rPr>
        <w:t>93</w:t>
      </w:r>
      <w:r w:rsidR="00135674">
        <w:rPr>
          <w:rFonts w:ascii="Arial" w:eastAsia="Arial" w:hAnsi="Arial" w:cs="Arial"/>
          <w:b/>
          <w:bCs/>
          <w:lang w:eastAsia="cs-CZ"/>
        </w:rPr>
        <w:t>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0CCE884B"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E87135">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C4E35D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135674">
        <w:rPr>
          <w:rFonts w:ascii="Arial" w:eastAsia="Arial" w:hAnsi="Arial" w:cs="Arial"/>
          <w:b/>
          <w:bCs/>
          <w:lang w:eastAsia="cs-CZ"/>
        </w:rPr>
        <w:t>října</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9"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06B931BE"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E87135">
        <w:rPr>
          <w:rFonts w:ascii="Arial" w:eastAsia="Arial" w:hAnsi="Arial" w:cs="Arial"/>
          <w:b/>
          <w:bCs/>
          <w:color w:val="000000"/>
          <w:lang w:eastAsia="cs-CZ"/>
        </w:rPr>
        <w:t>1</w:t>
      </w:r>
      <w:r w:rsidR="00135674">
        <w:rPr>
          <w:rFonts w:ascii="Arial" w:eastAsia="Arial" w:hAnsi="Arial" w:cs="Arial"/>
          <w:b/>
          <w:bCs/>
          <w:color w:val="000000"/>
          <w:lang w:eastAsia="cs-CZ"/>
        </w:rPr>
        <w:t>5</w:t>
      </w:r>
      <w:r w:rsidR="00B317BA">
        <w:rPr>
          <w:rFonts w:ascii="Arial" w:eastAsia="Arial" w:hAnsi="Arial" w:cs="Arial"/>
          <w:b/>
          <w:bCs/>
          <w:color w:val="000000"/>
          <w:lang w:eastAsia="cs-CZ"/>
        </w:rPr>
        <w:t xml:space="preserve">. </w:t>
      </w:r>
      <w:r w:rsidR="00135674">
        <w:rPr>
          <w:rFonts w:ascii="Arial" w:eastAsia="Arial" w:hAnsi="Arial" w:cs="Arial"/>
          <w:b/>
          <w:bCs/>
          <w:color w:val="000000"/>
          <w:lang w:eastAsia="cs-CZ"/>
        </w:rPr>
        <w:t xml:space="preserve">září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CCEE4A4"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1E0649" w:rsidRPr="001E0649">
        <w:rPr>
          <w:rFonts w:ascii="Arial" w:eastAsia="Arial" w:hAnsi="Arial" w:cs="Arial"/>
          <w:b/>
          <w:bCs/>
          <w:lang w:eastAsia="cs-CZ"/>
        </w:rPr>
        <w:t xml:space="preserve">vedoucího/vedoucí </w:t>
      </w:r>
      <w:r w:rsidR="00E87135" w:rsidRPr="00937B4A">
        <w:rPr>
          <w:rFonts w:ascii="Arial" w:eastAsia="Arial" w:hAnsi="Arial" w:cs="Arial"/>
          <w:b/>
          <w:bCs/>
          <w:lang w:eastAsia="cs-CZ"/>
        </w:rPr>
        <w:t>oddělení</w:t>
      </w:r>
      <w:r w:rsidR="00E87135">
        <w:rPr>
          <w:rFonts w:ascii="Arial" w:eastAsia="Arial" w:hAnsi="Arial" w:cs="Arial"/>
          <w:b/>
          <w:bCs/>
          <w:sz w:val="32"/>
          <w:szCs w:val="32"/>
          <w:lang w:eastAsia="cs-CZ"/>
        </w:rPr>
        <w:t xml:space="preserve"> </w:t>
      </w:r>
      <w:r w:rsidR="00E87135">
        <w:rPr>
          <w:rFonts w:ascii="Arial" w:eastAsia="Arial" w:hAnsi="Arial" w:cs="Arial"/>
          <w:b/>
          <w:bCs/>
          <w:lang w:eastAsia="cs-CZ"/>
        </w:rPr>
        <w:t>řízení projektů IT</w:t>
      </w:r>
      <w:r w:rsidRPr="001E0649">
        <w:rPr>
          <w:rFonts w:ascii="Arial" w:hAnsi="Arial" w:cs="Arial"/>
          <w:b/>
          <w:bCs/>
        </w:rPr>
        <w:t xml:space="preserve">, č.j.: </w:t>
      </w:r>
      <w:r w:rsidR="001E0649" w:rsidRPr="001E0649">
        <w:rPr>
          <w:rFonts w:ascii="Arial" w:eastAsia="Arial" w:hAnsi="Arial" w:cs="Arial"/>
          <w:b/>
          <w:bCs/>
          <w:lang w:eastAsia="cs-CZ"/>
        </w:rPr>
        <w:t>MMR-</w:t>
      </w:r>
      <w:r w:rsidR="00E87135">
        <w:rPr>
          <w:rFonts w:ascii="Arial" w:eastAsia="Arial" w:hAnsi="Arial" w:cs="Arial"/>
          <w:b/>
          <w:bCs/>
          <w:lang w:eastAsia="cs-CZ"/>
        </w:rPr>
        <w:t>60756</w:t>
      </w:r>
      <w:r w:rsidR="001E0649" w:rsidRPr="00056D4C">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639CF7B9" w14:textId="2F0A3876" w:rsidR="00135674" w:rsidRPr="00E87135" w:rsidRDefault="00B84629" w:rsidP="00E87135">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6CF9829B" w14:textId="0371E123" w:rsidR="004D66D3" w:rsidRPr="00135674" w:rsidRDefault="00C62529" w:rsidP="00135674">
      <w:pPr>
        <w:pStyle w:val="Odstavecseseznamem"/>
        <w:numPr>
          <w:ilvl w:val="0"/>
          <w:numId w:val="26"/>
        </w:numPr>
        <w:spacing w:after="0" w:line="240" w:lineRule="auto"/>
        <w:jc w:val="both"/>
        <w:rPr>
          <w:rFonts w:ascii="Arial" w:hAnsi="Arial" w:cs="Arial"/>
        </w:rPr>
      </w:pPr>
      <w:r w:rsidRPr="00135674">
        <w:rPr>
          <w:rFonts w:ascii="Arial" w:hAnsi="Arial" w:cs="Arial"/>
        </w:rPr>
        <w:lastRenderedPageBreak/>
        <w:t xml:space="preserve">je-li narozen přede dnem 1. prosince 1971, </w:t>
      </w:r>
      <w:proofErr w:type="gramStart"/>
      <w:r w:rsidRPr="00135674">
        <w:rPr>
          <w:rFonts w:ascii="Arial" w:hAnsi="Arial" w:cs="Arial"/>
        </w:rPr>
        <w:t>předloží</w:t>
      </w:r>
      <w:proofErr w:type="gramEnd"/>
      <w:r w:rsidRPr="00135674">
        <w:rPr>
          <w:rFonts w:ascii="Arial" w:hAnsi="Arial" w:cs="Arial"/>
        </w:rPr>
        <w:t xml:space="preserve"> originál nebo úředně ověřenou kopii tzv. lustračního osvědčení</w:t>
      </w:r>
      <w:r>
        <w:rPr>
          <w:rStyle w:val="Znakapoznpodarou"/>
          <w:rFonts w:ascii="Arial" w:hAnsi="Arial" w:cs="Arial"/>
        </w:rPr>
        <w:footnoteReference w:id="3"/>
      </w:r>
      <w:r w:rsidRPr="00135674">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135674">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135674">
      <w:pPr>
        <w:pStyle w:val="Odstavecseseznamem"/>
        <w:numPr>
          <w:ilvl w:val="0"/>
          <w:numId w:val="26"/>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4E065542" w14:textId="165D6841" w:rsidR="00135674" w:rsidRPr="00E87135" w:rsidRDefault="004D66D3" w:rsidP="00135674">
      <w:pPr>
        <w:pStyle w:val="Odstavecseseznamem"/>
        <w:numPr>
          <w:ilvl w:val="0"/>
          <w:numId w:val="26"/>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D41C325"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highlight w:val="yellow"/>
        </w:rPr>
      </w:pPr>
    </w:p>
    <w:p w14:paraId="35F0B196" w14:textId="77777777" w:rsidR="006B0B01" w:rsidRDefault="006B0B01"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247F9CBA" w14:textId="77777777" w:rsidR="00135674" w:rsidRDefault="00135674" w:rsidP="001240A5">
      <w:pPr>
        <w:spacing w:after="0" w:line="240" w:lineRule="auto"/>
        <w:contextualSpacing/>
        <w:jc w:val="both"/>
        <w:rPr>
          <w:rFonts w:ascii="Arial" w:hAnsi="Arial" w:cs="Arial"/>
        </w:rPr>
      </w:pPr>
    </w:p>
    <w:p w14:paraId="42011543" w14:textId="77777777" w:rsidR="00135674" w:rsidRDefault="00135674" w:rsidP="001240A5">
      <w:pPr>
        <w:spacing w:after="0" w:line="240" w:lineRule="auto"/>
        <w:contextualSpacing/>
        <w:jc w:val="both"/>
        <w:rPr>
          <w:rFonts w:ascii="Arial" w:hAnsi="Arial" w:cs="Arial"/>
        </w:rPr>
      </w:pPr>
    </w:p>
    <w:p w14:paraId="23D0594A" w14:textId="77777777" w:rsidR="00135674" w:rsidRDefault="00135674" w:rsidP="001240A5">
      <w:pPr>
        <w:spacing w:after="0" w:line="240" w:lineRule="auto"/>
        <w:contextualSpacing/>
        <w:jc w:val="both"/>
        <w:rPr>
          <w:rFonts w:ascii="Arial" w:hAnsi="Arial" w:cs="Arial"/>
        </w:rPr>
      </w:pPr>
    </w:p>
    <w:p w14:paraId="53A0EB99" w14:textId="77777777" w:rsidR="00135674" w:rsidRDefault="00135674" w:rsidP="001240A5">
      <w:pPr>
        <w:spacing w:after="0" w:line="240" w:lineRule="auto"/>
        <w:contextualSpacing/>
        <w:jc w:val="both"/>
        <w:rPr>
          <w:rFonts w:ascii="Arial" w:hAnsi="Arial" w:cs="Arial"/>
        </w:rPr>
      </w:pPr>
    </w:p>
    <w:p w14:paraId="16188565" w14:textId="77777777" w:rsidR="00135674" w:rsidRDefault="00135674" w:rsidP="001240A5">
      <w:pPr>
        <w:spacing w:after="0" w:line="240" w:lineRule="auto"/>
        <w:contextualSpacing/>
        <w:jc w:val="both"/>
        <w:rPr>
          <w:rFonts w:ascii="Arial" w:hAnsi="Arial" w:cs="Arial"/>
        </w:rPr>
      </w:pPr>
    </w:p>
    <w:p w14:paraId="664F9C04" w14:textId="77777777" w:rsidR="00135674" w:rsidRDefault="00135674" w:rsidP="001240A5">
      <w:pPr>
        <w:spacing w:after="0" w:line="240" w:lineRule="auto"/>
        <w:contextualSpacing/>
        <w:jc w:val="both"/>
        <w:rPr>
          <w:rFonts w:ascii="Arial" w:hAnsi="Arial" w:cs="Arial"/>
        </w:rPr>
      </w:pPr>
    </w:p>
    <w:p w14:paraId="6EA5DBCD" w14:textId="77777777" w:rsidR="00135674" w:rsidRDefault="00135674" w:rsidP="001240A5">
      <w:pPr>
        <w:spacing w:after="0" w:line="240" w:lineRule="auto"/>
        <w:contextualSpacing/>
        <w:jc w:val="both"/>
        <w:rPr>
          <w:rFonts w:ascii="Arial" w:hAnsi="Arial" w:cs="Arial"/>
        </w:rPr>
      </w:pPr>
    </w:p>
    <w:p w14:paraId="2D1002BD" w14:textId="77777777" w:rsidR="00135674" w:rsidRDefault="00135674" w:rsidP="001240A5">
      <w:pPr>
        <w:spacing w:after="0" w:line="240" w:lineRule="auto"/>
        <w:contextualSpacing/>
        <w:jc w:val="both"/>
        <w:rPr>
          <w:rFonts w:ascii="Arial" w:hAnsi="Arial" w:cs="Arial"/>
        </w:rPr>
      </w:pPr>
    </w:p>
    <w:p w14:paraId="474DECCC" w14:textId="77777777" w:rsidR="00135674" w:rsidRDefault="00135674" w:rsidP="001240A5">
      <w:pPr>
        <w:spacing w:after="0" w:line="240" w:lineRule="auto"/>
        <w:contextualSpacing/>
        <w:jc w:val="both"/>
        <w:rPr>
          <w:rFonts w:ascii="Arial" w:hAnsi="Arial" w:cs="Arial"/>
        </w:rPr>
      </w:pPr>
    </w:p>
    <w:p w14:paraId="69327A5F" w14:textId="77777777" w:rsidR="00135674" w:rsidRPr="008C10F3" w:rsidRDefault="00135674" w:rsidP="0013567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508D7C95" w14:textId="77777777" w:rsidR="00135674" w:rsidRPr="008C10F3" w:rsidRDefault="00135674" w:rsidP="00135674">
      <w:pPr>
        <w:spacing w:after="0"/>
        <w:ind w:left="2832"/>
        <w:rPr>
          <w:rFonts w:ascii="Arial" w:hAnsi="Arial" w:cs="Arial"/>
        </w:rPr>
      </w:pPr>
      <w:r w:rsidRPr="008C10F3">
        <w:rPr>
          <w:rFonts w:ascii="Arial" w:hAnsi="Arial" w:cs="Arial"/>
        </w:rPr>
        <w:t xml:space="preserve">              státní tajemnice Ministerstva pro místní rozvoj</w:t>
      </w:r>
    </w:p>
    <w:p w14:paraId="0437BBF6" w14:textId="77777777" w:rsidR="00135674" w:rsidRPr="008C10F3" w:rsidRDefault="0013567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 w:numId="28" w16cid:durableId="2117748829">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D4C"/>
    <w:rsid w:val="00056E37"/>
    <w:rsid w:val="000624A5"/>
    <w:rsid w:val="000655B2"/>
    <w:rsid w:val="00065A31"/>
    <w:rsid w:val="0006716A"/>
    <w:rsid w:val="00075AE5"/>
    <w:rsid w:val="000914E1"/>
    <w:rsid w:val="00097673"/>
    <w:rsid w:val="000A4208"/>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35674"/>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4E1B"/>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21836"/>
    <w:rsid w:val="00321FD2"/>
    <w:rsid w:val="00326212"/>
    <w:rsid w:val="00327064"/>
    <w:rsid w:val="003322E4"/>
    <w:rsid w:val="003328AC"/>
    <w:rsid w:val="00333762"/>
    <w:rsid w:val="003401E0"/>
    <w:rsid w:val="0034352F"/>
    <w:rsid w:val="00346182"/>
    <w:rsid w:val="00346B58"/>
    <w:rsid w:val="00347B13"/>
    <w:rsid w:val="00356A88"/>
    <w:rsid w:val="00362736"/>
    <w:rsid w:val="003629BF"/>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748ED"/>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87135"/>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gov.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5</Pages>
  <Words>1419</Words>
  <Characters>8374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37</cp:revision>
  <cp:lastPrinted>2024-10-07T10:16:00Z</cp:lastPrinted>
  <dcterms:created xsi:type="dcterms:W3CDTF">2023-04-03T14:30:00Z</dcterms:created>
  <dcterms:modified xsi:type="dcterms:W3CDTF">2025-09-03T07:36:00Z</dcterms:modified>
</cp:coreProperties>
</file>