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37460" w14:textId="77777777" w:rsidR="00DA0F43" w:rsidRDefault="00171F49" w:rsidP="000A610C">
      <w:pPr>
        <w:spacing w:after="0" w:line="240" w:lineRule="auto"/>
        <w:rPr>
          <w:rFonts w:ascii="Arial" w:hAnsi="Arial" w:cs="Arial"/>
          <w:b/>
          <w:sz w:val="24"/>
          <w:szCs w:val="24"/>
          <w:u w:val="single"/>
        </w:rPr>
      </w:pPr>
      <w:r w:rsidRPr="0028766F">
        <w:rPr>
          <w:rFonts w:ascii="Arial" w:hAnsi="Arial" w:cs="Arial"/>
          <w:b/>
          <w:sz w:val="24"/>
          <w:szCs w:val="24"/>
          <w:u w:val="single"/>
        </w:rPr>
        <w:t>Čestné prohlášení k podniku v</w:t>
      </w:r>
      <w:r w:rsidR="007F33C5">
        <w:rPr>
          <w:rFonts w:ascii="Arial" w:hAnsi="Arial" w:cs="Arial"/>
          <w:b/>
          <w:sz w:val="24"/>
          <w:szCs w:val="24"/>
          <w:u w:val="single"/>
        </w:rPr>
        <w:t> </w:t>
      </w:r>
      <w:r w:rsidRPr="0028766F">
        <w:rPr>
          <w:rFonts w:ascii="Arial" w:hAnsi="Arial" w:cs="Arial"/>
          <w:b/>
          <w:sz w:val="24"/>
          <w:szCs w:val="24"/>
          <w:u w:val="single"/>
        </w:rPr>
        <w:t>obtížích</w:t>
      </w:r>
      <w:r w:rsidR="00D06C82">
        <w:rPr>
          <w:rStyle w:val="Znakapoznpodarou"/>
          <w:rFonts w:ascii="Arial" w:hAnsi="Arial" w:cs="Arial"/>
          <w:b/>
          <w:sz w:val="24"/>
          <w:szCs w:val="24"/>
          <w:u w:val="single"/>
        </w:rPr>
        <w:footnoteReference w:id="1"/>
      </w:r>
      <w:r w:rsidR="007F33C5">
        <w:rPr>
          <w:rFonts w:ascii="Arial" w:hAnsi="Arial" w:cs="Arial"/>
          <w:b/>
          <w:sz w:val="24"/>
          <w:szCs w:val="24"/>
          <w:u w:val="single"/>
        </w:rPr>
        <w:t xml:space="preserve"> a kritéria posouzení</w:t>
      </w:r>
    </w:p>
    <w:p w14:paraId="7C045206" w14:textId="77777777" w:rsidR="000A610C" w:rsidRPr="000A610C" w:rsidRDefault="000A610C" w:rsidP="000A610C">
      <w:pPr>
        <w:spacing w:after="0"/>
        <w:rPr>
          <w:rFonts w:ascii="Arial" w:hAnsi="Arial" w:cs="Arial"/>
          <w:sz w:val="24"/>
          <w:szCs w:val="24"/>
        </w:rPr>
      </w:pPr>
    </w:p>
    <w:tbl>
      <w:tblPr>
        <w:tblStyle w:val="Mkatabulky"/>
        <w:tblW w:w="0" w:type="auto"/>
        <w:tblLook w:val="04A0" w:firstRow="1" w:lastRow="0" w:firstColumn="1" w:lastColumn="0" w:noHBand="0" w:noVBand="1"/>
      </w:tblPr>
      <w:tblGrid>
        <w:gridCol w:w="2216"/>
        <w:gridCol w:w="6846"/>
      </w:tblGrid>
      <w:tr w:rsidR="00714166" w:rsidRPr="00714166" w14:paraId="723F6F2C" w14:textId="77777777" w:rsidTr="007F33C5">
        <w:trPr>
          <w:trHeight w:val="283"/>
        </w:trPr>
        <w:tc>
          <w:tcPr>
            <w:tcW w:w="2235" w:type="dxa"/>
            <w:shd w:val="clear" w:color="auto" w:fill="D9D9D9" w:themeFill="background1" w:themeFillShade="D9"/>
          </w:tcPr>
          <w:p w14:paraId="4CCBB780" w14:textId="77777777" w:rsidR="00714166" w:rsidRPr="00714166" w:rsidRDefault="00714166" w:rsidP="00316860">
            <w:pPr>
              <w:rPr>
                <w:rFonts w:ascii="Arial" w:hAnsi="Arial" w:cs="Arial"/>
                <w:sz w:val="20"/>
                <w:szCs w:val="20"/>
              </w:rPr>
            </w:pPr>
            <w:r w:rsidRPr="00714166">
              <w:rPr>
                <w:rFonts w:ascii="Arial" w:hAnsi="Arial" w:cs="Arial"/>
                <w:sz w:val="20"/>
                <w:szCs w:val="20"/>
              </w:rPr>
              <w:t>Identifikace žadatele</w:t>
            </w:r>
          </w:p>
        </w:tc>
        <w:tc>
          <w:tcPr>
            <w:tcW w:w="6977" w:type="dxa"/>
          </w:tcPr>
          <w:p w14:paraId="3E4B8523" w14:textId="77777777" w:rsidR="00714166" w:rsidRPr="00714166" w:rsidRDefault="00714166" w:rsidP="00316860">
            <w:pPr>
              <w:rPr>
                <w:rFonts w:ascii="Arial" w:hAnsi="Arial" w:cs="Arial"/>
                <w:sz w:val="20"/>
                <w:szCs w:val="20"/>
              </w:rPr>
            </w:pPr>
          </w:p>
        </w:tc>
      </w:tr>
      <w:tr w:rsidR="00714166" w:rsidRPr="00714166" w14:paraId="3B499A74" w14:textId="77777777" w:rsidTr="007F33C5">
        <w:trPr>
          <w:trHeight w:val="283"/>
        </w:trPr>
        <w:tc>
          <w:tcPr>
            <w:tcW w:w="2235" w:type="dxa"/>
            <w:shd w:val="clear" w:color="auto" w:fill="D9D9D9" w:themeFill="background1" w:themeFillShade="D9"/>
          </w:tcPr>
          <w:p w14:paraId="0698D490" w14:textId="77777777" w:rsidR="00714166" w:rsidRPr="00714166" w:rsidRDefault="00714166" w:rsidP="00316860">
            <w:pPr>
              <w:rPr>
                <w:rFonts w:ascii="Arial" w:hAnsi="Arial" w:cs="Arial"/>
                <w:sz w:val="20"/>
                <w:szCs w:val="20"/>
              </w:rPr>
            </w:pPr>
            <w:r w:rsidRPr="00714166">
              <w:rPr>
                <w:rFonts w:ascii="Arial" w:hAnsi="Arial" w:cs="Arial"/>
                <w:sz w:val="20"/>
                <w:szCs w:val="20"/>
              </w:rPr>
              <w:t>Právní forma žadatele</w:t>
            </w:r>
          </w:p>
        </w:tc>
        <w:tc>
          <w:tcPr>
            <w:tcW w:w="6977" w:type="dxa"/>
          </w:tcPr>
          <w:p w14:paraId="301F493E" w14:textId="77777777" w:rsidR="00714166" w:rsidRPr="00714166" w:rsidRDefault="00714166" w:rsidP="00316860">
            <w:pPr>
              <w:rPr>
                <w:rFonts w:ascii="Arial" w:hAnsi="Arial" w:cs="Arial"/>
                <w:sz w:val="20"/>
                <w:szCs w:val="20"/>
              </w:rPr>
            </w:pPr>
          </w:p>
        </w:tc>
      </w:tr>
      <w:tr w:rsidR="00714166" w:rsidRPr="00714166" w14:paraId="6E42DA10" w14:textId="77777777" w:rsidTr="007F33C5">
        <w:trPr>
          <w:trHeight w:val="283"/>
        </w:trPr>
        <w:tc>
          <w:tcPr>
            <w:tcW w:w="2235" w:type="dxa"/>
            <w:shd w:val="clear" w:color="auto" w:fill="D9D9D9" w:themeFill="background1" w:themeFillShade="D9"/>
          </w:tcPr>
          <w:p w14:paraId="11B72032" w14:textId="77777777" w:rsidR="00714166" w:rsidRPr="00714166" w:rsidRDefault="00714166" w:rsidP="00316860">
            <w:pPr>
              <w:rPr>
                <w:rFonts w:ascii="Arial" w:hAnsi="Arial" w:cs="Arial"/>
                <w:sz w:val="20"/>
                <w:szCs w:val="20"/>
              </w:rPr>
            </w:pPr>
            <w:r w:rsidRPr="00714166">
              <w:rPr>
                <w:rFonts w:ascii="Arial" w:hAnsi="Arial" w:cs="Arial"/>
                <w:sz w:val="20"/>
                <w:szCs w:val="20"/>
              </w:rPr>
              <w:t>Identifikace projektu</w:t>
            </w:r>
          </w:p>
        </w:tc>
        <w:tc>
          <w:tcPr>
            <w:tcW w:w="6977" w:type="dxa"/>
          </w:tcPr>
          <w:p w14:paraId="395ADFA7" w14:textId="77777777" w:rsidR="00714166" w:rsidRPr="00714166" w:rsidRDefault="00714166" w:rsidP="00316860">
            <w:pPr>
              <w:rPr>
                <w:rFonts w:ascii="Arial" w:hAnsi="Arial" w:cs="Arial"/>
                <w:sz w:val="20"/>
                <w:szCs w:val="20"/>
              </w:rPr>
            </w:pPr>
          </w:p>
        </w:tc>
      </w:tr>
    </w:tbl>
    <w:p w14:paraId="15B49432" w14:textId="2E70CFEF" w:rsidR="00171F49" w:rsidRDefault="00171F49" w:rsidP="007C51CE">
      <w:pPr>
        <w:pStyle w:val="Default"/>
        <w:spacing w:before="240" w:after="120"/>
        <w:jc w:val="both"/>
        <w:rPr>
          <w:rFonts w:ascii="Arial" w:hAnsi="Arial" w:cs="Arial"/>
          <w:sz w:val="20"/>
          <w:szCs w:val="20"/>
        </w:rPr>
      </w:pPr>
      <w:r w:rsidRPr="00171F49">
        <w:rPr>
          <w:rFonts w:ascii="Arial" w:hAnsi="Arial" w:cs="Arial"/>
          <w:sz w:val="20"/>
          <w:szCs w:val="20"/>
        </w:rPr>
        <w:t xml:space="preserve">Prohlašuji, že </w:t>
      </w:r>
      <w:r w:rsidR="007F33C5">
        <w:rPr>
          <w:rFonts w:ascii="Arial" w:hAnsi="Arial" w:cs="Arial"/>
          <w:sz w:val="20"/>
          <w:szCs w:val="20"/>
        </w:rPr>
        <w:t>subjekt</w:t>
      </w:r>
      <w:r w:rsidRPr="00171F49">
        <w:rPr>
          <w:rFonts w:ascii="Arial" w:hAnsi="Arial" w:cs="Arial"/>
          <w:sz w:val="20"/>
          <w:szCs w:val="20"/>
        </w:rPr>
        <w:t xml:space="preserve"> </w:t>
      </w:r>
      <w:r w:rsidR="007F33C5">
        <w:rPr>
          <w:rFonts w:ascii="Arial" w:hAnsi="Arial" w:cs="Arial"/>
          <w:sz w:val="20"/>
          <w:szCs w:val="20"/>
          <w:shd w:val="clear" w:color="auto" w:fill="D9D9D9" w:themeFill="background1" w:themeFillShade="D9"/>
        </w:rPr>
        <w:t>XY (IČ</w:t>
      </w:r>
      <w:r w:rsidR="00F45AF0">
        <w:rPr>
          <w:rFonts w:ascii="Arial" w:hAnsi="Arial" w:cs="Arial"/>
          <w:sz w:val="20"/>
          <w:szCs w:val="20"/>
          <w:shd w:val="clear" w:color="auto" w:fill="D9D9D9" w:themeFill="background1" w:themeFillShade="D9"/>
        </w:rPr>
        <w:t>O</w:t>
      </w:r>
      <w:r w:rsidRPr="007F33C5">
        <w:rPr>
          <w:rFonts w:ascii="Arial" w:hAnsi="Arial" w:cs="Arial"/>
          <w:sz w:val="20"/>
          <w:szCs w:val="20"/>
          <w:shd w:val="clear" w:color="auto" w:fill="D9D9D9" w:themeFill="background1" w:themeFillShade="D9"/>
        </w:rPr>
        <w:t xml:space="preserve">: </w:t>
      </w:r>
      <w:proofErr w:type="spellStart"/>
      <w:r w:rsidRPr="007F33C5">
        <w:rPr>
          <w:rFonts w:ascii="Arial" w:hAnsi="Arial" w:cs="Arial"/>
          <w:sz w:val="20"/>
          <w:szCs w:val="20"/>
          <w:shd w:val="clear" w:color="auto" w:fill="D9D9D9" w:themeFill="background1" w:themeFillShade="D9"/>
        </w:rPr>
        <w:t>xyz</w:t>
      </w:r>
      <w:proofErr w:type="spellEnd"/>
      <w:r w:rsidRPr="007F33C5">
        <w:rPr>
          <w:rFonts w:ascii="Arial" w:hAnsi="Arial" w:cs="Arial"/>
          <w:sz w:val="20"/>
          <w:szCs w:val="20"/>
          <w:shd w:val="clear" w:color="auto" w:fill="D9D9D9" w:themeFill="background1" w:themeFillShade="D9"/>
        </w:rPr>
        <w:t>)</w:t>
      </w:r>
      <w:r w:rsidRPr="00171F49">
        <w:rPr>
          <w:rFonts w:ascii="Arial" w:hAnsi="Arial" w:cs="Arial"/>
          <w:sz w:val="20"/>
          <w:szCs w:val="20"/>
        </w:rPr>
        <w:t xml:space="preserve"> v souladu s nařízením Komise (EU) č. 651/2014 ze dne </w:t>
      </w:r>
      <w:r w:rsidRPr="00171F49">
        <w:rPr>
          <w:rFonts w:ascii="Arial" w:hAnsi="Arial" w:cs="Arial"/>
          <w:bCs/>
          <w:sz w:val="20"/>
          <w:szCs w:val="20"/>
        </w:rPr>
        <w:t>17.</w:t>
      </w:r>
      <w:r w:rsidRPr="00171F49">
        <w:t> </w:t>
      </w:r>
      <w:r w:rsidRPr="00171F49">
        <w:rPr>
          <w:rFonts w:ascii="Arial" w:hAnsi="Arial" w:cs="Arial"/>
          <w:bCs/>
          <w:sz w:val="20"/>
          <w:szCs w:val="20"/>
        </w:rPr>
        <w:t>června 2014</w:t>
      </w:r>
      <w:r>
        <w:rPr>
          <w:rFonts w:ascii="Arial" w:hAnsi="Arial" w:cs="Arial"/>
          <w:bCs/>
          <w:sz w:val="20"/>
          <w:szCs w:val="20"/>
        </w:rPr>
        <w:t>,</w:t>
      </w:r>
      <w:r w:rsidRPr="00171F49">
        <w:rPr>
          <w:rFonts w:ascii="Arial" w:hAnsi="Arial" w:cs="Arial"/>
          <w:bCs/>
          <w:sz w:val="20"/>
          <w:szCs w:val="20"/>
        </w:rPr>
        <w:t xml:space="preserve"> kterým se v souladu s články 107 a 108 Smlouvy prohlašují určité kategorie podpory za</w:t>
      </w:r>
      <w:r w:rsidR="007F33C5">
        <w:rPr>
          <w:rFonts w:ascii="Arial" w:hAnsi="Arial" w:cs="Arial"/>
          <w:bCs/>
          <w:sz w:val="20"/>
          <w:szCs w:val="20"/>
        </w:rPr>
        <w:t> </w:t>
      </w:r>
      <w:r w:rsidRPr="00171F49">
        <w:rPr>
          <w:rFonts w:ascii="Arial" w:hAnsi="Arial" w:cs="Arial"/>
          <w:bCs/>
          <w:sz w:val="20"/>
          <w:szCs w:val="20"/>
        </w:rPr>
        <w:t>slučitelné s vnitřním trhem</w:t>
      </w:r>
      <w:r>
        <w:rPr>
          <w:rFonts w:ascii="Arial" w:hAnsi="Arial" w:cs="Arial"/>
          <w:bCs/>
          <w:sz w:val="20"/>
          <w:szCs w:val="20"/>
        </w:rPr>
        <w:t>,</w:t>
      </w:r>
      <w:r w:rsidRPr="00171F49">
        <w:rPr>
          <w:rFonts w:ascii="Arial" w:hAnsi="Arial" w:cs="Arial"/>
          <w:bCs/>
          <w:sz w:val="20"/>
          <w:szCs w:val="20"/>
        </w:rPr>
        <w:t xml:space="preserve"> ve znění </w:t>
      </w:r>
      <w:r w:rsidRPr="00171F49">
        <w:rPr>
          <w:rFonts w:ascii="Arial" w:hAnsi="Arial" w:cs="Arial"/>
          <w:sz w:val="20"/>
          <w:szCs w:val="20"/>
        </w:rPr>
        <w:t xml:space="preserve">Nařízení Komise (EU) 2017/1084 ze dne 14. června 2017 </w:t>
      </w:r>
      <w:r w:rsidR="00AC3F03">
        <w:rPr>
          <w:rFonts w:ascii="Arial" w:hAnsi="Arial" w:cs="Arial"/>
          <w:sz w:val="20"/>
          <w:szCs w:val="20"/>
        </w:rPr>
        <w:t xml:space="preserve">není </w:t>
      </w:r>
      <w:r w:rsidRPr="00171F49">
        <w:rPr>
          <w:rFonts w:ascii="Arial" w:hAnsi="Arial" w:cs="Arial"/>
          <w:sz w:val="20"/>
          <w:szCs w:val="20"/>
        </w:rPr>
        <w:t>podnikem v obtížích.</w:t>
      </w:r>
    </w:p>
    <w:p w14:paraId="4BA609B8" w14:textId="77777777" w:rsidR="00171F49" w:rsidRDefault="00AC3F03" w:rsidP="007C51CE">
      <w:pPr>
        <w:spacing w:before="240" w:after="120" w:line="240" w:lineRule="auto"/>
        <w:jc w:val="both"/>
        <w:rPr>
          <w:rFonts w:ascii="Arial" w:hAnsi="Arial" w:cs="Arial"/>
          <w:sz w:val="20"/>
          <w:szCs w:val="20"/>
        </w:rPr>
      </w:pPr>
      <w:r>
        <w:rPr>
          <w:rFonts w:ascii="Arial" w:hAnsi="Arial" w:cs="Arial"/>
          <w:sz w:val="20"/>
          <w:szCs w:val="20"/>
        </w:rPr>
        <w:t>Na základě právní formy žadatele stanovte, která z okolností pro vyhlášení podniku v obtížích by</w:t>
      </w:r>
      <w:r w:rsidR="00BA156F">
        <w:rPr>
          <w:rFonts w:ascii="Arial" w:hAnsi="Arial" w:cs="Arial"/>
          <w:sz w:val="20"/>
          <w:szCs w:val="20"/>
        </w:rPr>
        <w:t> </w:t>
      </w:r>
      <w:r>
        <w:rPr>
          <w:rFonts w:ascii="Arial" w:hAnsi="Arial" w:cs="Arial"/>
          <w:sz w:val="20"/>
          <w:szCs w:val="20"/>
        </w:rPr>
        <w:t>se</w:t>
      </w:r>
      <w:r w:rsidR="00BA156F">
        <w:rPr>
          <w:rFonts w:ascii="Arial" w:hAnsi="Arial" w:cs="Arial"/>
          <w:sz w:val="20"/>
          <w:szCs w:val="20"/>
        </w:rPr>
        <w:t> </w:t>
      </w:r>
      <w:r w:rsidR="007F33C5">
        <w:rPr>
          <w:rFonts w:ascii="Arial" w:hAnsi="Arial" w:cs="Arial"/>
          <w:sz w:val="20"/>
          <w:szCs w:val="20"/>
        </w:rPr>
        <w:t>subjektu</w:t>
      </w:r>
      <w:r>
        <w:rPr>
          <w:rFonts w:ascii="Arial" w:hAnsi="Arial" w:cs="Arial"/>
          <w:sz w:val="20"/>
          <w:szCs w:val="20"/>
        </w:rPr>
        <w:t xml:space="preserve"> týkala</w:t>
      </w:r>
      <w:r w:rsidR="007F33C5">
        <w:rPr>
          <w:rFonts w:ascii="Arial" w:hAnsi="Arial" w:cs="Arial"/>
          <w:sz w:val="20"/>
          <w:szCs w:val="20"/>
        </w:rPr>
        <w:t>:</w:t>
      </w:r>
    </w:p>
    <w:tbl>
      <w:tblPr>
        <w:tblStyle w:val="Mkatabulky"/>
        <w:tblW w:w="0" w:type="auto"/>
        <w:tblLook w:val="04A0" w:firstRow="1" w:lastRow="0" w:firstColumn="1" w:lastColumn="0" w:noHBand="0" w:noVBand="1"/>
      </w:tblPr>
      <w:tblGrid>
        <w:gridCol w:w="1242"/>
        <w:gridCol w:w="3119"/>
      </w:tblGrid>
      <w:tr w:rsidR="007F33C5" w14:paraId="2C8F5957" w14:textId="77777777" w:rsidTr="007F33C5">
        <w:trPr>
          <w:trHeight w:val="283"/>
        </w:trPr>
        <w:tc>
          <w:tcPr>
            <w:tcW w:w="4361" w:type="dxa"/>
            <w:gridSpan w:val="2"/>
            <w:shd w:val="clear" w:color="auto" w:fill="D9D9D9" w:themeFill="background1" w:themeFillShade="D9"/>
          </w:tcPr>
          <w:p w14:paraId="3BCFC397" w14:textId="77777777" w:rsidR="007F33C5" w:rsidRDefault="007F33C5">
            <w:pPr>
              <w:rPr>
                <w:rFonts w:ascii="Arial" w:hAnsi="Arial" w:cs="Arial"/>
                <w:sz w:val="20"/>
                <w:szCs w:val="20"/>
              </w:rPr>
            </w:pPr>
            <w:r>
              <w:rPr>
                <w:rFonts w:ascii="Arial" w:hAnsi="Arial" w:cs="Arial"/>
                <w:sz w:val="20"/>
                <w:szCs w:val="20"/>
              </w:rPr>
              <w:t>Okolnosti pro definování podniku v obtížích</w:t>
            </w:r>
          </w:p>
        </w:tc>
      </w:tr>
      <w:tr w:rsidR="00AC3F03" w14:paraId="2AEAD8C3" w14:textId="77777777" w:rsidTr="007F33C5">
        <w:trPr>
          <w:trHeight w:val="283"/>
        </w:trPr>
        <w:tc>
          <w:tcPr>
            <w:tcW w:w="1242" w:type="dxa"/>
          </w:tcPr>
          <w:p w14:paraId="12631E26" w14:textId="77777777" w:rsidR="00AC3F03" w:rsidRDefault="00AC3F03" w:rsidP="008D505B">
            <w:pPr>
              <w:jc w:val="center"/>
              <w:rPr>
                <w:rFonts w:ascii="Arial" w:hAnsi="Arial" w:cs="Arial"/>
                <w:sz w:val="20"/>
                <w:szCs w:val="20"/>
              </w:rPr>
            </w:pPr>
            <w:r>
              <w:rPr>
                <w:rFonts w:ascii="Arial" w:hAnsi="Arial" w:cs="Arial"/>
                <w:sz w:val="20"/>
                <w:szCs w:val="20"/>
              </w:rPr>
              <w:t>a)</w:t>
            </w:r>
          </w:p>
        </w:tc>
        <w:tc>
          <w:tcPr>
            <w:tcW w:w="3119" w:type="dxa"/>
          </w:tcPr>
          <w:p w14:paraId="7F884C7A" w14:textId="77777777" w:rsidR="00AC3F03" w:rsidRPr="007F33C5" w:rsidRDefault="00AC3F03" w:rsidP="007F33C5">
            <w:pPr>
              <w:jc w:val="center"/>
              <w:rPr>
                <w:rFonts w:ascii="Arial" w:hAnsi="Arial" w:cs="Arial"/>
                <w:b/>
                <w:sz w:val="24"/>
                <w:szCs w:val="24"/>
              </w:rPr>
            </w:pPr>
          </w:p>
        </w:tc>
      </w:tr>
      <w:tr w:rsidR="00AC3F03" w14:paraId="287E062B" w14:textId="77777777" w:rsidTr="007F33C5">
        <w:trPr>
          <w:trHeight w:val="283"/>
        </w:trPr>
        <w:tc>
          <w:tcPr>
            <w:tcW w:w="1242" w:type="dxa"/>
          </w:tcPr>
          <w:p w14:paraId="0E8A6ECF" w14:textId="77777777" w:rsidR="00AC3F03" w:rsidRDefault="00AC3F03" w:rsidP="008D505B">
            <w:pPr>
              <w:jc w:val="center"/>
              <w:rPr>
                <w:rFonts w:ascii="Arial" w:hAnsi="Arial" w:cs="Arial"/>
                <w:sz w:val="20"/>
                <w:szCs w:val="20"/>
              </w:rPr>
            </w:pPr>
            <w:r>
              <w:rPr>
                <w:rFonts w:ascii="Arial" w:hAnsi="Arial" w:cs="Arial"/>
                <w:sz w:val="20"/>
                <w:szCs w:val="20"/>
              </w:rPr>
              <w:t>b)</w:t>
            </w:r>
          </w:p>
        </w:tc>
        <w:tc>
          <w:tcPr>
            <w:tcW w:w="3119" w:type="dxa"/>
          </w:tcPr>
          <w:p w14:paraId="6FC9B6FD" w14:textId="77777777" w:rsidR="00AC3F03" w:rsidRPr="007F33C5" w:rsidRDefault="00AC3F03" w:rsidP="007F33C5">
            <w:pPr>
              <w:jc w:val="center"/>
              <w:rPr>
                <w:rFonts w:ascii="Arial" w:hAnsi="Arial" w:cs="Arial"/>
                <w:b/>
                <w:sz w:val="24"/>
                <w:szCs w:val="24"/>
              </w:rPr>
            </w:pPr>
          </w:p>
        </w:tc>
      </w:tr>
      <w:tr w:rsidR="00AC3F03" w14:paraId="3B6750C9" w14:textId="77777777" w:rsidTr="007F33C5">
        <w:trPr>
          <w:trHeight w:val="283"/>
        </w:trPr>
        <w:tc>
          <w:tcPr>
            <w:tcW w:w="1242" w:type="dxa"/>
          </w:tcPr>
          <w:p w14:paraId="05BF55A6" w14:textId="77777777" w:rsidR="00AC3F03" w:rsidRDefault="00AC3F03" w:rsidP="008D505B">
            <w:pPr>
              <w:jc w:val="center"/>
              <w:rPr>
                <w:rFonts w:ascii="Arial" w:hAnsi="Arial" w:cs="Arial"/>
                <w:sz w:val="20"/>
                <w:szCs w:val="20"/>
              </w:rPr>
            </w:pPr>
            <w:r>
              <w:rPr>
                <w:rFonts w:ascii="Arial" w:hAnsi="Arial" w:cs="Arial"/>
                <w:sz w:val="20"/>
                <w:szCs w:val="20"/>
              </w:rPr>
              <w:t>c)</w:t>
            </w:r>
          </w:p>
        </w:tc>
        <w:tc>
          <w:tcPr>
            <w:tcW w:w="3119" w:type="dxa"/>
          </w:tcPr>
          <w:p w14:paraId="1845735C" w14:textId="77777777" w:rsidR="00AC3F03" w:rsidRPr="007F33C5" w:rsidRDefault="00AC3F03" w:rsidP="007F33C5">
            <w:pPr>
              <w:jc w:val="center"/>
              <w:rPr>
                <w:rFonts w:ascii="Arial" w:hAnsi="Arial" w:cs="Arial"/>
                <w:b/>
                <w:sz w:val="24"/>
                <w:szCs w:val="24"/>
              </w:rPr>
            </w:pPr>
          </w:p>
        </w:tc>
      </w:tr>
      <w:tr w:rsidR="00AC3F03" w14:paraId="221521F8" w14:textId="77777777" w:rsidTr="007F33C5">
        <w:trPr>
          <w:trHeight w:val="283"/>
        </w:trPr>
        <w:tc>
          <w:tcPr>
            <w:tcW w:w="1242" w:type="dxa"/>
          </w:tcPr>
          <w:p w14:paraId="059309FD" w14:textId="77777777" w:rsidR="00AC3F03" w:rsidRDefault="00AC3F03" w:rsidP="008D505B">
            <w:pPr>
              <w:jc w:val="center"/>
              <w:rPr>
                <w:rFonts w:ascii="Arial" w:hAnsi="Arial" w:cs="Arial"/>
                <w:sz w:val="20"/>
                <w:szCs w:val="20"/>
              </w:rPr>
            </w:pPr>
            <w:r>
              <w:rPr>
                <w:rFonts w:ascii="Arial" w:hAnsi="Arial" w:cs="Arial"/>
                <w:sz w:val="20"/>
                <w:szCs w:val="20"/>
              </w:rPr>
              <w:t>d)</w:t>
            </w:r>
          </w:p>
        </w:tc>
        <w:tc>
          <w:tcPr>
            <w:tcW w:w="3119" w:type="dxa"/>
          </w:tcPr>
          <w:p w14:paraId="74F2CFA7" w14:textId="77777777" w:rsidR="00AC3F03" w:rsidRPr="007F33C5" w:rsidRDefault="00AC3F03" w:rsidP="007F33C5">
            <w:pPr>
              <w:jc w:val="center"/>
              <w:rPr>
                <w:rFonts w:ascii="Arial" w:hAnsi="Arial" w:cs="Arial"/>
                <w:b/>
                <w:sz w:val="24"/>
                <w:szCs w:val="24"/>
              </w:rPr>
            </w:pPr>
          </w:p>
        </w:tc>
      </w:tr>
      <w:tr w:rsidR="00AC3F03" w14:paraId="2082A446" w14:textId="77777777" w:rsidTr="007F33C5">
        <w:trPr>
          <w:trHeight w:val="283"/>
        </w:trPr>
        <w:tc>
          <w:tcPr>
            <w:tcW w:w="1242" w:type="dxa"/>
          </w:tcPr>
          <w:p w14:paraId="1FC4FAF1" w14:textId="77777777" w:rsidR="00AC3F03" w:rsidRDefault="00AC3F03" w:rsidP="008D505B">
            <w:pPr>
              <w:jc w:val="center"/>
              <w:rPr>
                <w:rFonts w:ascii="Arial" w:hAnsi="Arial" w:cs="Arial"/>
                <w:sz w:val="20"/>
                <w:szCs w:val="20"/>
              </w:rPr>
            </w:pPr>
            <w:r>
              <w:rPr>
                <w:rFonts w:ascii="Arial" w:hAnsi="Arial" w:cs="Arial"/>
                <w:sz w:val="20"/>
                <w:szCs w:val="20"/>
              </w:rPr>
              <w:t>e)</w:t>
            </w:r>
          </w:p>
        </w:tc>
        <w:tc>
          <w:tcPr>
            <w:tcW w:w="3119" w:type="dxa"/>
          </w:tcPr>
          <w:p w14:paraId="62DBACD7" w14:textId="77777777" w:rsidR="00AC3F03" w:rsidRPr="007F33C5" w:rsidRDefault="00AC3F03" w:rsidP="007F33C5">
            <w:pPr>
              <w:jc w:val="center"/>
              <w:rPr>
                <w:rFonts w:ascii="Arial" w:hAnsi="Arial" w:cs="Arial"/>
                <w:b/>
                <w:sz w:val="24"/>
                <w:szCs w:val="24"/>
              </w:rPr>
            </w:pPr>
          </w:p>
        </w:tc>
      </w:tr>
    </w:tbl>
    <w:p w14:paraId="4EE4E80C" w14:textId="77777777" w:rsidR="00AC3F03" w:rsidRPr="007F33C5" w:rsidRDefault="007F33C5" w:rsidP="007F33C5">
      <w:pPr>
        <w:rPr>
          <w:rFonts w:ascii="Arial" w:hAnsi="Arial" w:cs="Arial"/>
          <w:i/>
          <w:sz w:val="20"/>
          <w:szCs w:val="20"/>
        </w:rPr>
      </w:pPr>
      <w:r w:rsidRPr="007F33C5">
        <w:rPr>
          <w:rFonts w:ascii="Arial" w:hAnsi="Arial" w:cs="Arial"/>
          <w:i/>
          <w:sz w:val="20"/>
          <w:szCs w:val="20"/>
        </w:rPr>
        <w:t>(zakřížkujte relevantní pole v tabulce níže)</w:t>
      </w:r>
    </w:p>
    <w:p w14:paraId="3EA6ED4D" w14:textId="77777777" w:rsidR="008D505B" w:rsidRPr="0028766F" w:rsidRDefault="007F33C5" w:rsidP="00AC3F03">
      <w:pPr>
        <w:rPr>
          <w:rFonts w:ascii="Arial" w:hAnsi="Arial" w:cs="Arial"/>
          <w:b/>
          <w:sz w:val="24"/>
          <w:szCs w:val="24"/>
          <w:u w:val="single"/>
        </w:rPr>
      </w:pPr>
      <w:r>
        <w:rPr>
          <w:rFonts w:ascii="Arial" w:hAnsi="Arial" w:cs="Arial"/>
          <w:b/>
          <w:sz w:val="24"/>
          <w:szCs w:val="24"/>
          <w:u w:val="single"/>
        </w:rPr>
        <w:t>S</w:t>
      </w:r>
      <w:r w:rsidR="008D505B" w:rsidRPr="0028766F">
        <w:rPr>
          <w:rFonts w:ascii="Arial" w:hAnsi="Arial" w:cs="Arial"/>
          <w:b/>
          <w:sz w:val="24"/>
          <w:szCs w:val="24"/>
          <w:u w:val="single"/>
        </w:rPr>
        <w:t>kutečnost</w:t>
      </w:r>
      <w:r>
        <w:rPr>
          <w:rFonts w:ascii="Arial" w:hAnsi="Arial" w:cs="Arial"/>
          <w:b/>
          <w:sz w:val="24"/>
          <w:szCs w:val="24"/>
          <w:u w:val="single"/>
        </w:rPr>
        <w:t>, že subjekt žadatele „není podnikem v obtížích“</w:t>
      </w:r>
      <w:r w:rsidR="008D505B" w:rsidRPr="0028766F">
        <w:rPr>
          <w:rFonts w:ascii="Arial" w:hAnsi="Arial" w:cs="Arial"/>
          <w:b/>
          <w:sz w:val="24"/>
          <w:szCs w:val="24"/>
          <w:u w:val="single"/>
        </w:rPr>
        <w:t xml:space="preserve"> dokládám </w:t>
      </w:r>
    </w:p>
    <w:p w14:paraId="24EA6DC1" w14:textId="77777777" w:rsidR="008D505B" w:rsidRPr="0028766F" w:rsidRDefault="008D505B" w:rsidP="007F33C5">
      <w:pPr>
        <w:spacing w:after="120" w:line="240" w:lineRule="auto"/>
        <w:rPr>
          <w:rFonts w:ascii="Arial" w:hAnsi="Arial" w:cs="Arial"/>
          <w:b/>
          <w:sz w:val="24"/>
          <w:szCs w:val="24"/>
        </w:rPr>
      </w:pPr>
      <w:r w:rsidRPr="0028766F">
        <w:rPr>
          <w:rFonts w:ascii="Arial" w:hAnsi="Arial" w:cs="Arial"/>
          <w:b/>
          <w:sz w:val="24"/>
          <w:szCs w:val="24"/>
        </w:rPr>
        <w:t xml:space="preserve">a) </w:t>
      </w:r>
      <w:r w:rsidR="00BA156F" w:rsidRPr="0028766F">
        <w:rPr>
          <w:rFonts w:ascii="Arial" w:hAnsi="Arial" w:cs="Arial"/>
          <w:b/>
          <w:sz w:val="24"/>
          <w:szCs w:val="24"/>
        </w:rPr>
        <w:t>v</w:t>
      </w:r>
      <w:r w:rsidRPr="0028766F">
        <w:rPr>
          <w:rFonts w:ascii="Arial" w:hAnsi="Arial" w:cs="Arial"/>
          <w:b/>
          <w:sz w:val="24"/>
          <w:szCs w:val="24"/>
        </w:rPr>
        <w:t>ýpočtem</w:t>
      </w:r>
    </w:p>
    <w:tbl>
      <w:tblPr>
        <w:tblStyle w:val="Mkatabulky"/>
        <w:tblW w:w="0" w:type="auto"/>
        <w:tblLook w:val="04A0" w:firstRow="1" w:lastRow="0" w:firstColumn="1" w:lastColumn="0" w:noHBand="0" w:noVBand="1"/>
      </w:tblPr>
      <w:tblGrid>
        <w:gridCol w:w="846"/>
        <w:gridCol w:w="5386"/>
        <w:gridCol w:w="2830"/>
      </w:tblGrid>
      <w:tr w:rsidR="008D505B" w14:paraId="69B2CB57" w14:textId="77777777" w:rsidTr="00F45AF0">
        <w:trPr>
          <w:trHeight w:val="283"/>
        </w:trPr>
        <w:tc>
          <w:tcPr>
            <w:tcW w:w="846" w:type="dxa"/>
          </w:tcPr>
          <w:p w14:paraId="5081433A" w14:textId="77777777" w:rsidR="008D505B" w:rsidRDefault="007F33C5"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a)</w:t>
            </w:r>
          </w:p>
        </w:tc>
        <w:tc>
          <w:tcPr>
            <w:tcW w:w="5386" w:type="dxa"/>
          </w:tcPr>
          <w:p w14:paraId="09FCF82B" w14:textId="77777777" w:rsidR="008D505B" w:rsidRPr="008D505B" w:rsidRDefault="008D505B" w:rsidP="00AC3F03">
            <w:pPr>
              <w:rPr>
                <w:rFonts w:ascii="Arial" w:hAnsi="Arial" w:cs="Arial"/>
                <w:sz w:val="20"/>
                <w:szCs w:val="20"/>
              </w:rPr>
            </w:pPr>
            <w:r w:rsidRPr="008D505B">
              <w:rPr>
                <w:rFonts w:ascii="Arial" w:hAnsi="Arial" w:cs="Arial"/>
                <w:sz w:val="20"/>
                <w:szCs w:val="20"/>
              </w:rPr>
              <w:t>(</w:t>
            </w:r>
            <w:proofErr w:type="gramStart"/>
            <w:r w:rsidRPr="008D505B">
              <w:rPr>
                <w:rFonts w:ascii="Arial" w:hAnsi="Arial" w:cs="Arial"/>
                <w:sz w:val="20"/>
                <w:szCs w:val="20"/>
              </w:rPr>
              <w:t>A.I</w:t>
            </w:r>
            <w:proofErr w:type="gramEnd"/>
            <w:r w:rsidRPr="008D505B">
              <w:rPr>
                <w:rFonts w:ascii="Arial" w:hAnsi="Arial" w:cs="Arial"/>
                <w:sz w:val="20"/>
                <w:szCs w:val="20"/>
              </w:rPr>
              <w:t xml:space="preserve"> + A.II. + A.III. + A.IV. + A.V. + A.VI.) </w:t>
            </w:r>
            <w:proofErr w:type="gramStart"/>
            <w:r w:rsidRPr="008D505B">
              <w:rPr>
                <w:rFonts w:ascii="Arial" w:hAnsi="Arial" w:cs="Arial"/>
                <w:sz w:val="20"/>
                <w:szCs w:val="20"/>
              </w:rPr>
              <w:t>&lt; (</w:t>
            </w:r>
            <w:proofErr w:type="gramEnd"/>
            <w:r w:rsidRPr="008D505B">
              <w:rPr>
                <w:rFonts w:ascii="Arial" w:hAnsi="Arial" w:cs="Arial"/>
                <w:sz w:val="20"/>
                <w:szCs w:val="20"/>
              </w:rPr>
              <w:t>A.I + A.II.1) / 2</w:t>
            </w:r>
          </w:p>
        </w:tc>
        <w:tc>
          <w:tcPr>
            <w:tcW w:w="2830" w:type="dxa"/>
          </w:tcPr>
          <w:p w14:paraId="48C932E8" w14:textId="77777777" w:rsidR="008D505B" w:rsidRPr="002979FA" w:rsidRDefault="008D505B" w:rsidP="00AC3F03">
            <w:pPr>
              <w:rPr>
                <w:rFonts w:ascii="Arial" w:hAnsi="Arial" w:cs="Arial"/>
                <w:sz w:val="20"/>
                <w:szCs w:val="20"/>
              </w:rPr>
            </w:pPr>
          </w:p>
        </w:tc>
      </w:tr>
      <w:tr w:rsidR="008D505B" w14:paraId="197909FE" w14:textId="77777777" w:rsidTr="00F45AF0">
        <w:tc>
          <w:tcPr>
            <w:tcW w:w="846" w:type="dxa"/>
          </w:tcPr>
          <w:p w14:paraId="0B2FB960" w14:textId="77777777" w:rsidR="008D505B" w:rsidRDefault="007F33C5"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b)</w:t>
            </w:r>
          </w:p>
        </w:tc>
        <w:tc>
          <w:tcPr>
            <w:tcW w:w="5386" w:type="dxa"/>
          </w:tcPr>
          <w:p w14:paraId="40E75983" w14:textId="77777777" w:rsidR="008D505B" w:rsidRPr="008D505B" w:rsidRDefault="008D505B" w:rsidP="00AC3F03">
            <w:pPr>
              <w:rPr>
                <w:rStyle w:val="Siln"/>
                <w:rFonts w:ascii="Arial" w:hAnsi="Arial" w:cs="Arial"/>
                <w:b w:val="0"/>
                <w:sz w:val="20"/>
                <w:szCs w:val="20"/>
              </w:rPr>
            </w:pPr>
            <w:r w:rsidRPr="008D505B">
              <w:rPr>
                <w:rStyle w:val="Siln"/>
                <w:rFonts w:ascii="Arial" w:hAnsi="Arial" w:cs="Arial"/>
                <w:b w:val="0"/>
                <w:sz w:val="20"/>
                <w:szCs w:val="20"/>
              </w:rPr>
              <w:t xml:space="preserve">Kumulované </w:t>
            </w:r>
            <w:proofErr w:type="gramStart"/>
            <w:r w:rsidRPr="008D505B">
              <w:rPr>
                <w:rStyle w:val="Siln"/>
                <w:rFonts w:ascii="Arial" w:hAnsi="Arial" w:cs="Arial"/>
                <w:b w:val="0"/>
                <w:sz w:val="20"/>
                <w:szCs w:val="20"/>
              </w:rPr>
              <w:t>ztráty &gt;</w:t>
            </w:r>
            <w:proofErr w:type="gramEnd"/>
            <w:r w:rsidRPr="008D505B">
              <w:rPr>
                <w:rStyle w:val="Siln"/>
                <w:rFonts w:ascii="Arial" w:hAnsi="Arial" w:cs="Arial"/>
                <w:b w:val="0"/>
                <w:sz w:val="20"/>
                <w:szCs w:val="20"/>
              </w:rPr>
              <w:t xml:space="preserve"> ½ Vlastního kapitálu nezahrnujícího kumulované ztráty</w:t>
            </w:r>
          </w:p>
          <w:p w14:paraId="0661D4EE" w14:textId="77777777" w:rsidR="008D505B" w:rsidRPr="008D505B" w:rsidRDefault="008D505B" w:rsidP="00AC3F03">
            <w:pPr>
              <w:rPr>
                <w:rStyle w:val="Siln"/>
                <w:rFonts w:ascii="Arial" w:hAnsi="Arial" w:cs="Arial"/>
                <w:b w:val="0"/>
                <w:sz w:val="20"/>
                <w:szCs w:val="20"/>
              </w:rPr>
            </w:pPr>
            <w:r w:rsidRPr="008D505B">
              <w:rPr>
                <w:rStyle w:val="Siln"/>
                <w:rFonts w:ascii="Arial" w:hAnsi="Arial" w:cs="Arial"/>
                <w:b w:val="0"/>
                <w:sz w:val="20"/>
                <w:szCs w:val="20"/>
              </w:rPr>
              <w:t>respektive</w:t>
            </w:r>
          </w:p>
          <w:p w14:paraId="723255DF" w14:textId="77777777" w:rsidR="008D505B" w:rsidRPr="008D505B" w:rsidRDefault="008D505B" w:rsidP="00AC3F03">
            <w:pPr>
              <w:rPr>
                <w:rFonts w:ascii="Arial" w:hAnsi="Arial" w:cs="Arial"/>
                <w:sz w:val="20"/>
                <w:szCs w:val="20"/>
              </w:rPr>
            </w:pPr>
            <w:r w:rsidRPr="008D505B">
              <w:rPr>
                <w:rFonts w:ascii="Arial" w:hAnsi="Arial" w:cs="Arial"/>
                <w:sz w:val="20"/>
                <w:szCs w:val="20"/>
              </w:rPr>
              <w:t>Výsledek hospodaření celkem</w:t>
            </w:r>
            <w:proofErr w:type="gramStart"/>
            <w:r w:rsidRPr="008D505B">
              <w:rPr>
                <w:rFonts w:ascii="Arial" w:hAnsi="Arial" w:cs="Arial"/>
                <w:sz w:val="20"/>
                <w:szCs w:val="20"/>
              </w:rPr>
              <w:t>* &gt;</w:t>
            </w:r>
            <w:proofErr w:type="gramEnd"/>
            <w:r w:rsidRPr="008D505B">
              <w:rPr>
                <w:rFonts w:ascii="Arial" w:hAnsi="Arial" w:cs="Arial"/>
                <w:sz w:val="20"/>
                <w:szCs w:val="20"/>
              </w:rPr>
              <w:t xml:space="preserve"> (Vlastní kapitál – Výsledek hospodaření celkem*) / 2</w:t>
            </w:r>
            <w:r w:rsidRPr="008D505B">
              <w:rPr>
                <w:rStyle w:val="Siln"/>
                <w:rFonts w:ascii="Arial" w:hAnsi="Arial" w:cs="Arial"/>
                <w:b w:val="0"/>
                <w:sz w:val="20"/>
                <w:szCs w:val="20"/>
              </w:rPr>
              <w:t> </w:t>
            </w:r>
          </w:p>
        </w:tc>
        <w:tc>
          <w:tcPr>
            <w:tcW w:w="2830" w:type="dxa"/>
          </w:tcPr>
          <w:p w14:paraId="10153AAF" w14:textId="77777777" w:rsidR="008D505B" w:rsidRDefault="008D505B" w:rsidP="00AC3F03">
            <w:pPr>
              <w:rPr>
                <w:rFonts w:ascii="Arial" w:hAnsi="Arial" w:cs="Arial"/>
                <w:sz w:val="20"/>
                <w:szCs w:val="20"/>
              </w:rPr>
            </w:pPr>
          </w:p>
        </w:tc>
      </w:tr>
      <w:tr w:rsidR="008D505B" w14:paraId="3FD5C861" w14:textId="77777777" w:rsidTr="00F45AF0">
        <w:tc>
          <w:tcPr>
            <w:tcW w:w="846" w:type="dxa"/>
          </w:tcPr>
          <w:p w14:paraId="53811483" w14:textId="77777777" w:rsidR="008D505B" w:rsidRDefault="007F33C5"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e)</w:t>
            </w:r>
          </w:p>
        </w:tc>
        <w:tc>
          <w:tcPr>
            <w:tcW w:w="5386" w:type="dxa"/>
          </w:tcPr>
          <w:p w14:paraId="19FCCB1F" w14:textId="77777777" w:rsidR="008D505B" w:rsidRPr="008D505B" w:rsidRDefault="008D505B" w:rsidP="00AC3F03">
            <w:pPr>
              <w:rPr>
                <w:rStyle w:val="Siln"/>
                <w:rFonts w:ascii="Arial" w:hAnsi="Arial" w:cs="Arial"/>
                <w:b w:val="0"/>
                <w:sz w:val="20"/>
                <w:szCs w:val="20"/>
              </w:rPr>
            </w:pPr>
            <w:r w:rsidRPr="008D505B">
              <w:rPr>
                <w:rStyle w:val="Siln"/>
                <w:rFonts w:ascii="Arial" w:hAnsi="Arial" w:cs="Arial"/>
                <w:b w:val="0"/>
                <w:sz w:val="20"/>
                <w:szCs w:val="20"/>
              </w:rPr>
              <w:t xml:space="preserve">Cizí zdroje / Vlastní </w:t>
            </w:r>
            <w:proofErr w:type="gramStart"/>
            <w:r w:rsidRPr="008D505B">
              <w:rPr>
                <w:rStyle w:val="Siln"/>
                <w:rFonts w:ascii="Arial" w:hAnsi="Arial" w:cs="Arial"/>
                <w:b w:val="0"/>
                <w:sz w:val="20"/>
                <w:szCs w:val="20"/>
              </w:rPr>
              <w:t>kapitál &gt;</w:t>
            </w:r>
            <w:proofErr w:type="gramEnd"/>
            <w:r w:rsidRPr="008D505B">
              <w:rPr>
                <w:rStyle w:val="Siln"/>
                <w:rFonts w:ascii="Arial" w:hAnsi="Arial" w:cs="Arial"/>
                <w:b w:val="0"/>
                <w:sz w:val="20"/>
                <w:szCs w:val="20"/>
              </w:rPr>
              <w:t xml:space="preserve"> 7,5</w:t>
            </w:r>
          </w:p>
          <w:p w14:paraId="12091C76" w14:textId="77777777" w:rsidR="008D505B" w:rsidRPr="008D505B" w:rsidRDefault="008D505B" w:rsidP="00AC3F03">
            <w:pPr>
              <w:rPr>
                <w:rFonts w:ascii="Arial" w:hAnsi="Arial" w:cs="Arial"/>
                <w:b/>
                <w:sz w:val="20"/>
                <w:szCs w:val="20"/>
              </w:rPr>
            </w:pPr>
            <w:r w:rsidRPr="008D505B">
              <w:rPr>
                <w:rStyle w:val="Siln"/>
                <w:rFonts w:ascii="Arial" w:hAnsi="Arial" w:cs="Arial"/>
                <w:b w:val="0"/>
                <w:sz w:val="20"/>
                <w:szCs w:val="20"/>
              </w:rPr>
              <w:t xml:space="preserve">EBITDA / nákladové úroky </w:t>
            </w:r>
            <w:proofErr w:type="gramStart"/>
            <w:r w:rsidRPr="008D505B">
              <w:rPr>
                <w:rStyle w:val="Siln"/>
                <w:rFonts w:ascii="Arial" w:hAnsi="Arial" w:cs="Arial"/>
                <w:b w:val="0"/>
                <w:sz w:val="20"/>
                <w:szCs w:val="20"/>
              </w:rPr>
              <w:t>&lt; 1</w:t>
            </w:r>
            <w:proofErr w:type="gramEnd"/>
            <w:r w:rsidRPr="008D505B">
              <w:rPr>
                <w:rStyle w:val="Siln"/>
                <w:rFonts w:ascii="Arial" w:hAnsi="Arial" w:cs="Arial"/>
                <w:b w:val="0"/>
                <w:sz w:val="20"/>
                <w:szCs w:val="20"/>
              </w:rPr>
              <w:t>,0</w:t>
            </w:r>
          </w:p>
        </w:tc>
        <w:tc>
          <w:tcPr>
            <w:tcW w:w="2830" w:type="dxa"/>
          </w:tcPr>
          <w:p w14:paraId="02959730" w14:textId="77777777" w:rsidR="008D505B" w:rsidRDefault="008D505B" w:rsidP="00AC3F03">
            <w:pPr>
              <w:rPr>
                <w:rFonts w:ascii="Arial" w:hAnsi="Arial" w:cs="Arial"/>
                <w:sz w:val="20"/>
                <w:szCs w:val="20"/>
              </w:rPr>
            </w:pPr>
          </w:p>
        </w:tc>
      </w:tr>
    </w:tbl>
    <w:p w14:paraId="07751712" w14:textId="77777777" w:rsidR="008D505B" w:rsidRPr="0028766F" w:rsidRDefault="008D505B" w:rsidP="0028766F">
      <w:pPr>
        <w:jc w:val="right"/>
        <w:rPr>
          <w:rFonts w:ascii="Arial" w:hAnsi="Arial" w:cs="Arial"/>
          <w:i/>
          <w:sz w:val="20"/>
          <w:szCs w:val="20"/>
        </w:rPr>
      </w:pPr>
      <w:r w:rsidRPr="0028766F">
        <w:rPr>
          <w:rFonts w:ascii="Arial" w:hAnsi="Arial" w:cs="Arial"/>
          <w:i/>
          <w:sz w:val="20"/>
          <w:szCs w:val="20"/>
        </w:rPr>
        <w:t>Uveďte výpočet i výsledek</w:t>
      </w:r>
    </w:p>
    <w:p w14:paraId="3202D240" w14:textId="77777777" w:rsidR="008D505B" w:rsidRPr="0028766F" w:rsidRDefault="008D505B" w:rsidP="007F33C5">
      <w:pPr>
        <w:spacing w:after="120" w:line="240" w:lineRule="auto"/>
        <w:rPr>
          <w:rFonts w:ascii="Arial" w:hAnsi="Arial" w:cs="Arial"/>
          <w:b/>
          <w:sz w:val="24"/>
          <w:szCs w:val="24"/>
        </w:rPr>
      </w:pPr>
      <w:r w:rsidRPr="0028766F">
        <w:rPr>
          <w:rFonts w:ascii="Arial" w:hAnsi="Arial" w:cs="Arial"/>
          <w:b/>
          <w:sz w:val="24"/>
          <w:szCs w:val="24"/>
        </w:rPr>
        <w:t xml:space="preserve">b) jinými dokumenty </w:t>
      </w:r>
    </w:p>
    <w:tbl>
      <w:tblPr>
        <w:tblStyle w:val="Mkatabulky"/>
        <w:tblW w:w="0" w:type="auto"/>
        <w:tblLook w:val="04A0" w:firstRow="1" w:lastRow="0" w:firstColumn="1" w:lastColumn="0" w:noHBand="0" w:noVBand="1"/>
      </w:tblPr>
      <w:tblGrid>
        <w:gridCol w:w="846"/>
        <w:gridCol w:w="5386"/>
        <w:gridCol w:w="2830"/>
      </w:tblGrid>
      <w:tr w:rsidR="008D505B" w14:paraId="073DFDD6" w14:textId="77777777" w:rsidTr="00F45AF0">
        <w:trPr>
          <w:trHeight w:val="283"/>
        </w:trPr>
        <w:tc>
          <w:tcPr>
            <w:tcW w:w="846" w:type="dxa"/>
          </w:tcPr>
          <w:p w14:paraId="3148AA62" w14:textId="77777777" w:rsidR="008D505B" w:rsidRDefault="000A610C"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c)</w:t>
            </w:r>
          </w:p>
        </w:tc>
        <w:tc>
          <w:tcPr>
            <w:tcW w:w="5386" w:type="dxa"/>
          </w:tcPr>
          <w:p w14:paraId="4BBD2FDE" w14:textId="77777777" w:rsidR="008D505B" w:rsidRDefault="008D505B" w:rsidP="00AC3F03">
            <w:pPr>
              <w:rPr>
                <w:rFonts w:ascii="Arial" w:hAnsi="Arial" w:cs="Arial"/>
                <w:sz w:val="20"/>
                <w:szCs w:val="20"/>
              </w:rPr>
            </w:pPr>
            <w:r>
              <w:rPr>
                <w:rFonts w:ascii="Arial" w:hAnsi="Arial" w:cs="Arial"/>
                <w:sz w:val="20"/>
                <w:szCs w:val="20"/>
              </w:rPr>
              <w:t>Výpis z insolvenčního rejstříku / čestné prohlášení</w:t>
            </w:r>
          </w:p>
        </w:tc>
        <w:tc>
          <w:tcPr>
            <w:tcW w:w="2830" w:type="dxa"/>
          </w:tcPr>
          <w:p w14:paraId="33E22F51" w14:textId="77777777" w:rsidR="008D505B" w:rsidRDefault="008D505B" w:rsidP="00AC3F03">
            <w:pPr>
              <w:rPr>
                <w:rFonts w:ascii="Arial" w:hAnsi="Arial" w:cs="Arial"/>
                <w:sz w:val="20"/>
                <w:szCs w:val="20"/>
              </w:rPr>
            </w:pPr>
          </w:p>
        </w:tc>
      </w:tr>
      <w:tr w:rsidR="008D505B" w14:paraId="2E7EDD50" w14:textId="77777777" w:rsidTr="00F45AF0">
        <w:trPr>
          <w:trHeight w:val="283"/>
        </w:trPr>
        <w:tc>
          <w:tcPr>
            <w:tcW w:w="846" w:type="dxa"/>
          </w:tcPr>
          <w:p w14:paraId="703FB230" w14:textId="77777777" w:rsidR="008D505B" w:rsidRDefault="000A610C"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d)</w:t>
            </w:r>
          </w:p>
        </w:tc>
        <w:tc>
          <w:tcPr>
            <w:tcW w:w="5386" w:type="dxa"/>
          </w:tcPr>
          <w:p w14:paraId="56A3C529" w14:textId="77777777" w:rsidR="008D505B" w:rsidRDefault="008D505B" w:rsidP="00AC3F03">
            <w:pPr>
              <w:rPr>
                <w:rFonts w:ascii="Arial" w:hAnsi="Arial" w:cs="Arial"/>
                <w:sz w:val="20"/>
                <w:szCs w:val="20"/>
              </w:rPr>
            </w:pPr>
            <w:r>
              <w:rPr>
                <w:rFonts w:ascii="Arial" w:hAnsi="Arial" w:cs="Arial"/>
                <w:sz w:val="20"/>
                <w:szCs w:val="20"/>
              </w:rPr>
              <w:t>Čestné prohlášení</w:t>
            </w:r>
          </w:p>
        </w:tc>
        <w:tc>
          <w:tcPr>
            <w:tcW w:w="2830" w:type="dxa"/>
          </w:tcPr>
          <w:p w14:paraId="63CF9B1F" w14:textId="77777777" w:rsidR="008D505B" w:rsidRDefault="008D505B" w:rsidP="00AC3F03">
            <w:pPr>
              <w:rPr>
                <w:rFonts w:ascii="Arial" w:hAnsi="Arial" w:cs="Arial"/>
                <w:sz w:val="20"/>
                <w:szCs w:val="20"/>
              </w:rPr>
            </w:pPr>
          </w:p>
        </w:tc>
      </w:tr>
    </w:tbl>
    <w:p w14:paraId="53FD12DD" w14:textId="77777777" w:rsidR="008D505B" w:rsidRDefault="008D505B" w:rsidP="00AC3F03">
      <w:pPr>
        <w:rPr>
          <w:rFonts w:ascii="Arial" w:hAnsi="Arial" w:cs="Arial"/>
          <w:sz w:val="20"/>
          <w:szCs w:val="20"/>
        </w:rPr>
      </w:pPr>
      <w:r w:rsidRPr="0028766F">
        <w:rPr>
          <w:rFonts w:ascii="Arial" w:hAnsi="Arial" w:cs="Arial"/>
          <w:i/>
          <w:sz w:val="20"/>
          <w:szCs w:val="20"/>
        </w:rPr>
        <w:t>Uveďte formu doložení dané skutečnosti a umístění daného dokladu v žádosti</w:t>
      </w:r>
      <w:r>
        <w:rPr>
          <w:rFonts w:ascii="Arial" w:hAnsi="Arial" w:cs="Arial"/>
          <w:sz w:val="20"/>
          <w:szCs w:val="20"/>
        </w:rPr>
        <w:t>.</w:t>
      </w:r>
    </w:p>
    <w:tbl>
      <w:tblPr>
        <w:tblStyle w:val="Mkatabulky"/>
        <w:tblW w:w="0" w:type="auto"/>
        <w:tblLook w:val="04A0" w:firstRow="1" w:lastRow="0" w:firstColumn="1" w:lastColumn="0" w:noHBand="0" w:noVBand="1"/>
      </w:tblPr>
      <w:tblGrid>
        <w:gridCol w:w="1809"/>
        <w:gridCol w:w="3969"/>
      </w:tblGrid>
      <w:tr w:rsidR="00BA156F" w14:paraId="1C91CFD5" w14:textId="77777777" w:rsidTr="007F33C5">
        <w:trPr>
          <w:trHeight w:val="283"/>
        </w:trPr>
        <w:tc>
          <w:tcPr>
            <w:tcW w:w="1809" w:type="dxa"/>
            <w:vAlign w:val="center"/>
          </w:tcPr>
          <w:p w14:paraId="2EC98918" w14:textId="77777777" w:rsidR="007F33C5" w:rsidRDefault="00714166" w:rsidP="007F33C5">
            <w:pPr>
              <w:rPr>
                <w:rFonts w:ascii="Arial" w:hAnsi="Arial" w:cs="Arial"/>
                <w:sz w:val="20"/>
                <w:szCs w:val="20"/>
              </w:rPr>
            </w:pPr>
            <w:r>
              <w:rPr>
                <w:rFonts w:ascii="Arial" w:hAnsi="Arial" w:cs="Arial"/>
                <w:sz w:val="20"/>
                <w:szCs w:val="20"/>
              </w:rPr>
              <w:t>V</w:t>
            </w:r>
          </w:p>
        </w:tc>
        <w:tc>
          <w:tcPr>
            <w:tcW w:w="3969" w:type="dxa"/>
          </w:tcPr>
          <w:p w14:paraId="049D2B46" w14:textId="77777777" w:rsidR="00BA156F" w:rsidRDefault="00BA156F" w:rsidP="00AC3F03">
            <w:pPr>
              <w:rPr>
                <w:rFonts w:ascii="Arial" w:hAnsi="Arial" w:cs="Arial"/>
                <w:sz w:val="20"/>
                <w:szCs w:val="20"/>
              </w:rPr>
            </w:pPr>
          </w:p>
        </w:tc>
      </w:tr>
      <w:tr w:rsidR="00BA156F" w14:paraId="085F3AEF" w14:textId="77777777" w:rsidTr="007F33C5">
        <w:trPr>
          <w:trHeight w:val="283"/>
        </w:trPr>
        <w:tc>
          <w:tcPr>
            <w:tcW w:w="1809" w:type="dxa"/>
            <w:vAlign w:val="center"/>
          </w:tcPr>
          <w:p w14:paraId="20DEE916" w14:textId="77777777" w:rsidR="00BA156F" w:rsidRDefault="00714166" w:rsidP="0028766F">
            <w:pPr>
              <w:rPr>
                <w:rFonts w:ascii="Arial" w:hAnsi="Arial" w:cs="Arial"/>
                <w:sz w:val="20"/>
                <w:szCs w:val="20"/>
              </w:rPr>
            </w:pPr>
            <w:r>
              <w:rPr>
                <w:rFonts w:ascii="Arial" w:hAnsi="Arial" w:cs="Arial"/>
                <w:sz w:val="20"/>
                <w:szCs w:val="20"/>
              </w:rPr>
              <w:t>Dne</w:t>
            </w:r>
          </w:p>
        </w:tc>
        <w:tc>
          <w:tcPr>
            <w:tcW w:w="3969" w:type="dxa"/>
          </w:tcPr>
          <w:p w14:paraId="22A0A824" w14:textId="77777777" w:rsidR="00BA156F" w:rsidRDefault="00BA156F" w:rsidP="00AC3F03">
            <w:pPr>
              <w:rPr>
                <w:rFonts w:ascii="Arial" w:hAnsi="Arial" w:cs="Arial"/>
                <w:sz w:val="20"/>
                <w:szCs w:val="20"/>
              </w:rPr>
            </w:pPr>
          </w:p>
        </w:tc>
      </w:tr>
      <w:tr w:rsidR="00BA156F" w14:paraId="577015BF" w14:textId="77777777" w:rsidTr="007F33C5">
        <w:trPr>
          <w:trHeight w:val="283"/>
        </w:trPr>
        <w:tc>
          <w:tcPr>
            <w:tcW w:w="1809" w:type="dxa"/>
            <w:vAlign w:val="center"/>
          </w:tcPr>
          <w:p w14:paraId="48648BBC" w14:textId="77777777" w:rsidR="00BA156F" w:rsidRDefault="00714166" w:rsidP="0028766F">
            <w:pPr>
              <w:rPr>
                <w:rFonts w:ascii="Arial" w:hAnsi="Arial" w:cs="Arial"/>
                <w:sz w:val="20"/>
                <w:szCs w:val="20"/>
              </w:rPr>
            </w:pPr>
            <w:r>
              <w:rPr>
                <w:rFonts w:ascii="Arial" w:hAnsi="Arial" w:cs="Arial"/>
                <w:sz w:val="20"/>
                <w:szCs w:val="20"/>
              </w:rPr>
              <w:t>Jméno a příjmení</w:t>
            </w:r>
          </w:p>
        </w:tc>
        <w:tc>
          <w:tcPr>
            <w:tcW w:w="3969" w:type="dxa"/>
          </w:tcPr>
          <w:p w14:paraId="54518BE1" w14:textId="77777777" w:rsidR="00BA156F" w:rsidRDefault="00BA156F" w:rsidP="00AC3F03">
            <w:pPr>
              <w:rPr>
                <w:rFonts w:ascii="Arial" w:hAnsi="Arial" w:cs="Arial"/>
                <w:sz w:val="20"/>
                <w:szCs w:val="20"/>
              </w:rPr>
            </w:pPr>
          </w:p>
        </w:tc>
      </w:tr>
      <w:tr w:rsidR="00714166" w14:paraId="15DECC7D" w14:textId="77777777" w:rsidTr="00714166">
        <w:trPr>
          <w:trHeight w:val="555"/>
        </w:trPr>
        <w:tc>
          <w:tcPr>
            <w:tcW w:w="1809" w:type="dxa"/>
            <w:vAlign w:val="center"/>
          </w:tcPr>
          <w:p w14:paraId="01FF2685" w14:textId="77777777" w:rsidR="00714166" w:rsidRDefault="00714166" w:rsidP="0028766F">
            <w:pPr>
              <w:rPr>
                <w:rFonts w:ascii="Arial" w:hAnsi="Arial" w:cs="Arial"/>
                <w:sz w:val="20"/>
                <w:szCs w:val="20"/>
              </w:rPr>
            </w:pPr>
            <w:r>
              <w:rPr>
                <w:rFonts w:ascii="Arial" w:hAnsi="Arial" w:cs="Arial"/>
                <w:sz w:val="20"/>
                <w:szCs w:val="20"/>
              </w:rPr>
              <w:t>Podpis</w:t>
            </w:r>
          </w:p>
        </w:tc>
        <w:tc>
          <w:tcPr>
            <w:tcW w:w="3969" w:type="dxa"/>
          </w:tcPr>
          <w:p w14:paraId="34755F89" w14:textId="77777777" w:rsidR="00714166" w:rsidRDefault="00714166" w:rsidP="00AC3F03">
            <w:pPr>
              <w:rPr>
                <w:rFonts w:ascii="Arial" w:hAnsi="Arial" w:cs="Arial"/>
                <w:sz w:val="20"/>
                <w:szCs w:val="20"/>
              </w:rPr>
            </w:pPr>
          </w:p>
        </w:tc>
      </w:tr>
    </w:tbl>
    <w:p w14:paraId="1F5786FE" w14:textId="045835C7" w:rsidR="008D505B" w:rsidRDefault="008D505B" w:rsidP="00AC3F03">
      <w:pPr>
        <w:rPr>
          <w:rFonts w:ascii="Arial" w:hAnsi="Arial" w:cs="Arial"/>
          <w:sz w:val="20"/>
          <w:szCs w:val="20"/>
        </w:rPr>
      </w:pPr>
    </w:p>
    <w:p w14:paraId="4713CB6A" w14:textId="77777777" w:rsidR="00F45AF0" w:rsidRDefault="00F45AF0" w:rsidP="00AC3F03">
      <w:pPr>
        <w:rPr>
          <w:rFonts w:ascii="Arial" w:hAnsi="Arial" w:cs="Arial"/>
          <w:sz w:val="20"/>
          <w:szCs w:val="20"/>
        </w:rPr>
      </w:pPr>
    </w:p>
    <w:p w14:paraId="7BE27EDC" w14:textId="77777777" w:rsidR="00D06C82" w:rsidRDefault="00B96D88" w:rsidP="00D06C82">
      <w:pPr>
        <w:spacing w:after="0" w:line="270" w:lineRule="atLeast"/>
        <w:textAlignment w:val="baseline"/>
        <w:outlineLvl w:val="2"/>
        <w:rPr>
          <w:rFonts w:ascii="Arial CE" w:eastAsia="Times New Roman" w:hAnsi="Arial CE" w:cs="Arial CE"/>
          <w:b/>
          <w:bCs/>
          <w:color w:val="104B86"/>
          <w:sz w:val="21"/>
          <w:szCs w:val="21"/>
          <w:bdr w:val="none" w:sz="0" w:space="0" w:color="auto" w:frame="1"/>
          <w:lang w:eastAsia="cs-CZ"/>
        </w:rPr>
      </w:pPr>
      <w:r w:rsidRPr="00B96D88">
        <w:rPr>
          <w:rFonts w:ascii="Arial CE" w:eastAsia="Times New Roman" w:hAnsi="Arial CE" w:cs="Arial CE"/>
          <w:b/>
          <w:bCs/>
          <w:color w:val="104B86"/>
          <w:sz w:val="21"/>
          <w:szCs w:val="21"/>
          <w:highlight w:val="lightGray"/>
          <w:bdr w:val="none" w:sz="0" w:space="0" w:color="auto" w:frame="1"/>
          <w:lang w:eastAsia="cs-CZ"/>
        </w:rPr>
        <w:t xml:space="preserve">KOMENTÁŘ – </w:t>
      </w:r>
      <w:r>
        <w:rPr>
          <w:rFonts w:ascii="Arial CE" w:eastAsia="Times New Roman" w:hAnsi="Arial CE" w:cs="Arial CE"/>
          <w:b/>
          <w:bCs/>
          <w:color w:val="104B86"/>
          <w:sz w:val="21"/>
          <w:szCs w:val="21"/>
          <w:highlight w:val="lightGray"/>
          <w:bdr w:val="none" w:sz="0" w:space="0" w:color="auto" w:frame="1"/>
          <w:lang w:eastAsia="cs-CZ"/>
        </w:rPr>
        <w:t xml:space="preserve">informace uvedené níže, </w:t>
      </w:r>
      <w:r w:rsidRPr="00B96D88">
        <w:rPr>
          <w:rFonts w:ascii="Arial CE" w:eastAsia="Times New Roman" w:hAnsi="Arial CE" w:cs="Arial CE"/>
          <w:b/>
          <w:bCs/>
          <w:color w:val="104B86"/>
          <w:sz w:val="21"/>
          <w:szCs w:val="21"/>
          <w:highlight w:val="lightGray"/>
          <w:bdr w:val="none" w:sz="0" w:space="0" w:color="auto" w:frame="1"/>
          <w:lang w:eastAsia="cs-CZ"/>
        </w:rPr>
        <w:t>není třeba přikládat do žádosti</w:t>
      </w:r>
    </w:p>
    <w:p w14:paraId="3B29ADCA" w14:textId="77777777" w:rsidR="00B96D88" w:rsidRDefault="00B96D88" w:rsidP="00D06C82">
      <w:pPr>
        <w:spacing w:after="0" w:line="270" w:lineRule="atLeast"/>
        <w:textAlignment w:val="baseline"/>
        <w:outlineLvl w:val="2"/>
        <w:rPr>
          <w:rFonts w:ascii="Arial CE" w:eastAsia="Times New Roman" w:hAnsi="Arial CE" w:cs="Arial CE"/>
          <w:b/>
          <w:bCs/>
          <w:color w:val="104B86"/>
          <w:sz w:val="21"/>
          <w:szCs w:val="21"/>
          <w:bdr w:val="none" w:sz="0" w:space="0" w:color="auto" w:frame="1"/>
          <w:lang w:eastAsia="cs-CZ"/>
        </w:rPr>
      </w:pPr>
    </w:p>
    <w:p w14:paraId="48FCFF91" w14:textId="77777777" w:rsidR="00D06C82" w:rsidRDefault="00D06C82" w:rsidP="00D06C82">
      <w:pPr>
        <w:spacing w:after="0" w:line="270" w:lineRule="atLeast"/>
        <w:textAlignment w:val="baseline"/>
        <w:outlineLvl w:val="2"/>
        <w:rPr>
          <w:rFonts w:ascii="Arial" w:eastAsia="Times New Roman" w:hAnsi="Arial" w:cs="Arial"/>
          <w:b/>
          <w:bCs/>
          <w:color w:val="104B86"/>
          <w:sz w:val="21"/>
          <w:szCs w:val="21"/>
          <w:bdr w:val="none" w:sz="0" w:space="0" w:color="auto" w:frame="1"/>
          <w:lang w:eastAsia="cs-CZ"/>
        </w:rPr>
      </w:pPr>
      <w:r>
        <w:rPr>
          <w:rFonts w:ascii="Arial CE" w:eastAsia="Times New Roman" w:hAnsi="Arial CE" w:cs="Arial CE"/>
          <w:b/>
          <w:bCs/>
          <w:color w:val="104B86"/>
          <w:sz w:val="21"/>
          <w:szCs w:val="21"/>
          <w:bdr w:val="none" w:sz="0" w:space="0" w:color="auto" w:frame="1"/>
          <w:lang w:eastAsia="cs-CZ"/>
        </w:rPr>
        <w:t xml:space="preserve">Informace ke kontrole kritérií </w:t>
      </w:r>
      <w:r w:rsidRPr="00D06C82">
        <w:rPr>
          <w:rFonts w:ascii="Arial" w:eastAsia="Times New Roman" w:hAnsi="Arial" w:cs="Arial"/>
          <w:b/>
          <w:bCs/>
          <w:color w:val="104B86"/>
          <w:sz w:val="21"/>
          <w:szCs w:val="21"/>
          <w:bdr w:val="none" w:sz="0" w:space="0" w:color="auto" w:frame="1"/>
          <w:lang w:eastAsia="cs-CZ"/>
        </w:rPr>
        <w:t>podniku v</w:t>
      </w:r>
      <w:r>
        <w:rPr>
          <w:rFonts w:ascii="Arial" w:eastAsia="Times New Roman" w:hAnsi="Arial" w:cs="Arial"/>
          <w:b/>
          <w:bCs/>
          <w:color w:val="104B86"/>
          <w:sz w:val="21"/>
          <w:szCs w:val="21"/>
          <w:bdr w:val="none" w:sz="0" w:space="0" w:color="auto" w:frame="1"/>
          <w:lang w:eastAsia="cs-CZ"/>
        </w:rPr>
        <w:t> </w:t>
      </w:r>
      <w:r w:rsidRPr="00D06C82">
        <w:rPr>
          <w:rFonts w:ascii="Arial" w:eastAsia="Times New Roman" w:hAnsi="Arial" w:cs="Arial"/>
          <w:b/>
          <w:bCs/>
          <w:color w:val="104B86"/>
          <w:sz w:val="21"/>
          <w:szCs w:val="21"/>
          <w:bdr w:val="none" w:sz="0" w:space="0" w:color="auto" w:frame="1"/>
          <w:lang w:eastAsia="cs-CZ"/>
        </w:rPr>
        <w:t>obtížích</w:t>
      </w:r>
    </w:p>
    <w:p w14:paraId="2CE527B5" w14:textId="77777777" w:rsidR="00D06C82" w:rsidRDefault="00D06C82" w:rsidP="00D06C82">
      <w:pPr>
        <w:spacing w:after="0" w:line="240" w:lineRule="auto"/>
        <w:rPr>
          <w:rFonts w:ascii="Arial" w:hAnsi="Arial" w:cs="Arial"/>
          <w:sz w:val="20"/>
          <w:szCs w:val="20"/>
          <w:bdr w:val="none" w:sz="0" w:space="0" w:color="auto" w:frame="1"/>
          <w:lang w:eastAsia="cs-CZ"/>
        </w:rPr>
      </w:pPr>
      <w:r w:rsidRPr="00D06C82">
        <w:rPr>
          <w:rFonts w:ascii="Arial" w:hAnsi="Arial" w:cs="Arial"/>
          <w:sz w:val="20"/>
          <w:szCs w:val="20"/>
          <w:bdr w:val="none" w:sz="0" w:space="0" w:color="auto" w:frame="1"/>
          <w:lang w:eastAsia="cs-CZ"/>
        </w:rPr>
        <w:t>zdroj: webové stránky Úřadu pro ochranu hospodářské soutěže</w:t>
      </w:r>
    </w:p>
    <w:p w14:paraId="6E310FE9" w14:textId="77777777" w:rsidR="00D06C82" w:rsidRPr="00D06C82" w:rsidRDefault="00ED43A7" w:rsidP="00D06C82">
      <w:pPr>
        <w:rPr>
          <w:rFonts w:ascii="Arial" w:hAnsi="Arial" w:cs="Arial"/>
          <w:sz w:val="20"/>
          <w:szCs w:val="20"/>
          <w:lang w:eastAsia="cs-CZ"/>
        </w:rPr>
      </w:pPr>
      <w:hyperlink r:id="rId8" w:history="1">
        <w:r w:rsidR="00D06C82">
          <w:rPr>
            <w:rStyle w:val="Hypertextovodkaz"/>
          </w:rPr>
          <w:t>https://www.uohs.cz/cs/verejna-podpora/podniky-v-obtizich.html</w:t>
        </w:r>
      </w:hyperlink>
    </w:p>
    <w:p w14:paraId="6B3C5095" w14:textId="77777777" w:rsidR="00D06C82" w:rsidRPr="00D06C82" w:rsidRDefault="00D06C82" w:rsidP="00AA4B6C">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Nařízení Komise (EU) č. 651/2014, tzv. obecné nařízení o blokových výjimkách (dále jen „GBER“), stejně jako většina sekundárních předpisů (pokynů, sdělení, rámců Komise) k veřejné podpoře neumožňuje poskytovat veřejnou podporu podnikům v obtížích. Poskytovatel by tedy měl před poskytnutím jednotlivé podpory ověřit, zda konkrétní příjemce podnikem v obtížích není a je mu možné v souladu s příslušným právním titulem podporu poskytnout. Pokud jde o program podpory, je</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vhodné, aby se informace o vyloučení podniků v obtížích objevila již v pravidlech programu.</w:t>
      </w:r>
    </w:p>
    <w:p w14:paraId="03EC568C" w14:textId="77777777" w:rsidR="00D06C82" w:rsidRPr="00D06C82" w:rsidRDefault="00D06C82" w:rsidP="00AA4B6C">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Evropská komise v aktuálně účinných předpisech definovala podnik v obtížích v zájmu vyšší objektivity pomocí tzv. „tvrdých“ kritérií, které by neměly umožňovat subjektivní posouzení. Zároveň se Komise při provádění zpětných přezkumů (monitoringů) opatření veřejné podpory začala mnohem více zaměřovat na otázku, zda poskytovatelé kritéria podniku v obtížích u žadatelů adekvátním způsobem kontrolují.</w:t>
      </w:r>
    </w:p>
    <w:p w14:paraId="1CC0FA6D" w14:textId="77777777" w:rsidR="00D06C82" w:rsidRPr="00D06C82" w:rsidRDefault="00D06C82" w:rsidP="00AA4B6C">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Kontrola kritérií podniku v obtížích je tak významnou podmínkou slučitelnosti opatření veřejné podpory s vnitřním trhem, nicméně jak ukazuje praxe, jde administrativně o poměrně nesnadnou záležitost. Úřad proto za účelem usnadnění a sjednocení přístupu poskytovatelů níže zpracoval informace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doporučení vycházející z platných předpisů a jejich polo-formálních či neformálních výkladů Komise, jak ke kontrole kritérií podniku v obtížích přistupovat. Tyto informace rovněž mohou poskytovatelé využít k zapracování do pravidel svých programů podpory, aby si mohli (potenciální) žadatelé sami ověřit, zda nenaplňují kritéria podniku v obtížích a mohou o podporu žádat, resp. mohli k žádosti přiložit potřebné informace. Zcela minimálně by měla pravidla programu obsahovat informaci, že</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podniku v obtížích veřejnou podporu nelze poskytnout.</w:t>
      </w:r>
    </w:p>
    <w:p w14:paraId="3253D89A" w14:textId="77777777" w:rsidR="00D06C82" w:rsidRPr="00D06C82" w:rsidRDefault="00D06C82" w:rsidP="00AA4B6C">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Upozorňujeme, že níže </w:t>
      </w:r>
      <w:r w:rsidRPr="00AA4B6C">
        <w:rPr>
          <w:rFonts w:ascii="Arial" w:eastAsia="Times New Roman" w:hAnsi="Arial" w:cs="Arial"/>
          <w:bCs/>
          <w:sz w:val="20"/>
          <w:szCs w:val="20"/>
          <w:bdr w:val="none" w:sz="0" w:space="0" w:color="auto" w:frame="1"/>
          <w:lang w:eastAsia="cs-CZ"/>
        </w:rPr>
        <w:t>uvedené informace vycházejí z neformálních výkladů Komise a Úřadu, nemají právní závaznost, nenahrazují platné právní předpisy a mohou se v čase měnit.</w:t>
      </w:r>
    </w:p>
    <w:p w14:paraId="55A95DD7" w14:textId="77777777" w:rsidR="00D06C82" w:rsidRPr="00D06C82" w:rsidRDefault="00D06C82" w:rsidP="00D06C82">
      <w:pPr>
        <w:spacing w:after="0" w:line="270" w:lineRule="atLeast"/>
        <w:textAlignment w:val="baseline"/>
        <w:rPr>
          <w:rFonts w:ascii="Arial CE" w:eastAsia="Times New Roman" w:hAnsi="Arial CE" w:cs="Arial CE"/>
          <w:sz w:val="18"/>
          <w:szCs w:val="18"/>
          <w:lang w:eastAsia="cs-CZ"/>
        </w:rPr>
      </w:pPr>
      <w:r w:rsidRPr="00D06C82">
        <w:rPr>
          <w:rFonts w:ascii="Arial CE" w:eastAsia="Times New Roman" w:hAnsi="Arial CE" w:cs="Arial CE"/>
          <w:sz w:val="18"/>
          <w:szCs w:val="18"/>
          <w:bdr w:val="none" w:sz="0" w:space="0" w:color="auto" w:frame="1"/>
          <w:lang w:eastAsia="cs-CZ"/>
        </w:rPr>
        <w:t> </w:t>
      </w:r>
    </w:p>
    <w:p w14:paraId="5D81EF66" w14:textId="77777777" w:rsidR="00D06C82" w:rsidRPr="00D06C82" w:rsidRDefault="00D06C82" w:rsidP="00D06C82">
      <w:pPr>
        <w:spacing w:after="0" w:line="270" w:lineRule="atLeast"/>
        <w:textAlignment w:val="baseline"/>
        <w:outlineLvl w:val="2"/>
        <w:rPr>
          <w:rFonts w:ascii="Arial CE" w:eastAsia="Times New Roman" w:hAnsi="Arial CE" w:cs="Arial CE"/>
          <w:b/>
          <w:bCs/>
          <w:color w:val="104B86"/>
          <w:sz w:val="21"/>
          <w:szCs w:val="21"/>
          <w:lang w:eastAsia="cs-CZ"/>
        </w:rPr>
      </w:pPr>
      <w:r w:rsidRPr="00D06C82">
        <w:rPr>
          <w:rFonts w:ascii="Arial CE" w:eastAsia="Times New Roman" w:hAnsi="Arial CE" w:cs="Arial CE"/>
          <w:b/>
          <w:bCs/>
          <w:color w:val="104B86"/>
          <w:sz w:val="21"/>
          <w:szCs w:val="21"/>
          <w:bdr w:val="none" w:sz="0" w:space="0" w:color="auto" w:frame="1"/>
          <w:lang w:eastAsia="cs-CZ"/>
        </w:rPr>
        <w:t>Jednotlivá kritéria</w:t>
      </w:r>
    </w:p>
    <w:p w14:paraId="5CCA0447"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CE" w:eastAsia="Times New Roman" w:hAnsi="Arial CE" w:cs="Arial CE"/>
          <w:sz w:val="18"/>
          <w:szCs w:val="18"/>
          <w:bdr w:val="none" w:sz="0" w:space="0" w:color="auto" w:frame="1"/>
          <w:lang w:eastAsia="cs-CZ"/>
        </w:rPr>
        <w:t> </w:t>
      </w:r>
      <w:r w:rsidRPr="00D06C82">
        <w:rPr>
          <w:rFonts w:ascii="Arial" w:eastAsia="Times New Roman" w:hAnsi="Arial" w:cs="Arial"/>
          <w:sz w:val="20"/>
          <w:szCs w:val="20"/>
          <w:bdr w:val="none" w:sz="0" w:space="0" w:color="auto" w:frame="1"/>
          <w:lang w:eastAsia="cs-CZ"/>
        </w:rPr>
        <w:t xml:space="preserve">Definice podniku v obtížích obsažená v GBER se mírně </w:t>
      </w:r>
      <w:proofErr w:type="gramStart"/>
      <w:r w:rsidRPr="00D06C82">
        <w:rPr>
          <w:rFonts w:ascii="Arial" w:eastAsia="Times New Roman" w:hAnsi="Arial" w:cs="Arial"/>
          <w:sz w:val="20"/>
          <w:szCs w:val="20"/>
          <w:bdr w:val="none" w:sz="0" w:space="0" w:color="auto" w:frame="1"/>
          <w:lang w:eastAsia="cs-CZ"/>
        </w:rPr>
        <w:t>liší</w:t>
      </w:r>
      <w:proofErr w:type="gramEnd"/>
      <w:r w:rsidRPr="00D06C82">
        <w:rPr>
          <w:rFonts w:ascii="Arial" w:eastAsia="Times New Roman" w:hAnsi="Arial" w:cs="Arial"/>
          <w:sz w:val="20"/>
          <w:szCs w:val="20"/>
          <w:bdr w:val="none" w:sz="0" w:space="0" w:color="auto" w:frame="1"/>
          <w:lang w:eastAsia="cs-CZ"/>
        </w:rPr>
        <w:t xml:space="preserve"> od definice obsažené v Pokynech Komise pro státní podporu na záchranu a restrukturalizaci nefinančních podniků v obtížích (2014/C 249/01), na něž odkazují ostatní sekundární předpisy. Informace níže pracují s definicí podle GBER, jelikož jde o nejvyužívanější právní titul. Principy jsou však shodné pro obě definice. </w:t>
      </w:r>
    </w:p>
    <w:p w14:paraId="4D130B08"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xml:space="preserve">Kritéria podniku v obtížích jsou definována v čl. 2, odst. 18 GBER (u kritérií A </w:t>
      </w:r>
      <w:proofErr w:type="spellStart"/>
      <w:r w:rsidRPr="00D06C82">
        <w:rPr>
          <w:rFonts w:ascii="Arial" w:eastAsia="Times New Roman" w:hAnsi="Arial" w:cs="Arial"/>
          <w:sz w:val="20"/>
          <w:szCs w:val="20"/>
          <w:bdr w:val="none" w:sz="0" w:space="0" w:color="auto" w:frame="1"/>
          <w:lang w:eastAsia="cs-CZ"/>
        </w:rPr>
        <w:t>a</w:t>
      </w:r>
      <w:proofErr w:type="spellEnd"/>
      <w:r w:rsidRPr="00D06C82">
        <w:rPr>
          <w:rFonts w:ascii="Arial" w:eastAsia="Times New Roman" w:hAnsi="Arial" w:cs="Arial"/>
          <w:sz w:val="20"/>
          <w:szCs w:val="20"/>
          <w:bdr w:val="none" w:sz="0" w:space="0" w:color="auto" w:frame="1"/>
          <w:lang w:eastAsia="cs-CZ"/>
        </w:rPr>
        <w:t xml:space="preserve"> B je v původní české verzi GBER nesprávný překlad části textu v závorce – popis níže již obsahuje opravený překlad). Aby</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byl podnik označen za podnik v obtížích, stačí naplnění jediného kritéria: </w:t>
      </w:r>
    </w:p>
    <w:p w14:paraId="6E9B19AE"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A)</w:t>
      </w:r>
      <w:r w:rsidRPr="00D06C82">
        <w:rPr>
          <w:rFonts w:ascii="Arial" w:eastAsia="Times New Roman" w:hAnsi="Arial" w:cs="Arial"/>
          <w:i/>
          <w:iCs/>
          <w:sz w:val="20"/>
          <w:szCs w:val="20"/>
          <w:bdr w:val="none" w:sz="0" w:space="0" w:color="auto" w:frame="1"/>
          <w:lang w:eastAsia="cs-CZ"/>
        </w:rPr>
        <w:t> V případě </w:t>
      </w:r>
      <w:r w:rsidRPr="00D06C82">
        <w:rPr>
          <w:rFonts w:ascii="Arial" w:eastAsia="Times New Roman" w:hAnsi="Arial" w:cs="Arial"/>
          <w:b/>
          <w:bCs/>
          <w:i/>
          <w:iCs/>
          <w:sz w:val="20"/>
          <w:szCs w:val="20"/>
          <w:bdr w:val="none" w:sz="0" w:space="0" w:color="auto" w:frame="1"/>
          <w:lang w:eastAsia="cs-CZ"/>
        </w:rPr>
        <w:t>společnosti s ručením omezeným</w:t>
      </w:r>
      <w:r w:rsidRPr="00D06C82">
        <w:rPr>
          <w:rFonts w:ascii="Arial" w:eastAsia="Times New Roman" w:hAnsi="Arial" w:cs="Arial"/>
          <w:i/>
          <w:iCs/>
          <w:sz w:val="20"/>
          <w:szCs w:val="20"/>
          <w:bdr w:val="none" w:sz="0" w:space="0" w:color="auto" w:frame="1"/>
          <w:lang w:eastAsia="cs-CZ"/>
        </w:rPr>
        <w:t> (která není malým nebo středním podnikem, jenž existuje po dobu kratší tří let,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w:t>
      </w:r>
      <w:r>
        <w:rPr>
          <w:rFonts w:ascii="Arial" w:eastAsia="Times New Roman" w:hAnsi="Arial" w:cs="Arial"/>
          <w:i/>
          <w:iCs/>
          <w:sz w:val="20"/>
          <w:szCs w:val="20"/>
          <w:bdr w:val="none" w:sz="0" w:space="0" w:color="auto" w:frame="1"/>
          <w:lang w:eastAsia="cs-CZ"/>
        </w:rPr>
        <w:t> </w:t>
      </w:r>
      <w:r w:rsidRPr="00D06C82">
        <w:rPr>
          <w:rFonts w:ascii="Arial" w:eastAsia="Times New Roman" w:hAnsi="Arial" w:cs="Arial"/>
          <w:i/>
          <w:iCs/>
          <w:sz w:val="20"/>
          <w:szCs w:val="20"/>
          <w:bdr w:val="none" w:sz="0" w:space="0" w:color="auto" w:frame="1"/>
          <w:lang w:eastAsia="cs-CZ"/>
        </w:rPr>
        <w:t>oblasti rizikového financování), kde v důsledku kumulace ztrát došlo ke ztrátě více než poloviny upsaného základního kapitálu. Tento případ nastává, když je </w:t>
      </w:r>
      <w:r w:rsidRPr="00D06C82">
        <w:rPr>
          <w:rFonts w:ascii="Arial" w:eastAsia="Times New Roman" w:hAnsi="Arial" w:cs="Arial"/>
          <w:b/>
          <w:bCs/>
          <w:i/>
          <w:iCs/>
          <w:sz w:val="20"/>
          <w:szCs w:val="20"/>
          <w:bdr w:val="none" w:sz="0" w:space="0" w:color="auto" w:frame="1"/>
          <w:lang w:eastAsia="cs-CZ"/>
        </w:rPr>
        <w:t>výsledek odečtení kumulovaných ztrát od rezerv (a všech dalších prvků, jež se obecně považují za kapitál společnosti) negativní a svou výší překračuje polovinu upsaného základního kapitálu.</w:t>
      </w:r>
      <w:r w:rsidRPr="00D06C82">
        <w:rPr>
          <w:rFonts w:ascii="Arial" w:eastAsia="Times New Roman" w:hAnsi="Arial" w:cs="Arial"/>
          <w:i/>
          <w:iCs/>
          <w:sz w:val="20"/>
          <w:szCs w:val="20"/>
          <w:bdr w:val="none" w:sz="0" w:space="0" w:color="auto" w:frame="1"/>
          <w:lang w:eastAsia="cs-CZ"/>
        </w:rPr>
        <w:t> Pro účely tohoto ustanovení se za</w:t>
      </w:r>
      <w:r>
        <w:rPr>
          <w:rFonts w:ascii="Arial" w:eastAsia="Times New Roman" w:hAnsi="Arial" w:cs="Arial"/>
          <w:i/>
          <w:iCs/>
          <w:sz w:val="20"/>
          <w:szCs w:val="20"/>
          <w:bdr w:val="none" w:sz="0" w:space="0" w:color="auto" w:frame="1"/>
          <w:lang w:eastAsia="cs-CZ"/>
        </w:rPr>
        <w:t> </w:t>
      </w:r>
      <w:r w:rsidRPr="00D06C82">
        <w:rPr>
          <w:rFonts w:ascii="Arial" w:eastAsia="Times New Roman" w:hAnsi="Arial" w:cs="Arial"/>
          <w:i/>
          <w:iCs/>
          <w:sz w:val="20"/>
          <w:szCs w:val="20"/>
          <w:bdr w:val="none" w:sz="0" w:space="0" w:color="auto" w:frame="1"/>
          <w:lang w:eastAsia="cs-CZ"/>
        </w:rPr>
        <w:t xml:space="preserve">„společnost s ručením </w:t>
      </w:r>
      <w:r w:rsidRPr="00D06C82">
        <w:rPr>
          <w:rFonts w:ascii="Arial" w:eastAsia="Times New Roman" w:hAnsi="Arial" w:cs="Arial"/>
          <w:i/>
          <w:iCs/>
          <w:sz w:val="20"/>
          <w:szCs w:val="20"/>
          <w:bdr w:val="none" w:sz="0" w:space="0" w:color="auto" w:frame="1"/>
          <w:lang w:eastAsia="cs-CZ"/>
        </w:rPr>
        <w:lastRenderedPageBreak/>
        <w:t>omezeným“ považují zejména formy podniků uvedené v příloze I směrnice 2013/34/EU a „základní kapitál“ zahrnuje případně jakékoli emisní ážio.</w:t>
      </w:r>
      <w:r w:rsidRPr="00D06C82">
        <w:rPr>
          <w:rFonts w:ascii="Arial" w:eastAsia="Times New Roman" w:hAnsi="Arial" w:cs="Arial"/>
          <w:sz w:val="20"/>
          <w:szCs w:val="20"/>
          <w:bdr w:val="none" w:sz="0" w:space="0" w:color="auto" w:frame="1"/>
          <w:lang w:eastAsia="cs-CZ"/>
        </w:rPr>
        <w:t> </w:t>
      </w:r>
    </w:p>
    <w:p w14:paraId="4F351801"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xml:space="preserve">Toto kritérium se vztahuje na takové právní formy společností, v nichž je ručení společníků za závazky společnosti omezené a společnost </w:t>
      </w:r>
      <w:proofErr w:type="gramStart"/>
      <w:r w:rsidRPr="00D06C82">
        <w:rPr>
          <w:rFonts w:ascii="Arial" w:eastAsia="Times New Roman" w:hAnsi="Arial" w:cs="Arial"/>
          <w:sz w:val="20"/>
          <w:szCs w:val="20"/>
          <w:bdr w:val="none" w:sz="0" w:space="0" w:color="auto" w:frame="1"/>
          <w:lang w:eastAsia="cs-CZ"/>
        </w:rPr>
        <w:t>vytváří</w:t>
      </w:r>
      <w:proofErr w:type="gramEnd"/>
      <w:r w:rsidRPr="00D06C82">
        <w:rPr>
          <w:rFonts w:ascii="Arial" w:eastAsia="Times New Roman" w:hAnsi="Arial" w:cs="Arial"/>
          <w:sz w:val="20"/>
          <w:szCs w:val="20"/>
          <w:bdr w:val="none" w:sz="0" w:space="0" w:color="auto" w:frame="1"/>
          <w:lang w:eastAsia="cs-CZ"/>
        </w:rPr>
        <w:t xml:space="preserve"> základní kapitál. Zejména tedy na společnosti s ručením omezením a akciové společnosti, ale také na družstva, evropské společnosti, evropské družstevní společnosti, případně jakékoli jiné právní formy s omezenou formou ručení společníků (resp. osob v obdobném postavení). Kumulované ztráty zahrnují jak neuhrazené ztráty z minulých let, tak ztrátu v běžném období. Protože kumulované ztráty</w:t>
      </w:r>
      <w:r w:rsidR="00AA4B6C">
        <w:rPr>
          <w:rStyle w:val="Znakapoznpodarou"/>
          <w:rFonts w:ascii="Arial" w:eastAsia="Times New Roman" w:hAnsi="Arial" w:cs="Arial"/>
          <w:sz w:val="20"/>
          <w:szCs w:val="20"/>
          <w:bdr w:val="none" w:sz="0" w:space="0" w:color="auto" w:frame="1"/>
          <w:lang w:eastAsia="cs-CZ"/>
        </w:rPr>
        <w:footnoteReference w:id="2"/>
      </w:r>
      <w:r w:rsidRPr="00D06C82">
        <w:rPr>
          <w:rFonts w:ascii="Arial" w:eastAsia="Times New Roman" w:hAnsi="Arial" w:cs="Arial"/>
          <w:sz w:val="20"/>
          <w:szCs w:val="20"/>
          <w:bdr w:val="none" w:sz="0" w:space="0" w:color="auto" w:frame="1"/>
          <w:lang w:eastAsia="cs-CZ"/>
        </w:rPr>
        <w:t> jsou zahrnuty ve vlastním kapitálu podniku, jde podle tohoto kritéria o podnik v obtížích, pokud: </w:t>
      </w:r>
    </w:p>
    <w:p w14:paraId="42E6B881"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 xml:space="preserve">Vlastní kapitál (zahrnující kumulované ztráty) </w:t>
      </w:r>
      <w:proofErr w:type="gramStart"/>
      <w:r w:rsidRPr="00D06C82">
        <w:rPr>
          <w:rFonts w:ascii="Arial" w:eastAsia="Times New Roman" w:hAnsi="Arial" w:cs="Arial"/>
          <w:b/>
          <w:bCs/>
          <w:sz w:val="20"/>
          <w:szCs w:val="20"/>
          <w:bdr w:val="none" w:sz="0" w:space="0" w:color="auto" w:frame="1"/>
          <w:lang w:eastAsia="cs-CZ"/>
        </w:rPr>
        <w:t>&lt; ½</w:t>
      </w:r>
      <w:proofErr w:type="gramEnd"/>
      <w:r w:rsidRPr="00D06C82">
        <w:rPr>
          <w:rFonts w:ascii="Arial" w:eastAsia="Times New Roman" w:hAnsi="Arial" w:cs="Arial"/>
          <w:b/>
          <w:bCs/>
          <w:sz w:val="20"/>
          <w:szCs w:val="20"/>
          <w:bdr w:val="none" w:sz="0" w:space="0" w:color="auto" w:frame="1"/>
          <w:lang w:eastAsia="cs-CZ"/>
        </w:rPr>
        <w:t xml:space="preserve"> základního kapitálu</w:t>
      </w:r>
    </w:p>
    <w:p w14:paraId="2840F40C"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V rámci posouzení se pracuje s údaji poslední uzavřené účetní závěrky. V účetním vyjádření se porovnávají následující stavy rozvahových položek pasiv: </w:t>
      </w:r>
    </w:p>
    <w:p w14:paraId="5EDF3943"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w:t>
      </w:r>
      <w:proofErr w:type="gramStart"/>
      <w:r w:rsidRPr="00D06C82">
        <w:rPr>
          <w:rFonts w:ascii="Arial" w:eastAsia="Times New Roman" w:hAnsi="Arial" w:cs="Arial"/>
          <w:sz w:val="20"/>
          <w:szCs w:val="20"/>
          <w:bdr w:val="none" w:sz="0" w:space="0" w:color="auto" w:frame="1"/>
          <w:lang w:eastAsia="cs-CZ"/>
        </w:rPr>
        <w:t>A.I</w:t>
      </w:r>
      <w:proofErr w:type="gramEnd"/>
      <w:r w:rsidRPr="00D06C82">
        <w:rPr>
          <w:rFonts w:ascii="Arial" w:eastAsia="Times New Roman" w:hAnsi="Arial" w:cs="Arial"/>
          <w:sz w:val="20"/>
          <w:szCs w:val="20"/>
          <w:bdr w:val="none" w:sz="0" w:space="0" w:color="auto" w:frame="1"/>
          <w:lang w:eastAsia="cs-CZ"/>
        </w:rPr>
        <w:t xml:space="preserve"> + A.II. + A.III. + A.IV. + A.V. + A.VI.) </w:t>
      </w:r>
      <w:proofErr w:type="gramStart"/>
      <w:r w:rsidRPr="00D06C82">
        <w:rPr>
          <w:rFonts w:ascii="Arial" w:eastAsia="Times New Roman" w:hAnsi="Arial" w:cs="Arial"/>
          <w:sz w:val="20"/>
          <w:szCs w:val="20"/>
          <w:bdr w:val="none" w:sz="0" w:space="0" w:color="auto" w:frame="1"/>
          <w:lang w:eastAsia="cs-CZ"/>
        </w:rPr>
        <w:t>&lt; (</w:t>
      </w:r>
      <w:proofErr w:type="gramEnd"/>
      <w:r w:rsidRPr="00D06C82">
        <w:rPr>
          <w:rFonts w:ascii="Arial" w:eastAsia="Times New Roman" w:hAnsi="Arial" w:cs="Arial"/>
          <w:sz w:val="20"/>
          <w:szCs w:val="20"/>
          <w:bdr w:val="none" w:sz="0" w:space="0" w:color="auto" w:frame="1"/>
          <w:lang w:eastAsia="cs-CZ"/>
        </w:rPr>
        <w:t>A.I + A.II.1) / 2</w:t>
      </w:r>
    </w:p>
    <w:p w14:paraId="34A4B56E" w14:textId="77777777" w:rsidR="00D06C82" w:rsidRPr="00D06C82" w:rsidRDefault="00D06C82" w:rsidP="00D06C82">
      <w:pPr>
        <w:spacing w:after="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  </w:t>
      </w:r>
    </w:p>
    <w:p w14:paraId="2DD0FAA1"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B) </w:t>
      </w:r>
      <w:r w:rsidRPr="00D06C82">
        <w:rPr>
          <w:rFonts w:ascii="Arial" w:eastAsia="Times New Roman" w:hAnsi="Arial" w:cs="Arial"/>
          <w:i/>
          <w:iCs/>
          <w:sz w:val="20"/>
          <w:szCs w:val="20"/>
          <w:bdr w:val="none" w:sz="0" w:space="0" w:color="auto" w:frame="1"/>
          <w:lang w:eastAsia="cs-CZ"/>
        </w:rPr>
        <w:t>V případě </w:t>
      </w:r>
      <w:r w:rsidRPr="00D06C82">
        <w:rPr>
          <w:rFonts w:ascii="Arial" w:eastAsia="Times New Roman" w:hAnsi="Arial" w:cs="Arial"/>
          <w:b/>
          <w:bCs/>
          <w:i/>
          <w:iCs/>
          <w:sz w:val="20"/>
          <w:szCs w:val="20"/>
          <w:bdr w:val="none" w:sz="0" w:space="0" w:color="auto" w:frame="1"/>
          <w:lang w:eastAsia="cs-CZ"/>
        </w:rPr>
        <w:t>společnosti, v níž alespoň někteří společníci plně ručí za závazky</w:t>
      </w:r>
      <w:r w:rsidRPr="00D06C82">
        <w:rPr>
          <w:rFonts w:ascii="Arial" w:eastAsia="Times New Roman" w:hAnsi="Arial" w:cs="Arial"/>
          <w:i/>
          <w:iCs/>
          <w:sz w:val="20"/>
          <w:szCs w:val="20"/>
          <w:bdr w:val="none" w:sz="0" w:space="0" w:color="auto" w:frame="1"/>
          <w:lang w:eastAsia="cs-CZ"/>
        </w:rPr>
        <w:t> společnosti (která není malým nebo středním podnikem, jenž existuje po dobu kratší tří let,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 oblasti rizikového financování), kde </w:t>
      </w:r>
      <w:r w:rsidRPr="00D06C82">
        <w:rPr>
          <w:rFonts w:ascii="Arial" w:eastAsia="Times New Roman" w:hAnsi="Arial" w:cs="Arial"/>
          <w:b/>
          <w:bCs/>
          <w:i/>
          <w:iCs/>
          <w:sz w:val="20"/>
          <w:szCs w:val="20"/>
          <w:bdr w:val="none" w:sz="0" w:space="0" w:color="auto" w:frame="1"/>
          <w:lang w:eastAsia="cs-CZ"/>
        </w:rPr>
        <w:t>v důsledku kumulace ztrát došlo ke</w:t>
      </w:r>
      <w:r w:rsidR="00AA4B6C">
        <w:rPr>
          <w:rFonts w:ascii="Arial" w:eastAsia="Times New Roman" w:hAnsi="Arial" w:cs="Arial"/>
          <w:b/>
          <w:bCs/>
          <w:i/>
          <w:iCs/>
          <w:sz w:val="20"/>
          <w:szCs w:val="20"/>
          <w:bdr w:val="none" w:sz="0" w:space="0" w:color="auto" w:frame="1"/>
          <w:lang w:eastAsia="cs-CZ"/>
        </w:rPr>
        <w:t xml:space="preserve"> </w:t>
      </w:r>
      <w:r w:rsidRPr="00D06C82">
        <w:rPr>
          <w:rFonts w:ascii="Arial" w:eastAsia="Times New Roman" w:hAnsi="Arial" w:cs="Arial"/>
          <w:b/>
          <w:bCs/>
          <w:i/>
          <w:iCs/>
          <w:sz w:val="20"/>
          <w:szCs w:val="20"/>
          <w:bdr w:val="none" w:sz="0" w:space="0" w:color="auto" w:frame="1"/>
          <w:lang w:eastAsia="cs-CZ"/>
        </w:rPr>
        <w:t>ztrátě více než poloviny jejího kapitálu</w:t>
      </w:r>
      <w:r w:rsidRPr="00D06C82">
        <w:rPr>
          <w:rFonts w:ascii="Arial" w:eastAsia="Times New Roman" w:hAnsi="Arial" w:cs="Arial"/>
          <w:i/>
          <w:iCs/>
          <w:sz w:val="20"/>
          <w:szCs w:val="20"/>
          <w:bdr w:val="none" w:sz="0" w:space="0" w:color="auto" w:frame="1"/>
          <w:lang w:eastAsia="cs-CZ"/>
        </w:rPr>
        <w:t xml:space="preserve"> zaznamenaného v účetnictví této společnosti. Pro účely tohoto ustanovení se za „společnost, v níž alespoň někteří společníci plně </w:t>
      </w:r>
      <w:proofErr w:type="gramStart"/>
      <w:r w:rsidRPr="00D06C82">
        <w:rPr>
          <w:rFonts w:ascii="Arial" w:eastAsia="Times New Roman" w:hAnsi="Arial" w:cs="Arial"/>
          <w:i/>
          <w:iCs/>
          <w:sz w:val="20"/>
          <w:szCs w:val="20"/>
          <w:bdr w:val="none" w:sz="0" w:space="0" w:color="auto" w:frame="1"/>
          <w:lang w:eastAsia="cs-CZ"/>
        </w:rPr>
        <w:t>ručí</w:t>
      </w:r>
      <w:proofErr w:type="gramEnd"/>
      <w:r w:rsidRPr="00D06C82">
        <w:rPr>
          <w:rFonts w:ascii="Arial" w:eastAsia="Times New Roman" w:hAnsi="Arial" w:cs="Arial"/>
          <w:i/>
          <w:iCs/>
          <w:sz w:val="20"/>
          <w:szCs w:val="20"/>
          <w:bdr w:val="none" w:sz="0" w:space="0" w:color="auto" w:frame="1"/>
          <w:lang w:eastAsia="cs-CZ"/>
        </w:rPr>
        <w:t xml:space="preserve"> za závazky společnosti“ považují zejména formy podniků uvedené v příloze II směrnice 2013/34/EU.</w:t>
      </w:r>
      <w:r w:rsidRPr="00D06C82">
        <w:rPr>
          <w:rFonts w:ascii="Arial" w:eastAsia="Times New Roman" w:hAnsi="Arial" w:cs="Arial"/>
          <w:sz w:val="20"/>
          <w:szCs w:val="20"/>
          <w:bdr w:val="none" w:sz="0" w:space="0" w:color="auto" w:frame="1"/>
          <w:lang w:eastAsia="cs-CZ"/>
        </w:rPr>
        <w:t> </w:t>
      </w:r>
    </w:p>
    <w:p w14:paraId="452BB8C5"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xml:space="preserve">Toto kritérium se vztahuje na právní formy, které </w:t>
      </w:r>
      <w:proofErr w:type="gramStart"/>
      <w:r w:rsidRPr="00D06C82">
        <w:rPr>
          <w:rFonts w:ascii="Arial" w:eastAsia="Times New Roman" w:hAnsi="Arial" w:cs="Arial"/>
          <w:sz w:val="20"/>
          <w:szCs w:val="20"/>
          <w:bdr w:val="none" w:sz="0" w:space="0" w:color="auto" w:frame="1"/>
          <w:lang w:eastAsia="cs-CZ"/>
        </w:rPr>
        <w:t>netvoří</w:t>
      </w:r>
      <w:proofErr w:type="gramEnd"/>
      <w:r w:rsidRPr="00D06C82">
        <w:rPr>
          <w:rFonts w:ascii="Arial" w:eastAsia="Times New Roman" w:hAnsi="Arial" w:cs="Arial"/>
          <w:sz w:val="20"/>
          <w:szCs w:val="20"/>
          <w:bdr w:val="none" w:sz="0" w:space="0" w:color="auto" w:frame="1"/>
          <w:lang w:eastAsia="cs-CZ"/>
        </w:rPr>
        <w:t xml:space="preserve"> základní kapitál a v nichž některý společník plně ručí za závazky. Zejména jde o veřejnou obchodní společnost a komanditní společnost. Dle</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výkladů EK by se však toto kritérium mělo dotýkat i další právních forem podniků, v nichž dle národního práva/stanov dochází k plnému ručení společníků (zřizovatelů/členů statutárního orgánu) za závazky a zároveň tyto podniky disponují vlastním kapitálem, účtují o zisku a ztrátě a jsou schopny předložit věrohodné účetní údaje. Může jít zejm. o různé typy neziskových organizací. Podle tohoto kritéria jde o podnik v obtížích, pokud:</w:t>
      </w:r>
      <w:r w:rsidRPr="00D06C82">
        <w:rPr>
          <w:rFonts w:ascii="Arial" w:eastAsia="Times New Roman" w:hAnsi="Arial" w:cs="Arial"/>
          <w:sz w:val="20"/>
          <w:szCs w:val="20"/>
          <w:lang w:eastAsia="cs-CZ"/>
        </w:rPr>
        <w:t> </w:t>
      </w:r>
    </w:p>
    <w:p w14:paraId="395C45F1"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 xml:space="preserve">Kumulované </w:t>
      </w:r>
      <w:proofErr w:type="gramStart"/>
      <w:r w:rsidRPr="00D06C82">
        <w:rPr>
          <w:rFonts w:ascii="Arial" w:eastAsia="Times New Roman" w:hAnsi="Arial" w:cs="Arial"/>
          <w:b/>
          <w:bCs/>
          <w:sz w:val="20"/>
          <w:szCs w:val="20"/>
          <w:bdr w:val="none" w:sz="0" w:space="0" w:color="auto" w:frame="1"/>
          <w:lang w:eastAsia="cs-CZ"/>
        </w:rPr>
        <w:t>ztráty &gt;</w:t>
      </w:r>
      <w:proofErr w:type="gramEnd"/>
      <w:r w:rsidRPr="00D06C82">
        <w:rPr>
          <w:rFonts w:ascii="Arial" w:eastAsia="Times New Roman" w:hAnsi="Arial" w:cs="Arial"/>
          <w:b/>
          <w:bCs/>
          <w:sz w:val="20"/>
          <w:szCs w:val="20"/>
          <w:bdr w:val="none" w:sz="0" w:space="0" w:color="auto" w:frame="1"/>
          <w:lang w:eastAsia="cs-CZ"/>
        </w:rPr>
        <w:t xml:space="preserve"> ½ Vlastního kapitálu nezahrnujícího kumulované ztráty</w:t>
      </w:r>
      <w:r w:rsidRPr="00D06C82">
        <w:rPr>
          <w:rFonts w:ascii="Arial" w:eastAsia="Times New Roman" w:hAnsi="Arial" w:cs="Arial"/>
          <w:sz w:val="20"/>
          <w:szCs w:val="20"/>
          <w:bdr w:val="none" w:sz="0" w:space="0" w:color="auto" w:frame="1"/>
          <w:lang w:eastAsia="cs-CZ"/>
        </w:rPr>
        <w:t> </w:t>
      </w:r>
    </w:p>
    <w:p w14:paraId="23F4095E"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Stejně jako u kritéria A) se kumulovanými ztrátami rozumí jak neuhrazené ztráty z minulých let, tak ztráta vzniklá v běžném období a vyhodnocení se provádí z údajů poslední uzavřené účetní závěrky (případně jiných dostupných účetních údajů žadatele). Podnik v obtížích lze tedy podle tohoto kritéria identifikovat podle záporných výsledků hospodaření (z běžného období i z minulých let), přičemž se porovnávají následující položky rozvahy: </w:t>
      </w:r>
    </w:p>
    <w:p w14:paraId="64181451"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Výsledek hospodaření celkem</w:t>
      </w:r>
      <w:proofErr w:type="gramStart"/>
      <w:r w:rsidRPr="00D06C82">
        <w:rPr>
          <w:rFonts w:ascii="Arial" w:eastAsia="Times New Roman" w:hAnsi="Arial" w:cs="Arial"/>
          <w:sz w:val="20"/>
          <w:szCs w:val="20"/>
          <w:bdr w:val="none" w:sz="0" w:space="0" w:color="auto" w:frame="1"/>
          <w:lang w:eastAsia="cs-CZ"/>
        </w:rPr>
        <w:t>* &gt;</w:t>
      </w:r>
      <w:proofErr w:type="gramEnd"/>
      <w:r w:rsidRPr="00D06C82">
        <w:rPr>
          <w:rFonts w:ascii="Arial" w:eastAsia="Times New Roman" w:hAnsi="Arial" w:cs="Arial"/>
          <w:sz w:val="20"/>
          <w:szCs w:val="20"/>
          <w:bdr w:val="none" w:sz="0" w:space="0" w:color="auto" w:frame="1"/>
          <w:lang w:eastAsia="cs-CZ"/>
        </w:rPr>
        <w:t xml:space="preserve"> (Vlastní kapitál – Výsledek hospodaření celkem*) / 2</w:t>
      </w:r>
      <w:r w:rsidRPr="00D06C82">
        <w:rPr>
          <w:rFonts w:ascii="Arial" w:eastAsia="Times New Roman" w:hAnsi="Arial" w:cs="Arial"/>
          <w:b/>
          <w:bCs/>
          <w:sz w:val="20"/>
          <w:szCs w:val="20"/>
          <w:bdr w:val="none" w:sz="0" w:space="0" w:color="auto" w:frame="1"/>
          <w:lang w:eastAsia="cs-CZ"/>
        </w:rPr>
        <w:t> </w:t>
      </w:r>
    </w:p>
    <w:p w14:paraId="0AD057F9"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Absolutní hodnota záporného výsledku součtu položek výsledek hospodaření běžného období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 xml:space="preserve">výsledek hospodaření minulých let, popř. také výsledek hospodaření ve schvalovacím řízení nebo jiný </w:t>
      </w:r>
      <w:r w:rsidRPr="00D06C82">
        <w:rPr>
          <w:rFonts w:ascii="Arial" w:eastAsia="Times New Roman" w:hAnsi="Arial" w:cs="Arial"/>
          <w:sz w:val="20"/>
          <w:szCs w:val="20"/>
          <w:bdr w:val="none" w:sz="0" w:space="0" w:color="auto" w:frame="1"/>
          <w:lang w:eastAsia="cs-CZ"/>
        </w:rPr>
        <w:lastRenderedPageBreak/>
        <w:t>výsledek hospodaření (záleží na struktuře rozvahy). Je zřejmé, že pokud je celkový výsledek hospodaření kladný, nejedná se podle tohoto kritéria o podnik v obtížích. </w:t>
      </w:r>
    </w:p>
    <w:p w14:paraId="75CB9830"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Kritéria A) a B) se nepřezkoumávají u MSP existujících méně než 3 roky (v případě podpory rizikového financování dle čl. 21 GBER méně než 7 let za uvedených podmínek). </w:t>
      </w:r>
    </w:p>
    <w:p w14:paraId="1E9A5423" w14:textId="77777777" w:rsidR="00D06C82" w:rsidRPr="00D06C82" w:rsidRDefault="00D06C82" w:rsidP="00D06C82">
      <w:pPr>
        <w:spacing w:after="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w:t>
      </w:r>
    </w:p>
    <w:p w14:paraId="219A8F5E"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C) </w:t>
      </w:r>
      <w:r w:rsidRPr="00D06C82">
        <w:rPr>
          <w:rFonts w:ascii="Arial" w:eastAsia="Times New Roman" w:hAnsi="Arial" w:cs="Arial"/>
          <w:i/>
          <w:iCs/>
          <w:sz w:val="20"/>
          <w:szCs w:val="20"/>
          <w:bdr w:val="none" w:sz="0" w:space="0" w:color="auto" w:frame="1"/>
          <w:lang w:eastAsia="cs-CZ"/>
        </w:rPr>
        <w:t>Jestliže vůči podniku bylo </w:t>
      </w:r>
      <w:r w:rsidRPr="00D06C82">
        <w:rPr>
          <w:rFonts w:ascii="Arial" w:eastAsia="Times New Roman" w:hAnsi="Arial" w:cs="Arial"/>
          <w:b/>
          <w:bCs/>
          <w:i/>
          <w:iCs/>
          <w:sz w:val="20"/>
          <w:szCs w:val="20"/>
          <w:bdr w:val="none" w:sz="0" w:space="0" w:color="auto" w:frame="1"/>
          <w:lang w:eastAsia="cs-CZ"/>
        </w:rPr>
        <w:t>zahájeno kolektivní úpadkové řízení</w:t>
      </w:r>
      <w:r w:rsidRPr="00D06C82">
        <w:rPr>
          <w:rFonts w:ascii="Arial" w:eastAsia="Times New Roman" w:hAnsi="Arial" w:cs="Arial"/>
          <w:i/>
          <w:iCs/>
          <w:sz w:val="20"/>
          <w:szCs w:val="20"/>
          <w:bdr w:val="none" w:sz="0" w:space="0" w:color="auto" w:frame="1"/>
          <w:lang w:eastAsia="cs-CZ"/>
        </w:rPr>
        <w:t> nebo tento podnik </w:t>
      </w:r>
      <w:r w:rsidRPr="00D06C82">
        <w:rPr>
          <w:rFonts w:ascii="Arial" w:eastAsia="Times New Roman" w:hAnsi="Arial" w:cs="Arial"/>
          <w:b/>
          <w:bCs/>
          <w:i/>
          <w:iCs/>
          <w:sz w:val="20"/>
          <w:szCs w:val="20"/>
          <w:bdr w:val="none" w:sz="0" w:space="0" w:color="auto" w:frame="1"/>
          <w:lang w:eastAsia="cs-CZ"/>
        </w:rPr>
        <w:t>splňuje kritéria vnitrostátního práva pro zahájení kolektivního úpadkového řízení</w:t>
      </w:r>
      <w:r w:rsidRPr="00D06C82">
        <w:rPr>
          <w:rFonts w:ascii="Arial" w:eastAsia="Times New Roman" w:hAnsi="Arial" w:cs="Arial"/>
          <w:i/>
          <w:iCs/>
          <w:sz w:val="20"/>
          <w:szCs w:val="20"/>
          <w:bdr w:val="none" w:sz="0" w:space="0" w:color="auto" w:frame="1"/>
          <w:lang w:eastAsia="cs-CZ"/>
        </w:rPr>
        <w:t> na žádost svých věřitelů.</w:t>
      </w:r>
      <w:r w:rsidRPr="00D06C82">
        <w:rPr>
          <w:rFonts w:ascii="Arial" w:eastAsia="Times New Roman" w:hAnsi="Arial" w:cs="Arial"/>
          <w:sz w:val="20"/>
          <w:szCs w:val="20"/>
          <w:bdr w:val="none" w:sz="0" w:space="0" w:color="auto" w:frame="1"/>
          <w:lang w:eastAsia="cs-CZ"/>
        </w:rPr>
        <w:t> </w:t>
      </w:r>
    </w:p>
    <w:p w14:paraId="417ADC05"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K naplnění tohoto kritéria dochází, pokud bylo vůči podniku zahájeno insolvenční řízení nebo (což je pro naplnění kritéria dostačující) toliko splňuje podmínky pro zahájení tohoto řízení, tzn. je v úpadku či</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 ohrožení úpadkem podle zákona č. 182/2006 Sb. o úpadku a způsobech jeho řešení (insolvenční zákon), v platném znění. </w:t>
      </w:r>
    </w:p>
    <w:p w14:paraId="2157819D"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D) </w:t>
      </w:r>
      <w:r w:rsidRPr="00D06C82">
        <w:rPr>
          <w:rFonts w:ascii="Arial" w:eastAsia="Times New Roman" w:hAnsi="Arial" w:cs="Arial"/>
          <w:i/>
          <w:iCs/>
          <w:sz w:val="20"/>
          <w:szCs w:val="20"/>
          <w:bdr w:val="none" w:sz="0" w:space="0" w:color="auto" w:frame="1"/>
          <w:lang w:eastAsia="cs-CZ"/>
        </w:rPr>
        <w:t>Jestliže podnik </w:t>
      </w:r>
      <w:r w:rsidRPr="00D06C82">
        <w:rPr>
          <w:rFonts w:ascii="Arial" w:eastAsia="Times New Roman" w:hAnsi="Arial" w:cs="Arial"/>
          <w:b/>
          <w:bCs/>
          <w:i/>
          <w:iCs/>
          <w:sz w:val="20"/>
          <w:szCs w:val="20"/>
          <w:bdr w:val="none" w:sz="0" w:space="0" w:color="auto" w:frame="1"/>
          <w:lang w:eastAsia="cs-CZ"/>
        </w:rPr>
        <w:t>obdržel podporu na záchranu a zatím nesplatil půjčku nebo neukončil záruku</w:t>
      </w:r>
      <w:r w:rsidRPr="00D06C82">
        <w:rPr>
          <w:rFonts w:ascii="Arial" w:eastAsia="Times New Roman" w:hAnsi="Arial" w:cs="Arial"/>
          <w:i/>
          <w:iCs/>
          <w:sz w:val="20"/>
          <w:szCs w:val="20"/>
          <w:bdr w:val="none" w:sz="0" w:space="0" w:color="auto" w:frame="1"/>
          <w:lang w:eastAsia="cs-CZ"/>
        </w:rPr>
        <w:t> nebo jestliže </w:t>
      </w:r>
      <w:r w:rsidRPr="00D06C82">
        <w:rPr>
          <w:rFonts w:ascii="Arial" w:eastAsia="Times New Roman" w:hAnsi="Arial" w:cs="Arial"/>
          <w:b/>
          <w:bCs/>
          <w:i/>
          <w:iCs/>
          <w:sz w:val="20"/>
          <w:szCs w:val="20"/>
          <w:bdr w:val="none" w:sz="0" w:space="0" w:color="auto" w:frame="1"/>
          <w:lang w:eastAsia="cs-CZ"/>
        </w:rPr>
        <w:t>obdržel podporu na restrukturalizaci a stále se na něj uplatňuje plán restrukturalizace</w:t>
      </w:r>
      <w:r w:rsidRPr="00D06C82">
        <w:rPr>
          <w:rFonts w:ascii="Arial" w:eastAsia="Times New Roman" w:hAnsi="Arial" w:cs="Arial"/>
          <w:i/>
          <w:iCs/>
          <w:sz w:val="20"/>
          <w:szCs w:val="20"/>
          <w:bdr w:val="none" w:sz="0" w:space="0" w:color="auto" w:frame="1"/>
          <w:lang w:eastAsia="cs-CZ"/>
        </w:rPr>
        <w:t>.</w:t>
      </w:r>
      <w:r w:rsidRPr="00D06C82">
        <w:rPr>
          <w:rFonts w:ascii="Arial" w:eastAsia="Times New Roman" w:hAnsi="Arial" w:cs="Arial"/>
          <w:sz w:val="20"/>
          <w:szCs w:val="20"/>
          <w:bdr w:val="none" w:sz="0" w:space="0" w:color="auto" w:frame="1"/>
          <w:lang w:eastAsia="cs-CZ"/>
        </w:rPr>
        <w:t> </w:t>
      </w:r>
    </w:p>
    <w:p w14:paraId="351416B0"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Dle informací Úřadu v tuto chvíli není v ČR subjekt, kterému orgány ČR poskytly veřejnou podporu na záchranu nebo restrukturalizaci, která byla předmětem rozhodnutí Komise, u nějž by bylo naplněno toto kritérium. </w:t>
      </w:r>
    </w:p>
    <w:p w14:paraId="5EB72FAF" w14:textId="77777777" w:rsidR="00D06C82" w:rsidRDefault="00D06C82" w:rsidP="00D06C82">
      <w:pPr>
        <w:spacing w:after="120" w:line="270" w:lineRule="atLeast"/>
        <w:jc w:val="both"/>
        <w:textAlignment w:val="baseline"/>
        <w:rPr>
          <w:rFonts w:ascii="Arial" w:eastAsia="Times New Roman" w:hAnsi="Arial" w:cs="Arial"/>
          <w:sz w:val="20"/>
          <w:szCs w:val="20"/>
          <w:bdr w:val="none" w:sz="0" w:space="0" w:color="auto" w:frame="1"/>
          <w:lang w:eastAsia="cs-CZ"/>
        </w:rPr>
      </w:pPr>
    </w:p>
    <w:p w14:paraId="34AD2CEF"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E) </w:t>
      </w:r>
      <w:r w:rsidRPr="00D06C82">
        <w:rPr>
          <w:rFonts w:ascii="Arial" w:eastAsia="Times New Roman" w:hAnsi="Arial" w:cs="Arial"/>
          <w:i/>
          <w:iCs/>
          <w:sz w:val="20"/>
          <w:szCs w:val="20"/>
          <w:bdr w:val="none" w:sz="0" w:space="0" w:color="auto" w:frame="1"/>
          <w:lang w:eastAsia="cs-CZ"/>
        </w:rPr>
        <w:t>V případě podniku, který není malým nebo středním podnikem, kde v uplynulých dvou letech:</w:t>
      </w:r>
    </w:p>
    <w:p w14:paraId="72A196ED" w14:textId="77777777"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i/>
          <w:iCs/>
          <w:sz w:val="20"/>
          <w:szCs w:val="20"/>
          <w:bdr w:val="none" w:sz="0" w:space="0" w:color="auto" w:frame="1"/>
          <w:lang w:eastAsia="cs-CZ"/>
        </w:rPr>
        <w:t>1) účetní poměr dluhu společnosti k vlastnímu kapitálu je vyšší než 7,5 a</w:t>
      </w:r>
    </w:p>
    <w:p w14:paraId="3C27F497" w14:textId="77777777"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CE" w:eastAsia="Times New Roman" w:hAnsi="Arial CE" w:cs="Arial CE"/>
          <w:i/>
          <w:iCs/>
          <w:sz w:val="18"/>
          <w:szCs w:val="18"/>
          <w:bdr w:val="none" w:sz="0" w:space="0" w:color="auto" w:frame="1"/>
          <w:lang w:eastAsia="cs-CZ"/>
        </w:rPr>
        <w:t>2</w:t>
      </w:r>
      <w:r w:rsidRPr="00D06C82">
        <w:rPr>
          <w:rFonts w:ascii="Arial" w:eastAsia="Times New Roman" w:hAnsi="Arial" w:cs="Arial"/>
          <w:i/>
          <w:iCs/>
          <w:sz w:val="20"/>
          <w:szCs w:val="20"/>
          <w:bdr w:val="none" w:sz="0" w:space="0" w:color="auto" w:frame="1"/>
          <w:lang w:eastAsia="cs-CZ"/>
        </w:rPr>
        <w:t>) poměr úrokového krytí hospodářského výsledku společnosti před úroky, zdaněním a odpisy (EBITDA) je nižší než 1,0.</w:t>
      </w:r>
      <w:r w:rsidRPr="00D06C82">
        <w:rPr>
          <w:rFonts w:ascii="Arial" w:eastAsia="Times New Roman" w:hAnsi="Arial" w:cs="Arial"/>
          <w:sz w:val="20"/>
          <w:szCs w:val="20"/>
          <w:bdr w:val="none" w:sz="0" w:space="0" w:color="auto" w:frame="1"/>
          <w:lang w:eastAsia="cs-CZ"/>
        </w:rPr>
        <w:t> </w:t>
      </w:r>
    </w:p>
    <w:p w14:paraId="63DF0D4F" w14:textId="77777777"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Podle tohoto (dvoj-)kritéria jde o podnik v obtížích, pokud obě následující podmínky platí zároveň, a to v každém ze dvou posledních uzavřených účetních období. Kritérium se nepřezkoumává u MSP. </w:t>
      </w:r>
    </w:p>
    <w:p w14:paraId="7F0E8256" w14:textId="77777777"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 xml:space="preserve">1) Cizí zdroje / Vlastní </w:t>
      </w:r>
      <w:proofErr w:type="gramStart"/>
      <w:r w:rsidRPr="00D06C82">
        <w:rPr>
          <w:rFonts w:ascii="Arial" w:eastAsia="Times New Roman" w:hAnsi="Arial" w:cs="Arial"/>
          <w:b/>
          <w:bCs/>
          <w:sz w:val="20"/>
          <w:szCs w:val="20"/>
          <w:bdr w:val="none" w:sz="0" w:space="0" w:color="auto" w:frame="1"/>
          <w:lang w:eastAsia="cs-CZ"/>
        </w:rPr>
        <w:t>kapitál &gt;</w:t>
      </w:r>
      <w:proofErr w:type="gramEnd"/>
      <w:r w:rsidRPr="00D06C82">
        <w:rPr>
          <w:rFonts w:ascii="Arial" w:eastAsia="Times New Roman" w:hAnsi="Arial" w:cs="Arial"/>
          <w:b/>
          <w:bCs/>
          <w:sz w:val="20"/>
          <w:szCs w:val="20"/>
          <w:bdr w:val="none" w:sz="0" w:space="0" w:color="auto" w:frame="1"/>
          <w:lang w:eastAsia="cs-CZ"/>
        </w:rPr>
        <w:t xml:space="preserve"> 7,5</w:t>
      </w:r>
    </w:p>
    <w:p w14:paraId="6AAB19FF" w14:textId="77777777"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xml:space="preserve">Jde o výpočet </w:t>
      </w:r>
      <w:proofErr w:type="spellStart"/>
      <w:r w:rsidRPr="00D06C82">
        <w:rPr>
          <w:rFonts w:ascii="Arial" w:eastAsia="Times New Roman" w:hAnsi="Arial" w:cs="Arial"/>
          <w:sz w:val="20"/>
          <w:szCs w:val="20"/>
          <w:bdr w:val="none" w:sz="0" w:space="0" w:color="auto" w:frame="1"/>
          <w:lang w:eastAsia="cs-CZ"/>
        </w:rPr>
        <w:t>Debt</w:t>
      </w:r>
      <w:proofErr w:type="spellEnd"/>
      <w:r w:rsidRPr="00D06C82">
        <w:rPr>
          <w:rFonts w:ascii="Arial" w:eastAsia="Times New Roman" w:hAnsi="Arial" w:cs="Arial"/>
          <w:sz w:val="20"/>
          <w:szCs w:val="20"/>
          <w:bdr w:val="none" w:sz="0" w:space="0" w:color="auto" w:frame="1"/>
          <w:lang w:eastAsia="cs-CZ"/>
        </w:rPr>
        <w:t>-to-</w:t>
      </w:r>
      <w:proofErr w:type="spellStart"/>
      <w:r w:rsidRPr="00D06C82">
        <w:rPr>
          <w:rFonts w:ascii="Arial" w:eastAsia="Times New Roman" w:hAnsi="Arial" w:cs="Arial"/>
          <w:sz w:val="20"/>
          <w:szCs w:val="20"/>
          <w:bdr w:val="none" w:sz="0" w:space="0" w:color="auto" w:frame="1"/>
          <w:lang w:eastAsia="cs-CZ"/>
        </w:rPr>
        <w:t>Equity</w:t>
      </w:r>
      <w:proofErr w:type="spellEnd"/>
      <w:r w:rsidRPr="00D06C82">
        <w:rPr>
          <w:rFonts w:ascii="Arial" w:eastAsia="Times New Roman" w:hAnsi="Arial" w:cs="Arial"/>
          <w:sz w:val="20"/>
          <w:szCs w:val="20"/>
          <w:bdr w:val="none" w:sz="0" w:space="0" w:color="auto" w:frame="1"/>
          <w:lang w:eastAsia="cs-CZ"/>
        </w:rPr>
        <w:t xml:space="preserve"> ratio. Cizí zdroje představují účetní hodnotu dlouhodobých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krátkodobých závazků; </w:t>
      </w:r>
    </w:p>
    <w:p w14:paraId="4111361C" w14:textId="77777777"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 xml:space="preserve">2) EBITDA / nákladové úroky </w:t>
      </w:r>
      <w:proofErr w:type="gramStart"/>
      <w:r w:rsidRPr="00D06C82">
        <w:rPr>
          <w:rFonts w:ascii="Arial" w:eastAsia="Times New Roman" w:hAnsi="Arial" w:cs="Arial"/>
          <w:b/>
          <w:bCs/>
          <w:sz w:val="20"/>
          <w:szCs w:val="20"/>
          <w:bdr w:val="none" w:sz="0" w:space="0" w:color="auto" w:frame="1"/>
          <w:lang w:eastAsia="cs-CZ"/>
        </w:rPr>
        <w:t>&lt; 1</w:t>
      </w:r>
      <w:proofErr w:type="gramEnd"/>
      <w:r w:rsidRPr="00D06C82">
        <w:rPr>
          <w:rFonts w:ascii="Arial" w:eastAsia="Times New Roman" w:hAnsi="Arial" w:cs="Arial"/>
          <w:b/>
          <w:bCs/>
          <w:sz w:val="20"/>
          <w:szCs w:val="20"/>
          <w:bdr w:val="none" w:sz="0" w:space="0" w:color="auto" w:frame="1"/>
          <w:lang w:eastAsia="cs-CZ"/>
        </w:rPr>
        <w:t>,0</w:t>
      </w:r>
    </w:p>
    <w:p w14:paraId="4C55AE48" w14:textId="77777777"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Jde o výpočet EBITDA-to-</w:t>
      </w:r>
      <w:proofErr w:type="spellStart"/>
      <w:r w:rsidRPr="00D06C82">
        <w:rPr>
          <w:rFonts w:ascii="Arial" w:eastAsia="Times New Roman" w:hAnsi="Arial" w:cs="Arial"/>
          <w:sz w:val="20"/>
          <w:szCs w:val="20"/>
          <w:bdr w:val="none" w:sz="0" w:space="0" w:color="auto" w:frame="1"/>
          <w:lang w:eastAsia="cs-CZ"/>
        </w:rPr>
        <w:t>Interest</w:t>
      </w:r>
      <w:proofErr w:type="spellEnd"/>
      <w:r w:rsidRPr="00D06C82">
        <w:rPr>
          <w:rFonts w:ascii="Arial" w:eastAsia="Times New Roman" w:hAnsi="Arial" w:cs="Arial"/>
          <w:sz w:val="20"/>
          <w:szCs w:val="20"/>
          <w:bdr w:val="none" w:sz="0" w:space="0" w:color="auto" w:frame="1"/>
          <w:lang w:eastAsia="cs-CZ"/>
        </w:rPr>
        <w:t xml:space="preserve"> </w:t>
      </w:r>
      <w:proofErr w:type="spellStart"/>
      <w:r w:rsidRPr="00D06C82">
        <w:rPr>
          <w:rFonts w:ascii="Arial" w:eastAsia="Times New Roman" w:hAnsi="Arial" w:cs="Arial"/>
          <w:sz w:val="20"/>
          <w:szCs w:val="20"/>
          <w:bdr w:val="none" w:sz="0" w:space="0" w:color="auto" w:frame="1"/>
          <w:lang w:eastAsia="cs-CZ"/>
        </w:rPr>
        <w:t>coverage</w:t>
      </w:r>
      <w:proofErr w:type="spellEnd"/>
      <w:r w:rsidRPr="00D06C82">
        <w:rPr>
          <w:rFonts w:ascii="Arial" w:eastAsia="Times New Roman" w:hAnsi="Arial" w:cs="Arial"/>
          <w:sz w:val="20"/>
          <w:szCs w:val="20"/>
          <w:bdr w:val="none" w:sz="0" w:space="0" w:color="auto" w:frame="1"/>
          <w:lang w:eastAsia="cs-CZ"/>
        </w:rPr>
        <w:t xml:space="preserve"> ratio. EBITDA zahrnuje zisk před zdaněním, odpisy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nákladové úroky. </w:t>
      </w:r>
    </w:p>
    <w:p w14:paraId="0E0BDF65"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w:t>
      </w:r>
    </w:p>
    <w:p w14:paraId="7885D3FE" w14:textId="77777777" w:rsidR="00D06C82" w:rsidRPr="00D06C82" w:rsidRDefault="00D06C82" w:rsidP="00D06C82">
      <w:pPr>
        <w:spacing w:after="120" w:line="270" w:lineRule="atLeast"/>
        <w:jc w:val="both"/>
        <w:textAlignment w:val="baseline"/>
        <w:outlineLvl w:val="2"/>
        <w:rPr>
          <w:rFonts w:ascii="Arial" w:eastAsia="Times New Roman" w:hAnsi="Arial" w:cs="Arial"/>
          <w:b/>
          <w:bCs/>
          <w:color w:val="104B86"/>
          <w:sz w:val="20"/>
          <w:szCs w:val="20"/>
          <w:lang w:eastAsia="cs-CZ"/>
        </w:rPr>
      </w:pPr>
      <w:r w:rsidRPr="00D06C82">
        <w:rPr>
          <w:rFonts w:ascii="Arial" w:eastAsia="Times New Roman" w:hAnsi="Arial" w:cs="Arial"/>
          <w:b/>
          <w:bCs/>
          <w:color w:val="104B86"/>
          <w:sz w:val="20"/>
          <w:szCs w:val="20"/>
          <w:bdr w:val="none" w:sz="0" w:space="0" w:color="auto" w:frame="1"/>
          <w:lang w:eastAsia="cs-CZ"/>
        </w:rPr>
        <w:t>Kontrola údajů na úrovni skupiny, podklady pro kontrolu</w:t>
      </w:r>
    </w:p>
    <w:p w14:paraId="4122C137"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Komise zdůrazňuje, že podnikem se dle judikatury rozumí celá hospodářská entita se společným zdrojem kontroly, tzn. celá skupina propojených subjektů, mezi kterými existují ovládací vztahy – typických příkladem je obchodní společnost vlastněná z více než 50 procent jinou obchodní společností. Z toho důvodu </w:t>
      </w:r>
      <w:r w:rsidRPr="00D06C82">
        <w:rPr>
          <w:rFonts w:ascii="Arial" w:eastAsia="Times New Roman" w:hAnsi="Arial" w:cs="Arial"/>
          <w:b/>
          <w:bCs/>
          <w:sz w:val="20"/>
          <w:szCs w:val="20"/>
          <w:bdr w:val="none" w:sz="0" w:space="0" w:color="auto" w:frame="1"/>
          <w:lang w:eastAsia="cs-CZ"/>
        </w:rPr>
        <w:t xml:space="preserve">u žadatelů, kteří </w:t>
      </w:r>
      <w:proofErr w:type="gramStart"/>
      <w:r w:rsidRPr="00D06C82">
        <w:rPr>
          <w:rFonts w:ascii="Arial" w:eastAsia="Times New Roman" w:hAnsi="Arial" w:cs="Arial"/>
          <w:b/>
          <w:bCs/>
          <w:sz w:val="20"/>
          <w:szCs w:val="20"/>
          <w:bdr w:val="none" w:sz="0" w:space="0" w:color="auto" w:frame="1"/>
          <w:lang w:eastAsia="cs-CZ"/>
        </w:rPr>
        <w:t>patří</w:t>
      </w:r>
      <w:proofErr w:type="gramEnd"/>
      <w:r w:rsidRPr="00D06C82">
        <w:rPr>
          <w:rFonts w:ascii="Arial" w:eastAsia="Times New Roman" w:hAnsi="Arial" w:cs="Arial"/>
          <w:b/>
          <w:bCs/>
          <w:sz w:val="20"/>
          <w:szCs w:val="20"/>
          <w:bdr w:val="none" w:sz="0" w:space="0" w:color="auto" w:frame="1"/>
          <w:lang w:eastAsia="cs-CZ"/>
        </w:rPr>
        <w:t xml:space="preserve"> do skupiny podniků je třeba kritéria podniku v obtížích sledovat nejen na úrovni jednotlivého žadatele, ale také na úrovni celé skupiny</w:t>
      </w:r>
      <w:r w:rsidRPr="00D06C82">
        <w:rPr>
          <w:rFonts w:ascii="Arial" w:eastAsia="Times New Roman" w:hAnsi="Arial" w:cs="Arial"/>
          <w:sz w:val="20"/>
          <w:szCs w:val="20"/>
          <w:bdr w:val="none" w:sz="0" w:space="0" w:color="auto" w:frame="1"/>
          <w:lang w:eastAsia="cs-CZ"/>
        </w:rPr>
        <w:t>, do</w:t>
      </w:r>
      <w:r w:rsidR="00AA4B6C">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které náleží (viz bod 5 dokumentu </w:t>
      </w:r>
      <w:hyperlink r:id="rId9" w:history="1">
        <w:r w:rsidRPr="00D06C82">
          <w:rPr>
            <w:rFonts w:ascii="Arial" w:eastAsia="Times New Roman" w:hAnsi="Arial" w:cs="Arial"/>
            <w:color w:val="104B86"/>
            <w:sz w:val="20"/>
            <w:szCs w:val="20"/>
            <w:u w:val="single"/>
            <w:bdr w:val="none" w:sz="0" w:space="0" w:color="auto" w:frame="1"/>
            <w:lang w:eastAsia="cs-CZ"/>
          </w:rPr>
          <w:t>FAQ ke GBER</w:t>
        </w:r>
      </w:hyperlink>
      <w:r w:rsidRPr="00D06C82">
        <w:rPr>
          <w:rFonts w:ascii="Arial" w:eastAsia="Times New Roman" w:hAnsi="Arial" w:cs="Arial"/>
          <w:sz w:val="20"/>
          <w:szCs w:val="20"/>
          <w:bdr w:val="none" w:sz="0" w:space="0" w:color="auto" w:frame="1"/>
          <w:lang w:eastAsia="cs-CZ"/>
        </w:rPr>
        <w:t>) – do posouzení je tedy třeba zahrnout také údaje za mateřské/dceřiné/sesterské společnosti, včetně zahraničních subjektů. </w:t>
      </w:r>
    </w:p>
    <w:p w14:paraId="6D5B4441"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Kritéria je proto třeba překontrolovat jak u žadatele patřícího do skupiny, tak u celé skupiny.</w:t>
      </w:r>
      <w:r w:rsidRPr="00D06C82">
        <w:rPr>
          <w:rFonts w:ascii="Arial" w:eastAsia="Times New Roman" w:hAnsi="Arial" w:cs="Arial"/>
          <w:sz w:val="20"/>
          <w:szCs w:val="20"/>
          <w:bdr w:val="none" w:sz="0" w:space="0" w:color="auto" w:frame="1"/>
          <w:lang w:eastAsia="cs-CZ"/>
        </w:rPr>
        <w:t xml:space="preserve"> Pokud žadatel sám kritéria nenaplňuje, kontrola na úrovni skupiny pak potvrdí/vyvrátí závěr o </w:t>
      </w:r>
      <w:r w:rsidRPr="00D06C82">
        <w:rPr>
          <w:rFonts w:ascii="Arial" w:eastAsia="Times New Roman" w:hAnsi="Arial" w:cs="Arial"/>
          <w:sz w:val="20"/>
          <w:szCs w:val="20"/>
          <w:bdr w:val="none" w:sz="0" w:space="0" w:color="auto" w:frame="1"/>
          <w:lang w:eastAsia="cs-CZ"/>
        </w:rPr>
        <w:lastRenderedPageBreak/>
        <w:t>podniku v obtížích z hlediska celkové finanční situace skupiny. Naopak, pokud žadatel patřící do</w:t>
      </w:r>
      <w:r w:rsidR="00AA4B6C">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 xml:space="preserve">skupiny kritéria naplňuje, kontrola na úrovni skupiny </w:t>
      </w:r>
      <w:proofErr w:type="gramStart"/>
      <w:r w:rsidRPr="00D06C82">
        <w:rPr>
          <w:rFonts w:ascii="Arial" w:eastAsia="Times New Roman" w:hAnsi="Arial" w:cs="Arial"/>
          <w:sz w:val="20"/>
          <w:szCs w:val="20"/>
          <w:bdr w:val="none" w:sz="0" w:space="0" w:color="auto" w:frame="1"/>
          <w:lang w:eastAsia="cs-CZ"/>
        </w:rPr>
        <w:t>určí</w:t>
      </w:r>
      <w:proofErr w:type="gramEnd"/>
      <w:r w:rsidRPr="00D06C82">
        <w:rPr>
          <w:rFonts w:ascii="Arial" w:eastAsia="Times New Roman" w:hAnsi="Arial" w:cs="Arial"/>
          <w:sz w:val="20"/>
          <w:szCs w:val="20"/>
          <w:bdr w:val="none" w:sz="0" w:space="0" w:color="auto" w:frame="1"/>
          <w:lang w:eastAsia="cs-CZ"/>
        </w:rPr>
        <w:t>, zda podporu z důvodu naplnění kritérií poskytnout nelze, nebo podporu poskytnout lze, jelikož skupina není v obtížích, ovšem pod podmínkou, že ostatní subjekty ve skupině před poskytnutím podpory poskytnou žadateli nezbytné prostředky, aby sám kritéria nenaplňoval. </w:t>
      </w:r>
    </w:p>
    <w:p w14:paraId="61565351" w14:textId="3716DDE0"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Údaje ke kontrole kritérií na úrovni skupiny by měly vycházet z </w:t>
      </w:r>
      <w:r w:rsidRPr="00D06C82">
        <w:rPr>
          <w:rFonts w:ascii="Arial" w:eastAsia="Times New Roman" w:hAnsi="Arial" w:cs="Arial"/>
          <w:b/>
          <w:bCs/>
          <w:sz w:val="20"/>
          <w:szCs w:val="20"/>
          <w:bdr w:val="none" w:sz="0" w:space="0" w:color="auto" w:frame="1"/>
          <w:lang w:eastAsia="cs-CZ"/>
        </w:rPr>
        <w:t>konsolidovaných finančních výkazů celé skupiny.</w:t>
      </w:r>
      <w:r w:rsidRPr="00D06C82">
        <w:rPr>
          <w:rFonts w:ascii="Arial" w:eastAsia="Times New Roman" w:hAnsi="Arial" w:cs="Arial"/>
          <w:sz w:val="20"/>
          <w:szCs w:val="20"/>
          <w:bdr w:val="none" w:sz="0" w:space="0" w:color="auto" w:frame="1"/>
          <w:lang w:eastAsia="cs-CZ"/>
        </w:rPr>
        <w:t> Pokud skupina konsolidované výkazy běžné nezpracovává, lze po žadateli požadovat zpracování ad hoc konsolidov</w:t>
      </w:r>
      <w:r w:rsidR="00F45AF0">
        <w:rPr>
          <w:rFonts w:ascii="Arial" w:eastAsia="Times New Roman" w:hAnsi="Arial" w:cs="Arial"/>
          <w:sz w:val="20"/>
          <w:szCs w:val="20"/>
          <w:bdr w:val="none" w:sz="0" w:space="0" w:color="auto" w:frame="1"/>
          <w:lang w:eastAsia="cs-CZ"/>
        </w:rPr>
        <w:t>an</w:t>
      </w:r>
      <w:r w:rsidRPr="00D06C82">
        <w:rPr>
          <w:rFonts w:ascii="Arial" w:eastAsia="Times New Roman" w:hAnsi="Arial" w:cs="Arial"/>
          <w:sz w:val="20"/>
          <w:szCs w:val="20"/>
          <w:bdr w:val="none" w:sz="0" w:space="0" w:color="auto" w:frame="1"/>
          <w:lang w:eastAsia="cs-CZ"/>
        </w:rPr>
        <w:t xml:space="preserve">ých výkazů pro účely posouzení žádosti. Alternativně lze požadovat předložení jednotlivých účetních výkazů všech subjektů ve skupině a příslušné údaje sečíst za celou skupinu (tato zjednodušená metoda „konsolidace“ by pak přinesla vyvratitelný závěr o naplnění kritérií). Rozsah skupiny by se měl (přibližně) překrývat s vymezením „propojených podniků“ dle čl. 3, odst. 3 Přílohy I GBER – Definice MSP, rozhodné jsou nicméně reálné ovládací vztahy mezi subjekty skupiny. Pokud mezi subjekty ovládací vztah není (např. </w:t>
      </w:r>
      <w:proofErr w:type="gramStart"/>
      <w:r w:rsidRPr="00D06C82">
        <w:rPr>
          <w:rFonts w:ascii="Arial" w:eastAsia="Times New Roman" w:hAnsi="Arial" w:cs="Arial"/>
          <w:sz w:val="20"/>
          <w:szCs w:val="20"/>
          <w:bdr w:val="none" w:sz="0" w:space="0" w:color="auto" w:frame="1"/>
          <w:lang w:eastAsia="cs-CZ"/>
        </w:rPr>
        <w:t>tvoří</w:t>
      </w:r>
      <w:proofErr w:type="gramEnd"/>
      <w:r w:rsidRPr="00D06C82">
        <w:rPr>
          <w:rFonts w:ascii="Arial" w:eastAsia="Times New Roman" w:hAnsi="Arial" w:cs="Arial"/>
          <w:sz w:val="20"/>
          <w:szCs w:val="20"/>
          <w:bdr w:val="none" w:sz="0" w:space="0" w:color="auto" w:frame="1"/>
          <w:lang w:eastAsia="cs-CZ"/>
        </w:rPr>
        <w:t xml:space="preserve"> pouze „partnerské podniky“ podle Definice MSP), nepovažují se za skupinu. </w:t>
      </w:r>
    </w:p>
    <w:p w14:paraId="47C7453C"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Vzhledem k tomu, že důsledná kontrola kritérií u každého žadatele by byla u programů s vysokým počtem žadatelů administrativně náročná, </w:t>
      </w:r>
      <w:r w:rsidRPr="00D06C82">
        <w:rPr>
          <w:rFonts w:ascii="Arial" w:eastAsia="Times New Roman" w:hAnsi="Arial" w:cs="Arial"/>
          <w:b/>
          <w:bCs/>
          <w:sz w:val="20"/>
          <w:szCs w:val="20"/>
          <w:bdr w:val="none" w:sz="0" w:space="0" w:color="auto" w:frame="1"/>
          <w:lang w:eastAsia="cs-CZ"/>
        </w:rPr>
        <w:t>je možné se v tomto případě spoléhat na čestná prohlášení</w:t>
      </w:r>
      <w:r w:rsidRPr="00D06C82">
        <w:rPr>
          <w:rFonts w:ascii="Arial" w:eastAsia="Times New Roman" w:hAnsi="Arial" w:cs="Arial"/>
          <w:sz w:val="20"/>
          <w:szCs w:val="20"/>
          <w:bdr w:val="none" w:sz="0" w:space="0" w:color="auto" w:frame="1"/>
          <w:lang w:eastAsia="cs-CZ"/>
        </w:rPr>
        <w:t>. Aby mohl žadatel čestně prohlásit, že není podnikem v obtížích, měl by samozřejmě provést „samokontrolu“ kritérií na základě vlastních výkazů, případně též výkazů skupiny, pokud je její součástí – jak je uvedeno výše. Poskytovatel by pak měl kritéria ex ante (tzn. ještě před poskytnutí podpory) překontrolovat minimálně u žadatelů s nejvyššími požadovanými částkami podpory. Přijatelné je také provádění kontrol ex post s případným dodatečným navracením již vyplacené podpory. Rovněž kontroly ex post by měly zahrnout minimálně příjemce nejvyšších částek v programu. </w:t>
      </w:r>
    </w:p>
    <w:p w14:paraId="42B7DD79"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Pokud je to administrativně zvládnutelné, lze nicméně doporučit (i s ohledem na možné monitoringy EK) provádět ex ante kontrolu kritérií u každého žadatele a vyžadovat si doložení potřebných podkladů (účetních výkazů) již jako příloh k žádosti. </w:t>
      </w:r>
    </w:p>
    <w:p w14:paraId="22B83A29" w14:textId="77777777" w:rsidR="00D06C82" w:rsidRPr="00D06C82" w:rsidRDefault="00D06C82" w:rsidP="00D06C82">
      <w:pPr>
        <w:spacing w:after="120" w:line="270" w:lineRule="atLeast"/>
        <w:jc w:val="both"/>
        <w:rPr>
          <w:rFonts w:ascii="Arial" w:eastAsia="Times New Roman" w:hAnsi="Arial" w:cs="Arial"/>
          <w:sz w:val="20"/>
          <w:szCs w:val="20"/>
          <w:lang w:eastAsia="cs-CZ"/>
        </w:rPr>
      </w:pPr>
      <w:r w:rsidRPr="00D06C82">
        <w:rPr>
          <w:rFonts w:ascii="Arial" w:eastAsia="Times New Roman" w:hAnsi="Arial" w:cs="Arial"/>
          <w:sz w:val="20"/>
          <w:szCs w:val="20"/>
          <w:lang w:eastAsia="cs-CZ"/>
        </w:rPr>
        <w:t> </w:t>
      </w:r>
    </w:p>
    <w:p w14:paraId="109BEA26" w14:textId="77777777" w:rsidR="00D06C82" w:rsidRPr="00D06C82" w:rsidRDefault="00D06C82" w:rsidP="00D06C82">
      <w:pPr>
        <w:spacing w:after="120" w:line="270" w:lineRule="atLeast"/>
        <w:jc w:val="both"/>
        <w:rPr>
          <w:rFonts w:ascii="Times New Roman" w:eastAsia="Times New Roman" w:hAnsi="Times New Roman" w:cs="Times New Roman"/>
          <w:sz w:val="24"/>
          <w:szCs w:val="24"/>
          <w:lang w:eastAsia="cs-CZ"/>
        </w:rPr>
      </w:pPr>
      <w:r w:rsidRPr="00D06C82">
        <w:rPr>
          <w:rFonts w:ascii="Arial" w:eastAsia="Times New Roman" w:hAnsi="Arial" w:cs="Arial"/>
          <w:sz w:val="20"/>
          <w:szCs w:val="20"/>
          <w:lang w:eastAsia="cs-CZ"/>
        </w:rPr>
        <w:br w:type="textWrapping" w:clear="all"/>
      </w:r>
    </w:p>
    <w:p w14:paraId="48727092" w14:textId="77777777" w:rsidR="00D06C82" w:rsidRPr="00D06C82" w:rsidRDefault="00D06C82" w:rsidP="00D06C82">
      <w:pPr>
        <w:spacing w:before="90" w:after="120" w:line="270" w:lineRule="atLeast"/>
        <w:textAlignment w:val="baseline"/>
        <w:outlineLvl w:val="2"/>
        <w:rPr>
          <w:rFonts w:ascii="Arial CE" w:eastAsia="Times New Roman" w:hAnsi="Arial CE" w:cs="Arial CE"/>
          <w:b/>
          <w:bCs/>
          <w:color w:val="104B86"/>
          <w:sz w:val="21"/>
          <w:szCs w:val="21"/>
          <w:lang w:eastAsia="cs-CZ"/>
        </w:rPr>
      </w:pPr>
    </w:p>
    <w:sectPr w:rsidR="00D06C82" w:rsidRPr="00D06C8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6DB0E" w14:textId="77777777" w:rsidR="007C51CE" w:rsidRDefault="007C51CE" w:rsidP="007C51CE">
      <w:pPr>
        <w:spacing w:after="0" w:line="240" w:lineRule="auto"/>
      </w:pPr>
      <w:r>
        <w:separator/>
      </w:r>
    </w:p>
  </w:endnote>
  <w:endnote w:type="continuationSeparator" w:id="0">
    <w:p w14:paraId="20C9A0DB" w14:textId="77777777" w:rsidR="007C51CE" w:rsidRDefault="007C51CE" w:rsidP="007C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576CA" w14:textId="77777777" w:rsidR="007C51CE" w:rsidRDefault="007C51CE" w:rsidP="007C51CE">
      <w:pPr>
        <w:spacing w:after="0" w:line="240" w:lineRule="auto"/>
      </w:pPr>
      <w:r>
        <w:separator/>
      </w:r>
    </w:p>
  </w:footnote>
  <w:footnote w:type="continuationSeparator" w:id="0">
    <w:p w14:paraId="3A685926" w14:textId="77777777" w:rsidR="007C51CE" w:rsidRDefault="007C51CE" w:rsidP="007C51CE">
      <w:pPr>
        <w:spacing w:after="0" w:line="240" w:lineRule="auto"/>
      </w:pPr>
      <w:r>
        <w:continuationSeparator/>
      </w:r>
    </w:p>
  </w:footnote>
  <w:footnote w:id="1">
    <w:p w14:paraId="47A5EA14" w14:textId="77777777" w:rsidR="00D06C82" w:rsidRDefault="00D06C82">
      <w:pPr>
        <w:pStyle w:val="Textpoznpodarou"/>
      </w:pPr>
      <w:r>
        <w:rPr>
          <w:rStyle w:val="Znakapoznpodarou"/>
        </w:rPr>
        <w:footnoteRef/>
      </w:r>
      <w:r>
        <w:t xml:space="preserve"> </w:t>
      </w:r>
      <w:hyperlink r:id="rId1" w:history="1">
        <w:r>
          <w:rPr>
            <w:rStyle w:val="Hypertextovodkaz"/>
          </w:rPr>
          <w:t>https://www.uohs.cz/cs/verejna-podpora/podniky-v-obtizich.html</w:t>
        </w:r>
      </w:hyperlink>
    </w:p>
  </w:footnote>
  <w:footnote w:id="2">
    <w:p w14:paraId="4311DC01" w14:textId="77777777" w:rsidR="00AA4B6C" w:rsidRDefault="00AA4B6C" w:rsidP="00AA4B6C">
      <w:pPr>
        <w:pStyle w:val="Textpoznpodarou"/>
        <w:jc w:val="both"/>
      </w:pPr>
      <w:r>
        <w:rPr>
          <w:rStyle w:val="Znakapoznpodarou"/>
        </w:rPr>
        <w:footnoteRef/>
      </w:r>
      <w:r>
        <w:t xml:space="preserve"> </w:t>
      </w:r>
      <w:r w:rsidRPr="00D06C82">
        <w:rPr>
          <w:rFonts w:ascii="Arial CE" w:eastAsia="Times New Roman" w:hAnsi="Arial CE" w:cs="Arial CE"/>
          <w:sz w:val="18"/>
          <w:szCs w:val="18"/>
          <w:bdr w:val="none" w:sz="0" w:space="0" w:color="auto" w:frame="1"/>
          <w:lang w:eastAsia="cs-CZ"/>
        </w:rPr>
        <w:t>Započtení veškerých kumulovaných ztrát z minulých let (bez ohledu na období jejich vzniku) je významnou změnou oproti předchozí definici, která pracovala pouze s hospodářským výsledkem za posledních 12 měsíců. I podle předchozích definic je nicméně jednoznačným kritériem pro podnik v obtížích, pokud je jeho </w:t>
      </w:r>
      <w:r w:rsidRPr="00D06C82">
        <w:rPr>
          <w:rFonts w:ascii="Arial CE" w:eastAsia="Times New Roman" w:hAnsi="Arial CE" w:cs="Arial CE"/>
          <w:b/>
          <w:bCs/>
          <w:sz w:val="18"/>
          <w:szCs w:val="18"/>
          <w:bdr w:val="none" w:sz="0" w:space="0" w:color="auto" w:frame="1"/>
          <w:lang w:eastAsia="cs-CZ"/>
        </w:rPr>
        <w:t>vlastní kapitál záporný</w:t>
      </w:r>
      <w:r w:rsidRPr="00D06C82">
        <w:rPr>
          <w:rFonts w:ascii="Arial CE" w:eastAsia="Times New Roman" w:hAnsi="Arial CE" w:cs="Arial CE"/>
          <w:sz w:val="18"/>
          <w:szCs w:val="18"/>
          <w:bdr w:val="none" w:sz="0" w:space="0" w:color="auto" w:frame="1"/>
          <w:lang w:eastAsia="cs-CZ"/>
        </w:rPr>
        <w:t> – viz </w:t>
      </w:r>
      <w:r w:rsidRPr="00D06C82">
        <w:rPr>
          <w:rFonts w:ascii="Arial CE" w:eastAsia="Times New Roman" w:hAnsi="Arial CE" w:cs="Arial CE"/>
          <w:i/>
          <w:iCs/>
          <w:sz w:val="18"/>
          <w:szCs w:val="18"/>
          <w:bdr w:val="none" w:sz="0" w:space="0" w:color="auto" w:frame="1"/>
          <w:lang w:eastAsia="cs-CZ"/>
        </w:rPr>
        <w:t xml:space="preserve">Rozhodnutí Komise ve věci C 38/2007 </w:t>
      </w:r>
      <w:proofErr w:type="spellStart"/>
      <w:r w:rsidRPr="00D06C82">
        <w:rPr>
          <w:rFonts w:ascii="Arial CE" w:eastAsia="Times New Roman" w:hAnsi="Arial CE" w:cs="Arial CE"/>
          <w:i/>
          <w:iCs/>
          <w:sz w:val="18"/>
          <w:szCs w:val="18"/>
          <w:bdr w:val="none" w:sz="0" w:space="0" w:color="auto" w:frame="1"/>
          <w:lang w:eastAsia="cs-CZ"/>
        </w:rPr>
        <w:t>Arbel</w:t>
      </w:r>
      <w:proofErr w:type="spellEnd"/>
      <w:r w:rsidRPr="00D06C82">
        <w:rPr>
          <w:rFonts w:ascii="Arial CE" w:eastAsia="Times New Roman" w:hAnsi="Arial CE" w:cs="Arial CE"/>
          <w:i/>
          <w:iCs/>
          <w:sz w:val="18"/>
          <w:szCs w:val="18"/>
          <w:bdr w:val="none" w:sz="0" w:space="0" w:color="auto" w:frame="1"/>
          <w:lang w:eastAsia="cs-CZ"/>
        </w:rPr>
        <w:t xml:space="preserve"> </w:t>
      </w:r>
      <w:proofErr w:type="spellStart"/>
      <w:r w:rsidRPr="00D06C82">
        <w:rPr>
          <w:rFonts w:ascii="Arial CE" w:eastAsia="Times New Roman" w:hAnsi="Arial CE" w:cs="Arial CE"/>
          <w:i/>
          <w:iCs/>
          <w:sz w:val="18"/>
          <w:szCs w:val="18"/>
          <w:bdr w:val="none" w:sz="0" w:space="0" w:color="auto" w:frame="1"/>
          <w:lang w:eastAsia="cs-CZ"/>
        </w:rPr>
        <w:t>Fauvet</w:t>
      </w:r>
      <w:proofErr w:type="spellEnd"/>
      <w:r w:rsidRPr="00D06C82">
        <w:rPr>
          <w:rFonts w:ascii="Arial CE" w:eastAsia="Times New Roman" w:hAnsi="Arial CE" w:cs="Arial CE"/>
          <w:i/>
          <w:iCs/>
          <w:sz w:val="18"/>
          <w:szCs w:val="18"/>
          <w:bdr w:val="none" w:sz="0" w:space="0" w:color="auto" w:frame="1"/>
          <w:lang w:eastAsia="cs-CZ"/>
        </w:rPr>
        <w:t xml:space="preserve"> </w:t>
      </w:r>
      <w:proofErr w:type="spellStart"/>
      <w:r w:rsidRPr="00D06C82">
        <w:rPr>
          <w:rFonts w:ascii="Arial CE" w:eastAsia="Times New Roman" w:hAnsi="Arial CE" w:cs="Arial CE"/>
          <w:i/>
          <w:iCs/>
          <w:sz w:val="18"/>
          <w:szCs w:val="18"/>
          <w:bdr w:val="none" w:sz="0" w:space="0" w:color="auto" w:frame="1"/>
          <w:lang w:eastAsia="cs-CZ"/>
        </w:rPr>
        <w:t>Rail</w:t>
      </w:r>
      <w:proofErr w:type="spellEnd"/>
      <w:r w:rsidRPr="00D06C82">
        <w:rPr>
          <w:rFonts w:ascii="Arial CE" w:eastAsia="Times New Roman" w:hAnsi="Arial CE" w:cs="Arial CE"/>
          <w:sz w:val="18"/>
          <w:szCs w:val="18"/>
          <w:bdr w:val="none" w:sz="0" w:space="0" w:color="auto" w:frame="1"/>
          <w:lang w:eastAsia="cs-CZ"/>
        </w:rPr>
        <w:t> – bod 36 a </w:t>
      </w:r>
      <w:r w:rsidRPr="00D06C82">
        <w:rPr>
          <w:rFonts w:ascii="Arial CE" w:eastAsia="Times New Roman" w:hAnsi="Arial CE" w:cs="Arial CE"/>
          <w:i/>
          <w:iCs/>
          <w:sz w:val="18"/>
          <w:szCs w:val="18"/>
          <w:bdr w:val="none" w:sz="0" w:space="0" w:color="auto" w:frame="1"/>
          <w:lang w:eastAsia="cs-CZ"/>
        </w:rPr>
        <w:t xml:space="preserve">Rozhodnutí Tribunálu ve spojených věcech T-102/07 a T-120/07 MB </w:t>
      </w:r>
      <w:proofErr w:type="spellStart"/>
      <w:r w:rsidRPr="00D06C82">
        <w:rPr>
          <w:rFonts w:ascii="Arial CE" w:eastAsia="Times New Roman" w:hAnsi="Arial CE" w:cs="Arial CE"/>
          <w:i/>
          <w:iCs/>
          <w:sz w:val="18"/>
          <w:szCs w:val="18"/>
          <w:bdr w:val="none" w:sz="0" w:space="0" w:color="auto" w:frame="1"/>
          <w:lang w:eastAsia="cs-CZ"/>
        </w:rPr>
        <w:t>Immobilien</w:t>
      </w:r>
      <w:proofErr w:type="spellEnd"/>
      <w:r w:rsidRPr="00D06C82">
        <w:rPr>
          <w:rFonts w:ascii="Arial CE" w:eastAsia="Times New Roman" w:hAnsi="Arial CE" w:cs="Arial CE"/>
          <w:sz w:val="18"/>
          <w:szCs w:val="18"/>
          <w:bdr w:val="none" w:sz="0" w:space="0" w:color="auto" w:frame="1"/>
          <w:lang w:eastAsia="cs-CZ"/>
        </w:rPr>
        <w:t> – bod 160. Tento výklad zůstává stále v platnosti.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single" w:sz="4" w:space="0" w:color="BFBFBF"/>
        <w:left w:val="single" w:sz="4" w:space="0" w:color="BFBFBF"/>
        <w:bottom w:val="single" w:sz="4" w:space="0" w:color="BFBFBF"/>
        <w:right w:val="single" w:sz="4" w:space="0" w:color="BFBFBF"/>
        <w:insideH w:val="none" w:sz="0" w:space="0" w:color="auto"/>
        <w:insideV w:val="none" w:sz="0" w:space="0" w:color="auto"/>
      </w:tblBorders>
      <w:tblLook w:val="04A0" w:firstRow="1" w:lastRow="0" w:firstColumn="1" w:lastColumn="0" w:noHBand="0" w:noVBand="1"/>
    </w:tblPr>
    <w:tblGrid>
      <w:gridCol w:w="3614"/>
      <w:gridCol w:w="5448"/>
    </w:tblGrid>
    <w:tr w:rsidR="007C51CE" w14:paraId="42CDE65F" w14:textId="77777777" w:rsidTr="00DC6C7B">
      <w:tc>
        <w:tcPr>
          <w:tcW w:w="3652" w:type="dxa"/>
          <w:vAlign w:val="center"/>
        </w:tcPr>
        <w:p w14:paraId="3622F7AD" w14:textId="77777777" w:rsidR="007C51CE" w:rsidRDefault="007C51CE" w:rsidP="007C51CE">
          <w:pPr>
            <w:pStyle w:val="Zhlav"/>
          </w:pPr>
          <w:r>
            <w:rPr>
              <w:b/>
              <w:smallCaps/>
              <w:noProof/>
              <w:sz w:val="28"/>
              <w:lang w:eastAsia="cs-CZ"/>
            </w:rPr>
            <w:drawing>
              <wp:inline distT="0" distB="0" distL="0" distR="0" wp14:anchorId="1A1A45B6" wp14:editId="7CF11455">
                <wp:extent cx="1704975" cy="419100"/>
                <wp:effectExtent l="0" t="0" r="9525" b="0"/>
                <wp:docPr id="2" name="Obrázek 2" descr="mmr_c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r_c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19100"/>
                        </a:xfrm>
                        <a:prstGeom prst="rect">
                          <a:avLst/>
                        </a:prstGeom>
                        <a:noFill/>
                        <a:ln>
                          <a:noFill/>
                        </a:ln>
                      </pic:spPr>
                    </pic:pic>
                  </a:graphicData>
                </a:graphic>
              </wp:inline>
            </w:drawing>
          </w:r>
        </w:p>
      </w:tc>
      <w:tc>
        <w:tcPr>
          <w:tcW w:w="5636" w:type="dxa"/>
        </w:tcPr>
        <w:p w14:paraId="76846C67" w14:textId="606BBE33" w:rsidR="007C51CE" w:rsidRPr="007C51CE" w:rsidRDefault="007C51CE" w:rsidP="007C51CE">
          <w:pPr>
            <w:pStyle w:val="Zhlav"/>
            <w:jc w:val="right"/>
            <w:rPr>
              <w:b/>
            </w:rPr>
          </w:pPr>
          <w:r w:rsidRPr="007C51CE">
            <w:rPr>
              <w:b/>
            </w:rPr>
            <w:t>P</w:t>
          </w:r>
          <w:r>
            <w:rPr>
              <w:b/>
            </w:rPr>
            <w:t xml:space="preserve">ovinná příloha žádosti o </w:t>
          </w:r>
          <w:r w:rsidR="00ED43A7">
            <w:rPr>
              <w:b/>
            </w:rPr>
            <w:t>dotaci – příloha</w:t>
          </w:r>
          <w:r w:rsidRPr="007C51CE">
            <w:rPr>
              <w:b/>
            </w:rPr>
            <w:t xml:space="preserve"> D</w:t>
          </w:r>
        </w:p>
        <w:p w14:paraId="513FB356" w14:textId="77777777" w:rsidR="007C51CE" w:rsidRDefault="007C51CE" w:rsidP="007C51CE">
          <w:pPr>
            <w:pStyle w:val="Zhlav"/>
            <w:jc w:val="right"/>
          </w:pPr>
          <w:r>
            <w:t>Národní program podpory cestovního ruchu v regionech</w:t>
          </w:r>
        </w:p>
        <w:p w14:paraId="13CFD744" w14:textId="77777777" w:rsidR="007C51CE" w:rsidRDefault="007C51CE" w:rsidP="007C51CE">
          <w:pPr>
            <w:pStyle w:val="Zhlav"/>
            <w:jc w:val="right"/>
          </w:pPr>
          <w:r>
            <w:t xml:space="preserve">Podprogram </w:t>
          </w:r>
          <w:r w:rsidRPr="00724CD2">
            <w:t>Marketingové aktivity v cestovním ruchu</w:t>
          </w:r>
        </w:p>
        <w:p w14:paraId="27820A32" w14:textId="3923D360" w:rsidR="007C51CE" w:rsidRDefault="007C51CE" w:rsidP="007C51CE">
          <w:pPr>
            <w:pStyle w:val="Zhlav"/>
            <w:jc w:val="right"/>
          </w:pPr>
          <w:r>
            <w:t xml:space="preserve">Výzva: </w:t>
          </w:r>
          <w:r w:rsidR="00F45AF0" w:rsidRPr="00F45AF0">
            <w:t>1/2024/117D72200</w:t>
          </w:r>
        </w:p>
      </w:tc>
    </w:tr>
  </w:tbl>
  <w:p w14:paraId="700BABEA" w14:textId="77777777" w:rsidR="007C51CE" w:rsidRDefault="007C51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A4F08"/>
    <w:multiLevelType w:val="multilevel"/>
    <w:tmpl w:val="4A5E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2F744F"/>
    <w:multiLevelType w:val="hybridMultilevel"/>
    <w:tmpl w:val="74F09B9A"/>
    <w:lvl w:ilvl="0" w:tplc="43322194">
      <w:start w:val="5"/>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96644554">
    <w:abstractNumId w:val="1"/>
  </w:num>
  <w:num w:numId="2" w16cid:durableId="995301099">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F49"/>
    <w:rsid w:val="000A610C"/>
    <w:rsid w:val="00171F49"/>
    <w:rsid w:val="0028766F"/>
    <w:rsid w:val="005C7866"/>
    <w:rsid w:val="00714166"/>
    <w:rsid w:val="007C51CE"/>
    <w:rsid w:val="007F2714"/>
    <w:rsid w:val="007F33C5"/>
    <w:rsid w:val="008D505B"/>
    <w:rsid w:val="009C644B"/>
    <w:rsid w:val="00AA4B6C"/>
    <w:rsid w:val="00AC3F03"/>
    <w:rsid w:val="00B96D88"/>
    <w:rsid w:val="00BA156F"/>
    <w:rsid w:val="00CE3E55"/>
    <w:rsid w:val="00D06C82"/>
    <w:rsid w:val="00DA0F43"/>
    <w:rsid w:val="00ED43A7"/>
    <w:rsid w:val="00F45A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885D90"/>
  <w15:docId w15:val="{B7D3CD51-AE38-47B3-BD59-4B73BF4F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D06C82"/>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71F49"/>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59"/>
    <w:rsid w:val="00AC3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C3F03"/>
    <w:pPr>
      <w:ind w:left="720"/>
      <w:contextualSpacing/>
    </w:pPr>
  </w:style>
  <w:style w:type="character" w:styleId="Siln">
    <w:name w:val="Strong"/>
    <w:basedOn w:val="Standardnpsmoodstavce"/>
    <w:uiPriority w:val="22"/>
    <w:qFormat/>
    <w:rsid w:val="008D505B"/>
    <w:rPr>
      <w:b/>
      <w:bCs/>
    </w:rPr>
  </w:style>
  <w:style w:type="paragraph" w:styleId="Zhlav">
    <w:name w:val="header"/>
    <w:basedOn w:val="Normln"/>
    <w:link w:val="ZhlavChar"/>
    <w:uiPriority w:val="99"/>
    <w:unhideWhenUsed/>
    <w:rsid w:val="007C51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51CE"/>
  </w:style>
  <w:style w:type="paragraph" w:styleId="Zpat">
    <w:name w:val="footer"/>
    <w:basedOn w:val="Normln"/>
    <w:link w:val="ZpatChar"/>
    <w:uiPriority w:val="99"/>
    <w:unhideWhenUsed/>
    <w:rsid w:val="007C51CE"/>
    <w:pPr>
      <w:tabs>
        <w:tab w:val="center" w:pos="4536"/>
        <w:tab w:val="right" w:pos="9072"/>
      </w:tabs>
      <w:spacing w:after="0" w:line="240" w:lineRule="auto"/>
    </w:pPr>
  </w:style>
  <w:style w:type="character" w:customStyle="1" w:styleId="ZpatChar">
    <w:name w:val="Zápatí Char"/>
    <w:basedOn w:val="Standardnpsmoodstavce"/>
    <w:link w:val="Zpat"/>
    <w:uiPriority w:val="99"/>
    <w:rsid w:val="007C51CE"/>
  </w:style>
  <w:style w:type="paragraph" w:styleId="Textpoznpodarou">
    <w:name w:val="footnote text"/>
    <w:basedOn w:val="Normln"/>
    <w:link w:val="TextpoznpodarouChar"/>
    <w:uiPriority w:val="99"/>
    <w:semiHidden/>
    <w:unhideWhenUsed/>
    <w:rsid w:val="00D06C8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06C82"/>
    <w:rPr>
      <w:sz w:val="20"/>
      <w:szCs w:val="20"/>
    </w:rPr>
  </w:style>
  <w:style w:type="character" w:styleId="Znakapoznpodarou">
    <w:name w:val="footnote reference"/>
    <w:basedOn w:val="Standardnpsmoodstavce"/>
    <w:uiPriority w:val="99"/>
    <w:semiHidden/>
    <w:unhideWhenUsed/>
    <w:rsid w:val="00D06C82"/>
    <w:rPr>
      <w:vertAlign w:val="superscript"/>
    </w:rPr>
  </w:style>
  <w:style w:type="character" w:styleId="Hypertextovodkaz">
    <w:name w:val="Hyperlink"/>
    <w:basedOn w:val="Standardnpsmoodstavce"/>
    <w:uiPriority w:val="99"/>
    <w:semiHidden/>
    <w:unhideWhenUsed/>
    <w:rsid w:val="00D06C82"/>
    <w:rPr>
      <w:color w:val="0000FF"/>
      <w:u w:val="single"/>
    </w:rPr>
  </w:style>
  <w:style w:type="character" w:customStyle="1" w:styleId="Nadpis3Char">
    <w:name w:val="Nadpis 3 Char"/>
    <w:basedOn w:val="Standardnpsmoodstavce"/>
    <w:link w:val="Nadpis3"/>
    <w:uiPriority w:val="9"/>
    <w:rsid w:val="00D06C82"/>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D06C8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D06C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247197">
      <w:bodyDiv w:val="1"/>
      <w:marLeft w:val="0"/>
      <w:marRight w:val="0"/>
      <w:marTop w:val="0"/>
      <w:marBottom w:val="0"/>
      <w:divBdr>
        <w:top w:val="none" w:sz="0" w:space="0" w:color="auto"/>
        <w:left w:val="none" w:sz="0" w:space="0" w:color="auto"/>
        <w:bottom w:val="none" w:sz="0" w:space="0" w:color="auto"/>
        <w:right w:val="none" w:sz="0" w:space="0" w:color="auto"/>
      </w:divBdr>
      <w:divsChild>
        <w:div w:id="1118839331">
          <w:marLeft w:val="0"/>
          <w:marRight w:val="0"/>
          <w:marTop w:val="0"/>
          <w:marBottom w:val="0"/>
          <w:divBdr>
            <w:top w:val="none" w:sz="0" w:space="0" w:color="auto"/>
            <w:left w:val="none" w:sz="0" w:space="0" w:color="auto"/>
            <w:bottom w:val="none" w:sz="0" w:space="0" w:color="auto"/>
            <w:right w:val="none" w:sz="0" w:space="0" w:color="auto"/>
          </w:divBdr>
          <w:divsChild>
            <w:div w:id="1784447">
              <w:marLeft w:val="0"/>
              <w:marRight w:val="0"/>
              <w:marTop w:val="0"/>
              <w:marBottom w:val="0"/>
              <w:divBdr>
                <w:top w:val="none" w:sz="0" w:space="0" w:color="auto"/>
                <w:left w:val="none" w:sz="0" w:space="0" w:color="auto"/>
                <w:bottom w:val="none" w:sz="0" w:space="0" w:color="auto"/>
                <w:right w:val="none" w:sz="0" w:space="0" w:color="auto"/>
              </w:divBdr>
              <w:divsChild>
                <w:div w:id="83576265">
                  <w:marLeft w:val="0"/>
                  <w:marRight w:val="0"/>
                  <w:marTop w:val="0"/>
                  <w:marBottom w:val="0"/>
                  <w:divBdr>
                    <w:top w:val="none" w:sz="0" w:space="0" w:color="auto"/>
                    <w:left w:val="none" w:sz="0" w:space="0" w:color="auto"/>
                    <w:bottom w:val="none" w:sz="0" w:space="0" w:color="auto"/>
                    <w:right w:val="none" w:sz="0" w:space="0" w:color="auto"/>
                  </w:divBdr>
                </w:div>
                <w:div w:id="626279369">
                  <w:marLeft w:val="0"/>
                  <w:marRight w:val="0"/>
                  <w:marTop w:val="0"/>
                  <w:marBottom w:val="0"/>
                  <w:divBdr>
                    <w:top w:val="none" w:sz="0" w:space="0" w:color="auto"/>
                    <w:left w:val="none" w:sz="0" w:space="0" w:color="auto"/>
                    <w:bottom w:val="none" w:sz="0" w:space="0" w:color="auto"/>
                    <w:right w:val="none" w:sz="0" w:space="0" w:color="auto"/>
                  </w:divBdr>
                  <w:divsChild>
                    <w:div w:id="14321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9003">
          <w:marLeft w:val="9600"/>
          <w:marRight w:val="0"/>
          <w:marTop w:val="0"/>
          <w:marBottom w:val="0"/>
          <w:divBdr>
            <w:top w:val="none" w:sz="0" w:space="0" w:color="auto"/>
            <w:left w:val="none" w:sz="0" w:space="0" w:color="auto"/>
            <w:bottom w:val="none" w:sz="0" w:space="0" w:color="auto"/>
            <w:right w:val="none" w:sz="0" w:space="0" w:color="auto"/>
          </w:divBdr>
          <w:divsChild>
            <w:div w:id="6893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hs.cz/cs/verejna-podpora/podniky-v-obtizi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competition/state_aid/legislation/practical_guide_gber_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ohs.cz/cs/verejna-podpora/podniky-v-obtizich.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54D86-F9C4-4F20-9FD6-F59A5A589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1980</Words>
  <Characters>11686</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dc:creator>
  <cp:lastModifiedBy>Dickelt František</cp:lastModifiedBy>
  <cp:revision>6</cp:revision>
  <cp:lastPrinted>2018-06-08T15:23:00Z</cp:lastPrinted>
  <dcterms:created xsi:type="dcterms:W3CDTF">2021-07-07T07:29:00Z</dcterms:created>
  <dcterms:modified xsi:type="dcterms:W3CDTF">2023-12-21T12:45:00Z</dcterms:modified>
</cp:coreProperties>
</file>