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9" w:rsidRDefault="004202E0" w:rsidP="004202E0">
      <w:pPr>
        <w:pStyle w:val="Heading1"/>
      </w:pPr>
      <w:r w:rsidRPr="004202E0">
        <w:t>Předběžné posouzení využití finančního nástroje v IROP</w:t>
      </w:r>
    </w:p>
    <w:p w:rsidR="00C96E09" w:rsidRDefault="004202E0" w:rsidP="00C82CEA">
      <w:r>
        <w:t>Analýza extrahuje od finančních produktů v jednotlivých oblastech, tj. způsobů financování nabízených komerčními subjekty na trhu (např. obchodními bankami). Bez této analýzy není možné kvalifikovaně odhadnout tržní mezeru. Proto je pouze obecně konstatováno, že dochází k tržnímu selhání</w:t>
      </w:r>
      <w:r w:rsidR="00AA12AE">
        <w:t>.</w:t>
      </w:r>
    </w:p>
    <w:p w:rsidR="004202E0" w:rsidRDefault="004202E0" w:rsidP="00C82CEA">
      <w:r>
        <w:t>Kromě toho, poptávka je kvantifikována pouze na základě</w:t>
      </w:r>
      <w:r w:rsidRPr="004202E0">
        <w:t xml:space="preserve"> </w:t>
      </w:r>
      <w:r>
        <w:t xml:space="preserve">vyčíslení </w:t>
      </w:r>
      <w:r w:rsidRPr="004202E0">
        <w:t>minulého zájmu o dotační podporu IOP, JESSICA IOP, programu Zelená úsporám a programu PANEL</w:t>
      </w:r>
      <w:r>
        <w:t xml:space="preserve"> (ve výši 1,17 mld. Kč).</w:t>
      </w:r>
    </w:p>
    <w:p w:rsidR="00AA12AE" w:rsidRDefault="00AA12AE" w:rsidP="00AA12AE">
      <w:r>
        <w:t xml:space="preserve">Oproti požadavkům definovaným v metodice Evropské komise (Ex-ante </w:t>
      </w:r>
      <w:proofErr w:type="spellStart"/>
      <w:r>
        <w:t>methodology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programming</w:t>
      </w:r>
      <w:proofErr w:type="spellEnd"/>
      <w:r>
        <w:t xml:space="preserve"> period 2014-2020) nejsou jasně vymezena tržní selhání a neoptimální investiční situace a není na základě prokazatelné metodologie a jasně specifikovaných dat kvantifikována investiční mezera.</w:t>
      </w:r>
    </w:p>
    <w:p w:rsidR="00AA12AE" w:rsidRDefault="00AA12AE" w:rsidP="00AA12AE">
      <w:r>
        <w:t>Zcela chybí kalkulace a zapojení potenciálu soukromých zdrojů.</w:t>
      </w:r>
    </w:p>
    <w:p w:rsidR="00AA12AE" w:rsidRDefault="00AA12AE" w:rsidP="00C82CEA">
      <w:r>
        <w:t>Pákový efekt je chybně definován jako „</w:t>
      </w:r>
      <w:r w:rsidRPr="00AA12AE">
        <w:rPr>
          <w:b/>
        </w:rPr>
        <w:t>příspěvek Unie</w:t>
      </w:r>
      <w:r w:rsidRPr="00AA12AE">
        <w:t xml:space="preserve"> na finanční nástroj, který má za cíl aktivovat v souladu s předem vymezenými ukazateli celkovou investici převyšující příspěvek Unie</w:t>
      </w:r>
      <w:r>
        <w:t>“. Jeho model je dle zpracovatele „</w:t>
      </w:r>
      <w:r w:rsidRPr="00AA12AE">
        <w:t>vystaven na řadě předpokladů, které bude možné měnit s dalším zpřesňováním návrhu nástrojů, návrhu implementační struktury, dle závěrů jednání s finančním sektorem a vyjasnění jeho možností a zájmů se do nových struktur IROP zapojit</w:t>
      </w:r>
      <w:r>
        <w:t>“. Uvedené předpoklady by měly být v předběžném hodnocení již rozpracovány a upřesněny tak, aby bylo relevantní podle metodiky EK.</w:t>
      </w:r>
    </w:p>
    <w:p w:rsidR="00AA12AE" w:rsidRDefault="00AA12AE" w:rsidP="00C82CEA">
      <w:r>
        <w:t>Z analýzy zahraničních zkušeností vůbec nevyplývá, zda je vhodné (tak jako v uvedených příkladech) aplikovat formu kombinace FN s grantovým financování a za jakých předpokladů. Investiční strategie toto uvádí pouze jako možnost!</w:t>
      </w:r>
    </w:p>
    <w:p w:rsidR="00AA12AE" w:rsidRDefault="00AA12AE" w:rsidP="00AA12AE">
      <w:r>
        <w:t xml:space="preserve">Investiční strategie obsahuje pouze obecný popis </w:t>
      </w:r>
      <w:proofErr w:type="spellStart"/>
      <w:r>
        <w:t>tailor</w:t>
      </w:r>
      <w:proofErr w:type="spellEnd"/>
      <w:r>
        <w:t>-made finančních nástrojů, který zcela pomíjí mechanismus financování a zapojení soukromých zdrojů, který je podrobně popsán např. v prováděcím nařízení EK. U jednotlivých typů FN není zřejmá kvantitativní přidaná hodnota, specifikovaná v metodice EK pro ex ante posouzení ani kvalitativní dimenze.</w:t>
      </w:r>
    </w:p>
    <w:p w:rsidR="001459BA" w:rsidRPr="006A7491" w:rsidRDefault="001459BA" w:rsidP="00824F58">
      <w:pPr>
        <w:pStyle w:val="ListParagraph"/>
        <w:numPr>
          <w:ilvl w:val="0"/>
          <w:numId w:val="2"/>
        </w:numPr>
        <w:spacing w:after="100" w:afterAutospacing="1" w:line="360" w:lineRule="auto"/>
        <w:ind w:left="714" w:hanging="357"/>
        <w:rPr>
          <w:rFonts w:eastAsiaTheme="majorEastAsia" w:cstheme="majorBidi"/>
          <w:b/>
          <w:bCs/>
          <w:color w:val="365F91" w:themeColor="accent1" w:themeShade="BF"/>
          <w:sz w:val="20"/>
          <w:szCs w:val="20"/>
        </w:rPr>
      </w:pPr>
      <w:r w:rsidRPr="006A7491">
        <w:rPr>
          <w:sz w:val="20"/>
          <w:szCs w:val="20"/>
        </w:rPr>
        <w:t xml:space="preserve">V manažerském shrnutí uvádí zpracovatel, že relevantní pro IROP zůstává pouze specifický cíl </w:t>
      </w:r>
      <w:r w:rsidR="006A7491">
        <w:rPr>
          <w:sz w:val="20"/>
          <w:szCs w:val="20"/>
        </w:rPr>
        <w:t>2.5</w:t>
      </w:r>
      <w:r w:rsidRPr="006A7491">
        <w:rPr>
          <w:sz w:val="20"/>
          <w:szCs w:val="20"/>
        </w:rPr>
        <w:t>. Zde se v textu dále uvádí, že „existuje významný potenciál absorpční kapacity ve výši desítek až stovek miliard korun“. Domníváme se jednak, že takovýto rozptyl je velmi zavádějící a současně poukazujeme na metodiku výpočtu, která v zásadě akcentuje pouze investiční potřeby; nikoli vlastní poptávku osob dle případných parametrů IFN.</w:t>
      </w:r>
    </w:p>
    <w:p w:rsidR="001459BA" w:rsidRPr="006A7491" w:rsidRDefault="001459BA" w:rsidP="00824F58">
      <w:pPr>
        <w:pStyle w:val="ListParagraph"/>
        <w:numPr>
          <w:ilvl w:val="0"/>
          <w:numId w:val="3"/>
        </w:numPr>
        <w:spacing w:after="100" w:afterAutospacing="1" w:line="360" w:lineRule="auto"/>
        <w:ind w:left="714" w:hanging="357"/>
        <w:jc w:val="both"/>
        <w:rPr>
          <w:bCs/>
          <w:sz w:val="20"/>
          <w:szCs w:val="20"/>
        </w:rPr>
      </w:pPr>
      <w:r w:rsidRPr="006A7491">
        <w:rPr>
          <w:sz w:val="20"/>
          <w:szCs w:val="20"/>
        </w:rPr>
        <w:t xml:space="preserve">doporučujeme ověřit výpočty pákového efektu uváděného jednak v manažerském shrnutí, ale i dále v textu. Zde se uvádí pákový efekt v hodně 1,83 a přitom se počítá s kombinací </w:t>
      </w:r>
      <w:r w:rsidRPr="006A7491">
        <w:rPr>
          <w:bCs/>
          <w:sz w:val="20"/>
          <w:szCs w:val="20"/>
        </w:rPr>
        <w:t>alokace IROP a prostředky soukromých spolufinancujících subjektů (bank na principu 50:50.</w:t>
      </w:r>
    </w:p>
    <w:p w:rsidR="00782173" w:rsidRPr="006A7491" w:rsidRDefault="001459BA" w:rsidP="00824F58">
      <w:pPr>
        <w:pStyle w:val="ListParagraph"/>
        <w:numPr>
          <w:ilvl w:val="0"/>
          <w:numId w:val="2"/>
        </w:numPr>
        <w:spacing w:after="100" w:afterAutospacing="1" w:line="360" w:lineRule="auto"/>
        <w:ind w:left="714" w:hanging="357"/>
        <w:rPr>
          <w:rFonts w:eastAsiaTheme="majorEastAsia" w:cstheme="majorBidi"/>
          <w:b/>
          <w:bCs/>
          <w:color w:val="365F91" w:themeColor="accent1" w:themeShade="BF"/>
          <w:sz w:val="20"/>
          <w:szCs w:val="20"/>
        </w:rPr>
      </w:pPr>
      <w:r w:rsidRPr="006A7491">
        <w:rPr>
          <w:sz w:val="20"/>
          <w:szCs w:val="20"/>
        </w:rPr>
        <w:t xml:space="preserve"> v rámci kapitoly „metodický postup“ postrádáme (případně jinde v textu) bližší specifikaci </w:t>
      </w:r>
      <w:proofErr w:type="spellStart"/>
      <w:r w:rsidRPr="006A7491">
        <w:rPr>
          <w:sz w:val="20"/>
          <w:szCs w:val="20"/>
        </w:rPr>
        <w:t>fokusních</w:t>
      </w:r>
      <w:proofErr w:type="spellEnd"/>
      <w:r w:rsidRPr="006A7491">
        <w:rPr>
          <w:sz w:val="20"/>
          <w:szCs w:val="20"/>
        </w:rPr>
        <w:t xml:space="preserve"> skupin a výsledků strukturovaných pohovorů. Předně pak s odkazem na výsledné hodnoty uváděné v rámci analýzy. Velmi často se uvádí pouze odkaz </w:t>
      </w:r>
      <w:r w:rsidR="00EC5E4B">
        <w:rPr>
          <w:sz w:val="20"/>
          <w:szCs w:val="20"/>
        </w:rPr>
        <w:t xml:space="preserve">na expertní posouzení, rozhovory, apod. </w:t>
      </w:r>
    </w:p>
    <w:p w:rsidR="001459BA" w:rsidRPr="006A7491" w:rsidRDefault="001459BA" w:rsidP="00824F58">
      <w:pPr>
        <w:pStyle w:val="ListParagraph"/>
        <w:numPr>
          <w:ilvl w:val="0"/>
          <w:numId w:val="2"/>
        </w:numPr>
        <w:spacing w:after="100" w:afterAutospacing="1" w:line="360" w:lineRule="auto"/>
        <w:ind w:left="714" w:hanging="357"/>
        <w:rPr>
          <w:sz w:val="20"/>
          <w:szCs w:val="20"/>
        </w:rPr>
      </w:pPr>
      <w:r w:rsidRPr="006A7491">
        <w:rPr>
          <w:sz w:val="20"/>
          <w:szCs w:val="20"/>
        </w:rPr>
        <w:t xml:space="preserve">u SC 2.1 a popisu části „charakteru strany nabídky“ bychom uvítali </w:t>
      </w:r>
      <w:r w:rsidR="00B42136" w:rsidRPr="006A7491">
        <w:rPr>
          <w:sz w:val="20"/>
          <w:szCs w:val="20"/>
        </w:rPr>
        <w:t xml:space="preserve">jednak tabulkové provedení a také dodržení kontinuity struktury dokumentu </w:t>
      </w:r>
      <w:r w:rsidRPr="006A7491">
        <w:rPr>
          <w:sz w:val="20"/>
          <w:szCs w:val="20"/>
        </w:rPr>
        <w:t xml:space="preserve">i </w:t>
      </w:r>
      <w:r w:rsidR="00B42136" w:rsidRPr="006A7491">
        <w:rPr>
          <w:sz w:val="20"/>
          <w:szCs w:val="20"/>
        </w:rPr>
        <w:t>v další části analýzy tj. pro druhý specifický cíl</w:t>
      </w:r>
      <w:r w:rsidRPr="006A7491">
        <w:rPr>
          <w:sz w:val="20"/>
          <w:szCs w:val="20"/>
        </w:rPr>
        <w:t xml:space="preserve">. </w:t>
      </w:r>
      <w:r w:rsidR="00B42136" w:rsidRPr="006A7491">
        <w:rPr>
          <w:sz w:val="20"/>
          <w:szCs w:val="20"/>
        </w:rPr>
        <w:t xml:space="preserve">V tomto případě by došlo k přehlednějšímu pochopení, že strana nabídky vychází z období 2007 – 2013, kde se uvádí 8 realizovaných projektů v IOP a 1 žádost podaná v rámci JESSICA a velmi obecný popis Programu Podpora výstavby podporovaných bytů a žádné zahraniční zdroje financování. Tuto skutečnost je nutné z textu dovozovat. </w:t>
      </w:r>
    </w:p>
    <w:p w:rsidR="006A7491" w:rsidRPr="006A7491" w:rsidRDefault="00B42136" w:rsidP="00824F58">
      <w:pPr>
        <w:pStyle w:val="CommentText"/>
        <w:numPr>
          <w:ilvl w:val="0"/>
          <w:numId w:val="2"/>
        </w:numPr>
        <w:spacing w:after="100" w:afterAutospacing="1" w:line="360" w:lineRule="auto"/>
        <w:ind w:left="714" w:hanging="357"/>
        <w:rPr>
          <w:rFonts w:asciiTheme="minorHAnsi" w:hAnsiTheme="minorHAnsi"/>
          <w:i/>
        </w:rPr>
      </w:pPr>
      <w:r w:rsidRPr="006A7491">
        <w:rPr>
          <w:rFonts w:asciiTheme="minorHAnsi" w:hAnsiTheme="minorHAnsi"/>
        </w:rPr>
        <w:t xml:space="preserve">Zpracovatel v analýze strany poptávky uvádí nejprve investiční potřebu, kterou je nutné vybudovat a až následně podotýká, že tuto skutečnost není možné brát jako relevantní výsledek poptávky. S tím </w:t>
      </w:r>
      <w:r w:rsidR="0096003D">
        <w:rPr>
          <w:rFonts w:asciiTheme="minorHAnsi" w:hAnsiTheme="minorHAnsi"/>
        </w:rPr>
        <w:t>lze souhlasit</w:t>
      </w:r>
      <w:r w:rsidRPr="006A7491">
        <w:rPr>
          <w:rFonts w:asciiTheme="minorHAnsi" w:hAnsiTheme="minorHAnsi"/>
        </w:rPr>
        <w:t xml:space="preserve">, nicméně z textu se nedozvíme, jaká je skutečná poptávka. Jako důvody </w:t>
      </w:r>
      <w:r w:rsidR="006A7491" w:rsidRPr="006A7491">
        <w:rPr>
          <w:rFonts w:asciiTheme="minorHAnsi" w:hAnsiTheme="minorHAnsi"/>
        </w:rPr>
        <w:t>„</w:t>
      </w:r>
      <w:proofErr w:type="spellStart"/>
      <w:r w:rsidR="006A7491" w:rsidRPr="006A7491">
        <w:rPr>
          <w:rFonts w:asciiTheme="minorHAnsi" w:hAnsiTheme="minorHAnsi"/>
        </w:rPr>
        <w:t>nevýpočtu</w:t>
      </w:r>
      <w:proofErr w:type="spellEnd"/>
      <w:r w:rsidR="006A7491" w:rsidRPr="006A7491">
        <w:rPr>
          <w:rFonts w:asciiTheme="minorHAnsi" w:hAnsiTheme="minorHAnsi"/>
        </w:rPr>
        <w:t xml:space="preserve">“ </w:t>
      </w:r>
      <w:r w:rsidRPr="006A7491">
        <w:rPr>
          <w:rFonts w:asciiTheme="minorHAnsi" w:hAnsiTheme="minorHAnsi"/>
        </w:rPr>
        <w:t xml:space="preserve">jsou uváděny </w:t>
      </w:r>
      <w:r w:rsidRPr="006A7491">
        <w:rPr>
          <w:rFonts w:asciiTheme="minorHAnsi" w:hAnsiTheme="minorHAnsi"/>
          <w:i/>
        </w:rPr>
        <w:t xml:space="preserve">důsledky tržních selhání, dále pak důvody, že výpočty agentury i odboru bydlení využívají jiné </w:t>
      </w:r>
      <w:r w:rsidR="006A7491" w:rsidRPr="006A7491">
        <w:rPr>
          <w:rFonts w:asciiTheme="minorHAnsi" w:hAnsiTheme="minorHAnsi"/>
          <w:i/>
        </w:rPr>
        <w:t xml:space="preserve">předpoklady, než zacílení IROP atd. </w:t>
      </w:r>
      <w:r w:rsidR="006A7491" w:rsidRPr="006A7491">
        <w:rPr>
          <w:rFonts w:asciiTheme="minorHAnsi" w:hAnsiTheme="minorHAnsi"/>
        </w:rPr>
        <w:t xml:space="preserve">Závěrem kapitoly je text, který poukazuje na tyto skutečnosti a označuje je za tak závažné, že není možné pokračovat v analýze a počkat až do té doby, než budou tyto otázky vyjasněny. - To je velmi nestandardní a proto doporučujeme SC úplně vyřadit a postavit analýzu pouze na SC </w:t>
      </w:r>
      <w:r w:rsidR="006A7491">
        <w:rPr>
          <w:rFonts w:asciiTheme="minorHAnsi" w:hAnsiTheme="minorHAnsi"/>
        </w:rPr>
        <w:t xml:space="preserve">2.5 </w:t>
      </w:r>
      <w:r w:rsidR="006A7491" w:rsidRPr="006A7491">
        <w:rPr>
          <w:rFonts w:asciiTheme="minorHAnsi" w:hAnsiTheme="minorHAnsi"/>
        </w:rPr>
        <w:t xml:space="preserve">pro energetickou účinnost.  </w:t>
      </w:r>
    </w:p>
    <w:p w:rsidR="00B42136" w:rsidRPr="006A7491" w:rsidRDefault="006A7491" w:rsidP="006A7491">
      <w:pPr>
        <w:pStyle w:val="ListParagraph"/>
        <w:numPr>
          <w:ilvl w:val="0"/>
          <w:numId w:val="2"/>
        </w:numPr>
      </w:pPr>
      <w:r w:rsidRPr="006A7491">
        <w:t xml:space="preserve">U SC 2.5 v rámci subkapitoly „charakter strany nabídky“ doporučujeme uvést, o která dostupná data a pohovory se jedná – působí velmi subjektivně. </w:t>
      </w:r>
      <w:r>
        <w:t>Rovněž velmi subjektivní a pro účely ex-ante hodnocení nedostatečné je tvrzení „n</w:t>
      </w:r>
      <w:r w:rsidRPr="006A7491">
        <w:t>eexistují přesná data, nicméně nadpoloviční většina všech projektů realizace stavebních a technologických projektů snižování energetické náročnosti na budovách sektoru rezidenčního bydlení je realizována pouze za předpokladu, že je využito některé z forem veřejné podpory</w:t>
      </w:r>
      <w:r>
        <w:t xml:space="preserve">“. Ambicí ex-ante hodnocení je právě získat potřebná data. </w:t>
      </w:r>
    </w:p>
    <w:p w:rsidR="00B42136" w:rsidRPr="0096003D" w:rsidRDefault="006A7491" w:rsidP="001459BA">
      <w:pPr>
        <w:pStyle w:val="ListParagraph"/>
        <w:numPr>
          <w:ilvl w:val="0"/>
          <w:numId w:val="2"/>
        </w:numPr>
      </w:pPr>
      <w:r w:rsidRPr="0096003D">
        <w:t xml:space="preserve">U charakteru nabídky </w:t>
      </w:r>
      <w:r w:rsidR="00520D73" w:rsidRPr="0096003D">
        <w:t xml:space="preserve">by nemělo být uváděny možnosti renovace </w:t>
      </w:r>
      <w:r w:rsidR="00520D73" w:rsidRPr="0096003D">
        <w:rPr>
          <w:b/>
        </w:rPr>
        <w:t xml:space="preserve">mimo </w:t>
      </w:r>
      <w:r w:rsidR="00520D73" w:rsidRPr="0096003D">
        <w:t>sektor bydlení, což může působit zavádějícím dojmem (viz str. 28).</w:t>
      </w:r>
    </w:p>
    <w:p w:rsidR="00520D73" w:rsidRPr="00914553" w:rsidRDefault="00520D73" w:rsidP="005B0607">
      <w:pPr>
        <w:pStyle w:val="ListParagraph"/>
        <w:numPr>
          <w:ilvl w:val="0"/>
          <w:numId w:val="2"/>
        </w:numPr>
      </w:pPr>
      <w:r w:rsidRPr="005B0607">
        <w:t xml:space="preserve">V rámci části </w:t>
      </w:r>
      <w:r w:rsidRPr="005B0607">
        <w:rPr>
          <w:i/>
        </w:rPr>
        <w:t>„veřejné domácí zdroje financování“</w:t>
      </w:r>
      <w:r w:rsidRPr="005B0607">
        <w:t xml:space="preserve"> je</w:t>
      </w:r>
      <w:r w:rsidR="00EE726D" w:rsidRPr="005B0607">
        <w:t xml:space="preserve"> velmi obtížné si z</w:t>
      </w:r>
      <w:r w:rsidR="005B0607" w:rsidRPr="005B0607">
        <w:t xml:space="preserve"> uvedeného</w:t>
      </w:r>
      <w:r w:rsidR="00EE726D" w:rsidRPr="005B0607">
        <w:t xml:space="preserve"> popisu dovodit </w:t>
      </w:r>
      <w:r w:rsidRPr="005B0607">
        <w:t>celkovou hodnotu nabídky. Dále pak program EFEKT je obecně popsán (a jinak</w:t>
      </w:r>
      <w:r w:rsidRPr="00914553">
        <w:t xml:space="preserve"> než ostatní veřejné domácí zdroje financování), že jej není možné považo</w:t>
      </w:r>
      <w:r w:rsidR="00DB5E96">
        <w:t>vat za součást analýzy nabídky.</w:t>
      </w:r>
    </w:p>
    <w:p w:rsidR="00914553" w:rsidRDefault="00914553" w:rsidP="00914553">
      <w:pPr>
        <w:pStyle w:val="ListParagraph"/>
        <w:numPr>
          <w:ilvl w:val="0"/>
          <w:numId w:val="2"/>
        </w:numPr>
        <w:rPr>
          <w:i/>
        </w:rPr>
      </w:pPr>
      <w:r w:rsidRPr="00914553">
        <w:t xml:space="preserve">U soukromých domácích zdrojů financování tvrzení, že </w:t>
      </w:r>
      <w:r w:rsidRPr="00914553">
        <w:rPr>
          <w:i/>
        </w:rPr>
        <w:t xml:space="preserve">„přes snahu získat data o objemu financování sledovaných projektů nebylo možné tyto získat, oslovení zástupci největších bankovních domů pouze potvrdili, že sledovaným projektům nabízejí velmi výhodné úvěrové podmínky, a to především s ohledem na spolehlivost a bonitu žadatelů, dispozici budovy k ručení“ </w:t>
      </w:r>
      <w:r w:rsidR="00052762">
        <w:t>nelze považovat za relevantní vstup do analýzy strany nabídky</w:t>
      </w:r>
      <w:r>
        <w:rPr>
          <w:i/>
        </w:rPr>
        <w:t xml:space="preserve">. </w:t>
      </w:r>
    </w:p>
    <w:p w:rsidR="005B7EB1" w:rsidRPr="00DB5E96" w:rsidRDefault="005B7EB1" w:rsidP="005979EA">
      <w:pPr>
        <w:pStyle w:val="ListParagraph"/>
        <w:numPr>
          <w:ilvl w:val="0"/>
          <w:numId w:val="2"/>
        </w:numPr>
        <w:rPr>
          <w:i/>
        </w:rPr>
      </w:pPr>
      <w:r>
        <w:t>Tvrzení „</w:t>
      </w:r>
      <w:r w:rsidR="005979EA">
        <w:t>d</w:t>
      </w:r>
      <w:r w:rsidR="005979EA" w:rsidRPr="005979EA">
        <w:t xml:space="preserve">le údajů od Asociace poskytovatelů energetických služeb bylo za posledních </w:t>
      </w:r>
      <w:r w:rsidR="005979EA" w:rsidRPr="005979EA">
        <w:rPr>
          <w:b/>
        </w:rPr>
        <w:t>dvacet</w:t>
      </w:r>
      <w:r w:rsidR="005979EA" w:rsidRPr="005979EA">
        <w:t xml:space="preserve"> let podpořeno cca 200 projektů, se souhrnnou inve</w:t>
      </w:r>
      <w:r w:rsidR="005979EA">
        <w:t xml:space="preserve">stiční náročností cca 2 mld. Kč“ je prakticky neměřitelné </w:t>
      </w:r>
      <w:r w:rsidR="00F12077">
        <w:t xml:space="preserve">(tj. 20 let versus programové období) </w:t>
      </w:r>
      <w:r w:rsidR="005979EA">
        <w:t xml:space="preserve">bez bližší specifikace, která chybí. </w:t>
      </w:r>
    </w:p>
    <w:p w:rsidR="001459BA" w:rsidRPr="00F51D1D" w:rsidRDefault="00DB5E96" w:rsidP="00621AB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>
        <w:t>Tvrzení</w:t>
      </w:r>
      <w:r w:rsidR="002F1DEE">
        <w:t xml:space="preserve"> </w:t>
      </w:r>
      <w:r w:rsidR="002F1DEE" w:rsidRPr="00621AB9">
        <w:rPr>
          <w:i/>
        </w:rPr>
        <w:t xml:space="preserve">„Dle čtvrtletní monitorovací zprávy za III. čtvrtletí 2014 o stavu čerpání prostředků ze strukturálních fondů v období 2007 – 2013 je zřejmé, že ve sledované oblasti intervence IOP 5.2 nebyla podpora přiznána 93 </w:t>
      </w:r>
      <w:proofErr w:type="gramStart"/>
      <w:r w:rsidR="002F1DEE" w:rsidRPr="00621AB9">
        <w:rPr>
          <w:i/>
        </w:rPr>
        <w:t xml:space="preserve">projektům“ </w:t>
      </w:r>
      <w:r w:rsidR="002F1DEE">
        <w:t xml:space="preserve"> </w:t>
      </w:r>
      <w:r>
        <w:t>není</w:t>
      </w:r>
      <w:proofErr w:type="gramEnd"/>
      <w:r>
        <w:t xml:space="preserve"> pro účely analýzy strany poptávky relevantní</w:t>
      </w:r>
      <w:r w:rsidR="002F1DEE">
        <w:t xml:space="preserve">. </w:t>
      </w:r>
      <w:r w:rsidR="00621AB9">
        <w:t xml:space="preserve">Následně se pak uvádí, že </w:t>
      </w:r>
      <w:r w:rsidR="00621AB9" w:rsidRPr="00621AB9">
        <w:rPr>
          <w:i/>
        </w:rPr>
        <w:t>„dle názoru oslovených odborníků, zástupců zadavatele i dle zhodnocení dodavatele řada potenciálně vhodných projektů pravděpodobně ani nepodala žádost s ohledem na skutečnost, že vysoká konkurence projektů působila demotivačně, a to především ve spojitosti s relativně vysokými náklady na projektovou přípravu, kterou musí subjekt bez záruky dotace/zvýhodněného úvěru vynaložit“</w:t>
      </w:r>
      <w:r w:rsidR="00621AB9">
        <w:rPr>
          <w:i/>
        </w:rPr>
        <w:t xml:space="preserve"> – Tato skutečnost již dále není v návrhové části konfrontována s nastavením IFN, resp. </w:t>
      </w:r>
      <w:r w:rsidR="00621AB9">
        <w:t xml:space="preserve"> zmínit, zdali demotivační faktory (vysoká konkurence, vysoké náklady na projektovou přípravu, atd.) nebudou stejné.</w:t>
      </w:r>
    </w:p>
    <w:p w:rsidR="00F51D1D" w:rsidRPr="00F51D1D" w:rsidRDefault="00F51D1D" w:rsidP="00621AB9">
      <w:pPr>
        <w:pStyle w:val="ListParagraph"/>
        <w:numPr>
          <w:ilvl w:val="0"/>
          <w:numId w:val="2"/>
        </w:numPr>
        <w:rPr>
          <w:rFonts w:asciiTheme="majorHAnsi" w:eastAsiaTheme="majorEastAsia" w:hAnsiTheme="majorHAnsi" w:cstheme="majorBidi"/>
          <w:b/>
          <w:bCs/>
          <w:i/>
          <w:color w:val="365F91" w:themeColor="accent1" w:themeShade="BF"/>
          <w:sz w:val="28"/>
          <w:szCs w:val="28"/>
        </w:rPr>
      </w:pPr>
      <w:r>
        <w:t xml:space="preserve">Analýza poptávky Zelená úsporám je nedostatečná, odkazuje se pouze na expertní odhad, ale nejsou zde </w:t>
      </w:r>
      <w:r w:rsidR="00DB5E96">
        <w:t>„</w:t>
      </w:r>
      <w:r>
        <w:t>tvrdá</w:t>
      </w:r>
      <w:r w:rsidR="00DB5E96">
        <w:t>“</w:t>
      </w:r>
      <w:r>
        <w:t xml:space="preserve"> fakta o projektech. Za velmi diskutabilní lze považovat složený výpočet pro vyčíslení neuspokojené poptávky v hodnotě 2,35 mld. Kč a následný odkaz na expertní odhad (bez bližší specifikace). </w:t>
      </w:r>
    </w:p>
    <w:p w:rsidR="006123CC" w:rsidRPr="00561C61" w:rsidRDefault="006123CC" w:rsidP="006123CC">
      <w:pPr>
        <w:pStyle w:val="ListParagraph"/>
        <w:numPr>
          <w:ilvl w:val="0"/>
          <w:numId w:val="2"/>
        </w:numPr>
        <w:rPr>
          <w:b/>
        </w:rPr>
      </w:pPr>
      <w:r>
        <w:t>Velmi závažný rozpor je v přístupu u v</w:t>
      </w:r>
      <w:r w:rsidR="00F51D1D">
        <w:t>yčíslení poptávky v tomto SC. Především toto tvrzení „</w:t>
      </w:r>
      <w:r w:rsidR="00F51D1D" w:rsidRPr="00F51D1D">
        <w:t xml:space="preserve">Na potenciální velikost poptávky je možné pohlížet několika různými úhly pohledu, dle analýzy minulého zájmu o dotační podporu IOP, JESSICA IOP, programu Zelená úsporám a programu PANEL lze vyčíslit potenciální poptávku v řádu cca 1,17 mld. Kč. </w:t>
      </w:r>
      <w:r w:rsidR="00F51D1D" w:rsidRPr="006123CC">
        <w:rPr>
          <w:b/>
        </w:rPr>
        <w:t>Alternativně lze vymezit potenciální poptávku jako celkovou investiční potřebu sektoru bydlení, těch žadatelů a projektů, které mohou být potenciálními žadateli v novém programu IROP.</w:t>
      </w:r>
      <w:r w:rsidRPr="006123CC">
        <w:rPr>
          <w:b/>
        </w:rPr>
        <w:t xml:space="preserve">“ - </w:t>
      </w:r>
      <w:r w:rsidRPr="006123CC">
        <w:t xml:space="preserve">Tento přístup </w:t>
      </w:r>
      <w:r>
        <w:t xml:space="preserve">byl však v rámci sociálního bydlení zavrhnut s odůvodněním, že </w:t>
      </w:r>
      <w:r w:rsidRPr="006123CC">
        <w:t>nelze zaměňovat pojmy investiční potřeba a poptávka po veřejné podpoře IROP, je zřejmé, že disponibilní poptávka je řádově menší, než sama investiční potřeba</w:t>
      </w:r>
      <w:r>
        <w:t xml:space="preserve">. Následně je opět odkazováno na expertní odhad, který vyčísluje hodnotu investic na 3 – 7 mld. Kč/rok, přičemž v manažerském shrnutí se uvádí </w:t>
      </w:r>
      <w:proofErr w:type="gramStart"/>
      <w:r>
        <w:t>poptávka  v hodnotě</w:t>
      </w:r>
      <w:proofErr w:type="gramEnd"/>
      <w:r>
        <w:t xml:space="preserve"> desítek až stovek miliard Kč. To spíše svědčí o přístupu na bázi investičních potřeb. </w:t>
      </w:r>
    </w:p>
    <w:p w:rsidR="00561C61" w:rsidRPr="00561C61" w:rsidRDefault="00561C61" w:rsidP="00561C61">
      <w:pPr>
        <w:pStyle w:val="ListParagraph"/>
        <w:numPr>
          <w:ilvl w:val="0"/>
          <w:numId w:val="2"/>
        </w:numPr>
      </w:pPr>
      <w:r w:rsidRPr="00561C61">
        <w:t xml:space="preserve">Zkušenosti s finančními nástroji v zahraničí v oblasti sociálního bydlení jsou velmi obecné a nestejnorodé v porovnání se zkušenostmi </w:t>
      </w:r>
      <w:proofErr w:type="gramStart"/>
      <w:r w:rsidRPr="00561C61">
        <w:t>se  snížením</w:t>
      </w:r>
      <w:proofErr w:type="gramEnd"/>
      <w:r w:rsidRPr="00561C61">
        <w:t xml:space="preserve"> energetické náročnosti v sektoru bydlení</w:t>
      </w:r>
    </w:p>
    <w:p w:rsidR="00F01A1C" w:rsidRDefault="000D3CCE" w:rsidP="006123CC">
      <w:pPr>
        <w:pStyle w:val="ListParagraph"/>
        <w:numPr>
          <w:ilvl w:val="0"/>
          <w:numId w:val="2"/>
        </w:numPr>
      </w:pPr>
      <w:r w:rsidRPr="000D3CCE">
        <w:t xml:space="preserve">Implementační model – jsou uváděny parametry podpory jako úvěry s délkou splatnosti do </w:t>
      </w:r>
      <w:r w:rsidRPr="000D3CCE">
        <w:rPr>
          <w:b/>
        </w:rPr>
        <w:t>max. výše 20 let</w:t>
      </w:r>
      <w:r w:rsidRPr="000D3CCE">
        <w:t xml:space="preserve">. </w:t>
      </w:r>
      <w:r w:rsidR="00F01A1C">
        <w:t>–</w:t>
      </w:r>
      <w:r w:rsidRPr="000D3CCE">
        <w:t xml:space="preserve"> </w:t>
      </w:r>
      <w:r w:rsidR="00F01A1C">
        <w:t xml:space="preserve">zvážit tento návrh s ohledem na období </w:t>
      </w:r>
      <w:proofErr w:type="gramStart"/>
      <w:r w:rsidR="00F01A1C">
        <w:t>OP,  i když</w:t>
      </w:r>
      <w:proofErr w:type="gramEnd"/>
      <w:r w:rsidR="00F01A1C">
        <w:t xml:space="preserve"> je možný přechod FN.</w:t>
      </w:r>
    </w:p>
    <w:p w:rsidR="00561C61" w:rsidRPr="001F1C6D" w:rsidRDefault="00DB5E96" w:rsidP="006123CC">
      <w:pPr>
        <w:pStyle w:val="ListParagraph"/>
        <w:numPr>
          <w:ilvl w:val="0"/>
          <w:numId w:val="2"/>
        </w:numPr>
      </w:pPr>
      <w:r>
        <w:t xml:space="preserve">Doporučujeme </w:t>
      </w:r>
      <w:r w:rsidR="00F01A1C">
        <w:t xml:space="preserve">blíže specifikovat rizika a úzká místa k dořešení navrženého nástroje. Předně doplnit (viz analýza) a pak vysvětlit, co znamená </w:t>
      </w:r>
      <w:r w:rsidR="00F01A1C" w:rsidRPr="00F01A1C">
        <w:rPr>
          <w:i/>
        </w:rPr>
        <w:t>„vyjasnit potenciální využití dluhopisového financování a zvýšení multiplikačního efektu zdrojů IROP“</w:t>
      </w:r>
      <w:r>
        <w:rPr>
          <w:i/>
        </w:rPr>
        <w:t>.</w:t>
      </w:r>
    </w:p>
    <w:p w:rsidR="001F1C6D" w:rsidRDefault="00DB5E96" w:rsidP="006123CC">
      <w:pPr>
        <w:pStyle w:val="ListParagraph"/>
        <w:numPr>
          <w:ilvl w:val="0"/>
          <w:numId w:val="2"/>
        </w:numPr>
      </w:pPr>
      <w:r>
        <w:t>V</w:t>
      </w:r>
      <w:r w:rsidR="001F1C6D">
        <w:t xml:space="preserve">arianta 1 by měla sdružovat v rámci fondu fondů </w:t>
      </w:r>
      <w:proofErr w:type="spellStart"/>
      <w:r w:rsidR="001F1C6D">
        <w:t>podfond</w:t>
      </w:r>
      <w:proofErr w:type="spellEnd"/>
      <w:r w:rsidR="001F1C6D">
        <w:t>, který by měl sdružovat prostředky ze 4 OP. –</w:t>
      </w:r>
      <w:r>
        <w:t xml:space="preserve"> Uvedenou variantu považujeme bez bližšího za</w:t>
      </w:r>
      <w:r w:rsidR="001F1C6D">
        <w:t xml:space="preserve"> velmi náročný systém na uřízení. </w:t>
      </w:r>
    </w:p>
    <w:p w:rsidR="001F1C6D" w:rsidRDefault="001F1C6D" w:rsidP="001F1C6D">
      <w:pPr>
        <w:pStyle w:val="ListParagraph"/>
        <w:numPr>
          <w:ilvl w:val="0"/>
          <w:numId w:val="2"/>
        </w:numPr>
      </w:pPr>
      <w:r w:rsidRPr="001F1C6D">
        <w:t>Faktory relevantní pro posouzení slučitelnosti s vnitřním trhem</w:t>
      </w:r>
      <w:r>
        <w:t xml:space="preserve"> nejsou prakticky vůbec zohledněny. Pouze jsou uvedeny jako jmenný seznam. </w:t>
      </w:r>
    </w:p>
    <w:p w:rsidR="001F1C6D" w:rsidRPr="000D3CCE" w:rsidRDefault="001F1C6D" w:rsidP="001F1C6D">
      <w:pPr>
        <w:pStyle w:val="ListParagraph"/>
        <w:numPr>
          <w:ilvl w:val="0"/>
          <w:numId w:val="2"/>
        </w:numPr>
      </w:pPr>
      <w:r>
        <w:t>Při rozhodnutí o implementační struktuře a vytvoření s</w:t>
      </w:r>
      <w:r w:rsidRPr="001F1C6D">
        <w:t>právce fondu</w:t>
      </w:r>
      <w:r>
        <w:t xml:space="preserve"> (dle textu jmenováním/rozhodnutím vlády) je nutné dodržet, aby</w:t>
      </w:r>
      <w:r w:rsidRPr="001F1C6D">
        <w:t xml:space="preserve"> byl vybrán prostřednictvím otevřeného, transparentního, nediskriminačního a objektivního výběrového řízení</w:t>
      </w:r>
      <w:r w:rsidR="00641868">
        <w:t>.</w:t>
      </w:r>
    </w:p>
    <w:p w:rsidR="006123CC" w:rsidRDefault="006123CC" w:rsidP="006123CC">
      <w:pPr>
        <w:rPr>
          <w:b/>
        </w:rPr>
      </w:pPr>
    </w:p>
    <w:sectPr w:rsidR="00612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A4729"/>
    <w:multiLevelType w:val="hybridMultilevel"/>
    <w:tmpl w:val="C596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01D29"/>
    <w:multiLevelType w:val="hybridMultilevel"/>
    <w:tmpl w:val="C728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1655A"/>
    <w:multiLevelType w:val="hybridMultilevel"/>
    <w:tmpl w:val="0D4A0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EA"/>
    <w:rsid w:val="00052762"/>
    <w:rsid w:val="000D3CCE"/>
    <w:rsid w:val="00132313"/>
    <w:rsid w:val="001459BA"/>
    <w:rsid w:val="001810AB"/>
    <w:rsid w:val="001F1C6D"/>
    <w:rsid w:val="00264373"/>
    <w:rsid w:val="002D1B36"/>
    <w:rsid w:val="002F1DEE"/>
    <w:rsid w:val="00362882"/>
    <w:rsid w:val="004202E0"/>
    <w:rsid w:val="00520D73"/>
    <w:rsid w:val="00561C61"/>
    <w:rsid w:val="005979EA"/>
    <w:rsid w:val="005B0607"/>
    <w:rsid w:val="005B7EB1"/>
    <w:rsid w:val="005E3A16"/>
    <w:rsid w:val="005E4B16"/>
    <w:rsid w:val="006123CC"/>
    <w:rsid w:val="00621AB9"/>
    <w:rsid w:val="00641868"/>
    <w:rsid w:val="006510E9"/>
    <w:rsid w:val="006A5978"/>
    <w:rsid w:val="006A7491"/>
    <w:rsid w:val="00782173"/>
    <w:rsid w:val="00824F58"/>
    <w:rsid w:val="0089673F"/>
    <w:rsid w:val="00896BF5"/>
    <w:rsid w:val="00914553"/>
    <w:rsid w:val="0096003D"/>
    <w:rsid w:val="00AA12AE"/>
    <w:rsid w:val="00B369B4"/>
    <w:rsid w:val="00B42136"/>
    <w:rsid w:val="00C15483"/>
    <w:rsid w:val="00C82CEA"/>
    <w:rsid w:val="00C96E09"/>
    <w:rsid w:val="00DB5E96"/>
    <w:rsid w:val="00E31F4B"/>
    <w:rsid w:val="00EC5E4B"/>
    <w:rsid w:val="00EE726D"/>
    <w:rsid w:val="00F01A1C"/>
    <w:rsid w:val="00F12077"/>
    <w:rsid w:val="00F307B5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Odstavec cíl se seznamem,Odstavec se seznamem1,Nad,Odstavec se seznamem5"/>
    <w:basedOn w:val="Normal"/>
    <w:link w:val="ListParagraphChar"/>
    <w:uiPriority w:val="34"/>
    <w:qFormat/>
    <w:rsid w:val="001459BA"/>
    <w:pPr>
      <w:ind w:left="720"/>
      <w:contextualSpacing/>
    </w:pPr>
  </w:style>
  <w:style w:type="character" w:customStyle="1" w:styleId="ListParagraphChar">
    <w:name w:val="List Paragraph Char"/>
    <w:aliases w:val="Odstavec cíl se seznamem Char,Odstavec se seznamem1 Char,Nad Char,Odstavec se seznamem5 Char"/>
    <w:link w:val="ListParagraph"/>
    <w:uiPriority w:val="34"/>
    <w:locked/>
    <w:rsid w:val="001459BA"/>
  </w:style>
  <w:style w:type="paragraph" w:styleId="CommentText">
    <w:name w:val="annotation text"/>
    <w:basedOn w:val="Normal"/>
    <w:link w:val="CommentTextChar"/>
    <w:rsid w:val="006A749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491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C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C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Odstavec cíl se seznamem,Odstavec se seznamem1,Nad,Odstavec se seznamem5"/>
    <w:basedOn w:val="Normal"/>
    <w:link w:val="ListParagraphChar"/>
    <w:uiPriority w:val="34"/>
    <w:qFormat/>
    <w:rsid w:val="001459BA"/>
    <w:pPr>
      <w:ind w:left="720"/>
      <w:contextualSpacing/>
    </w:pPr>
  </w:style>
  <w:style w:type="character" w:customStyle="1" w:styleId="ListParagraphChar">
    <w:name w:val="List Paragraph Char"/>
    <w:aliases w:val="Odstavec cíl se seznamem Char,Odstavec se seznamem1 Char,Nad Char,Odstavec se seznamem5 Char"/>
    <w:link w:val="ListParagraph"/>
    <w:uiPriority w:val="34"/>
    <w:locked/>
    <w:rsid w:val="001459BA"/>
  </w:style>
  <w:style w:type="paragraph" w:styleId="CommentText">
    <w:name w:val="annotation text"/>
    <w:basedOn w:val="Normal"/>
    <w:link w:val="CommentTextChar"/>
    <w:rsid w:val="006A7491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7491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1357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Pavlas</dc:creator>
  <cp:lastModifiedBy>Miroslav Pavlas</cp:lastModifiedBy>
  <cp:revision>4</cp:revision>
  <dcterms:created xsi:type="dcterms:W3CDTF">2015-04-14T06:58:00Z</dcterms:created>
  <dcterms:modified xsi:type="dcterms:W3CDTF">2015-04-14T07:04:00Z</dcterms:modified>
</cp:coreProperties>
</file>