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FCE4" w14:textId="77777777" w:rsidR="000C0754" w:rsidRPr="000C0754" w:rsidRDefault="000C0754" w:rsidP="000C0754">
      <w:pPr>
        <w:pStyle w:val="Nadpis1"/>
        <w:rPr>
          <w:rFonts w:eastAsia="Times New Roman"/>
        </w:rPr>
      </w:pPr>
      <w:bookmarkStart w:id="0" w:name="_GoBack"/>
      <w:bookmarkEnd w:id="0"/>
      <w:r w:rsidRPr="000C0754">
        <w:rPr>
          <w:rFonts w:eastAsia="Times New Roman"/>
        </w:rPr>
        <w:t>Místní akční plán</w:t>
      </w:r>
    </w:p>
    <w:p w14:paraId="4892B2D6" w14:textId="77777777"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 xml:space="preserve">Místní akční plán je souhrnný dokument zahrnující několik částí. Obsahuje analytickou část (zejména metaanalýza stávajících dokumentů, analýza vyvolaná plánováním specifických témat, zjišťování a analýza problému za široké účasti cílových skupin), strategický rámec MAP a akční plán MAP (roční plán aktivit). </w:t>
      </w:r>
    </w:p>
    <w:p w14:paraId="3EE386E5" w14:textId="77777777"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>Strategická část (Strategický rámec MAP) je důsledně tvořena s maximálním zapojením cílových skupin vzdělávání v regionu. Strategický rámec MAP musí vycházet z priorit stanovených na základě SWOT-3 analýzy pro každou z oblastí, analýz problémů, které vyplynou nejen z analytické části, ale zejména z pečlivé a široké analýzy problémů vzdělávání v regionu za účasti všech klíčových zájmových skupin (rodiče, učitelé, lídři, ředitelé, vzdělávací subjekty, zřizovatelé), které jsou identifikovány a je maximálně vyvinuta snaha o jejich zapojení. Strategický rámec MAP je dokument, který musí být vytvořen s nejvyšší možnou mírou zapojování cílových skupin a aktérů s ohledem na data a výstupy dotazníků a vlastních šetření definovat vizi, priority a cíle rozvoje vzdělávání dle všeobecné struktury metody strategického plánování.</w:t>
      </w:r>
    </w:p>
    <w:p w14:paraId="39BAE026" w14:textId="77777777"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>Pro analýzy je možné využít doplněných dat ze stávajících strategií, které se rámcově (SCLLD) nebo specificky (Obce sobě) zaměřovaly na oblast školství. Nikoli však návrhy a problémy a SWOT analýzy, protože tyto byly v těchto dokumentech formovány účelově nebo užší skupinou (zřizovatelé v SMO) anebo obecněji (SCLLD). Dále je nutné analýzy doplnit zdroji dat aktuálních, analýzou regionálních dokumentů, výstupy dotazníků MŠMT a dotazníků vlastních zaměřených postupně na specifické oblasti. SWOT-3 analýza pro každou z oblastí, která by měla zahrnout problémy plynoucí z výše uvedených analýz i z vícenásobného vyjadřování aktérů z cílových skupin kvantifikovatelnými metodami posouzení návrhů cílů, priorit i aktivit. Důraz na zapojení nejrůznějších vstupů k identifikaci vnímání problémů regionálního školství je klíčový a neopominutelný.</w:t>
      </w:r>
    </w:p>
    <w:p w14:paraId="5135ED4B" w14:textId="77777777" w:rsidR="000C0754" w:rsidRPr="000C0754" w:rsidRDefault="000C0754" w:rsidP="000C0754">
      <w:pPr>
        <w:jc w:val="both"/>
        <w:rPr>
          <w:rFonts w:cs="Arial"/>
        </w:rPr>
      </w:pPr>
      <w:r w:rsidRPr="000C0754">
        <w:rPr>
          <w:rFonts w:cs="Arial"/>
        </w:rPr>
        <w:t>Níže je navržena návodná struktura Místního akčního plánu (nikoli povinná).</w:t>
      </w:r>
    </w:p>
    <w:p w14:paraId="1CDD27C5" w14:textId="77777777" w:rsidR="000C0754" w:rsidRPr="0024674D" w:rsidRDefault="000C0754" w:rsidP="000C0754">
      <w:pPr>
        <w:rPr>
          <w:rFonts w:cs="Arial"/>
          <w:i/>
        </w:rPr>
      </w:pPr>
    </w:p>
    <w:p w14:paraId="6B4B7C04" w14:textId="77777777" w:rsidR="000C0754" w:rsidRPr="000C0754" w:rsidRDefault="000C0754" w:rsidP="000C0754">
      <w:pPr>
        <w:pStyle w:val="Nadpis2"/>
        <w:rPr>
          <w:rFonts w:eastAsia="Times New Roman"/>
        </w:rPr>
      </w:pPr>
      <w:r w:rsidRPr="000C0754">
        <w:rPr>
          <w:rFonts w:eastAsia="Times New Roman"/>
        </w:rPr>
        <w:t>NÁVODNÁ STRUKTURA MÍSTNÍHO AKČNÍHO PLÁNU VZDĚLÁVÁNÍ</w:t>
      </w:r>
    </w:p>
    <w:p w14:paraId="701B95AC" w14:textId="77777777"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1. Úvod</w:t>
      </w:r>
    </w:p>
    <w:p w14:paraId="6D49C870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rPr>
          <w:rFonts w:cs="Arial"/>
        </w:rPr>
      </w:pPr>
      <w:r w:rsidRPr="0024674D">
        <w:rPr>
          <w:rFonts w:cs="Arial"/>
        </w:rPr>
        <w:t>Vymezení území MAP</w:t>
      </w:r>
    </w:p>
    <w:p w14:paraId="429B72B0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rPr>
          <w:rFonts w:cs="Arial"/>
        </w:rPr>
      </w:pPr>
      <w:r w:rsidRPr="0024674D">
        <w:rPr>
          <w:rFonts w:cs="Arial"/>
        </w:rPr>
        <w:t>Popis struktury MAP</w:t>
      </w:r>
    </w:p>
    <w:p w14:paraId="608BA978" w14:textId="77777777" w:rsidR="000C0754" w:rsidRPr="0024674D" w:rsidRDefault="000C0754" w:rsidP="000C0754">
      <w:pPr>
        <w:spacing w:before="60" w:after="120" w:line="240" w:lineRule="auto"/>
        <w:rPr>
          <w:rFonts w:cs="Arial"/>
        </w:rPr>
      </w:pPr>
    </w:p>
    <w:p w14:paraId="68F15122" w14:textId="77777777"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2. Manažerský souhrn</w:t>
      </w:r>
    </w:p>
    <w:p w14:paraId="0CC27ED0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rPr>
          <w:rFonts w:cs="Arial"/>
        </w:rPr>
      </w:pPr>
      <w:r w:rsidRPr="0024674D">
        <w:rPr>
          <w:rFonts w:cs="Arial"/>
        </w:rPr>
        <w:t>Shrnutí klíčových poznatků, zjištění vyplývajících z provedené analýzy</w:t>
      </w:r>
    </w:p>
    <w:p w14:paraId="1C87B5E6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rPr>
          <w:rFonts w:cs="Arial"/>
        </w:rPr>
      </w:pPr>
      <w:r w:rsidRPr="0024674D">
        <w:rPr>
          <w:rFonts w:cs="Arial"/>
        </w:rPr>
        <w:t>Přehled problémových oblastí a klíčových problémů v území</w:t>
      </w:r>
    </w:p>
    <w:p w14:paraId="1D5A0535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rPr>
          <w:rFonts w:cs="Arial"/>
        </w:rPr>
      </w:pPr>
      <w:r w:rsidRPr="0024674D">
        <w:rPr>
          <w:rFonts w:cs="Arial"/>
        </w:rPr>
        <w:t>Přehled prioritních oblastí rozvoje v řešeném území</w:t>
      </w:r>
    </w:p>
    <w:p w14:paraId="21869520" w14:textId="77777777" w:rsidR="000C0754" w:rsidRPr="0024674D" w:rsidRDefault="000C0754" w:rsidP="000C0754">
      <w:pPr>
        <w:spacing w:before="60" w:after="120" w:line="240" w:lineRule="auto"/>
        <w:rPr>
          <w:rFonts w:cs="Arial"/>
        </w:rPr>
      </w:pPr>
    </w:p>
    <w:p w14:paraId="4313C26B" w14:textId="77777777"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3. Analytická část</w:t>
      </w:r>
    </w:p>
    <w:p w14:paraId="68165BE2" w14:textId="77777777" w:rsidR="000C0754" w:rsidRPr="0024674D" w:rsidRDefault="000C0754" w:rsidP="000C0754">
      <w:pPr>
        <w:spacing w:before="60" w:after="120" w:line="240" w:lineRule="auto"/>
        <w:ind w:firstLine="284"/>
        <w:jc w:val="both"/>
        <w:outlineLvl w:val="1"/>
        <w:rPr>
          <w:rFonts w:cs="Arial"/>
          <w:b/>
        </w:rPr>
      </w:pPr>
      <w:r w:rsidRPr="0024674D">
        <w:rPr>
          <w:rFonts w:cs="Arial"/>
          <w:b/>
        </w:rPr>
        <w:t>3.1 Obecná část analýzy</w:t>
      </w:r>
    </w:p>
    <w:p w14:paraId="3CCFE536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3.1.1 Základní informace o řešeném území</w:t>
      </w:r>
    </w:p>
    <w:p w14:paraId="0E9928FA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lastRenderedPageBreak/>
        <w:t xml:space="preserve">3.1.2 Analýza existujících strategických záměrů a dokumentů v území majících souvislost </w:t>
      </w:r>
      <w:r w:rsidRPr="0024674D">
        <w:rPr>
          <w:rFonts w:cs="Arial"/>
        </w:rPr>
        <w:br/>
        <w:t>s oblastí vzdělávání</w:t>
      </w:r>
    </w:p>
    <w:p w14:paraId="24C5C8ED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Strategie na menších územích, než je správní obvod ORP (školské koncepce, schválené strategie dobrovolných svazků obcí, Strategie CLLD, strategie ITI/IPRÚ pokud je relevantní, strategie sociálního začleňování zasahující sociálně vyloučené lokality v území atd.)</w:t>
      </w:r>
    </w:p>
    <w:p w14:paraId="52B9F839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Strategie na vyšších územních úrovních (krajské dokumenty, například Dlouhodobý záměr vzdělávání a rozvoje vzdělávací soustavy, Regionální akční plán Strategie regionálního rozvoje 2014 – 2020 atd.)</w:t>
      </w:r>
    </w:p>
    <w:p w14:paraId="43749187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Strategie na národní úrovni (Dlouhodobý záměr vzdělávání a rozvoje vzdělávací soustavy České republiky 2015 – 2020, Strategie vzdělávání 2020, Akční plán inkluzivního vzdělávání na období 2016 – 2018)</w:t>
      </w:r>
    </w:p>
    <w:p w14:paraId="69FFB451" w14:textId="77777777" w:rsidR="000C0754" w:rsidRPr="0024674D" w:rsidRDefault="000C0754" w:rsidP="000C0754">
      <w:pPr>
        <w:spacing w:before="60" w:after="60" w:line="240" w:lineRule="auto"/>
        <w:ind w:left="714"/>
        <w:jc w:val="both"/>
        <w:rPr>
          <w:rFonts w:cs="Arial"/>
        </w:rPr>
      </w:pPr>
      <w:r w:rsidRPr="0024674D">
        <w:rPr>
          <w:rFonts w:cs="Arial"/>
        </w:rPr>
        <w:t xml:space="preserve">3.1.3 Vyhodnocení dotazníkového šetření </w:t>
      </w:r>
    </w:p>
    <w:p w14:paraId="11B5842F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contextualSpacing/>
        <w:jc w:val="both"/>
        <w:rPr>
          <w:rFonts w:cs="Arial"/>
        </w:rPr>
      </w:pPr>
      <w:r w:rsidRPr="0024674D">
        <w:rPr>
          <w:rFonts w:cs="Arial"/>
        </w:rPr>
        <w:t>dotazníkové šetření realizované MŠMT</w:t>
      </w:r>
    </w:p>
    <w:p w14:paraId="7B9CC31B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případné další dotazníkové šetření uskutečněné realizačním týmem</w:t>
      </w:r>
    </w:p>
    <w:p w14:paraId="47F5E050" w14:textId="77777777" w:rsidR="000C0754" w:rsidRPr="0024674D" w:rsidRDefault="000C0754" w:rsidP="000C0754">
      <w:pPr>
        <w:spacing w:before="60" w:after="60" w:line="240" w:lineRule="auto"/>
        <w:ind w:left="714"/>
        <w:jc w:val="both"/>
        <w:rPr>
          <w:rFonts w:cs="Arial"/>
        </w:rPr>
      </w:pPr>
      <w:r w:rsidRPr="0024674D">
        <w:rPr>
          <w:rFonts w:cs="Arial"/>
        </w:rPr>
        <w:t>3.1.4 Charakteristika školství v řešeném území</w:t>
      </w:r>
    </w:p>
    <w:p w14:paraId="3EAB407E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přiblížení problematiky školství v řešeném území – rozmístění škol, s čím se území obecně potýká v návaznosti na školství, apod.</w:t>
      </w:r>
    </w:p>
    <w:p w14:paraId="4AD5FD09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Předškolní vzdělávání</w:t>
      </w:r>
    </w:p>
    <w:p w14:paraId="0E592541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MŠ v řešeném území</w:t>
      </w:r>
    </w:p>
    <w:p w14:paraId="0CF6E012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14:paraId="75FEC184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počty MŠ dle různých kritérií – podle zřizovatele, podle charakteru (běžné, speciální)</w:t>
      </w:r>
    </w:p>
    <w:p w14:paraId="4952E0E2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počet tříd (s rozdělením na běžné a speciální)</w:t>
      </w:r>
    </w:p>
    <w:p w14:paraId="0B8A28BA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dětí v MŠ</w:t>
      </w:r>
    </w:p>
    <w:p w14:paraId="4E492D41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14:paraId="6859ED9A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počtu dětí v běžných a speciálních třídách</w:t>
      </w:r>
    </w:p>
    <w:p w14:paraId="5CFD28BA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obsazenost MŠ (porovnání s celkovou kapacitou MŠ)</w:t>
      </w:r>
    </w:p>
    <w:p w14:paraId="7710441B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předpokládaný očekávaný vývoj počtu dětí v řešeném území</w:t>
      </w:r>
    </w:p>
    <w:p w14:paraId="4611A629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pracovníků v MŠ</w:t>
      </w:r>
    </w:p>
    <w:p w14:paraId="2E205188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celkové zhodnocení</w:t>
      </w:r>
    </w:p>
    <w:p w14:paraId="28E491B2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pracovníků na kategorie: učitelé, ostatní 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1"/>
      </w:r>
      <w:r w:rsidRPr="0024674D">
        <w:rPr>
          <w:rFonts w:cs="Arial"/>
          <w:sz w:val="16"/>
          <w:szCs w:val="16"/>
        </w:rPr>
        <w:t>, nepedagogičtí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2"/>
      </w:r>
      <w:r w:rsidRPr="0024674D">
        <w:rPr>
          <w:rFonts w:cs="Arial"/>
          <w:sz w:val="16"/>
          <w:szCs w:val="16"/>
        </w:rPr>
        <w:t xml:space="preserve"> – možno rozdělit ještě na muže a ženy</w:t>
      </w:r>
    </w:p>
    <w:p w14:paraId="63B6117C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pracovníky dle daných kategorií zhodnotit jak z pohledu absolutního počtu, tak z pohledu přepočteného (přepočet na počet úvazků)</w:t>
      </w:r>
    </w:p>
    <w:p w14:paraId="5AC9A83F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kvalifikovanost pedagogických pracovníků – procento kvalifikovaných a nekvalifikovaných</w:t>
      </w:r>
    </w:p>
    <w:p w14:paraId="05486FCD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Hospodaření MŠ</w:t>
      </w:r>
    </w:p>
    <w:p w14:paraId="46F5C910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příjmů</w:t>
      </w:r>
    </w:p>
    <w:p w14:paraId="5E2F507D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výdajů (s rozdělením na provoz a investice)</w:t>
      </w:r>
    </w:p>
    <w:p w14:paraId="582FB7E8" w14:textId="77777777"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Zhodnocení technického stavu a stavu vybavenosti MŠ, rozbor investičních </w:t>
      </w:r>
      <w:r w:rsidRPr="0024674D">
        <w:rPr>
          <w:rFonts w:cs="Arial"/>
        </w:rPr>
        <w:br/>
        <w:t>a neinvestičních potřeb MŠ včetně jejich součástí</w:t>
      </w:r>
      <w:r w:rsidRPr="0024674D">
        <w:rPr>
          <w:rFonts w:cs="Arial"/>
          <w:vertAlign w:val="superscript"/>
        </w:rPr>
        <w:footnoteReference w:id="3"/>
      </w:r>
    </w:p>
    <w:p w14:paraId="39AF19B8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Přehled zařízení, která jsou součástí ZŠ a jejich vývoj</w:t>
      </w:r>
    </w:p>
    <w:p w14:paraId="0D7A8AE7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školních jídelen</w:t>
      </w:r>
    </w:p>
    <w:p w14:paraId="312F7857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součástí souvisejících s pohybovou aktivitou</w:t>
      </w:r>
    </w:p>
    <w:p w14:paraId="052872D5" w14:textId="77777777" w:rsidR="000C0754" w:rsidRPr="0024674D" w:rsidRDefault="000C0754" w:rsidP="000C0754">
      <w:pPr>
        <w:spacing w:before="60" w:after="120" w:line="240" w:lineRule="auto"/>
        <w:ind w:left="2160"/>
        <w:jc w:val="both"/>
        <w:rPr>
          <w:rFonts w:cs="Arial"/>
        </w:rPr>
      </w:pPr>
    </w:p>
    <w:p w14:paraId="102D11F5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lastRenderedPageBreak/>
        <w:t>Základní vzdělávání</w:t>
      </w:r>
    </w:p>
    <w:p w14:paraId="2C16ADA9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ZŠ v řešeném území</w:t>
      </w:r>
    </w:p>
    <w:p w14:paraId="7D10F512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14:paraId="0E96BB16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počty ZŠ dle různých kritérií – podle zřizovatele, podle charakteru (běžné, speciální), podle úplnosti (úplná, neúplná)</w:t>
      </w:r>
    </w:p>
    <w:p w14:paraId="47940519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počet tříd – s rozdělením na běžné a speciální, počet malotřídních ZŠ s uvedením rozboru počtu tříd</w:t>
      </w:r>
    </w:p>
    <w:p w14:paraId="14945C36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žáků v ZŠ</w:t>
      </w:r>
    </w:p>
    <w:p w14:paraId="1AA24C13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celkový počet</w:t>
      </w:r>
    </w:p>
    <w:p w14:paraId="5F4D412E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počtu žáků v běžných a speciálních třídách</w:t>
      </w:r>
    </w:p>
    <w:p w14:paraId="31CA581B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obsazenost ZŠ (porovnání s celkovou kapacitou ZŠ)</w:t>
      </w:r>
    </w:p>
    <w:p w14:paraId="3AA2C7D8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předpokládaný očekávaný vývoj počtu žáků v řešeném území</w:t>
      </w:r>
    </w:p>
    <w:p w14:paraId="11D9809D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Vývoj počtu pracovníků v ZŠ</w:t>
      </w:r>
    </w:p>
    <w:p w14:paraId="6027C406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celkové zhodnocení</w:t>
      </w:r>
    </w:p>
    <w:p w14:paraId="709814D6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rozdělení pracovníků na kategorie: učitelé, ostatní 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4"/>
      </w:r>
      <w:r w:rsidRPr="0024674D">
        <w:rPr>
          <w:rFonts w:cs="Arial"/>
          <w:sz w:val="16"/>
          <w:szCs w:val="16"/>
        </w:rPr>
        <w:t>, nepedagogičtí pracovníci</w:t>
      </w:r>
      <w:r w:rsidRPr="0024674D">
        <w:rPr>
          <w:rFonts w:cs="Arial"/>
          <w:sz w:val="16"/>
          <w:szCs w:val="16"/>
          <w:vertAlign w:val="superscript"/>
        </w:rPr>
        <w:footnoteReference w:id="5"/>
      </w:r>
      <w:r w:rsidRPr="0024674D">
        <w:rPr>
          <w:rFonts w:cs="Arial"/>
          <w:sz w:val="16"/>
          <w:szCs w:val="16"/>
        </w:rPr>
        <w:t xml:space="preserve"> – možno rozdělit ještě na muže a ženy</w:t>
      </w:r>
    </w:p>
    <w:p w14:paraId="15643CD9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pracovníky dle daných kategorií zhodnotit jak z pohledu absolutního počtu, tak z pohledu přepočteného (přepočet na počet úvazků)</w:t>
      </w:r>
    </w:p>
    <w:p w14:paraId="417F01E9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kvalifikovanost pedagogických pracovníků – procento kvalifikovaných a nekvalifikovaných</w:t>
      </w:r>
    </w:p>
    <w:p w14:paraId="40792083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Docházka do škol a informace týkající se dokončení základního vzdělání</w:t>
      </w:r>
    </w:p>
    <w:p w14:paraId="01E10567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počtu absolventů, kteří úspěšně dokončili ZŠ a získali základní vzdělání</w:t>
      </w:r>
    </w:p>
    <w:p w14:paraId="309902A8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počtu žáků, kteří ukončili školní docházku předčasně – s rozdělením na ukončení v běžných a speciálních třídách, s rozdělením podle ročníku, ve kterém předčasně docházku ukončili</w:t>
      </w:r>
    </w:p>
    <w:p w14:paraId="7907B063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 xml:space="preserve">přechod žáků na nižší stupeň gymnázií – počet žáků, kteří přešli na gymnázium v 5. třídě </w:t>
      </w:r>
      <w:r w:rsidRPr="0024674D">
        <w:rPr>
          <w:rFonts w:cs="Arial"/>
          <w:sz w:val="16"/>
          <w:szCs w:val="16"/>
        </w:rPr>
        <w:br/>
        <w:t>a v 7. třídě</w:t>
      </w:r>
    </w:p>
    <w:p w14:paraId="3706B024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zhodnocení předpokládaných důvodů, které vedly k předčasnému ukončení docházky</w:t>
      </w:r>
    </w:p>
    <w:p w14:paraId="16A01764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Hospodaření ZŠ</w:t>
      </w:r>
    </w:p>
    <w:p w14:paraId="16AE27A7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příjmů</w:t>
      </w:r>
    </w:p>
    <w:p w14:paraId="323400B8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vývoj výdajů (s rozdělením na provoz a investice)</w:t>
      </w:r>
    </w:p>
    <w:p w14:paraId="100C5E86" w14:textId="77777777"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Zhodnocení technického stavu a stavu vybavenosti ZŠ, rozbor investičních </w:t>
      </w:r>
      <w:r w:rsidRPr="0024674D">
        <w:rPr>
          <w:rFonts w:cs="Arial"/>
        </w:rPr>
        <w:br/>
        <w:t>a neinvestičních potřeb ZŠ včetně jejich součástí</w:t>
      </w:r>
      <w:r w:rsidRPr="0024674D">
        <w:rPr>
          <w:rFonts w:cs="Arial"/>
          <w:vertAlign w:val="superscript"/>
        </w:rPr>
        <w:footnoteReference w:id="6"/>
      </w:r>
    </w:p>
    <w:p w14:paraId="4592FFB0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Přehled zařízení, která jsou součástí ZŠ a jejich vývoj</w:t>
      </w:r>
    </w:p>
    <w:p w14:paraId="3367E7F1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školních jídelen</w:t>
      </w:r>
      <w:r w:rsidRPr="0024674D">
        <w:rPr>
          <w:rFonts w:cs="Arial"/>
          <w:sz w:val="16"/>
          <w:szCs w:val="16"/>
          <w:vertAlign w:val="superscript"/>
        </w:rPr>
        <w:footnoteReference w:id="7"/>
      </w:r>
    </w:p>
    <w:p w14:paraId="3439DCB2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školních družin a školních klubů</w:t>
      </w:r>
      <w:r w:rsidRPr="0024674D">
        <w:rPr>
          <w:rFonts w:cs="Arial"/>
          <w:sz w:val="16"/>
          <w:szCs w:val="16"/>
          <w:vertAlign w:val="superscript"/>
        </w:rPr>
        <w:footnoteReference w:id="8"/>
      </w:r>
    </w:p>
    <w:p w14:paraId="2AD471D5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jc w:val="both"/>
        <w:rPr>
          <w:rFonts w:cs="Arial"/>
          <w:sz w:val="16"/>
          <w:szCs w:val="16"/>
        </w:rPr>
      </w:pPr>
      <w:r w:rsidRPr="0024674D">
        <w:rPr>
          <w:rFonts w:cs="Arial"/>
          <w:sz w:val="16"/>
          <w:szCs w:val="16"/>
        </w:rPr>
        <w:t>Dostupnost a rozbor součástí souvisejících s pohybovou aktivitou</w:t>
      </w:r>
      <w:r w:rsidRPr="0024674D">
        <w:rPr>
          <w:rFonts w:cs="Arial"/>
          <w:sz w:val="16"/>
          <w:szCs w:val="16"/>
          <w:vertAlign w:val="superscript"/>
        </w:rPr>
        <w:footnoteReference w:id="9"/>
      </w:r>
    </w:p>
    <w:p w14:paraId="331FB1B3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lastRenderedPageBreak/>
        <w:t>Základní umělecké vzdělávání, jeho dostupnost a rozbor v řešeném území</w:t>
      </w:r>
      <w:r w:rsidRPr="0024674D">
        <w:rPr>
          <w:rFonts w:cs="Arial"/>
          <w:vertAlign w:val="superscript"/>
        </w:rPr>
        <w:footnoteReference w:id="10"/>
      </w:r>
    </w:p>
    <w:p w14:paraId="61F0F824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Neformální a zájmové vzdělávání, jeho dostupnost a rozbor v řešeném území</w:t>
      </w:r>
      <w:r w:rsidRPr="0024674D">
        <w:rPr>
          <w:rFonts w:cs="Arial"/>
          <w:vertAlign w:val="superscript"/>
        </w:rPr>
        <w:footnoteReference w:id="11"/>
      </w:r>
    </w:p>
    <w:p w14:paraId="746C6E4B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Střediska volného času, Domy dětí a mládeže a jejich přehled</w:t>
      </w:r>
    </w:p>
    <w:p w14:paraId="7ED01EB1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Neziskové organizace zabývající se vzděláváním působící v území</w:t>
      </w:r>
    </w:p>
    <w:p w14:paraId="1136586D" w14:textId="77777777" w:rsidR="000C0754" w:rsidRPr="0024674D" w:rsidRDefault="000C0754" w:rsidP="000C0754">
      <w:pPr>
        <w:spacing w:before="60" w:after="6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3.1.5 Zajištění dopravní dostupnosti škol v území</w:t>
      </w:r>
    </w:p>
    <w:p w14:paraId="6CEB0544" w14:textId="77777777" w:rsidR="000C0754" w:rsidRPr="0024674D" w:rsidRDefault="000C0754" w:rsidP="000C0754">
      <w:pPr>
        <w:spacing w:before="60" w:after="6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3.1.6 Sociální situace</w:t>
      </w:r>
    </w:p>
    <w:p w14:paraId="0F360056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Sociálně patologické jevy</w:t>
      </w:r>
    </w:p>
    <w:p w14:paraId="25B795D2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Výskyt sociálně vyloučené lokality</w:t>
      </w:r>
    </w:p>
    <w:p w14:paraId="0EFB6412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Sociální a další služby zaměřené na děti, mládež a rodiče poskytované v regionu (nízkoprahové kluby, odpolední kluby, rodinná centra, mateřská centra, atd.)</w:t>
      </w:r>
    </w:p>
    <w:p w14:paraId="5D3AC4A7" w14:textId="77777777" w:rsidR="000C0754" w:rsidRPr="0024674D" w:rsidRDefault="000C0754" w:rsidP="000C0754">
      <w:pPr>
        <w:spacing w:before="60" w:after="6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3.1.7 Návaznost na dokončené základní vzdělávání (úzká provázanost s KAPEM)</w:t>
      </w:r>
    </w:p>
    <w:p w14:paraId="32972AC3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Vazba na středoškolské vzdělávání – učiliště, gymnázia, obchodní akademie, průmyslové školy, apod.</w:t>
      </w:r>
    </w:p>
    <w:p w14:paraId="6C504A7C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Možnosti uplatnění na trhu práce</w:t>
      </w:r>
    </w:p>
    <w:p w14:paraId="5F467A78" w14:textId="77777777" w:rsidR="000C0754" w:rsidRPr="0024674D" w:rsidRDefault="000C0754" w:rsidP="000C0754">
      <w:pPr>
        <w:spacing w:before="60" w:after="120" w:line="240" w:lineRule="auto"/>
        <w:ind w:firstLine="284"/>
        <w:jc w:val="both"/>
        <w:outlineLvl w:val="1"/>
        <w:rPr>
          <w:rFonts w:cs="Arial"/>
          <w:b/>
        </w:rPr>
      </w:pPr>
      <w:r w:rsidRPr="0024674D">
        <w:rPr>
          <w:rFonts w:cs="Arial"/>
          <w:b/>
        </w:rPr>
        <w:t>3.2 Specifická část analýzy</w:t>
      </w:r>
    </w:p>
    <w:p w14:paraId="2DD53E83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3.2.1 Témata MAP v řešeném území</w:t>
      </w:r>
      <w:r w:rsidRPr="0024674D">
        <w:rPr>
          <w:rFonts w:cs="Arial"/>
          <w:vertAlign w:val="superscript"/>
        </w:rPr>
        <w:footnoteReference w:id="12"/>
      </w:r>
    </w:p>
    <w:p w14:paraId="68CBF729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ab/>
      </w:r>
      <w:r w:rsidRPr="0024674D">
        <w:rPr>
          <w:rFonts w:eastAsia="Calibri" w:cs="Arial"/>
        </w:rPr>
        <w:t xml:space="preserve">3.2.1.X Uplatnění klíčových témat dle metodiky MAP v řešeném území - jak se </w:t>
      </w:r>
      <w:r w:rsidRPr="0024674D">
        <w:rPr>
          <w:rFonts w:eastAsia="Calibri" w:cs="Arial"/>
        </w:rPr>
        <w:br/>
        <w:t>v dokumentu uplatňují a kde</w:t>
      </w:r>
    </w:p>
    <w:p w14:paraId="73D5DC59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3.2.2 Analýza dotčených skupin v oblasti vzdělávání v řešeném území – jejich zapojení, způsob spolupráce a komunikace, apod.</w:t>
      </w:r>
    </w:p>
    <w:p w14:paraId="6E733738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3.2.3 Analýza rizik v oblasti vzdělávání v řešeném území</w:t>
      </w:r>
    </w:p>
    <w:p w14:paraId="551A46F8" w14:textId="77777777" w:rsidR="000C0754" w:rsidRPr="0024674D" w:rsidRDefault="000C0754" w:rsidP="000C0754">
      <w:pPr>
        <w:spacing w:before="60" w:after="120" w:line="240" w:lineRule="auto"/>
        <w:ind w:firstLine="284"/>
        <w:jc w:val="both"/>
        <w:outlineLvl w:val="1"/>
        <w:rPr>
          <w:rFonts w:cs="Arial"/>
          <w:b/>
        </w:rPr>
      </w:pPr>
      <w:r w:rsidRPr="0024674D">
        <w:rPr>
          <w:rFonts w:cs="Arial"/>
          <w:b/>
        </w:rPr>
        <w:t>3.3 Východiska pro strategickou část</w:t>
      </w:r>
    </w:p>
    <w:p w14:paraId="6C217A06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3.3.1 Vymezení problémových oblastí a klíčových problémů</w:t>
      </w:r>
    </w:p>
    <w:p w14:paraId="5B532187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3.3.2 Vymezení prioritních oblastí rozvoje v řešeném území</w:t>
      </w:r>
    </w:p>
    <w:p w14:paraId="1F3A20DF" w14:textId="77777777" w:rsidR="000C0754" w:rsidRPr="0024674D" w:rsidRDefault="000C0754" w:rsidP="000C0754">
      <w:pPr>
        <w:spacing w:before="60" w:after="120" w:line="240" w:lineRule="auto"/>
        <w:ind w:left="720"/>
        <w:jc w:val="both"/>
        <w:rPr>
          <w:rFonts w:cs="Arial"/>
        </w:rPr>
      </w:pPr>
      <w:r w:rsidRPr="0024674D">
        <w:rPr>
          <w:rFonts w:cs="Arial"/>
        </w:rPr>
        <w:t>3.3.3 SWOT-3 analýza prioritních oblastí rozvoje v řešeném území</w:t>
      </w:r>
    </w:p>
    <w:p w14:paraId="140BC2E9" w14:textId="77777777" w:rsidR="000C0754" w:rsidRPr="0024674D" w:rsidRDefault="000C0754" w:rsidP="000C0754">
      <w:pPr>
        <w:spacing w:before="60" w:after="120" w:line="240" w:lineRule="auto"/>
        <w:jc w:val="both"/>
        <w:rPr>
          <w:rFonts w:cs="Arial"/>
        </w:rPr>
      </w:pPr>
    </w:p>
    <w:p w14:paraId="06D71802" w14:textId="77777777"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lastRenderedPageBreak/>
        <w:t>4. Strategická část - Strategický rámec priorit MAP do roku 2023</w:t>
      </w:r>
    </w:p>
    <w:p w14:paraId="04C0C086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Vize</w:t>
      </w:r>
    </w:p>
    <w:p w14:paraId="71A68634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Priorita 1</w:t>
      </w:r>
    </w:p>
    <w:p w14:paraId="1C777B91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 xml:space="preserve"> Cíl 1.1 – definování priorit a indikátorů v rámci cíle</w:t>
      </w:r>
    </w:p>
    <w:p w14:paraId="2ECC3B20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1.2 – definování priorit a indikátorů v rámci cíle</w:t>
      </w:r>
    </w:p>
    <w:p w14:paraId="6C04FF1B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16BBAFC3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Prioritní oblast rozvoje 2</w:t>
      </w:r>
    </w:p>
    <w:p w14:paraId="3952968B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2.1 – definování priorit a indikátorů v rámci cíle</w:t>
      </w:r>
    </w:p>
    <w:p w14:paraId="30663002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2.2 – definování priorit a indikátorů v rámci cíle</w:t>
      </w:r>
    </w:p>
    <w:p w14:paraId="5B4C8A93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226D1F0B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Prioritní oblast rozvoje „n“</w:t>
      </w:r>
    </w:p>
    <w:p w14:paraId="4F4CA337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n.1 – definování priorit a indikátorů v rámci cíle</w:t>
      </w:r>
    </w:p>
    <w:p w14:paraId="4A1E53FD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Strategický cíl n.2 – definování priorit a indikátorů v rámci cíle</w:t>
      </w:r>
    </w:p>
    <w:p w14:paraId="0888F70B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097A0437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Referenční rámec – přehledová tabulka s definovanými cíli – prioritami – indikátory</w:t>
      </w:r>
    </w:p>
    <w:p w14:paraId="290073B2" w14:textId="77777777" w:rsidR="000C0754" w:rsidRPr="0024674D" w:rsidRDefault="000C0754" w:rsidP="000C0754">
      <w:pPr>
        <w:spacing w:before="60" w:after="120" w:line="240" w:lineRule="auto"/>
        <w:jc w:val="both"/>
        <w:rPr>
          <w:rFonts w:cs="Arial"/>
          <w:b/>
          <w:sz w:val="24"/>
          <w:szCs w:val="24"/>
        </w:rPr>
      </w:pPr>
    </w:p>
    <w:p w14:paraId="1163329B" w14:textId="77777777"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5. Akční plán</w:t>
      </w:r>
    </w:p>
    <w:p w14:paraId="25992DF7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Cíl 1.1</w:t>
      </w:r>
    </w:p>
    <w:p w14:paraId="0085256A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1.1.1</w:t>
      </w:r>
    </w:p>
    <w:p w14:paraId="0EF90E54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14:paraId="03A7768D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14:paraId="4A7BA985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vedoucích k naplnění cíle</w:t>
      </w:r>
    </w:p>
    <w:p w14:paraId="05232E8C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14:paraId="31BD56C6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14:paraId="47B6C052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14:paraId="48FCF430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1.1.2</w:t>
      </w:r>
    </w:p>
    <w:p w14:paraId="2B30AC95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14:paraId="05598D20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14:paraId="5787B28E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aktivit vedoucích k naplnění cíle</w:t>
      </w:r>
    </w:p>
    <w:p w14:paraId="0BD9D8B1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14:paraId="3F5AAF61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14:paraId="1506F51B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14:paraId="46F5D09E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5F5125FF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Cíl 1.2</w:t>
      </w:r>
    </w:p>
    <w:p w14:paraId="472B975B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1.2.1</w:t>
      </w:r>
    </w:p>
    <w:p w14:paraId="6E5A513A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14:paraId="19EB0FBD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14:paraId="69C78E43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 vedoucích k naplnění cíle</w:t>
      </w:r>
    </w:p>
    <w:p w14:paraId="27A9A0EB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lastRenderedPageBreak/>
        <w:t>Aktivity jednotlivých škol</w:t>
      </w:r>
    </w:p>
    <w:p w14:paraId="318F2586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14:paraId="5B9F4A76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14:paraId="08F88755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1.2.2</w:t>
      </w:r>
    </w:p>
    <w:p w14:paraId="416C8206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14:paraId="7AC4F838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14:paraId="71736697" w14:textId="587AAC4B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vedoucích k naplnění cíle</w:t>
      </w:r>
    </w:p>
    <w:p w14:paraId="73339E92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14:paraId="1E5740A6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14:paraId="1457F2A7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14:paraId="0D04BC0D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09AEE7DD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Cíl 2.1</w:t>
      </w:r>
    </w:p>
    <w:p w14:paraId="1601B20D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2.1.1</w:t>
      </w:r>
    </w:p>
    <w:p w14:paraId="5A184901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14:paraId="70B5929D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14:paraId="00C6766B" w14:textId="77777777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 vedoucích k naplnění cíle</w:t>
      </w:r>
    </w:p>
    <w:p w14:paraId="58B99134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14:paraId="620469C8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14:paraId="5E5B068E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14:paraId="65175AD0" w14:textId="77777777" w:rsidR="000C0754" w:rsidRPr="0024674D" w:rsidRDefault="000C0754" w:rsidP="000C0754">
      <w:pPr>
        <w:spacing w:before="60" w:after="60" w:line="240" w:lineRule="auto"/>
        <w:jc w:val="both"/>
        <w:rPr>
          <w:rFonts w:cs="Arial"/>
        </w:rPr>
      </w:pPr>
    </w:p>
    <w:p w14:paraId="4C03C69D" w14:textId="77777777" w:rsidR="000C0754" w:rsidRPr="0024674D" w:rsidRDefault="000C0754" w:rsidP="000C0754">
      <w:pPr>
        <w:numPr>
          <w:ilvl w:val="1"/>
          <w:numId w:val="5"/>
        </w:numPr>
        <w:spacing w:before="60" w:after="60" w:line="240" w:lineRule="auto"/>
        <w:ind w:left="1434" w:hanging="357"/>
        <w:jc w:val="both"/>
        <w:rPr>
          <w:rFonts w:cs="Arial"/>
        </w:rPr>
      </w:pPr>
      <w:r w:rsidRPr="0024674D">
        <w:rPr>
          <w:rFonts w:cs="Arial"/>
        </w:rPr>
        <w:t>Opatření 2.1.2</w:t>
      </w:r>
    </w:p>
    <w:p w14:paraId="47E741D6" w14:textId="77777777" w:rsidR="000C0754" w:rsidRPr="0024674D" w:rsidRDefault="000C0754" w:rsidP="000C0754">
      <w:pPr>
        <w:numPr>
          <w:ilvl w:val="2"/>
          <w:numId w:val="5"/>
        </w:numPr>
        <w:spacing w:before="60" w:after="60" w:line="240" w:lineRule="auto"/>
        <w:ind w:left="2154" w:hanging="357"/>
        <w:jc w:val="both"/>
        <w:rPr>
          <w:rFonts w:cs="Arial"/>
        </w:rPr>
      </w:pPr>
      <w:r w:rsidRPr="0024674D">
        <w:rPr>
          <w:rFonts w:cs="Arial"/>
        </w:rPr>
        <w:t>Zdůvodnění výběru na základě provedené analýzy řešeného území</w:t>
      </w:r>
    </w:p>
    <w:p w14:paraId="0DD58F8E" w14:textId="77777777" w:rsidR="000C0754" w:rsidRPr="0024674D" w:rsidRDefault="000C0754" w:rsidP="000C0754">
      <w:pPr>
        <w:numPr>
          <w:ilvl w:val="3"/>
          <w:numId w:val="5"/>
        </w:numPr>
        <w:spacing w:before="60" w:after="120" w:line="240" w:lineRule="auto"/>
        <w:ind w:left="2874" w:hanging="357"/>
        <w:contextualSpacing/>
        <w:jc w:val="both"/>
        <w:rPr>
          <w:rFonts w:cs="Arial"/>
        </w:rPr>
      </w:pPr>
      <w:r w:rsidRPr="0024674D">
        <w:rPr>
          <w:rFonts w:cs="Arial"/>
        </w:rPr>
        <w:t>Popis cíle opatření – čeho chceme v rámci opatření v území dosáhnout</w:t>
      </w:r>
    </w:p>
    <w:p w14:paraId="54F0E1C6" w14:textId="7530AC7C" w:rsidR="000C0754" w:rsidRPr="0024674D" w:rsidRDefault="000C0754" w:rsidP="000C0754">
      <w:pPr>
        <w:numPr>
          <w:ilvl w:val="3"/>
          <w:numId w:val="5"/>
        </w:numPr>
        <w:spacing w:before="60" w:after="60" w:line="240" w:lineRule="auto"/>
        <w:ind w:left="2874" w:hanging="357"/>
        <w:jc w:val="both"/>
        <w:rPr>
          <w:rFonts w:cs="Arial"/>
        </w:rPr>
      </w:pPr>
      <w:r w:rsidRPr="0024674D">
        <w:rPr>
          <w:rFonts w:cs="Arial"/>
        </w:rPr>
        <w:t>Popis plánovaných aktivit (včetně případných projektových záměrů) vedoucích k naplnění cíle</w:t>
      </w:r>
    </w:p>
    <w:p w14:paraId="381242B2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jednotlivých škol</w:t>
      </w:r>
    </w:p>
    <w:p w14:paraId="2F95715E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Aktivity spolupráce</w:t>
      </w:r>
    </w:p>
    <w:p w14:paraId="132B00A9" w14:textId="77777777" w:rsidR="000C0754" w:rsidRPr="0024674D" w:rsidRDefault="000C0754" w:rsidP="000C0754">
      <w:pPr>
        <w:numPr>
          <w:ilvl w:val="4"/>
          <w:numId w:val="5"/>
        </w:numPr>
        <w:spacing w:before="60" w:after="60" w:line="240" w:lineRule="auto"/>
        <w:jc w:val="both"/>
        <w:rPr>
          <w:rFonts w:cs="Arial"/>
        </w:rPr>
      </w:pPr>
      <w:r w:rsidRPr="0024674D">
        <w:rPr>
          <w:rFonts w:cs="Arial"/>
        </w:rPr>
        <w:t>Infrastruktura</w:t>
      </w:r>
    </w:p>
    <w:p w14:paraId="73C5213E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6C993D29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 (podle potřeby další cíle, opatření)</w:t>
      </w:r>
    </w:p>
    <w:p w14:paraId="4DCC2EA0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Popis souladu Strategického rámce MAP s investičními potřebami v oblasti vzdělávání v řešeném území</w:t>
      </w:r>
    </w:p>
    <w:p w14:paraId="2D259D26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Vazba klíčových povinných a povinně volitelných témat/opatření na strategické cíle a opatření MAP</w:t>
      </w:r>
    </w:p>
    <w:p w14:paraId="170A794C" w14:textId="77777777" w:rsidR="000C0754" w:rsidRPr="0024674D" w:rsidRDefault="000C0754" w:rsidP="000C0754">
      <w:pPr>
        <w:spacing w:before="60" w:after="120" w:line="240" w:lineRule="auto"/>
        <w:jc w:val="both"/>
        <w:rPr>
          <w:rFonts w:cs="Arial"/>
        </w:rPr>
      </w:pPr>
    </w:p>
    <w:p w14:paraId="07DC1ED2" w14:textId="77777777" w:rsidR="000C0754" w:rsidRPr="0024674D" w:rsidRDefault="000C0754" w:rsidP="000C0754">
      <w:pPr>
        <w:spacing w:before="60" w:after="120" w:line="240" w:lineRule="auto"/>
        <w:outlineLvl w:val="0"/>
        <w:rPr>
          <w:rFonts w:cs="Arial"/>
          <w:b/>
          <w:sz w:val="24"/>
          <w:szCs w:val="24"/>
        </w:rPr>
      </w:pPr>
      <w:r w:rsidRPr="0024674D">
        <w:rPr>
          <w:rFonts w:cs="Arial"/>
          <w:b/>
          <w:sz w:val="24"/>
          <w:szCs w:val="24"/>
        </w:rPr>
        <w:t>6. Implementační část</w:t>
      </w:r>
    </w:p>
    <w:p w14:paraId="22971956" w14:textId="77777777" w:rsidR="000C0754" w:rsidRPr="0024674D" w:rsidRDefault="000C0754" w:rsidP="000C0754">
      <w:pPr>
        <w:numPr>
          <w:ilvl w:val="0"/>
          <w:numId w:val="5"/>
        </w:numPr>
        <w:spacing w:before="60" w:after="6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Řízení a organizační zajištění MAP</w:t>
      </w:r>
    </w:p>
    <w:p w14:paraId="19B3B0D1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aktivity a činnost realizačního týmu</w:t>
      </w:r>
    </w:p>
    <w:p w14:paraId="1D92FAB9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organizační struktura</w:t>
      </w:r>
    </w:p>
    <w:p w14:paraId="2AA958E9" w14:textId="77777777"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ind w:left="2154" w:hanging="357"/>
        <w:contextualSpacing/>
        <w:jc w:val="both"/>
        <w:rPr>
          <w:rFonts w:cs="Arial"/>
        </w:rPr>
      </w:pPr>
      <w:r w:rsidRPr="0024674D">
        <w:rPr>
          <w:rFonts w:cs="Arial"/>
        </w:rPr>
        <w:lastRenderedPageBreak/>
        <w:t>pracovní orgán – složení – četnost setkávání – odpovědná osoba</w:t>
      </w:r>
    </w:p>
    <w:p w14:paraId="3DC4A3FC" w14:textId="77777777"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ind w:left="2154" w:hanging="357"/>
        <w:contextualSpacing/>
        <w:jc w:val="both"/>
        <w:rPr>
          <w:rFonts w:cs="Arial"/>
        </w:rPr>
      </w:pPr>
      <w:r w:rsidRPr="0024674D">
        <w:rPr>
          <w:rFonts w:cs="Arial"/>
        </w:rPr>
        <w:t>pracovní orgán – složení – četnost setkávání – odpovědná osoba</w:t>
      </w:r>
    </w:p>
    <w:p w14:paraId="3BD3BD02" w14:textId="77777777"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…</w:t>
      </w:r>
    </w:p>
    <w:p w14:paraId="4506D3FD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Aktualizace MAP – aktualizace seznamu zapojených škol, aktualizace akčního plánu, atd.</w:t>
      </w:r>
    </w:p>
    <w:p w14:paraId="31FF57B8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Monitoring a vyhodnocování realizace MAP – jakým způsobem bude provedeno hodnocení, zda dochází k naplňování MAP (v úzké vazbě na pokračující projekt MAP+) </w:t>
      </w:r>
    </w:p>
    <w:p w14:paraId="2BD4FA46" w14:textId="77777777" w:rsidR="000C0754" w:rsidRPr="0024674D" w:rsidRDefault="000C0754" w:rsidP="000C0754">
      <w:pPr>
        <w:numPr>
          <w:ilvl w:val="0"/>
          <w:numId w:val="5"/>
        </w:numPr>
        <w:spacing w:before="60" w:after="120" w:line="240" w:lineRule="auto"/>
        <w:ind w:left="714" w:hanging="357"/>
        <w:jc w:val="both"/>
        <w:rPr>
          <w:rFonts w:cs="Arial"/>
        </w:rPr>
      </w:pPr>
      <w:r w:rsidRPr="0024674D">
        <w:rPr>
          <w:rFonts w:cs="Arial"/>
        </w:rPr>
        <w:t>Popis způsobů a procesů zapojení dotčené veřejnosti do tvorby MAP</w:t>
      </w:r>
    </w:p>
    <w:p w14:paraId="24920D66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popis zapojení subjektů</w:t>
      </w:r>
    </w:p>
    <w:p w14:paraId="1218BDDA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způsoby informování</w:t>
      </w:r>
    </w:p>
    <w:p w14:paraId="5A3805B9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způsoby a termíny přijímání podnětů a připomínek</w:t>
      </w:r>
    </w:p>
    <w:p w14:paraId="32406685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způsoby a termíny pro vypořádání připomínek</w:t>
      </w:r>
    </w:p>
    <w:p w14:paraId="6BA9CDC3" w14:textId="77777777" w:rsidR="000C0754" w:rsidRPr="0024674D" w:rsidRDefault="000C0754" w:rsidP="000C0754">
      <w:pPr>
        <w:numPr>
          <w:ilvl w:val="1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>Seznam relevantních aktérů ve vzdělávání dětí a mládeže do 15 let</w:t>
      </w:r>
    </w:p>
    <w:p w14:paraId="6C479CAF" w14:textId="77777777" w:rsidR="000C0754" w:rsidRPr="0024674D" w:rsidRDefault="000C0754" w:rsidP="000C0754">
      <w:pPr>
        <w:numPr>
          <w:ilvl w:val="2"/>
          <w:numId w:val="5"/>
        </w:numPr>
        <w:spacing w:before="60" w:after="120" w:line="240" w:lineRule="auto"/>
        <w:jc w:val="both"/>
        <w:rPr>
          <w:rFonts w:cs="Arial"/>
        </w:rPr>
      </w:pPr>
      <w:r w:rsidRPr="0024674D">
        <w:rPr>
          <w:rFonts w:cs="Arial"/>
        </w:rPr>
        <w:t xml:space="preserve">NNO, soukromé subjekty, církevní organizace, atd. (vyjma škol) – vyznačení těch aktérů, kteří budou pravidelně informováni a kteří potvrdili zájem </w:t>
      </w:r>
      <w:r w:rsidRPr="0024674D">
        <w:rPr>
          <w:rFonts w:cs="Arial"/>
        </w:rPr>
        <w:br/>
        <w:t>o aktivní spolupráci do partnerství</w:t>
      </w:r>
    </w:p>
    <w:p w14:paraId="1252E6AE" w14:textId="77777777" w:rsidR="000C0754" w:rsidRPr="0024674D" w:rsidRDefault="000C0754" w:rsidP="000C0754">
      <w:pPr>
        <w:spacing w:before="60" w:after="120" w:line="240" w:lineRule="auto"/>
        <w:jc w:val="both"/>
        <w:rPr>
          <w:rFonts w:cs="Arial"/>
        </w:rPr>
      </w:pPr>
    </w:p>
    <w:p w14:paraId="1168537E" w14:textId="77777777" w:rsidR="000C0754" w:rsidRPr="0024674D" w:rsidRDefault="000C0754" w:rsidP="000C0754">
      <w:pPr>
        <w:ind w:left="720"/>
        <w:contextualSpacing/>
        <w:jc w:val="both"/>
        <w:rPr>
          <w:rFonts w:cs="Arial"/>
          <w:i/>
        </w:rPr>
      </w:pPr>
    </w:p>
    <w:p w14:paraId="6A57B7AD" w14:textId="77777777" w:rsidR="000C0754" w:rsidRPr="0024674D" w:rsidRDefault="000C0754" w:rsidP="000C0754">
      <w:pPr>
        <w:rPr>
          <w:rFonts w:cs="Arial"/>
        </w:rPr>
      </w:pPr>
      <w:r w:rsidRPr="0024674D">
        <w:rPr>
          <w:rFonts w:cs="Arial"/>
        </w:rPr>
        <w:t>Místní akční plán rozvoje vzdělávání v ……………………………………… (doplnit název ORP) schválil Řídící výbor MAP dne………………………..</w:t>
      </w:r>
    </w:p>
    <w:p w14:paraId="422E5CD0" w14:textId="77777777" w:rsidR="000C0754" w:rsidRPr="0024674D" w:rsidRDefault="000C0754" w:rsidP="000C0754">
      <w:pPr>
        <w:rPr>
          <w:rFonts w:cs="Arial"/>
        </w:rPr>
      </w:pPr>
    </w:p>
    <w:p w14:paraId="07AB5FCC" w14:textId="77777777" w:rsidR="000C0754" w:rsidRPr="0024674D" w:rsidRDefault="000C0754" w:rsidP="000C0754">
      <w:pPr>
        <w:rPr>
          <w:rFonts w:cs="Arial"/>
        </w:rPr>
      </w:pPr>
    </w:p>
    <w:p w14:paraId="5486CC7B" w14:textId="77777777" w:rsidR="000C0754" w:rsidRPr="0024674D" w:rsidRDefault="000C0754" w:rsidP="000C0754">
      <w:pPr>
        <w:jc w:val="right"/>
        <w:rPr>
          <w:rFonts w:cs="Arial"/>
        </w:rPr>
      </w:pPr>
      <w:r w:rsidRPr="0024674D">
        <w:rPr>
          <w:rFonts w:cs="Arial"/>
        </w:rPr>
        <w:t>……………………………………………………………………</w:t>
      </w:r>
    </w:p>
    <w:p w14:paraId="525F6D70" w14:textId="77777777" w:rsidR="000C0754" w:rsidRPr="0024674D" w:rsidRDefault="000C0754" w:rsidP="000C0754">
      <w:pPr>
        <w:jc w:val="right"/>
        <w:rPr>
          <w:rFonts w:cs="Arial"/>
        </w:rPr>
      </w:pPr>
      <w:r w:rsidRPr="0024674D">
        <w:rPr>
          <w:rFonts w:cs="Arial"/>
        </w:rPr>
        <w:t>Podpis předsedy Řídícího výboru MAP</w:t>
      </w:r>
    </w:p>
    <w:p w14:paraId="6BBA6E03" w14:textId="31842372" w:rsidR="00042AD6" w:rsidRPr="00042AD6" w:rsidRDefault="00042AD6" w:rsidP="00042AD6"/>
    <w:p w14:paraId="44F51DDA" w14:textId="78478B5D" w:rsidR="00EC2C97" w:rsidRPr="00042AD6" w:rsidRDefault="00EC2C97" w:rsidP="00042AD6"/>
    <w:sectPr w:rsidR="00EC2C97" w:rsidRPr="00042AD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FE18" w14:textId="77777777" w:rsidR="009C5502" w:rsidRDefault="009C5502" w:rsidP="003E5669">
      <w:pPr>
        <w:spacing w:after="0" w:line="240" w:lineRule="auto"/>
      </w:pPr>
      <w:r>
        <w:separator/>
      </w:r>
    </w:p>
  </w:endnote>
  <w:endnote w:type="continuationSeparator" w:id="0">
    <w:p w14:paraId="4CFB7F84" w14:textId="77777777" w:rsidR="009C5502" w:rsidRDefault="009C550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1F3DB5">
          <w:rPr>
            <w:noProof/>
          </w:rPr>
          <w:t>6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8BA6" w14:textId="77777777" w:rsidR="009C5502" w:rsidRDefault="009C5502" w:rsidP="003E5669">
      <w:pPr>
        <w:spacing w:after="0" w:line="240" w:lineRule="auto"/>
      </w:pPr>
      <w:r>
        <w:separator/>
      </w:r>
    </w:p>
  </w:footnote>
  <w:footnote w:type="continuationSeparator" w:id="0">
    <w:p w14:paraId="760529F6" w14:textId="77777777" w:rsidR="009C5502" w:rsidRDefault="009C5502" w:rsidP="003E5669">
      <w:pPr>
        <w:spacing w:after="0" w:line="240" w:lineRule="auto"/>
      </w:pPr>
      <w:r>
        <w:continuationSeparator/>
      </w:r>
    </w:p>
  </w:footnote>
  <w:footnote w:id="1">
    <w:p w14:paraId="31F64AF7" w14:textId="77777777"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Asistenti pedagoga, psychologové, speciální pedagogové, výchovní poradci, apod.</w:t>
      </w:r>
    </w:p>
  </w:footnote>
  <w:footnote w:id="2">
    <w:p w14:paraId="50A6A113" w14:textId="77777777"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Uklízečky, kuchařky, apod.</w:t>
      </w:r>
    </w:p>
  </w:footnote>
  <w:footnote w:id="3">
    <w:p w14:paraId="237E2A59" w14:textId="77777777"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Školní jídelna, školní družina, školní klub, tělocvična, hřiště, apod.</w:t>
      </w:r>
    </w:p>
  </w:footnote>
  <w:footnote w:id="4">
    <w:p w14:paraId="3A2B6702" w14:textId="77777777"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Asistenti pedagoga, psychologové, speciální pedagogové, výchovní poradci, apod.</w:t>
      </w:r>
    </w:p>
  </w:footnote>
  <w:footnote w:id="5">
    <w:p w14:paraId="2E1B86ED" w14:textId="77777777" w:rsidR="000C0754" w:rsidRDefault="000C0754" w:rsidP="000C0754">
      <w:pPr>
        <w:pStyle w:val="Textpoznpodarou"/>
      </w:pPr>
      <w:r>
        <w:rPr>
          <w:rStyle w:val="Znakapoznpodarou"/>
        </w:rPr>
        <w:footnoteRef/>
      </w:r>
      <w:r>
        <w:t xml:space="preserve"> Uklízečky, kuchařky, apod.</w:t>
      </w:r>
    </w:p>
  </w:footnote>
  <w:footnote w:id="6">
    <w:p w14:paraId="71140BB6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Školní jídelna, školní družina, školní klub, tělocvična, hřiště, apod.</w:t>
      </w:r>
    </w:p>
  </w:footnote>
  <w:footnote w:id="7">
    <w:p w14:paraId="29122840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14:paraId="389EDEB7" w14:textId="77777777" w:rsidR="000C0754" w:rsidRDefault="000C0754" w:rsidP="000C0754">
      <w:pPr>
        <w:pStyle w:val="Textpoznpodarou"/>
        <w:jc w:val="both"/>
      </w:pPr>
      <w:r>
        <w:t>- Vývoj počtu pracovníků (absolutně, přepočtený počet)</w:t>
      </w:r>
    </w:p>
    <w:p w14:paraId="41D2E68D" w14:textId="77777777" w:rsidR="000C0754" w:rsidRDefault="000C0754" w:rsidP="000C0754">
      <w:pPr>
        <w:pStyle w:val="Textpoznpodarou"/>
        <w:jc w:val="both"/>
      </w:pPr>
      <w:r>
        <w:t>- Vývoj počtu stravovaných dětí/žáků – pokud relevantní, lze rozdělit na počet dětí z MŠ a počet žáků ze ZŠ + jestli stravování v jídelně mohou využít i další osoby, veřejnost</w:t>
      </w:r>
    </w:p>
    <w:p w14:paraId="52E3816B" w14:textId="77777777" w:rsidR="000C0754" w:rsidRDefault="000C0754" w:rsidP="000C0754">
      <w:pPr>
        <w:pStyle w:val="Textpoznpodarou"/>
        <w:jc w:val="both"/>
      </w:pPr>
      <w:r>
        <w:t>- cílová kapacita kuchyně</w:t>
      </w:r>
    </w:p>
    <w:p w14:paraId="7CE8C9AC" w14:textId="77777777" w:rsidR="000C0754" w:rsidRDefault="000C0754" w:rsidP="000C0754">
      <w:pPr>
        <w:pStyle w:val="Textpoznpodarou"/>
        <w:jc w:val="both"/>
      </w:pPr>
      <w:r>
        <w:t>- současný technický stav a stav vybavenosti jídelen, rozbor investičních a neinvestičních potřeb školních jídelen</w:t>
      </w:r>
    </w:p>
  </w:footnote>
  <w:footnote w:id="8">
    <w:p w14:paraId="098DC998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14:paraId="1F7B744F" w14:textId="77777777" w:rsidR="000C0754" w:rsidRDefault="000C0754" w:rsidP="000C0754">
      <w:pPr>
        <w:pStyle w:val="Textpoznpodarou"/>
        <w:jc w:val="both"/>
      </w:pPr>
      <w:r w:rsidRPr="00093C9B">
        <w:t>-</w:t>
      </w:r>
      <w:r>
        <w:t xml:space="preserve"> Vývoj počtu zapsaných účastníků – možno rozdělit z 1. stupně a 2. stupně ZŠ</w:t>
      </w:r>
    </w:p>
    <w:p w14:paraId="5E29B4FE" w14:textId="77777777" w:rsidR="000C0754" w:rsidRDefault="000C0754" w:rsidP="000C0754">
      <w:pPr>
        <w:pStyle w:val="Textpoznpodarou"/>
        <w:jc w:val="both"/>
      </w:pPr>
      <w:r>
        <w:t>- Vývoj počtu vychovatelů a ostatních pedagogických pracovníků – s rozdělením na interní a externí, možno rozdělit i na muže a ženy</w:t>
      </w:r>
    </w:p>
    <w:p w14:paraId="01115A41" w14:textId="77777777" w:rsidR="000C0754" w:rsidRDefault="000C0754" w:rsidP="000C0754">
      <w:pPr>
        <w:pStyle w:val="Textpoznpodarou"/>
        <w:jc w:val="both"/>
      </w:pPr>
      <w:r>
        <w:t xml:space="preserve">- Současný technický stav a stav vybavenosti školních družin a školních klubů, rozbor jejich investičních </w:t>
      </w:r>
      <w:r>
        <w:br/>
        <w:t>a neinvestičních potřeb</w:t>
      </w:r>
    </w:p>
  </w:footnote>
  <w:footnote w:id="9">
    <w:p w14:paraId="11C02B42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14:paraId="14484CEF" w14:textId="77777777" w:rsidR="000C0754" w:rsidRDefault="000C0754" w:rsidP="000C0754">
      <w:pPr>
        <w:pStyle w:val="Textpoznpodarou"/>
        <w:jc w:val="both"/>
      </w:pPr>
      <w:r w:rsidRPr="009F417B">
        <w:t>-</w:t>
      </w:r>
      <w:r>
        <w:t xml:space="preserve"> Rozdělení dostupných sportovních zařízení podle typu – tělocvična, hřiště, posilovna, apod.</w:t>
      </w:r>
    </w:p>
    <w:p w14:paraId="34BC3684" w14:textId="77777777" w:rsidR="000C0754" w:rsidRDefault="000C0754" w:rsidP="000C0754">
      <w:pPr>
        <w:pStyle w:val="Textpoznpodarou"/>
        <w:jc w:val="both"/>
      </w:pPr>
      <w:r>
        <w:t>- Současný technický stav a stav vybavenosti sportovních zařízení, rozbor jejich investičních a neinvestičních potřeb</w:t>
      </w:r>
    </w:p>
  </w:footnote>
  <w:footnote w:id="10">
    <w:p w14:paraId="3384454D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14:paraId="746366E9" w14:textId="77777777" w:rsidR="000C0754" w:rsidRDefault="000C0754" w:rsidP="000C0754">
      <w:pPr>
        <w:pStyle w:val="Textpoznpodarou"/>
      </w:pPr>
      <w:r w:rsidRPr="008323BE">
        <w:t>-</w:t>
      </w:r>
      <w:r>
        <w:t xml:space="preserve"> Druhy vyučovaných oborů a jejich přehled, případně základní informace k nim</w:t>
      </w:r>
    </w:p>
    <w:p w14:paraId="246FE93A" w14:textId="77777777" w:rsidR="000C0754" w:rsidRDefault="000C0754" w:rsidP="000C0754">
      <w:pPr>
        <w:pStyle w:val="Textpoznpodarou"/>
      </w:pPr>
      <w:r>
        <w:t>- Informace o tom, kdo je zřizovatelem</w:t>
      </w:r>
    </w:p>
    <w:p w14:paraId="74531994" w14:textId="77777777" w:rsidR="000C0754" w:rsidRDefault="000C0754" w:rsidP="000C0754">
      <w:pPr>
        <w:pStyle w:val="Textpoznpodarou"/>
      </w:pPr>
      <w:r>
        <w:t>- Vývoj počtu pracovníků (absolutně, přepočtený počet)</w:t>
      </w:r>
    </w:p>
  </w:footnote>
  <w:footnote w:id="11">
    <w:p w14:paraId="330935DB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Možné typové aktivity k rozboru:</w:t>
      </w:r>
    </w:p>
    <w:p w14:paraId="0363EC67" w14:textId="77777777" w:rsidR="000C0754" w:rsidRDefault="000C0754" w:rsidP="000C0754">
      <w:pPr>
        <w:pStyle w:val="Textpoznpodarou"/>
        <w:jc w:val="both"/>
      </w:pPr>
      <w:r>
        <w:t>- Počet zájmových kroužků, jejich zaměření</w:t>
      </w:r>
    </w:p>
    <w:p w14:paraId="2B70D6BA" w14:textId="77777777" w:rsidR="000C0754" w:rsidRDefault="000C0754" w:rsidP="000C0754">
      <w:pPr>
        <w:pStyle w:val="Textpoznpodarou"/>
      </w:pPr>
      <w:r>
        <w:t>- Informace o tom, kdo je zřizovatelem</w:t>
      </w:r>
    </w:p>
    <w:p w14:paraId="22EA76F6" w14:textId="77777777" w:rsidR="000C0754" w:rsidRDefault="000C0754" w:rsidP="000C0754">
      <w:pPr>
        <w:pStyle w:val="Textpoznpodarou"/>
      </w:pPr>
      <w:r>
        <w:t>- Vývoj počtu pracovníků (absolutně, přepočtený počet)</w:t>
      </w:r>
    </w:p>
  </w:footnote>
  <w:footnote w:id="12">
    <w:p w14:paraId="17E28998" w14:textId="77777777" w:rsidR="000C0754" w:rsidRDefault="000C0754" w:rsidP="000C075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 nutné postupovat podle informací uvedených v Postupech zpracování MAP, tj. – vycházet striktně z názvu a řešit povinná opatření, vybraná doporučená, průřezová a volitelná opatření MAP. Je však možno pro jejich různou úroveň obecnosti a průřezovosti více tématy odkazovat, ke kterému opatření dle Postupů MAP se téma váže.</w:t>
      </w:r>
    </w:p>
    <w:p w14:paraId="68C557F8" w14:textId="77777777" w:rsidR="000C0754" w:rsidRDefault="000C0754" w:rsidP="000C0754">
      <w:pPr>
        <w:pStyle w:val="Textpoznpodarou"/>
        <w:jc w:val="both"/>
      </w:pPr>
      <w:r>
        <w:t xml:space="preserve">Lépe si definovat regionu a aktérům vlastní opatření a klíčová témata, která vyplynou ze zpracované analýzy a informací z území – v tomto případě by nebyla opatření striktně pojmenována jako tomu je v první variantě, ale byla by pojmenována vlastním způsobem (informace týkající se problematiky povinných a dalších opatření dle Postupů zpracování MAP by byly zakomponovány v textu, tj. provazba na povinně řešená témata by byla zřejmá).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9FC"/>
    <w:multiLevelType w:val="hybridMultilevel"/>
    <w:tmpl w:val="41FA8A20"/>
    <w:lvl w:ilvl="0" w:tplc="8EE0C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20A9C"/>
    <w:rsid w:val="00042AD6"/>
    <w:rsid w:val="000B62E9"/>
    <w:rsid w:val="000C0754"/>
    <w:rsid w:val="000D4163"/>
    <w:rsid w:val="000E30BE"/>
    <w:rsid w:val="00127380"/>
    <w:rsid w:val="001A5E39"/>
    <w:rsid w:val="001F3DB5"/>
    <w:rsid w:val="002B678E"/>
    <w:rsid w:val="003D6FB8"/>
    <w:rsid w:val="003E5669"/>
    <w:rsid w:val="004E4B16"/>
    <w:rsid w:val="005A6C33"/>
    <w:rsid w:val="005A6F6A"/>
    <w:rsid w:val="005E2A78"/>
    <w:rsid w:val="005F25CF"/>
    <w:rsid w:val="00735AB8"/>
    <w:rsid w:val="00756909"/>
    <w:rsid w:val="00790F1F"/>
    <w:rsid w:val="0084594D"/>
    <w:rsid w:val="008675C3"/>
    <w:rsid w:val="00971157"/>
    <w:rsid w:val="009C5502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C03D71"/>
    <w:rsid w:val="00C37E06"/>
    <w:rsid w:val="00C46F61"/>
    <w:rsid w:val="00C6334D"/>
    <w:rsid w:val="00C908BD"/>
    <w:rsid w:val="00D2628B"/>
    <w:rsid w:val="00E70B97"/>
    <w:rsid w:val="00EA7354"/>
    <w:rsid w:val="00EC2C97"/>
    <w:rsid w:val="00ED0DE1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3ADA4E2B-F2D9-4417-8092-C0B91D3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75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754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C0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DC49D0-2594-4A3F-A442-1E42EE16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Hrdlička Ferdinand</cp:lastModifiedBy>
  <cp:revision>2</cp:revision>
  <cp:lastPrinted>2016-01-13T14:27:00Z</cp:lastPrinted>
  <dcterms:created xsi:type="dcterms:W3CDTF">2016-05-18T08:28:00Z</dcterms:created>
  <dcterms:modified xsi:type="dcterms:W3CDTF">2016-05-18T08:28:00Z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