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B49" w:rsidRPr="001C4F99" w:rsidRDefault="00BC0B49" w:rsidP="002E6E9A">
      <w:pPr>
        <w:pStyle w:val="Header"/>
        <w:spacing w:after="120"/>
        <w:rPr>
          <w:rFonts w:ascii="Arial" w:hAnsi="Arial" w:cs="Arial"/>
          <w:sz w:val="16"/>
          <w:szCs w:val="16"/>
          <w:lang w:val="fr-BE"/>
        </w:rPr>
      </w:pPr>
    </w:p>
    <w:tbl>
      <w:tblPr>
        <w:tblW w:w="9468" w:type="dxa"/>
        <w:tblLayout w:type="fixed"/>
        <w:tblCellMar>
          <w:left w:w="0" w:type="dxa"/>
          <w:right w:w="0" w:type="dxa"/>
        </w:tblCellMar>
        <w:tblLook w:val="0000" w:firstRow="0" w:lastRow="0" w:firstColumn="0" w:lastColumn="0" w:noHBand="0" w:noVBand="0"/>
      </w:tblPr>
      <w:tblGrid>
        <w:gridCol w:w="2381"/>
        <w:gridCol w:w="7087"/>
      </w:tblGrid>
      <w:tr w:rsidR="00F22E4A" w:rsidTr="00543339">
        <w:trPr>
          <w:trHeight w:val="1440"/>
        </w:trPr>
        <w:tc>
          <w:tcPr>
            <w:tcW w:w="2381" w:type="dxa"/>
            <w:tcBorders>
              <w:top w:val="nil"/>
              <w:left w:val="nil"/>
              <w:bottom w:val="nil"/>
              <w:right w:val="nil"/>
            </w:tcBorders>
          </w:tcPr>
          <w:p w:rsidR="00F22E4A" w:rsidRPr="00546CD1" w:rsidRDefault="00E57F9B" w:rsidP="002E6E9A">
            <w:pPr>
              <w:pStyle w:val="ZCom"/>
              <w:spacing w:after="120"/>
            </w:pPr>
            <w:r>
              <w:rPr>
                <w:sz w:val="20"/>
                <w:szCs w:val="20"/>
              </w:rPr>
              <w:pict w14:anchorId="7112E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53pt" fillcolor="window">
                  <v:imagedata r:id="rId9" o:title="logo_ec_17_colors_300dpi"/>
                </v:shape>
              </w:pict>
            </w:r>
          </w:p>
        </w:tc>
        <w:tc>
          <w:tcPr>
            <w:tcW w:w="7087" w:type="dxa"/>
            <w:tcBorders>
              <w:top w:val="nil"/>
              <w:left w:val="nil"/>
              <w:bottom w:val="nil"/>
              <w:right w:val="nil"/>
            </w:tcBorders>
          </w:tcPr>
          <w:p w:rsidR="00F22E4A" w:rsidRPr="00546CD1" w:rsidRDefault="00F22E4A" w:rsidP="002E6E9A">
            <w:pPr>
              <w:pStyle w:val="ZCom"/>
              <w:spacing w:before="90" w:after="120"/>
            </w:pPr>
            <w:r w:rsidRPr="00546CD1">
              <w:t>EUROPEAN COMMISSION</w:t>
            </w:r>
          </w:p>
          <w:p w:rsidR="00F22E4A" w:rsidRPr="00546CD1" w:rsidRDefault="00F22E4A" w:rsidP="002E6E9A">
            <w:pPr>
              <w:pStyle w:val="ZDGName"/>
              <w:spacing w:after="120"/>
            </w:pPr>
          </w:p>
        </w:tc>
      </w:tr>
    </w:tbl>
    <w:p w:rsidR="00F22E4A" w:rsidRDefault="00F22E4A" w:rsidP="002E6E9A">
      <w:pPr>
        <w:spacing w:after="120"/>
        <w:jc w:val="center"/>
        <w:rPr>
          <w:u w:val="single"/>
        </w:rPr>
      </w:pPr>
    </w:p>
    <w:p w:rsidR="00F377F4" w:rsidRDefault="00F377F4" w:rsidP="002E6E9A">
      <w:pPr>
        <w:spacing w:after="120"/>
        <w:jc w:val="center"/>
        <w:rPr>
          <w:u w:val="single"/>
        </w:rPr>
      </w:pPr>
    </w:p>
    <w:p w:rsidR="00F377F4" w:rsidRDefault="00F377F4" w:rsidP="002E6E9A">
      <w:pPr>
        <w:spacing w:after="120"/>
        <w:jc w:val="center"/>
        <w:rPr>
          <w:u w:val="single"/>
        </w:rPr>
      </w:pPr>
    </w:p>
    <w:p w:rsidR="00F377F4" w:rsidRDefault="00F377F4" w:rsidP="002E6E9A">
      <w:pPr>
        <w:spacing w:after="120"/>
        <w:jc w:val="center"/>
        <w:rPr>
          <w:u w:val="single"/>
        </w:rPr>
      </w:pPr>
    </w:p>
    <w:p w:rsidR="00F22E4A" w:rsidRPr="002228E1" w:rsidRDefault="00F22E4A" w:rsidP="002E6E9A">
      <w:pPr>
        <w:spacing w:after="120"/>
        <w:jc w:val="center"/>
        <w:rPr>
          <w:u w:val="single"/>
        </w:rPr>
      </w:pPr>
      <w:r w:rsidRPr="002228E1">
        <w:rPr>
          <w:u w:val="single"/>
        </w:rPr>
        <w:t>European Structural and Investment Funds</w:t>
      </w:r>
    </w:p>
    <w:p w:rsidR="00F22E4A" w:rsidRPr="006322CD" w:rsidRDefault="00F22E4A" w:rsidP="002E6E9A">
      <w:pPr>
        <w:spacing w:after="120"/>
      </w:pPr>
    </w:p>
    <w:p w:rsidR="00F22E4A" w:rsidRDefault="00F22E4A" w:rsidP="002E6E9A">
      <w:pPr>
        <w:pStyle w:val="NoteHead"/>
        <w:spacing w:before="0" w:after="120"/>
        <w:rPr>
          <w:rFonts w:ascii="Times New Roman Bold" w:hAnsi="Times New Roman Bold"/>
          <w:b w:val="0"/>
          <w:smallCaps w:val="0"/>
          <w:sz w:val="40"/>
          <w:szCs w:val="40"/>
          <w:u w:val="single"/>
        </w:rPr>
      </w:pPr>
      <w:r w:rsidRPr="002228E1">
        <w:rPr>
          <w:rFonts w:ascii="Times New Roman Bold" w:hAnsi="Times New Roman Bold"/>
          <w:b w:val="0"/>
          <w:smallCaps w:val="0"/>
          <w:sz w:val="40"/>
          <w:szCs w:val="40"/>
          <w:u w:val="single"/>
        </w:rPr>
        <w:t xml:space="preserve">Guidance </w:t>
      </w:r>
      <w:r>
        <w:rPr>
          <w:rFonts w:ascii="Times New Roman Bold" w:hAnsi="Times New Roman Bold"/>
          <w:b w:val="0"/>
          <w:smallCaps w:val="0"/>
          <w:sz w:val="40"/>
          <w:szCs w:val="40"/>
          <w:u w:val="single"/>
        </w:rPr>
        <w:t xml:space="preserve">for </w:t>
      </w:r>
      <w:r w:rsidR="00817567">
        <w:rPr>
          <w:rFonts w:ascii="Times New Roman Bold" w:hAnsi="Times New Roman Bold"/>
          <w:b w:val="0"/>
          <w:smallCaps w:val="0"/>
          <w:sz w:val="40"/>
          <w:szCs w:val="40"/>
          <w:u w:val="single"/>
        </w:rPr>
        <w:t>Member States</w:t>
      </w:r>
      <w:r>
        <w:rPr>
          <w:rFonts w:ascii="Times New Roman Bold" w:hAnsi="Times New Roman Bold"/>
          <w:b w:val="0"/>
          <w:smallCaps w:val="0"/>
          <w:sz w:val="40"/>
          <w:szCs w:val="40"/>
          <w:u w:val="single"/>
        </w:rPr>
        <w:t xml:space="preserve"> </w:t>
      </w:r>
      <w:r w:rsidRPr="002228E1">
        <w:rPr>
          <w:rFonts w:ascii="Times New Roman Bold" w:hAnsi="Times New Roman Bold"/>
          <w:b w:val="0"/>
          <w:smallCaps w:val="0"/>
          <w:sz w:val="40"/>
          <w:szCs w:val="40"/>
          <w:u w:val="single"/>
        </w:rPr>
        <w:t xml:space="preserve">on </w:t>
      </w:r>
    </w:p>
    <w:p w:rsidR="00F22E4A" w:rsidRPr="006142F4" w:rsidRDefault="000A57F7" w:rsidP="001C1B1F">
      <w:pPr>
        <w:pStyle w:val="NoteHead"/>
        <w:spacing w:before="0" w:after="120"/>
        <w:rPr>
          <w:rFonts w:ascii="Times New Roman Bold" w:hAnsi="Times New Roman Bold"/>
          <w:b w:val="0"/>
          <w:smallCaps w:val="0"/>
          <w:sz w:val="40"/>
          <w:szCs w:val="40"/>
          <w:u w:val="single"/>
        </w:rPr>
      </w:pPr>
      <w:r w:rsidRPr="006142F4">
        <w:rPr>
          <w:rFonts w:ascii="Times New Roman Bold" w:hAnsi="Times New Roman Bold"/>
          <w:b w:val="0"/>
          <w:smallCaps w:val="0"/>
          <w:sz w:val="40"/>
          <w:szCs w:val="40"/>
          <w:u w:val="single"/>
        </w:rPr>
        <w:t>Art</w:t>
      </w:r>
      <w:r w:rsidR="00450C16" w:rsidRPr="006142F4">
        <w:rPr>
          <w:rFonts w:ascii="Times New Roman Bold" w:hAnsi="Times New Roman Bold"/>
          <w:b w:val="0"/>
          <w:smallCaps w:val="0"/>
          <w:sz w:val="40"/>
          <w:szCs w:val="40"/>
          <w:u w:val="single"/>
        </w:rPr>
        <w:t xml:space="preserve">icle </w:t>
      </w:r>
      <w:r w:rsidR="006142F4" w:rsidRPr="006142F4">
        <w:rPr>
          <w:rFonts w:ascii="Times New Roman Bold" w:hAnsi="Times New Roman Bold"/>
          <w:b w:val="0"/>
          <w:smallCaps w:val="0"/>
          <w:sz w:val="40"/>
          <w:szCs w:val="40"/>
          <w:u w:val="single"/>
        </w:rPr>
        <w:t>42</w:t>
      </w:r>
      <w:r w:rsidRPr="006142F4">
        <w:rPr>
          <w:rFonts w:ascii="Times New Roman Bold" w:hAnsi="Times New Roman Bold"/>
          <w:b w:val="0"/>
          <w:smallCaps w:val="0"/>
          <w:sz w:val="40"/>
          <w:szCs w:val="40"/>
          <w:u w:val="single"/>
        </w:rPr>
        <w:t>(</w:t>
      </w:r>
      <w:r w:rsidR="006142F4" w:rsidRPr="006142F4">
        <w:rPr>
          <w:rFonts w:ascii="Times New Roman Bold" w:hAnsi="Times New Roman Bold"/>
          <w:b w:val="0"/>
          <w:smallCaps w:val="0"/>
          <w:sz w:val="40"/>
          <w:szCs w:val="40"/>
          <w:u w:val="single"/>
        </w:rPr>
        <w:t>1</w:t>
      </w:r>
      <w:proofErr w:type="gramStart"/>
      <w:r w:rsidR="00817567" w:rsidRPr="006142F4">
        <w:rPr>
          <w:rFonts w:ascii="Times New Roman Bold" w:hAnsi="Times New Roman Bold"/>
          <w:b w:val="0"/>
          <w:smallCaps w:val="0"/>
          <w:sz w:val="40"/>
          <w:szCs w:val="40"/>
          <w:u w:val="single"/>
        </w:rPr>
        <w:t>)</w:t>
      </w:r>
      <w:r w:rsidR="006142F4" w:rsidRPr="006142F4">
        <w:rPr>
          <w:rFonts w:ascii="Times New Roman Bold" w:hAnsi="Times New Roman Bold"/>
          <w:b w:val="0"/>
          <w:smallCaps w:val="0"/>
          <w:sz w:val="40"/>
          <w:szCs w:val="40"/>
          <w:u w:val="single"/>
        </w:rPr>
        <w:t>(</w:t>
      </w:r>
      <w:proofErr w:type="gramEnd"/>
      <w:r w:rsidR="006142F4" w:rsidRPr="006142F4">
        <w:rPr>
          <w:rFonts w:ascii="Times New Roman Bold" w:hAnsi="Times New Roman Bold"/>
          <w:b w:val="0"/>
          <w:smallCaps w:val="0"/>
          <w:sz w:val="40"/>
          <w:szCs w:val="40"/>
          <w:u w:val="single"/>
        </w:rPr>
        <w:t>d)</w:t>
      </w:r>
      <w:r w:rsidR="00817567" w:rsidRPr="006142F4">
        <w:rPr>
          <w:rFonts w:ascii="Times New Roman Bold" w:hAnsi="Times New Roman Bold"/>
          <w:b w:val="0"/>
          <w:smallCaps w:val="0"/>
          <w:sz w:val="40"/>
          <w:szCs w:val="40"/>
          <w:u w:val="single"/>
        </w:rPr>
        <w:t xml:space="preserve"> </w:t>
      </w:r>
      <w:r w:rsidR="00450C16" w:rsidRPr="006142F4">
        <w:rPr>
          <w:rFonts w:ascii="Times New Roman Bold" w:hAnsi="Times New Roman Bold"/>
          <w:b w:val="0"/>
          <w:smallCaps w:val="0"/>
          <w:sz w:val="40"/>
          <w:szCs w:val="40"/>
          <w:u w:val="single"/>
        </w:rPr>
        <w:t>CPR</w:t>
      </w:r>
      <w:r w:rsidR="00817567" w:rsidRPr="006142F4">
        <w:rPr>
          <w:rFonts w:ascii="Times New Roman Bold" w:hAnsi="Times New Roman Bold"/>
          <w:b w:val="0"/>
          <w:smallCaps w:val="0"/>
          <w:sz w:val="40"/>
          <w:szCs w:val="40"/>
          <w:u w:val="single"/>
        </w:rPr>
        <w:t xml:space="preserve">– </w:t>
      </w:r>
      <w:r w:rsidR="006142F4" w:rsidRPr="006142F4">
        <w:rPr>
          <w:rFonts w:ascii="Times New Roman Bold" w:hAnsi="Times New Roman Bold"/>
          <w:b w:val="0"/>
          <w:smallCaps w:val="0"/>
          <w:sz w:val="40"/>
          <w:szCs w:val="40"/>
          <w:u w:val="single"/>
        </w:rPr>
        <w:t xml:space="preserve">Eligible </w:t>
      </w:r>
      <w:r w:rsidR="006142F4">
        <w:rPr>
          <w:rFonts w:ascii="Times New Roman Bold" w:hAnsi="Times New Roman Bold"/>
          <w:b w:val="0"/>
          <w:smallCaps w:val="0"/>
          <w:sz w:val="40"/>
          <w:szCs w:val="40"/>
          <w:u w:val="single"/>
        </w:rPr>
        <w:t>m</w:t>
      </w:r>
      <w:r w:rsidR="006142F4" w:rsidRPr="006142F4">
        <w:rPr>
          <w:rFonts w:ascii="Times New Roman Bold" w:hAnsi="Times New Roman Bold"/>
          <w:b w:val="0"/>
          <w:smallCaps w:val="0"/>
          <w:sz w:val="40"/>
          <w:szCs w:val="40"/>
          <w:u w:val="single"/>
        </w:rPr>
        <w:t xml:space="preserve">anagement </w:t>
      </w:r>
      <w:r w:rsidR="006142F4">
        <w:rPr>
          <w:rFonts w:ascii="Times New Roman Bold" w:hAnsi="Times New Roman Bold"/>
          <w:b w:val="0"/>
          <w:smallCaps w:val="0"/>
          <w:sz w:val="40"/>
          <w:szCs w:val="40"/>
          <w:u w:val="single"/>
        </w:rPr>
        <w:t>c</w:t>
      </w:r>
      <w:r w:rsidR="006142F4" w:rsidRPr="006142F4">
        <w:rPr>
          <w:rFonts w:ascii="Times New Roman Bold" w:hAnsi="Times New Roman Bold"/>
          <w:b w:val="0"/>
          <w:smallCaps w:val="0"/>
          <w:sz w:val="40"/>
          <w:szCs w:val="40"/>
          <w:u w:val="single"/>
        </w:rPr>
        <w:t xml:space="preserve">osts and </w:t>
      </w:r>
      <w:r w:rsidR="006142F4">
        <w:rPr>
          <w:rFonts w:ascii="Times New Roman Bold" w:hAnsi="Times New Roman Bold"/>
          <w:b w:val="0"/>
          <w:smallCaps w:val="0"/>
          <w:sz w:val="40"/>
          <w:szCs w:val="40"/>
          <w:u w:val="single"/>
        </w:rPr>
        <w:t>f</w:t>
      </w:r>
      <w:r w:rsidR="006142F4" w:rsidRPr="006142F4">
        <w:rPr>
          <w:rFonts w:ascii="Times New Roman Bold" w:hAnsi="Times New Roman Bold"/>
          <w:b w:val="0"/>
          <w:smallCaps w:val="0"/>
          <w:sz w:val="40"/>
          <w:szCs w:val="40"/>
          <w:u w:val="single"/>
        </w:rPr>
        <w:t>ees</w:t>
      </w:r>
      <w:r w:rsidR="00533180">
        <w:rPr>
          <w:rFonts w:ascii="Times New Roman Bold" w:hAnsi="Times New Roman Bold"/>
          <w:b w:val="0"/>
          <w:smallCaps w:val="0"/>
          <w:sz w:val="40"/>
          <w:szCs w:val="40"/>
          <w:u w:val="single"/>
        </w:rPr>
        <w:t xml:space="preserve"> </w:t>
      </w:r>
      <w:r w:rsidR="00533180" w:rsidRPr="006142F4">
        <w:rPr>
          <w:rFonts w:ascii="Times New Roman Bold" w:hAnsi="Times New Roman Bold"/>
          <w:b w:val="0"/>
          <w:smallCaps w:val="0"/>
          <w:sz w:val="40"/>
          <w:szCs w:val="40"/>
          <w:u w:val="single"/>
        </w:rPr>
        <w:t>–</w:t>
      </w:r>
      <w:r w:rsidR="00533180">
        <w:rPr>
          <w:rFonts w:ascii="Times New Roman Bold" w:hAnsi="Times New Roman Bold"/>
          <w:b w:val="0"/>
          <w:smallCaps w:val="0"/>
          <w:sz w:val="40"/>
          <w:szCs w:val="40"/>
          <w:u w:val="single"/>
        </w:rPr>
        <w:t xml:space="preserve"> for financial instruments managed in </w:t>
      </w:r>
      <w:r w:rsidR="001C1B1F">
        <w:rPr>
          <w:rFonts w:ascii="Times New Roman Bold" w:hAnsi="Times New Roman Bold"/>
          <w:b w:val="0"/>
          <w:smallCaps w:val="0"/>
          <w:sz w:val="40"/>
          <w:szCs w:val="40"/>
          <w:u w:val="single"/>
        </w:rPr>
        <w:t>accordance</w:t>
      </w:r>
      <w:r w:rsidR="00533180">
        <w:rPr>
          <w:rFonts w:ascii="Times New Roman Bold" w:hAnsi="Times New Roman Bold"/>
          <w:b w:val="0"/>
          <w:smallCaps w:val="0"/>
          <w:sz w:val="40"/>
          <w:szCs w:val="40"/>
          <w:u w:val="single"/>
        </w:rPr>
        <w:t xml:space="preserve"> with Article 38(4)(b) CPR</w:t>
      </w:r>
    </w:p>
    <w:p w:rsidR="00F22E4A" w:rsidRPr="006142F4" w:rsidRDefault="00F22E4A" w:rsidP="002E6E9A">
      <w:pPr>
        <w:spacing w:after="120"/>
      </w:pPr>
    </w:p>
    <w:p w:rsidR="00652CF0" w:rsidRDefault="00652CF0" w:rsidP="002E6E9A">
      <w:pPr>
        <w:spacing w:after="120"/>
      </w:pPr>
    </w:p>
    <w:p w:rsidR="00F377F4" w:rsidRDefault="00F377F4" w:rsidP="002E6E9A">
      <w:pPr>
        <w:spacing w:after="120"/>
      </w:pPr>
    </w:p>
    <w:p w:rsidR="00F377F4" w:rsidRPr="006142F4" w:rsidRDefault="00F377F4" w:rsidP="002E6E9A">
      <w:pPr>
        <w:spacing w:after="120"/>
      </w:pPr>
    </w:p>
    <w:p w:rsidR="00F22E4A" w:rsidRPr="00E427CC" w:rsidRDefault="00F22E4A" w:rsidP="002E6E9A">
      <w:pPr>
        <w:spacing w:after="120"/>
        <w:rPr>
          <w:sz w:val="36"/>
          <w:szCs w:val="36"/>
        </w:rPr>
      </w:pPr>
    </w:p>
    <w:p w:rsidR="000D3825" w:rsidRPr="00E427CC" w:rsidRDefault="00E427CC" w:rsidP="00E57F9B">
      <w:pPr>
        <w:spacing w:after="120"/>
        <w:jc w:val="center"/>
        <w:rPr>
          <w:color w:val="FF0000"/>
          <w:sz w:val="36"/>
          <w:szCs w:val="36"/>
        </w:rPr>
      </w:pPr>
      <w:r w:rsidRPr="00E427CC">
        <w:rPr>
          <w:color w:val="FF0000"/>
          <w:sz w:val="36"/>
          <w:szCs w:val="36"/>
          <w:highlight w:val="yellow"/>
        </w:rPr>
        <w:t>DRAFT</w:t>
      </w:r>
      <w:r w:rsidR="00E937AB">
        <w:rPr>
          <w:color w:val="FF0000"/>
          <w:sz w:val="36"/>
          <w:szCs w:val="36"/>
          <w:highlight w:val="yellow"/>
        </w:rPr>
        <w:t xml:space="preserve"> </w:t>
      </w:r>
    </w:p>
    <w:p w:rsidR="00F22E4A" w:rsidRPr="00E427CC" w:rsidRDefault="00F22E4A" w:rsidP="002E6E9A">
      <w:pPr>
        <w:spacing w:after="120"/>
        <w:rPr>
          <w:color w:val="FF0000"/>
        </w:rPr>
      </w:pPr>
      <w:bookmarkStart w:id="0" w:name="_GoBack"/>
      <w:bookmarkEnd w:id="0"/>
    </w:p>
    <w:p w:rsidR="00F377F4" w:rsidRDefault="00F377F4" w:rsidP="002E6E9A">
      <w:pPr>
        <w:spacing w:after="120"/>
      </w:pPr>
    </w:p>
    <w:p w:rsidR="00F377F4" w:rsidRDefault="00F377F4" w:rsidP="002E6E9A">
      <w:pPr>
        <w:spacing w:after="120"/>
      </w:pPr>
    </w:p>
    <w:p w:rsidR="00F377F4" w:rsidRDefault="00F377F4" w:rsidP="002E6E9A">
      <w:pPr>
        <w:spacing w:after="120"/>
      </w:pPr>
    </w:p>
    <w:p w:rsidR="00F377F4" w:rsidRDefault="00F377F4" w:rsidP="002E6E9A">
      <w:pPr>
        <w:spacing w:after="120"/>
      </w:pPr>
    </w:p>
    <w:p w:rsidR="00F377F4" w:rsidRDefault="00F377F4" w:rsidP="002E6E9A">
      <w:pPr>
        <w:spacing w:after="120"/>
      </w:pPr>
    </w:p>
    <w:p w:rsidR="00F377F4" w:rsidRPr="00765FE4" w:rsidRDefault="00F377F4" w:rsidP="002E6E9A">
      <w:pPr>
        <w:spacing w:after="120"/>
      </w:pPr>
    </w:p>
    <w:p w:rsidR="0032182B" w:rsidRDefault="00F22E4A" w:rsidP="002E6E9A">
      <w:pPr>
        <w:pBdr>
          <w:top w:val="single" w:sz="4" w:space="1" w:color="auto"/>
          <w:left w:val="single" w:sz="4" w:space="4" w:color="auto"/>
          <w:bottom w:val="single" w:sz="4" w:space="1" w:color="auto"/>
          <w:right w:val="single" w:sz="4" w:space="4" w:color="auto"/>
        </w:pBdr>
        <w:spacing w:after="120"/>
        <w:rPr>
          <w:b/>
          <w:sz w:val="20"/>
        </w:rPr>
      </w:pPr>
      <w:r w:rsidRPr="001C4F99">
        <w:rPr>
          <w:b/>
          <w:sz w:val="20"/>
        </w:rPr>
        <w:t>DISCLAIMER</w:t>
      </w:r>
    </w:p>
    <w:p w:rsidR="00F22E4A" w:rsidRPr="0032182B" w:rsidRDefault="0032182B" w:rsidP="002E6E9A">
      <w:pPr>
        <w:pBdr>
          <w:top w:val="single" w:sz="4" w:space="1" w:color="auto"/>
          <w:left w:val="single" w:sz="4" w:space="4" w:color="auto"/>
          <w:bottom w:val="single" w:sz="4" w:space="1" w:color="auto"/>
          <w:right w:val="single" w:sz="4" w:space="4" w:color="auto"/>
        </w:pBdr>
        <w:spacing w:after="120"/>
        <w:rPr>
          <w:b/>
          <w:sz w:val="20"/>
        </w:rPr>
      </w:pPr>
      <w:r>
        <w:rPr>
          <w:b/>
          <w:sz w:val="20"/>
        </w:rPr>
        <w:t>“</w:t>
      </w:r>
      <w:r w:rsidR="00F22E4A" w:rsidRPr="001C4F99">
        <w:rPr>
          <w:i/>
          <w:sz w:val="20"/>
        </w:rPr>
        <w:t>This is a working document prepared by the Commission services. On the basis of applicable EU law, it provides technical guidance for colleagues and bodies involved in the monitoring, control or implementation of the European Structural and Investment Funds on how to interpret and apply the EU rules in this area. The aim of this document is to provide Commission services' explanations and interpretations of the said rules in order to facilitate the programme implementation and to encourage good practice(s). This guidance is without prejudice to the interpretation of the Court of Justice and the General Court or decisions of the Commission</w:t>
      </w:r>
      <w:r>
        <w:rPr>
          <w:i/>
          <w:sz w:val="20"/>
        </w:rPr>
        <w:t>.</w:t>
      </w:r>
      <w:r w:rsidRPr="008E7BE1">
        <w:rPr>
          <w:b/>
          <w:sz w:val="20"/>
        </w:rPr>
        <w:t>”</w:t>
      </w:r>
    </w:p>
    <w:p w:rsidR="004D1E18" w:rsidRDefault="00F377F4" w:rsidP="00DD0670">
      <w:pPr>
        <w:pStyle w:val="Heading1"/>
        <w:numPr>
          <w:ilvl w:val="0"/>
          <w:numId w:val="21"/>
        </w:numPr>
      </w:pPr>
      <w:r>
        <w:rPr>
          <w:rStyle w:val="Corpsdutexte5"/>
          <w:b/>
          <w:bCs w:val="0"/>
          <w:smallCaps/>
          <w:color w:val="000000"/>
        </w:rPr>
        <w:br w:type="page"/>
      </w:r>
      <w:r w:rsidR="004D1E18" w:rsidRPr="00BC390D">
        <w:lastRenderedPageBreak/>
        <w:t>Background</w:t>
      </w:r>
    </w:p>
    <w:p w:rsidR="004D1E18" w:rsidRPr="002013B1" w:rsidRDefault="004D1E18" w:rsidP="00DD0670">
      <w:pPr>
        <w:pStyle w:val="Heading1"/>
        <w:numPr>
          <w:ilvl w:val="1"/>
          <w:numId w:val="21"/>
        </w:numPr>
      </w:pPr>
      <w:bookmarkStart w:id="1" w:name="_Toc408304360"/>
      <w:bookmarkStart w:id="2" w:name="_Toc409179439"/>
      <w:bookmarkStart w:id="3" w:name="_Toc410649214"/>
      <w:r w:rsidRPr="002013B1">
        <w:t>Regulatory references</w:t>
      </w:r>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323"/>
      </w:tblGrid>
      <w:tr w:rsidR="004D1E18" w:rsidRPr="006525FC" w:rsidTr="00934509">
        <w:tc>
          <w:tcPr>
            <w:tcW w:w="3510" w:type="dxa"/>
            <w:shd w:val="clear" w:color="auto" w:fill="A6A6A6"/>
          </w:tcPr>
          <w:p w:rsidR="004D1E18" w:rsidRPr="006525FC" w:rsidRDefault="004D1E18" w:rsidP="002E6E9A">
            <w:pPr>
              <w:spacing w:before="240" w:after="120"/>
              <w:jc w:val="center"/>
              <w:rPr>
                <w:b/>
              </w:rPr>
            </w:pPr>
            <w:r w:rsidRPr="006525FC">
              <w:rPr>
                <w:b/>
              </w:rPr>
              <w:t>Regulation</w:t>
            </w:r>
          </w:p>
        </w:tc>
        <w:tc>
          <w:tcPr>
            <w:tcW w:w="5323" w:type="dxa"/>
            <w:shd w:val="clear" w:color="auto" w:fill="A6A6A6"/>
          </w:tcPr>
          <w:p w:rsidR="004D1E18" w:rsidRPr="006525FC" w:rsidRDefault="004D1E18" w:rsidP="002E6E9A">
            <w:pPr>
              <w:spacing w:before="240" w:after="120"/>
              <w:jc w:val="center"/>
              <w:rPr>
                <w:b/>
              </w:rPr>
            </w:pPr>
            <w:r w:rsidRPr="006525FC">
              <w:rPr>
                <w:b/>
              </w:rPr>
              <w:t>Articles</w:t>
            </w:r>
          </w:p>
        </w:tc>
      </w:tr>
      <w:tr w:rsidR="004D1E18" w:rsidRPr="006525FC" w:rsidTr="00934509">
        <w:tc>
          <w:tcPr>
            <w:tcW w:w="3510" w:type="dxa"/>
            <w:shd w:val="clear" w:color="auto" w:fill="auto"/>
          </w:tcPr>
          <w:p w:rsidR="004D1E18" w:rsidRPr="006525FC" w:rsidRDefault="004D1E18" w:rsidP="002E6E9A">
            <w:pPr>
              <w:spacing w:before="120" w:after="120"/>
              <w:rPr>
                <w:sz w:val="22"/>
                <w:szCs w:val="22"/>
              </w:rPr>
            </w:pPr>
            <w:r w:rsidRPr="006525FC">
              <w:rPr>
                <w:sz w:val="22"/>
                <w:szCs w:val="22"/>
              </w:rPr>
              <w:t xml:space="preserve">Reg. (EU) N° 1303/2013 </w:t>
            </w:r>
          </w:p>
          <w:p w:rsidR="004D1E18" w:rsidRPr="006525FC" w:rsidRDefault="004D1E18" w:rsidP="002E6E9A">
            <w:pPr>
              <w:spacing w:after="120"/>
              <w:rPr>
                <w:sz w:val="22"/>
                <w:szCs w:val="22"/>
              </w:rPr>
            </w:pPr>
            <w:r w:rsidRPr="006525FC">
              <w:rPr>
                <w:sz w:val="22"/>
                <w:szCs w:val="22"/>
              </w:rPr>
              <w:t>Common Provisions Regulation</w:t>
            </w:r>
          </w:p>
          <w:p w:rsidR="004D1E18" w:rsidRPr="006525FC" w:rsidRDefault="004D1E18" w:rsidP="002E6E9A">
            <w:pPr>
              <w:spacing w:after="120"/>
              <w:rPr>
                <w:i/>
                <w:sz w:val="22"/>
                <w:szCs w:val="22"/>
              </w:rPr>
            </w:pPr>
            <w:r w:rsidRPr="006525FC">
              <w:rPr>
                <w:i/>
                <w:sz w:val="22"/>
                <w:szCs w:val="22"/>
              </w:rPr>
              <w:t>(hereafter CPR)</w:t>
            </w:r>
          </w:p>
        </w:tc>
        <w:tc>
          <w:tcPr>
            <w:tcW w:w="5323" w:type="dxa"/>
            <w:shd w:val="clear" w:color="auto" w:fill="auto"/>
          </w:tcPr>
          <w:p w:rsidR="004D1E18" w:rsidRPr="007A4966" w:rsidRDefault="0039659F" w:rsidP="002E6E9A">
            <w:pPr>
              <w:spacing w:before="80" w:after="120"/>
              <w:jc w:val="left"/>
              <w:rPr>
                <w:rFonts w:eastAsia="Calibri"/>
                <w:sz w:val="22"/>
                <w:szCs w:val="22"/>
              </w:rPr>
            </w:pPr>
            <w:r>
              <w:rPr>
                <w:rFonts w:eastAsia="Calibri"/>
                <w:sz w:val="22"/>
                <w:szCs w:val="22"/>
              </w:rPr>
              <w:t xml:space="preserve">Article </w:t>
            </w:r>
            <w:r w:rsidR="006142F4">
              <w:rPr>
                <w:rFonts w:eastAsia="Calibri"/>
                <w:sz w:val="22"/>
                <w:szCs w:val="22"/>
              </w:rPr>
              <w:t>42</w:t>
            </w:r>
            <w:r w:rsidR="004D1E18">
              <w:rPr>
                <w:rFonts w:eastAsia="Calibri"/>
                <w:sz w:val="22"/>
                <w:szCs w:val="22"/>
              </w:rPr>
              <w:t xml:space="preserve"> </w:t>
            </w:r>
            <w:r w:rsidR="006142F4">
              <w:rPr>
                <w:rFonts w:eastAsia="Calibri"/>
                <w:sz w:val="22"/>
                <w:szCs w:val="22"/>
              </w:rPr>
              <w:t>–</w:t>
            </w:r>
            <w:r w:rsidR="004D1E18" w:rsidRPr="007A4966">
              <w:rPr>
                <w:rFonts w:eastAsia="Calibri"/>
                <w:sz w:val="22"/>
                <w:szCs w:val="22"/>
              </w:rPr>
              <w:t xml:space="preserve"> </w:t>
            </w:r>
            <w:r w:rsidR="006142F4">
              <w:rPr>
                <w:rFonts w:eastAsia="Calibri"/>
                <w:sz w:val="22"/>
                <w:szCs w:val="22"/>
              </w:rPr>
              <w:t>Eligible expenditure at closure</w:t>
            </w:r>
            <w:r w:rsidR="004D1E18" w:rsidRPr="007A4966">
              <w:rPr>
                <w:rFonts w:eastAsia="Calibri"/>
                <w:sz w:val="22"/>
                <w:szCs w:val="22"/>
              </w:rPr>
              <w:t xml:space="preserve"> </w:t>
            </w:r>
          </w:p>
          <w:p w:rsidR="004D1E18" w:rsidRPr="00814F67" w:rsidRDefault="004D1E18" w:rsidP="002E6E9A">
            <w:pPr>
              <w:spacing w:before="120" w:after="120"/>
              <w:jc w:val="left"/>
              <w:rPr>
                <w:rFonts w:eastAsia="Calibri"/>
                <w:sz w:val="22"/>
                <w:szCs w:val="22"/>
              </w:rPr>
            </w:pPr>
          </w:p>
        </w:tc>
      </w:tr>
      <w:tr w:rsidR="006142F4" w:rsidRPr="006525FC" w:rsidTr="00934509">
        <w:tc>
          <w:tcPr>
            <w:tcW w:w="3510" w:type="dxa"/>
            <w:shd w:val="clear" w:color="auto" w:fill="auto"/>
          </w:tcPr>
          <w:p w:rsidR="006142F4" w:rsidRPr="006525FC" w:rsidRDefault="006142F4" w:rsidP="002E6E9A">
            <w:pPr>
              <w:spacing w:before="120" w:after="120"/>
              <w:rPr>
                <w:sz w:val="22"/>
                <w:szCs w:val="22"/>
              </w:rPr>
            </w:pPr>
            <w:r>
              <w:rPr>
                <w:sz w:val="22"/>
                <w:szCs w:val="22"/>
              </w:rPr>
              <w:t>Reg. (EU) N° 480/2014</w:t>
            </w:r>
            <w:r w:rsidRPr="006525FC">
              <w:rPr>
                <w:sz w:val="22"/>
                <w:szCs w:val="22"/>
              </w:rPr>
              <w:t xml:space="preserve"> </w:t>
            </w:r>
          </w:p>
          <w:p w:rsidR="006142F4" w:rsidRPr="006525FC" w:rsidRDefault="006142F4" w:rsidP="002E6E9A">
            <w:pPr>
              <w:spacing w:after="120"/>
              <w:rPr>
                <w:sz w:val="22"/>
                <w:szCs w:val="22"/>
              </w:rPr>
            </w:pPr>
            <w:r>
              <w:rPr>
                <w:sz w:val="22"/>
                <w:szCs w:val="22"/>
              </w:rPr>
              <w:t>Commission</w:t>
            </w:r>
            <w:r w:rsidRPr="006525FC">
              <w:rPr>
                <w:sz w:val="22"/>
                <w:szCs w:val="22"/>
              </w:rPr>
              <w:t xml:space="preserve"> </w:t>
            </w:r>
            <w:r>
              <w:rPr>
                <w:sz w:val="22"/>
                <w:szCs w:val="22"/>
              </w:rPr>
              <w:t>Delegated</w:t>
            </w:r>
            <w:r w:rsidRPr="006525FC">
              <w:rPr>
                <w:sz w:val="22"/>
                <w:szCs w:val="22"/>
              </w:rPr>
              <w:t xml:space="preserve"> Regulation</w:t>
            </w:r>
          </w:p>
          <w:p w:rsidR="006142F4" w:rsidRPr="0049238C" w:rsidRDefault="006142F4" w:rsidP="002E6E9A">
            <w:pPr>
              <w:spacing w:after="120"/>
              <w:rPr>
                <w:i/>
                <w:sz w:val="22"/>
                <w:szCs w:val="22"/>
              </w:rPr>
            </w:pPr>
            <w:r w:rsidRPr="0049238C">
              <w:rPr>
                <w:i/>
                <w:sz w:val="22"/>
                <w:szCs w:val="22"/>
              </w:rPr>
              <w:t>(hereafter CDR)</w:t>
            </w:r>
          </w:p>
        </w:tc>
        <w:tc>
          <w:tcPr>
            <w:tcW w:w="5323" w:type="dxa"/>
            <w:shd w:val="clear" w:color="auto" w:fill="auto"/>
          </w:tcPr>
          <w:p w:rsidR="006142F4" w:rsidRDefault="006142F4" w:rsidP="002E6E9A">
            <w:pPr>
              <w:spacing w:before="120" w:after="120"/>
              <w:jc w:val="left"/>
              <w:rPr>
                <w:sz w:val="22"/>
                <w:szCs w:val="22"/>
              </w:rPr>
            </w:pPr>
            <w:r>
              <w:rPr>
                <w:sz w:val="22"/>
                <w:szCs w:val="22"/>
              </w:rPr>
              <w:t>Article 12 – Criteria for determining management costs and fees on the basis of performance</w:t>
            </w:r>
          </w:p>
          <w:p w:rsidR="006142F4" w:rsidRDefault="006142F4" w:rsidP="002E6E9A">
            <w:pPr>
              <w:spacing w:before="120" w:after="120"/>
              <w:jc w:val="left"/>
              <w:rPr>
                <w:sz w:val="22"/>
                <w:szCs w:val="22"/>
              </w:rPr>
            </w:pPr>
            <w:r>
              <w:rPr>
                <w:sz w:val="22"/>
                <w:szCs w:val="22"/>
              </w:rPr>
              <w:t>Article 13 – Thresholds for management costs and fees</w:t>
            </w:r>
          </w:p>
          <w:p w:rsidR="006142F4" w:rsidRPr="006525FC" w:rsidRDefault="006142F4" w:rsidP="002E6E9A">
            <w:pPr>
              <w:spacing w:before="120" w:after="120"/>
              <w:jc w:val="left"/>
              <w:rPr>
                <w:sz w:val="22"/>
                <w:szCs w:val="22"/>
              </w:rPr>
            </w:pPr>
            <w:r>
              <w:rPr>
                <w:sz w:val="22"/>
                <w:szCs w:val="22"/>
              </w:rPr>
              <w:t>Article 14 – Reimbursement of capitalised management costs and fees for equity-based investments and micro-credit</w:t>
            </w:r>
          </w:p>
        </w:tc>
      </w:tr>
    </w:tbl>
    <w:p w:rsidR="004D1E18" w:rsidRPr="004D1E18" w:rsidRDefault="004D1E18" w:rsidP="00DD0670">
      <w:pPr>
        <w:pStyle w:val="Heading1"/>
        <w:numPr>
          <w:ilvl w:val="1"/>
          <w:numId w:val="21"/>
        </w:numPr>
      </w:pPr>
      <w:bookmarkStart w:id="4" w:name="_Toc408304361"/>
      <w:bookmarkStart w:id="5" w:name="_Toc409179440"/>
      <w:bookmarkStart w:id="6" w:name="_Toc410649215"/>
      <w:r w:rsidRPr="004D1E18">
        <w:t>Purpose of the guidance</w:t>
      </w:r>
      <w:bookmarkEnd w:id="4"/>
      <w:bookmarkEnd w:id="5"/>
      <w:bookmarkEnd w:id="6"/>
    </w:p>
    <w:p w:rsidR="00C35527" w:rsidRPr="000A57F7" w:rsidRDefault="000A57F7" w:rsidP="00527097">
      <w:pPr>
        <w:spacing w:after="120"/>
        <w:rPr>
          <w:szCs w:val="24"/>
        </w:rPr>
      </w:pPr>
      <w:r w:rsidRPr="000A57F7">
        <w:rPr>
          <w:szCs w:val="24"/>
        </w:rPr>
        <w:t>Financial instruments</w:t>
      </w:r>
      <w:r w:rsidR="0003306F">
        <w:rPr>
          <w:szCs w:val="24"/>
        </w:rPr>
        <w:t xml:space="preserve"> </w:t>
      </w:r>
      <w:r w:rsidR="00CB76CD">
        <w:rPr>
          <w:szCs w:val="24"/>
        </w:rPr>
        <w:t xml:space="preserve">(FIs) </w:t>
      </w:r>
      <w:r w:rsidRPr="000A57F7">
        <w:rPr>
          <w:szCs w:val="24"/>
        </w:rPr>
        <w:t>are a fo</w:t>
      </w:r>
      <w:r w:rsidR="00963A65">
        <w:rPr>
          <w:szCs w:val="24"/>
        </w:rPr>
        <w:t xml:space="preserve">rm of support </w:t>
      </w:r>
      <w:r w:rsidR="00D46DC1">
        <w:rPr>
          <w:szCs w:val="24"/>
        </w:rPr>
        <w:t>whose</w:t>
      </w:r>
      <w:r w:rsidR="00963A65">
        <w:rPr>
          <w:szCs w:val="24"/>
        </w:rPr>
        <w:t xml:space="preserve"> success </w:t>
      </w:r>
      <w:r w:rsidRPr="000A57F7">
        <w:rPr>
          <w:szCs w:val="24"/>
        </w:rPr>
        <w:t xml:space="preserve">hinges on </w:t>
      </w:r>
      <w:r w:rsidR="00963A65">
        <w:rPr>
          <w:szCs w:val="24"/>
        </w:rPr>
        <w:t>the performance of bodies im</w:t>
      </w:r>
      <w:r w:rsidR="00A74BFE">
        <w:rPr>
          <w:szCs w:val="24"/>
        </w:rPr>
        <w:t>plementing them.</w:t>
      </w:r>
      <w:r w:rsidRPr="000A57F7">
        <w:rPr>
          <w:szCs w:val="24"/>
        </w:rPr>
        <w:t xml:space="preserve"> </w:t>
      </w:r>
      <w:r w:rsidR="00963A65">
        <w:rPr>
          <w:szCs w:val="24"/>
        </w:rPr>
        <w:t>One of the decisive parameters to align the inte</w:t>
      </w:r>
      <w:r w:rsidR="00450BEB">
        <w:rPr>
          <w:szCs w:val="24"/>
        </w:rPr>
        <w:t>rests of the managing authorities and the bodies implementing financial instruments is the remuneration paid to the latter</w:t>
      </w:r>
      <w:r w:rsidR="00E72119">
        <w:rPr>
          <w:szCs w:val="24"/>
        </w:rPr>
        <w:t xml:space="preserve"> in the form of </w:t>
      </w:r>
      <w:r w:rsidR="00B55A9A">
        <w:rPr>
          <w:szCs w:val="24"/>
        </w:rPr>
        <w:t xml:space="preserve">performance-based </w:t>
      </w:r>
      <w:r w:rsidR="00E72119">
        <w:rPr>
          <w:szCs w:val="24"/>
        </w:rPr>
        <w:t>management costs and/or fees</w:t>
      </w:r>
      <w:r w:rsidR="00360082">
        <w:rPr>
          <w:szCs w:val="24"/>
        </w:rPr>
        <w:t>.</w:t>
      </w:r>
    </w:p>
    <w:p w:rsidR="000A57F7" w:rsidRPr="000A57F7" w:rsidRDefault="00360082" w:rsidP="00757ECD">
      <w:pPr>
        <w:spacing w:before="120" w:after="120"/>
        <w:rPr>
          <w:szCs w:val="24"/>
        </w:rPr>
      </w:pPr>
      <w:r>
        <w:rPr>
          <w:szCs w:val="24"/>
        </w:rPr>
        <w:t xml:space="preserve">In 2007-2013 </w:t>
      </w:r>
      <w:r w:rsidR="00661D00">
        <w:rPr>
          <w:szCs w:val="24"/>
        </w:rPr>
        <w:t>management costs and fees</w:t>
      </w:r>
      <w:r>
        <w:rPr>
          <w:szCs w:val="24"/>
        </w:rPr>
        <w:t xml:space="preserve"> paid to bodies implementing </w:t>
      </w:r>
      <w:r w:rsidR="00B65B9E">
        <w:rPr>
          <w:szCs w:val="24"/>
        </w:rPr>
        <w:t xml:space="preserve">FIs were calculated on the basis of the amounts contributed to the FIs and were, in many cases, decoupled </w:t>
      </w:r>
      <w:r>
        <w:rPr>
          <w:szCs w:val="24"/>
        </w:rPr>
        <w:t>from their performance</w:t>
      </w:r>
      <w:r w:rsidR="00757ECD">
        <w:rPr>
          <w:szCs w:val="24"/>
        </w:rPr>
        <w:t xml:space="preserve"> </w:t>
      </w:r>
      <w:r w:rsidR="00B65B9E">
        <w:rPr>
          <w:szCs w:val="24"/>
        </w:rPr>
        <w:t>(</w:t>
      </w:r>
      <w:r w:rsidR="00DE357C">
        <w:rPr>
          <w:szCs w:val="24"/>
        </w:rPr>
        <w:t xml:space="preserve">for e.g. </w:t>
      </w:r>
      <w:r w:rsidR="00B65B9E">
        <w:rPr>
          <w:szCs w:val="24"/>
        </w:rPr>
        <w:t>the disbursements to final recipients)</w:t>
      </w:r>
      <w:r>
        <w:rPr>
          <w:szCs w:val="24"/>
        </w:rPr>
        <w:t xml:space="preserve">. </w:t>
      </w:r>
      <w:r w:rsidR="00C35527">
        <w:rPr>
          <w:szCs w:val="24"/>
        </w:rPr>
        <w:t>T</w:t>
      </w:r>
      <w:r>
        <w:rPr>
          <w:szCs w:val="24"/>
        </w:rPr>
        <w:t xml:space="preserve">he legislation </w:t>
      </w:r>
      <w:r w:rsidR="00533180">
        <w:rPr>
          <w:szCs w:val="24"/>
        </w:rPr>
        <w:t xml:space="preserve">also </w:t>
      </w:r>
      <w:r>
        <w:rPr>
          <w:szCs w:val="24"/>
        </w:rPr>
        <w:t xml:space="preserve">set rather </w:t>
      </w:r>
      <w:r w:rsidR="00694206">
        <w:rPr>
          <w:szCs w:val="24"/>
        </w:rPr>
        <w:t>high</w:t>
      </w:r>
      <w:r>
        <w:rPr>
          <w:szCs w:val="24"/>
        </w:rPr>
        <w:t xml:space="preserve"> limits for management costs and fees considered as eligible expenditure and </w:t>
      </w:r>
      <w:r w:rsidR="00C35527">
        <w:rPr>
          <w:szCs w:val="24"/>
        </w:rPr>
        <w:t>linked them to the amounts</w:t>
      </w:r>
      <w:r w:rsidR="00661D00">
        <w:rPr>
          <w:szCs w:val="24"/>
        </w:rPr>
        <w:t xml:space="preserve"> contributed to the funds, i.e. </w:t>
      </w:r>
      <w:r w:rsidR="00A74BFE">
        <w:rPr>
          <w:szCs w:val="24"/>
        </w:rPr>
        <w:t xml:space="preserve">those </w:t>
      </w:r>
      <w:r w:rsidR="00661D00">
        <w:rPr>
          <w:szCs w:val="24"/>
        </w:rPr>
        <w:t>made at the disposal of the bodies implementing them</w:t>
      </w:r>
      <w:r w:rsidR="00C35527">
        <w:rPr>
          <w:szCs w:val="24"/>
        </w:rPr>
        <w:t xml:space="preserve">. </w:t>
      </w:r>
    </w:p>
    <w:p w:rsidR="000A57F7" w:rsidRPr="00092C41" w:rsidRDefault="000A57F7" w:rsidP="00A667D5">
      <w:pPr>
        <w:spacing w:after="120"/>
        <w:rPr>
          <w:szCs w:val="24"/>
        </w:rPr>
      </w:pPr>
      <w:r w:rsidRPr="00092C41">
        <w:rPr>
          <w:szCs w:val="24"/>
        </w:rPr>
        <w:t xml:space="preserve">Article </w:t>
      </w:r>
      <w:r w:rsidR="00C35527" w:rsidRPr="00092C41">
        <w:rPr>
          <w:szCs w:val="24"/>
        </w:rPr>
        <w:t>42</w:t>
      </w:r>
      <w:r w:rsidRPr="00092C41">
        <w:rPr>
          <w:szCs w:val="24"/>
        </w:rPr>
        <w:t>(</w:t>
      </w:r>
      <w:r w:rsidR="00C35527" w:rsidRPr="00092C41">
        <w:rPr>
          <w:szCs w:val="24"/>
        </w:rPr>
        <w:t>1</w:t>
      </w:r>
      <w:r w:rsidRPr="00092C41">
        <w:rPr>
          <w:szCs w:val="24"/>
        </w:rPr>
        <w:t>)</w:t>
      </w:r>
      <w:r w:rsidR="00C35527" w:rsidRPr="00092C41">
        <w:rPr>
          <w:szCs w:val="24"/>
        </w:rPr>
        <w:t>(d)</w:t>
      </w:r>
      <w:r w:rsidR="006621EF" w:rsidRPr="00092C41">
        <w:rPr>
          <w:szCs w:val="24"/>
        </w:rPr>
        <w:t xml:space="preserve">, </w:t>
      </w:r>
      <w:r w:rsidR="00EF4D43">
        <w:rPr>
          <w:szCs w:val="24"/>
        </w:rPr>
        <w:t xml:space="preserve">(2), </w:t>
      </w:r>
      <w:r w:rsidR="006621EF" w:rsidRPr="00092C41">
        <w:rPr>
          <w:szCs w:val="24"/>
        </w:rPr>
        <w:t>(5) and (6)</w:t>
      </w:r>
      <w:r w:rsidRPr="00092C41">
        <w:rPr>
          <w:szCs w:val="24"/>
        </w:rPr>
        <w:t xml:space="preserve"> </w:t>
      </w:r>
      <w:r w:rsidR="0003306F" w:rsidRPr="00092C41">
        <w:rPr>
          <w:szCs w:val="24"/>
        </w:rPr>
        <w:t>CPR</w:t>
      </w:r>
      <w:r w:rsidRPr="00092C41">
        <w:rPr>
          <w:szCs w:val="24"/>
        </w:rPr>
        <w:t xml:space="preserve"> </w:t>
      </w:r>
      <w:r w:rsidR="00092C41" w:rsidRPr="00092C41">
        <w:rPr>
          <w:szCs w:val="24"/>
        </w:rPr>
        <w:t>provide for a new approach to eligible management costs and fees</w:t>
      </w:r>
      <w:r w:rsidR="00092C41">
        <w:rPr>
          <w:szCs w:val="24"/>
        </w:rPr>
        <w:t>, introducing a requirement for their performance orientation and new calculation of thresholds as further stipulated</w:t>
      </w:r>
      <w:r w:rsidR="006621EF" w:rsidRPr="00092C41">
        <w:rPr>
          <w:szCs w:val="24"/>
        </w:rPr>
        <w:t xml:space="preserve"> in Articles 12, 13 and 14 CDR</w:t>
      </w:r>
      <w:r w:rsidRPr="00092C41">
        <w:rPr>
          <w:szCs w:val="24"/>
        </w:rPr>
        <w:t>.</w:t>
      </w:r>
    </w:p>
    <w:p w:rsidR="00661D00" w:rsidRDefault="00661D00" w:rsidP="002E6E9A">
      <w:pPr>
        <w:spacing w:after="120"/>
        <w:rPr>
          <w:szCs w:val="24"/>
        </w:rPr>
      </w:pPr>
      <w:r>
        <w:rPr>
          <w:szCs w:val="24"/>
        </w:rPr>
        <w:t>The purpose of the guidance is to clarify how to apply the new approach to management costs and fees</w:t>
      </w:r>
      <w:r w:rsidR="00A74BFE">
        <w:rPr>
          <w:szCs w:val="24"/>
        </w:rPr>
        <w:t xml:space="preserve"> of bodies implementing financial instruments</w:t>
      </w:r>
      <w:r w:rsidR="001C1B1F">
        <w:rPr>
          <w:szCs w:val="24"/>
        </w:rPr>
        <w:t xml:space="preserve"> in accordance with Article 38(4</w:t>
      </w:r>
      <w:proofErr w:type="gramStart"/>
      <w:r w:rsidR="001C1B1F">
        <w:rPr>
          <w:szCs w:val="24"/>
        </w:rPr>
        <w:t>)(</w:t>
      </w:r>
      <w:proofErr w:type="gramEnd"/>
      <w:r w:rsidR="001C1B1F">
        <w:rPr>
          <w:szCs w:val="24"/>
        </w:rPr>
        <w:t>b) CPR</w:t>
      </w:r>
      <w:r w:rsidR="00E72119">
        <w:rPr>
          <w:szCs w:val="24"/>
        </w:rPr>
        <w:t>,</w:t>
      </w:r>
      <w:r>
        <w:rPr>
          <w:szCs w:val="24"/>
        </w:rPr>
        <w:t xml:space="preserve"> based on questions asked by the Member States</w:t>
      </w:r>
      <w:r w:rsidR="00E54BB0">
        <w:rPr>
          <w:szCs w:val="24"/>
        </w:rPr>
        <w:t>,</w:t>
      </w:r>
      <w:r>
        <w:rPr>
          <w:szCs w:val="24"/>
        </w:rPr>
        <w:t xml:space="preserve"> in particular during the </w:t>
      </w:r>
      <w:r w:rsidR="00E72119">
        <w:rPr>
          <w:szCs w:val="24"/>
        </w:rPr>
        <w:t xml:space="preserve">preparation of the CDR, as well as bilateral requests for clarification received afterwards. </w:t>
      </w:r>
    </w:p>
    <w:p w:rsidR="001C1B1F" w:rsidRPr="001C1B1F" w:rsidRDefault="001C1B1F" w:rsidP="001C1B1F">
      <w:pPr>
        <w:spacing w:after="120"/>
        <w:rPr>
          <w:szCs w:val="24"/>
        </w:rPr>
      </w:pPr>
      <w:r w:rsidRPr="001C1B1F">
        <w:rPr>
          <w:szCs w:val="24"/>
        </w:rPr>
        <w:t>This guidance note does not cover other implementation options available, namely</w:t>
      </w:r>
      <w:r>
        <w:rPr>
          <w:szCs w:val="24"/>
        </w:rPr>
        <w:t>:</w:t>
      </w:r>
      <w:r w:rsidRPr="001C1B1F">
        <w:rPr>
          <w:szCs w:val="24"/>
        </w:rPr>
        <w:t xml:space="preserve"> contribution to FIs at EU-level implemented directly or indirectly by the Commission under Article 38(1)(a) CPR, investment in capital of legal entities under Article 38(4)(a) CPR and loans and guarantees implemented directly by MA or IB </w:t>
      </w:r>
      <w:r>
        <w:rPr>
          <w:szCs w:val="24"/>
        </w:rPr>
        <w:t>under Article 38(4)</w:t>
      </w:r>
      <w:r w:rsidRPr="001C1B1F">
        <w:rPr>
          <w:szCs w:val="24"/>
        </w:rPr>
        <w:t>(c)</w:t>
      </w:r>
      <w:r>
        <w:rPr>
          <w:szCs w:val="24"/>
        </w:rPr>
        <w:t xml:space="preserve"> CPR. D</w:t>
      </w:r>
      <w:r w:rsidRPr="001C1B1F">
        <w:rPr>
          <w:szCs w:val="24"/>
        </w:rPr>
        <w:t xml:space="preserve">edicated guidance </w:t>
      </w:r>
      <w:r>
        <w:rPr>
          <w:szCs w:val="24"/>
        </w:rPr>
        <w:t xml:space="preserve">notes </w:t>
      </w:r>
      <w:r w:rsidRPr="001C1B1F">
        <w:rPr>
          <w:szCs w:val="24"/>
        </w:rPr>
        <w:t>will be developed for them.</w:t>
      </w:r>
    </w:p>
    <w:p w:rsidR="00450BEB" w:rsidRDefault="00450BEB" w:rsidP="00757ECD">
      <w:pPr>
        <w:pStyle w:val="Heading1"/>
        <w:numPr>
          <w:ilvl w:val="0"/>
          <w:numId w:val="21"/>
        </w:numPr>
      </w:pPr>
      <w:r>
        <w:lastRenderedPageBreak/>
        <w:t>Guidance</w:t>
      </w:r>
    </w:p>
    <w:p w:rsidR="006716FD" w:rsidRDefault="006716FD" w:rsidP="00757ECD">
      <w:pPr>
        <w:pStyle w:val="Heading1"/>
        <w:numPr>
          <w:ilvl w:val="1"/>
          <w:numId w:val="21"/>
        </w:numPr>
      </w:pPr>
      <w:r>
        <w:t>General rule</w:t>
      </w:r>
    </w:p>
    <w:p w:rsidR="006716FD" w:rsidRDefault="006716FD" w:rsidP="001C1B1F">
      <w:pPr>
        <w:spacing w:after="120"/>
        <w:rPr>
          <w:szCs w:val="24"/>
        </w:rPr>
      </w:pPr>
      <w:r w:rsidRPr="000A57F7">
        <w:rPr>
          <w:szCs w:val="24"/>
        </w:rPr>
        <w:t xml:space="preserve">Article </w:t>
      </w:r>
      <w:r>
        <w:rPr>
          <w:szCs w:val="24"/>
        </w:rPr>
        <w:t>42</w:t>
      </w:r>
      <w:r w:rsidRPr="000A57F7">
        <w:rPr>
          <w:szCs w:val="24"/>
        </w:rPr>
        <w:t>(</w:t>
      </w:r>
      <w:r>
        <w:rPr>
          <w:szCs w:val="24"/>
        </w:rPr>
        <w:t>1</w:t>
      </w:r>
      <w:r w:rsidRPr="000A57F7">
        <w:rPr>
          <w:szCs w:val="24"/>
        </w:rPr>
        <w:t>)</w:t>
      </w:r>
      <w:r>
        <w:rPr>
          <w:szCs w:val="24"/>
        </w:rPr>
        <w:t xml:space="preserve">(d), </w:t>
      </w:r>
      <w:r w:rsidR="005F6353">
        <w:rPr>
          <w:szCs w:val="24"/>
        </w:rPr>
        <w:t xml:space="preserve">(2), </w:t>
      </w:r>
      <w:r>
        <w:rPr>
          <w:szCs w:val="24"/>
        </w:rPr>
        <w:t>(5) and (6)</w:t>
      </w:r>
      <w:r w:rsidRPr="000A57F7">
        <w:rPr>
          <w:szCs w:val="24"/>
        </w:rPr>
        <w:t xml:space="preserve"> </w:t>
      </w:r>
      <w:r>
        <w:rPr>
          <w:szCs w:val="24"/>
        </w:rPr>
        <w:t>CPR</w:t>
      </w:r>
      <w:r w:rsidRPr="000A57F7">
        <w:rPr>
          <w:szCs w:val="24"/>
        </w:rPr>
        <w:t xml:space="preserve"> </w:t>
      </w:r>
      <w:r w:rsidR="00352F66">
        <w:rPr>
          <w:szCs w:val="24"/>
        </w:rPr>
        <w:t xml:space="preserve">lays down </w:t>
      </w:r>
      <w:r>
        <w:rPr>
          <w:szCs w:val="24"/>
        </w:rPr>
        <w:t xml:space="preserve">that management costs and fees </w:t>
      </w:r>
      <w:r w:rsidR="00402849">
        <w:rPr>
          <w:szCs w:val="24"/>
        </w:rPr>
        <w:t>for FIs implemented in accordance with Article 38(4)(b)</w:t>
      </w:r>
      <w:r w:rsidR="00394E62">
        <w:rPr>
          <w:szCs w:val="24"/>
        </w:rPr>
        <w:t xml:space="preserve"> CPR</w:t>
      </w:r>
      <w:r w:rsidR="00402849">
        <w:rPr>
          <w:szCs w:val="24"/>
        </w:rPr>
        <w:t xml:space="preserve"> </w:t>
      </w:r>
      <w:r w:rsidR="001C1B1F">
        <w:rPr>
          <w:szCs w:val="24"/>
        </w:rPr>
        <w:t xml:space="preserve">will </w:t>
      </w:r>
      <w:r w:rsidR="00402849">
        <w:rPr>
          <w:szCs w:val="24"/>
        </w:rPr>
        <w:t xml:space="preserve">be considered as eligible expenditure at closure and that </w:t>
      </w:r>
      <w:r w:rsidR="001C1B1F">
        <w:rPr>
          <w:szCs w:val="24"/>
        </w:rPr>
        <w:t xml:space="preserve"> if </w:t>
      </w:r>
      <w:r w:rsidR="00402849">
        <w:rPr>
          <w:szCs w:val="24"/>
        </w:rPr>
        <w:t xml:space="preserve">they in addition </w:t>
      </w:r>
      <w:r>
        <w:rPr>
          <w:szCs w:val="24"/>
        </w:rPr>
        <w:t xml:space="preserve">respect the </w:t>
      </w:r>
      <w:r w:rsidR="005F6353">
        <w:rPr>
          <w:szCs w:val="24"/>
        </w:rPr>
        <w:t xml:space="preserve">performance-based  </w:t>
      </w:r>
      <w:r>
        <w:rPr>
          <w:szCs w:val="24"/>
        </w:rPr>
        <w:t>criteria and the thresholds set out in Articles 12, 13 and 14 CDR</w:t>
      </w:r>
      <w:r w:rsidRPr="000A57F7">
        <w:rPr>
          <w:szCs w:val="24"/>
        </w:rPr>
        <w:t>.</w:t>
      </w:r>
    </w:p>
    <w:p w:rsidR="00450BEB" w:rsidRDefault="00AF454A" w:rsidP="00757ECD">
      <w:pPr>
        <w:pStyle w:val="Heading1"/>
        <w:numPr>
          <w:ilvl w:val="1"/>
          <w:numId w:val="21"/>
        </w:numPr>
      </w:pPr>
      <w:r>
        <w:t>The scope of management costs and fees</w:t>
      </w:r>
    </w:p>
    <w:p w:rsidR="001C1B1F" w:rsidRDefault="00995CD4" w:rsidP="00995CD4">
      <w:pPr>
        <w:spacing w:after="120"/>
        <w:rPr>
          <w:szCs w:val="24"/>
        </w:rPr>
      </w:pPr>
      <w:r w:rsidRPr="00995CD4">
        <w:rPr>
          <w:szCs w:val="24"/>
        </w:rPr>
        <w:t>Article 42(5) CPR defines m</w:t>
      </w:r>
      <w:r w:rsidR="00313D90" w:rsidRPr="00995CD4">
        <w:rPr>
          <w:szCs w:val="24"/>
        </w:rPr>
        <w:t xml:space="preserve">anagement costs as </w:t>
      </w:r>
      <w:r w:rsidR="00E72119" w:rsidRPr="00995CD4">
        <w:rPr>
          <w:szCs w:val="24"/>
        </w:rPr>
        <w:t>comprising direct and indirect costs</w:t>
      </w:r>
      <w:r w:rsidRPr="00995CD4">
        <w:rPr>
          <w:szCs w:val="24"/>
        </w:rPr>
        <w:t xml:space="preserve"> which are</w:t>
      </w:r>
      <w:r w:rsidR="00E72119" w:rsidRPr="00995CD4">
        <w:rPr>
          <w:szCs w:val="24"/>
        </w:rPr>
        <w:t xml:space="preserve"> reimbursed against evidence of expenditure </w:t>
      </w:r>
      <w:r w:rsidR="00313D90" w:rsidRPr="00995CD4">
        <w:rPr>
          <w:szCs w:val="24"/>
        </w:rPr>
        <w:t>whereas</w:t>
      </w:r>
      <w:r w:rsidR="00E72119" w:rsidRPr="00995CD4">
        <w:rPr>
          <w:szCs w:val="24"/>
        </w:rPr>
        <w:t xml:space="preserve"> management fees </w:t>
      </w:r>
      <w:r w:rsidRPr="00995CD4">
        <w:rPr>
          <w:szCs w:val="24"/>
        </w:rPr>
        <w:t xml:space="preserve">are </w:t>
      </w:r>
      <w:r w:rsidR="00E72119" w:rsidRPr="00995CD4">
        <w:rPr>
          <w:szCs w:val="24"/>
        </w:rPr>
        <w:t>re</w:t>
      </w:r>
      <w:r w:rsidR="00313D90" w:rsidRPr="00995CD4">
        <w:rPr>
          <w:szCs w:val="24"/>
        </w:rPr>
        <w:t>fer</w:t>
      </w:r>
      <w:r w:rsidRPr="00995CD4">
        <w:rPr>
          <w:szCs w:val="24"/>
        </w:rPr>
        <w:t>red</w:t>
      </w:r>
      <w:r w:rsidR="00E72119" w:rsidRPr="00995CD4">
        <w:rPr>
          <w:szCs w:val="24"/>
        </w:rPr>
        <w:t xml:space="preserve"> to </w:t>
      </w:r>
      <w:r w:rsidRPr="00995CD4">
        <w:rPr>
          <w:szCs w:val="24"/>
        </w:rPr>
        <w:t xml:space="preserve">as </w:t>
      </w:r>
      <w:r w:rsidR="00D46DC1" w:rsidRPr="00995CD4">
        <w:rPr>
          <w:szCs w:val="24"/>
        </w:rPr>
        <w:t xml:space="preserve">an </w:t>
      </w:r>
      <w:r w:rsidR="00E72119" w:rsidRPr="00995CD4">
        <w:rPr>
          <w:szCs w:val="24"/>
        </w:rPr>
        <w:t>agreed price for services rendered</w:t>
      </w:r>
      <w:r w:rsidRPr="00995CD4">
        <w:rPr>
          <w:szCs w:val="24"/>
        </w:rPr>
        <w:t>. Such agreed price may be</w:t>
      </w:r>
      <w:r w:rsidR="00E72119" w:rsidRPr="00995CD4">
        <w:rPr>
          <w:szCs w:val="24"/>
        </w:rPr>
        <w:t xml:space="preserve"> established via a competitive market process</w:t>
      </w:r>
      <w:r w:rsidRPr="00995CD4">
        <w:rPr>
          <w:szCs w:val="24"/>
        </w:rPr>
        <w:t xml:space="preserve">, </w:t>
      </w:r>
      <w:r>
        <w:rPr>
          <w:szCs w:val="24"/>
        </w:rPr>
        <w:t>if</w:t>
      </w:r>
      <w:r w:rsidRPr="00995CD4">
        <w:rPr>
          <w:szCs w:val="24"/>
        </w:rPr>
        <w:t xml:space="preserve"> the latter is applied when selecting the body implementing financial instrument(s)</w:t>
      </w:r>
      <w:r w:rsidRPr="00995CD4">
        <w:rPr>
          <w:rStyle w:val="FootnoteReference"/>
          <w:szCs w:val="24"/>
        </w:rPr>
        <w:footnoteReference w:id="2"/>
      </w:r>
      <w:r w:rsidR="00E72119" w:rsidRPr="00995CD4">
        <w:rPr>
          <w:szCs w:val="24"/>
        </w:rPr>
        <w:t>.</w:t>
      </w:r>
      <w:r w:rsidR="003947C1" w:rsidRPr="00995CD4">
        <w:rPr>
          <w:szCs w:val="24"/>
        </w:rPr>
        <w:t xml:space="preserve"> </w:t>
      </w:r>
    </w:p>
    <w:p w:rsidR="001C1B1F" w:rsidRPr="001C1B1F" w:rsidRDefault="001C1B1F" w:rsidP="001C1B1F">
      <w:pPr>
        <w:spacing w:after="120"/>
        <w:rPr>
          <w:szCs w:val="24"/>
        </w:rPr>
      </w:pPr>
      <w:r w:rsidRPr="001C1B1F">
        <w:rPr>
          <w:szCs w:val="24"/>
        </w:rPr>
        <w:t xml:space="preserve">The question of what constitutes eligible expenditure regarding management costs is dealt with in the first instance by national rules. Such eligible expenditure may include costs incurred by the body implementing the financial instrument as part of the preparation of investment decisions and the subsequent monitoring and follow-up of investments (e.g. technical studies, audit, legal expertise, </w:t>
      </w:r>
      <w:proofErr w:type="spellStart"/>
      <w:r w:rsidRPr="001C1B1F">
        <w:rPr>
          <w:szCs w:val="24"/>
        </w:rPr>
        <w:t>etc</w:t>
      </w:r>
      <w:proofErr w:type="spellEnd"/>
      <w:r w:rsidRPr="001C1B1F">
        <w:rPr>
          <w:szCs w:val="24"/>
        </w:rPr>
        <w:t xml:space="preserve">) but should not include costs which are directly imputable to the preparation and/or implementation of individual projects or investment plans by final recipients, such as the costs of obtaining planning consent, technical feasibility studies, project management expenses, </w:t>
      </w:r>
      <w:proofErr w:type="spellStart"/>
      <w:r w:rsidRPr="001C1B1F">
        <w:rPr>
          <w:szCs w:val="24"/>
        </w:rPr>
        <w:t>etc</w:t>
      </w:r>
      <w:proofErr w:type="spellEnd"/>
      <w:r w:rsidRPr="001C1B1F">
        <w:rPr>
          <w:szCs w:val="24"/>
        </w:rPr>
        <w:t xml:space="preserve"> which are part of the cost of the investment. As simple and non-exhaustive examples, in the past the Commission has considered the following categories of costs as eligible management costs compatible with the principles of sound and efficient financial management:</w:t>
      </w:r>
    </w:p>
    <w:p w:rsidR="001C1B1F" w:rsidRPr="001C1B1F" w:rsidRDefault="001C1B1F" w:rsidP="001C1B1F">
      <w:pPr>
        <w:numPr>
          <w:ilvl w:val="0"/>
          <w:numId w:val="26"/>
        </w:numPr>
        <w:spacing w:after="120"/>
        <w:rPr>
          <w:szCs w:val="24"/>
        </w:rPr>
      </w:pPr>
      <w:r w:rsidRPr="001C1B1F">
        <w:rPr>
          <w:szCs w:val="24"/>
        </w:rPr>
        <w:t>staff costs, including travel and subsistence expenses, the cost of offices, equipment, IT systems, consumables and supplies, directly linked to the management and investment of contributions from programmes to financial instruments; such costs being incurred in carrying out activities such as selection and tendering procedures, controls, monitoring and reporting, consultancy, information and publicity;</w:t>
      </w:r>
    </w:p>
    <w:p w:rsidR="001C1B1F" w:rsidRPr="001C1B1F" w:rsidRDefault="001C1B1F" w:rsidP="001C1B1F">
      <w:pPr>
        <w:numPr>
          <w:ilvl w:val="0"/>
          <w:numId w:val="26"/>
        </w:numPr>
        <w:spacing w:after="120"/>
        <w:rPr>
          <w:szCs w:val="24"/>
        </w:rPr>
      </w:pPr>
      <w:proofErr w:type="gramStart"/>
      <w:r w:rsidRPr="001C1B1F">
        <w:rPr>
          <w:szCs w:val="24"/>
        </w:rPr>
        <w:t>overheads</w:t>
      </w:r>
      <w:proofErr w:type="gramEnd"/>
      <w:r w:rsidRPr="001C1B1F">
        <w:rPr>
          <w:szCs w:val="24"/>
        </w:rPr>
        <w:t xml:space="preserve"> of the body implementing the financial instrument provided that they are based on actual costs and are allocated pro rata to the operations according to a duly justified fair and equitable method.</w:t>
      </w:r>
    </w:p>
    <w:p w:rsidR="00092C41" w:rsidRDefault="00092C41" w:rsidP="002E6E9A">
      <w:pPr>
        <w:spacing w:after="120"/>
        <w:rPr>
          <w:szCs w:val="24"/>
        </w:rPr>
      </w:pPr>
      <w:r>
        <w:rPr>
          <w:szCs w:val="24"/>
        </w:rPr>
        <w:t>Managing authorities and bodies implementing financial instruments, including fund</w:t>
      </w:r>
      <w:r w:rsidR="00D46DC1">
        <w:rPr>
          <w:szCs w:val="24"/>
        </w:rPr>
        <w:t>s</w:t>
      </w:r>
      <w:r>
        <w:rPr>
          <w:szCs w:val="24"/>
        </w:rPr>
        <w:t xml:space="preserve"> of funds, </w:t>
      </w:r>
      <w:r w:rsidR="00AF454A">
        <w:rPr>
          <w:szCs w:val="24"/>
        </w:rPr>
        <w:t>will</w:t>
      </w:r>
      <w:r>
        <w:rPr>
          <w:szCs w:val="24"/>
        </w:rPr>
        <w:t xml:space="preserve"> agree on the form of remuneration which is </w:t>
      </w:r>
      <w:r w:rsidR="00AF454A">
        <w:rPr>
          <w:szCs w:val="24"/>
        </w:rPr>
        <w:t>appropriate</w:t>
      </w:r>
      <w:r w:rsidR="00866C45">
        <w:rPr>
          <w:szCs w:val="24"/>
        </w:rPr>
        <w:t xml:space="preserve"> in</w:t>
      </w:r>
      <w:r>
        <w:rPr>
          <w:szCs w:val="24"/>
        </w:rPr>
        <w:t xml:space="preserve"> a given </w:t>
      </w:r>
      <w:r w:rsidR="00866C45">
        <w:rPr>
          <w:szCs w:val="24"/>
        </w:rPr>
        <w:t>case</w:t>
      </w:r>
      <w:r>
        <w:rPr>
          <w:szCs w:val="24"/>
        </w:rPr>
        <w:t>: management costs, management fees or a combination of them</w:t>
      </w:r>
      <w:r w:rsidR="00985EB1">
        <w:rPr>
          <w:szCs w:val="24"/>
        </w:rPr>
        <w:t>.</w:t>
      </w:r>
      <w:r w:rsidR="006716FD">
        <w:rPr>
          <w:szCs w:val="24"/>
        </w:rPr>
        <w:t xml:space="preserve"> </w:t>
      </w:r>
      <w:r w:rsidR="006716FD">
        <w:t>H</w:t>
      </w:r>
      <w:r>
        <w:rPr>
          <w:szCs w:val="24"/>
        </w:rPr>
        <w:t xml:space="preserve">owever, as the CPR requires that management costs and fees are performance-based, remuneration based on management costs only </w:t>
      </w:r>
      <w:r w:rsidR="00352F66">
        <w:rPr>
          <w:szCs w:val="24"/>
        </w:rPr>
        <w:t>must also respect</w:t>
      </w:r>
      <w:r w:rsidR="00866C45">
        <w:rPr>
          <w:szCs w:val="24"/>
        </w:rPr>
        <w:t xml:space="preserve"> this requirement</w:t>
      </w:r>
      <w:r>
        <w:rPr>
          <w:szCs w:val="24"/>
        </w:rPr>
        <w:t>.</w:t>
      </w:r>
    </w:p>
    <w:p w:rsidR="009F6FF8" w:rsidRDefault="00F64ECB" w:rsidP="009D5DEC">
      <w:pPr>
        <w:spacing w:after="120"/>
      </w:pPr>
      <w:r>
        <w:t>Provisions regarding t</w:t>
      </w:r>
      <w:r w:rsidR="00C200EC">
        <w:t>he calculation and payment of management costs incurred or of the management fees of the financial instruments</w:t>
      </w:r>
      <w:r w:rsidR="005D5889">
        <w:t xml:space="preserve"> must be included in the funding agreement between a managing authority and a body implementing financial instrument(s), in line </w:t>
      </w:r>
      <w:r w:rsidR="005D5889" w:rsidRPr="00866C45">
        <w:rPr>
          <w:szCs w:val="24"/>
        </w:rPr>
        <w:t>with</w:t>
      </w:r>
      <w:r w:rsidR="005D5889">
        <w:t xml:space="preserve"> Annex IV(1)(h) CPR</w:t>
      </w:r>
      <w:r w:rsidR="00C200EC">
        <w:t xml:space="preserve">. </w:t>
      </w:r>
    </w:p>
    <w:p w:rsidR="005049C5" w:rsidRDefault="00851CF2" w:rsidP="00AB43B0">
      <w:pPr>
        <w:spacing w:after="120"/>
      </w:pPr>
      <w:r>
        <w:lastRenderedPageBreak/>
        <w:t>T</w:t>
      </w:r>
      <w:r w:rsidR="002B711C">
        <w:t>hese provisions take into account the performance-based criteria provided by</w:t>
      </w:r>
      <w:r w:rsidR="00C200EC">
        <w:t xml:space="preserve"> Article</w:t>
      </w:r>
      <w:r w:rsidR="00AE2391">
        <w:t xml:space="preserve"> 12(1) </w:t>
      </w:r>
      <w:r w:rsidR="00C200EC">
        <w:t>CDR,</w:t>
      </w:r>
      <w:r w:rsidR="002B711C">
        <w:t xml:space="preserve"> namely</w:t>
      </w:r>
      <w:r w:rsidR="00C200EC">
        <w:t xml:space="preserve">: </w:t>
      </w:r>
    </w:p>
    <w:p w:rsidR="005049C5" w:rsidRDefault="00C200EC" w:rsidP="00E42D70">
      <w:pPr>
        <w:numPr>
          <w:ilvl w:val="0"/>
          <w:numId w:val="20"/>
        </w:numPr>
        <w:spacing w:after="120"/>
      </w:pPr>
      <w:r>
        <w:t>the disbursement of contribution provided by the ESI Funds programme,</w:t>
      </w:r>
    </w:p>
    <w:p w:rsidR="005049C5" w:rsidRDefault="00C200EC" w:rsidP="00E42D70">
      <w:pPr>
        <w:numPr>
          <w:ilvl w:val="0"/>
          <w:numId w:val="20"/>
        </w:numPr>
        <w:spacing w:after="120"/>
      </w:pPr>
      <w:r>
        <w:t>the resources paid back from investments or from the release of resources committed for guarantee contracts</w:t>
      </w:r>
      <w:r w:rsidR="00851CF2">
        <w:rPr>
          <w:rStyle w:val="FootnoteReference"/>
        </w:rPr>
        <w:footnoteReference w:id="3"/>
      </w:r>
      <w:r>
        <w:t xml:space="preserve">, </w:t>
      </w:r>
    </w:p>
    <w:p w:rsidR="005049C5" w:rsidRDefault="00C200EC" w:rsidP="00E42D70">
      <w:pPr>
        <w:numPr>
          <w:ilvl w:val="0"/>
          <w:numId w:val="20"/>
        </w:numPr>
        <w:spacing w:after="120"/>
      </w:pPr>
      <w:r>
        <w:t xml:space="preserve">the quality of measures accompanying the investment before </w:t>
      </w:r>
      <w:r w:rsidR="002B711C">
        <w:t xml:space="preserve">and after the investment decision to maximise its impact, and </w:t>
      </w:r>
    </w:p>
    <w:p w:rsidR="005049C5" w:rsidRDefault="002B711C" w:rsidP="00E42D70">
      <w:pPr>
        <w:numPr>
          <w:ilvl w:val="0"/>
          <w:numId w:val="20"/>
        </w:numPr>
        <w:spacing w:after="120"/>
      </w:pPr>
      <w:proofErr w:type="gramStart"/>
      <w:r>
        <w:t>the</w:t>
      </w:r>
      <w:proofErr w:type="gramEnd"/>
      <w:r>
        <w:t xml:space="preserve"> contribution of the financial instrument to the objectives and outputs of the programme.</w:t>
      </w:r>
      <w:r w:rsidR="009D5DEC">
        <w:t xml:space="preserve"> </w:t>
      </w:r>
    </w:p>
    <w:p w:rsidR="00C200EC" w:rsidRDefault="009D5DEC" w:rsidP="000B7D52">
      <w:pPr>
        <w:spacing w:after="120"/>
      </w:pPr>
      <w:r>
        <w:t xml:space="preserve">The MA defines how to translate the criteria into more concrete requirements/targets for the purpose of remuneration, adapted to the </w:t>
      </w:r>
      <w:r w:rsidR="00D46DC1">
        <w:t xml:space="preserve">requirements of the operational programme and </w:t>
      </w:r>
      <w:r>
        <w:t xml:space="preserve">local needs and conditions. </w:t>
      </w:r>
      <w:r w:rsidR="00F81E20">
        <w:t>The performance of a body implementing financial instrument(s) should always be tracked in relation to target values agreed</w:t>
      </w:r>
      <w:r w:rsidR="00694206">
        <w:t xml:space="preserve"> normally </w:t>
      </w:r>
      <w:r w:rsidR="00F81E20">
        <w:t xml:space="preserve">in the respective Funding Agreement. </w:t>
      </w:r>
      <w:r>
        <w:t>For instance, performance could be linked to</w:t>
      </w:r>
      <w:r w:rsidR="00A1504A">
        <w:t xml:space="preserve"> the </w:t>
      </w:r>
      <w:r>
        <w:t xml:space="preserve">number of </w:t>
      </w:r>
      <w:r w:rsidR="00D46DC1">
        <w:t xml:space="preserve">eligible </w:t>
      </w:r>
      <w:r>
        <w:t>SME</w:t>
      </w:r>
      <w:r w:rsidR="000872CF">
        <w:t>s</w:t>
      </w:r>
      <w:r>
        <w:t xml:space="preserve"> </w:t>
      </w:r>
      <w:r w:rsidR="00F81E20">
        <w:t>that receive financing</w:t>
      </w:r>
      <w:r w:rsidR="00D46DC1">
        <w:t xml:space="preserve">; </w:t>
      </w:r>
      <w:r w:rsidR="00F81E20">
        <w:t>geographical or sectorial coverage; ability to raise additional resources</w:t>
      </w:r>
      <w:r w:rsidR="00D46DC1">
        <w:t xml:space="preserve">; jobs created </w:t>
      </w:r>
      <w:r w:rsidR="00F81E20">
        <w:t xml:space="preserve">– always comparing values </w:t>
      </w:r>
      <w:r w:rsidR="000B7D52">
        <w:t>achieved</w:t>
      </w:r>
      <w:r w:rsidR="00F81E20">
        <w:t xml:space="preserve"> to those initially agreed</w:t>
      </w:r>
      <w:r w:rsidR="00D46DC1">
        <w:t>.</w:t>
      </w:r>
    </w:p>
    <w:p w:rsidR="00A64792" w:rsidRDefault="008B518D" w:rsidP="000E3268">
      <w:pPr>
        <w:autoSpaceDE w:val="0"/>
        <w:autoSpaceDN w:val="0"/>
        <w:adjustRightInd w:val="0"/>
        <w:spacing w:after="0"/>
      </w:pPr>
      <w:r>
        <w:rPr>
          <w:szCs w:val="24"/>
          <w:lang w:eastAsia="en-GB"/>
        </w:rPr>
        <w:t xml:space="preserve">If </w:t>
      </w:r>
      <w:r w:rsidR="007C7C1B">
        <w:rPr>
          <w:szCs w:val="24"/>
          <w:lang w:eastAsia="en-GB"/>
        </w:rPr>
        <w:t>arrangement fees</w:t>
      </w:r>
      <w:r w:rsidR="00DB59C9">
        <w:rPr>
          <w:szCs w:val="24"/>
          <w:lang w:eastAsia="en-GB"/>
        </w:rPr>
        <w:t xml:space="preserve">, </w:t>
      </w:r>
      <w:r w:rsidR="00DB59C9">
        <w:t xml:space="preserve">such </w:t>
      </w:r>
      <w:r w:rsidR="00DB59C9">
        <w:rPr>
          <w:szCs w:val="24"/>
          <w:lang w:eastAsia="en-GB"/>
        </w:rPr>
        <w:t>as advisory, legal or accounting fees,</w:t>
      </w:r>
      <w:r w:rsidR="00A64792">
        <w:t xml:space="preserve"> are charged</w:t>
      </w:r>
      <w:r>
        <w:t xml:space="preserve"> by the body implementing the financial instrument</w:t>
      </w:r>
      <w:r w:rsidR="00A64792">
        <w:t xml:space="preserve"> to final recipients</w:t>
      </w:r>
      <w:r w:rsidR="00EA1B51">
        <w:t>,</w:t>
      </w:r>
      <w:r w:rsidR="00A64792">
        <w:t xml:space="preserve"> </w:t>
      </w:r>
      <w:r w:rsidR="007C7C1B">
        <w:t xml:space="preserve">they </w:t>
      </w:r>
      <w:r w:rsidR="00A64792">
        <w:t>must not be included</w:t>
      </w:r>
      <w:r w:rsidR="00C2090A">
        <w:t xml:space="preserve"> in</w:t>
      </w:r>
      <w:r>
        <w:t xml:space="preserve"> the</w:t>
      </w:r>
      <w:r w:rsidR="00C2090A">
        <w:t xml:space="preserve"> </w:t>
      </w:r>
      <w:r w:rsidR="00A64792">
        <w:t>management costs and fees</w:t>
      </w:r>
      <w:r w:rsidR="00202FBB">
        <w:t xml:space="preserve"> </w:t>
      </w:r>
      <w:r w:rsidR="00DB59C9">
        <w:t xml:space="preserve">to be paid to the body by the managing authority and </w:t>
      </w:r>
      <w:r w:rsidR="00F81E20">
        <w:t xml:space="preserve">declared </w:t>
      </w:r>
      <w:r w:rsidR="00DB59C9">
        <w:t xml:space="preserve">by the latter </w:t>
      </w:r>
      <w:r w:rsidR="00F81E20">
        <w:t>as eligible</w:t>
      </w:r>
      <w:r w:rsidR="00A64792">
        <w:t>.</w:t>
      </w:r>
      <w:r w:rsidR="00DB59C9">
        <w:t xml:space="preserve"> </w:t>
      </w:r>
      <w:r w:rsidR="00B5379E">
        <w:t xml:space="preserve">Otherwise, the body implementing the financial instrument would </w:t>
      </w:r>
      <w:r w:rsidR="003947C1">
        <w:t xml:space="preserve">be </w:t>
      </w:r>
      <w:r w:rsidR="000E3268">
        <w:t>remunerated</w:t>
      </w:r>
      <w:r w:rsidR="00B5379E">
        <w:t xml:space="preserve"> twice</w:t>
      </w:r>
      <w:r w:rsidR="003947C1">
        <w:t xml:space="preserve"> for the </w:t>
      </w:r>
      <w:r w:rsidR="0075227D">
        <w:t>same service</w:t>
      </w:r>
      <w:r w:rsidR="003947C1">
        <w:t xml:space="preserve"> (by final recipients and by the managing authority)</w:t>
      </w:r>
      <w:r w:rsidR="00B5379E">
        <w:t>.</w:t>
      </w:r>
    </w:p>
    <w:p w:rsidR="006716FD" w:rsidRDefault="006D6B4F" w:rsidP="00E42D70">
      <w:pPr>
        <w:pStyle w:val="Heading1"/>
        <w:numPr>
          <w:ilvl w:val="1"/>
          <w:numId w:val="21"/>
        </w:numPr>
      </w:pPr>
      <w:r>
        <w:t>Eligibility period of management costs and fees</w:t>
      </w:r>
    </w:p>
    <w:p w:rsidR="006D6B4F" w:rsidRPr="003C32E4" w:rsidRDefault="00202FBB" w:rsidP="008B518D">
      <w:pPr>
        <w:spacing w:after="120"/>
      </w:pPr>
      <w:r>
        <w:t>As a general rule, m</w:t>
      </w:r>
      <w:r w:rsidR="006D6B4F">
        <w:t xml:space="preserve">anagement costs and fees </w:t>
      </w:r>
      <w:r>
        <w:t>are</w:t>
      </w:r>
      <w:r w:rsidR="006D6B4F">
        <w:t xml:space="preserve"> eligible </w:t>
      </w:r>
      <w:r w:rsidR="00C240E9">
        <w:t xml:space="preserve">as of </w:t>
      </w:r>
      <w:r w:rsidR="006D6B4F">
        <w:t xml:space="preserve">the date of the signature </w:t>
      </w:r>
      <w:r w:rsidR="006D6B4F" w:rsidRPr="003C32E4">
        <w:t>of the relevant funding agreement</w:t>
      </w:r>
      <w:r w:rsidRPr="003C32E4">
        <w:t xml:space="preserve"> provide</w:t>
      </w:r>
      <w:r w:rsidR="008B518D" w:rsidRPr="003C32E4">
        <w:t xml:space="preserve">d that all other eligibility criteria are fulfilled. </w:t>
      </w:r>
      <w:r w:rsidR="006D6B4F" w:rsidRPr="003C32E4">
        <w:t xml:space="preserve"> </w:t>
      </w:r>
    </w:p>
    <w:p w:rsidR="003C32E4" w:rsidRPr="003C32E4" w:rsidRDefault="0075227D" w:rsidP="001E728C">
      <w:pPr>
        <w:spacing w:after="120"/>
      </w:pPr>
      <w:r>
        <w:t xml:space="preserve">Management costs and fees </w:t>
      </w:r>
      <w:r w:rsidR="003C32E4" w:rsidRPr="003C32E4">
        <w:t>incurred for preparatory work in relation to the financial instrument before the signature of</w:t>
      </w:r>
      <w:r w:rsidR="008349A4">
        <w:t xml:space="preserve"> the relevant funding agreement, and which</w:t>
      </w:r>
      <w:r w:rsidR="003C32E4" w:rsidRPr="003C32E4">
        <w:t xml:space="preserve"> </w:t>
      </w:r>
      <w:r>
        <w:t>according to the general rule above</w:t>
      </w:r>
      <w:r w:rsidRPr="003C32E4">
        <w:t xml:space="preserve"> become eligible after </w:t>
      </w:r>
      <w:r w:rsidR="008349A4">
        <w:t xml:space="preserve">the </w:t>
      </w:r>
      <w:r w:rsidRPr="003C32E4">
        <w:t>signature</w:t>
      </w:r>
      <w:r w:rsidR="008349A4">
        <w:t>,</w:t>
      </w:r>
      <w:r w:rsidRPr="003C32E4">
        <w:t xml:space="preserve"> may only be </w:t>
      </w:r>
      <w:r w:rsidR="001E728C">
        <w:t>included in the eligible expenditure if incurred after the date</w:t>
      </w:r>
      <w:r w:rsidRPr="003C32E4">
        <w:t xml:space="preserve"> when the formal decision selecting the body concerned</w:t>
      </w:r>
      <w:r>
        <w:t xml:space="preserve"> was taken.</w:t>
      </w:r>
    </w:p>
    <w:p w:rsidR="0048356E" w:rsidRDefault="00AB43B0" w:rsidP="00EC4DF1">
      <w:pPr>
        <w:spacing w:after="120"/>
      </w:pPr>
      <w:r>
        <w:t>The eligibility period for management costs and fees ends on 31</w:t>
      </w:r>
      <w:r w:rsidR="00C477C6">
        <w:t xml:space="preserve"> December </w:t>
      </w:r>
      <w:r>
        <w:t xml:space="preserve">2023, however, more flexibility is provided </w:t>
      </w:r>
      <w:r w:rsidR="00C2090A">
        <w:t xml:space="preserve">for </w:t>
      </w:r>
      <w:r>
        <w:t>equity</w:t>
      </w:r>
      <w:r w:rsidR="00F62B6A">
        <w:t>-</w:t>
      </w:r>
      <w:r w:rsidR="004B6F7B">
        <w:t xml:space="preserve">based instruments </w:t>
      </w:r>
      <w:r w:rsidR="00C2090A">
        <w:t xml:space="preserve">and micro-credit for which the </w:t>
      </w:r>
      <w:r>
        <w:t>repaymen</w:t>
      </w:r>
      <w:r w:rsidR="00C2090A">
        <w:t>t</w:t>
      </w:r>
      <w:r>
        <w:t xml:space="preserve"> period</w:t>
      </w:r>
      <w:r w:rsidR="00C2090A">
        <w:t>s</w:t>
      </w:r>
      <w:r>
        <w:t xml:space="preserve"> are usually longer and which require more intensive assistance: </w:t>
      </w:r>
      <w:r w:rsidR="00F62B6A">
        <w:t>A</w:t>
      </w:r>
      <w:r w:rsidR="0048356E" w:rsidRPr="0048356E">
        <w:t>ccording to Article 42(2)</w:t>
      </w:r>
      <w:r w:rsidR="006844D7">
        <w:t xml:space="preserve"> CPR and Article 14(1) CDR,</w:t>
      </w:r>
      <w:r w:rsidR="0048356E" w:rsidRPr="0048356E">
        <w:t xml:space="preserve"> m</w:t>
      </w:r>
      <w:r w:rsidR="006D6B4F" w:rsidRPr="0048356E">
        <w:t xml:space="preserve">anagement costs and fees </w:t>
      </w:r>
      <w:r w:rsidR="0048356E" w:rsidRPr="0048356E">
        <w:t>that are related to equity</w:t>
      </w:r>
      <w:r w:rsidR="00F62B6A">
        <w:t>-</w:t>
      </w:r>
      <w:r w:rsidR="004B6F7B">
        <w:t>based instruments</w:t>
      </w:r>
      <w:r w:rsidR="0048356E" w:rsidRPr="0048356E">
        <w:t xml:space="preserve"> and micro-credit investments made into final recipients within eligibility period but </w:t>
      </w:r>
      <w:r w:rsidR="006844D7">
        <w:t xml:space="preserve">which </w:t>
      </w:r>
      <w:r w:rsidR="0048356E" w:rsidRPr="0048356E">
        <w:t xml:space="preserve">are to be paid </w:t>
      </w:r>
      <w:r w:rsidR="00E42D70">
        <w:t xml:space="preserve">to the fund manager </w:t>
      </w:r>
      <w:proofErr w:type="gramStart"/>
      <w:r w:rsidR="0048356E" w:rsidRPr="0048356E">
        <w:lastRenderedPageBreak/>
        <w:t>within</w:t>
      </w:r>
      <w:proofErr w:type="gramEnd"/>
      <w:r w:rsidR="0048356E" w:rsidRPr="0048356E">
        <w:t xml:space="preserve"> 6 years after the eligibility period may be considered eligible expenditure </w:t>
      </w:r>
      <w:r w:rsidR="00C240E9">
        <w:t>at</w:t>
      </w:r>
      <w:r w:rsidR="0048356E" w:rsidRPr="0048356E">
        <w:t xml:space="preserve"> closure, if:</w:t>
      </w:r>
      <w:r w:rsidR="0048356E">
        <w:t xml:space="preserve"> </w:t>
      </w:r>
    </w:p>
    <w:p w:rsidR="00F62B6A" w:rsidRPr="00F62B6A" w:rsidRDefault="0048356E" w:rsidP="00F62B6A">
      <w:pPr>
        <w:numPr>
          <w:ilvl w:val="0"/>
          <w:numId w:val="20"/>
        </w:numPr>
        <w:spacing w:after="120"/>
        <w:ind w:left="714" w:hanging="357"/>
      </w:pPr>
      <w:r>
        <w:t xml:space="preserve">they cannot be covered from </w:t>
      </w:r>
      <w:r w:rsidR="006844D7">
        <w:t xml:space="preserve">repaid </w:t>
      </w:r>
      <w:r>
        <w:t xml:space="preserve">resources </w:t>
      </w:r>
      <w:r w:rsidR="006844D7">
        <w:t>which are attributable to the support from ESI Funds in line with Article 44 and 45 CPR</w:t>
      </w:r>
      <w:r w:rsidR="00F62B6A">
        <w:t>, e.g. because such resources are already used up for further investments through the same or other financial instrument or preferential remuneration of private investors or public investors operating under the market economy principle in line with Article 44 (1)</w:t>
      </w:r>
      <w:r w:rsidR="00394E62">
        <w:t xml:space="preserve"> CPR</w:t>
      </w:r>
      <w:r w:rsidR="00F62B6A">
        <w:t>;</w:t>
      </w:r>
      <w:r w:rsidR="00F62B6A" w:rsidRPr="00F62B6A">
        <w:t xml:space="preserve">  </w:t>
      </w:r>
    </w:p>
    <w:p w:rsidR="00DB59C9" w:rsidRDefault="009F443E" w:rsidP="00DB59C9">
      <w:pPr>
        <w:numPr>
          <w:ilvl w:val="0"/>
          <w:numId w:val="20"/>
        </w:numPr>
        <w:spacing w:after="120"/>
        <w:ind w:left="714" w:hanging="357"/>
      </w:pPr>
      <w:r>
        <w:t xml:space="preserve">the </w:t>
      </w:r>
      <w:r w:rsidR="0048356E">
        <w:t>amount corresponding to their capitalised (discounted)</w:t>
      </w:r>
      <w:r w:rsidR="006844D7">
        <w:t xml:space="preserve"> total</w:t>
      </w:r>
      <w:r w:rsidR="0048356E">
        <w:t xml:space="preserve"> value </w:t>
      </w:r>
      <w:r w:rsidR="006844D7">
        <w:t xml:space="preserve">at the end of the eligibility period </w:t>
      </w:r>
      <w:r w:rsidR="0048356E">
        <w:t>is paid into an escrow account</w:t>
      </w:r>
      <w:r w:rsidR="005126EF">
        <w:rPr>
          <w:rStyle w:val="FootnoteReference"/>
        </w:rPr>
        <w:footnoteReference w:id="4"/>
      </w:r>
      <w:r w:rsidR="0048356E">
        <w:t xml:space="preserve"> specifically set up for that purpose</w:t>
      </w:r>
      <w:r w:rsidR="005126EF">
        <w:rPr>
          <w:rStyle w:val="FootnoteReference"/>
        </w:rPr>
        <w:footnoteReference w:id="5"/>
      </w:r>
      <w:r w:rsidR="00F62B6A">
        <w:t>;</w:t>
      </w:r>
      <w:r w:rsidR="000B7D52">
        <w:t xml:space="preserve"> and</w:t>
      </w:r>
    </w:p>
    <w:p w:rsidR="004B6F7B" w:rsidRDefault="00F62B6A" w:rsidP="00DB59C9">
      <w:pPr>
        <w:numPr>
          <w:ilvl w:val="0"/>
          <w:numId w:val="20"/>
        </w:numPr>
        <w:spacing w:after="120"/>
        <w:ind w:left="714" w:hanging="357"/>
      </w:pPr>
      <w:proofErr w:type="gramStart"/>
      <w:r>
        <w:t>they</w:t>
      </w:r>
      <w:proofErr w:type="gramEnd"/>
      <w:r>
        <w:t xml:space="preserve"> </w:t>
      </w:r>
      <w:r w:rsidR="004B6F7B">
        <w:t>respect the annual ceilings provided in Article 14 (2) and (3) CDR</w:t>
      </w:r>
      <w:r w:rsidR="00B33848">
        <w:t xml:space="preserve"> (see section 2.5)</w:t>
      </w:r>
      <w:r w:rsidR="00EC4DF1">
        <w:t>.</w:t>
      </w:r>
    </w:p>
    <w:p w:rsidR="00450BEB" w:rsidRDefault="00890FCB" w:rsidP="00E42D70">
      <w:pPr>
        <w:pStyle w:val="Heading1"/>
        <w:numPr>
          <w:ilvl w:val="1"/>
          <w:numId w:val="21"/>
        </w:numPr>
      </w:pPr>
      <w:r>
        <w:t>Amount of</w:t>
      </w:r>
      <w:r w:rsidR="00AF454A">
        <w:t xml:space="preserve"> </w:t>
      </w:r>
      <w:r w:rsidR="000B1B38">
        <w:t xml:space="preserve">eligible </w:t>
      </w:r>
      <w:r w:rsidR="00AE2391">
        <w:t xml:space="preserve">management </w:t>
      </w:r>
      <w:r w:rsidR="00AF454A">
        <w:t>costs and fees</w:t>
      </w:r>
    </w:p>
    <w:p w:rsidR="00595CC9" w:rsidRDefault="00595CC9" w:rsidP="00E42D70">
      <w:pPr>
        <w:pStyle w:val="Heading1"/>
        <w:numPr>
          <w:ilvl w:val="2"/>
          <w:numId w:val="21"/>
        </w:numPr>
      </w:pPr>
      <w:r>
        <w:t>Applicability of thresholds for eligible management costs and fees</w:t>
      </w:r>
      <w:r w:rsidR="0069344E">
        <w:t xml:space="preserve"> at closure</w:t>
      </w:r>
    </w:p>
    <w:p w:rsidR="009F6FF8" w:rsidRDefault="009F6FF8" w:rsidP="003A2392">
      <w:pPr>
        <w:spacing w:after="120"/>
        <w:rPr>
          <w:szCs w:val="24"/>
        </w:rPr>
      </w:pPr>
      <w:r>
        <w:rPr>
          <w:szCs w:val="24"/>
        </w:rPr>
        <w:t>As outlined above, to be considered eligible at closure management costs and fees charged by bodies that implement financial instruments, including fund</w:t>
      </w:r>
      <w:r w:rsidR="00A531C8">
        <w:rPr>
          <w:szCs w:val="24"/>
        </w:rPr>
        <w:t>s</w:t>
      </w:r>
      <w:r>
        <w:rPr>
          <w:szCs w:val="24"/>
        </w:rPr>
        <w:t xml:space="preserve"> of funds must not exceed the thresholds </w:t>
      </w:r>
      <w:r w:rsidR="00C2090A">
        <w:rPr>
          <w:szCs w:val="24"/>
        </w:rPr>
        <w:t xml:space="preserve">which are </w:t>
      </w:r>
      <w:r>
        <w:rPr>
          <w:szCs w:val="24"/>
        </w:rPr>
        <w:t>set out in Article 13(1), (2) and (3) CDR.</w:t>
      </w:r>
    </w:p>
    <w:p w:rsidR="00C35D45" w:rsidRDefault="00BE5565" w:rsidP="006819E3">
      <w:pPr>
        <w:spacing w:after="120"/>
      </w:pPr>
      <w:r>
        <w:t xml:space="preserve">As these represent ceilings, </w:t>
      </w:r>
      <w:r w:rsidR="00C35D45" w:rsidRPr="00FD221F">
        <w:t>M</w:t>
      </w:r>
      <w:r>
        <w:t xml:space="preserve">anaging </w:t>
      </w:r>
      <w:r w:rsidR="00C35D45" w:rsidRPr="00FD221F">
        <w:t>A</w:t>
      </w:r>
      <w:r>
        <w:t>uthorities</w:t>
      </w:r>
      <w:r w:rsidR="00C35D45" w:rsidRPr="00FD221F">
        <w:t xml:space="preserve"> ar</w:t>
      </w:r>
      <w:r w:rsidR="00A1524C">
        <w:t xml:space="preserve">e encouraged to </w:t>
      </w:r>
      <w:r w:rsidR="00C477C6">
        <w:t xml:space="preserve">lay down in the funding agreement </w:t>
      </w:r>
      <w:r w:rsidR="00A1524C">
        <w:t xml:space="preserve">management costs and fees </w:t>
      </w:r>
      <w:r w:rsidR="00C35D45" w:rsidRPr="00FD221F">
        <w:t>be</w:t>
      </w:r>
      <w:r w:rsidR="00C35D45">
        <w:t xml:space="preserve">low the thresholds, taking </w:t>
      </w:r>
      <w:r w:rsidR="00C240E9">
        <w:t xml:space="preserve">each time </w:t>
      </w:r>
      <w:r w:rsidR="00C35D45">
        <w:t>into account the context of the given financial instrument(s).</w:t>
      </w:r>
    </w:p>
    <w:p w:rsidR="000B1B38" w:rsidRDefault="00D559D8" w:rsidP="0072324E">
      <w:pPr>
        <w:spacing w:after="120"/>
      </w:pPr>
      <w:r>
        <w:t>I</w:t>
      </w:r>
      <w:r w:rsidR="000B1B38">
        <w:t>f the body implementing the financial instrument, including fund of funds</w:t>
      </w:r>
      <w:r w:rsidR="00BE5565">
        <w:t>,</w:t>
      </w:r>
      <w:r w:rsidR="000B1B38">
        <w:t xml:space="preserve"> was selected through a competitive tender </w:t>
      </w:r>
      <w:r w:rsidR="000B1B38" w:rsidRPr="00764912">
        <w:rPr>
          <w:shd w:val="clear" w:color="auto" w:fill="FFFFFF"/>
        </w:rPr>
        <w:t>in accordance with applicable rules</w:t>
      </w:r>
      <w:r w:rsidR="00946113">
        <w:rPr>
          <w:rStyle w:val="FootnoteReference"/>
          <w:shd w:val="clear" w:color="auto" w:fill="FFFFFF"/>
        </w:rPr>
        <w:footnoteReference w:id="6"/>
      </w:r>
      <w:r>
        <w:rPr>
          <w:shd w:val="clear" w:color="auto" w:fill="FFFFFF"/>
        </w:rPr>
        <w:t xml:space="preserve"> that would set </w:t>
      </w:r>
      <w:r w:rsidR="00946113">
        <w:rPr>
          <w:shd w:val="clear" w:color="auto" w:fill="FFFFFF"/>
        </w:rPr>
        <w:t>the remuneration level,</w:t>
      </w:r>
      <w:r w:rsidR="000B1B38">
        <w:t xml:space="preserve"> and the competitive tender proved the need for higher management costs and fees</w:t>
      </w:r>
      <w:r w:rsidR="00946113">
        <w:t>,</w:t>
      </w:r>
      <w:r w:rsidR="000B1B38">
        <w:t xml:space="preserve"> th</w:t>
      </w:r>
      <w:r w:rsidR="00946113">
        <w:t>e</w:t>
      </w:r>
      <w:r w:rsidR="000B1B38">
        <w:t>n</w:t>
      </w:r>
      <w:r w:rsidR="00946113">
        <w:t xml:space="preserve"> according to Article 13(6) CDR</w:t>
      </w:r>
      <w:r w:rsidR="000B1B38">
        <w:t xml:space="preserve"> th</w:t>
      </w:r>
      <w:r w:rsidR="00352F66">
        <w:t>e</w:t>
      </w:r>
      <w:r w:rsidR="000B1B38">
        <w:t>n the thresholds do not apply</w:t>
      </w:r>
      <w:r w:rsidR="009F21E9">
        <w:t>.</w:t>
      </w:r>
      <w:r w:rsidR="008B0F0F">
        <w:t xml:space="preserve"> </w:t>
      </w:r>
      <w:r w:rsidR="00F54DB8">
        <w:t xml:space="preserve">This situation should be seen as </w:t>
      </w:r>
      <w:r w:rsidR="00B5379E">
        <w:t xml:space="preserve">truly </w:t>
      </w:r>
      <w:r w:rsidR="00F54DB8">
        <w:t xml:space="preserve">exceptional </w:t>
      </w:r>
      <w:r w:rsidR="0072324E">
        <w:t>since a</w:t>
      </w:r>
      <w:r w:rsidR="00F54DB8">
        <w:t xml:space="preserve"> competitive tender is normally expected to result in lower remuneration </w:t>
      </w:r>
      <w:r w:rsidR="0072324E">
        <w:t xml:space="preserve">levels </w:t>
      </w:r>
      <w:r w:rsidR="00F54DB8">
        <w:t>d</w:t>
      </w:r>
      <w:r w:rsidR="0072324E">
        <w:t xml:space="preserve">ue </w:t>
      </w:r>
      <w:r w:rsidR="00B5379E">
        <w:t xml:space="preserve">to </w:t>
      </w:r>
      <w:r w:rsidR="00F54DB8">
        <w:t>competition.</w:t>
      </w:r>
      <w:r w:rsidR="0021045E">
        <w:t xml:space="preserve"> Please also note that under certain national legislation, a maximum threshold may need to be specified in the tender.</w:t>
      </w:r>
    </w:p>
    <w:p w:rsidR="00C2090A" w:rsidRDefault="00C2090A" w:rsidP="00C2090A">
      <w:pPr>
        <w:pStyle w:val="CommentText"/>
        <w:rPr>
          <w:sz w:val="24"/>
          <w:szCs w:val="24"/>
        </w:rPr>
      </w:pPr>
      <w:r w:rsidRPr="00C2090A">
        <w:rPr>
          <w:sz w:val="24"/>
          <w:szCs w:val="24"/>
        </w:rPr>
        <w:lastRenderedPageBreak/>
        <w:t>Furthermore, in line with Article 13(5) CDR where the majority of the capital invested in financial intermediaries providing equity is provided by private investors or public investors operating under market economy principle and the programme contribution</w:t>
      </w:r>
      <w:r w:rsidR="001B270D">
        <w:rPr>
          <w:rStyle w:val="FootnoteReference"/>
          <w:sz w:val="24"/>
          <w:szCs w:val="24"/>
        </w:rPr>
        <w:footnoteReference w:id="7"/>
      </w:r>
      <w:r w:rsidRPr="00C2090A">
        <w:rPr>
          <w:sz w:val="24"/>
          <w:szCs w:val="24"/>
        </w:rPr>
        <w:t xml:space="preserve"> is provided </w:t>
      </w:r>
      <w:proofErr w:type="spellStart"/>
      <w:r w:rsidRPr="00C2090A">
        <w:rPr>
          <w:i/>
          <w:iCs/>
          <w:sz w:val="24"/>
          <w:szCs w:val="24"/>
        </w:rPr>
        <w:t>pari</w:t>
      </w:r>
      <w:proofErr w:type="spellEnd"/>
      <w:r w:rsidRPr="00C2090A">
        <w:rPr>
          <w:i/>
          <w:iCs/>
          <w:sz w:val="24"/>
          <w:szCs w:val="24"/>
        </w:rPr>
        <w:t xml:space="preserve"> </w:t>
      </w:r>
      <w:proofErr w:type="spellStart"/>
      <w:r w:rsidRPr="00C2090A">
        <w:rPr>
          <w:i/>
          <w:iCs/>
          <w:sz w:val="24"/>
          <w:szCs w:val="24"/>
        </w:rPr>
        <w:t>passu</w:t>
      </w:r>
      <w:proofErr w:type="spellEnd"/>
      <w:r w:rsidRPr="00C2090A">
        <w:rPr>
          <w:sz w:val="24"/>
          <w:szCs w:val="24"/>
        </w:rPr>
        <w:t xml:space="preserve"> with the private investors, the management costs and fees </w:t>
      </w:r>
      <w:r w:rsidR="003947C1">
        <w:rPr>
          <w:sz w:val="24"/>
          <w:szCs w:val="24"/>
        </w:rPr>
        <w:t>have to</w:t>
      </w:r>
      <w:r w:rsidR="003947C1" w:rsidRPr="00C2090A">
        <w:rPr>
          <w:sz w:val="24"/>
          <w:szCs w:val="24"/>
        </w:rPr>
        <w:t xml:space="preserve"> </w:t>
      </w:r>
      <w:r w:rsidRPr="00C2090A">
        <w:rPr>
          <w:sz w:val="24"/>
          <w:szCs w:val="24"/>
        </w:rPr>
        <w:t xml:space="preserve">conform to market terms and </w:t>
      </w:r>
      <w:r w:rsidR="003947C1">
        <w:rPr>
          <w:sz w:val="24"/>
          <w:szCs w:val="24"/>
        </w:rPr>
        <w:t xml:space="preserve">must </w:t>
      </w:r>
      <w:r w:rsidRPr="00C2090A">
        <w:rPr>
          <w:sz w:val="24"/>
          <w:szCs w:val="24"/>
        </w:rPr>
        <w:t>not exceed those payable by the private investors</w:t>
      </w:r>
      <w:r w:rsidR="00352F66">
        <w:rPr>
          <w:sz w:val="24"/>
          <w:szCs w:val="24"/>
        </w:rPr>
        <w:t>.</w:t>
      </w:r>
      <w:r w:rsidRPr="00C2090A">
        <w:rPr>
          <w:sz w:val="24"/>
          <w:szCs w:val="24"/>
        </w:rPr>
        <w:t xml:space="preserve"> This provision </w:t>
      </w:r>
      <w:r>
        <w:rPr>
          <w:sz w:val="24"/>
          <w:szCs w:val="24"/>
        </w:rPr>
        <w:t xml:space="preserve">introduces thus a mechanism allowing </w:t>
      </w:r>
      <w:r w:rsidRPr="00C2090A">
        <w:rPr>
          <w:sz w:val="24"/>
          <w:szCs w:val="24"/>
        </w:rPr>
        <w:t>to claim higher</w:t>
      </w:r>
      <w:r>
        <w:rPr>
          <w:sz w:val="24"/>
          <w:szCs w:val="24"/>
        </w:rPr>
        <w:t xml:space="preserve"> (or lower)</w:t>
      </w:r>
      <w:r w:rsidRPr="00C2090A">
        <w:rPr>
          <w:sz w:val="24"/>
          <w:szCs w:val="24"/>
        </w:rPr>
        <w:t xml:space="preserve"> management cost and fees than </w:t>
      </w:r>
      <w:r>
        <w:rPr>
          <w:sz w:val="24"/>
          <w:szCs w:val="24"/>
        </w:rPr>
        <w:t>those under Article 13(1)(2)(3)</w:t>
      </w:r>
      <w:r w:rsidR="00394E62">
        <w:rPr>
          <w:sz w:val="24"/>
          <w:szCs w:val="24"/>
        </w:rPr>
        <w:t xml:space="preserve"> CDR</w:t>
      </w:r>
      <w:r>
        <w:rPr>
          <w:sz w:val="24"/>
          <w:szCs w:val="24"/>
        </w:rPr>
        <w:t>, in function of those requested under the market conditions.</w:t>
      </w:r>
    </w:p>
    <w:p w:rsidR="00352F66" w:rsidRDefault="00E8793E" w:rsidP="00C93F18">
      <w:pPr>
        <w:spacing w:after="120"/>
      </w:pPr>
      <w:r>
        <w:t xml:space="preserve">The above situations set the rules for </w:t>
      </w:r>
      <w:r w:rsidRPr="00E8793E">
        <w:rPr>
          <w:u w:val="single"/>
        </w:rPr>
        <w:t>eligible</w:t>
      </w:r>
      <w:r>
        <w:t xml:space="preserve"> management costs and fees. M</w:t>
      </w:r>
      <w:r w:rsidRPr="00FD221F">
        <w:t>anagement costs and fees</w:t>
      </w:r>
      <w:r>
        <w:t xml:space="preserve"> exceeding the ceilings will be treated as ineligible. Managing authorities may pay such higher management costs and fees to bodies implementing financial instruments </w:t>
      </w:r>
      <w:r w:rsidR="00352F66">
        <w:t>if</w:t>
      </w:r>
      <w:r>
        <w:t xml:space="preserve"> they consider it</w:t>
      </w:r>
      <w:r w:rsidR="00352F66">
        <w:t xml:space="preserve"> justified (and in compliance with state aid rules in relation to a possible overcompensation of a fund manager) but </w:t>
      </w:r>
      <w:r>
        <w:t xml:space="preserve">such management costs and fees </w:t>
      </w:r>
      <w:r w:rsidR="00352F66">
        <w:t xml:space="preserve">must not be </w:t>
      </w:r>
      <w:r w:rsidR="00352F66" w:rsidRPr="00FD221F">
        <w:t xml:space="preserve">covered from </w:t>
      </w:r>
      <w:r w:rsidR="00352F66">
        <w:t>ESI Funds</w:t>
      </w:r>
      <w:r w:rsidR="00352F66" w:rsidRPr="00FD221F">
        <w:t xml:space="preserve"> pr</w:t>
      </w:r>
      <w:r w:rsidR="00352F66">
        <w:t xml:space="preserve">ogramme resources, but others, e.g. from resources attributable to the support from ESI Funds programmes which are paid back </w:t>
      </w:r>
      <w:r w:rsidR="00352F66" w:rsidRPr="00FD221F">
        <w:t xml:space="preserve">according </w:t>
      </w:r>
      <w:r w:rsidR="00352F66">
        <w:t xml:space="preserve">to </w:t>
      </w:r>
      <w:r w:rsidR="00352F66" w:rsidRPr="00FD221F">
        <w:t xml:space="preserve">Article </w:t>
      </w:r>
      <w:r w:rsidR="00352F66">
        <w:t>44</w:t>
      </w:r>
      <w:r w:rsidR="00352F66" w:rsidRPr="00FD221F">
        <w:t>(</w:t>
      </w:r>
      <w:r w:rsidR="00352F66">
        <w:t>1</w:t>
      </w:r>
      <w:r w:rsidR="00352F66" w:rsidRPr="00FD221F">
        <w:t>)</w:t>
      </w:r>
      <w:r w:rsidR="00352F66">
        <w:t>(c)</w:t>
      </w:r>
      <w:r w:rsidR="00352F66" w:rsidRPr="00FD221F">
        <w:t xml:space="preserve"> of the CPR</w:t>
      </w:r>
      <w:r w:rsidR="00352F66">
        <w:t>, or from own resources.</w:t>
      </w:r>
    </w:p>
    <w:p w:rsidR="00595CC9" w:rsidRPr="00BC390D" w:rsidRDefault="00595CC9" w:rsidP="009F21E9">
      <w:pPr>
        <w:pStyle w:val="Heading1"/>
        <w:numPr>
          <w:ilvl w:val="2"/>
          <w:numId w:val="21"/>
        </w:numPr>
      </w:pPr>
      <w:r w:rsidRPr="00BC390D">
        <w:t>Thresholds for eligible management costs and fees</w:t>
      </w:r>
      <w:r w:rsidR="0069344E">
        <w:t xml:space="preserve"> at closure</w:t>
      </w:r>
    </w:p>
    <w:p w:rsidR="00F572A3" w:rsidRDefault="007C0E27" w:rsidP="00A1524C">
      <w:pPr>
        <w:pStyle w:val="Text2"/>
        <w:ind w:left="0"/>
      </w:pPr>
      <w:proofErr w:type="gramStart"/>
      <w:r>
        <w:t>Article 13</w:t>
      </w:r>
      <w:r w:rsidR="00F572A3">
        <w:t>(1), (2) and (3)</w:t>
      </w:r>
      <w:r>
        <w:t xml:space="preserve"> </w:t>
      </w:r>
      <w:r w:rsidR="00A1524C">
        <w:t>CDR</w:t>
      </w:r>
      <w:proofErr w:type="gramEnd"/>
      <w:r w:rsidR="00A1524C">
        <w:t xml:space="preserve"> defines</w:t>
      </w:r>
      <w:r>
        <w:t xml:space="preserve"> the thresholds for management costs and fees declared as eligible at closure as "the sum of"</w:t>
      </w:r>
      <w:r w:rsidR="00F572A3">
        <w:t xml:space="preserve"> […]. This means that any of the </w:t>
      </w:r>
      <w:r w:rsidR="00F572A3" w:rsidRPr="001566DC">
        <w:rPr>
          <w:b/>
          <w:bCs/>
        </w:rPr>
        <w:t>thresholds should be understood as an aggregate value over the whole eligibility period</w:t>
      </w:r>
      <w:r w:rsidR="00F572A3">
        <w:t xml:space="preserve"> and not on a</w:t>
      </w:r>
      <w:r w:rsidR="00A1524C">
        <w:t>n annual</w:t>
      </w:r>
      <w:r w:rsidR="00F572A3">
        <w:t xml:space="preserve"> basis.</w:t>
      </w:r>
    </w:p>
    <w:p w:rsidR="00FA635E" w:rsidRDefault="00A1524C" w:rsidP="005D3EBE">
      <w:pPr>
        <w:pStyle w:val="Text2"/>
        <w:ind w:left="0"/>
      </w:pPr>
      <w:r>
        <w:t xml:space="preserve">The CDR sets out different thresholds for management costs and fees in function of </w:t>
      </w:r>
      <w:r w:rsidR="0076400B">
        <w:t>the implementation options (with our without a fund of funds) and type of instrument</w:t>
      </w:r>
      <w:r>
        <w:t>: loan</w:t>
      </w:r>
      <w:r w:rsidR="00F147D6">
        <w:t>s,</w:t>
      </w:r>
      <w:r w:rsidR="00A312BA">
        <w:t xml:space="preserve"> </w:t>
      </w:r>
      <w:r>
        <w:t>guarantee</w:t>
      </w:r>
      <w:r w:rsidR="00F147D6">
        <w:t>s</w:t>
      </w:r>
      <w:r>
        <w:t>, equity,</w:t>
      </w:r>
      <w:r w:rsidR="00F147D6">
        <w:t xml:space="preserve"> </w:t>
      </w:r>
      <w:r>
        <w:t xml:space="preserve">micro credit or </w:t>
      </w:r>
      <w:r w:rsidR="00A312BA">
        <w:t>"</w:t>
      </w:r>
      <w:r>
        <w:t>other</w:t>
      </w:r>
      <w:r w:rsidR="00A312BA">
        <w:t>"</w:t>
      </w:r>
      <w:r>
        <w:t xml:space="preserve"> </w:t>
      </w:r>
      <w:r w:rsidR="002D043A">
        <w:t>products</w:t>
      </w:r>
      <w:r w:rsidR="00A312BA">
        <w:t xml:space="preserve">, i.e. </w:t>
      </w:r>
      <w:r w:rsidR="002D043A">
        <w:t xml:space="preserve">technical support, interest rate subsidies or guarantee </w:t>
      </w:r>
      <w:r w:rsidR="0076400B">
        <w:t xml:space="preserve">fee </w:t>
      </w:r>
      <w:r w:rsidR="002D043A">
        <w:t>subsidies in ac</w:t>
      </w:r>
      <w:r w:rsidR="00A312BA">
        <w:t>cordance with Article 37(7) CPR.</w:t>
      </w:r>
    </w:p>
    <w:p w:rsidR="00F147D6" w:rsidRDefault="00A312BA" w:rsidP="005D3EBE">
      <w:pPr>
        <w:pStyle w:val="Text2"/>
        <w:ind w:left="0"/>
      </w:pPr>
      <w:r>
        <w:t>When establishing the eligible management costs and fees</w:t>
      </w:r>
      <w:r w:rsidR="0069344E">
        <w:t xml:space="preserve"> at closure</w:t>
      </w:r>
      <w:r>
        <w:t xml:space="preserve"> for any of </w:t>
      </w:r>
      <w:r w:rsidR="005D3EBE">
        <w:t>the cases outlined in the above paragraph</w:t>
      </w:r>
      <w:r w:rsidR="005F45AE">
        <w:t>,</w:t>
      </w:r>
      <w:r>
        <w:t xml:space="preserve"> </w:t>
      </w:r>
      <w:r w:rsidR="005B68D7">
        <w:t xml:space="preserve">both </w:t>
      </w:r>
      <w:r w:rsidR="00F147D6">
        <w:t>thresholds</w:t>
      </w:r>
      <w:r>
        <w:t xml:space="preserve"> need to be </w:t>
      </w:r>
      <w:r w:rsidR="005B68D7">
        <w:t>calculated</w:t>
      </w:r>
      <w:r w:rsidR="00D95226">
        <w:t xml:space="preserve"> and </w:t>
      </w:r>
      <w:r w:rsidR="005B68D7" w:rsidRPr="005B68D7">
        <w:rPr>
          <w:b/>
          <w:bCs/>
        </w:rPr>
        <w:t>the lower amount resulting from the calculation will</w:t>
      </w:r>
      <w:r w:rsidR="00D95226" w:rsidRPr="001566DC">
        <w:rPr>
          <w:b/>
          <w:bCs/>
        </w:rPr>
        <w:t xml:space="preserve"> determine the amount of eligible costs and fees of </w:t>
      </w:r>
      <w:r w:rsidR="0069344E">
        <w:rPr>
          <w:b/>
          <w:bCs/>
        </w:rPr>
        <w:t>a</w:t>
      </w:r>
      <w:r w:rsidR="00D95226" w:rsidRPr="001566DC">
        <w:rPr>
          <w:b/>
          <w:bCs/>
        </w:rPr>
        <w:t xml:space="preserve"> given body implementing given </w:t>
      </w:r>
      <w:r w:rsidR="0069344E">
        <w:rPr>
          <w:b/>
          <w:bCs/>
        </w:rPr>
        <w:t>financial instrument, including fund of funds where applicable</w:t>
      </w:r>
      <w:r w:rsidR="00D95226" w:rsidRPr="001566DC">
        <w:rPr>
          <w:b/>
          <w:bCs/>
        </w:rPr>
        <w:t>.</w:t>
      </w:r>
      <w:r w:rsidR="00D95226">
        <w:t xml:space="preserve"> </w:t>
      </w:r>
      <w:r w:rsidR="00E92C77" w:rsidRPr="00E92C77">
        <w:t xml:space="preserve">Whereas </w:t>
      </w:r>
      <w:r w:rsidR="00E92C77">
        <w:t>one of the</w:t>
      </w:r>
      <w:r w:rsidR="005D3EBE">
        <w:t xml:space="preserve"> two thresholds</w:t>
      </w:r>
      <w:r w:rsidR="00E92C77">
        <w:t xml:space="preserve"> is calculated bas</w:t>
      </w:r>
      <w:r w:rsidR="00F147D6">
        <w:t>ed on the progress in the</w:t>
      </w:r>
      <w:r w:rsidR="00E92C77">
        <w:t xml:space="preserve"> implementation, the second represent</w:t>
      </w:r>
      <w:r w:rsidR="00C93F18">
        <w:t>s</w:t>
      </w:r>
      <w:r w:rsidR="00E92C77">
        <w:t xml:space="preserve"> a " </w:t>
      </w:r>
      <w:r w:rsidR="00AC1406">
        <w:t xml:space="preserve">general - </w:t>
      </w:r>
      <w:r w:rsidR="00E92C77">
        <w:t>cap</w:t>
      </w:r>
      <w:r w:rsidR="005B68D7">
        <w:t xml:space="preserve"> rate</w:t>
      </w:r>
      <w:r w:rsidR="00AC1406">
        <w:t xml:space="preserve"> - threshold</w:t>
      </w:r>
      <w:r w:rsidR="00F147D6">
        <w:t>:</w:t>
      </w:r>
      <w:r w:rsidR="00E92C77">
        <w:t xml:space="preserve"> </w:t>
      </w:r>
      <w:r w:rsidR="00F147D6">
        <w:t xml:space="preserve">For fund of funds the first threshold is set out in Article 13(1) </w:t>
      </w:r>
      <w:r w:rsidR="003947C1">
        <w:t xml:space="preserve">CDR </w:t>
      </w:r>
      <w:r w:rsidR="00F147D6">
        <w:t>and the second is the threshold provided in Article 13(3)(a)</w:t>
      </w:r>
      <w:r w:rsidR="003947C1">
        <w:t xml:space="preserve"> CDR</w:t>
      </w:r>
      <w:r w:rsidR="00F147D6">
        <w:t xml:space="preserve">. For the other instruments the first one is set in Article 13(2) </w:t>
      </w:r>
      <w:r w:rsidR="003947C1">
        <w:t xml:space="preserve">CDR </w:t>
      </w:r>
      <w:r w:rsidR="00F147D6">
        <w:t>and the second one is the respective threshold provided in Article 13(3)(b) to (f)</w:t>
      </w:r>
      <w:r w:rsidR="003947C1">
        <w:t xml:space="preserve"> CDR</w:t>
      </w:r>
      <w:r w:rsidR="00F147D6">
        <w:t xml:space="preserve">. </w:t>
      </w:r>
    </w:p>
    <w:p w:rsidR="00F147D6" w:rsidRDefault="00D95226" w:rsidP="005B68D7">
      <w:pPr>
        <w:pStyle w:val="Text2"/>
        <w:ind w:left="0"/>
      </w:pPr>
      <w:r>
        <w:t>T</w:t>
      </w:r>
      <w:r w:rsidR="00E92C77">
        <w:t xml:space="preserve">he thresholds linked to the implementation progress consist of two elements: </w:t>
      </w:r>
      <w:r w:rsidR="00F147D6">
        <w:t>base remuneration, and</w:t>
      </w:r>
      <w:r w:rsidR="00E92C77">
        <w:t xml:space="preserve"> performance-based remuneration.</w:t>
      </w:r>
      <w:r>
        <w:t xml:space="preserve"> </w:t>
      </w:r>
      <w:r w:rsidR="00F0313D">
        <w:t xml:space="preserve">As a principle, the base remuneration is calculated </w:t>
      </w:r>
      <w:r>
        <w:t xml:space="preserve">as a percentage </w:t>
      </w:r>
      <w:r w:rsidR="00F0313D">
        <w:t xml:space="preserve">of amounts entrusted </w:t>
      </w:r>
      <w:r w:rsidR="002C0794">
        <w:t xml:space="preserve">to the implementing </w:t>
      </w:r>
      <w:r w:rsidR="00F0313D">
        <w:t xml:space="preserve">body </w:t>
      </w:r>
      <w:r w:rsidR="00F147D6">
        <w:t xml:space="preserve">for </w:t>
      </w:r>
      <w:r w:rsidR="005B68D7">
        <w:t xml:space="preserve">further </w:t>
      </w:r>
      <w:r w:rsidR="00F147D6">
        <w:t xml:space="preserve">investments </w:t>
      </w:r>
      <w:r w:rsidR="00F0313D">
        <w:t xml:space="preserve">whereas the performance-based remuneration is calculated </w:t>
      </w:r>
      <w:r>
        <w:t>as a percentage</w:t>
      </w:r>
      <w:r w:rsidR="00F0313D">
        <w:t xml:space="preserve"> </w:t>
      </w:r>
      <w:r w:rsidR="002C0794">
        <w:t xml:space="preserve">of </w:t>
      </w:r>
      <w:r w:rsidR="00F147D6">
        <w:t xml:space="preserve">the amounts </w:t>
      </w:r>
      <w:r w:rsidR="005B68D7">
        <w:t xml:space="preserve">effectively </w:t>
      </w:r>
      <w:r w:rsidR="00F147D6">
        <w:t>disbursed:</w:t>
      </w:r>
    </w:p>
    <w:p w:rsidR="00BC390D" w:rsidRPr="003531E8" w:rsidRDefault="00814141" w:rsidP="003531E8">
      <w:pPr>
        <w:numPr>
          <w:ilvl w:val="0"/>
          <w:numId w:val="20"/>
        </w:numPr>
        <w:spacing w:after="120"/>
      </w:pPr>
      <w:r>
        <w:lastRenderedPageBreak/>
        <w:t>The amounts entrusted for implementation mean programme contributions paid to the given fund, with the exception of equity funds</w:t>
      </w:r>
      <w:r w:rsidR="00D46DC1">
        <w:t>,</w:t>
      </w:r>
      <w:r>
        <w:t xml:space="preserve"> where they refer to programme contributions committed under the relevant funding agreement.</w:t>
      </w:r>
    </w:p>
    <w:p w:rsidR="00814141" w:rsidRDefault="002C0794" w:rsidP="003531E8">
      <w:pPr>
        <w:numPr>
          <w:ilvl w:val="0"/>
          <w:numId w:val="20"/>
        </w:numPr>
        <w:spacing w:after="120"/>
      </w:pPr>
      <w:r>
        <w:t>The amounts disbursed by the implementing body are in the case of fund of funds programme contributions paid to the financial intermediaries</w:t>
      </w:r>
      <w:r w:rsidR="00577641">
        <w:t>, in the case of guarantee funds programme contributions committed to outstanding guarantee contracts,</w:t>
      </w:r>
      <w:r>
        <w:t xml:space="preserve"> and in all other cases programme contributions paid to final recipients</w:t>
      </w:r>
      <w:r w:rsidR="00890FCB">
        <w:t xml:space="preserve">, </w:t>
      </w:r>
      <w:r w:rsidR="00890FCB" w:rsidRPr="003531E8">
        <w:t>as well as</w:t>
      </w:r>
      <w:r w:rsidR="00890FCB">
        <w:t xml:space="preserve"> resources re-invested which are attributable to programme contributions</w:t>
      </w:r>
      <w:r>
        <w:t>.</w:t>
      </w:r>
      <w:r w:rsidR="00890FCB">
        <w:t xml:space="preserve">  </w:t>
      </w:r>
    </w:p>
    <w:p w:rsidR="00D95226" w:rsidRDefault="00D95226" w:rsidP="001566DC">
      <w:pPr>
        <w:pStyle w:val="Text2"/>
        <w:ind w:left="0"/>
      </w:pPr>
      <w:r>
        <w:t xml:space="preserve">The percentages for both, the base remuneration and the performance-based remuneration are calculated on the basis of rates p.a. applied </w:t>
      </w:r>
      <w:r w:rsidRPr="00D95226">
        <w:rPr>
          <w:i/>
          <w:iCs/>
        </w:rPr>
        <w:t xml:space="preserve">pro rata </w:t>
      </w:r>
      <w:proofErr w:type="spellStart"/>
      <w:r w:rsidRPr="00D95226">
        <w:rPr>
          <w:i/>
          <w:iCs/>
        </w:rPr>
        <w:t>temporis</w:t>
      </w:r>
      <w:proofErr w:type="spellEnd"/>
      <w:r w:rsidR="001566DC">
        <w:t xml:space="preserve"> </w:t>
      </w:r>
      <w:r>
        <w:t>on the above mentioned amounts.</w:t>
      </w:r>
      <w:r w:rsidR="001566DC">
        <w:t xml:space="preserve"> The </w:t>
      </w:r>
      <w:r w:rsidR="001566DC" w:rsidRPr="001566DC">
        <w:rPr>
          <w:i/>
          <w:iCs/>
        </w:rPr>
        <w:t xml:space="preserve">pro-rata </w:t>
      </w:r>
      <w:proofErr w:type="spellStart"/>
      <w:r w:rsidR="001566DC" w:rsidRPr="001566DC">
        <w:rPr>
          <w:i/>
          <w:iCs/>
        </w:rPr>
        <w:t>temporis</w:t>
      </w:r>
      <w:proofErr w:type="spellEnd"/>
      <w:r w:rsidR="001566DC">
        <w:t xml:space="preserve"> calculation incentivises early disbursements and to be meaningful should reflect changes on </w:t>
      </w:r>
      <w:r w:rsidR="00FE38CD">
        <w:t xml:space="preserve">real </w:t>
      </w:r>
      <w:r w:rsidR="005B68D7">
        <w:t xml:space="preserve">time </w:t>
      </w:r>
      <w:r w:rsidR="001566DC">
        <w:t>basis.</w:t>
      </w:r>
    </w:p>
    <w:p w:rsidR="005B68D7" w:rsidRDefault="00533983" w:rsidP="005B68D7">
      <w:pPr>
        <w:pStyle w:val="Text2"/>
        <w:ind w:left="0"/>
      </w:pPr>
      <w:r>
        <w:t>For the calculation</w:t>
      </w:r>
      <w:r w:rsidRPr="00533983">
        <w:rPr>
          <w:i/>
          <w:iCs/>
        </w:rPr>
        <w:t xml:space="preserve"> pro rata </w:t>
      </w:r>
      <w:proofErr w:type="spellStart"/>
      <w:r w:rsidRPr="00533983">
        <w:rPr>
          <w:i/>
          <w:iCs/>
        </w:rPr>
        <w:t>temporis</w:t>
      </w:r>
      <w:proofErr w:type="spellEnd"/>
      <w:r w:rsidR="0069344E">
        <w:rPr>
          <w:i/>
          <w:iCs/>
        </w:rPr>
        <w:t xml:space="preserve"> </w:t>
      </w:r>
      <w:r w:rsidR="0069344E" w:rsidRPr="0069344E">
        <w:t>Article 13</w:t>
      </w:r>
      <w:r w:rsidRPr="0069344E">
        <w:t xml:space="preserve"> CDR</w:t>
      </w:r>
      <w:r>
        <w:t xml:space="preserve"> defines the beginning and the end of the period for which a given calculation can be made</w:t>
      </w:r>
      <w:r w:rsidR="005B68D7">
        <w:t>, depending on the implementation level (fund of funds or specific fund) and type of instrument</w:t>
      </w:r>
      <w:r>
        <w:t xml:space="preserve">. </w:t>
      </w:r>
    </w:p>
    <w:p w:rsidR="005B68D7" w:rsidRDefault="00533983" w:rsidP="005B68D7">
      <w:pPr>
        <w:pStyle w:val="Text2"/>
        <w:ind w:left="0"/>
      </w:pPr>
      <w:r>
        <w:t>Regarding the beginning</w:t>
      </w:r>
      <w:r w:rsidR="000B7D52">
        <w:t xml:space="preserve"> of the period</w:t>
      </w:r>
      <w:r>
        <w:t xml:space="preserve">, it </w:t>
      </w:r>
      <w:r w:rsidR="0069344E">
        <w:t>is</w:t>
      </w:r>
      <w:r>
        <w:t xml:space="preserve"> for instance</w:t>
      </w:r>
      <w:r w:rsidR="0069344E">
        <w:t>:</w:t>
      </w:r>
      <w:r>
        <w:t xml:space="preserve"> </w:t>
      </w:r>
    </w:p>
    <w:p w:rsidR="005B68D7" w:rsidRDefault="005B68D7" w:rsidP="005B68D7">
      <w:pPr>
        <w:numPr>
          <w:ilvl w:val="0"/>
          <w:numId w:val="20"/>
        </w:numPr>
        <w:spacing w:after="120"/>
      </w:pPr>
      <w:r>
        <w:t xml:space="preserve">for the base remuneration of the fund of funds manager, </w:t>
      </w:r>
      <w:r w:rsidR="00533983">
        <w:t xml:space="preserve">the date of the effective payment of programme contributions to the fund of funds, </w:t>
      </w:r>
    </w:p>
    <w:p w:rsidR="005B68D7" w:rsidRDefault="005B68D7" w:rsidP="005B68D7">
      <w:pPr>
        <w:numPr>
          <w:ilvl w:val="0"/>
          <w:numId w:val="20"/>
        </w:numPr>
        <w:spacing w:after="120"/>
      </w:pPr>
      <w:r>
        <w:t xml:space="preserve">for the base remuneration for equity fund manager, </w:t>
      </w:r>
      <w:r w:rsidR="00533983">
        <w:t xml:space="preserve">the date of the signature of the funding agreement, or </w:t>
      </w:r>
    </w:p>
    <w:p w:rsidR="005B68D7" w:rsidRDefault="005B68D7" w:rsidP="005B68D7">
      <w:pPr>
        <w:numPr>
          <w:ilvl w:val="0"/>
          <w:numId w:val="20"/>
        </w:numPr>
        <w:spacing w:after="120"/>
      </w:pPr>
      <w:proofErr w:type="gramStart"/>
      <w:r>
        <w:t>for</w:t>
      </w:r>
      <w:proofErr w:type="gramEnd"/>
      <w:r>
        <w:t xml:space="preserve"> the performance remuneration of a guarantee fund manager, </w:t>
      </w:r>
      <w:r w:rsidR="00533983">
        <w:t xml:space="preserve">the date of commitment of the guarantee. </w:t>
      </w:r>
    </w:p>
    <w:p w:rsidR="005B68D7" w:rsidRDefault="00533983" w:rsidP="005B68D7">
      <w:pPr>
        <w:pStyle w:val="Text2"/>
        <w:ind w:left="0"/>
      </w:pPr>
      <w:r>
        <w:t>Regarding the end</w:t>
      </w:r>
      <w:r w:rsidR="000B7D52">
        <w:t xml:space="preserve"> of the period,</w:t>
      </w:r>
      <w:r>
        <w:t xml:space="preserve"> it </w:t>
      </w:r>
      <w:r w:rsidR="0069344E">
        <w:t>is</w:t>
      </w:r>
      <w:r>
        <w:t xml:space="preserve"> for instance</w:t>
      </w:r>
      <w:r w:rsidR="0069344E">
        <w:t>:</w:t>
      </w:r>
      <w:r>
        <w:t xml:space="preserve"> </w:t>
      </w:r>
    </w:p>
    <w:p w:rsidR="005B68D7" w:rsidRDefault="00533983" w:rsidP="006D219B">
      <w:pPr>
        <w:numPr>
          <w:ilvl w:val="0"/>
          <w:numId w:val="20"/>
        </w:numPr>
        <w:spacing w:after="120"/>
      </w:pPr>
      <w:r>
        <w:t>for the base remuneration of a fund of fund manager</w:t>
      </w:r>
      <w:r w:rsidR="005B68D7">
        <w:t>,</w:t>
      </w:r>
      <w:r>
        <w:t xml:space="preserve"> </w:t>
      </w:r>
      <w:r w:rsidR="006D219B">
        <w:t xml:space="preserve">the end of the eligibility period, </w:t>
      </w:r>
      <w:r>
        <w:t>repayment to the managing authorities or the date of winding up whichever is earlier, or</w:t>
      </w:r>
    </w:p>
    <w:p w:rsidR="00533983" w:rsidRPr="00533983" w:rsidRDefault="00533983" w:rsidP="006D219B">
      <w:pPr>
        <w:numPr>
          <w:ilvl w:val="0"/>
          <w:numId w:val="20"/>
        </w:numPr>
        <w:spacing w:after="120"/>
      </w:pPr>
      <w:proofErr w:type="gramStart"/>
      <w:r>
        <w:t>for</w:t>
      </w:r>
      <w:proofErr w:type="gramEnd"/>
      <w:r>
        <w:t xml:space="preserve"> </w:t>
      </w:r>
      <w:r w:rsidR="006D219B">
        <w:t xml:space="preserve">the </w:t>
      </w:r>
      <w:r>
        <w:t xml:space="preserve">performance </w:t>
      </w:r>
      <w:r w:rsidR="0069344E">
        <w:t>remuneration</w:t>
      </w:r>
      <w:r>
        <w:t xml:space="preserve"> of a loan fund manager the moment of repayment </w:t>
      </w:r>
      <w:r w:rsidR="00344280">
        <w:t>of the</w:t>
      </w:r>
      <w:r w:rsidR="006D219B">
        <w:t xml:space="preserve"> investment</w:t>
      </w:r>
      <w:r w:rsidR="00344280">
        <w:t xml:space="preserve"> </w:t>
      </w:r>
      <w:r w:rsidR="006D219B">
        <w:t>(</w:t>
      </w:r>
      <w:r w:rsidR="00344280">
        <w:t>loan</w:t>
      </w:r>
      <w:r w:rsidR="006D219B">
        <w:t>s)</w:t>
      </w:r>
      <w:r w:rsidR="00344280">
        <w:t xml:space="preserve"> by final recipients, the end of the recovery procedure in case of default or the end of eligibility period, whichever is earlier. </w:t>
      </w:r>
    </w:p>
    <w:p w:rsidR="002C0794" w:rsidRPr="00E92C77" w:rsidRDefault="00CC6576" w:rsidP="000B7D52">
      <w:pPr>
        <w:pStyle w:val="Text2"/>
        <w:ind w:left="0"/>
      </w:pPr>
      <w:r>
        <w:t xml:space="preserve">The below table </w:t>
      </w:r>
      <w:r w:rsidR="00A46B81">
        <w:t>outlines</w:t>
      </w:r>
      <w:r>
        <w:t xml:space="preserve"> the </w:t>
      </w:r>
      <w:r w:rsidR="0070449C">
        <w:t>general</w:t>
      </w:r>
      <w:r w:rsidR="000B7D52">
        <w:t xml:space="preserve"> </w:t>
      </w:r>
      <w:r w:rsidR="00AC1406">
        <w:t>- cap rate - thresholds</w:t>
      </w:r>
      <w:r>
        <w:t>, as well as</w:t>
      </w:r>
      <w:r w:rsidR="00D95226">
        <w:t xml:space="preserve"> the</w:t>
      </w:r>
      <w:r>
        <w:t xml:space="preserve"> rates p.a.</w:t>
      </w:r>
      <w:r w:rsidR="00A46B81">
        <w:t xml:space="preserve"> applicable to base </w:t>
      </w:r>
      <w:r w:rsidR="00FE635B">
        <w:t xml:space="preserve">remuneration </w:t>
      </w:r>
      <w:r w:rsidR="00A46B81">
        <w:t>and performance remuneration</w:t>
      </w:r>
      <w:r w:rsidR="00FE635B">
        <w:t>,</w:t>
      </w:r>
      <w:r w:rsidR="00D95226">
        <w:t xml:space="preserve"> as provided in Article 13(1) and (2) CDR.</w:t>
      </w:r>
    </w:p>
    <w:tbl>
      <w:tblPr>
        <w:tblW w:w="8584" w:type="dxa"/>
        <w:tblInd w:w="93" w:type="dxa"/>
        <w:tblLook w:val="04A0" w:firstRow="1" w:lastRow="0" w:firstColumn="1" w:lastColumn="0" w:noHBand="0" w:noVBand="1"/>
      </w:tblPr>
      <w:tblGrid>
        <w:gridCol w:w="2000"/>
        <w:gridCol w:w="1417"/>
        <w:gridCol w:w="2410"/>
        <w:gridCol w:w="573"/>
        <w:gridCol w:w="1948"/>
        <w:gridCol w:w="236"/>
      </w:tblGrid>
      <w:tr w:rsidR="00E92C77" w:rsidRPr="00A82FE5" w:rsidTr="00764912">
        <w:trPr>
          <w:trHeight w:val="429"/>
        </w:trPr>
        <w:tc>
          <w:tcPr>
            <w:tcW w:w="2000" w:type="dxa"/>
            <w:vMerge w:val="restart"/>
            <w:tcBorders>
              <w:top w:val="single" w:sz="4" w:space="0" w:color="auto"/>
              <w:left w:val="single" w:sz="4" w:space="0" w:color="auto"/>
              <w:right w:val="nil"/>
            </w:tcBorders>
            <w:shd w:val="clear" w:color="auto" w:fill="D9D9D9"/>
            <w:noWrap/>
            <w:vAlign w:val="center"/>
          </w:tcPr>
          <w:p w:rsidR="00E92C77" w:rsidRPr="00A82FE5" w:rsidRDefault="00E92C77" w:rsidP="00A82FE5">
            <w:pPr>
              <w:spacing w:after="0"/>
              <w:jc w:val="center"/>
              <w:rPr>
                <w:rFonts w:ascii="Calibri" w:hAnsi="Calibri"/>
                <w:b/>
                <w:bCs/>
                <w:sz w:val="20"/>
                <w:lang w:eastAsia="en-GB" w:bidi="he-IL"/>
              </w:rPr>
            </w:pPr>
            <w:r w:rsidRPr="00A82FE5">
              <w:rPr>
                <w:rFonts w:ascii="Calibri" w:hAnsi="Calibri"/>
                <w:b/>
                <w:bCs/>
                <w:sz w:val="20"/>
                <w:lang w:eastAsia="en-GB" w:bidi="he-IL"/>
              </w:rPr>
              <w:t>Body implementing</w:t>
            </w:r>
            <w:r>
              <w:rPr>
                <w:rFonts w:ascii="Calibri" w:hAnsi="Calibri"/>
                <w:b/>
                <w:bCs/>
                <w:sz w:val="20"/>
                <w:lang w:eastAsia="en-GB" w:bidi="he-IL"/>
              </w:rPr>
              <w:t>…</w:t>
            </w:r>
          </w:p>
        </w:tc>
        <w:tc>
          <w:tcPr>
            <w:tcW w:w="1417" w:type="dxa"/>
            <w:vMerge w:val="restart"/>
            <w:tcBorders>
              <w:top w:val="single" w:sz="4" w:space="0" w:color="auto"/>
              <w:left w:val="single" w:sz="4" w:space="0" w:color="auto"/>
              <w:right w:val="single" w:sz="4" w:space="0" w:color="auto"/>
            </w:tcBorders>
            <w:shd w:val="clear" w:color="auto" w:fill="D9D9D9"/>
            <w:noWrap/>
            <w:vAlign w:val="center"/>
          </w:tcPr>
          <w:p w:rsidR="00E92C77" w:rsidRDefault="0070449C" w:rsidP="00AC1406">
            <w:pPr>
              <w:spacing w:after="0"/>
              <w:jc w:val="center"/>
              <w:rPr>
                <w:rFonts w:ascii="Calibri" w:hAnsi="Calibri"/>
                <w:b/>
                <w:bCs/>
                <w:sz w:val="20"/>
                <w:lang w:eastAsia="en-GB" w:bidi="he-IL"/>
              </w:rPr>
            </w:pPr>
            <w:r>
              <w:rPr>
                <w:rFonts w:ascii="Calibri" w:hAnsi="Calibri"/>
                <w:b/>
                <w:bCs/>
                <w:sz w:val="20"/>
                <w:lang w:eastAsia="en-GB" w:bidi="he-IL"/>
              </w:rPr>
              <w:t>General</w:t>
            </w:r>
            <w:r w:rsidR="00AC1406">
              <w:rPr>
                <w:rFonts w:ascii="Calibri" w:hAnsi="Calibri"/>
                <w:b/>
                <w:bCs/>
                <w:sz w:val="20"/>
                <w:lang w:eastAsia="en-GB" w:bidi="he-IL"/>
              </w:rPr>
              <w:t xml:space="preserve"> –cap rate-</w:t>
            </w:r>
          </w:p>
          <w:p w:rsidR="00E92C77" w:rsidRDefault="00CC6576" w:rsidP="00A82FE5">
            <w:pPr>
              <w:spacing w:after="0"/>
              <w:jc w:val="center"/>
              <w:rPr>
                <w:rFonts w:ascii="Calibri" w:hAnsi="Calibri"/>
                <w:b/>
                <w:bCs/>
                <w:sz w:val="20"/>
                <w:lang w:eastAsia="en-GB" w:bidi="he-IL"/>
              </w:rPr>
            </w:pPr>
            <w:r>
              <w:rPr>
                <w:rFonts w:ascii="Calibri" w:hAnsi="Calibri"/>
                <w:b/>
                <w:bCs/>
                <w:sz w:val="20"/>
                <w:lang w:eastAsia="en-GB" w:bidi="he-IL"/>
              </w:rPr>
              <w:t>thresholds</w:t>
            </w:r>
          </w:p>
        </w:tc>
        <w:tc>
          <w:tcPr>
            <w:tcW w:w="5167" w:type="dxa"/>
            <w:gridSpan w:val="4"/>
            <w:tcBorders>
              <w:top w:val="single" w:sz="4" w:space="0" w:color="auto"/>
              <w:left w:val="nil"/>
              <w:bottom w:val="single" w:sz="4" w:space="0" w:color="auto"/>
              <w:right w:val="single" w:sz="4" w:space="0" w:color="auto"/>
            </w:tcBorders>
            <w:shd w:val="clear" w:color="auto" w:fill="D9D9D9"/>
            <w:noWrap/>
            <w:vAlign w:val="center"/>
          </w:tcPr>
          <w:p w:rsidR="00E92C77" w:rsidRPr="00A82FE5" w:rsidRDefault="00E92C77" w:rsidP="00A82FE5">
            <w:pPr>
              <w:spacing w:after="0"/>
              <w:jc w:val="center"/>
              <w:rPr>
                <w:rFonts w:ascii="Calibri" w:hAnsi="Calibri"/>
                <w:b/>
                <w:bCs/>
                <w:sz w:val="20"/>
                <w:lang w:eastAsia="en-GB" w:bidi="he-IL"/>
              </w:rPr>
            </w:pPr>
          </w:p>
        </w:tc>
      </w:tr>
      <w:tr w:rsidR="00E92C77" w:rsidRPr="00A82FE5" w:rsidTr="00764912">
        <w:trPr>
          <w:trHeight w:val="429"/>
        </w:trPr>
        <w:tc>
          <w:tcPr>
            <w:tcW w:w="2000" w:type="dxa"/>
            <w:vMerge/>
            <w:tcBorders>
              <w:left w:val="single" w:sz="4" w:space="0" w:color="auto"/>
              <w:bottom w:val="single" w:sz="4" w:space="0" w:color="auto"/>
              <w:right w:val="nil"/>
            </w:tcBorders>
            <w:shd w:val="clear" w:color="auto" w:fill="D9D9D9"/>
            <w:noWrap/>
            <w:vAlign w:val="center"/>
            <w:hideMark/>
          </w:tcPr>
          <w:p w:rsidR="00E92C77" w:rsidRPr="00A82FE5" w:rsidRDefault="00E92C77" w:rsidP="00A82FE5">
            <w:pPr>
              <w:spacing w:after="0"/>
              <w:jc w:val="center"/>
              <w:rPr>
                <w:rFonts w:ascii="Calibri" w:hAnsi="Calibri"/>
                <w:b/>
                <w:bCs/>
                <w:sz w:val="20"/>
                <w:lang w:eastAsia="en-GB" w:bidi="he-IL"/>
              </w:rPr>
            </w:pPr>
          </w:p>
        </w:tc>
        <w:tc>
          <w:tcPr>
            <w:tcW w:w="1417" w:type="dxa"/>
            <w:vMerge/>
            <w:tcBorders>
              <w:left w:val="single" w:sz="4" w:space="0" w:color="auto"/>
              <w:bottom w:val="single" w:sz="4" w:space="0" w:color="auto"/>
              <w:right w:val="single" w:sz="4" w:space="0" w:color="auto"/>
            </w:tcBorders>
            <w:shd w:val="clear" w:color="auto" w:fill="D9D9D9"/>
            <w:noWrap/>
            <w:vAlign w:val="center"/>
            <w:hideMark/>
          </w:tcPr>
          <w:p w:rsidR="00E92C77" w:rsidRPr="00A82FE5" w:rsidRDefault="00E92C77" w:rsidP="00A82FE5">
            <w:pPr>
              <w:spacing w:after="0"/>
              <w:jc w:val="center"/>
              <w:rPr>
                <w:rFonts w:ascii="Calibri" w:hAnsi="Calibri"/>
                <w:b/>
                <w:bCs/>
                <w:sz w:val="20"/>
                <w:lang w:eastAsia="en-GB" w:bidi="he-IL"/>
              </w:rPr>
            </w:pPr>
          </w:p>
        </w:tc>
        <w:tc>
          <w:tcPr>
            <w:tcW w:w="2410" w:type="dxa"/>
            <w:tcBorders>
              <w:top w:val="single" w:sz="4" w:space="0" w:color="auto"/>
              <w:left w:val="nil"/>
              <w:bottom w:val="single" w:sz="4" w:space="0" w:color="auto"/>
              <w:right w:val="single" w:sz="4" w:space="0" w:color="auto"/>
            </w:tcBorders>
            <w:shd w:val="clear" w:color="auto" w:fill="D9D9D9"/>
            <w:noWrap/>
            <w:vAlign w:val="center"/>
            <w:hideMark/>
          </w:tcPr>
          <w:p w:rsidR="00E92C77" w:rsidRPr="00A82FE5" w:rsidRDefault="00E92C77" w:rsidP="00A82FE5">
            <w:pPr>
              <w:spacing w:after="0"/>
              <w:jc w:val="center"/>
              <w:rPr>
                <w:rFonts w:ascii="Calibri" w:hAnsi="Calibri"/>
                <w:b/>
                <w:bCs/>
                <w:sz w:val="20"/>
                <w:lang w:eastAsia="en-GB" w:bidi="he-IL"/>
              </w:rPr>
            </w:pPr>
            <w:r w:rsidRPr="00A82FE5">
              <w:rPr>
                <w:rFonts w:ascii="Calibri" w:hAnsi="Calibri"/>
                <w:b/>
                <w:bCs/>
                <w:sz w:val="20"/>
                <w:lang w:eastAsia="en-GB" w:bidi="he-IL"/>
              </w:rPr>
              <w:t>Base</w:t>
            </w:r>
            <w:r>
              <w:rPr>
                <w:rFonts w:ascii="Calibri" w:hAnsi="Calibri"/>
                <w:b/>
                <w:bCs/>
                <w:sz w:val="20"/>
                <w:lang w:eastAsia="en-GB" w:bidi="he-IL"/>
              </w:rPr>
              <w:t xml:space="preserve"> remuneration</w:t>
            </w:r>
            <w:r w:rsidR="00CC6576">
              <w:rPr>
                <w:rFonts w:ascii="Calibri" w:hAnsi="Calibri"/>
                <w:b/>
                <w:bCs/>
                <w:sz w:val="20"/>
                <w:lang w:eastAsia="en-GB" w:bidi="he-IL"/>
              </w:rPr>
              <w:t>: rates p.a./</w:t>
            </w:r>
            <w:r w:rsidR="00CC6576" w:rsidRPr="00CC6576">
              <w:rPr>
                <w:rFonts w:ascii="Calibri" w:hAnsi="Calibri"/>
                <w:b/>
                <w:bCs/>
                <w:i/>
                <w:iCs/>
                <w:sz w:val="20"/>
                <w:lang w:eastAsia="en-GB" w:bidi="he-IL"/>
              </w:rPr>
              <w:t xml:space="preserve">pro rata </w:t>
            </w:r>
            <w:proofErr w:type="spellStart"/>
            <w:r w:rsidR="00CC6576" w:rsidRPr="00CC6576">
              <w:rPr>
                <w:rFonts w:ascii="Calibri" w:hAnsi="Calibri"/>
                <w:b/>
                <w:bCs/>
                <w:i/>
                <w:iCs/>
                <w:sz w:val="20"/>
                <w:lang w:eastAsia="en-GB" w:bidi="he-IL"/>
              </w:rPr>
              <w:t>temporis</w:t>
            </w:r>
            <w:proofErr w:type="spellEnd"/>
          </w:p>
        </w:tc>
        <w:tc>
          <w:tcPr>
            <w:tcW w:w="2757" w:type="dxa"/>
            <w:gridSpan w:val="3"/>
            <w:tcBorders>
              <w:top w:val="single" w:sz="4" w:space="0" w:color="auto"/>
              <w:left w:val="nil"/>
              <w:bottom w:val="single" w:sz="4" w:space="0" w:color="auto"/>
              <w:right w:val="single" w:sz="4" w:space="0" w:color="auto"/>
            </w:tcBorders>
            <w:shd w:val="clear" w:color="auto" w:fill="D9D9D9"/>
            <w:noWrap/>
            <w:vAlign w:val="center"/>
            <w:hideMark/>
          </w:tcPr>
          <w:p w:rsidR="00E92C77" w:rsidRPr="00A82FE5" w:rsidRDefault="00E92C77" w:rsidP="00A82FE5">
            <w:pPr>
              <w:spacing w:after="0"/>
              <w:jc w:val="center"/>
              <w:rPr>
                <w:rFonts w:ascii="Calibri" w:hAnsi="Calibri"/>
                <w:b/>
                <w:bCs/>
                <w:sz w:val="20"/>
                <w:lang w:eastAsia="en-GB" w:bidi="he-IL"/>
              </w:rPr>
            </w:pPr>
            <w:r w:rsidRPr="00A82FE5">
              <w:rPr>
                <w:rFonts w:ascii="Calibri" w:hAnsi="Calibri"/>
                <w:b/>
                <w:bCs/>
                <w:sz w:val="20"/>
                <w:lang w:eastAsia="en-GB" w:bidi="he-IL"/>
              </w:rPr>
              <w:t>Performance</w:t>
            </w:r>
            <w:r>
              <w:rPr>
                <w:rFonts w:ascii="Calibri" w:hAnsi="Calibri"/>
                <w:b/>
                <w:bCs/>
                <w:sz w:val="20"/>
                <w:lang w:eastAsia="en-GB" w:bidi="he-IL"/>
              </w:rPr>
              <w:t xml:space="preserve"> remuneration</w:t>
            </w:r>
            <w:r w:rsidR="00CC6576">
              <w:rPr>
                <w:rFonts w:ascii="Calibri" w:hAnsi="Calibri"/>
                <w:b/>
                <w:bCs/>
                <w:sz w:val="20"/>
                <w:lang w:eastAsia="en-GB" w:bidi="he-IL"/>
              </w:rPr>
              <w:t>: rates p.a./</w:t>
            </w:r>
            <w:r w:rsidR="00CC6576" w:rsidRPr="00CC6576">
              <w:rPr>
                <w:rFonts w:ascii="Calibri" w:hAnsi="Calibri"/>
                <w:b/>
                <w:bCs/>
                <w:i/>
                <w:iCs/>
                <w:sz w:val="20"/>
                <w:lang w:eastAsia="en-GB" w:bidi="he-IL"/>
              </w:rPr>
              <w:t xml:space="preserve">pro rata </w:t>
            </w:r>
            <w:proofErr w:type="spellStart"/>
            <w:r w:rsidR="00CC6576" w:rsidRPr="00CC6576">
              <w:rPr>
                <w:rFonts w:ascii="Calibri" w:hAnsi="Calibri"/>
                <w:b/>
                <w:bCs/>
                <w:i/>
                <w:iCs/>
                <w:sz w:val="20"/>
                <w:lang w:eastAsia="en-GB" w:bidi="he-IL"/>
              </w:rPr>
              <w:t>temporis</w:t>
            </w:r>
            <w:proofErr w:type="spellEnd"/>
          </w:p>
        </w:tc>
      </w:tr>
      <w:tr w:rsidR="00A82FE5" w:rsidRPr="00A82FE5" w:rsidTr="00F572A3">
        <w:trPr>
          <w:trHeight w:val="429"/>
        </w:trPr>
        <w:tc>
          <w:tcPr>
            <w:tcW w:w="2000" w:type="dxa"/>
            <w:vMerge w:val="restart"/>
            <w:tcBorders>
              <w:top w:val="single" w:sz="4" w:space="0" w:color="auto"/>
              <w:left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b/>
                <w:bCs/>
                <w:sz w:val="20"/>
                <w:lang w:eastAsia="en-GB" w:bidi="he-IL"/>
              </w:rPr>
            </w:pPr>
            <w:r w:rsidRPr="00A82FE5">
              <w:rPr>
                <w:rFonts w:ascii="Calibri" w:hAnsi="Calibri"/>
                <w:b/>
                <w:bCs/>
                <w:sz w:val="20"/>
                <w:lang w:eastAsia="en-GB" w:bidi="he-IL"/>
              </w:rPr>
              <w:t>F</w:t>
            </w:r>
            <w:r>
              <w:rPr>
                <w:rFonts w:ascii="Calibri" w:hAnsi="Calibri"/>
                <w:b/>
                <w:bCs/>
                <w:sz w:val="20"/>
                <w:lang w:eastAsia="en-GB" w:bidi="he-IL"/>
              </w:rPr>
              <w:t xml:space="preserve">und </w:t>
            </w:r>
            <w:r w:rsidRPr="00A82FE5">
              <w:rPr>
                <w:rFonts w:ascii="Calibri" w:hAnsi="Calibri"/>
                <w:b/>
                <w:bCs/>
                <w:sz w:val="20"/>
                <w:lang w:eastAsia="en-GB" w:bidi="he-IL"/>
              </w:rPr>
              <w:t>o</w:t>
            </w:r>
            <w:r>
              <w:rPr>
                <w:rFonts w:ascii="Calibri" w:hAnsi="Calibri"/>
                <w:b/>
                <w:bCs/>
                <w:sz w:val="20"/>
                <w:lang w:eastAsia="en-GB" w:bidi="he-IL"/>
              </w:rPr>
              <w:t xml:space="preserve">f </w:t>
            </w:r>
            <w:r w:rsidRPr="00A82FE5">
              <w:rPr>
                <w:rFonts w:ascii="Calibri" w:hAnsi="Calibri"/>
                <w:b/>
                <w:bCs/>
                <w:sz w:val="20"/>
                <w:lang w:eastAsia="en-GB" w:bidi="he-IL"/>
              </w:rPr>
              <w:t>F</w:t>
            </w:r>
            <w:r>
              <w:rPr>
                <w:rFonts w:ascii="Calibri" w:hAnsi="Calibri"/>
                <w:b/>
                <w:bCs/>
                <w:sz w:val="20"/>
                <w:lang w:eastAsia="en-GB" w:bidi="he-IL"/>
              </w:rPr>
              <w:t>unds</w:t>
            </w:r>
          </w:p>
        </w:tc>
        <w:tc>
          <w:tcPr>
            <w:tcW w:w="1417" w:type="dxa"/>
            <w:vMerge w:val="restart"/>
            <w:tcBorders>
              <w:top w:val="nil"/>
              <w:left w:val="nil"/>
              <w:right w:val="single" w:sz="4" w:space="0" w:color="auto"/>
            </w:tcBorders>
            <w:shd w:val="clear" w:color="000000" w:fill="FFC000"/>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7.00%</w:t>
            </w:r>
          </w:p>
        </w:tc>
        <w:tc>
          <w:tcPr>
            <w:tcW w:w="2410" w:type="dxa"/>
            <w:tcBorders>
              <w:top w:val="nil"/>
              <w:left w:val="nil"/>
              <w:bottom w:val="single" w:sz="4" w:space="0" w:color="auto"/>
              <w:right w:val="single" w:sz="4" w:space="0" w:color="auto"/>
            </w:tcBorders>
            <w:shd w:val="clear" w:color="auto" w:fill="auto"/>
            <w:noWrap/>
            <w:vAlign w:val="center"/>
            <w:hideMark/>
          </w:tcPr>
          <w:p w:rsidR="00A82FE5" w:rsidRPr="00A82FE5" w:rsidRDefault="00D95226" w:rsidP="00D95226">
            <w:pPr>
              <w:spacing w:after="0"/>
              <w:jc w:val="center"/>
              <w:rPr>
                <w:rFonts w:ascii="Calibri" w:hAnsi="Calibri"/>
                <w:sz w:val="20"/>
                <w:lang w:eastAsia="en-GB" w:bidi="he-IL"/>
              </w:rPr>
            </w:pPr>
            <w:r>
              <w:rPr>
                <w:rFonts w:ascii="Calibri" w:hAnsi="Calibri"/>
                <w:sz w:val="20"/>
                <w:lang w:eastAsia="en-GB" w:bidi="he-IL"/>
              </w:rPr>
              <w:t>For f</w:t>
            </w:r>
            <w:r w:rsidR="00A82FE5" w:rsidRPr="00A82FE5">
              <w:rPr>
                <w:rFonts w:ascii="Calibri" w:hAnsi="Calibri"/>
                <w:sz w:val="20"/>
                <w:lang w:eastAsia="en-GB" w:bidi="he-IL"/>
              </w:rPr>
              <w:t xml:space="preserve">irst </w:t>
            </w:r>
            <w:r w:rsidR="00330CEE">
              <w:rPr>
                <w:rFonts w:ascii="Calibri" w:hAnsi="Calibri"/>
                <w:sz w:val="20"/>
                <w:lang w:eastAsia="en-GB" w:bidi="he-IL"/>
              </w:rPr>
              <w:t>12 months</w:t>
            </w:r>
            <w:r w:rsidR="00A82FE5" w:rsidRPr="00A82FE5">
              <w:rPr>
                <w:rFonts w:ascii="Calibri" w:hAnsi="Calibri"/>
                <w:sz w:val="20"/>
                <w:lang w:eastAsia="en-GB" w:bidi="he-IL"/>
              </w:rPr>
              <w:t>*</w:t>
            </w:r>
            <w:r w:rsidR="00A82FE5">
              <w:rPr>
                <w:rFonts w:ascii="Calibri" w:hAnsi="Calibri"/>
                <w:sz w:val="20"/>
                <w:lang w:eastAsia="en-GB" w:bidi="he-IL"/>
              </w:rPr>
              <w:t xml:space="preserve"> </w:t>
            </w:r>
            <w:r w:rsidR="00A82FE5" w:rsidRPr="00A82FE5">
              <w:rPr>
                <w:rFonts w:ascii="Calibri" w:hAnsi="Calibri"/>
                <w:sz w:val="20"/>
                <w:lang w:eastAsia="en-GB" w:bidi="he-IL"/>
              </w:rPr>
              <w:t>3.00%</w:t>
            </w:r>
          </w:p>
        </w:tc>
        <w:tc>
          <w:tcPr>
            <w:tcW w:w="2757" w:type="dxa"/>
            <w:gridSpan w:val="3"/>
            <w:tcBorders>
              <w:top w:val="nil"/>
              <w:left w:val="nil"/>
              <w:bottom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0.50%</w:t>
            </w:r>
          </w:p>
        </w:tc>
      </w:tr>
      <w:tr w:rsidR="00A82FE5" w:rsidRPr="00A82FE5" w:rsidTr="00F572A3">
        <w:trPr>
          <w:trHeight w:val="429"/>
        </w:trPr>
        <w:tc>
          <w:tcPr>
            <w:tcW w:w="2000" w:type="dxa"/>
            <w:vMerge/>
            <w:tcBorders>
              <w:left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b/>
                <w:bCs/>
                <w:sz w:val="20"/>
                <w:lang w:eastAsia="en-GB" w:bidi="he-IL"/>
              </w:rPr>
            </w:pPr>
          </w:p>
        </w:tc>
        <w:tc>
          <w:tcPr>
            <w:tcW w:w="1417" w:type="dxa"/>
            <w:vMerge/>
            <w:tcBorders>
              <w:left w:val="nil"/>
              <w:right w:val="single" w:sz="4" w:space="0" w:color="auto"/>
            </w:tcBorders>
            <w:shd w:val="clear" w:color="000000" w:fill="FFC000"/>
            <w:noWrap/>
            <w:vAlign w:val="center"/>
            <w:hideMark/>
          </w:tcPr>
          <w:p w:rsidR="00A82FE5" w:rsidRPr="00A82FE5" w:rsidRDefault="00A82FE5" w:rsidP="00A82FE5">
            <w:pPr>
              <w:spacing w:after="0"/>
              <w:jc w:val="center"/>
              <w:rPr>
                <w:rFonts w:ascii="Calibri" w:hAnsi="Calibri"/>
                <w:sz w:val="20"/>
                <w:lang w:eastAsia="en-GB" w:bidi="he-IL"/>
              </w:rPr>
            </w:pPr>
          </w:p>
        </w:tc>
        <w:tc>
          <w:tcPr>
            <w:tcW w:w="2410" w:type="dxa"/>
            <w:tcBorders>
              <w:top w:val="nil"/>
              <w:left w:val="nil"/>
              <w:bottom w:val="single" w:sz="4" w:space="0" w:color="auto"/>
              <w:right w:val="single" w:sz="4" w:space="0" w:color="auto"/>
            </w:tcBorders>
            <w:shd w:val="clear" w:color="auto" w:fill="auto"/>
            <w:noWrap/>
            <w:vAlign w:val="center"/>
            <w:hideMark/>
          </w:tcPr>
          <w:p w:rsidR="00A82FE5" w:rsidRPr="00A82FE5" w:rsidRDefault="00D95226" w:rsidP="00D95226">
            <w:pPr>
              <w:spacing w:after="0"/>
              <w:jc w:val="center"/>
              <w:rPr>
                <w:rFonts w:ascii="Calibri" w:hAnsi="Calibri"/>
                <w:sz w:val="20"/>
                <w:lang w:eastAsia="en-GB" w:bidi="he-IL"/>
              </w:rPr>
            </w:pPr>
            <w:r>
              <w:rPr>
                <w:rFonts w:ascii="Calibri" w:hAnsi="Calibri"/>
                <w:sz w:val="20"/>
                <w:lang w:eastAsia="en-GB" w:bidi="he-IL"/>
              </w:rPr>
              <w:t xml:space="preserve">For next </w:t>
            </w:r>
            <w:r w:rsidR="00A82FE5" w:rsidRPr="00A82FE5">
              <w:rPr>
                <w:rFonts w:ascii="Calibri" w:hAnsi="Calibri"/>
                <w:sz w:val="20"/>
                <w:lang w:eastAsia="en-GB" w:bidi="he-IL"/>
              </w:rPr>
              <w:t>12 m</w:t>
            </w:r>
            <w:r w:rsidR="00330CEE">
              <w:rPr>
                <w:rFonts w:ascii="Calibri" w:hAnsi="Calibri"/>
                <w:sz w:val="20"/>
                <w:lang w:eastAsia="en-GB" w:bidi="he-IL"/>
              </w:rPr>
              <w:t>onths</w:t>
            </w:r>
            <w:r w:rsidR="00A82FE5" w:rsidRPr="00A82FE5">
              <w:rPr>
                <w:rFonts w:ascii="Calibri" w:hAnsi="Calibri"/>
                <w:sz w:val="20"/>
                <w:lang w:eastAsia="en-GB" w:bidi="he-IL"/>
              </w:rPr>
              <w:t>* 1.00%</w:t>
            </w:r>
          </w:p>
        </w:tc>
        <w:tc>
          <w:tcPr>
            <w:tcW w:w="2757" w:type="dxa"/>
            <w:gridSpan w:val="3"/>
            <w:tcBorders>
              <w:top w:val="nil"/>
              <w:left w:val="nil"/>
              <w:bottom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0.50%</w:t>
            </w:r>
          </w:p>
        </w:tc>
      </w:tr>
      <w:tr w:rsidR="00A82FE5" w:rsidRPr="00A82FE5" w:rsidTr="00F572A3">
        <w:trPr>
          <w:trHeight w:val="429"/>
        </w:trPr>
        <w:tc>
          <w:tcPr>
            <w:tcW w:w="2000" w:type="dxa"/>
            <w:vMerge/>
            <w:tcBorders>
              <w:left w:val="single" w:sz="4" w:space="0" w:color="auto"/>
              <w:bottom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b/>
                <w:bCs/>
                <w:sz w:val="20"/>
                <w:lang w:eastAsia="en-GB" w:bidi="he-IL"/>
              </w:rPr>
            </w:pPr>
          </w:p>
        </w:tc>
        <w:tc>
          <w:tcPr>
            <w:tcW w:w="1417" w:type="dxa"/>
            <w:vMerge/>
            <w:tcBorders>
              <w:left w:val="nil"/>
              <w:bottom w:val="single" w:sz="4" w:space="0" w:color="auto"/>
              <w:right w:val="single" w:sz="4" w:space="0" w:color="auto"/>
            </w:tcBorders>
            <w:shd w:val="clear" w:color="000000" w:fill="FFC000"/>
            <w:noWrap/>
            <w:vAlign w:val="center"/>
            <w:hideMark/>
          </w:tcPr>
          <w:p w:rsidR="00A82FE5" w:rsidRPr="00A82FE5" w:rsidRDefault="00A82FE5" w:rsidP="00A82FE5">
            <w:pPr>
              <w:spacing w:after="0"/>
              <w:jc w:val="center"/>
              <w:rPr>
                <w:rFonts w:ascii="Calibri" w:hAnsi="Calibri"/>
                <w:sz w:val="20"/>
                <w:lang w:eastAsia="en-GB" w:bidi="he-IL"/>
              </w:rPr>
            </w:pPr>
          </w:p>
        </w:tc>
        <w:tc>
          <w:tcPr>
            <w:tcW w:w="2410" w:type="dxa"/>
            <w:tcBorders>
              <w:top w:val="nil"/>
              <w:left w:val="nil"/>
              <w:bottom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 xml:space="preserve">Following </w:t>
            </w:r>
            <w:r>
              <w:rPr>
                <w:rFonts w:ascii="Calibri" w:hAnsi="Calibri"/>
                <w:sz w:val="20"/>
                <w:lang w:eastAsia="en-GB" w:bidi="he-IL"/>
              </w:rPr>
              <w:t>years</w:t>
            </w:r>
            <w:r w:rsidRPr="00A82FE5">
              <w:rPr>
                <w:rFonts w:ascii="Calibri" w:hAnsi="Calibri"/>
                <w:sz w:val="20"/>
                <w:lang w:eastAsia="en-GB" w:bidi="he-IL"/>
              </w:rPr>
              <w:t xml:space="preserve"> 0.50%</w:t>
            </w:r>
          </w:p>
        </w:tc>
        <w:tc>
          <w:tcPr>
            <w:tcW w:w="2757" w:type="dxa"/>
            <w:gridSpan w:val="3"/>
            <w:tcBorders>
              <w:top w:val="nil"/>
              <w:left w:val="nil"/>
              <w:bottom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0.50%</w:t>
            </w:r>
          </w:p>
        </w:tc>
      </w:tr>
      <w:tr w:rsidR="00F572A3" w:rsidRPr="00A82FE5" w:rsidTr="00F572A3">
        <w:trPr>
          <w:trHeight w:val="429"/>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b/>
                <w:bCs/>
                <w:sz w:val="20"/>
                <w:lang w:eastAsia="en-GB" w:bidi="he-IL"/>
              </w:rPr>
            </w:pPr>
            <w:r>
              <w:rPr>
                <w:rFonts w:ascii="Calibri" w:hAnsi="Calibri"/>
                <w:b/>
                <w:bCs/>
                <w:sz w:val="20"/>
                <w:lang w:eastAsia="en-GB" w:bidi="he-IL"/>
              </w:rPr>
              <w:t>L</w:t>
            </w:r>
            <w:r w:rsidR="00D95226">
              <w:rPr>
                <w:rFonts w:ascii="Calibri" w:hAnsi="Calibri"/>
                <w:b/>
                <w:bCs/>
                <w:sz w:val="20"/>
                <w:lang w:eastAsia="en-GB" w:bidi="he-IL"/>
              </w:rPr>
              <w:t>oans</w:t>
            </w:r>
          </w:p>
        </w:tc>
        <w:tc>
          <w:tcPr>
            <w:tcW w:w="1417" w:type="dxa"/>
            <w:tcBorders>
              <w:top w:val="nil"/>
              <w:left w:val="nil"/>
              <w:bottom w:val="single" w:sz="4" w:space="0" w:color="auto"/>
              <w:right w:val="single" w:sz="4" w:space="0" w:color="auto"/>
            </w:tcBorders>
            <w:shd w:val="clear" w:color="000000" w:fill="FFC000"/>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8.00%</w:t>
            </w:r>
          </w:p>
        </w:tc>
        <w:tc>
          <w:tcPr>
            <w:tcW w:w="2410" w:type="dxa"/>
            <w:tcBorders>
              <w:top w:val="nil"/>
              <w:left w:val="nil"/>
              <w:bottom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0.50%</w:t>
            </w:r>
          </w:p>
        </w:tc>
        <w:tc>
          <w:tcPr>
            <w:tcW w:w="2757" w:type="dxa"/>
            <w:gridSpan w:val="3"/>
            <w:tcBorders>
              <w:top w:val="nil"/>
              <w:left w:val="nil"/>
              <w:bottom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1.00%</w:t>
            </w:r>
          </w:p>
        </w:tc>
      </w:tr>
      <w:tr w:rsidR="00F572A3" w:rsidRPr="00A82FE5" w:rsidTr="00F572A3">
        <w:trPr>
          <w:trHeight w:val="429"/>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82FE5" w:rsidRPr="00A82FE5" w:rsidRDefault="00A82FE5" w:rsidP="00D95226">
            <w:pPr>
              <w:spacing w:after="0"/>
              <w:jc w:val="center"/>
              <w:rPr>
                <w:rFonts w:ascii="Calibri" w:hAnsi="Calibri"/>
                <w:b/>
                <w:bCs/>
                <w:sz w:val="20"/>
                <w:lang w:eastAsia="en-GB" w:bidi="he-IL"/>
              </w:rPr>
            </w:pPr>
            <w:r>
              <w:rPr>
                <w:rFonts w:ascii="Calibri" w:hAnsi="Calibri"/>
                <w:b/>
                <w:bCs/>
                <w:sz w:val="20"/>
                <w:lang w:eastAsia="en-GB" w:bidi="he-IL"/>
              </w:rPr>
              <w:lastRenderedPageBreak/>
              <w:t>G</w:t>
            </w:r>
            <w:r w:rsidRPr="00A82FE5">
              <w:rPr>
                <w:rFonts w:ascii="Calibri" w:hAnsi="Calibri"/>
                <w:b/>
                <w:bCs/>
                <w:sz w:val="20"/>
                <w:lang w:eastAsia="en-GB" w:bidi="he-IL"/>
              </w:rPr>
              <w:t>uarantee</w:t>
            </w:r>
            <w:r w:rsidR="00D95226">
              <w:rPr>
                <w:rFonts w:ascii="Calibri" w:hAnsi="Calibri"/>
                <w:b/>
                <w:bCs/>
                <w:sz w:val="20"/>
                <w:lang w:eastAsia="en-GB" w:bidi="he-IL"/>
              </w:rPr>
              <w:t>s</w:t>
            </w:r>
          </w:p>
        </w:tc>
        <w:tc>
          <w:tcPr>
            <w:tcW w:w="1417" w:type="dxa"/>
            <w:tcBorders>
              <w:top w:val="nil"/>
              <w:left w:val="nil"/>
              <w:bottom w:val="single" w:sz="4" w:space="0" w:color="auto"/>
              <w:right w:val="single" w:sz="4" w:space="0" w:color="auto"/>
            </w:tcBorders>
            <w:shd w:val="clear" w:color="000000" w:fill="FFC000"/>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10.00%</w:t>
            </w:r>
          </w:p>
        </w:tc>
        <w:tc>
          <w:tcPr>
            <w:tcW w:w="2410" w:type="dxa"/>
            <w:tcBorders>
              <w:top w:val="nil"/>
              <w:left w:val="nil"/>
              <w:bottom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0.50%</w:t>
            </w:r>
          </w:p>
        </w:tc>
        <w:tc>
          <w:tcPr>
            <w:tcW w:w="2757" w:type="dxa"/>
            <w:gridSpan w:val="3"/>
            <w:tcBorders>
              <w:top w:val="nil"/>
              <w:left w:val="nil"/>
              <w:bottom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1.50%</w:t>
            </w:r>
          </w:p>
        </w:tc>
      </w:tr>
      <w:tr w:rsidR="00A82FE5" w:rsidRPr="00A82FE5" w:rsidTr="00F572A3">
        <w:trPr>
          <w:trHeight w:val="429"/>
        </w:trPr>
        <w:tc>
          <w:tcPr>
            <w:tcW w:w="2000" w:type="dxa"/>
            <w:vMerge w:val="restart"/>
            <w:tcBorders>
              <w:top w:val="nil"/>
              <w:left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b/>
                <w:bCs/>
                <w:sz w:val="20"/>
                <w:lang w:eastAsia="en-GB" w:bidi="he-IL"/>
              </w:rPr>
            </w:pPr>
            <w:r>
              <w:rPr>
                <w:rFonts w:ascii="Calibri" w:hAnsi="Calibri"/>
                <w:b/>
                <w:bCs/>
                <w:sz w:val="20"/>
                <w:lang w:eastAsia="en-GB" w:bidi="he-IL"/>
              </w:rPr>
              <w:t>E</w:t>
            </w:r>
            <w:r w:rsidR="00D95226">
              <w:rPr>
                <w:rFonts w:ascii="Calibri" w:hAnsi="Calibri"/>
                <w:b/>
                <w:bCs/>
                <w:sz w:val="20"/>
                <w:lang w:eastAsia="en-GB" w:bidi="he-IL"/>
              </w:rPr>
              <w:t>quity</w:t>
            </w:r>
          </w:p>
        </w:tc>
        <w:tc>
          <w:tcPr>
            <w:tcW w:w="1417" w:type="dxa"/>
            <w:vMerge w:val="restart"/>
            <w:tcBorders>
              <w:top w:val="nil"/>
              <w:left w:val="nil"/>
              <w:right w:val="single" w:sz="4" w:space="0" w:color="auto"/>
            </w:tcBorders>
            <w:shd w:val="clear" w:color="000000" w:fill="FFC000"/>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20.00%</w:t>
            </w:r>
          </w:p>
        </w:tc>
        <w:tc>
          <w:tcPr>
            <w:tcW w:w="2410" w:type="dxa"/>
            <w:tcBorders>
              <w:top w:val="nil"/>
              <w:left w:val="nil"/>
              <w:bottom w:val="single" w:sz="4" w:space="0" w:color="auto"/>
              <w:right w:val="single" w:sz="4" w:space="0" w:color="auto"/>
            </w:tcBorders>
            <w:shd w:val="clear" w:color="auto" w:fill="auto"/>
            <w:noWrap/>
            <w:vAlign w:val="center"/>
            <w:hideMark/>
          </w:tcPr>
          <w:p w:rsidR="00A82FE5" w:rsidRPr="00A82FE5" w:rsidRDefault="00D95226" w:rsidP="003B3B7A">
            <w:pPr>
              <w:spacing w:after="0"/>
              <w:jc w:val="center"/>
              <w:rPr>
                <w:rFonts w:ascii="Calibri" w:hAnsi="Calibri"/>
                <w:sz w:val="20"/>
                <w:lang w:eastAsia="en-GB" w:bidi="he-IL"/>
              </w:rPr>
            </w:pPr>
            <w:r>
              <w:rPr>
                <w:rFonts w:ascii="Calibri" w:hAnsi="Calibri"/>
                <w:sz w:val="20"/>
                <w:lang w:eastAsia="en-GB" w:bidi="he-IL"/>
              </w:rPr>
              <w:t>For f</w:t>
            </w:r>
            <w:r w:rsidR="00A82FE5" w:rsidRPr="00A82FE5">
              <w:rPr>
                <w:rFonts w:ascii="Calibri" w:hAnsi="Calibri"/>
                <w:sz w:val="20"/>
                <w:lang w:eastAsia="en-GB" w:bidi="he-IL"/>
              </w:rPr>
              <w:t xml:space="preserve">irst </w:t>
            </w:r>
            <w:r w:rsidR="00330CEE">
              <w:rPr>
                <w:rFonts w:ascii="Calibri" w:hAnsi="Calibri"/>
                <w:sz w:val="20"/>
                <w:lang w:eastAsia="en-GB" w:bidi="he-IL"/>
              </w:rPr>
              <w:t>24</w:t>
            </w:r>
            <w:r w:rsidR="00A82FE5" w:rsidRPr="00A82FE5">
              <w:rPr>
                <w:rFonts w:ascii="Calibri" w:hAnsi="Calibri"/>
                <w:sz w:val="20"/>
                <w:lang w:eastAsia="en-GB" w:bidi="he-IL"/>
              </w:rPr>
              <w:t xml:space="preserve"> </w:t>
            </w:r>
            <w:r w:rsidR="00330CEE">
              <w:rPr>
                <w:rFonts w:ascii="Calibri" w:hAnsi="Calibri"/>
                <w:sz w:val="20"/>
                <w:lang w:eastAsia="en-GB" w:bidi="he-IL"/>
              </w:rPr>
              <w:t>months</w:t>
            </w:r>
            <w:r w:rsidR="00A82FE5" w:rsidRPr="00A82FE5">
              <w:rPr>
                <w:rFonts w:ascii="Calibri" w:hAnsi="Calibri"/>
                <w:sz w:val="20"/>
                <w:lang w:eastAsia="en-GB" w:bidi="he-IL"/>
              </w:rPr>
              <w:t>*</w:t>
            </w:r>
            <w:r w:rsidR="00A82FE5">
              <w:rPr>
                <w:rFonts w:ascii="Calibri" w:hAnsi="Calibri"/>
                <w:sz w:val="20"/>
                <w:lang w:eastAsia="en-GB" w:bidi="he-IL"/>
              </w:rPr>
              <w:t xml:space="preserve"> </w:t>
            </w:r>
            <w:r w:rsidR="00A82FE5" w:rsidRPr="00A82FE5">
              <w:rPr>
                <w:rFonts w:ascii="Calibri" w:hAnsi="Calibri"/>
                <w:sz w:val="20"/>
                <w:lang w:eastAsia="en-GB" w:bidi="he-IL"/>
              </w:rPr>
              <w:t>2.50%</w:t>
            </w:r>
            <w:r w:rsidR="003B3B7A">
              <w:rPr>
                <w:rFonts w:ascii="Calibri" w:hAnsi="Calibri"/>
                <w:sz w:val="20"/>
                <w:lang w:eastAsia="en-GB" w:bidi="he-IL"/>
              </w:rPr>
              <w:t>**</w:t>
            </w:r>
          </w:p>
        </w:tc>
        <w:tc>
          <w:tcPr>
            <w:tcW w:w="2757" w:type="dxa"/>
            <w:gridSpan w:val="3"/>
            <w:tcBorders>
              <w:top w:val="nil"/>
              <w:left w:val="nil"/>
              <w:bottom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2.50%</w:t>
            </w:r>
          </w:p>
        </w:tc>
      </w:tr>
      <w:tr w:rsidR="00A82FE5" w:rsidRPr="00A82FE5" w:rsidTr="00F572A3">
        <w:trPr>
          <w:trHeight w:val="429"/>
        </w:trPr>
        <w:tc>
          <w:tcPr>
            <w:tcW w:w="2000" w:type="dxa"/>
            <w:vMerge/>
            <w:tcBorders>
              <w:left w:val="single" w:sz="4" w:space="0" w:color="auto"/>
              <w:bottom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b/>
                <w:bCs/>
                <w:sz w:val="20"/>
                <w:lang w:eastAsia="en-GB" w:bidi="he-IL"/>
              </w:rPr>
            </w:pPr>
          </w:p>
        </w:tc>
        <w:tc>
          <w:tcPr>
            <w:tcW w:w="1417" w:type="dxa"/>
            <w:vMerge/>
            <w:tcBorders>
              <w:left w:val="nil"/>
              <w:bottom w:val="single" w:sz="4" w:space="0" w:color="auto"/>
              <w:right w:val="single" w:sz="4" w:space="0" w:color="auto"/>
            </w:tcBorders>
            <w:shd w:val="clear" w:color="000000" w:fill="FFC000"/>
            <w:noWrap/>
            <w:vAlign w:val="center"/>
            <w:hideMark/>
          </w:tcPr>
          <w:p w:rsidR="00A82FE5" w:rsidRPr="00A82FE5" w:rsidRDefault="00A82FE5" w:rsidP="00A82FE5">
            <w:pPr>
              <w:spacing w:after="0"/>
              <w:jc w:val="center"/>
              <w:rPr>
                <w:rFonts w:ascii="Calibri" w:hAnsi="Calibri"/>
                <w:sz w:val="20"/>
                <w:lang w:eastAsia="en-GB" w:bidi="he-IL"/>
              </w:rPr>
            </w:pPr>
          </w:p>
        </w:tc>
        <w:tc>
          <w:tcPr>
            <w:tcW w:w="2410" w:type="dxa"/>
            <w:tcBorders>
              <w:top w:val="nil"/>
              <w:left w:val="nil"/>
              <w:bottom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Following</w:t>
            </w:r>
            <w:r>
              <w:rPr>
                <w:rFonts w:ascii="Calibri" w:hAnsi="Calibri"/>
                <w:sz w:val="20"/>
                <w:lang w:eastAsia="en-GB" w:bidi="he-IL"/>
              </w:rPr>
              <w:t xml:space="preserve"> years </w:t>
            </w:r>
            <w:r w:rsidRPr="00A82FE5">
              <w:rPr>
                <w:rFonts w:ascii="Calibri" w:hAnsi="Calibri"/>
                <w:sz w:val="20"/>
                <w:lang w:eastAsia="en-GB" w:bidi="he-IL"/>
              </w:rPr>
              <w:t>1.00%</w:t>
            </w:r>
            <w:r w:rsidR="003B3B7A">
              <w:rPr>
                <w:rFonts w:ascii="Calibri" w:hAnsi="Calibri"/>
                <w:sz w:val="20"/>
                <w:lang w:eastAsia="en-GB" w:bidi="he-IL"/>
              </w:rPr>
              <w:t>**</w:t>
            </w:r>
          </w:p>
        </w:tc>
        <w:tc>
          <w:tcPr>
            <w:tcW w:w="2757" w:type="dxa"/>
            <w:gridSpan w:val="3"/>
            <w:tcBorders>
              <w:top w:val="nil"/>
              <w:left w:val="nil"/>
              <w:bottom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2.50%</w:t>
            </w:r>
          </w:p>
        </w:tc>
      </w:tr>
      <w:tr w:rsidR="00F572A3" w:rsidRPr="00A82FE5" w:rsidTr="00F572A3">
        <w:trPr>
          <w:trHeight w:val="429"/>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b/>
                <w:bCs/>
                <w:sz w:val="20"/>
                <w:lang w:eastAsia="en-GB" w:bidi="he-IL"/>
              </w:rPr>
            </w:pPr>
            <w:r>
              <w:rPr>
                <w:rFonts w:ascii="Calibri" w:hAnsi="Calibri"/>
                <w:b/>
                <w:bCs/>
                <w:sz w:val="20"/>
                <w:lang w:eastAsia="en-GB" w:bidi="he-IL"/>
              </w:rPr>
              <w:t>M</w:t>
            </w:r>
            <w:r w:rsidRPr="00A82FE5">
              <w:rPr>
                <w:rFonts w:ascii="Calibri" w:hAnsi="Calibri"/>
                <w:b/>
                <w:bCs/>
                <w:sz w:val="20"/>
                <w:lang w:eastAsia="en-GB" w:bidi="he-IL"/>
              </w:rPr>
              <w:t>icro credit</w:t>
            </w:r>
          </w:p>
        </w:tc>
        <w:tc>
          <w:tcPr>
            <w:tcW w:w="1417" w:type="dxa"/>
            <w:tcBorders>
              <w:top w:val="nil"/>
              <w:left w:val="nil"/>
              <w:bottom w:val="single" w:sz="4" w:space="0" w:color="auto"/>
              <w:right w:val="single" w:sz="4" w:space="0" w:color="auto"/>
            </w:tcBorders>
            <w:shd w:val="clear" w:color="000000" w:fill="FFC000"/>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10.00%</w:t>
            </w:r>
          </w:p>
        </w:tc>
        <w:tc>
          <w:tcPr>
            <w:tcW w:w="2410" w:type="dxa"/>
            <w:tcBorders>
              <w:top w:val="nil"/>
              <w:left w:val="nil"/>
              <w:bottom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0.50%</w:t>
            </w:r>
          </w:p>
        </w:tc>
        <w:tc>
          <w:tcPr>
            <w:tcW w:w="2757" w:type="dxa"/>
            <w:gridSpan w:val="3"/>
            <w:tcBorders>
              <w:top w:val="nil"/>
              <w:left w:val="nil"/>
              <w:bottom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1.50%</w:t>
            </w:r>
          </w:p>
        </w:tc>
      </w:tr>
      <w:tr w:rsidR="00F572A3" w:rsidRPr="00A82FE5" w:rsidTr="00F572A3">
        <w:trPr>
          <w:trHeight w:val="429"/>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b/>
                <w:bCs/>
                <w:sz w:val="20"/>
                <w:lang w:eastAsia="en-GB" w:bidi="he-IL"/>
              </w:rPr>
            </w:pPr>
            <w:r>
              <w:rPr>
                <w:rFonts w:ascii="Calibri" w:hAnsi="Calibri"/>
                <w:b/>
                <w:bCs/>
                <w:sz w:val="20"/>
                <w:lang w:eastAsia="en-GB" w:bidi="he-IL"/>
              </w:rPr>
              <w:t>O</w:t>
            </w:r>
            <w:r w:rsidR="00D95226">
              <w:rPr>
                <w:rFonts w:ascii="Calibri" w:hAnsi="Calibri"/>
                <w:b/>
                <w:bCs/>
                <w:sz w:val="20"/>
                <w:lang w:eastAsia="en-GB" w:bidi="he-IL"/>
              </w:rPr>
              <w:t>ther</w:t>
            </w:r>
          </w:p>
        </w:tc>
        <w:tc>
          <w:tcPr>
            <w:tcW w:w="1417" w:type="dxa"/>
            <w:tcBorders>
              <w:top w:val="nil"/>
              <w:left w:val="nil"/>
              <w:bottom w:val="single" w:sz="4" w:space="0" w:color="auto"/>
              <w:right w:val="single" w:sz="4" w:space="0" w:color="auto"/>
            </w:tcBorders>
            <w:shd w:val="clear" w:color="000000" w:fill="FFC000"/>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6.00%</w:t>
            </w:r>
          </w:p>
        </w:tc>
        <w:tc>
          <w:tcPr>
            <w:tcW w:w="2410" w:type="dxa"/>
            <w:tcBorders>
              <w:top w:val="nil"/>
              <w:left w:val="nil"/>
              <w:bottom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0.50%</w:t>
            </w:r>
          </w:p>
        </w:tc>
        <w:tc>
          <w:tcPr>
            <w:tcW w:w="2757" w:type="dxa"/>
            <w:gridSpan w:val="3"/>
            <w:tcBorders>
              <w:top w:val="nil"/>
              <w:left w:val="nil"/>
              <w:bottom w:val="single" w:sz="4" w:space="0" w:color="auto"/>
              <w:right w:val="single" w:sz="4" w:space="0" w:color="auto"/>
            </w:tcBorders>
            <w:shd w:val="clear" w:color="auto" w:fill="auto"/>
            <w:noWrap/>
            <w:vAlign w:val="center"/>
            <w:hideMark/>
          </w:tcPr>
          <w:p w:rsidR="00A82FE5" w:rsidRPr="00A82FE5" w:rsidRDefault="00A82FE5" w:rsidP="00A82FE5">
            <w:pPr>
              <w:spacing w:after="0"/>
              <w:jc w:val="center"/>
              <w:rPr>
                <w:rFonts w:ascii="Calibri" w:hAnsi="Calibri"/>
                <w:sz w:val="20"/>
                <w:lang w:eastAsia="en-GB" w:bidi="he-IL"/>
              </w:rPr>
            </w:pPr>
            <w:r w:rsidRPr="00A82FE5">
              <w:rPr>
                <w:rFonts w:ascii="Calibri" w:hAnsi="Calibri"/>
                <w:sz w:val="20"/>
                <w:lang w:eastAsia="en-GB" w:bidi="he-IL"/>
              </w:rPr>
              <w:t>0.50%</w:t>
            </w:r>
          </w:p>
        </w:tc>
      </w:tr>
      <w:tr w:rsidR="00F572A3" w:rsidRPr="00A82FE5" w:rsidTr="00CC6576">
        <w:trPr>
          <w:trHeight w:val="151"/>
        </w:trPr>
        <w:tc>
          <w:tcPr>
            <w:tcW w:w="2000" w:type="dxa"/>
            <w:tcBorders>
              <w:top w:val="nil"/>
              <w:left w:val="nil"/>
              <w:bottom w:val="nil"/>
              <w:right w:val="nil"/>
            </w:tcBorders>
            <w:shd w:val="clear" w:color="auto" w:fill="auto"/>
            <w:noWrap/>
            <w:vAlign w:val="center"/>
            <w:hideMark/>
          </w:tcPr>
          <w:p w:rsidR="00A82FE5" w:rsidRPr="00A82FE5" w:rsidRDefault="00A82FE5" w:rsidP="00A82FE5">
            <w:pPr>
              <w:spacing w:after="0"/>
              <w:jc w:val="center"/>
              <w:rPr>
                <w:rFonts w:ascii="Calibri" w:hAnsi="Calibri"/>
                <w:color w:val="000000"/>
                <w:sz w:val="20"/>
                <w:lang w:eastAsia="en-GB" w:bidi="he-IL"/>
              </w:rPr>
            </w:pPr>
          </w:p>
        </w:tc>
        <w:tc>
          <w:tcPr>
            <w:tcW w:w="1417" w:type="dxa"/>
            <w:tcBorders>
              <w:top w:val="nil"/>
              <w:left w:val="nil"/>
              <w:bottom w:val="nil"/>
              <w:right w:val="nil"/>
            </w:tcBorders>
            <w:shd w:val="clear" w:color="auto" w:fill="auto"/>
            <w:noWrap/>
            <w:vAlign w:val="center"/>
            <w:hideMark/>
          </w:tcPr>
          <w:p w:rsidR="00A82FE5" w:rsidRPr="00A82FE5" w:rsidRDefault="00A82FE5" w:rsidP="00A82FE5">
            <w:pPr>
              <w:spacing w:after="0"/>
              <w:jc w:val="center"/>
              <w:rPr>
                <w:rFonts w:ascii="Calibri" w:hAnsi="Calibri"/>
                <w:color w:val="000000"/>
                <w:sz w:val="20"/>
                <w:lang w:eastAsia="en-GB" w:bidi="he-IL"/>
              </w:rPr>
            </w:pPr>
          </w:p>
        </w:tc>
        <w:tc>
          <w:tcPr>
            <w:tcW w:w="2410" w:type="dxa"/>
            <w:tcBorders>
              <w:top w:val="nil"/>
              <w:left w:val="nil"/>
              <w:bottom w:val="nil"/>
              <w:right w:val="nil"/>
            </w:tcBorders>
            <w:shd w:val="clear" w:color="auto" w:fill="auto"/>
            <w:noWrap/>
            <w:vAlign w:val="center"/>
            <w:hideMark/>
          </w:tcPr>
          <w:p w:rsidR="00A82FE5" w:rsidRPr="00A82FE5" w:rsidRDefault="00A82FE5" w:rsidP="00A82FE5">
            <w:pPr>
              <w:spacing w:after="0"/>
              <w:jc w:val="center"/>
              <w:rPr>
                <w:rFonts w:ascii="Calibri" w:hAnsi="Calibri"/>
                <w:color w:val="000000"/>
                <w:sz w:val="20"/>
                <w:lang w:eastAsia="en-GB" w:bidi="he-IL"/>
              </w:rPr>
            </w:pPr>
          </w:p>
        </w:tc>
        <w:tc>
          <w:tcPr>
            <w:tcW w:w="2757" w:type="dxa"/>
            <w:gridSpan w:val="3"/>
            <w:tcBorders>
              <w:top w:val="nil"/>
              <w:left w:val="nil"/>
              <w:bottom w:val="nil"/>
              <w:right w:val="nil"/>
            </w:tcBorders>
            <w:shd w:val="clear" w:color="auto" w:fill="auto"/>
            <w:noWrap/>
            <w:vAlign w:val="center"/>
            <w:hideMark/>
          </w:tcPr>
          <w:p w:rsidR="00A82FE5" w:rsidRPr="00A82FE5" w:rsidRDefault="00A82FE5" w:rsidP="00A82FE5">
            <w:pPr>
              <w:spacing w:after="0"/>
              <w:jc w:val="center"/>
              <w:rPr>
                <w:rFonts w:ascii="Calibri" w:hAnsi="Calibri"/>
                <w:color w:val="000000"/>
                <w:sz w:val="20"/>
                <w:lang w:eastAsia="en-GB" w:bidi="he-IL"/>
              </w:rPr>
            </w:pPr>
          </w:p>
        </w:tc>
      </w:tr>
      <w:tr w:rsidR="00F572A3" w:rsidRPr="00A82FE5" w:rsidTr="00CC6576">
        <w:trPr>
          <w:trHeight w:val="70"/>
        </w:trPr>
        <w:tc>
          <w:tcPr>
            <w:tcW w:w="2000" w:type="dxa"/>
            <w:tcBorders>
              <w:top w:val="nil"/>
              <w:left w:val="nil"/>
              <w:bottom w:val="nil"/>
              <w:right w:val="nil"/>
            </w:tcBorders>
            <w:shd w:val="clear" w:color="auto" w:fill="auto"/>
            <w:noWrap/>
            <w:vAlign w:val="center"/>
            <w:hideMark/>
          </w:tcPr>
          <w:p w:rsidR="00A82FE5" w:rsidRPr="00A82FE5" w:rsidRDefault="00A82FE5" w:rsidP="00A82FE5">
            <w:pPr>
              <w:spacing w:after="0"/>
              <w:jc w:val="center"/>
              <w:rPr>
                <w:rFonts w:ascii="Calibri" w:hAnsi="Calibri"/>
                <w:color w:val="000000"/>
                <w:sz w:val="20"/>
                <w:lang w:eastAsia="en-GB" w:bidi="he-IL"/>
              </w:rPr>
            </w:pPr>
          </w:p>
        </w:tc>
        <w:tc>
          <w:tcPr>
            <w:tcW w:w="1417" w:type="dxa"/>
            <w:tcBorders>
              <w:top w:val="nil"/>
              <w:left w:val="nil"/>
              <w:bottom w:val="nil"/>
              <w:right w:val="nil"/>
            </w:tcBorders>
            <w:shd w:val="clear" w:color="auto" w:fill="auto"/>
            <w:noWrap/>
            <w:vAlign w:val="center"/>
            <w:hideMark/>
          </w:tcPr>
          <w:p w:rsidR="00A82FE5" w:rsidRPr="00A82FE5" w:rsidRDefault="00A82FE5" w:rsidP="00A82FE5">
            <w:pPr>
              <w:spacing w:after="0"/>
              <w:jc w:val="center"/>
              <w:rPr>
                <w:rFonts w:ascii="Calibri" w:hAnsi="Calibri"/>
                <w:color w:val="000000"/>
                <w:sz w:val="20"/>
                <w:lang w:eastAsia="en-GB" w:bidi="he-IL"/>
              </w:rPr>
            </w:pPr>
          </w:p>
        </w:tc>
        <w:tc>
          <w:tcPr>
            <w:tcW w:w="2410" w:type="dxa"/>
            <w:tcBorders>
              <w:top w:val="nil"/>
              <w:left w:val="nil"/>
              <w:bottom w:val="nil"/>
              <w:right w:val="nil"/>
            </w:tcBorders>
            <w:shd w:val="clear" w:color="auto" w:fill="auto"/>
            <w:noWrap/>
            <w:vAlign w:val="center"/>
            <w:hideMark/>
          </w:tcPr>
          <w:p w:rsidR="00A82FE5" w:rsidRPr="00A82FE5" w:rsidRDefault="00A82FE5" w:rsidP="00A82FE5">
            <w:pPr>
              <w:spacing w:after="0"/>
              <w:jc w:val="center"/>
              <w:rPr>
                <w:rFonts w:ascii="Calibri" w:hAnsi="Calibri"/>
                <w:color w:val="000000"/>
                <w:sz w:val="20"/>
                <w:lang w:eastAsia="en-GB" w:bidi="he-IL"/>
              </w:rPr>
            </w:pPr>
          </w:p>
        </w:tc>
        <w:tc>
          <w:tcPr>
            <w:tcW w:w="2757" w:type="dxa"/>
            <w:gridSpan w:val="3"/>
            <w:tcBorders>
              <w:top w:val="nil"/>
              <w:left w:val="nil"/>
              <w:bottom w:val="nil"/>
              <w:right w:val="nil"/>
            </w:tcBorders>
            <w:shd w:val="clear" w:color="auto" w:fill="auto"/>
            <w:noWrap/>
            <w:vAlign w:val="center"/>
            <w:hideMark/>
          </w:tcPr>
          <w:p w:rsidR="00A82FE5" w:rsidRPr="00A82FE5" w:rsidRDefault="00A82FE5" w:rsidP="00A82FE5">
            <w:pPr>
              <w:spacing w:after="0"/>
              <w:jc w:val="center"/>
              <w:rPr>
                <w:rFonts w:ascii="Calibri" w:hAnsi="Calibri"/>
                <w:color w:val="000000"/>
                <w:sz w:val="20"/>
                <w:lang w:eastAsia="en-GB" w:bidi="he-IL"/>
              </w:rPr>
            </w:pPr>
          </w:p>
        </w:tc>
      </w:tr>
      <w:tr w:rsidR="00A82FE5" w:rsidRPr="00A82FE5" w:rsidTr="00A82FE5">
        <w:trPr>
          <w:trHeight w:val="429"/>
        </w:trPr>
        <w:tc>
          <w:tcPr>
            <w:tcW w:w="8584" w:type="dxa"/>
            <w:gridSpan w:val="6"/>
            <w:tcBorders>
              <w:top w:val="nil"/>
              <w:left w:val="nil"/>
              <w:bottom w:val="nil"/>
              <w:right w:val="nil"/>
            </w:tcBorders>
            <w:shd w:val="clear" w:color="auto" w:fill="auto"/>
            <w:noWrap/>
            <w:vAlign w:val="center"/>
            <w:hideMark/>
          </w:tcPr>
          <w:p w:rsidR="00A82FE5" w:rsidRPr="00A82FE5" w:rsidRDefault="00A82FE5" w:rsidP="00B40767">
            <w:pPr>
              <w:spacing w:after="0"/>
              <w:rPr>
                <w:rFonts w:ascii="Calibri" w:hAnsi="Calibri"/>
                <w:color w:val="000000"/>
                <w:sz w:val="20"/>
                <w:lang w:eastAsia="en-GB" w:bidi="he-IL"/>
              </w:rPr>
            </w:pPr>
            <w:r w:rsidRPr="00A82FE5">
              <w:rPr>
                <w:rFonts w:ascii="Calibri" w:hAnsi="Calibri"/>
                <w:color w:val="000000"/>
                <w:sz w:val="20"/>
                <w:lang w:eastAsia="en-GB" w:bidi="he-IL"/>
              </w:rPr>
              <w:t xml:space="preserve">* </w:t>
            </w:r>
            <w:r w:rsidR="00B40767">
              <w:rPr>
                <w:rFonts w:ascii="Calibri" w:hAnsi="Calibri"/>
                <w:color w:val="000000"/>
                <w:sz w:val="20"/>
                <w:lang w:eastAsia="en-GB" w:bidi="he-IL"/>
              </w:rPr>
              <w:t>This relates to the period a</w:t>
            </w:r>
            <w:r w:rsidR="003B3B7A" w:rsidRPr="00A82FE5">
              <w:rPr>
                <w:rFonts w:ascii="Calibri" w:hAnsi="Calibri"/>
                <w:color w:val="000000"/>
                <w:sz w:val="20"/>
                <w:lang w:eastAsia="en-GB" w:bidi="he-IL"/>
              </w:rPr>
              <w:t>fter the signature of the Funding Agreemen</w:t>
            </w:r>
            <w:r w:rsidR="003B3B7A">
              <w:rPr>
                <w:rFonts w:ascii="Calibri" w:hAnsi="Calibri"/>
                <w:color w:val="000000"/>
                <w:sz w:val="20"/>
                <w:lang w:eastAsia="en-GB" w:bidi="he-IL"/>
              </w:rPr>
              <w:t>t</w:t>
            </w:r>
            <w:r w:rsidR="00B40767">
              <w:rPr>
                <w:rFonts w:ascii="Calibri" w:hAnsi="Calibri"/>
                <w:color w:val="000000"/>
                <w:sz w:val="20"/>
                <w:lang w:eastAsia="en-GB" w:bidi="he-IL"/>
              </w:rPr>
              <w:t xml:space="preserve">, the higher rate can be used only within this period but effectively only for the time from the effective payment of programme contributions to the </w:t>
            </w:r>
            <w:proofErr w:type="spellStart"/>
            <w:r w:rsidR="00B40767">
              <w:rPr>
                <w:rFonts w:ascii="Calibri" w:hAnsi="Calibri"/>
                <w:color w:val="000000"/>
                <w:sz w:val="20"/>
                <w:lang w:eastAsia="en-GB" w:bidi="he-IL"/>
              </w:rPr>
              <w:t>FoF</w:t>
            </w:r>
            <w:proofErr w:type="spellEnd"/>
            <w:r w:rsidR="00B40767">
              <w:rPr>
                <w:rFonts w:ascii="Calibri" w:hAnsi="Calibri"/>
                <w:color w:val="000000"/>
                <w:sz w:val="20"/>
                <w:lang w:eastAsia="en-GB" w:bidi="he-IL"/>
              </w:rPr>
              <w:t>.</w:t>
            </w:r>
          </w:p>
        </w:tc>
      </w:tr>
      <w:tr w:rsidR="00A82FE5" w:rsidRPr="00A82FE5" w:rsidTr="00AC1406">
        <w:trPr>
          <w:trHeight w:val="429"/>
        </w:trPr>
        <w:tc>
          <w:tcPr>
            <w:tcW w:w="8348" w:type="dxa"/>
            <w:gridSpan w:val="5"/>
            <w:tcBorders>
              <w:top w:val="nil"/>
              <w:left w:val="nil"/>
              <w:bottom w:val="nil"/>
              <w:right w:val="nil"/>
            </w:tcBorders>
            <w:shd w:val="clear" w:color="auto" w:fill="auto"/>
            <w:noWrap/>
            <w:vAlign w:val="center"/>
            <w:hideMark/>
          </w:tcPr>
          <w:p w:rsidR="00A82FE5" w:rsidRPr="00A82FE5" w:rsidRDefault="00A82FE5" w:rsidP="00AC1406">
            <w:pPr>
              <w:spacing w:after="0"/>
              <w:rPr>
                <w:rFonts w:ascii="Calibri" w:hAnsi="Calibri"/>
                <w:color w:val="000000"/>
                <w:sz w:val="20"/>
                <w:lang w:eastAsia="en-GB" w:bidi="he-IL"/>
              </w:rPr>
            </w:pPr>
            <w:r w:rsidRPr="00A82FE5">
              <w:rPr>
                <w:rFonts w:ascii="Calibri" w:hAnsi="Calibri"/>
                <w:color w:val="000000"/>
                <w:sz w:val="20"/>
                <w:lang w:eastAsia="en-GB" w:bidi="he-IL"/>
              </w:rPr>
              <w:t>**</w:t>
            </w:r>
            <w:r w:rsidR="003B3B7A" w:rsidRPr="00A82FE5">
              <w:rPr>
                <w:rFonts w:ascii="Calibri" w:hAnsi="Calibri"/>
                <w:color w:val="000000"/>
                <w:sz w:val="20"/>
                <w:lang w:eastAsia="en-GB" w:bidi="he-IL"/>
              </w:rPr>
              <w:t xml:space="preserve"> For equity, base remuneration linked to amounts committed </w:t>
            </w:r>
            <w:r w:rsidR="0070449C">
              <w:rPr>
                <w:rFonts w:ascii="Calibri" w:hAnsi="Calibri"/>
                <w:color w:val="000000"/>
                <w:sz w:val="20"/>
                <w:lang w:eastAsia="en-GB" w:bidi="he-IL"/>
              </w:rPr>
              <w:t>to the</w:t>
            </w:r>
            <w:r w:rsidR="00AC1406">
              <w:rPr>
                <w:rFonts w:ascii="Calibri" w:hAnsi="Calibri"/>
                <w:color w:val="000000"/>
                <w:sz w:val="20"/>
                <w:lang w:eastAsia="en-GB" w:bidi="he-IL"/>
              </w:rPr>
              <w:t xml:space="preserve"> </w:t>
            </w:r>
            <w:r w:rsidR="0070449C">
              <w:rPr>
                <w:rFonts w:ascii="Calibri" w:hAnsi="Calibri"/>
                <w:color w:val="000000"/>
                <w:sz w:val="20"/>
                <w:lang w:eastAsia="en-GB" w:bidi="he-IL"/>
              </w:rPr>
              <w:t>financial instrument</w:t>
            </w:r>
          </w:p>
        </w:tc>
        <w:tc>
          <w:tcPr>
            <w:tcW w:w="236" w:type="dxa"/>
            <w:tcBorders>
              <w:top w:val="nil"/>
              <w:left w:val="nil"/>
              <w:bottom w:val="nil"/>
              <w:right w:val="nil"/>
            </w:tcBorders>
            <w:shd w:val="clear" w:color="auto" w:fill="auto"/>
            <w:noWrap/>
            <w:vAlign w:val="center"/>
          </w:tcPr>
          <w:p w:rsidR="00A82FE5" w:rsidRPr="00A82FE5" w:rsidRDefault="00A82FE5" w:rsidP="00A82FE5">
            <w:pPr>
              <w:spacing w:after="0"/>
              <w:jc w:val="center"/>
              <w:rPr>
                <w:rFonts w:ascii="Calibri" w:hAnsi="Calibri"/>
                <w:color w:val="000000"/>
                <w:sz w:val="20"/>
                <w:lang w:eastAsia="en-GB" w:bidi="he-IL"/>
              </w:rPr>
            </w:pPr>
          </w:p>
        </w:tc>
      </w:tr>
      <w:tr w:rsidR="00FA635E" w:rsidRPr="00A82FE5" w:rsidTr="00A82FE5">
        <w:trPr>
          <w:trHeight w:val="429"/>
        </w:trPr>
        <w:tc>
          <w:tcPr>
            <w:tcW w:w="6400" w:type="dxa"/>
            <w:gridSpan w:val="4"/>
            <w:tcBorders>
              <w:top w:val="nil"/>
              <w:left w:val="nil"/>
              <w:bottom w:val="nil"/>
              <w:right w:val="nil"/>
            </w:tcBorders>
            <w:shd w:val="clear" w:color="auto" w:fill="auto"/>
            <w:noWrap/>
            <w:vAlign w:val="center"/>
          </w:tcPr>
          <w:p w:rsidR="00FA635E" w:rsidRDefault="00FA635E" w:rsidP="00A82FE5">
            <w:pPr>
              <w:spacing w:after="0"/>
              <w:rPr>
                <w:rFonts w:ascii="Calibri" w:hAnsi="Calibri"/>
                <w:color w:val="000000"/>
                <w:sz w:val="20"/>
                <w:lang w:eastAsia="en-GB" w:bidi="he-IL"/>
              </w:rPr>
            </w:pPr>
          </w:p>
          <w:p w:rsidR="00FA635E" w:rsidRPr="00A82FE5" w:rsidRDefault="00FA635E" w:rsidP="00A82FE5">
            <w:pPr>
              <w:spacing w:after="0"/>
              <w:rPr>
                <w:rFonts w:ascii="Calibri" w:hAnsi="Calibri"/>
                <w:color w:val="000000"/>
                <w:sz w:val="20"/>
                <w:lang w:eastAsia="en-GB" w:bidi="he-IL"/>
              </w:rPr>
            </w:pPr>
          </w:p>
        </w:tc>
        <w:tc>
          <w:tcPr>
            <w:tcW w:w="2184" w:type="dxa"/>
            <w:gridSpan w:val="2"/>
            <w:tcBorders>
              <w:top w:val="nil"/>
              <w:left w:val="nil"/>
              <w:bottom w:val="nil"/>
              <w:right w:val="nil"/>
            </w:tcBorders>
            <w:shd w:val="clear" w:color="auto" w:fill="auto"/>
            <w:noWrap/>
            <w:vAlign w:val="center"/>
          </w:tcPr>
          <w:p w:rsidR="00FA635E" w:rsidRPr="00A82FE5" w:rsidRDefault="00FA635E" w:rsidP="00A82FE5">
            <w:pPr>
              <w:spacing w:after="0"/>
              <w:jc w:val="center"/>
              <w:rPr>
                <w:rFonts w:ascii="Calibri" w:hAnsi="Calibri"/>
                <w:color w:val="000000"/>
                <w:sz w:val="20"/>
                <w:lang w:eastAsia="en-GB" w:bidi="he-IL"/>
              </w:rPr>
            </w:pPr>
          </w:p>
        </w:tc>
      </w:tr>
    </w:tbl>
    <w:p w:rsidR="000B7D52" w:rsidRDefault="00FA635E" w:rsidP="00344280">
      <w:pPr>
        <w:pStyle w:val="Text2"/>
        <w:ind w:left="0"/>
      </w:pPr>
      <w:r>
        <w:t>Furthermore Article 13(4) CDR clarifies that the thresholds must not be cumulated for the same programme contribution</w:t>
      </w:r>
      <w:r w:rsidR="00344280">
        <w:t>,</w:t>
      </w:r>
      <w:r>
        <w:t xml:space="preserve"> or the same re-invested resources which are attributable to programme contributions</w:t>
      </w:r>
      <w:r w:rsidR="00344280">
        <w:t>,</w:t>
      </w:r>
      <w:r>
        <w:t xml:space="preserve"> if the same body acts for one part of resources as a fund of fund manager and for another part of resources as </w:t>
      </w:r>
      <w:r w:rsidR="00344280">
        <w:t>e.g.</w:t>
      </w:r>
      <w:r>
        <w:t xml:space="preserve"> a guarantee fund</w:t>
      </w:r>
      <w:r w:rsidR="00B81B05">
        <w:t xml:space="preserve"> manager</w:t>
      </w:r>
      <w:r>
        <w:t xml:space="preserve">. </w:t>
      </w:r>
    </w:p>
    <w:p w:rsidR="000B7D52" w:rsidRDefault="00791C75" w:rsidP="00EC4DF1">
      <w:pPr>
        <w:pStyle w:val="Text2"/>
        <w:ind w:left="0"/>
      </w:pPr>
      <w:r>
        <w:t xml:space="preserve">In practice, it is </w:t>
      </w:r>
      <w:r w:rsidR="00694206">
        <w:t>normally</w:t>
      </w:r>
      <w:r>
        <w:t xml:space="preserve"> known from the very beginning that the same body will act for some of the allocations as fund of funds manager and for some as e.g. manager of a guarantee fund. In such a case the funding agreement(s) signed with this body should differentiate these two roles from the very beginning and the type of remuneration should follow accordingly. In case the decision of whether the body acting as a fund of funds manager starts acting as e.g. manager of a guarantee fund is taken later, </w:t>
      </w:r>
      <w:r w:rsidR="00694206">
        <w:t xml:space="preserve">MAs should be aware of the </w:t>
      </w:r>
      <w:r>
        <w:t xml:space="preserve">risk that the implementation of the guarantee fund </w:t>
      </w:r>
      <w:r w:rsidR="00694206">
        <w:t xml:space="preserve">may be </w:t>
      </w:r>
      <w:r>
        <w:t xml:space="preserve">postponed to maximise the management costs and fees due </w:t>
      </w:r>
      <w:r w:rsidR="00EC4DF1">
        <w:t>for management of the</w:t>
      </w:r>
      <w:r w:rsidR="00EC4DF1">
        <w:t xml:space="preserve"> </w:t>
      </w:r>
      <w:r>
        <w:t xml:space="preserve">fund of funds (especially in the first 12 months after the signature of the Funding Agreement). </w:t>
      </w:r>
    </w:p>
    <w:p w:rsidR="00FA635E" w:rsidRDefault="00122B3C" w:rsidP="00654482">
      <w:pPr>
        <w:pStyle w:val="Text2"/>
        <w:ind w:left="0"/>
      </w:pPr>
      <w:r>
        <w:t>Nevertheless, a</w:t>
      </w:r>
      <w:r w:rsidR="00FA635E">
        <w:t>s soon as the decision</w:t>
      </w:r>
      <w:r w:rsidR="00B81B05">
        <w:t xml:space="preserve"> is taken</w:t>
      </w:r>
      <w:r w:rsidR="00FA635E">
        <w:t xml:space="preserve"> </w:t>
      </w:r>
      <w:r w:rsidR="00B81B05">
        <w:t xml:space="preserve">at the fund of fund level to </w:t>
      </w:r>
      <w:r w:rsidR="00654482">
        <w:t>allocate</w:t>
      </w:r>
      <w:r w:rsidR="00B81B05">
        <w:t xml:space="preserve"> </w:t>
      </w:r>
      <w:r w:rsidR="00D46DC1">
        <w:t xml:space="preserve">a </w:t>
      </w:r>
      <w:r w:rsidR="00B81B05">
        <w:t xml:space="preserve">specific amount to the guarantee fund, </w:t>
      </w:r>
      <w:r w:rsidR="005D3EBE">
        <w:t>as of the moment of</w:t>
      </w:r>
      <w:r w:rsidR="00654482">
        <w:t xml:space="preserve"> this</w:t>
      </w:r>
      <w:r w:rsidR="005D3EBE">
        <w:t xml:space="preserve"> </w:t>
      </w:r>
      <w:r w:rsidR="00654482">
        <w:t xml:space="preserve">decision and as substantiated by a corresponding </w:t>
      </w:r>
      <w:r w:rsidR="00C93F18">
        <w:t>material proof</w:t>
      </w:r>
      <w:r w:rsidR="00654482">
        <w:t xml:space="preserve">, </w:t>
      </w:r>
      <w:r w:rsidR="00B81B05">
        <w:t xml:space="preserve">the basis for the calculation of the base remuneration of the fund of fund decreases by </w:t>
      </w:r>
      <w:r w:rsidR="00654482">
        <w:t xml:space="preserve">the </w:t>
      </w:r>
      <w:r w:rsidR="00B81B05">
        <w:t>amount</w:t>
      </w:r>
      <w:r w:rsidR="00654482">
        <w:t xml:space="preserve"> allocated to the guarantee fund</w:t>
      </w:r>
      <w:r w:rsidR="00B81B05">
        <w:t xml:space="preserve">. </w:t>
      </w:r>
      <w:r w:rsidR="0070449C">
        <w:t xml:space="preserve">In addition, </w:t>
      </w:r>
      <w:r w:rsidR="00B81B05">
        <w:t xml:space="preserve">this amount </w:t>
      </w:r>
      <w:r w:rsidR="0070449C">
        <w:t xml:space="preserve">does not </w:t>
      </w:r>
      <w:r w:rsidR="00B81B05">
        <w:t>count as basis for the calculation of the performance remuneration of the fund of funds as there is no other body (financial intermediary)</w:t>
      </w:r>
      <w:r w:rsidR="00CA0276">
        <w:t>, i.e. also no additional workload related to selection and governance,</w:t>
      </w:r>
      <w:r w:rsidR="00B81B05">
        <w:t xml:space="preserve"> involved. </w:t>
      </w:r>
      <w:r w:rsidR="008A5EDB">
        <w:t>However, as of this moment this amount counts as the ba</w:t>
      </w:r>
      <w:r w:rsidR="00344280">
        <w:t>sis for calculation of the base</w:t>
      </w:r>
      <w:r w:rsidR="008A5EDB">
        <w:t xml:space="preserve"> remuneration of the guarantee fund manager and depending on implementation </w:t>
      </w:r>
      <w:r w:rsidR="00441584">
        <w:t xml:space="preserve">progress </w:t>
      </w:r>
      <w:r w:rsidR="008A5EDB">
        <w:t>will also serve as the basis for the calculation of its performance remuneration.</w:t>
      </w:r>
    </w:p>
    <w:p w:rsidR="00B45E82" w:rsidRDefault="002D7EFC" w:rsidP="00B40767">
      <w:pPr>
        <w:pStyle w:val="Heading1"/>
        <w:numPr>
          <w:ilvl w:val="2"/>
          <w:numId w:val="21"/>
        </w:numPr>
      </w:pPr>
      <w:r>
        <w:t>Example</w:t>
      </w:r>
      <w:r w:rsidR="00B45E82">
        <w:t xml:space="preserve"> </w:t>
      </w:r>
      <w:r w:rsidR="005E43EA">
        <w:t>for</w:t>
      </w:r>
      <w:r w:rsidR="00B45E82">
        <w:t xml:space="preserve"> calculation of eligible management costs and fees</w:t>
      </w:r>
      <w:r w:rsidR="00441584">
        <w:t xml:space="preserve"> at closure</w:t>
      </w:r>
    </w:p>
    <w:p w:rsidR="002D7EFC" w:rsidRDefault="002D7EFC" w:rsidP="003439E4">
      <w:pPr>
        <w:pStyle w:val="Text2"/>
        <w:ind w:left="0"/>
      </w:pPr>
      <w:r>
        <w:t xml:space="preserve">The below table presents a calculation of eligible management costs and fees in </w:t>
      </w:r>
      <w:r w:rsidR="0069344E">
        <w:t>the following</w:t>
      </w:r>
      <w:r w:rsidR="00214F0B">
        <w:t xml:space="preserve"> </w:t>
      </w:r>
      <w:r w:rsidR="003439E4">
        <w:t xml:space="preserve">schematic </w:t>
      </w:r>
      <w:r>
        <w:t xml:space="preserve">scenario: </w:t>
      </w:r>
    </w:p>
    <w:p w:rsidR="002D7EFC" w:rsidRDefault="002D7EFC" w:rsidP="0069344E">
      <w:pPr>
        <w:pStyle w:val="Text2"/>
        <w:ind w:left="0"/>
      </w:pPr>
      <w:r>
        <w:t xml:space="preserve">On 1 January 2015 MA signs the Funding </w:t>
      </w:r>
      <w:r w:rsidR="0069344E">
        <w:t xml:space="preserve">Agreement with a </w:t>
      </w:r>
      <w:r>
        <w:t xml:space="preserve">Fund of </w:t>
      </w:r>
      <w:r w:rsidR="0069344E">
        <w:t>F</w:t>
      </w:r>
      <w:r>
        <w:t>und</w:t>
      </w:r>
      <w:r w:rsidR="00C750BD">
        <w:t>s</w:t>
      </w:r>
      <w:r>
        <w:t xml:space="preserve"> manager </w:t>
      </w:r>
      <w:r w:rsidR="00C750BD">
        <w:t>(</w:t>
      </w:r>
      <w:proofErr w:type="spellStart"/>
      <w:r w:rsidR="00C750BD">
        <w:t>FoF</w:t>
      </w:r>
      <w:proofErr w:type="spellEnd"/>
      <w:r w:rsidR="00C750BD">
        <w:t xml:space="preserve">) </w:t>
      </w:r>
      <w:r>
        <w:t xml:space="preserve">for </w:t>
      </w:r>
      <w:r w:rsidR="00C750BD">
        <w:t>an amount of</w:t>
      </w:r>
      <w:r>
        <w:t xml:space="preserve"> </w:t>
      </w:r>
      <w:r w:rsidR="00C750BD">
        <w:t>€</w:t>
      </w:r>
      <w:r>
        <w:t>100 million (</w:t>
      </w:r>
      <w:r w:rsidR="0069344E">
        <w:t>=</w:t>
      </w:r>
      <w:r>
        <w:t>committed amount)</w:t>
      </w:r>
      <w:r w:rsidR="000B7D52">
        <w:t>;</w:t>
      </w:r>
    </w:p>
    <w:p w:rsidR="0037113A" w:rsidRDefault="00B40767" w:rsidP="00B40767">
      <w:pPr>
        <w:pStyle w:val="Text2"/>
        <w:rPr>
          <w:i/>
          <w:iCs/>
        </w:rPr>
      </w:pPr>
      <w:r>
        <w:rPr>
          <w:i/>
          <w:iCs/>
        </w:rPr>
        <w:lastRenderedPageBreak/>
        <w:t xml:space="preserve">1 </w:t>
      </w:r>
      <w:r w:rsidR="0037113A">
        <w:rPr>
          <w:i/>
          <w:iCs/>
        </w:rPr>
        <w:t>Jan-</w:t>
      </w:r>
      <w:r>
        <w:rPr>
          <w:i/>
          <w:iCs/>
        </w:rPr>
        <w:t>31 Jan</w:t>
      </w:r>
    </w:p>
    <w:p w:rsidR="002D7EFC" w:rsidRPr="002D7EFC" w:rsidRDefault="0037113A" w:rsidP="00B40767">
      <w:pPr>
        <w:pStyle w:val="Text2"/>
        <w:numPr>
          <w:ilvl w:val="0"/>
          <w:numId w:val="23"/>
        </w:numPr>
        <w:rPr>
          <w:i/>
          <w:iCs/>
        </w:rPr>
      </w:pPr>
      <w:r>
        <w:rPr>
          <w:i/>
          <w:iCs/>
        </w:rPr>
        <w:t>e</w:t>
      </w:r>
      <w:r w:rsidR="002D7EFC" w:rsidRPr="002D7EFC">
        <w:rPr>
          <w:i/>
          <w:iCs/>
        </w:rPr>
        <w:t xml:space="preserve">ligible management costs and fees of </w:t>
      </w:r>
      <w:proofErr w:type="spellStart"/>
      <w:r w:rsidR="002D7EFC" w:rsidRPr="002D7EFC">
        <w:rPr>
          <w:i/>
          <w:iCs/>
        </w:rPr>
        <w:t>FoF</w:t>
      </w:r>
      <w:proofErr w:type="spellEnd"/>
      <w:r w:rsidR="002D7EFC" w:rsidRPr="002D7EFC">
        <w:rPr>
          <w:i/>
          <w:iCs/>
        </w:rPr>
        <w:t>: €0</w:t>
      </w:r>
    </w:p>
    <w:p w:rsidR="002D7EFC" w:rsidRDefault="002D7EFC" w:rsidP="002D7EFC">
      <w:pPr>
        <w:pStyle w:val="Text2"/>
        <w:ind w:left="0"/>
      </w:pPr>
      <w:r>
        <w:t xml:space="preserve">On 1 February 2015 the MA pays to the </w:t>
      </w:r>
      <w:proofErr w:type="spellStart"/>
      <w:r>
        <w:t>FoF</w:t>
      </w:r>
      <w:proofErr w:type="spellEnd"/>
      <w:r>
        <w:t xml:space="preserve"> €25 million (25% of the committed amount)</w:t>
      </w:r>
      <w:r w:rsidR="000F0745">
        <w:rPr>
          <w:rStyle w:val="FootnoteReference"/>
        </w:rPr>
        <w:footnoteReference w:id="8"/>
      </w:r>
      <w:r w:rsidR="000B7D52">
        <w:t>;</w:t>
      </w:r>
    </w:p>
    <w:p w:rsidR="0037113A" w:rsidRDefault="00B40767" w:rsidP="00B40767">
      <w:pPr>
        <w:pStyle w:val="Text2"/>
        <w:ind w:left="720"/>
        <w:rPr>
          <w:i/>
          <w:iCs/>
        </w:rPr>
      </w:pPr>
      <w:r>
        <w:rPr>
          <w:i/>
          <w:iCs/>
        </w:rPr>
        <w:t xml:space="preserve">1 </w:t>
      </w:r>
      <w:r w:rsidR="0037113A">
        <w:rPr>
          <w:i/>
          <w:iCs/>
        </w:rPr>
        <w:t>Feb-</w:t>
      </w:r>
      <w:r>
        <w:rPr>
          <w:i/>
          <w:iCs/>
        </w:rPr>
        <w:t>31 May</w:t>
      </w:r>
      <w:r w:rsidRPr="0037113A">
        <w:rPr>
          <w:i/>
          <w:iCs/>
        </w:rPr>
        <w:t xml:space="preserve"> </w:t>
      </w:r>
    </w:p>
    <w:p w:rsidR="0037113A" w:rsidRPr="0037113A" w:rsidRDefault="0037113A" w:rsidP="00A667D5">
      <w:pPr>
        <w:pStyle w:val="Text2"/>
        <w:numPr>
          <w:ilvl w:val="0"/>
          <w:numId w:val="23"/>
        </w:numPr>
        <w:rPr>
          <w:i/>
          <w:iCs/>
        </w:rPr>
      </w:pPr>
      <w:r w:rsidRPr="0037113A">
        <w:rPr>
          <w:i/>
          <w:iCs/>
        </w:rPr>
        <w:t xml:space="preserve">eligible management costs and fees of </w:t>
      </w:r>
      <w:proofErr w:type="spellStart"/>
      <w:r w:rsidRPr="0037113A">
        <w:rPr>
          <w:i/>
          <w:iCs/>
        </w:rPr>
        <w:t>FoF</w:t>
      </w:r>
      <w:proofErr w:type="spellEnd"/>
      <w:r w:rsidRPr="0037113A">
        <w:rPr>
          <w:i/>
          <w:iCs/>
        </w:rPr>
        <w:t xml:space="preserve">: €0.25 million = €25 million * </w:t>
      </w:r>
      <w:r w:rsidR="00990EE2">
        <w:rPr>
          <w:i/>
          <w:iCs/>
        </w:rPr>
        <w:t>3%</w:t>
      </w:r>
      <w:r w:rsidRPr="0037113A">
        <w:rPr>
          <w:i/>
          <w:iCs/>
        </w:rPr>
        <w:t xml:space="preserve"> * </w:t>
      </w:r>
      <w:r w:rsidR="00A667D5">
        <w:rPr>
          <w:i/>
          <w:iCs/>
        </w:rPr>
        <w:t>120</w:t>
      </w:r>
      <w:r w:rsidR="00A667D5" w:rsidRPr="0037113A">
        <w:rPr>
          <w:i/>
          <w:iCs/>
        </w:rPr>
        <w:t xml:space="preserve"> </w:t>
      </w:r>
      <w:r w:rsidR="00A667D5">
        <w:rPr>
          <w:i/>
          <w:iCs/>
        </w:rPr>
        <w:t>days</w:t>
      </w:r>
      <w:r w:rsidRPr="0037113A">
        <w:rPr>
          <w:i/>
          <w:iCs/>
        </w:rPr>
        <w:t>/</w:t>
      </w:r>
      <w:r w:rsidR="00A667D5">
        <w:rPr>
          <w:i/>
          <w:iCs/>
        </w:rPr>
        <w:t>360 days</w:t>
      </w:r>
      <w:r w:rsidR="00A667D5">
        <w:rPr>
          <w:rStyle w:val="FootnoteReference"/>
          <w:i/>
          <w:iCs/>
        </w:rPr>
        <w:footnoteReference w:id="9"/>
      </w:r>
      <w:r>
        <w:rPr>
          <w:i/>
          <w:iCs/>
        </w:rPr>
        <w:t xml:space="preserve"> [base remuneration]</w:t>
      </w:r>
    </w:p>
    <w:p w:rsidR="00B45E82" w:rsidRDefault="002D7EFC" w:rsidP="0037113A">
      <w:pPr>
        <w:pStyle w:val="Text2"/>
        <w:ind w:left="0"/>
      </w:pPr>
      <w:r>
        <w:t xml:space="preserve">On 1 </w:t>
      </w:r>
      <w:r w:rsidR="0037113A">
        <w:t>June</w:t>
      </w:r>
      <w:r>
        <w:t xml:space="preserve"> 2015 the </w:t>
      </w:r>
      <w:proofErr w:type="spellStart"/>
      <w:r>
        <w:t>FoF</w:t>
      </w:r>
      <w:proofErr w:type="spellEnd"/>
      <w:r>
        <w:t xml:space="preserve"> signs agreements with two specific funds: one for loans </w:t>
      </w:r>
      <w:r w:rsidR="0037113A">
        <w:t xml:space="preserve">(€15 million) </w:t>
      </w:r>
      <w:r>
        <w:t>and one for equity</w:t>
      </w:r>
      <w:r w:rsidR="0037113A">
        <w:t xml:space="preserve"> (€10 million)</w:t>
      </w:r>
      <w:r>
        <w:t xml:space="preserve"> fund</w:t>
      </w:r>
      <w:r w:rsidR="000B7D52">
        <w:t>;</w:t>
      </w:r>
    </w:p>
    <w:p w:rsidR="0037113A" w:rsidRPr="0037113A" w:rsidRDefault="00B40767" w:rsidP="00B40767">
      <w:pPr>
        <w:pStyle w:val="Text2"/>
        <w:ind w:left="720"/>
        <w:rPr>
          <w:i/>
          <w:iCs/>
        </w:rPr>
      </w:pPr>
      <w:r>
        <w:rPr>
          <w:i/>
          <w:iCs/>
        </w:rPr>
        <w:t xml:space="preserve">1 </w:t>
      </w:r>
      <w:r w:rsidR="0037113A" w:rsidRPr="0037113A">
        <w:rPr>
          <w:i/>
          <w:iCs/>
        </w:rPr>
        <w:t>Jun-</w:t>
      </w:r>
      <w:r>
        <w:rPr>
          <w:i/>
          <w:iCs/>
        </w:rPr>
        <w:t>30 Jun</w:t>
      </w:r>
      <w:r w:rsidR="0037113A" w:rsidRPr="0037113A">
        <w:rPr>
          <w:i/>
          <w:iCs/>
        </w:rPr>
        <w:t xml:space="preserve"> </w:t>
      </w:r>
    </w:p>
    <w:p w:rsidR="0037113A" w:rsidRDefault="0037113A" w:rsidP="00A667D5">
      <w:pPr>
        <w:pStyle w:val="Text2"/>
        <w:numPr>
          <w:ilvl w:val="0"/>
          <w:numId w:val="23"/>
        </w:numPr>
        <w:rPr>
          <w:i/>
          <w:iCs/>
        </w:rPr>
      </w:pPr>
      <w:r w:rsidRPr="0037113A">
        <w:rPr>
          <w:i/>
          <w:iCs/>
        </w:rPr>
        <w:t xml:space="preserve">eligible management costs and fees of </w:t>
      </w:r>
      <w:proofErr w:type="spellStart"/>
      <w:r w:rsidRPr="0037113A">
        <w:rPr>
          <w:i/>
          <w:iCs/>
        </w:rPr>
        <w:t>FoF</w:t>
      </w:r>
      <w:proofErr w:type="spellEnd"/>
      <w:r>
        <w:rPr>
          <w:i/>
          <w:iCs/>
        </w:rPr>
        <w:t xml:space="preserve">: €0.06 million = €25 million * </w:t>
      </w:r>
      <w:r w:rsidR="00A5146C">
        <w:rPr>
          <w:i/>
          <w:iCs/>
        </w:rPr>
        <w:t>3%</w:t>
      </w:r>
      <w:r>
        <w:rPr>
          <w:i/>
          <w:iCs/>
        </w:rPr>
        <w:t xml:space="preserve"> * </w:t>
      </w:r>
      <w:r w:rsidR="00A667D5">
        <w:rPr>
          <w:i/>
          <w:iCs/>
        </w:rPr>
        <w:t>30</w:t>
      </w:r>
      <w:r>
        <w:rPr>
          <w:i/>
          <w:iCs/>
        </w:rPr>
        <w:t>/</w:t>
      </w:r>
      <w:r w:rsidR="00A667D5">
        <w:rPr>
          <w:i/>
          <w:iCs/>
        </w:rPr>
        <w:t>360</w:t>
      </w:r>
      <w:r>
        <w:rPr>
          <w:i/>
          <w:iCs/>
        </w:rPr>
        <w:t xml:space="preserve"> [base remuneration]</w:t>
      </w:r>
    </w:p>
    <w:p w:rsidR="0037113A" w:rsidRDefault="0037113A" w:rsidP="00B40767">
      <w:pPr>
        <w:pStyle w:val="Text2"/>
        <w:numPr>
          <w:ilvl w:val="0"/>
          <w:numId w:val="23"/>
        </w:numPr>
        <w:rPr>
          <w:i/>
          <w:iCs/>
        </w:rPr>
      </w:pPr>
      <w:r>
        <w:rPr>
          <w:i/>
          <w:iCs/>
        </w:rPr>
        <w:t>eligible management costs and fees of the loan fund: €0 million</w:t>
      </w:r>
    </w:p>
    <w:p w:rsidR="0037113A" w:rsidRDefault="0037113A" w:rsidP="00A667D5">
      <w:pPr>
        <w:pStyle w:val="Text2"/>
        <w:numPr>
          <w:ilvl w:val="0"/>
          <w:numId w:val="23"/>
        </w:numPr>
      </w:pPr>
      <w:r>
        <w:rPr>
          <w:i/>
          <w:iCs/>
        </w:rPr>
        <w:t xml:space="preserve">eligible management costs and fees of the equity fund: €0.02 million = €10 million * </w:t>
      </w:r>
      <w:r w:rsidR="00A5146C">
        <w:rPr>
          <w:i/>
          <w:iCs/>
        </w:rPr>
        <w:t>2.5%</w:t>
      </w:r>
      <w:r>
        <w:rPr>
          <w:i/>
          <w:iCs/>
        </w:rPr>
        <w:t xml:space="preserve"> * </w:t>
      </w:r>
      <w:r w:rsidR="00A667D5">
        <w:rPr>
          <w:i/>
          <w:iCs/>
        </w:rPr>
        <w:t>30</w:t>
      </w:r>
      <w:r>
        <w:rPr>
          <w:i/>
          <w:iCs/>
        </w:rPr>
        <w:t>/</w:t>
      </w:r>
      <w:r w:rsidR="00A667D5">
        <w:rPr>
          <w:i/>
          <w:iCs/>
        </w:rPr>
        <w:t>360</w:t>
      </w:r>
      <w:r>
        <w:rPr>
          <w:i/>
          <w:iCs/>
        </w:rPr>
        <w:t xml:space="preserve"> [base remuneration]</w:t>
      </w:r>
    </w:p>
    <w:p w:rsidR="002D7EFC" w:rsidRDefault="002D7EFC" w:rsidP="0037113A">
      <w:pPr>
        <w:pStyle w:val="Text2"/>
        <w:ind w:left="0"/>
      </w:pPr>
      <w:r>
        <w:t xml:space="preserve">On 1 </w:t>
      </w:r>
      <w:r w:rsidR="0037113A">
        <w:t xml:space="preserve">July </w:t>
      </w:r>
      <w:r>
        <w:t xml:space="preserve">2015 the </w:t>
      </w:r>
      <w:proofErr w:type="spellStart"/>
      <w:r>
        <w:t>FoF</w:t>
      </w:r>
      <w:proofErr w:type="spellEnd"/>
      <w:r>
        <w:t xml:space="preserve"> pays €15 million to the loan fund and €10 to the equity fund</w:t>
      </w:r>
      <w:r w:rsidR="000B7D52">
        <w:t>;</w:t>
      </w:r>
    </w:p>
    <w:p w:rsidR="0037113A" w:rsidRDefault="00B40767" w:rsidP="0037113A">
      <w:pPr>
        <w:pStyle w:val="Text2"/>
        <w:ind w:left="720"/>
        <w:rPr>
          <w:i/>
          <w:iCs/>
        </w:rPr>
      </w:pPr>
      <w:r>
        <w:rPr>
          <w:i/>
          <w:iCs/>
        </w:rPr>
        <w:t xml:space="preserve">1 </w:t>
      </w:r>
      <w:r w:rsidR="0037113A" w:rsidRPr="0037113A">
        <w:rPr>
          <w:i/>
          <w:iCs/>
        </w:rPr>
        <w:t>Jul-</w:t>
      </w:r>
      <w:r>
        <w:rPr>
          <w:i/>
          <w:iCs/>
        </w:rPr>
        <w:t xml:space="preserve">31 </w:t>
      </w:r>
      <w:r w:rsidR="0037113A" w:rsidRPr="0037113A">
        <w:rPr>
          <w:i/>
          <w:iCs/>
        </w:rPr>
        <w:t>Dec</w:t>
      </w:r>
    </w:p>
    <w:p w:rsidR="0037113A" w:rsidRDefault="0037113A" w:rsidP="00B40767">
      <w:pPr>
        <w:pStyle w:val="Text2"/>
        <w:numPr>
          <w:ilvl w:val="0"/>
          <w:numId w:val="23"/>
        </w:numPr>
        <w:rPr>
          <w:i/>
          <w:iCs/>
        </w:rPr>
      </w:pPr>
      <w:r w:rsidRPr="0037113A">
        <w:rPr>
          <w:i/>
          <w:iCs/>
        </w:rPr>
        <w:t xml:space="preserve">eligible management costs and fees of </w:t>
      </w:r>
      <w:proofErr w:type="spellStart"/>
      <w:r w:rsidRPr="0037113A">
        <w:rPr>
          <w:i/>
          <w:iCs/>
        </w:rPr>
        <w:t>FoF</w:t>
      </w:r>
      <w:proofErr w:type="spellEnd"/>
      <w:r>
        <w:rPr>
          <w:i/>
          <w:iCs/>
        </w:rPr>
        <w:t>:</w:t>
      </w:r>
    </w:p>
    <w:p w:rsidR="0037113A" w:rsidRDefault="0037113A" w:rsidP="00A667D5">
      <w:pPr>
        <w:pStyle w:val="Text2"/>
        <w:ind w:left="1440"/>
        <w:rPr>
          <w:i/>
          <w:iCs/>
        </w:rPr>
      </w:pPr>
      <w:r>
        <w:rPr>
          <w:i/>
          <w:iCs/>
        </w:rPr>
        <w:t xml:space="preserve"> €</w:t>
      </w:r>
      <w:r w:rsidR="00214F0B">
        <w:rPr>
          <w:i/>
          <w:iCs/>
        </w:rPr>
        <w:t xml:space="preserve">0.375 million </w:t>
      </w:r>
      <w:r>
        <w:rPr>
          <w:i/>
          <w:iCs/>
        </w:rPr>
        <w:t xml:space="preserve">= €25 million * </w:t>
      </w:r>
      <w:r w:rsidR="00A5146C">
        <w:rPr>
          <w:i/>
          <w:iCs/>
        </w:rPr>
        <w:t>3%</w:t>
      </w:r>
      <w:r>
        <w:rPr>
          <w:i/>
          <w:iCs/>
        </w:rPr>
        <w:t xml:space="preserve"> * </w:t>
      </w:r>
      <w:r w:rsidR="00A667D5">
        <w:rPr>
          <w:i/>
          <w:iCs/>
        </w:rPr>
        <w:t>180</w:t>
      </w:r>
      <w:r w:rsidR="00214F0B">
        <w:rPr>
          <w:i/>
          <w:iCs/>
        </w:rPr>
        <w:t>/</w:t>
      </w:r>
      <w:r w:rsidR="00A667D5">
        <w:rPr>
          <w:i/>
          <w:iCs/>
        </w:rPr>
        <w:t>360</w:t>
      </w:r>
      <w:r>
        <w:rPr>
          <w:i/>
          <w:iCs/>
        </w:rPr>
        <w:t xml:space="preserve"> [base remuneration]</w:t>
      </w:r>
      <w:r w:rsidR="00214F0B">
        <w:rPr>
          <w:i/>
          <w:iCs/>
        </w:rPr>
        <w:t xml:space="preserve"> </w:t>
      </w:r>
      <w:r w:rsidR="00EF5AF3">
        <w:rPr>
          <w:i/>
          <w:iCs/>
        </w:rPr>
        <w:t>AND</w:t>
      </w:r>
      <w:r w:rsidR="00214F0B">
        <w:rPr>
          <w:i/>
          <w:iCs/>
        </w:rPr>
        <w:t xml:space="preserve"> €0.</w:t>
      </w:r>
      <w:r w:rsidR="00B40767">
        <w:rPr>
          <w:i/>
          <w:iCs/>
        </w:rPr>
        <w:t>0</w:t>
      </w:r>
      <w:r w:rsidR="00214F0B">
        <w:rPr>
          <w:i/>
          <w:iCs/>
        </w:rPr>
        <w:t>6</w:t>
      </w:r>
      <w:r w:rsidR="00B40767">
        <w:rPr>
          <w:i/>
          <w:iCs/>
        </w:rPr>
        <w:t>2</w:t>
      </w:r>
      <w:r w:rsidR="00214F0B">
        <w:rPr>
          <w:i/>
          <w:iCs/>
        </w:rPr>
        <w:t xml:space="preserve"> million = €25</w:t>
      </w:r>
      <w:r w:rsidR="00377133">
        <w:rPr>
          <w:i/>
          <w:iCs/>
        </w:rPr>
        <w:t xml:space="preserve"> </w:t>
      </w:r>
      <w:r w:rsidR="00214F0B">
        <w:rPr>
          <w:i/>
          <w:iCs/>
        </w:rPr>
        <w:t xml:space="preserve">million * </w:t>
      </w:r>
      <w:r w:rsidR="00A5146C">
        <w:rPr>
          <w:i/>
          <w:iCs/>
        </w:rPr>
        <w:t>0.5%</w:t>
      </w:r>
      <w:r w:rsidR="00214F0B">
        <w:rPr>
          <w:i/>
          <w:iCs/>
        </w:rPr>
        <w:t xml:space="preserve"> * </w:t>
      </w:r>
      <w:r w:rsidR="00A667D5">
        <w:rPr>
          <w:i/>
          <w:iCs/>
        </w:rPr>
        <w:t>180</w:t>
      </w:r>
      <w:r w:rsidR="00214F0B">
        <w:rPr>
          <w:i/>
          <w:iCs/>
        </w:rPr>
        <w:t>/</w:t>
      </w:r>
      <w:r w:rsidR="00A667D5">
        <w:rPr>
          <w:i/>
          <w:iCs/>
        </w:rPr>
        <w:t>360</w:t>
      </w:r>
      <w:r w:rsidR="00214F0B">
        <w:rPr>
          <w:i/>
          <w:iCs/>
        </w:rPr>
        <w:t xml:space="preserve"> [performance remuneration]</w:t>
      </w:r>
    </w:p>
    <w:p w:rsidR="00EF5AF3" w:rsidRDefault="00EF5AF3" w:rsidP="00AC1406">
      <w:pPr>
        <w:pStyle w:val="Text2"/>
        <w:ind w:left="1440"/>
        <w:rPr>
          <w:i/>
          <w:iCs/>
        </w:rPr>
      </w:pPr>
      <w:r>
        <w:rPr>
          <w:i/>
          <w:iCs/>
        </w:rPr>
        <w:t>Total: € 0.437 million</w:t>
      </w:r>
    </w:p>
    <w:p w:rsidR="0037113A" w:rsidRDefault="0037113A" w:rsidP="00A667D5">
      <w:pPr>
        <w:pStyle w:val="Text2"/>
        <w:numPr>
          <w:ilvl w:val="0"/>
          <w:numId w:val="23"/>
        </w:numPr>
        <w:rPr>
          <w:i/>
          <w:iCs/>
        </w:rPr>
      </w:pPr>
      <w:r>
        <w:rPr>
          <w:i/>
          <w:iCs/>
        </w:rPr>
        <w:t>eligible management costs and fees of the loan fund</w:t>
      </w:r>
      <w:r w:rsidR="00214F0B">
        <w:rPr>
          <w:i/>
          <w:iCs/>
        </w:rPr>
        <w:t>: €</w:t>
      </w:r>
      <w:r w:rsidR="00214F0B" w:rsidRPr="00F76224">
        <w:rPr>
          <w:i/>
          <w:iCs/>
        </w:rPr>
        <w:t>0.0</w:t>
      </w:r>
      <w:r w:rsidR="00F76224" w:rsidRPr="00F76224">
        <w:rPr>
          <w:i/>
          <w:iCs/>
        </w:rPr>
        <w:t>37</w:t>
      </w:r>
      <w:r>
        <w:rPr>
          <w:i/>
          <w:iCs/>
        </w:rPr>
        <w:t xml:space="preserve"> million</w:t>
      </w:r>
      <w:r w:rsidR="00F76224">
        <w:rPr>
          <w:i/>
          <w:iCs/>
        </w:rPr>
        <w:t xml:space="preserve"> = €</w:t>
      </w:r>
      <w:r w:rsidR="00214F0B">
        <w:rPr>
          <w:i/>
          <w:iCs/>
        </w:rPr>
        <w:t>1</w:t>
      </w:r>
      <w:r w:rsidR="00F76224">
        <w:rPr>
          <w:i/>
          <w:iCs/>
        </w:rPr>
        <w:t>5</w:t>
      </w:r>
      <w:r w:rsidR="00214F0B">
        <w:rPr>
          <w:i/>
          <w:iCs/>
        </w:rPr>
        <w:t xml:space="preserve"> million * </w:t>
      </w:r>
      <w:r w:rsidR="00A5146C">
        <w:rPr>
          <w:i/>
          <w:iCs/>
        </w:rPr>
        <w:t>0.5%</w:t>
      </w:r>
      <w:r w:rsidR="00214F0B">
        <w:rPr>
          <w:i/>
          <w:iCs/>
        </w:rPr>
        <w:t xml:space="preserve"> * </w:t>
      </w:r>
      <w:r w:rsidR="00A667D5">
        <w:rPr>
          <w:i/>
          <w:iCs/>
        </w:rPr>
        <w:t>180</w:t>
      </w:r>
      <w:r w:rsidR="00214F0B">
        <w:rPr>
          <w:i/>
          <w:iCs/>
        </w:rPr>
        <w:t>/</w:t>
      </w:r>
      <w:r w:rsidR="00A667D5">
        <w:rPr>
          <w:i/>
          <w:iCs/>
        </w:rPr>
        <w:t>360</w:t>
      </w:r>
      <w:r w:rsidR="00214F0B">
        <w:rPr>
          <w:i/>
          <w:iCs/>
        </w:rPr>
        <w:t xml:space="preserve"> [base remuneration]</w:t>
      </w:r>
    </w:p>
    <w:p w:rsidR="0037113A" w:rsidRPr="0037113A" w:rsidRDefault="0037113A" w:rsidP="00A667D5">
      <w:pPr>
        <w:pStyle w:val="Text2"/>
        <w:numPr>
          <w:ilvl w:val="0"/>
          <w:numId w:val="23"/>
        </w:numPr>
      </w:pPr>
      <w:r>
        <w:rPr>
          <w:i/>
          <w:iCs/>
        </w:rPr>
        <w:t>eligible management costs and fees of the equity fund: €0.</w:t>
      </w:r>
      <w:r w:rsidR="00F76224">
        <w:rPr>
          <w:i/>
          <w:iCs/>
        </w:rPr>
        <w:t>125</w:t>
      </w:r>
      <w:r>
        <w:rPr>
          <w:i/>
          <w:iCs/>
        </w:rPr>
        <w:t xml:space="preserve"> million = €10 million * </w:t>
      </w:r>
      <w:r w:rsidR="00A5146C">
        <w:rPr>
          <w:i/>
          <w:iCs/>
        </w:rPr>
        <w:t>2.5%</w:t>
      </w:r>
      <w:r>
        <w:rPr>
          <w:i/>
          <w:iCs/>
        </w:rPr>
        <w:t xml:space="preserve"> * </w:t>
      </w:r>
      <w:r w:rsidR="00A667D5">
        <w:rPr>
          <w:i/>
          <w:iCs/>
        </w:rPr>
        <w:t>180</w:t>
      </w:r>
      <w:r>
        <w:rPr>
          <w:i/>
          <w:iCs/>
        </w:rPr>
        <w:t>/</w:t>
      </w:r>
      <w:r w:rsidR="00A667D5">
        <w:rPr>
          <w:i/>
          <w:iCs/>
        </w:rPr>
        <w:t>360</w:t>
      </w:r>
      <w:r>
        <w:rPr>
          <w:i/>
          <w:iCs/>
        </w:rPr>
        <w:t xml:space="preserve"> [base remuneration]</w:t>
      </w:r>
    </w:p>
    <w:p w:rsidR="00214F0B" w:rsidRDefault="00377133" w:rsidP="00214F0B">
      <w:pPr>
        <w:pStyle w:val="Text2"/>
        <w:ind w:left="0"/>
      </w:pPr>
      <w:r>
        <w:lastRenderedPageBreak/>
        <w:t>On</w:t>
      </w:r>
      <w:r w:rsidR="002D7EFC">
        <w:t xml:space="preserve"> 31 December 2015 €10 million of loans are disbursed and € 5 million equity are disbursed to final recipient</w:t>
      </w:r>
      <w:r w:rsidR="00214F0B">
        <w:t>s</w:t>
      </w:r>
      <w:r w:rsidR="000B7D52">
        <w:t>;</w:t>
      </w:r>
      <w:r w:rsidR="00214F0B">
        <w:t xml:space="preserve"> </w:t>
      </w:r>
    </w:p>
    <w:p w:rsidR="00214F0B" w:rsidRPr="00214F0B" w:rsidRDefault="00377133" w:rsidP="00377133">
      <w:pPr>
        <w:pStyle w:val="Text2"/>
        <w:ind w:left="1440"/>
        <w:rPr>
          <w:i/>
          <w:iCs/>
        </w:rPr>
      </w:pPr>
      <w:r>
        <w:rPr>
          <w:i/>
          <w:iCs/>
        </w:rPr>
        <w:t>1 Jan</w:t>
      </w:r>
      <w:r w:rsidRPr="00214F0B">
        <w:rPr>
          <w:i/>
          <w:iCs/>
        </w:rPr>
        <w:t xml:space="preserve"> </w:t>
      </w:r>
      <w:r>
        <w:rPr>
          <w:i/>
          <w:iCs/>
        </w:rPr>
        <w:t>16</w:t>
      </w:r>
      <w:r w:rsidR="00214F0B" w:rsidRPr="00214F0B">
        <w:rPr>
          <w:i/>
          <w:iCs/>
        </w:rPr>
        <w:t xml:space="preserve"> –</w:t>
      </w:r>
      <w:r>
        <w:rPr>
          <w:i/>
          <w:iCs/>
        </w:rPr>
        <w:t xml:space="preserve">31 </w:t>
      </w:r>
      <w:r w:rsidR="00214F0B" w:rsidRPr="00214F0B">
        <w:rPr>
          <w:i/>
          <w:iCs/>
        </w:rPr>
        <w:t>Jan 16</w:t>
      </w:r>
    </w:p>
    <w:p w:rsidR="00214F0B" w:rsidRDefault="00214F0B" w:rsidP="00A667D5">
      <w:pPr>
        <w:pStyle w:val="Text2"/>
        <w:numPr>
          <w:ilvl w:val="0"/>
          <w:numId w:val="23"/>
        </w:numPr>
        <w:rPr>
          <w:i/>
          <w:iCs/>
        </w:rPr>
      </w:pPr>
      <w:proofErr w:type="gramStart"/>
      <w:r w:rsidRPr="0037113A">
        <w:rPr>
          <w:i/>
          <w:iCs/>
        </w:rPr>
        <w:t>eligible</w:t>
      </w:r>
      <w:proofErr w:type="gramEnd"/>
      <w:r w:rsidRPr="0037113A">
        <w:rPr>
          <w:i/>
          <w:iCs/>
        </w:rPr>
        <w:t xml:space="preserve"> management costs and fees of </w:t>
      </w:r>
      <w:proofErr w:type="spellStart"/>
      <w:r w:rsidRPr="0037113A">
        <w:rPr>
          <w:i/>
          <w:iCs/>
        </w:rPr>
        <w:t>FoF</w:t>
      </w:r>
      <w:proofErr w:type="spellEnd"/>
      <w:r>
        <w:rPr>
          <w:i/>
          <w:iCs/>
        </w:rPr>
        <w:t xml:space="preserve">: €0.02 million = €25 million * </w:t>
      </w:r>
      <w:r w:rsidR="00A5146C">
        <w:rPr>
          <w:i/>
          <w:iCs/>
          <w:u w:val="single"/>
        </w:rPr>
        <w:t>1%</w:t>
      </w:r>
      <w:r>
        <w:rPr>
          <w:i/>
          <w:iCs/>
        </w:rPr>
        <w:t xml:space="preserve"> (as </w:t>
      </w:r>
      <w:r w:rsidR="00990EE2">
        <w:rPr>
          <w:i/>
          <w:iCs/>
        </w:rPr>
        <w:t>these are</w:t>
      </w:r>
      <w:r>
        <w:rPr>
          <w:i/>
          <w:iCs/>
        </w:rPr>
        <w:t xml:space="preserve"> the next 12 months </w:t>
      </w:r>
      <w:r w:rsidR="00377133">
        <w:rPr>
          <w:i/>
          <w:iCs/>
        </w:rPr>
        <w:t>after the Funding Agreement was signed</w:t>
      </w:r>
      <w:r>
        <w:rPr>
          <w:i/>
          <w:iCs/>
        </w:rPr>
        <w:t xml:space="preserve">!) * </w:t>
      </w:r>
      <w:r w:rsidR="00A667D5">
        <w:rPr>
          <w:i/>
          <w:iCs/>
        </w:rPr>
        <w:t>30</w:t>
      </w:r>
      <w:r>
        <w:rPr>
          <w:i/>
          <w:iCs/>
        </w:rPr>
        <w:t>/</w:t>
      </w:r>
      <w:r w:rsidR="00A667D5">
        <w:rPr>
          <w:i/>
          <w:iCs/>
        </w:rPr>
        <w:t>360</w:t>
      </w:r>
      <w:r>
        <w:rPr>
          <w:i/>
          <w:iCs/>
        </w:rPr>
        <w:t xml:space="preserve"> [base remuneration] </w:t>
      </w:r>
      <w:r w:rsidR="002506A9">
        <w:rPr>
          <w:i/>
          <w:iCs/>
        </w:rPr>
        <w:t>AND</w:t>
      </w:r>
      <w:r>
        <w:rPr>
          <w:i/>
          <w:iCs/>
        </w:rPr>
        <w:t xml:space="preserve"> </w:t>
      </w:r>
    </w:p>
    <w:p w:rsidR="00214F0B" w:rsidRDefault="00214F0B" w:rsidP="00AC1406">
      <w:pPr>
        <w:pStyle w:val="Text2"/>
        <w:ind w:left="1440"/>
        <w:rPr>
          <w:i/>
          <w:iCs/>
        </w:rPr>
      </w:pPr>
      <w:r>
        <w:rPr>
          <w:i/>
          <w:iCs/>
        </w:rPr>
        <w:t xml:space="preserve">€0.01 million = </w:t>
      </w:r>
      <w:r w:rsidR="00A5146C">
        <w:rPr>
          <w:i/>
          <w:iCs/>
        </w:rPr>
        <w:t>€</w:t>
      </w:r>
      <w:r>
        <w:rPr>
          <w:i/>
          <w:iCs/>
        </w:rPr>
        <w:t>25</w:t>
      </w:r>
      <w:r w:rsidR="00377133">
        <w:rPr>
          <w:i/>
          <w:iCs/>
        </w:rPr>
        <w:t xml:space="preserve"> </w:t>
      </w:r>
      <w:r>
        <w:rPr>
          <w:i/>
          <w:iCs/>
        </w:rPr>
        <w:t xml:space="preserve">million * </w:t>
      </w:r>
      <w:r w:rsidR="00A5146C">
        <w:rPr>
          <w:i/>
          <w:iCs/>
        </w:rPr>
        <w:t>0.5%</w:t>
      </w:r>
      <w:r>
        <w:rPr>
          <w:i/>
          <w:iCs/>
        </w:rPr>
        <w:t xml:space="preserve"> * 1/12 [performance remuneration]</w:t>
      </w:r>
    </w:p>
    <w:p w:rsidR="002506A9" w:rsidRDefault="002506A9" w:rsidP="00AC1406">
      <w:pPr>
        <w:pStyle w:val="Text2"/>
        <w:ind w:left="1440"/>
        <w:rPr>
          <w:i/>
          <w:iCs/>
        </w:rPr>
      </w:pPr>
      <w:r>
        <w:rPr>
          <w:i/>
          <w:iCs/>
        </w:rPr>
        <w:t>Total: €0.03 million</w:t>
      </w:r>
    </w:p>
    <w:p w:rsidR="002506A9" w:rsidRDefault="00214F0B" w:rsidP="00A667D5">
      <w:pPr>
        <w:pStyle w:val="Text2"/>
        <w:numPr>
          <w:ilvl w:val="0"/>
          <w:numId w:val="23"/>
        </w:numPr>
        <w:rPr>
          <w:i/>
          <w:iCs/>
        </w:rPr>
      </w:pPr>
      <w:r>
        <w:rPr>
          <w:i/>
          <w:iCs/>
        </w:rPr>
        <w:t>eligible management costs and fees of the loan fund: €</w:t>
      </w:r>
      <w:r w:rsidRPr="00F76224">
        <w:rPr>
          <w:i/>
          <w:iCs/>
        </w:rPr>
        <w:t>0.00</w:t>
      </w:r>
      <w:r w:rsidR="00F76224" w:rsidRPr="00F76224">
        <w:rPr>
          <w:i/>
          <w:iCs/>
        </w:rPr>
        <w:t>6</w:t>
      </w:r>
      <w:r>
        <w:rPr>
          <w:i/>
          <w:iCs/>
        </w:rPr>
        <w:t xml:space="preserve"> million</w:t>
      </w:r>
      <w:r w:rsidR="00F76224">
        <w:rPr>
          <w:i/>
          <w:iCs/>
        </w:rPr>
        <w:t xml:space="preserve"> = €</w:t>
      </w:r>
      <w:r>
        <w:rPr>
          <w:i/>
          <w:iCs/>
        </w:rPr>
        <w:t>1</w:t>
      </w:r>
      <w:r w:rsidR="00F76224">
        <w:rPr>
          <w:i/>
          <w:iCs/>
        </w:rPr>
        <w:t>5</w:t>
      </w:r>
      <w:r>
        <w:rPr>
          <w:i/>
          <w:iCs/>
        </w:rPr>
        <w:t xml:space="preserve"> million * </w:t>
      </w:r>
      <w:r w:rsidR="00A5146C">
        <w:rPr>
          <w:i/>
          <w:iCs/>
        </w:rPr>
        <w:t>0.5%</w:t>
      </w:r>
      <w:r>
        <w:rPr>
          <w:i/>
          <w:iCs/>
        </w:rPr>
        <w:t xml:space="preserve"> * </w:t>
      </w:r>
      <w:r w:rsidR="00A667D5">
        <w:rPr>
          <w:i/>
          <w:iCs/>
        </w:rPr>
        <w:t>30</w:t>
      </w:r>
      <w:r>
        <w:rPr>
          <w:i/>
          <w:iCs/>
        </w:rPr>
        <w:t>/</w:t>
      </w:r>
      <w:r w:rsidR="00A667D5">
        <w:rPr>
          <w:i/>
          <w:iCs/>
        </w:rPr>
        <w:t>360</w:t>
      </w:r>
      <w:r>
        <w:rPr>
          <w:i/>
          <w:iCs/>
        </w:rPr>
        <w:t xml:space="preserve"> [base remuneration] </w:t>
      </w:r>
      <w:r w:rsidR="002506A9">
        <w:rPr>
          <w:i/>
          <w:iCs/>
        </w:rPr>
        <w:t>AND</w:t>
      </w:r>
    </w:p>
    <w:p w:rsidR="00214F0B" w:rsidRDefault="002506A9" w:rsidP="00A667D5">
      <w:pPr>
        <w:pStyle w:val="Text2"/>
        <w:ind w:left="1440"/>
        <w:rPr>
          <w:i/>
          <w:iCs/>
        </w:rPr>
      </w:pPr>
      <w:r>
        <w:rPr>
          <w:i/>
          <w:iCs/>
        </w:rPr>
        <w:t xml:space="preserve"> </w:t>
      </w:r>
      <w:r w:rsidR="00A5146C">
        <w:rPr>
          <w:i/>
          <w:iCs/>
        </w:rPr>
        <w:t xml:space="preserve">€0.008 million = €10 million * 1% * </w:t>
      </w:r>
      <w:r w:rsidR="00A667D5">
        <w:rPr>
          <w:i/>
          <w:iCs/>
        </w:rPr>
        <w:t>30</w:t>
      </w:r>
      <w:r w:rsidR="00A5146C">
        <w:rPr>
          <w:i/>
          <w:iCs/>
        </w:rPr>
        <w:t>/</w:t>
      </w:r>
      <w:r w:rsidR="00A667D5">
        <w:rPr>
          <w:i/>
          <w:iCs/>
        </w:rPr>
        <w:t>360</w:t>
      </w:r>
      <w:r w:rsidR="00A5146C">
        <w:rPr>
          <w:i/>
          <w:iCs/>
        </w:rPr>
        <w:t xml:space="preserve"> [performance remuneration]</w:t>
      </w:r>
    </w:p>
    <w:p w:rsidR="002506A9" w:rsidRDefault="002506A9" w:rsidP="00AC1406">
      <w:pPr>
        <w:pStyle w:val="Text2"/>
        <w:ind w:left="1440"/>
        <w:rPr>
          <w:i/>
          <w:iCs/>
        </w:rPr>
      </w:pPr>
      <w:r>
        <w:rPr>
          <w:i/>
          <w:iCs/>
        </w:rPr>
        <w:t>Total: €0.014 million</w:t>
      </w:r>
    </w:p>
    <w:p w:rsidR="00214F0B" w:rsidRPr="00F57FC7" w:rsidRDefault="00214F0B" w:rsidP="00A667D5">
      <w:pPr>
        <w:pStyle w:val="Text2"/>
        <w:numPr>
          <w:ilvl w:val="0"/>
          <w:numId w:val="23"/>
        </w:numPr>
      </w:pPr>
      <w:r>
        <w:rPr>
          <w:i/>
          <w:iCs/>
        </w:rPr>
        <w:t xml:space="preserve">eligible management costs and fees of the equity fund: €0.02 million = €10 million * </w:t>
      </w:r>
      <w:r w:rsidR="00A5146C">
        <w:rPr>
          <w:i/>
          <w:iCs/>
        </w:rPr>
        <w:t>2.5%</w:t>
      </w:r>
      <w:r>
        <w:rPr>
          <w:i/>
          <w:iCs/>
        </w:rPr>
        <w:t xml:space="preserve"> * </w:t>
      </w:r>
      <w:r w:rsidR="00A667D5">
        <w:rPr>
          <w:i/>
          <w:iCs/>
        </w:rPr>
        <w:t>30</w:t>
      </w:r>
      <w:r>
        <w:rPr>
          <w:i/>
          <w:iCs/>
        </w:rPr>
        <w:t>/</w:t>
      </w:r>
      <w:r w:rsidR="00A667D5">
        <w:rPr>
          <w:i/>
          <w:iCs/>
        </w:rPr>
        <w:t>360</w:t>
      </w:r>
      <w:r>
        <w:rPr>
          <w:i/>
          <w:iCs/>
        </w:rPr>
        <w:t xml:space="preserve"> [base remuneration]</w:t>
      </w:r>
      <w:r w:rsidR="00A5146C">
        <w:rPr>
          <w:i/>
          <w:iCs/>
        </w:rPr>
        <w:t xml:space="preserve"> </w:t>
      </w:r>
      <w:r w:rsidR="002506A9">
        <w:rPr>
          <w:i/>
          <w:iCs/>
        </w:rPr>
        <w:t xml:space="preserve">AND </w:t>
      </w:r>
      <w:r w:rsidR="00A5146C">
        <w:rPr>
          <w:i/>
          <w:iCs/>
        </w:rPr>
        <w:t>€0.01 million = €5 million * 2.5% *</w:t>
      </w:r>
      <w:r w:rsidR="00A667D5">
        <w:rPr>
          <w:i/>
          <w:iCs/>
        </w:rPr>
        <w:t>30</w:t>
      </w:r>
      <w:r w:rsidR="00A5146C">
        <w:rPr>
          <w:i/>
          <w:iCs/>
        </w:rPr>
        <w:t>/</w:t>
      </w:r>
      <w:r w:rsidR="00A667D5">
        <w:rPr>
          <w:i/>
          <w:iCs/>
        </w:rPr>
        <w:t>360</w:t>
      </w:r>
      <w:r w:rsidR="00A5146C">
        <w:rPr>
          <w:i/>
          <w:iCs/>
        </w:rPr>
        <w:t xml:space="preserve"> [performance remuneration]</w:t>
      </w:r>
    </w:p>
    <w:p w:rsidR="002506A9" w:rsidRPr="0037113A" w:rsidRDefault="002506A9" w:rsidP="00AC1406">
      <w:pPr>
        <w:pStyle w:val="Text2"/>
        <w:ind w:left="1440"/>
      </w:pPr>
      <w:r>
        <w:rPr>
          <w:i/>
          <w:iCs/>
        </w:rPr>
        <w:t>Total: €0.03 million</w:t>
      </w:r>
    </w:p>
    <w:p w:rsidR="00990EE2" w:rsidRDefault="00C67155" w:rsidP="0069344E">
      <w:pPr>
        <w:pStyle w:val="Text2"/>
        <w:ind w:left="0"/>
      </w:pPr>
      <w:r>
        <w:t xml:space="preserve">Since in the example more than 60% of the programme contributions paid to the financial instrument </w:t>
      </w:r>
      <w:r w:rsidR="00990EE2">
        <w:t>have already been disbursed</w:t>
      </w:r>
      <w:r>
        <w:t xml:space="preserve">, the next step will most probably </w:t>
      </w:r>
      <w:r w:rsidR="00C750BD">
        <w:t xml:space="preserve">be </w:t>
      </w:r>
      <w:r>
        <w:t xml:space="preserve">the transfer of the second tranche of €25 million by the MA to the </w:t>
      </w:r>
      <w:proofErr w:type="spellStart"/>
      <w:r>
        <w:t>FoF</w:t>
      </w:r>
      <w:proofErr w:type="spellEnd"/>
      <w:r w:rsidR="00C750BD">
        <w:t>. This</w:t>
      </w:r>
      <w:r>
        <w:t xml:space="preserve"> would </w:t>
      </w:r>
      <w:r w:rsidR="00C750BD">
        <w:t xml:space="preserve">reinitiate the cycle and </w:t>
      </w:r>
      <w:r>
        <w:t xml:space="preserve">first increase the basis for the calculation of </w:t>
      </w:r>
      <w:proofErr w:type="spellStart"/>
      <w:r>
        <w:t>FoF</w:t>
      </w:r>
      <w:proofErr w:type="spellEnd"/>
      <w:r>
        <w:t xml:space="preserve"> base remuneration</w:t>
      </w:r>
      <w:r w:rsidR="00990EE2">
        <w:t xml:space="preserve"> and then also the basis for all the other calculations</w:t>
      </w:r>
      <w:r>
        <w:t xml:space="preserve">. </w:t>
      </w:r>
    </w:p>
    <w:p w:rsidR="00A211BB" w:rsidRDefault="00CA0276" w:rsidP="00572D51">
      <w:pPr>
        <w:pStyle w:val="Text2"/>
        <w:ind w:left="0"/>
      </w:pPr>
      <w:r>
        <w:t>At the end of the</w:t>
      </w:r>
      <w:r w:rsidR="00287B5B">
        <w:t xml:space="preserve"> eligibility</w:t>
      </w:r>
      <w:r w:rsidR="00C67155">
        <w:t xml:space="preserve"> period the total amount resulting from th</w:t>
      </w:r>
      <w:r>
        <w:t>e above</w:t>
      </w:r>
      <w:r w:rsidR="00C67155">
        <w:t xml:space="preserve"> calculation</w:t>
      </w:r>
      <w:r w:rsidR="00195BBC">
        <w:t xml:space="preserve"> for the whole implementation cycle</w:t>
      </w:r>
      <w:r w:rsidR="00C67155">
        <w:t xml:space="preserve"> </w:t>
      </w:r>
      <w:r w:rsidR="00990EE2">
        <w:t xml:space="preserve">per </w:t>
      </w:r>
      <w:r>
        <w:t xml:space="preserve">fund </w:t>
      </w:r>
      <w:r w:rsidR="00C67155">
        <w:t xml:space="preserve">will be </w:t>
      </w:r>
      <w:r w:rsidR="004614BF">
        <w:t>compared with</w:t>
      </w:r>
      <w:r w:rsidR="00A211BB">
        <w:t xml:space="preserve"> the </w:t>
      </w:r>
      <w:r>
        <w:t xml:space="preserve">respective </w:t>
      </w:r>
      <w:r w:rsidR="00A211BB">
        <w:t>"flat-rate" thresholds</w:t>
      </w:r>
      <w:r w:rsidR="00990EE2">
        <w:t xml:space="preserve"> per </w:t>
      </w:r>
      <w:r>
        <w:t>fund</w:t>
      </w:r>
      <w:r w:rsidR="00C750BD">
        <w:t>.</w:t>
      </w:r>
      <w:r w:rsidR="004614BF">
        <w:t xml:space="preserve"> The lower of </w:t>
      </w:r>
      <w:r>
        <w:t xml:space="preserve">the two thresholds per fund </w:t>
      </w:r>
      <w:r w:rsidR="004614BF">
        <w:t>will represent the amount of eligible management costs and fees at closure</w:t>
      </w:r>
      <w:r w:rsidR="00990EE2">
        <w:t xml:space="preserve"> per </w:t>
      </w:r>
      <w:r>
        <w:t>fund</w:t>
      </w:r>
      <w:r w:rsidR="00D51A71">
        <w:t xml:space="preserve">: </w:t>
      </w:r>
      <w:r>
        <w:t xml:space="preserve">the </w:t>
      </w:r>
      <w:r w:rsidR="00D51A71">
        <w:t xml:space="preserve">fund of fund, </w:t>
      </w:r>
      <w:r>
        <w:t xml:space="preserve">the </w:t>
      </w:r>
      <w:r w:rsidR="00D51A71">
        <w:t xml:space="preserve">loan fund and </w:t>
      </w:r>
      <w:r>
        <w:t xml:space="preserve">the </w:t>
      </w:r>
      <w:r w:rsidR="00D51A71">
        <w:t>equity fund</w:t>
      </w:r>
      <w:r>
        <w:t>. T</w:t>
      </w:r>
      <w:r w:rsidR="00990EE2">
        <w:t xml:space="preserve">he sum </w:t>
      </w:r>
      <w:r>
        <w:t xml:space="preserve">of the eligible management costs and fees for the three </w:t>
      </w:r>
      <w:r w:rsidR="00572D51">
        <w:t>funds (provided that no further funds were created between 31 January 2016 and the end of the eligibility period)</w:t>
      </w:r>
      <w:r>
        <w:t xml:space="preserve"> will represent the </w:t>
      </w:r>
      <w:r w:rsidR="00990EE2">
        <w:t>total eligible management costs and fees at closure</w:t>
      </w:r>
      <w:r>
        <w:t xml:space="preserve"> for the financial instrument as a whole</w:t>
      </w:r>
      <w:r w:rsidR="00990EE2">
        <w:t>.</w:t>
      </w:r>
    </w:p>
    <w:p w:rsidR="00890FCB" w:rsidRDefault="00377133" w:rsidP="00377133">
      <w:pPr>
        <w:pStyle w:val="Heading1"/>
        <w:numPr>
          <w:ilvl w:val="1"/>
          <w:numId w:val="21"/>
        </w:numPr>
      </w:pPr>
      <w:r>
        <w:t>S</w:t>
      </w:r>
      <w:r w:rsidR="00473FA3">
        <w:t xml:space="preserve">pecific </w:t>
      </w:r>
      <w:r w:rsidR="007B3DB6">
        <w:t>Thresholds for Capitalised management costs and fees for equity-based instruments and micro-credit</w:t>
      </w:r>
    </w:p>
    <w:p w:rsidR="007B3DB6" w:rsidRDefault="007B3DB6" w:rsidP="007B3DB6">
      <w:pPr>
        <w:spacing w:after="120"/>
      </w:pPr>
      <w:r>
        <w:t xml:space="preserve">Article 14 (2) CDR sets a </w:t>
      </w:r>
      <w:r w:rsidR="0069344E">
        <w:t xml:space="preserve">specific </w:t>
      </w:r>
      <w:r>
        <w:t>threshold for eligible capitalised management costs and fees for micro-credit</w:t>
      </w:r>
      <w:r w:rsidR="00F64ECB">
        <w:t xml:space="preserve"> to be paid </w:t>
      </w:r>
      <w:r w:rsidR="00AC1406">
        <w:t xml:space="preserve">to the fund manager </w:t>
      </w:r>
      <w:r w:rsidR="00F64ECB">
        <w:t>after the end of the eligibility period</w:t>
      </w:r>
      <w:r>
        <w:t xml:space="preserve">. It is calculated as follows: 1% p.a. of the programme contributions paid to the final recipients as eligible loans within the eligibility period but which have yet to be paid back, calculated </w:t>
      </w:r>
      <w:r w:rsidRPr="007B3DB6">
        <w:rPr>
          <w:i/>
          <w:iCs/>
        </w:rPr>
        <w:t xml:space="preserve">pro rata </w:t>
      </w:r>
      <w:proofErr w:type="spellStart"/>
      <w:r w:rsidRPr="007B3DB6">
        <w:rPr>
          <w:i/>
          <w:iCs/>
        </w:rPr>
        <w:t>temporis</w:t>
      </w:r>
      <w:proofErr w:type="spellEnd"/>
      <w:r>
        <w:t xml:space="preserve"> from the end of the eligibility period until the repayment of the investment, the end of the recovery in the case of defaults or the maximum period of six years in line with Article 42(2) CPR</w:t>
      </w:r>
      <w:r w:rsidR="0069344E">
        <w:t>,</w:t>
      </w:r>
      <w:r>
        <w:t xml:space="preserve"> whichever </w:t>
      </w:r>
      <w:r w:rsidR="0069344E">
        <w:t xml:space="preserve">of the three </w:t>
      </w:r>
      <w:r>
        <w:t>is earlier.</w:t>
      </w:r>
    </w:p>
    <w:p w:rsidR="007B3DB6" w:rsidRDefault="007B3DB6" w:rsidP="007B3DB6">
      <w:pPr>
        <w:spacing w:after="120"/>
      </w:pPr>
      <w:r>
        <w:lastRenderedPageBreak/>
        <w:t>Article 14(3)</w:t>
      </w:r>
      <w:r w:rsidR="00394E62">
        <w:t xml:space="preserve"> CDR</w:t>
      </w:r>
      <w:r>
        <w:t xml:space="preserve"> provides a </w:t>
      </w:r>
      <w:r w:rsidR="0069344E">
        <w:t xml:space="preserve">specific </w:t>
      </w:r>
      <w:r>
        <w:t>threshold for eligible management costs and fees for equity-based instruments</w:t>
      </w:r>
      <w:r w:rsidR="00F64ECB" w:rsidRPr="00F64ECB">
        <w:t xml:space="preserve"> </w:t>
      </w:r>
      <w:r w:rsidR="00F64ECB">
        <w:t xml:space="preserve">to be paid </w:t>
      </w:r>
      <w:r w:rsidR="00AC1406">
        <w:t xml:space="preserve">to the fund managed </w:t>
      </w:r>
      <w:r w:rsidR="00F64ECB">
        <w:t>after the end of the eligibility period</w:t>
      </w:r>
      <w:r>
        <w:t>. It is calculate</w:t>
      </w:r>
      <w:r w:rsidR="00F64ECB">
        <w:t>d</w:t>
      </w:r>
      <w:r>
        <w:t xml:space="preserve"> as follows: 1.5% p.a. of the programme contributions paid to the final recipients as eligible</w:t>
      </w:r>
      <w:r w:rsidR="00AE1D03">
        <w:t xml:space="preserve"> equity investment which have yet to be paid back, calculated </w:t>
      </w:r>
      <w:r w:rsidR="00AE1D03" w:rsidRPr="007B3DB6">
        <w:rPr>
          <w:i/>
          <w:iCs/>
        </w:rPr>
        <w:t xml:space="preserve">pro rata </w:t>
      </w:r>
      <w:proofErr w:type="spellStart"/>
      <w:r w:rsidR="00AE1D03" w:rsidRPr="007B3DB6">
        <w:rPr>
          <w:i/>
          <w:iCs/>
        </w:rPr>
        <w:t>temporis</w:t>
      </w:r>
      <w:proofErr w:type="spellEnd"/>
      <w:r w:rsidR="00AE1D03">
        <w:t xml:space="preserve"> from the end of the eligibility period until the repayment of the investment, the end of the recovery in the case of defaults or the maximum period of six years in line with Article 42(2) CPR</w:t>
      </w:r>
      <w:r w:rsidR="0069344E">
        <w:t>,</w:t>
      </w:r>
      <w:r w:rsidR="00AE1D03">
        <w:t xml:space="preserve"> whichever</w:t>
      </w:r>
      <w:r w:rsidR="0069344E">
        <w:t xml:space="preserve"> of the three</w:t>
      </w:r>
      <w:r w:rsidR="00AE1D03">
        <w:t xml:space="preserve"> is earlier. </w:t>
      </w:r>
    </w:p>
    <w:p w:rsidR="00450BEB" w:rsidRPr="00B61B46" w:rsidRDefault="006D6B4F" w:rsidP="00377133">
      <w:pPr>
        <w:pStyle w:val="Heading1"/>
        <w:numPr>
          <w:ilvl w:val="1"/>
          <w:numId w:val="21"/>
        </w:numPr>
      </w:pPr>
      <w:r>
        <w:t>Monitoring</w:t>
      </w:r>
      <w:r w:rsidR="00AE2391">
        <w:t xml:space="preserve"> of management costs and fees</w:t>
      </w:r>
    </w:p>
    <w:p w:rsidR="00AE2391" w:rsidRDefault="002646D7" w:rsidP="00EA1B51">
      <w:pPr>
        <w:spacing w:after="120"/>
      </w:pPr>
      <w:r>
        <w:t xml:space="preserve">According to </w:t>
      </w:r>
      <w:r w:rsidR="00AE2391">
        <w:t>Article 12(2)</w:t>
      </w:r>
      <w:r w:rsidR="00473FA3">
        <w:t xml:space="preserve"> </w:t>
      </w:r>
      <w:r w:rsidR="00AE2391">
        <w:t>CDR</w:t>
      </w:r>
      <w:r>
        <w:t>, t</w:t>
      </w:r>
      <w:r w:rsidR="00AE2391">
        <w:t xml:space="preserve">he managing authority </w:t>
      </w:r>
      <w:r w:rsidR="003947C1">
        <w:t xml:space="preserve">has to </w:t>
      </w:r>
      <w:r w:rsidR="00AE2391">
        <w:t xml:space="preserve">inform the monitoring committee about the provisions regarding the performance-based calculation of management costs and fees of the financial instruments. </w:t>
      </w:r>
      <w:r w:rsidR="00286041">
        <w:t xml:space="preserve">The </w:t>
      </w:r>
      <w:r w:rsidR="00286041" w:rsidRPr="000E526C">
        <w:t>Commission recommends</w:t>
      </w:r>
      <w:r w:rsidR="00286041">
        <w:t xml:space="preserve"> that the monitoring committee is informed before the relevant funding agreements are signed</w:t>
      </w:r>
      <w:r w:rsidR="000E526C">
        <w:t xml:space="preserve"> as it was good practice in some cases in the 2007-2013 already.</w:t>
      </w:r>
      <w:r w:rsidR="00EA1B51">
        <w:t xml:space="preserve"> </w:t>
      </w:r>
      <w:r w:rsidR="00AE2391">
        <w:t xml:space="preserve">The monitoring committee </w:t>
      </w:r>
      <w:r w:rsidR="00EA1B51">
        <w:t xml:space="preserve">also </w:t>
      </w:r>
      <w:r w:rsidR="00AE2391">
        <w:t>receive</w:t>
      </w:r>
      <w:r w:rsidR="003947C1">
        <w:t>s</w:t>
      </w:r>
      <w:r w:rsidR="00AE2391">
        <w:t xml:space="preserve"> reports on an annual basis on the management costs and fees effectively paid in the preceding calendar year. </w:t>
      </w:r>
    </w:p>
    <w:p w:rsidR="0069344E" w:rsidRPr="00AE2391" w:rsidRDefault="002646D7" w:rsidP="00694F55">
      <w:pPr>
        <w:spacing w:after="120"/>
      </w:pPr>
      <w:r>
        <w:t>According to Article 46(2</w:t>
      </w:r>
      <w:proofErr w:type="gramStart"/>
      <w:r>
        <w:t>)(</w:t>
      </w:r>
      <w:proofErr w:type="gramEnd"/>
      <w:r>
        <w:t xml:space="preserve">e) </w:t>
      </w:r>
      <w:r w:rsidR="003947C1">
        <w:t xml:space="preserve">CPR </w:t>
      </w:r>
      <w:r>
        <w:t>the specific report on financial instruments include</w:t>
      </w:r>
      <w:r w:rsidR="003947C1">
        <w:t>s</w:t>
      </w:r>
      <w:r>
        <w:t xml:space="preserve"> the information </w:t>
      </w:r>
      <w:r w:rsidR="00694F55">
        <w:t xml:space="preserve">about </w:t>
      </w:r>
      <w:r>
        <w:t>the management costs incurred or management fees paid</w:t>
      </w:r>
      <w:r w:rsidR="00473FA3">
        <w:t xml:space="preserve">, </w:t>
      </w:r>
      <w:r>
        <w:t xml:space="preserve"> </w:t>
      </w:r>
      <w:r w:rsidR="00694F55">
        <w:t xml:space="preserve">by </w:t>
      </w:r>
      <w:r>
        <w:t>each financial instrument and by programme and priority or measure.</w:t>
      </w:r>
    </w:p>
    <w:p w:rsidR="000A57F7" w:rsidRPr="000A57F7" w:rsidRDefault="00AE2391" w:rsidP="002E6E9A">
      <w:pPr>
        <w:autoSpaceDE w:val="0"/>
        <w:autoSpaceDN w:val="0"/>
        <w:adjustRightInd w:val="0"/>
        <w:spacing w:before="120" w:after="120"/>
        <w:jc w:val="center"/>
        <w:rPr>
          <w:szCs w:val="24"/>
        </w:rPr>
      </w:pPr>
      <w:r>
        <w:rPr>
          <w:b/>
          <w:bCs/>
          <w:kern w:val="32"/>
          <w:szCs w:val="24"/>
        </w:rPr>
        <w:br w:type="page"/>
      </w:r>
      <w:r w:rsidR="000A57F7" w:rsidRPr="000A57F7">
        <w:rPr>
          <w:b/>
          <w:bCs/>
          <w:kern w:val="32"/>
          <w:szCs w:val="24"/>
        </w:rPr>
        <w:lastRenderedPageBreak/>
        <w:t>ANNEX</w:t>
      </w:r>
      <w:r w:rsidR="000828CD">
        <w:rPr>
          <w:b/>
          <w:bCs/>
          <w:kern w:val="32"/>
          <w:szCs w:val="24"/>
        </w:rPr>
        <w:t xml:space="preserve">: </w:t>
      </w:r>
      <w:r w:rsidR="000A57F7" w:rsidRPr="000828CD">
        <w:rPr>
          <w:b/>
          <w:bCs/>
          <w:kern w:val="32"/>
          <w:szCs w:val="24"/>
        </w:rPr>
        <w:t>Questions and Answers</w:t>
      </w:r>
    </w:p>
    <w:p w:rsidR="00EA3FB5" w:rsidRDefault="00EA3FB5" w:rsidP="00536ED4">
      <w:pPr>
        <w:numPr>
          <w:ilvl w:val="0"/>
          <w:numId w:val="19"/>
        </w:numPr>
        <w:spacing w:after="120"/>
        <w:rPr>
          <w:b/>
          <w:bCs/>
        </w:rPr>
      </w:pPr>
      <w:bookmarkStart w:id="7" w:name="_Toc378766482"/>
      <w:r>
        <w:rPr>
          <w:b/>
          <w:bCs/>
        </w:rPr>
        <w:t xml:space="preserve">Does the methodology for the calculation of eligible management costs and fees </w:t>
      </w:r>
      <w:r w:rsidR="00536ED4">
        <w:rPr>
          <w:b/>
          <w:bCs/>
        </w:rPr>
        <w:t>to be agreed between the MA and the body</w:t>
      </w:r>
      <w:r w:rsidR="00536ED4" w:rsidRPr="00536ED4">
        <w:rPr>
          <w:b/>
          <w:bCs/>
        </w:rPr>
        <w:t xml:space="preserve"> implementing financial instruments</w:t>
      </w:r>
      <w:r w:rsidR="00536ED4">
        <w:rPr>
          <w:b/>
          <w:bCs/>
        </w:rPr>
        <w:t xml:space="preserve"> (and included in the Funding Agreement) </w:t>
      </w:r>
      <w:r w:rsidR="00DD32F9">
        <w:rPr>
          <w:b/>
          <w:bCs/>
        </w:rPr>
        <w:t xml:space="preserve">need to </w:t>
      </w:r>
      <w:r w:rsidR="00536ED4">
        <w:rPr>
          <w:b/>
          <w:bCs/>
        </w:rPr>
        <w:t xml:space="preserve">strictly </w:t>
      </w:r>
      <w:r w:rsidR="00DD32F9">
        <w:rPr>
          <w:b/>
          <w:bCs/>
        </w:rPr>
        <w:t xml:space="preserve">reflect </w:t>
      </w:r>
      <w:r w:rsidR="00536ED4">
        <w:rPr>
          <w:b/>
          <w:bCs/>
        </w:rPr>
        <w:t xml:space="preserve">the calculation methodology </w:t>
      </w:r>
      <w:r>
        <w:rPr>
          <w:b/>
          <w:bCs/>
        </w:rPr>
        <w:t>as stipulated in Article 13 CDR?</w:t>
      </w:r>
    </w:p>
    <w:p w:rsidR="00EA3FB5" w:rsidRPr="00EA3FB5" w:rsidRDefault="00EA3FB5" w:rsidP="00E23E48">
      <w:pPr>
        <w:spacing w:after="120"/>
        <w:ind w:left="360"/>
      </w:pPr>
      <w:r w:rsidRPr="00EA3FB5">
        <w:t>No</w:t>
      </w:r>
      <w:r>
        <w:t>, t</w:t>
      </w:r>
      <w:r w:rsidRPr="00EA3FB5">
        <w:t>he exact method for remuneration is to be decided between the MA and</w:t>
      </w:r>
      <w:r>
        <w:t xml:space="preserve"> the relevant</w:t>
      </w:r>
      <w:r w:rsidRPr="00EA3FB5">
        <w:t xml:space="preserve"> bodies implementing financial instruments. </w:t>
      </w:r>
      <w:r>
        <w:t xml:space="preserve">However, </w:t>
      </w:r>
      <w:r w:rsidR="00E23E48">
        <w:t>the remuneration method</w:t>
      </w:r>
      <w:r>
        <w:t xml:space="preserve"> needs to include performance-based criteria in accordance with Article 12 CDR.</w:t>
      </w:r>
      <w:r w:rsidR="001E7D23">
        <w:rPr>
          <w:rFonts w:ascii="Arial" w:hAnsi="Arial" w:cs="Arial"/>
          <w:szCs w:val="24"/>
        </w:rPr>
        <w:t xml:space="preserve"> </w:t>
      </w:r>
      <w:r>
        <w:t>As explained</w:t>
      </w:r>
      <w:r w:rsidR="007952D8">
        <w:t xml:space="preserve"> </w:t>
      </w:r>
      <w:proofErr w:type="gramStart"/>
      <w:r w:rsidR="007952D8">
        <w:t>above</w:t>
      </w:r>
      <w:r w:rsidR="00E23E48">
        <w:t>,</w:t>
      </w:r>
      <w:proofErr w:type="gramEnd"/>
      <w:r>
        <w:t xml:space="preserve"> Article 13 CDR sets limits for eligible management costs and fees at closure. So the more the remuneration method agreed between the MA and the relevant bodies implementing financial instruments resembles the method applied in this Article, the smaller </w:t>
      </w:r>
      <w:r w:rsidR="00E23E48">
        <w:t>should</w:t>
      </w:r>
      <w:r>
        <w:t xml:space="preserve"> be the difference between the actually paid management costs and fees and the </w:t>
      </w:r>
      <w:r w:rsidR="007952D8">
        <w:t xml:space="preserve">costs which will be considered as eligible </w:t>
      </w:r>
      <w:r w:rsidR="001E7D23">
        <w:t xml:space="preserve">costs </w:t>
      </w:r>
      <w:r w:rsidR="00E23E48">
        <w:t xml:space="preserve">to be </w:t>
      </w:r>
      <w:r w:rsidR="001E7D23">
        <w:t xml:space="preserve">claimed </w:t>
      </w:r>
      <w:r w:rsidR="007952D8">
        <w:t>for ESI Funds reimbursement.</w:t>
      </w:r>
    </w:p>
    <w:p w:rsidR="000872CF" w:rsidRPr="000872CF" w:rsidRDefault="000872CF" w:rsidP="00536ED4">
      <w:pPr>
        <w:numPr>
          <w:ilvl w:val="0"/>
          <w:numId w:val="19"/>
        </w:numPr>
        <w:spacing w:after="120"/>
        <w:rPr>
          <w:b/>
          <w:bCs/>
        </w:rPr>
      </w:pPr>
      <w:r>
        <w:rPr>
          <w:b/>
          <w:bCs/>
        </w:rPr>
        <w:t xml:space="preserve">Why </w:t>
      </w:r>
      <w:r w:rsidR="00D46DC1">
        <w:rPr>
          <w:b/>
          <w:bCs/>
        </w:rPr>
        <w:t xml:space="preserve">are </w:t>
      </w:r>
      <w:r>
        <w:rPr>
          <w:b/>
          <w:bCs/>
        </w:rPr>
        <w:t xml:space="preserve">the </w:t>
      </w:r>
      <w:r w:rsidR="00C858B4">
        <w:rPr>
          <w:b/>
          <w:bCs/>
        </w:rPr>
        <w:t>general</w:t>
      </w:r>
      <w:r w:rsidR="00536ED4">
        <w:rPr>
          <w:b/>
          <w:bCs/>
        </w:rPr>
        <w:t>-cap rate -</w:t>
      </w:r>
      <w:r>
        <w:rPr>
          <w:b/>
          <w:bCs/>
        </w:rPr>
        <w:t xml:space="preserve"> thresholds of Article 13</w:t>
      </w:r>
      <w:r w:rsidR="00377133">
        <w:rPr>
          <w:b/>
          <w:bCs/>
        </w:rPr>
        <w:t>(3)</w:t>
      </w:r>
      <w:r>
        <w:rPr>
          <w:b/>
          <w:bCs/>
        </w:rPr>
        <w:t xml:space="preserve"> CDR</w:t>
      </w:r>
      <w:r w:rsidRPr="000872CF">
        <w:rPr>
          <w:b/>
          <w:bCs/>
        </w:rPr>
        <w:t xml:space="preserve"> necessary</w:t>
      </w:r>
      <w:r>
        <w:rPr>
          <w:b/>
          <w:bCs/>
        </w:rPr>
        <w:t xml:space="preserve"> in addition to </w:t>
      </w:r>
      <w:r w:rsidR="000E37B4">
        <w:rPr>
          <w:b/>
          <w:bCs/>
        </w:rPr>
        <w:t xml:space="preserve">the </w:t>
      </w:r>
      <w:r>
        <w:rPr>
          <w:b/>
          <w:bCs/>
        </w:rPr>
        <w:t>thresholds set out in Article 1</w:t>
      </w:r>
      <w:r w:rsidR="00377133">
        <w:rPr>
          <w:b/>
          <w:bCs/>
        </w:rPr>
        <w:t>3(1) and (2)</w:t>
      </w:r>
      <w:r>
        <w:rPr>
          <w:b/>
          <w:bCs/>
        </w:rPr>
        <w:t xml:space="preserve"> CDR</w:t>
      </w:r>
      <w:r w:rsidRPr="000872CF">
        <w:rPr>
          <w:b/>
          <w:bCs/>
        </w:rPr>
        <w:t>?</w:t>
      </w:r>
    </w:p>
    <w:p w:rsidR="000872CF" w:rsidRDefault="00536ED4" w:rsidP="00536ED4">
      <w:pPr>
        <w:spacing w:after="120"/>
        <w:ind w:left="360"/>
        <w:rPr>
          <w:b/>
          <w:bCs/>
        </w:rPr>
      </w:pPr>
      <w:r>
        <w:t>The two thresholds together aim at a reasonable balance between the performance of financial instruments in terms of investments</w:t>
      </w:r>
      <w:r w:rsidR="000B7D52">
        <w:t>,</w:t>
      </w:r>
      <w:r>
        <w:t xml:space="preserve"> in line with policy objectives</w:t>
      </w:r>
      <w:r w:rsidR="000B7D52">
        <w:t>,</w:t>
      </w:r>
      <w:r>
        <w:t xml:space="preserve"> and the incurred management costs and fees. The thresholds of Article 13(1) and (2) CDR </w:t>
      </w:r>
      <w:r w:rsidR="000B7D52">
        <w:t>were designed</w:t>
      </w:r>
      <w:r>
        <w:t xml:space="preserve"> to reward quick disbursements towards final recipients. </w:t>
      </w:r>
      <w:r w:rsidR="00E23E48">
        <w:t xml:space="preserve">The </w:t>
      </w:r>
      <w:r w:rsidR="00C858B4">
        <w:t>general</w:t>
      </w:r>
      <w:r>
        <w:t>- cap rate</w:t>
      </w:r>
      <w:r w:rsidR="00E23E48">
        <w:t xml:space="preserve"> </w:t>
      </w:r>
      <w:r>
        <w:t xml:space="preserve">- </w:t>
      </w:r>
      <w:r w:rsidR="00E23E48">
        <w:t>thresholds of Article 13 CDR were introduced</w:t>
      </w:r>
      <w:r>
        <w:t xml:space="preserve"> </w:t>
      </w:r>
      <w:r w:rsidR="00E23E48">
        <w:t>t</w:t>
      </w:r>
      <w:r w:rsidR="000872CF">
        <w:t>o</w:t>
      </w:r>
      <w:r>
        <w:t xml:space="preserve"> </w:t>
      </w:r>
      <w:r w:rsidR="000872CF">
        <w:t>mitigate the risk that quick disbursement becomes the main incentive and other aspects like quality of the investment are possibly ignored, and that the funds continue to be remunerated years after the work linked to certain investm</w:t>
      </w:r>
      <w:r w:rsidR="00E23E48">
        <w:t>ents has largely been concluded</w:t>
      </w:r>
      <w:r w:rsidR="000872CF">
        <w:t>.</w:t>
      </w:r>
    </w:p>
    <w:p w:rsidR="00A211BB" w:rsidRDefault="00A211BB" w:rsidP="00377133">
      <w:pPr>
        <w:numPr>
          <w:ilvl w:val="0"/>
          <w:numId w:val="19"/>
        </w:numPr>
        <w:spacing w:after="120"/>
        <w:rPr>
          <w:b/>
          <w:bCs/>
        </w:rPr>
      </w:pPr>
      <w:r>
        <w:rPr>
          <w:b/>
          <w:bCs/>
        </w:rPr>
        <w:t>The calculation in a "simple example" is already complicated. How are MA supposed to carry out much more complex calculations?</w:t>
      </w:r>
    </w:p>
    <w:p w:rsidR="00EA3FB5" w:rsidRPr="007952D8" w:rsidRDefault="007952D8" w:rsidP="00E23E48">
      <w:pPr>
        <w:spacing w:after="120"/>
        <w:ind w:left="360"/>
      </w:pPr>
      <w:r>
        <w:t>The</w:t>
      </w:r>
      <w:r w:rsidR="00D46DC1" w:rsidRPr="00D46DC1">
        <w:t xml:space="preserve"> bodies implementing financial instruments in their daily business</w:t>
      </w:r>
      <w:r w:rsidR="00D46DC1">
        <w:t xml:space="preserve"> should set up information and accounting systems to make such</w:t>
      </w:r>
      <w:r>
        <w:t xml:space="preserve"> calculations automatically.</w:t>
      </w:r>
      <w:r w:rsidR="00230C04">
        <w:t xml:space="preserve"> </w:t>
      </w:r>
    </w:p>
    <w:p w:rsidR="00B94BE9" w:rsidRDefault="00B94BE9" w:rsidP="00377133">
      <w:pPr>
        <w:pStyle w:val="Heading2"/>
        <w:numPr>
          <w:ilvl w:val="0"/>
          <w:numId w:val="19"/>
        </w:numPr>
        <w:spacing w:before="240" w:after="120"/>
        <w:rPr>
          <w:szCs w:val="24"/>
        </w:rPr>
      </w:pPr>
      <w:r>
        <w:rPr>
          <w:szCs w:val="24"/>
        </w:rPr>
        <w:t xml:space="preserve">Can additional performance-based remuneration be agreed e.g. </w:t>
      </w:r>
      <w:r w:rsidR="00942E91">
        <w:rPr>
          <w:szCs w:val="24"/>
        </w:rPr>
        <w:t>with</w:t>
      </w:r>
      <w:r>
        <w:rPr>
          <w:szCs w:val="24"/>
        </w:rPr>
        <w:t xml:space="preserve"> a body implementing an equity fund in the form of gains from the increased value of the fund?</w:t>
      </w:r>
    </w:p>
    <w:p w:rsidR="00B94BE9" w:rsidRPr="00B94BE9" w:rsidRDefault="00B94BE9" w:rsidP="00E23E48">
      <w:pPr>
        <w:spacing w:after="120"/>
        <w:ind w:left="360"/>
      </w:pPr>
      <w:r w:rsidRPr="00B94BE9">
        <w:t xml:space="preserve">If the </w:t>
      </w:r>
      <w:r>
        <w:t>fund manager a</w:t>
      </w:r>
      <w:r w:rsidRPr="00B94BE9">
        <w:t>cts as a "service provider"</w:t>
      </w:r>
      <w:r>
        <w:t xml:space="preserve"> only, i.e. </w:t>
      </w:r>
      <w:r w:rsidR="00E23E48">
        <w:t xml:space="preserve">it </w:t>
      </w:r>
      <w:r>
        <w:t>implements programme resources on behalf of the managing authority,</w:t>
      </w:r>
      <w:r w:rsidRPr="00B94BE9">
        <w:t xml:space="preserve"> </w:t>
      </w:r>
      <w:r w:rsidR="002A2CBF">
        <w:t xml:space="preserve">he has the right to receive management costs and fees </w:t>
      </w:r>
      <w:r w:rsidR="002A2CBF" w:rsidRPr="00B94BE9">
        <w:t>in line with Article 42(5) CPR</w:t>
      </w:r>
      <w:r w:rsidR="002A2CBF">
        <w:t xml:space="preserve"> and Article 12 CDR and </w:t>
      </w:r>
      <w:r w:rsidR="00E23E48">
        <w:t>its</w:t>
      </w:r>
      <w:r w:rsidR="002A2CBF">
        <w:t xml:space="preserve"> </w:t>
      </w:r>
      <w:r>
        <w:t>eligible management costs and fees</w:t>
      </w:r>
      <w:r w:rsidR="002A2CBF">
        <w:t xml:space="preserve"> at closure are determined</w:t>
      </w:r>
      <w:r w:rsidRPr="00B94BE9">
        <w:t xml:space="preserve"> </w:t>
      </w:r>
      <w:r w:rsidR="002A2CBF">
        <w:t>according to</w:t>
      </w:r>
      <w:r w:rsidRPr="00B94BE9">
        <w:t xml:space="preserve"> the thr</w:t>
      </w:r>
      <w:r w:rsidR="00E23E48">
        <w:t>esholds of Articles 13 and 14 CDR</w:t>
      </w:r>
      <w:r w:rsidRPr="00B94BE9">
        <w:t xml:space="preserve">. </w:t>
      </w:r>
    </w:p>
    <w:p w:rsidR="00B94BE9" w:rsidRPr="00AB781A" w:rsidRDefault="00B94BE9" w:rsidP="00E23E48">
      <w:pPr>
        <w:spacing w:after="120"/>
        <w:ind w:left="360"/>
        <w:rPr>
          <w:rFonts w:ascii="Arial" w:hAnsi="Arial" w:cs="Arial"/>
          <w:szCs w:val="24"/>
        </w:rPr>
      </w:pPr>
      <w:r w:rsidRPr="00B94BE9">
        <w:t xml:space="preserve">If </w:t>
      </w:r>
      <w:r w:rsidR="002A2CBF">
        <w:t>he acts</w:t>
      </w:r>
      <w:r w:rsidRPr="00B94BE9">
        <w:t xml:space="preserve"> as a co-investor, i.e. invests </w:t>
      </w:r>
      <w:r w:rsidR="00D46DC1">
        <w:t>his</w:t>
      </w:r>
      <w:r w:rsidR="00D46DC1" w:rsidRPr="00B94BE9">
        <w:t xml:space="preserve"> </w:t>
      </w:r>
      <w:r w:rsidRPr="00B94BE9">
        <w:t xml:space="preserve">own resources, </w:t>
      </w:r>
      <w:r w:rsidR="00D46DC1">
        <w:t>he</w:t>
      </w:r>
      <w:r w:rsidRPr="00B94BE9">
        <w:t xml:space="preserve"> can participate in the gains, however, </w:t>
      </w:r>
      <w:r w:rsidR="00E23E48">
        <w:t>in</w:t>
      </w:r>
      <w:r w:rsidRPr="00B94BE9">
        <w:t xml:space="preserve"> a normal case on</w:t>
      </w:r>
      <w:r w:rsidR="002A2CBF">
        <w:t xml:space="preserve"> a</w:t>
      </w:r>
      <w:r w:rsidRPr="00B94BE9">
        <w:t xml:space="preserve"> </w:t>
      </w:r>
      <w:proofErr w:type="spellStart"/>
      <w:r w:rsidRPr="00AF60A1">
        <w:rPr>
          <w:i/>
          <w:iCs/>
        </w:rPr>
        <w:t>pari</w:t>
      </w:r>
      <w:proofErr w:type="spellEnd"/>
      <w:r w:rsidRPr="00AF60A1">
        <w:rPr>
          <w:i/>
          <w:iCs/>
        </w:rPr>
        <w:t xml:space="preserve"> </w:t>
      </w:r>
      <w:proofErr w:type="spellStart"/>
      <w:r w:rsidRPr="00AF60A1">
        <w:rPr>
          <w:i/>
          <w:iCs/>
        </w:rPr>
        <w:t>passu</w:t>
      </w:r>
      <w:proofErr w:type="spellEnd"/>
      <w:r w:rsidRPr="00B94BE9">
        <w:t xml:space="preserve"> basis. </w:t>
      </w:r>
      <w:r w:rsidR="002A2CBF">
        <w:t>I</w:t>
      </w:r>
      <w:r w:rsidRPr="00B94BE9">
        <w:t xml:space="preserve">f </w:t>
      </w:r>
      <w:proofErr w:type="spellStart"/>
      <w:r w:rsidRPr="00AF60A1">
        <w:rPr>
          <w:i/>
          <w:iCs/>
        </w:rPr>
        <w:t>pari</w:t>
      </w:r>
      <w:proofErr w:type="spellEnd"/>
      <w:r w:rsidRPr="00AF60A1">
        <w:rPr>
          <w:i/>
          <w:iCs/>
        </w:rPr>
        <w:t xml:space="preserve"> </w:t>
      </w:r>
      <w:proofErr w:type="spellStart"/>
      <w:r w:rsidRPr="00AF60A1">
        <w:rPr>
          <w:i/>
          <w:iCs/>
        </w:rPr>
        <w:t>passu</w:t>
      </w:r>
      <w:proofErr w:type="spellEnd"/>
      <w:r w:rsidRPr="00B94BE9">
        <w:t xml:space="preserve"> </w:t>
      </w:r>
      <w:r w:rsidR="00473FA3">
        <w:t xml:space="preserve">risk </w:t>
      </w:r>
      <w:r w:rsidRPr="00B94BE9">
        <w:t>sharing is not ensured</w:t>
      </w:r>
      <w:r w:rsidR="00E23E48">
        <w:t xml:space="preserve"> such arrangement may</w:t>
      </w:r>
      <w:r w:rsidRPr="00B94BE9">
        <w:t xml:space="preserve"> involve preferential remuneration of a</w:t>
      </w:r>
      <w:r w:rsidR="002A2CBF">
        <w:t xml:space="preserve"> private investor or a</w:t>
      </w:r>
      <w:r w:rsidRPr="00B94BE9">
        <w:t xml:space="preserve"> public investor operating under the market economy principle.</w:t>
      </w:r>
      <w:r w:rsidR="006A0668">
        <w:t xml:space="preserve"> </w:t>
      </w:r>
      <w:r w:rsidRPr="00B94BE9">
        <w:t xml:space="preserve">The need for </w:t>
      </w:r>
      <w:r w:rsidR="00473FA3">
        <w:t xml:space="preserve">and extent of </w:t>
      </w:r>
      <w:r w:rsidRPr="00B94BE9">
        <w:t xml:space="preserve">preferential remuneration needs to be carefully checked </w:t>
      </w:r>
      <w:r w:rsidR="00473FA3">
        <w:t xml:space="preserve">and described </w:t>
      </w:r>
      <w:r w:rsidRPr="00B94BE9">
        <w:t xml:space="preserve">already in the ex-ante assessment, </w:t>
      </w:r>
      <w:r w:rsidR="00E23E48">
        <w:t xml:space="preserve">in particular </w:t>
      </w:r>
      <w:r w:rsidRPr="00B94BE9">
        <w:t>in light of the state aid rules</w:t>
      </w:r>
      <w:r w:rsidR="00C858B4">
        <w:t>.</w:t>
      </w:r>
    </w:p>
    <w:bookmarkEnd w:id="7"/>
    <w:p w:rsidR="000E526C" w:rsidRPr="000E526C" w:rsidRDefault="000E526C" w:rsidP="00377133">
      <w:pPr>
        <w:pStyle w:val="Heading2"/>
        <w:numPr>
          <w:ilvl w:val="0"/>
          <w:numId w:val="19"/>
        </w:numPr>
        <w:spacing w:before="240" w:after="120"/>
        <w:rPr>
          <w:szCs w:val="24"/>
        </w:rPr>
      </w:pPr>
      <w:r w:rsidRPr="000E526C">
        <w:rPr>
          <w:szCs w:val="24"/>
        </w:rPr>
        <w:lastRenderedPageBreak/>
        <w:t xml:space="preserve">Why </w:t>
      </w:r>
      <w:proofErr w:type="gramStart"/>
      <w:r w:rsidRPr="000E526C">
        <w:rPr>
          <w:szCs w:val="24"/>
        </w:rPr>
        <w:t>are th</w:t>
      </w:r>
      <w:r>
        <w:rPr>
          <w:szCs w:val="24"/>
        </w:rPr>
        <w:t>e thresholds</w:t>
      </w:r>
      <w:proofErr w:type="gramEnd"/>
      <w:r w:rsidR="005E0219">
        <w:rPr>
          <w:szCs w:val="24"/>
        </w:rPr>
        <w:t xml:space="preserve"> normally</w:t>
      </w:r>
      <w:r>
        <w:rPr>
          <w:szCs w:val="24"/>
        </w:rPr>
        <w:t xml:space="preserve"> </w:t>
      </w:r>
      <w:r w:rsidRPr="000E526C">
        <w:rPr>
          <w:szCs w:val="24"/>
        </w:rPr>
        <w:t>link</w:t>
      </w:r>
      <w:r>
        <w:rPr>
          <w:szCs w:val="24"/>
        </w:rPr>
        <w:t>ed</w:t>
      </w:r>
      <w:r w:rsidRPr="000E526C">
        <w:rPr>
          <w:szCs w:val="24"/>
        </w:rPr>
        <w:t xml:space="preserve"> to </w:t>
      </w:r>
      <w:r>
        <w:rPr>
          <w:szCs w:val="24"/>
        </w:rPr>
        <w:t xml:space="preserve">programme </w:t>
      </w:r>
      <w:r w:rsidRPr="000E526C">
        <w:rPr>
          <w:szCs w:val="24"/>
        </w:rPr>
        <w:t xml:space="preserve">contributions </w:t>
      </w:r>
      <w:r>
        <w:rPr>
          <w:szCs w:val="24"/>
        </w:rPr>
        <w:t>paid to the fund managers and not to contributions committed</w:t>
      </w:r>
      <w:r w:rsidRPr="000E526C">
        <w:rPr>
          <w:szCs w:val="24"/>
        </w:rPr>
        <w:t>?</w:t>
      </w:r>
    </w:p>
    <w:p w:rsidR="00377133" w:rsidRDefault="000E526C" w:rsidP="00822D37">
      <w:pPr>
        <w:spacing w:after="120"/>
        <w:ind w:left="360"/>
        <w:rPr>
          <w:szCs w:val="24"/>
        </w:rPr>
      </w:pPr>
      <w:r w:rsidRPr="000E526C">
        <w:t>Linking</w:t>
      </w:r>
      <w:r w:rsidRPr="004663D3">
        <w:rPr>
          <w:szCs w:val="24"/>
        </w:rPr>
        <w:t xml:space="preserve"> remuneration to resources committed to a fund is not performance-oriented</w:t>
      </w:r>
      <w:r>
        <w:rPr>
          <w:szCs w:val="24"/>
        </w:rPr>
        <w:t xml:space="preserve"> as it does not contain</w:t>
      </w:r>
      <w:r w:rsidRPr="004663D3">
        <w:rPr>
          <w:szCs w:val="24"/>
        </w:rPr>
        <w:t xml:space="preserve"> </w:t>
      </w:r>
      <w:r w:rsidR="006D465B">
        <w:rPr>
          <w:szCs w:val="24"/>
        </w:rPr>
        <w:t xml:space="preserve">an </w:t>
      </w:r>
      <w:r w:rsidRPr="004663D3">
        <w:rPr>
          <w:szCs w:val="24"/>
        </w:rPr>
        <w:t>incentive to disburse the money further down to final recipients.</w:t>
      </w:r>
      <w:r>
        <w:rPr>
          <w:szCs w:val="24"/>
        </w:rPr>
        <w:t xml:space="preserve"> </w:t>
      </w:r>
      <w:r w:rsidRPr="004663D3">
        <w:rPr>
          <w:szCs w:val="24"/>
        </w:rPr>
        <w:t>To take into account the specificity of</w:t>
      </w:r>
      <w:r>
        <w:rPr>
          <w:szCs w:val="24"/>
        </w:rPr>
        <w:t xml:space="preserve"> equity instruments</w:t>
      </w:r>
      <w:r w:rsidR="006D465B">
        <w:rPr>
          <w:szCs w:val="24"/>
        </w:rPr>
        <w:t xml:space="preserve"> in which the preparation of investment is a long procedure</w:t>
      </w:r>
      <w:r>
        <w:rPr>
          <w:szCs w:val="24"/>
        </w:rPr>
        <w:t>, the CDR</w:t>
      </w:r>
      <w:r w:rsidRPr="004663D3">
        <w:rPr>
          <w:szCs w:val="24"/>
        </w:rPr>
        <w:t xml:space="preserve"> foresees an exception: </w:t>
      </w:r>
      <w:r>
        <w:rPr>
          <w:szCs w:val="24"/>
        </w:rPr>
        <w:t>T</w:t>
      </w:r>
      <w:r w:rsidRPr="004663D3">
        <w:rPr>
          <w:szCs w:val="24"/>
        </w:rPr>
        <w:t xml:space="preserve">he base remuneration </w:t>
      </w:r>
      <w:r>
        <w:rPr>
          <w:szCs w:val="24"/>
        </w:rPr>
        <w:t xml:space="preserve">of </w:t>
      </w:r>
      <w:r w:rsidR="00D46DC1">
        <w:rPr>
          <w:szCs w:val="24"/>
        </w:rPr>
        <w:t xml:space="preserve">the </w:t>
      </w:r>
      <w:r>
        <w:rPr>
          <w:szCs w:val="24"/>
        </w:rPr>
        <w:t xml:space="preserve">equity fund </w:t>
      </w:r>
      <w:r w:rsidRPr="004663D3">
        <w:rPr>
          <w:szCs w:val="24"/>
        </w:rPr>
        <w:t>is calculated on the basis of the commitment to the fund providing equity</w:t>
      </w:r>
      <w:r w:rsidR="00037D84">
        <w:rPr>
          <w:szCs w:val="24"/>
        </w:rPr>
        <w:t xml:space="preserve">. In addition, </w:t>
      </w:r>
      <w:r w:rsidR="00822D37">
        <w:rPr>
          <w:szCs w:val="24"/>
        </w:rPr>
        <w:t>the rate for the base remuneration of equity fund managers is 2.5% p.a. for the first 24 months after the signature of the funding agreement.</w:t>
      </w:r>
    </w:p>
    <w:p w:rsidR="00037D84" w:rsidRDefault="00377133" w:rsidP="00037D84">
      <w:pPr>
        <w:pStyle w:val="Heading2"/>
        <w:numPr>
          <w:ilvl w:val="0"/>
          <w:numId w:val="19"/>
        </w:numPr>
        <w:spacing w:before="240" w:after="120"/>
        <w:rPr>
          <w:szCs w:val="24"/>
        </w:rPr>
      </w:pPr>
      <w:r>
        <w:rPr>
          <w:szCs w:val="24"/>
        </w:rPr>
        <w:t xml:space="preserve">The tasks of fund of funds involve a significant share of preparatory steps, e.g. deciding on the portfolio or selection of financial intermediaries, before the payment of programme contributions to the latter can take place. </w:t>
      </w:r>
      <w:r w:rsidR="00037D84">
        <w:rPr>
          <w:szCs w:val="24"/>
        </w:rPr>
        <w:t>Does the calculation methodology take it into account?</w:t>
      </w:r>
    </w:p>
    <w:p w:rsidR="00377133" w:rsidRDefault="00037D84" w:rsidP="00822D37">
      <w:pPr>
        <w:spacing w:after="120"/>
        <w:ind w:left="360"/>
        <w:rPr>
          <w:szCs w:val="24"/>
        </w:rPr>
      </w:pPr>
      <w:r>
        <w:rPr>
          <w:szCs w:val="24"/>
        </w:rPr>
        <w:t>Yes. Article 13</w:t>
      </w:r>
      <w:r w:rsidR="00822D37">
        <w:rPr>
          <w:szCs w:val="24"/>
        </w:rPr>
        <w:t>(1</w:t>
      </w:r>
      <w:proofErr w:type="gramStart"/>
      <w:r w:rsidR="00822D37">
        <w:rPr>
          <w:szCs w:val="24"/>
        </w:rPr>
        <w:t>)(</w:t>
      </w:r>
      <w:proofErr w:type="gramEnd"/>
      <w:r w:rsidR="00822D37">
        <w:rPr>
          <w:szCs w:val="24"/>
        </w:rPr>
        <w:t xml:space="preserve">a) CDR sets </w:t>
      </w:r>
      <w:r w:rsidRPr="007914E4">
        <w:rPr>
          <w:szCs w:val="24"/>
        </w:rPr>
        <w:t xml:space="preserve"> </w:t>
      </w:r>
      <w:r w:rsidR="00377133" w:rsidRPr="007914E4">
        <w:rPr>
          <w:szCs w:val="24"/>
        </w:rPr>
        <w:t xml:space="preserve">a higher </w:t>
      </w:r>
      <w:r w:rsidR="00377133" w:rsidRPr="006D465B">
        <w:rPr>
          <w:szCs w:val="24"/>
        </w:rPr>
        <w:t>rate for</w:t>
      </w:r>
      <w:r w:rsidR="00377133" w:rsidRPr="007914E4">
        <w:rPr>
          <w:szCs w:val="24"/>
        </w:rPr>
        <w:t xml:space="preserve"> the base remuneration</w:t>
      </w:r>
      <w:r w:rsidR="00822D37">
        <w:rPr>
          <w:szCs w:val="24"/>
        </w:rPr>
        <w:t xml:space="preserve"> of a fund of funds manager: 3% p.a.</w:t>
      </w:r>
      <w:r w:rsidR="00377133" w:rsidRPr="007914E4">
        <w:rPr>
          <w:szCs w:val="24"/>
        </w:rPr>
        <w:t xml:space="preserve"> in the first </w:t>
      </w:r>
      <w:r w:rsidR="00822D37">
        <w:rPr>
          <w:szCs w:val="24"/>
        </w:rPr>
        <w:t>12 months and 1% in the next 12  months</w:t>
      </w:r>
      <w:r w:rsidR="00377133" w:rsidRPr="007914E4">
        <w:rPr>
          <w:szCs w:val="24"/>
        </w:rPr>
        <w:t xml:space="preserve"> </w:t>
      </w:r>
      <w:r w:rsidR="00377133">
        <w:rPr>
          <w:szCs w:val="24"/>
        </w:rPr>
        <w:t>after the signature of the funding agreement</w:t>
      </w:r>
      <w:r w:rsidR="00377133" w:rsidRPr="007914E4">
        <w:rPr>
          <w:szCs w:val="24"/>
        </w:rPr>
        <w:t>.</w:t>
      </w:r>
    </w:p>
    <w:p w:rsidR="00971BF4" w:rsidRDefault="00971BF4" w:rsidP="00971BF4">
      <w:pPr>
        <w:pStyle w:val="Heading2"/>
        <w:numPr>
          <w:ilvl w:val="0"/>
          <w:numId w:val="19"/>
        </w:numPr>
        <w:spacing w:before="240" w:after="120"/>
      </w:pPr>
      <w:r>
        <w:t>If there is a change of the body managing a fund of fund during the implementation, would the rate of 3% for the first 12 months after the signature of the Funding Agreement and 1% for the next 12 months apply for his base remuneration?</w:t>
      </w:r>
    </w:p>
    <w:p w:rsidR="00971BF4" w:rsidRDefault="00971BF4" w:rsidP="00971BF4">
      <w:pPr>
        <w:spacing w:after="120"/>
        <w:ind w:left="360"/>
        <w:rPr>
          <w:szCs w:val="24"/>
        </w:rPr>
      </w:pPr>
      <w:r>
        <w:rPr>
          <w:szCs w:val="24"/>
        </w:rPr>
        <w:t xml:space="preserve">These higher rates are justified by the fact that </w:t>
      </w:r>
      <w:r w:rsidR="00A35706">
        <w:rPr>
          <w:szCs w:val="24"/>
        </w:rPr>
        <w:t xml:space="preserve">significant share of </w:t>
      </w:r>
      <w:r>
        <w:rPr>
          <w:szCs w:val="24"/>
        </w:rPr>
        <w:t>preparatory work, e.g. selection of financial intermediaries, is needed before the first disbursements to the latter can take place. Therefore, they apply only to new amounts to be implemented by the fund of funds manager (independently of which body exercises this function) and not to a new body exercising the role of the fund of funds manager if there are no such new amounts entrusted to him.</w:t>
      </w:r>
    </w:p>
    <w:p w:rsidR="001B270D" w:rsidRPr="001B270D" w:rsidRDefault="001B270D" w:rsidP="00386605">
      <w:pPr>
        <w:pStyle w:val="Heading2"/>
        <w:numPr>
          <w:ilvl w:val="0"/>
          <w:numId w:val="19"/>
        </w:numPr>
        <w:spacing w:before="240" w:after="120"/>
        <w:rPr>
          <w:szCs w:val="24"/>
          <w:lang w:val="en-US"/>
        </w:rPr>
      </w:pPr>
      <w:r w:rsidRPr="001B270D">
        <w:rPr>
          <w:szCs w:val="24"/>
        </w:rPr>
        <w:t xml:space="preserve">In the case of a financial instruments implemented with a </w:t>
      </w:r>
      <w:proofErr w:type="spellStart"/>
      <w:r w:rsidRPr="001B270D">
        <w:rPr>
          <w:szCs w:val="24"/>
        </w:rPr>
        <w:t>FoF</w:t>
      </w:r>
      <w:proofErr w:type="spellEnd"/>
      <w:r w:rsidRPr="001B270D">
        <w:rPr>
          <w:szCs w:val="24"/>
        </w:rPr>
        <w:t xml:space="preserve">, does the </w:t>
      </w:r>
      <w:r w:rsidR="00C858B4">
        <w:rPr>
          <w:szCs w:val="24"/>
        </w:rPr>
        <w:t>general</w:t>
      </w:r>
      <w:r w:rsidR="00386605">
        <w:rPr>
          <w:szCs w:val="24"/>
        </w:rPr>
        <w:t xml:space="preserve"> - cap rate -</w:t>
      </w:r>
      <w:r w:rsidRPr="001B270D">
        <w:rPr>
          <w:szCs w:val="24"/>
        </w:rPr>
        <w:t xml:space="preserve"> threshold for the </w:t>
      </w:r>
      <w:proofErr w:type="spellStart"/>
      <w:r w:rsidRPr="001B270D">
        <w:rPr>
          <w:szCs w:val="24"/>
        </w:rPr>
        <w:t>FoF</w:t>
      </w:r>
      <w:proofErr w:type="spellEnd"/>
      <w:r w:rsidRPr="001B270D">
        <w:rPr>
          <w:szCs w:val="24"/>
        </w:rPr>
        <w:t xml:space="preserve"> appl</w:t>
      </w:r>
      <w:r>
        <w:rPr>
          <w:szCs w:val="24"/>
        </w:rPr>
        <w:t>y</w:t>
      </w:r>
      <w:r w:rsidRPr="001B270D">
        <w:rPr>
          <w:szCs w:val="24"/>
        </w:rPr>
        <w:t xml:space="preserve"> to the whole instrument</w:t>
      </w:r>
      <w:r>
        <w:rPr>
          <w:szCs w:val="24"/>
        </w:rPr>
        <w:t xml:space="preserve">, i.e. would also </w:t>
      </w:r>
      <w:r w:rsidR="00C858B4">
        <w:rPr>
          <w:szCs w:val="24"/>
        </w:rPr>
        <w:t>cap</w:t>
      </w:r>
      <w:r>
        <w:rPr>
          <w:szCs w:val="24"/>
        </w:rPr>
        <w:t xml:space="preserve"> the management costs and fees of the financial </w:t>
      </w:r>
      <w:r w:rsidR="00C858B4">
        <w:rPr>
          <w:szCs w:val="24"/>
        </w:rPr>
        <w:t>intermediaries</w:t>
      </w:r>
      <w:r>
        <w:rPr>
          <w:szCs w:val="24"/>
        </w:rPr>
        <w:t xml:space="preserve"> implementing the specific funds, </w:t>
      </w:r>
      <w:r w:rsidRPr="001B270D">
        <w:rPr>
          <w:szCs w:val="24"/>
        </w:rPr>
        <w:t xml:space="preserve">or in such a case the thresholds for the </w:t>
      </w:r>
      <w:proofErr w:type="spellStart"/>
      <w:r w:rsidRPr="001B270D">
        <w:rPr>
          <w:szCs w:val="24"/>
        </w:rPr>
        <w:t>FoF</w:t>
      </w:r>
      <w:proofErr w:type="spellEnd"/>
      <w:r w:rsidRPr="001B270D">
        <w:rPr>
          <w:szCs w:val="24"/>
        </w:rPr>
        <w:t xml:space="preserve"> and the financial intermediary are cumulative?</w:t>
      </w:r>
    </w:p>
    <w:p w:rsidR="001B270D" w:rsidRDefault="001B270D" w:rsidP="001B270D">
      <w:pPr>
        <w:spacing w:after="120"/>
        <w:ind w:left="360"/>
        <w:rPr>
          <w:szCs w:val="24"/>
        </w:rPr>
      </w:pPr>
      <w:r w:rsidRPr="001B270D">
        <w:rPr>
          <w:szCs w:val="24"/>
        </w:rPr>
        <w:t>7% limit for the aggregate amount of management costs and fees over the eligibility period defined in Article 13(3</w:t>
      </w:r>
      <w:proofErr w:type="gramStart"/>
      <w:r w:rsidRPr="001B270D">
        <w:rPr>
          <w:szCs w:val="24"/>
        </w:rPr>
        <w:t>)(</w:t>
      </w:r>
      <w:proofErr w:type="gramEnd"/>
      <w:r w:rsidRPr="001B270D">
        <w:rPr>
          <w:szCs w:val="24"/>
        </w:rPr>
        <w:t xml:space="preserve">a) </w:t>
      </w:r>
      <w:r w:rsidR="00C858B4">
        <w:rPr>
          <w:szCs w:val="24"/>
        </w:rPr>
        <w:t>CDR</w:t>
      </w:r>
      <w:r w:rsidRPr="001B270D">
        <w:rPr>
          <w:szCs w:val="24"/>
        </w:rPr>
        <w:t xml:space="preserve"> is applicable </w:t>
      </w:r>
      <w:r w:rsidR="00C858B4">
        <w:rPr>
          <w:szCs w:val="24"/>
        </w:rPr>
        <w:t>to</w:t>
      </w:r>
      <w:r w:rsidR="00C858B4" w:rsidRPr="001B270D">
        <w:rPr>
          <w:szCs w:val="24"/>
        </w:rPr>
        <w:t xml:space="preserve"> </w:t>
      </w:r>
      <w:r w:rsidRPr="001B270D">
        <w:rPr>
          <w:szCs w:val="24"/>
        </w:rPr>
        <w:t>the management costs and fees charged only by the fund of fund manager. If there are further management costs and fees charged by financial intermediaries, then for these costs and fees the thresholds defined in Article 13(3</w:t>
      </w:r>
      <w:proofErr w:type="gramStart"/>
      <w:r w:rsidRPr="001B270D">
        <w:rPr>
          <w:szCs w:val="24"/>
        </w:rPr>
        <w:t>)</w:t>
      </w:r>
      <w:r w:rsidR="003947C1">
        <w:rPr>
          <w:szCs w:val="24"/>
        </w:rPr>
        <w:t>(</w:t>
      </w:r>
      <w:proofErr w:type="gramEnd"/>
      <w:r w:rsidRPr="001B270D">
        <w:rPr>
          <w:szCs w:val="24"/>
        </w:rPr>
        <w:t>b</w:t>
      </w:r>
      <w:r w:rsidR="003947C1">
        <w:rPr>
          <w:szCs w:val="24"/>
        </w:rPr>
        <w:t>) to (</w:t>
      </w:r>
      <w:r w:rsidRPr="001B270D">
        <w:rPr>
          <w:szCs w:val="24"/>
        </w:rPr>
        <w:t>f</w:t>
      </w:r>
      <w:r w:rsidR="003947C1">
        <w:rPr>
          <w:szCs w:val="24"/>
        </w:rPr>
        <w:t>)</w:t>
      </w:r>
      <w:r w:rsidRPr="001B270D">
        <w:rPr>
          <w:szCs w:val="24"/>
        </w:rPr>
        <w:t xml:space="preserve"> </w:t>
      </w:r>
      <w:r w:rsidR="003947C1">
        <w:rPr>
          <w:szCs w:val="24"/>
        </w:rPr>
        <w:t>CDR are</w:t>
      </w:r>
      <w:r w:rsidRPr="001B270D">
        <w:rPr>
          <w:szCs w:val="24"/>
        </w:rPr>
        <w:t xml:space="preserve"> applied.</w:t>
      </w:r>
    </w:p>
    <w:p w:rsidR="00577641" w:rsidRPr="00A40E60" w:rsidRDefault="00577641" w:rsidP="00577641">
      <w:pPr>
        <w:pStyle w:val="Text2"/>
        <w:rPr>
          <w:lang w:val="en-US"/>
        </w:rPr>
      </w:pPr>
    </w:p>
    <w:sectPr w:rsidR="00577641" w:rsidRPr="00A40E60" w:rsidSect="00FE3D7A">
      <w:headerReference w:type="default" r:id="rId10"/>
      <w:footerReference w:type="default" r:id="rId11"/>
      <w:headerReference w:type="first" r:id="rId12"/>
      <w:type w:val="continuous"/>
      <w:pgSz w:w="11906" w:h="16838" w:code="9"/>
      <w:pgMar w:top="1021" w:right="1701" w:bottom="1021" w:left="1588" w:header="601"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A0D" w:rsidRDefault="00F12A0D" w:rsidP="006723FE">
      <w:pPr>
        <w:spacing w:after="0"/>
      </w:pPr>
      <w:r>
        <w:separator/>
      </w:r>
    </w:p>
  </w:endnote>
  <w:endnote w:type="continuationSeparator" w:id="0">
    <w:p w:rsidR="00F12A0D" w:rsidRDefault="00F12A0D" w:rsidP="006723FE">
      <w:pPr>
        <w:spacing w:after="0"/>
      </w:pPr>
      <w:r>
        <w:continuationSeparator/>
      </w:r>
    </w:p>
  </w:endnote>
  <w:endnote w:type="continuationNotice" w:id="1">
    <w:p w:rsidR="00F12A0D" w:rsidRDefault="00F12A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4E" w:rsidRDefault="0069344E" w:rsidP="00762881">
    <w:pPr>
      <w:pStyle w:val="Footer"/>
      <w:jc w:val="center"/>
    </w:pPr>
    <w:r>
      <w:fldChar w:fldCharType="begin"/>
    </w:r>
    <w:r>
      <w:instrText>PAGE</w:instrText>
    </w:r>
    <w:r>
      <w:fldChar w:fldCharType="separate"/>
    </w:r>
    <w:r w:rsidR="00E57F9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A0D" w:rsidRDefault="00F12A0D" w:rsidP="006723FE">
      <w:pPr>
        <w:spacing w:after="0"/>
      </w:pPr>
      <w:r>
        <w:separator/>
      </w:r>
    </w:p>
  </w:footnote>
  <w:footnote w:type="continuationSeparator" w:id="0">
    <w:p w:rsidR="00F12A0D" w:rsidRDefault="00F12A0D" w:rsidP="006723FE">
      <w:pPr>
        <w:spacing w:after="0"/>
      </w:pPr>
      <w:r>
        <w:continuationSeparator/>
      </w:r>
    </w:p>
  </w:footnote>
  <w:footnote w:type="continuationNotice" w:id="1">
    <w:p w:rsidR="00F12A0D" w:rsidRDefault="00F12A0D">
      <w:pPr>
        <w:spacing w:after="0"/>
      </w:pPr>
    </w:p>
  </w:footnote>
  <w:footnote w:id="2">
    <w:p w:rsidR="00995CD4" w:rsidRDefault="00995CD4">
      <w:pPr>
        <w:pStyle w:val="FootnoteText"/>
      </w:pPr>
      <w:r>
        <w:rPr>
          <w:rStyle w:val="FootnoteReference"/>
        </w:rPr>
        <w:footnoteRef/>
      </w:r>
      <w:r>
        <w:t xml:space="preserve"> See guidance note on selection </w:t>
      </w:r>
      <w:r w:rsidRPr="00D559D8">
        <w:rPr>
          <w:highlight w:val="yellow"/>
        </w:rPr>
        <w:t>(pending)</w:t>
      </w:r>
    </w:p>
  </w:footnote>
  <w:footnote w:id="3">
    <w:p w:rsidR="00851CF2" w:rsidRPr="00851CF2" w:rsidRDefault="00851CF2" w:rsidP="00851CF2">
      <w:pPr>
        <w:spacing w:after="120"/>
        <w:ind w:left="360"/>
        <w:rPr>
          <w:rFonts w:cs="EUAlbertina"/>
          <w:color w:val="000000"/>
          <w:sz w:val="19"/>
          <w:szCs w:val="19"/>
        </w:rPr>
      </w:pPr>
      <w:r>
        <w:rPr>
          <w:rStyle w:val="FootnoteReference"/>
        </w:rPr>
        <w:footnoteRef/>
      </w:r>
      <w:r>
        <w:t xml:space="preserve"> </w:t>
      </w:r>
      <w:r w:rsidRPr="00851CF2">
        <w:rPr>
          <w:rFonts w:cs="EUAlbertina"/>
          <w:color w:val="000000"/>
          <w:sz w:val="19"/>
          <w:szCs w:val="19"/>
        </w:rPr>
        <w:t>Reso</w:t>
      </w:r>
      <w:r>
        <w:rPr>
          <w:rFonts w:cs="EUAlbertina"/>
          <w:color w:val="000000"/>
          <w:sz w:val="19"/>
          <w:szCs w:val="19"/>
        </w:rPr>
        <w:t>urces committed for guarantee contracts mean the amount of p</w:t>
      </w:r>
      <w:r w:rsidRPr="00851CF2">
        <w:rPr>
          <w:rFonts w:cs="EUAlbertina"/>
          <w:color w:val="000000"/>
          <w:sz w:val="19"/>
          <w:szCs w:val="19"/>
        </w:rPr>
        <w:t>rogramme contribution</w:t>
      </w:r>
      <w:r>
        <w:rPr>
          <w:rFonts w:cs="EUAlbertina"/>
          <w:color w:val="000000"/>
          <w:sz w:val="19"/>
          <w:szCs w:val="19"/>
        </w:rPr>
        <w:t xml:space="preserve"> (ESI Funds + national co-financing)</w:t>
      </w:r>
      <w:r w:rsidRPr="00851CF2">
        <w:rPr>
          <w:rFonts w:cs="EUAlbertina"/>
          <w:color w:val="000000"/>
          <w:sz w:val="19"/>
          <w:szCs w:val="19"/>
        </w:rPr>
        <w:t xml:space="preserve"> which has been committed</w:t>
      </w:r>
      <w:r>
        <w:rPr>
          <w:rFonts w:cs="EUAlbertina"/>
          <w:color w:val="000000"/>
          <w:sz w:val="19"/>
          <w:szCs w:val="19"/>
        </w:rPr>
        <w:t>/set aside by the manager of the guarantee fund</w:t>
      </w:r>
      <w:r w:rsidRPr="00851CF2">
        <w:rPr>
          <w:rFonts w:cs="EUAlbertina"/>
          <w:color w:val="000000"/>
          <w:sz w:val="19"/>
          <w:szCs w:val="19"/>
        </w:rPr>
        <w:t xml:space="preserve"> to cover losses which may result from new loans or other risk sharing instruments disbursed to final recipients</w:t>
      </w:r>
      <w:r>
        <w:rPr>
          <w:rFonts w:cs="EUAlbertina"/>
          <w:color w:val="000000"/>
          <w:sz w:val="19"/>
          <w:szCs w:val="19"/>
        </w:rPr>
        <w:t xml:space="preserve"> by financial intermediary/</w:t>
      </w:r>
      <w:proofErr w:type="spellStart"/>
      <w:r>
        <w:rPr>
          <w:rFonts w:cs="EUAlbertina"/>
          <w:color w:val="000000"/>
          <w:sz w:val="19"/>
          <w:szCs w:val="19"/>
        </w:rPr>
        <w:t>ies</w:t>
      </w:r>
      <w:proofErr w:type="spellEnd"/>
      <w:r w:rsidRPr="00851CF2">
        <w:rPr>
          <w:rFonts w:cs="EUAlbertina"/>
          <w:color w:val="000000"/>
          <w:sz w:val="19"/>
          <w:szCs w:val="19"/>
        </w:rPr>
        <w:t xml:space="preserve"> for new investments.</w:t>
      </w:r>
      <w:r>
        <w:rPr>
          <w:rFonts w:cs="EUAlbertina"/>
          <w:color w:val="000000"/>
          <w:sz w:val="19"/>
          <w:szCs w:val="19"/>
        </w:rPr>
        <w:t xml:space="preserve"> The commitment is done when the manager of the guarantee fund signs an agreement with the financial intermediary/</w:t>
      </w:r>
      <w:proofErr w:type="spellStart"/>
      <w:r>
        <w:rPr>
          <w:rFonts w:cs="EUAlbertina"/>
          <w:color w:val="000000"/>
          <w:sz w:val="19"/>
          <w:szCs w:val="19"/>
        </w:rPr>
        <w:t>ies</w:t>
      </w:r>
      <w:proofErr w:type="spellEnd"/>
      <w:r>
        <w:rPr>
          <w:rFonts w:cs="EUAlbertina"/>
          <w:color w:val="000000"/>
          <w:sz w:val="19"/>
          <w:szCs w:val="19"/>
        </w:rPr>
        <w:t xml:space="preserve">. </w:t>
      </w:r>
    </w:p>
    <w:p w:rsidR="00851CF2" w:rsidRDefault="00851CF2">
      <w:pPr>
        <w:pStyle w:val="FootnoteText"/>
      </w:pPr>
    </w:p>
  </w:footnote>
  <w:footnote w:id="4">
    <w:p w:rsidR="005126EF" w:rsidRDefault="005126EF">
      <w:pPr>
        <w:pStyle w:val="FootnoteText"/>
      </w:pPr>
      <w:r>
        <w:rPr>
          <w:rStyle w:val="FootnoteReference"/>
        </w:rPr>
        <w:footnoteRef/>
      </w:r>
      <w:r>
        <w:t xml:space="preserve"> </w:t>
      </w:r>
      <w:r>
        <w:tab/>
      </w:r>
      <w:r w:rsidRPr="005126EF">
        <w:rPr>
          <w:rFonts w:cs="EUAlbertina"/>
          <w:color w:val="000000"/>
          <w:sz w:val="19"/>
          <w:szCs w:val="19"/>
        </w:rPr>
        <w:t xml:space="preserve">Escrow account as defined in Article </w:t>
      </w:r>
      <w:r w:rsidRPr="00FF1445">
        <w:rPr>
          <w:rFonts w:cs="EUAlbertina"/>
          <w:color w:val="000000"/>
          <w:sz w:val="19"/>
          <w:szCs w:val="19"/>
        </w:rPr>
        <w:t>2(26) CPR</w:t>
      </w:r>
      <w:r>
        <w:rPr>
          <w:rFonts w:cs="EUAlbertina"/>
          <w:color w:val="000000"/>
          <w:sz w:val="19"/>
          <w:szCs w:val="19"/>
        </w:rPr>
        <w:t xml:space="preserve"> means a bank account covered by a written agreement between a managing authority or an intermediate body and the body implementing a financial instrument, or, in the case of a PPP operation, a written agreement between a public body beneficiary and the private partner approved by the managing authority or an intermediate body, set up specifically to hold funds to be paid out after the eligibility period, exclusively for the purposes provided for in point (c) of Article 42(1)</w:t>
      </w:r>
      <w:r w:rsidR="00394E62">
        <w:rPr>
          <w:rFonts w:cs="EUAlbertina"/>
          <w:color w:val="000000"/>
          <w:sz w:val="19"/>
          <w:szCs w:val="19"/>
        </w:rPr>
        <w:t xml:space="preserve"> CPR</w:t>
      </w:r>
      <w:r>
        <w:rPr>
          <w:rFonts w:cs="EUAlbertina"/>
          <w:color w:val="000000"/>
          <w:sz w:val="19"/>
          <w:szCs w:val="19"/>
        </w:rPr>
        <w:t>, Article 42(2)</w:t>
      </w:r>
      <w:r w:rsidR="00394E62">
        <w:rPr>
          <w:rFonts w:cs="EUAlbertina"/>
          <w:color w:val="000000"/>
          <w:sz w:val="19"/>
          <w:szCs w:val="19"/>
        </w:rPr>
        <w:t xml:space="preserve"> CPR</w:t>
      </w:r>
      <w:r>
        <w:rPr>
          <w:rFonts w:cs="EUAlbertina"/>
          <w:color w:val="000000"/>
          <w:sz w:val="19"/>
          <w:szCs w:val="19"/>
        </w:rPr>
        <w:t>, Article 42(3)</w:t>
      </w:r>
      <w:r w:rsidR="00394E62">
        <w:rPr>
          <w:rFonts w:cs="EUAlbertina"/>
          <w:color w:val="000000"/>
          <w:sz w:val="19"/>
          <w:szCs w:val="19"/>
        </w:rPr>
        <w:t xml:space="preserve"> CPR</w:t>
      </w:r>
      <w:r>
        <w:rPr>
          <w:rFonts w:cs="EUAlbertina"/>
          <w:color w:val="000000"/>
          <w:sz w:val="19"/>
          <w:szCs w:val="19"/>
        </w:rPr>
        <w:t xml:space="preserve"> and Article 64</w:t>
      </w:r>
      <w:r w:rsidR="00394E62">
        <w:rPr>
          <w:rFonts w:cs="EUAlbertina"/>
          <w:color w:val="000000"/>
          <w:sz w:val="19"/>
          <w:szCs w:val="19"/>
        </w:rPr>
        <w:t xml:space="preserve"> CPR</w:t>
      </w:r>
      <w:r>
        <w:rPr>
          <w:rFonts w:cs="EUAlbertina"/>
          <w:color w:val="000000"/>
          <w:sz w:val="19"/>
          <w:szCs w:val="19"/>
        </w:rPr>
        <w:t>, or a bank account set up on terms providing equivalent guarantees on the payments out of the funds.</w:t>
      </w:r>
    </w:p>
  </w:footnote>
  <w:footnote w:id="5">
    <w:p w:rsidR="005126EF" w:rsidRDefault="005126EF" w:rsidP="00394E62">
      <w:pPr>
        <w:pStyle w:val="FootnoteText"/>
      </w:pPr>
      <w:r>
        <w:rPr>
          <w:rStyle w:val="FootnoteReference"/>
        </w:rPr>
        <w:footnoteRef/>
      </w:r>
      <w:r>
        <w:t xml:space="preserve"> </w:t>
      </w:r>
      <w:r>
        <w:tab/>
        <w:t>Please note that according to Article 14(4) CDR a</w:t>
      </w:r>
      <w:r w:rsidRPr="00A445BF">
        <w:rPr>
          <w:rFonts w:cs="EUAlbertina"/>
          <w:color w:val="000000"/>
          <w:sz w:val="19"/>
          <w:szCs w:val="19"/>
        </w:rPr>
        <w:t>ny resources left in the escrow account after the period r</w:t>
      </w:r>
      <w:r>
        <w:rPr>
          <w:rFonts w:cs="EUAlbertina"/>
          <w:color w:val="000000"/>
          <w:sz w:val="19"/>
          <w:szCs w:val="19"/>
        </w:rPr>
        <w:t xml:space="preserve">eferred to under Article 42(2) </w:t>
      </w:r>
      <w:r w:rsidRPr="00A445BF">
        <w:rPr>
          <w:rFonts w:cs="EUAlbertina"/>
          <w:color w:val="000000"/>
          <w:sz w:val="19"/>
          <w:szCs w:val="19"/>
        </w:rPr>
        <w:t xml:space="preserve">CPR or as a result of an unexpected winding-up of the financial instrument before the end of that period, </w:t>
      </w:r>
      <w:r w:rsidR="00760C90">
        <w:rPr>
          <w:rFonts w:cs="EUAlbertina"/>
          <w:color w:val="000000"/>
          <w:sz w:val="19"/>
          <w:szCs w:val="19"/>
        </w:rPr>
        <w:t>are</w:t>
      </w:r>
      <w:r w:rsidR="003947C1">
        <w:rPr>
          <w:rFonts w:cs="EUAlbertina"/>
          <w:color w:val="000000"/>
          <w:sz w:val="19"/>
          <w:szCs w:val="19"/>
        </w:rPr>
        <w:t xml:space="preserve"> to be</w:t>
      </w:r>
      <w:r w:rsidRPr="00A445BF">
        <w:rPr>
          <w:rFonts w:cs="EUAlbertina"/>
          <w:color w:val="000000"/>
          <w:sz w:val="19"/>
          <w:szCs w:val="19"/>
        </w:rPr>
        <w:t xml:space="preserve"> used in accordance with Article 45 </w:t>
      </w:r>
      <w:r w:rsidR="00394E62">
        <w:rPr>
          <w:rFonts w:cs="EUAlbertina"/>
          <w:color w:val="000000"/>
          <w:sz w:val="19"/>
          <w:szCs w:val="19"/>
        </w:rPr>
        <w:t>CPR</w:t>
      </w:r>
      <w:r>
        <w:rPr>
          <w:rFonts w:cs="EUAlbertina"/>
          <w:color w:val="000000"/>
          <w:sz w:val="19"/>
          <w:szCs w:val="19"/>
        </w:rPr>
        <w:t>.</w:t>
      </w:r>
    </w:p>
  </w:footnote>
  <w:footnote w:id="6">
    <w:p w:rsidR="00946113" w:rsidRDefault="00946113" w:rsidP="00946113">
      <w:pPr>
        <w:pStyle w:val="FootnoteText"/>
      </w:pPr>
      <w:r>
        <w:rPr>
          <w:rStyle w:val="FootnoteReference"/>
        </w:rPr>
        <w:footnoteRef/>
      </w:r>
      <w:r>
        <w:t xml:space="preserve"> </w:t>
      </w:r>
      <w:r>
        <w:tab/>
        <w:t xml:space="preserve">See guidance note on selection </w:t>
      </w:r>
      <w:r w:rsidRPr="00D559D8">
        <w:rPr>
          <w:highlight w:val="yellow"/>
        </w:rPr>
        <w:t>(pending)</w:t>
      </w:r>
      <w:r>
        <w:t>.</w:t>
      </w:r>
    </w:p>
  </w:footnote>
  <w:footnote w:id="7">
    <w:p w:rsidR="001B270D" w:rsidRDefault="001B270D">
      <w:pPr>
        <w:pStyle w:val="FootnoteText"/>
      </w:pPr>
      <w:r>
        <w:rPr>
          <w:rStyle w:val="FootnoteReference"/>
        </w:rPr>
        <w:footnoteRef/>
      </w:r>
      <w:r>
        <w:t xml:space="preserve"> </w:t>
      </w:r>
      <w:r>
        <w:tab/>
        <w:t>Programme contribution means the relevant ESI Fund and the corresponding national co-financing.</w:t>
      </w:r>
    </w:p>
  </w:footnote>
  <w:footnote w:id="8">
    <w:p w:rsidR="000F0745" w:rsidRDefault="000F0745" w:rsidP="00122B3C">
      <w:pPr>
        <w:pStyle w:val="FootnoteText"/>
      </w:pPr>
      <w:r>
        <w:rPr>
          <w:rStyle w:val="FootnoteReference"/>
        </w:rPr>
        <w:footnoteRef/>
      </w:r>
      <w:r>
        <w:t xml:space="preserve"> </w:t>
      </w:r>
      <w:r>
        <w:tab/>
        <w:t xml:space="preserve">The 25% correspond </w:t>
      </w:r>
      <w:r w:rsidR="00122B3C">
        <w:t xml:space="preserve">to the phased payments </w:t>
      </w:r>
      <w:r>
        <w:t xml:space="preserve">from the Commission to the MAs according to Article 41(1) CPR. It is recommended that the payments from the MAs to the Fund(s) follow this scheme as well </w:t>
      </w:r>
      <w:r w:rsidR="00122B3C">
        <w:t>in the spirit of</w:t>
      </w:r>
      <w:r>
        <w:t xml:space="preserve"> sound financial management.</w:t>
      </w:r>
    </w:p>
  </w:footnote>
  <w:footnote w:id="9">
    <w:p w:rsidR="00A667D5" w:rsidRPr="00687086" w:rsidRDefault="00A667D5">
      <w:pPr>
        <w:pStyle w:val="FootnoteText"/>
      </w:pPr>
      <w:r>
        <w:rPr>
          <w:rStyle w:val="FootnoteReference"/>
        </w:rPr>
        <w:footnoteRef/>
      </w:r>
      <w:r>
        <w:t xml:space="preserve"> </w:t>
      </w:r>
      <w:r>
        <w:tab/>
      </w:r>
      <w:r w:rsidRPr="00687086">
        <w:t xml:space="preserve">This simplified method for </w:t>
      </w:r>
      <w:r w:rsidRPr="00687086">
        <w:rPr>
          <w:i/>
          <w:iCs/>
        </w:rPr>
        <w:t xml:space="preserve">pro rata </w:t>
      </w:r>
      <w:proofErr w:type="spellStart"/>
      <w:r w:rsidRPr="00687086">
        <w:rPr>
          <w:i/>
          <w:iCs/>
        </w:rPr>
        <w:t>temporis</w:t>
      </w:r>
      <w:proofErr w:type="spellEnd"/>
      <w:r w:rsidRPr="00687086">
        <w:t xml:space="preserve"> calculation uses 30 days per month and 360 days per year corresponds </w:t>
      </w:r>
      <w:r w:rsidR="00AF4D16" w:rsidRPr="00687086">
        <w:t xml:space="preserve">to the </w:t>
      </w:r>
      <w:r w:rsidR="00AF4D16" w:rsidRPr="00687086">
        <w:rPr>
          <w:rFonts w:cs="Arial"/>
        </w:rPr>
        <w:t xml:space="preserve">day-count convention in the </w:t>
      </w:r>
      <w:proofErr w:type="spellStart"/>
      <w:r w:rsidR="00AF4D16" w:rsidRPr="00687086">
        <w:rPr>
          <w:rFonts w:cs="Arial"/>
        </w:rPr>
        <w:t>Eurosystem</w:t>
      </w:r>
      <w:proofErr w:type="spellEnd"/>
      <w:r w:rsidR="00AF4D16" w:rsidRPr="00687086">
        <w:rPr>
          <w:rFonts w:cs="Arial"/>
        </w:rPr>
        <w:t xml:space="preserve"> in its monetary policy operation</w:t>
      </w:r>
      <w:r w:rsidR="00656D92">
        <w:rPr>
          <w:rFonts w:cs="Arial"/>
        </w:rPr>
        <w:t>s</w:t>
      </w:r>
      <w:r w:rsidR="00AF4D16" w:rsidRPr="00687086">
        <w:rPr>
          <w:rFonts w:cs="Arial"/>
        </w:rPr>
        <w:t>. Managing authorities are free to use another method for at least daily-based calculation, e.g. using the real number of month days and 365 days for the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4E" w:rsidRDefault="00E57F9B" w:rsidP="00B55A33">
    <w:pPr>
      <w:pStyle w:val="Header"/>
      <w:spacing w:after="120"/>
      <w:rPr>
        <w:rFonts w:ascii="Arial" w:hAnsi="Arial" w:cs="Arial"/>
        <w:sz w:val="16"/>
        <w:szCs w:val="16"/>
        <w:lang w:val="fr-BE"/>
      </w:rPr>
    </w:pPr>
    <w:r>
      <w:rPr>
        <w:rFonts w:ascii="Arial" w:hAnsi="Arial" w:cs="Arial"/>
        <w:noProof/>
        <w:sz w:val="16"/>
        <w:szCs w:val="16"/>
        <w:lang w:val="fr-BE"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9344E">
      <w:rPr>
        <w:rFonts w:ascii="Arial" w:hAnsi="Arial" w:cs="Arial"/>
        <w:sz w:val="16"/>
        <w:szCs w:val="16"/>
        <w:lang w:val="fr-BE"/>
      </w:rPr>
      <w:t xml:space="preserve">EGESIF_XX_XXXX-X </w:t>
    </w:r>
    <w:r w:rsidR="0069344E">
      <w:rPr>
        <w:rFonts w:ascii="Arial" w:hAnsi="Arial" w:cs="Arial"/>
        <w:sz w:val="16"/>
        <w:szCs w:val="16"/>
        <w:lang w:val="fr-BE"/>
      </w:rPr>
      <w:tab/>
    </w:r>
    <w:r w:rsidR="0069344E">
      <w:rPr>
        <w:rFonts w:ascii="Arial" w:hAnsi="Arial" w:cs="Arial"/>
        <w:sz w:val="16"/>
        <w:szCs w:val="16"/>
        <w:lang w:val="fr-BE"/>
      </w:rPr>
      <w:tab/>
    </w:r>
    <w:r w:rsidR="0069344E">
      <w:rPr>
        <w:rFonts w:ascii="Arial" w:hAnsi="Arial" w:cs="Arial"/>
        <w:sz w:val="16"/>
        <w:szCs w:val="16"/>
        <w:lang w:val="fr-BE"/>
      </w:rPr>
      <w:tab/>
    </w:r>
    <w:r w:rsidR="0069344E">
      <w:rPr>
        <w:rFonts w:ascii="Arial" w:hAnsi="Arial" w:cs="Arial"/>
        <w:sz w:val="16"/>
        <w:szCs w:val="16"/>
        <w:lang w:val="fr-BE"/>
      </w:rPr>
      <w:tab/>
    </w:r>
  </w:p>
  <w:p w:rsidR="0069344E" w:rsidRPr="00204B29" w:rsidRDefault="0069344E" w:rsidP="00E427CC">
    <w:pPr>
      <w:pStyle w:val="Header"/>
      <w:rPr>
        <w:rFonts w:ascii="Arial" w:hAnsi="Arial" w:cs="Arial"/>
        <w:sz w:val="16"/>
        <w:szCs w:val="16"/>
        <w:lang w:val="fr-BE"/>
      </w:rPr>
    </w:pPr>
    <w:r>
      <w:rPr>
        <w:rFonts w:ascii="Arial" w:hAnsi="Arial" w:cs="Arial"/>
        <w:sz w:val="16"/>
        <w:szCs w:val="16"/>
        <w:lang w:val="fr-BE"/>
      </w:rPr>
      <w:t xml:space="preserve">DD/MM/YYYY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4E" w:rsidRDefault="0069344E">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591D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1A7587D"/>
    <w:multiLevelType w:val="hybridMultilevel"/>
    <w:tmpl w:val="E828EB8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222E7CE2"/>
    <w:multiLevelType w:val="hybridMultilevel"/>
    <w:tmpl w:val="713EB3DA"/>
    <w:lvl w:ilvl="0" w:tplc="44F0154C">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2BD24C68"/>
    <w:multiLevelType w:val="hybridMultilevel"/>
    <w:tmpl w:val="FBCE976E"/>
    <w:lvl w:ilvl="0" w:tplc="44F0154C">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35245BDA"/>
    <w:multiLevelType w:val="hybridMultilevel"/>
    <w:tmpl w:val="DBFAAC1C"/>
    <w:lvl w:ilvl="0" w:tplc="517EDE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nsid w:val="3C856C8B"/>
    <w:multiLevelType w:val="hybridMultilevel"/>
    <w:tmpl w:val="DB2A706A"/>
    <w:lvl w:ilvl="0" w:tplc="57A0F84C">
      <w:start w:val="1"/>
      <w:numFmt w:val="bullet"/>
      <w:pStyle w:val="ListBullet10"/>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nsid w:val="5D135BB9"/>
    <w:multiLevelType w:val="hybridMultilevel"/>
    <w:tmpl w:val="EEAC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2072B3"/>
    <w:multiLevelType w:val="hybridMultilevel"/>
    <w:tmpl w:val="34D2CE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65EE2199"/>
    <w:multiLevelType w:val="hybridMultilevel"/>
    <w:tmpl w:val="20F47B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6">
    <w:nsid w:val="6F722D68"/>
    <w:multiLevelType w:val="hybridMultilevel"/>
    <w:tmpl w:val="42B43FFC"/>
    <w:lvl w:ilvl="0" w:tplc="44F0154C">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341884"/>
    <w:multiLevelType w:val="hybridMultilevel"/>
    <w:tmpl w:val="8F1E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12"/>
  </w:num>
  <w:num w:numId="5">
    <w:abstractNumId w:val="10"/>
  </w:num>
  <w:num w:numId="6">
    <w:abstractNumId w:val="6"/>
  </w:num>
  <w:num w:numId="7">
    <w:abstractNumId w:val="5"/>
  </w:num>
  <w:num w:numId="8">
    <w:abstractNumId w:val="22"/>
  </w:num>
  <w:num w:numId="9">
    <w:abstractNumId w:val="24"/>
  </w:num>
  <w:num w:numId="10">
    <w:abstractNumId w:val="23"/>
  </w:num>
  <w:num w:numId="11">
    <w:abstractNumId w:val="25"/>
  </w:num>
  <w:num w:numId="12">
    <w:abstractNumId w:val="8"/>
  </w:num>
  <w:num w:numId="13">
    <w:abstractNumId w:val="14"/>
  </w:num>
  <w:num w:numId="14">
    <w:abstractNumId w:val="16"/>
  </w:num>
  <w:num w:numId="15">
    <w:abstractNumId w:val="15"/>
  </w:num>
  <w:num w:numId="16">
    <w:abstractNumId w:val="3"/>
  </w:num>
  <w:num w:numId="17">
    <w:abstractNumId w:val="17"/>
  </w:num>
  <w:num w:numId="18">
    <w:abstractNumId w:val="13"/>
  </w:num>
  <w:num w:numId="19">
    <w:abstractNumId w:val="4"/>
  </w:num>
  <w:num w:numId="20">
    <w:abstractNumId w:val="7"/>
  </w:num>
  <w:num w:numId="21">
    <w:abstractNumId w:val="2"/>
  </w:num>
  <w:num w:numId="22">
    <w:abstractNumId w:val="27"/>
  </w:num>
  <w:num w:numId="23">
    <w:abstractNumId w:val="21"/>
  </w:num>
  <w:num w:numId="24">
    <w:abstractNumId w:val="19"/>
  </w:num>
  <w:num w:numId="25">
    <w:abstractNumId w:val="20"/>
  </w:num>
  <w:num w:numId="26">
    <w:abstractNumId w:val="26"/>
  </w:num>
  <w:num w:numId="27">
    <w:abstractNumId w:val="11"/>
  </w:num>
  <w:num w:numId="28">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T"/>
  </w:docVars>
  <w:rsids>
    <w:rsidRoot w:val="004C3E24"/>
    <w:rsid w:val="00004634"/>
    <w:rsid w:val="00010DE6"/>
    <w:rsid w:val="00011AE8"/>
    <w:rsid w:val="000147BD"/>
    <w:rsid w:val="00017110"/>
    <w:rsid w:val="00023CD4"/>
    <w:rsid w:val="0003306F"/>
    <w:rsid w:val="00036EED"/>
    <w:rsid w:val="00037D84"/>
    <w:rsid w:val="000404BF"/>
    <w:rsid w:val="00046804"/>
    <w:rsid w:val="00046F63"/>
    <w:rsid w:val="000642A1"/>
    <w:rsid w:val="000724B0"/>
    <w:rsid w:val="000737AF"/>
    <w:rsid w:val="00073AD0"/>
    <w:rsid w:val="00080ACE"/>
    <w:rsid w:val="000828CD"/>
    <w:rsid w:val="000854F3"/>
    <w:rsid w:val="000872CF"/>
    <w:rsid w:val="00092C41"/>
    <w:rsid w:val="000939F9"/>
    <w:rsid w:val="0009532E"/>
    <w:rsid w:val="000A57F7"/>
    <w:rsid w:val="000B1B38"/>
    <w:rsid w:val="000B72D0"/>
    <w:rsid w:val="000B7D52"/>
    <w:rsid w:val="000D24F6"/>
    <w:rsid w:val="000D3825"/>
    <w:rsid w:val="000D4579"/>
    <w:rsid w:val="000D4882"/>
    <w:rsid w:val="000E3268"/>
    <w:rsid w:val="000E37B4"/>
    <w:rsid w:val="000E526C"/>
    <w:rsid w:val="000F0745"/>
    <w:rsid w:val="000F76BC"/>
    <w:rsid w:val="000F7F95"/>
    <w:rsid w:val="00114FB1"/>
    <w:rsid w:val="00122B3C"/>
    <w:rsid w:val="00134942"/>
    <w:rsid w:val="001360A7"/>
    <w:rsid w:val="0013752F"/>
    <w:rsid w:val="001430AE"/>
    <w:rsid w:val="001449A0"/>
    <w:rsid w:val="001566DC"/>
    <w:rsid w:val="001620B1"/>
    <w:rsid w:val="00162E3F"/>
    <w:rsid w:val="0016406B"/>
    <w:rsid w:val="00166DBB"/>
    <w:rsid w:val="00173E24"/>
    <w:rsid w:val="00192A22"/>
    <w:rsid w:val="001951E1"/>
    <w:rsid w:val="00195BBC"/>
    <w:rsid w:val="001A1686"/>
    <w:rsid w:val="001A5048"/>
    <w:rsid w:val="001B270D"/>
    <w:rsid w:val="001C012D"/>
    <w:rsid w:val="001C01AF"/>
    <w:rsid w:val="001C1B1F"/>
    <w:rsid w:val="001D38B0"/>
    <w:rsid w:val="001E08F8"/>
    <w:rsid w:val="001E37D7"/>
    <w:rsid w:val="001E3B94"/>
    <w:rsid w:val="001E728C"/>
    <w:rsid w:val="001E7D23"/>
    <w:rsid w:val="00202FBB"/>
    <w:rsid w:val="0020335B"/>
    <w:rsid w:val="00204B29"/>
    <w:rsid w:val="002069C7"/>
    <w:rsid w:val="0021045E"/>
    <w:rsid w:val="00214F0B"/>
    <w:rsid w:val="00227B03"/>
    <w:rsid w:val="00230C04"/>
    <w:rsid w:val="002506A9"/>
    <w:rsid w:val="00251B9B"/>
    <w:rsid w:val="002646D7"/>
    <w:rsid w:val="00264786"/>
    <w:rsid w:val="0028587B"/>
    <w:rsid w:val="00286041"/>
    <w:rsid w:val="00287B5B"/>
    <w:rsid w:val="002A2CBF"/>
    <w:rsid w:val="002A3A98"/>
    <w:rsid w:val="002A7E89"/>
    <w:rsid w:val="002B15E2"/>
    <w:rsid w:val="002B3218"/>
    <w:rsid w:val="002B4014"/>
    <w:rsid w:val="002B711C"/>
    <w:rsid w:val="002B7339"/>
    <w:rsid w:val="002C0794"/>
    <w:rsid w:val="002C141D"/>
    <w:rsid w:val="002C281E"/>
    <w:rsid w:val="002D043A"/>
    <w:rsid w:val="002D7EFC"/>
    <w:rsid w:val="002E6E9A"/>
    <w:rsid w:val="002F6FD6"/>
    <w:rsid w:val="003003D1"/>
    <w:rsid w:val="00306402"/>
    <w:rsid w:val="00313D90"/>
    <w:rsid w:val="0032097E"/>
    <w:rsid w:val="0032182B"/>
    <w:rsid w:val="00324471"/>
    <w:rsid w:val="00330C3B"/>
    <w:rsid w:val="00330CEE"/>
    <w:rsid w:val="003316CA"/>
    <w:rsid w:val="00335CF1"/>
    <w:rsid w:val="003365B5"/>
    <w:rsid w:val="00337EB2"/>
    <w:rsid w:val="003439E4"/>
    <w:rsid w:val="00344280"/>
    <w:rsid w:val="00346323"/>
    <w:rsid w:val="003528FD"/>
    <w:rsid w:val="00352F66"/>
    <w:rsid w:val="003531E8"/>
    <w:rsid w:val="0035420D"/>
    <w:rsid w:val="00360082"/>
    <w:rsid w:val="00360EE0"/>
    <w:rsid w:val="00367623"/>
    <w:rsid w:val="0037113A"/>
    <w:rsid w:val="003711C6"/>
    <w:rsid w:val="0037184A"/>
    <w:rsid w:val="00377133"/>
    <w:rsid w:val="00386605"/>
    <w:rsid w:val="00386F87"/>
    <w:rsid w:val="003876D7"/>
    <w:rsid w:val="00390B36"/>
    <w:rsid w:val="003947C1"/>
    <w:rsid w:val="00394E62"/>
    <w:rsid w:val="0039659F"/>
    <w:rsid w:val="0039732E"/>
    <w:rsid w:val="003A2392"/>
    <w:rsid w:val="003A7197"/>
    <w:rsid w:val="003B3B7A"/>
    <w:rsid w:val="003B6C31"/>
    <w:rsid w:val="003C2D1C"/>
    <w:rsid w:val="003C32E4"/>
    <w:rsid w:val="003C5AC4"/>
    <w:rsid w:val="003C799C"/>
    <w:rsid w:val="003E39EE"/>
    <w:rsid w:val="003E5F81"/>
    <w:rsid w:val="003F58B7"/>
    <w:rsid w:val="00400B01"/>
    <w:rsid w:val="00402849"/>
    <w:rsid w:val="0041452E"/>
    <w:rsid w:val="00417C68"/>
    <w:rsid w:val="00423EE4"/>
    <w:rsid w:val="00426676"/>
    <w:rsid w:val="00441584"/>
    <w:rsid w:val="00445B75"/>
    <w:rsid w:val="00450247"/>
    <w:rsid w:val="00450BEB"/>
    <w:rsid w:val="00450C16"/>
    <w:rsid w:val="00460296"/>
    <w:rsid w:val="004614BF"/>
    <w:rsid w:val="00473FA3"/>
    <w:rsid w:val="0047488D"/>
    <w:rsid w:val="004763B9"/>
    <w:rsid w:val="0048356E"/>
    <w:rsid w:val="00486412"/>
    <w:rsid w:val="00491563"/>
    <w:rsid w:val="0049459D"/>
    <w:rsid w:val="00497C8F"/>
    <w:rsid w:val="004B0E8B"/>
    <w:rsid w:val="004B6F7B"/>
    <w:rsid w:val="004C1284"/>
    <w:rsid w:val="004C261C"/>
    <w:rsid w:val="004C3E24"/>
    <w:rsid w:val="004C643B"/>
    <w:rsid w:val="004D1E18"/>
    <w:rsid w:val="004E259A"/>
    <w:rsid w:val="004F4C10"/>
    <w:rsid w:val="004F776D"/>
    <w:rsid w:val="005037A3"/>
    <w:rsid w:val="005049C5"/>
    <w:rsid w:val="005126EF"/>
    <w:rsid w:val="00520452"/>
    <w:rsid w:val="00527097"/>
    <w:rsid w:val="00533180"/>
    <w:rsid w:val="00533983"/>
    <w:rsid w:val="00536ED4"/>
    <w:rsid w:val="00537A03"/>
    <w:rsid w:val="00543339"/>
    <w:rsid w:val="00546915"/>
    <w:rsid w:val="00551B45"/>
    <w:rsid w:val="00562097"/>
    <w:rsid w:val="00572D51"/>
    <w:rsid w:val="00577641"/>
    <w:rsid w:val="00581D3D"/>
    <w:rsid w:val="00582F3F"/>
    <w:rsid w:val="005831FA"/>
    <w:rsid w:val="0058794C"/>
    <w:rsid w:val="00595CC9"/>
    <w:rsid w:val="005A655B"/>
    <w:rsid w:val="005B0CCF"/>
    <w:rsid w:val="005B68D7"/>
    <w:rsid w:val="005C021E"/>
    <w:rsid w:val="005D3A52"/>
    <w:rsid w:val="005D3EBE"/>
    <w:rsid w:val="005D490C"/>
    <w:rsid w:val="005D5889"/>
    <w:rsid w:val="005E0219"/>
    <w:rsid w:val="005E43EA"/>
    <w:rsid w:val="005F45AE"/>
    <w:rsid w:val="005F57AF"/>
    <w:rsid w:val="005F6353"/>
    <w:rsid w:val="00606692"/>
    <w:rsid w:val="00607D43"/>
    <w:rsid w:val="00613D2F"/>
    <w:rsid w:val="006142F4"/>
    <w:rsid w:val="00616DFA"/>
    <w:rsid w:val="0064104F"/>
    <w:rsid w:val="00641EC6"/>
    <w:rsid w:val="006525FC"/>
    <w:rsid w:val="00652CF0"/>
    <w:rsid w:val="00653813"/>
    <w:rsid w:val="00653B00"/>
    <w:rsid w:val="00654482"/>
    <w:rsid w:val="006558A5"/>
    <w:rsid w:val="00656D92"/>
    <w:rsid w:val="00661D00"/>
    <w:rsid w:val="006621EF"/>
    <w:rsid w:val="00664CF6"/>
    <w:rsid w:val="00666118"/>
    <w:rsid w:val="006716FD"/>
    <w:rsid w:val="006723FE"/>
    <w:rsid w:val="00673298"/>
    <w:rsid w:val="006819E3"/>
    <w:rsid w:val="006844D7"/>
    <w:rsid w:val="00687086"/>
    <w:rsid w:val="006875D6"/>
    <w:rsid w:val="0069344E"/>
    <w:rsid w:val="00694206"/>
    <w:rsid w:val="00694F55"/>
    <w:rsid w:val="006A0668"/>
    <w:rsid w:val="006A1D95"/>
    <w:rsid w:val="006A3499"/>
    <w:rsid w:val="006A4FDB"/>
    <w:rsid w:val="006D219B"/>
    <w:rsid w:val="006D465B"/>
    <w:rsid w:val="006D521B"/>
    <w:rsid w:val="006D6B4F"/>
    <w:rsid w:val="006E4742"/>
    <w:rsid w:val="006E7468"/>
    <w:rsid w:val="006F54F1"/>
    <w:rsid w:val="0070449C"/>
    <w:rsid w:val="007062EF"/>
    <w:rsid w:val="00715155"/>
    <w:rsid w:val="0072324E"/>
    <w:rsid w:val="0072497F"/>
    <w:rsid w:val="0075046C"/>
    <w:rsid w:val="0075227D"/>
    <w:rsid w:val="00756FF0"/>
    <w:rsid w:val="00757ECD"/>
    <w:rsid w:val="00760C90"/>
    <w:rsid w:val="00762881"/>
    <w:rsid w:val="0076400B"/>
    <w:rsid w:val="00764912"/>
    <w:rsid w:val="00773391"/>
    <w:rsid w:val="007738F4"/>
    <w:rsid w:val="00776935"/>
    <w:rsid w:val="007831A6"/>
    <w:rsid w:val="00790D86"/>
    <w:rsid w:val="00791C75"/>
    <w:rsid w:val="007952D8"/>
    <w:rsid w:val="007A1AF8"/>
    <w:rsid w:val="007A3C02"/>
    <w:rsid w:val="007A4966"/>
    <w:rsid w:val="007A694F"/>
    <w:rsid w:val="007B3DB6"/>
    <w:rsid w:val="007C0E27"/>
    <w:rsid w:val="007C7C1B"/>
    <w:rsid w:val="007E2A56"/>
    <w:rsid w:val="007E6342"/>
    <w:rsid w:val="007F21C9"/>
    <w:rsid w:val="007F2921"/>
    <w:rsid w:val="007F7E7C"/>
    <w:rsid w:val="00804A04"/>
    <w:rsid w:val="00814141"/>
    <w:rsid w:val="00814F67"/>
    <w:rsid w:val="00816F9A"/>
    <w:rsid w:val="00817567"/>
    <w:rsid w:val="00822D37"/>
    <w:rsid w:val="0082616E"/>
    <w:rsid w:val="00832342"/>
    <w:rsid w:val="008349A4"/>
    <w:rsid w:val="00836948"/>
    <w:rsid w:val="0084522D"/>
    <w:rsid w:val="00851CF2"/>
    <w:rsid w:val="00866C45"/>
    <w:rsid w:val="008760F5"/>
    <w:rsid w:val="00890FCB"/>
    <w:rsid w:val="008939BF"/>
    <w:rsid w:val="00894617"/>
    <w:rsid w:val="00894BD4"/>
    <w:rsid w:val="008A2189"/>
    <w:rsid w:val="008A45DB"/>
    <w:rsid w:val="008A55BA"/>
    <w:rsid w:val="008A5EDB"/>
    <w:rsid w:val="008B0F0F"/>
    <w:rsid w:val="008B518D"/>
    <w:rsid w:val="008D6EA4"/>
    <w:rsid w:val="008E7BE1"/>
    <w:rsid w:val="008F5A6A"/>
    <w:rsid w:val="00901513"/>
    <w:rsid w:val="00903053"/>
    <w:rsid w:val="00913FC3"/>
    <w:rsid w:val="009235A0"/>
    <w:rsid w:val="00933703"/>
    <w:rsid w:val="00934509"/>
    <w:rsid w:val="009402DC"/>
    <w:rsid w:val="00941136"/>
    <w:rsid w:val="00942E91"/>
    <w:rsid w:val="00942F49"/>
    <w:rsid w:val="009457FF"/>
    <w:rsid w:val="00946113"/>
    <w:rsid w:val="00954191"/>
    <w:rsid w:val="0095433D"/>
    <w:rsid w:val="009604F6"/>
    <w:rsid w:val="00963A65"/>
    <w:rsid w:val="00971BF4"/>
    <w:rsid w:val="00974569"/>
    <w:rsid w:val="00982011"/>
    <w:rsid w:val="00982641"/>
    <w:rsid w:val="00985EB1"/>
    <w:rsid w:val="0098619F"/>
    <w:rsid w:val="00990EE2"/>
    <w:rsid w:val="00994208"/>
    <w:rsid w:val="00995CD4"/>
    <w:rsid w:val="009B1263"/>
    <w:rsid w:val="009C1E64"/>
    <w:rsid w:val="009C5ED2"/>
    <w:rsid w:val="009D5DEC"/>
    <w:rsid w:val="009E0741"/>
    <w:rsid w:val="009F21E9"/>
    <w:rsid w:val="009F443E"/>
    <w:rsid w:val="009F6EF8"/>
    <w:rsid w:val="009F6FF8"/>
    <w:rsid w:val="00A11B2C"/>
    <w:rsid w:val="00A11EC5"/>
    <w:rsid w:val="00A1504A"/>
    <w:rsid w:val="00A1524C"/>
    <w:rsid w:val="00A208DE"/>
    <w:rsid w:val="00A211BB"/>
    <w:rsid w:val="00A250DC"/>
    <w:rsid w:val="00A251E4"/>
    <w:rsid w:val="00A30EBF"/>
    <w:rsid w:val="00A312BA"/>
    <w:rsid w:val="00A331F0"/>
    <w:rsid w:val="00A33407"/>
    <w:rsid w:val="00A35706"/>
    <w:rsid w:val="00A35B20"/>
    <w:rsid w:val="00A3663A"/>
    <w:rsid w:val="00A40E60"/>
    <w:rsid w:val="00A43655"/>
    <w:rsid w:val="00A459DE"/>
    <w:rsid w:val="00A46B81"/>
    <w:rsid w:val="00A47866"/>
    <w:rsid w:val="00A5146C"/>
    <w:rsid w:val="00A531C8"/>
    <w:rsid w:val="00A55F10"/>
    <w:rsid w:val="00A64792"/>
    <w:rsid w:val="00A667D5"/>
    <w:rsid w:val="00A73E92"/>
    <w:rsid w:val="00A74BFE"/>
    <w:rsid w:val="00A76860"/>
    <w:rsid w:val="00A82FE5"/>
    <w:rsid w:val="00A85717"/>
    <w:rsid w:val="00A9074E"/>
    <w:rsid w:val="00A92A54"/>
    <w:rsid w:val="00AA057B"/>
    <w:rsid w:val="00AB43B0"/>
    <w:rsid w:val="00AB6E95"/>
    <w:rsid w:val="00AC1406"/>
    <w:rsid w:val="00AC1581"/>
    <w:rsid w:val="00AC2938"/>
    <w:rsid w:val="00AC2F2A"/>
    <w:rsid w:val="00AD2962"/>
    <w:rsid w:val="00AE1D03"/>
    <w:rsid w:val="00AE2391"/>
    <w:rsid w:val="00AE5D63"/>
    <w:rsid w:val="00AE711B"/>
    <w:rsid w:val="00AF146C"/>
    <w:rsid w:val="00AF454A"/>
    <w:rsid w:val="00AF4D16"/>
    <w:rsid w:val="00AF60A1"/>
    <w:rsid w:val="00AF7147"/>
    <w:rsid w:val="00B009E8"/>
    <w:rsid w:val="00B01149"/>
    <w:rsid w:val="00B072D1"/>
    <w:rsid w:val="00B126D4"/>
    <w:rsid w:val="00B241C6"/>
    <w:rsid w:val="00B33848"/>
    <w:rsid w:val="00B40767"/>
    <w:rsid w:val="00B45E82"/>
    <w:rsid w:val="00B5379E"/>
    <w:rsid w:val="00B55A33"/>
    <w:rsid w:val="00B55A9A"/>
    <w:rsid w:val="00B6452C"/>
    <w:rsid w:val="00B656D7"/>
    <w:rsid w:val="00B65B9E"/>
    <w:rsid w:val="00B74DF9"/>
    <w:rsid w:val="00B7581D"/>
    <w:rsid w:val="00B77791"/>
    <w:rsid w:val="00B81B05"/>
    <w:rsid w:val="00B94BE9"/>
    <w:rsid w:val="00B97665"/>
    <w:rsid w:val="00BA138C"/>
    <w:rsid w:val="00BB591F"/>
    <w:rsid w:val="00BC0B49"/>
    <w:rsid w:val="00BC2C5C"/>
    <w:rsid w:val="00BC390D"/>
    <w:rsid w:val="00BE04E8"/>
    <w:rsid w:val="00BE5565"/>
    <w:rsid w:val="00BE5921"/>
    <w:rsid w:val="00C11F1D"/>
    <w:rsid w:val="00C16521"/>
    <w:rsid w:val="00C16A2B"/>
    <w:rsid w:val="00C17B1A"/>
    <w:rsid w:val="00C200EC"/>
    <w:rsid w:val="00C2090A"/>
    <w:rsid w:val="00C20E71"/>
    <w:rsid w:val="00C22938"/>
    <w:rsid w:val="00C240E9"/>
    <w:rsid w:val="00C25DF4"/>
    <w:rsid w:val="00C31C62"/>
    <w:rsid w:val="00C35527"/>
    <w:rsid w:val="00C35D45"/>
    <w:rsid w:val="00C37333"/>
    <w:rsid w:val="00C40A29"/>
    <w:rsid w:val="00C428E2"/>
    <w:rsid w:val="00C43882"/>
    <w:rsid w:val="00C477C6"/>
    <w:rsid w:val="00C508CC"/>
    <w:rsid w:val="00C6343D"/>
    <w:rsid w:val="00C650C8"/>
    <w:rsid w:val="00C67155"/>
    <w:rsid w:val="00C67CA1"/>
    <w:rsid w:val="00C7257B"/>
    <w:rsid w:val="00C750BD"/>
    <w:rsid w:val="00C858B4"/>
    <w:rsid w:val="00C92B05"/>
    <w:rsid w:val="00C93F18"/>
    <w:rsid w:val="00CA0276"/>
    <w:rsid w:val="00CB357B"/>
    <w:rsid w:val="00CB76CD"/>
    <w:rsid w:val="00CB7EC7"/>
    <w:rsid w:val="00CC157D"/>
    <w:rsid w:val="00CC6576"/>
    <w:rsid w:val="00CD5D8C"/>
    <w:rsid w:val="00CE4702"/>
    <w:rsid w:val="00CF6411"/>
    <w:rsid w:val="00CF6517"/>
    <w:rsid w:val="00D1524F"/>
    <w:rsid w:val="00D1754C"/>
    <w:rsid w:val="00D21482"/>
    <w:rsid w:val="00D24A44"/>
    <w:rsid w:val="00D25879"/>
    <w:rsid w:val="00D27BAE"/>
    <w:rsid w:val="00D42791"/>
    <w:rsid w:val="00D46DC1"/>
    <w:rsid w:val="00D51A71"/>
    <w:rsid w:val="00D559D8"/>
    <w:rsid w:val="00D65AEE"/>
    <w:rsid w:val="00D70D20"/>
    <w:rsid w:val="00D73B15"/>
    <w:rsid w:val="00D8361A"/>
    <w:rsid w:val="00D95226"/>
    <w:rsid w:val="00DA7538"/>
    <w:rsid w:val="00DB59C9"/>
    <w:rsid w:val="00DC12AE"/>
    <w:rsid w:val="00DC7ABD"/>
    <w:rsid w:val="00DD0670"/>
    <w:rsid w:val="00DD0C7F"/>
    <w:rsid w:val="00DD32F9"/>
    <w:rsid w:val="00DE2F94"/>
    <w:rsid w:val="00DE357C"/>
    <w:rsid w:val="00E02E3B"/>
    <w:rsid w:val="00E23E48"/>
    <w:rsid w:val="00E334AF"/>
    <w:rsid w:val="00E427CC"/>
    <w:rsid w:val="00E42D70"/>
    <w:rsid w:val="00E54BB0"/>
    <w:rsid w:val="00E57F9B"/>
    <w:rsid w:val="00E653A5"/>
    <w:rsid w:val="00E6693D"/>
    <w:rsid w:val="00E72119"/>
    <w:rsid w:val="00E76DD0"/>
    <w:rsid w:val="00E81058"/>
    <w:rsid w:val="00E8793E"/>
    <w:rsid w:val="00E91341"/>
    <w:rsid w:val="00E92C77"/>
    <w:rsid w:val="00E937AB"/>
    <w:rsid w:val="00EA1B51"/>
    <w:rsid w:val="00EA3FB5"/>
    <w:rsid w:val="00EA4A12"/>
    <w:rsid w:val="00EC4DF1"/>
    <w:rsid w:val="00EC6E51"/>
    <w:rsid w:val="00ED22F8"/>
    <w:rsid w:val="00ED77E1"/>
    <w:rsid w:val="00EE20E6"/>
    <w:rsid w:val="00EF2E2D"/>
    <w:rsid w:val="00EF4D43"/>
    <w:rsid w:val="00EF5AF3"/>
    <w:rsid w:val="00F0313D"/>
    <w:rsid w:val="00F12A0D"/>
    <w:rsid w:val="00F147D6"/>
    <w:rsid w:val="00F22E4A"/>
    <w:rsid w:val="00F35114"/>
    <w:rsid w:val="00F377F4"/>
    <w:rsid w:val="00F37AA0"/>
    <w:rsid w:val="00F436EF"/>
    <w:rsid w:val="00F4719B"/>
    <w:rsid w:val="00F47735"/>
    <w:rsid w:val="00F51225"/>
    <w:rsid w:val="00F54DB8"/>
    <w:rsid w:val="00F572A3"/>
    <w:rsid w:val="00F57FC7"/>
    <w:rsid w:val="00F62B6A"/>
    <w:rsid w:val="00F64ECB"/>
    <w:rsid w:val="00F65338"/>
    <w:rsid w:val="00F72DEC"/>
    <w:rsid w:val="00F76224"/>
    <w:rsid w:val="00F814B1"/>
    <w:rsid w:val="00F81E20"/>
    <w:rsid w:val="00F85678"/>
    <w:rsid w:val="00F90FED"/>
    <w:rsid w:val="00FA4428"/>
    <w:rsid w:val="00FA635E"/>
    <w:rsid w:val="00FB79EB"/>
    <w:rsid w:val="00FD221F"/>
    <w:rsid w:val="00FE38CD"/>
    <w:rsid w:val="00FE3D7A"/>
    <w:rsid w:val="00FE635B"/>
    <w:rsid w:val="00FF1445"/>
    <w:rsid w:val="00FF1E8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bidi="ar-SA"/>
    </w:r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Text2"/>
    <w:link w:val="Heading2Char"/>
    <w:qFormat/>
    <w:pPr>
      <w:keepNext/>
      <w:outlineLvl w:val="1"/>
    </w:pPr>
    <w:rPr>
      <w:b/>
    </w:rPr>
  </w:style>
  <w:style w:type="paragraph" w:styleId="Heading3">
    <w:name w:val="heading 3"/>
    <w:basedOn w:val="Normal"/>
    <w:next w:val="Text3"/>
    <w:link w:val="Heading3Char"/>
    <w:qFormat/>
    <w:pPr>
      <w:keepNext/>
      <w:outlineLvl w:val="2"/>
    </w:pPr>
    <w:rPr>
      <w:i/>
    </w:rPr>
  </w:style>
  <w:style w:type="paragraph" w:styleId="Heading4">
    <w:name w:val="heading 4"/>
    <w:basedOn w:val="Normal"/>
    <w:next w:val="Text4"/>
    <w:qFormat/>
    <w:pPr>
      <w:keepNext/>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rsid w:val="00F57FC7"/>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bidi="ar-SA"/>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rsid w:val="00F57FC7"/>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C3E24"/>
    <w:rPr>
      <w:rFonts w:ascii="Arial" w:hAnsi="Arial"/>
      <w:sz w:val="16"/>
      <w:lang w:eastAsia="en-US"/>
    </w:rPr>
  </w:style>
  <w:style w:type="character" w:customStyle="1" w:styleId="DateChar">
    <w:name w:val="Date Char"/>
    <w:link w:val="Date"/>
    <w:uiPriority w:val="99"/>
    <w:rsid w:val="004C3E24"/>
    <w:rPr>
      <w:sz w:val="24"/>
      <w:lang w:eastAsia="en-US"/>
    </w:rPr>
  </w:style>
  <w:style w:type="character" w:customStyle="1" w:styleId="SignatureChar">
    <w:name w:val="Signature Char"/>
    <w:link w:val="Signature"/>
    <w:uiPriority w:val="99"/>
    <w:rsid w:val="004C3E24"/>
    <w:rPr>
      <w:sz w:val="24"/>
      <w:lang w:eastAsia="en-US"/>
    </w:rPr>
  </w:style>
  <w:style w:type="paragraph" w:customStyle="1" w:styleId="ZCom">
    <w:name w:val="Z_Com"/>
    <w:basedOn w:val="Normal"/>
    <w:next w:val="ZDGName"/>
    <w:uiPriority w:val="99"/>
    <w:rsid w:val="004C3E24"/>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4C3E24"/>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4C3E24"/>
    <w:rPr>
      <w:sz w:val="24"/>
      <w:lang w:eastAsia="en-US"/>
    </w:rPr>
  </w:style>
  <w:style w:type="character" w:styleId="CommentReference">
    <w:name w:val="annotation reference"/>
    <w:uiPriority w:val="99"/>
    <w:semiHidden/>
    <w:unhideWhenUsed/>
    <w:rsid w:val="006A4FDB"/>
    <w:rPr>
      <w:sz w:val="16"/>
      <w:szCs w:val="16"/>
    </w:rPr>
  </w:style>
  <w:style w:type="paragraph" w:styleId="CommentSubject">
    <w:name w:val="annotation subject"/>
    <w:basedOn w:val="CommentText"/>
    <w:next w:val="CommentText"/>
    <w:link w:val="CommentSubjectChar"/>
    <w:uiPriority w:val="99"/>
    <w:semiHidden/>
    <w:unhideWhenUsed/>
    <w:rsid w:val="006A4FDB"/>
    <w:rPr>
      <w:b/>
      <w:bCs/>
    </w:rPr>
  </w:style>
  <w:style w:type="character" w:customStyle="1" w:styleId="CommentTextChar">
    <w:name w:val="Comment Text Char"/>
    <w:link w:val="CommentText"/>
    <w:uiPriority w:val="99"/>
    <w:rsid w:val="006A4FDB"/>
    <w:rPr>
      <w:lang w:eastAsia="en-US"/>
    </w:rPr>
  </w:style>
  <w:style w:type="character" w:customStyle="1" w:styleId="CommentSubjectChar">
    <w:name w:val="Comment Subject Char"/>
    <w:link w:val="CommentSubject"/>
    <w:uiPriority w:val="99"/>
    <w:semiHidden/>
    <w:rsid w:val="006A4FDB"/>
    <w:rPr>
      <w:b/>
      <w:bCs/>
      <w:lang w:eastAsia="en-US"/>
    </w:rPr>
  </w:style>
  <w:style w:type="paragraph" w:styleId="BalloonText">
    <w:name w:val="Balloon Text"/>
    <w:basedOn w:val="Normal"/>
    <w:link w:val="BalloonTextChar"/>
    <w:uiPriority w:val="99"/>
    <w:semiHidden/>
    <w:unhideWhenUsed/>
    <w:rsid w:val="006A4FDB"/>
    <w:pPr>
      <w:spacing w:after="0"/>
    </w:pPr>
    <w:rPr>
      <w:rFonts w:ascii="Tahoma" w:hAnsi="Tahoma" w:cs="Tahoma"/>
      <w:sz w:val="16"/>
      <w:szCs w:val="16"/>
    </w:rPr>
  </w:style>
  <w:style w:type="character" w:customStyle="1" w:styleId="BalloonTextChar">
    <w:name w:val="Balloon Text Char"/>
    <w:link w:val="BalloonText"/>
    <w:uiPriority w:val="99"/>
    <w:semiHidden/>
    <w:rsid w:val="006A4FDB"/>
    <w:rPr>
      <w:rFonts w:ascii="Tahoma" w:hAnsi="Tahoma" w:cs="Tahoma"/>
      <w:sz w:val="16"/>
      <w:szCs w:val="16"/>
      <w:lang w:eastAsia="en-US"/>
    </w:rPr>
  </w:style>
  <w:style w:type="character" w:styleId="FootnoteReference">
    <w:name w:val="footnote reference"/>
    <w:aliases w:val="Footnote call,Footnote Reference Superscript,Footnote Refernece,BVI fnr,Fußnotenzeichen_Raxen,callout,Footnote Reference Number,SUPERS,Footnote symbol,Footnote reference number,Times 10 Point,Exposant 3 Point,Re,Footnote,Footnote sign"/>
    <w:uiPriority w:val="99"/>
    <w:unhideWhenUsed/>
    <w:rsid w:val="000D24F6"/>
    <w:rPr>
      <w:vertAlign w:val="superscript"/>
    </w:rPr>
  </w:style>
  <w:style w:type="character" w:styleId="Hyperlink">
    <w:name w:val="Hyperlink"/>
    <w:uiPriority w:val="99"/>
    <w:unhideWhenUsed/>
    <w:rsid w:val="00330C3B"/>
    <w:rPr>
      <w:color w:val="0000FF"/>
      <w:u w:val="single"/>
    </w:rPr>
  </w:style>
  <w:style w:type="paragraph" w:styleId="ListParagraph">
    <w:name w:val="List Paragraph"/>
    <w:basedOn w:val="Normal"/>
    <w:uiPriority w:val="34"/>
    <w:qFormat/>
    <w:rsid w:val="00330C3B"/>
    <w:pPr>
      <w:spacing w:after="0"/>
      <w:ind w:left="720"/>
      <w:jc w:val="left"/>
    </w:pPr>
    <w:rPr>
      <w:rFonts w:ascii="Calibri" w:eastAsia="PMingLiU" w:hAnsi="Calibri"/>
      <w:sz w:val="22"/>
      <w:szCs w:val="22"/>
    </w:rPr>
  </w:style>
  <w:style w:type="table" w:styleId="TableGrid">
    <w:name w:val="Table Grid"/>
    <w:basedOn w:val="TableNormal"/>
    <w:uiPriority w:val="59"/>
    <w:rsid w:val="00A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831A6"/>
    <w:rPr>
      <w:b/>
      <w:smallCaps/>
      <w:sz w:val="24"/>
      <w:lang w:eastAsia="en-US" w:bidi="ar-SA"/>
    </w:rPr>
  </w:style>
  <w:style w:type="character" w:customStyle="1" w:styleId="Heading2Char">
    <w:name w:val="Heading 2 Char"/>
    <w:link w:val="Heading2"/>
    <w:rsid w:val="007831A6"/>
    <w:rPr>
      <w:b/>
      <w:sz w:val="24"/>
      <w:lang w:eastAsia="en-US" w:bidi="ar-SA"/>
    </w:rPr>
  </w:style>
  <w:style w:type="character" w:customStyle="1" w:styleId="Heading3Char">
    <w:name w:val="Heading 3 Char"/>
    <w:link w:val="Heading3"/>
    <w:rsid w:val="007831A6"/>
    <w:rPr>
      <w:i/>
      <w:sz w:val="24"/>
      <w:lang w:eastAsia="en-US" w:bidi="ar-SA"/>
    </w:rPr>
  </w:style>
  <w:style w:type="character" w:customStyle="1" w:styleId="FootnoteTextChar">
    <w:name w:val="Footnote Text Char"/>
    <w:link w:val="FootnoteText"/>
    <w:uiPriority w:val="99"/>
    <w:rsid w:val="007831A6"/>
    <w:rPr>
      <w:lang w:eastAsia="en-US"/>
    </w:rPr>
  </w:style>
  <w:style w:type="paragraph" w:customStyle="1" w:styleId="Titrearticle">
    <w:name w:val="Titre article"/>
    <w:basedOn w:val="Normal"/>
    <w:next w:val="Normal"/>
    <w:rsid w:val="007831A6"/>
    <w:pPr>
      <w:keepNext/>
      <w:spacing w:before="360" w:after="120"/>
      <w:jc w:val="center"/>
    </w:pPr>
    <w:rPr>
      <w:i/>
      <w:szCs w:val="24"/>
    </w:rPr>
  </w:style>
  <w:style w:type="character" w:customStyle="1" w:styleId="Text1Char">
    <w:name w:val="Text 1 Char"/>
    <w:link w:val="Text1"/>
    <w:locked/>
    <w:rsid w:val="007831A6"/>
    <w:rPr>
      <w:sz w:val="24"/>
      <w:lang w:eastAsia="en-US"/>
    </w:rPr>
  </w:style>
  <w:style w:type="paragraph" w:customStyle="1" w:styleId="CM1">
    <w:name w:val="CM1"/>
    <w:basedOn w:val="Normal"/>
    <w:next w:val="Normal"/>
    <w:uiPriority w:val="99"/>
    <w:rsid w:val="002B7339"/>
    <w:pPr>
      <w:autoSpaceDE w:val="0"/>
      <w:autoSpaceDN w:val="0"/>
      <w:adjustRightInd w:val="0"/>
      <w:spacing w:after="0"/>
      <w:jc w:val="left"/>
    </w:pPr>
    <w:rPr>
      <w:rFonts w:ascii="EUAlbertina" w:hAnsi="EUAlbertina"/>
      <w:szCs w:val="24"/>
      <w:lang w:eastAsia="en-GB"/>
    </w:rPr>
  </w:style>
  <w:style w:type="paragraph" w:customStyle="1" w:styleId="CM3">
    <w:name w:val="CM3"/>
    <w:basedOn w:val="Normal"/>
    <w:next w:val="Normal"/>
    <w:uiPriority w:val="99"/>
    <w:rsid w:val="002B7339"/>
    <w:pPr>
      <w:autoSpaceDE w:val="0"/>
      <w:autoSpaceDN w:val="0"/>
      <w:adjustRightInd w:val="0"/>
      <w:spacing w:after="0"/>
      <w:jc w:val="left"/>
    </w:pPr>
    <w:rPr>
      <w:rFonts w:ascii="EUAlbertina" w:hAnsi="EUAlbertina"/>
      <w:szCs w:val="24"/>
      <w:lang w:eastAsia="en-GB"/>
    </w:rPr>
  </w:style>
  <w:style w:type="character" w:customStyle="1" w:styleId="Corpsdutexte5">
    <w:name w:val="Corps du texte (5)_"/>
    <w:link w:val="Corpsdutexte50"/>
    <w:uiPriority w:val="99"/>
    <w:locked/>
    <w:rsid w:val="004D1E18"/>
    <w:rPr>
      <w:b/>
      <w:bCs/>
      <w:smallCaps/>
      <w:sz w:val="23"/>
      <w:szCs w:val="23"/>
      <w:shd w:val="clear" w:color="auto" w:fill="FFFFFF"/>
    </w:rPr>
  </w:style>
  <w:style w:type="paragraph" w:customStyle="1" w:styleId="Corpsdutexte50">
    <w:name w:val="Corps du texte (5)"/>
    <w:basedOn w:val="Normal"/>
    <w:link w:val="Corpsdutexte5"/>
    <w:uiPriority w:val="99"/>
    <w:rsid w:val="004D1E18"/>
    <w:pPr>
      <w:widowControl w:val="0"/>
      <w:shd w:val="clear" w:color="auto" w:fill="FFFFFF"/>
      <w:spacing w:after="300" w:line="240" w:lineRule="atLeast"/>
      <w:ind w:hanging="360"/>
    </w:pPr>
    <w:rPr>
      <w:b/>
      <w:bCs/>
      <w:smallCaps/>
      <w:sz w:val="23"/>
      <w:szCs w:val="23"/>
      <w:lang w:eastAsia="en-GB"/>
    </w:rPr>
  </w:style>
  <w:style w:type="character" w:customStyle="1" w:styleId="PlainTextChar">
    <w:name w:val="Plain Text Char"/>
    <w:link w:val="PlainText"/>
    <w:uiPriority w:val="99"/>
    <w:rsid w:val="000A57F7"/>
    <w:rPr>
      <w:rFonts w:ascii="Courier New" w:hAnsi="Courier New"/>
      <w:lang w:eastAsia="en-US"/>
    </w:rPr>
  </w:style>
  <w:style w:type="paragraph" w:customStyle="1" w:styleId="ListBullet10">
    <w:name w:val="List Bullet1"/>
    <w:basedOn w:val="ListParagraph"/>
    <w:link w:val="ListbulletChar"/>
    <w:qFormat/>
    <w:rsid w:val="000A57F7"/>
    <w:pPr>
      <w:numPr>
        <w:numId w:val="18"/>
      </w:numPr>
      <w:spacing w:line="240" w:lineRule="atLeast"/>
      <w:contextualSpacing/>
      <w:jc w:val="both"/>
    </w:pPr>
    <w:rPr>
      <w:rFonts w:ascii="Georgia" w:eastAsia="Times New Roman" w:hAnsi="Georgia"/>
      <w:sz w:val="20"/>
      <w:szCs w:val="24"/>
      <w:lang w:eastAsia="en-GB"/>
    </w:rPr>
  </w:style>
  <w:style w:type="character" w:customStyle="1" w:styleId="ListbulletChar">
    <w:name w:val="List bullet Char"/>
    <w:link w:val="ListBullet10"/>
    <w:rsid w:val="000A57F7"/>
    <w:rPr>
      <w:rFonts w:ascii="Georgia" w:hAnsi="Georgia"/>
      <w:szCs w:val="24"/>
      <w:lang w:bidi="ar-SA"/>
    </w:rPr>
  </w:style>
  <w:style w:type="paragraph" w:styleId="Revision">
    <w:name w:val="Revision"/>
    <w:hidden/>
    <w:uiPriority w:val="99"/>
    <w:semiHidden/>
    <w:rsid w:val="0098619F"/>
    <w:rPr>
      <w:sz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bidi="ar-SA"/>
    </w:r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Text2"/>
    <w:link w:val="Heading2Char"/>
    <w:qFormat/>
    <w:pPr>
      <w:keepNext/>
      <w:outlineLvl w:val="1"/>
    </w:pPr>
    <w:rPr>
      <w:b/>
    </w:rPr>
  </w:style>
  <w:style w:type="paragraph" w:styleId="Heading3">
    <w:name w:val="heading 3"/>
    <w:basedOn w:val="Normal"/>
    <w:next w:val="Text3"/>
    <w:link w:val="Heading3Char"/>
    <w:qFormat/>
    <w:pPr>
      <w:keepNext/>
      <w:outlineLvl w:val="2"/>
    </w:pPr>
    <w:rPr>
      <w:i/>
    </w:rPr>
  </w:style>
  <w:style w:type="paragraph" w:styleId="Heading4">
    <w:name w:val="heading 4"/>
    <w:basedOn w:val="Normal"/>
    <w:next w:val="Text4"/>
    <w:qFormat/>
    <w:pPr>
      <w:keepNext/>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rsid w:val="00F57FC7"/>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bidi="ar-SA"/>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rsid w:val="00F57FC7"/>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C3E24"/>
    <w:rPr>
      <w:rFonts w:ascii="Arial" w:hAnsi="Arial"/>
      <w:sz w:val="16"/>
      <w:lang w:eastAsia="en-US"/>
    </w:rPr>
  </w:style>
  <w:style w:type="character" w:customStyle="1" w:styleId="DateChar">
    <w:name w:val="Date Char"/>
    <w:link w:val="Date"/>
    <w:uiPriority w:val="99"/>
    <w:rsid w:val="004C3E24"/>
    <w:rPr>
      <w:sz w:val="24"/>
      <w:lang w:eastAsia="en-US"/>
    </w:rPr>
  </w:style>
  <w:style w:type="character" w:customStyle="1" w:styleId="SignatureChar">
    <w:name w:val="Signature Char"/>
    <w:link w:val="Signature"/>
    <w:uiPriority w:val="99"/>
    <w:rsid w:val="004C3E24"/>
    <w:rPr>
      <w:sz w:val="24"/>
      <w:lang w:eastAsia="en-US"/>
    </w:rPr>
  </w:style>
  <w:style w:type="paragraph" w:customStyle="1" w:styleId="ZCom">
    <w:name w:val="Z_Com"/>
    <w:basedOn w:val="Normal"/>
    <w:next w:val="ZDGName"/>
    <w:uiPriority w:val="99"/>
    <w:rsid w:val="004C3E24"/>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4C3E24"/>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4C3E24"/>
    <w:rPr>
      <w:sz w:val="24"/>
      <w:lang w:eastAsia="en-US"/>
    </w:rPr>
  </w:style>
  <w:style w:type="character" w:styleId="CommentReference">
    <w:name w:val="annotation reference"/>
    <w:uiPriority w:val="99"/>
    <w:semiHidden/>
    <w:unhideWhenUsed/>
    <w:rsid w:val="006A4FDB"/>
    <w:rPr>
      <w:sz w:val="16"/>
      <w:szCs w:val="16"/>
    </w:rPr>
  </w:style>
  <w:style w:type="paragraph" w:styleId="CommentSubject">
    <w:name w:val="annotation subject"/>
    <w:basedOn w:val="CommentText"/>
    <w:next w:val="CommentText"/>
    <w:link w:val="CommentSubjectChar"/>
    <w:uiPriority w:val="99"/>
    <w:semiHidden/>
    <w:unhideWhenUsed/>
    <w:rsid w:val="006A4FDB"/>
    <w:rPr>
      <w:b/>
      <w:bCs/>
    </w:rPr>
  </w:style>
  <w:style w:type="character" w:customStyle="1" w:styleId="CommentTextChar">
    <w:name w:val="Comment Text Char"/>
    <w:link w:val="CommentText"/>
    <w:uiPriority w:val="99"/>
    <w:rsid w:val="006A4FDB"/>
    <w:rPr>
      <w:lang w:eastAsia="en-US"/>
    </w:rPr>
  </w:style>
  <w:style w:type="character" w:customStyle="1" w:styleId="CommentSubjectChar">
    <w:name w:val="Comment Subject Char"/>
    <w:link w:val="CommentSubject"/>
    <w:uiPriority w:val="99"/>
    <w:semiHidden/>
    <w:rsid w:val="006A4FDB"/>
    <w:rPr>
      <w:b/>
      <w:bCs/>
      <w:lang w:eastAsia="en-US"/>
    </w:rPr>
  </w:style>
  <w:style w:type="paragraph" w:styleId="BalloonText">
    <w:name w:val="Balloon Text"/>
    <w:basedOn w:val="Normal"/>
    <w:link w:val="BalloonTextChar"/>
    <w:uiPriority w:val="99"/>
    <w:semiHidden/>
    <w:unhideWhenUsed/>
    <w:rsid w:val="006A4FDB"/>
    <w:pPr>
      <w:spacing w:after="0"/>
    </w:pPr>
    <w:rPr>
      <w:rFonts w:ascii="Tahoma" w:hAnsi="Tahoma" w:cs="Tahoma"/>
      <w:sz w:val="16"/>
      <w:szCs w:val="16"/>
    </w:rPr>
  </w:style>
  <w:style w:type="character" w:customStyle="1" w:styleId="BalloonTextChar">
    <w:name w:val="Balloon Text Char"/>
    <w:link w:val="BalloonText"/>
    <w:uiPriority w:val="99"/>
    <w:semiHidden/>
    <w:rsid w:val="006A4FDB"/>
    <w:rPr>
      <w:rFonts w:ascii="Tahoma" w:hAnsi="Tahoma" w:cs="Tahoma"/>
      <w:sz w:val="16"/>
      <w:szCs w:val="16"/>
      <w:lang w:eastAsia="en-US"/>
    </w:rPr>
  </w:style>
  <w:style w:type="character" w:styleId="FootnoteReference">
    <w:name w:val="footnote reference"/>
    <w:aliases w:val="Footnote call,Footnote Reference Superscript,Footnote Refernece,BVI fnr,Fußnotenzeichen_Raxen,callout,Footnote Reference Number,SUPERS,Footnote symbol,Footnote reference number,Times 10 Point,Exposant 3 Point,Re,Footnote,Footnote sign"/>
    <w:uiPriority w:val="99"/>
    <w:unhideWhenUsed/>
    <w:rsid w:val="000D24F6"/>
    <w:rPr>
      <w:vertAlign w:val="superscript"/>
    </w:rPr>
  </w:style>
  <w:style w:type="character" w:styleId="Hyperlink">
    <w:name w:val="Hyperlink"/>
    <w:uiPriority w:val="99"/>
    <w:unhideWhenUsed/>
    <w:rsid w:val="00330C3B"/>
    <w:rPr>
      <w:color w:val="0000FF"/>
      <w:u w:val="single"/>
    </w:rPr>
  </w:style>
  <w:style w:type="paragraph" w:styleId="ListParagraph">
    <w:name w:val="List Paragraph"/>
    <w:basedOn w:val="Normal"/>
    <w:uiPriority w:val="34"/>
    <w:qFormat/>
    <w:rsid w:val="00330C3B"/>
    <w:pPr>
      <w:spacing w:after="0"/>
      <w:ind w:left="720"/>
      <w:jc w:val="left"/>
    </w:pPr>
    <w:rPr>
      <w:rFonts w:ascii="Calibri" w:eastAsia="PMingLiU" w:hAnsi="Calibri"/>
      <w:sz w:val="22"/>
      <w:szCs w:val="22"/>
    </w:rPr>
  </w:style>
  <w:style w:type="table" w:styleId="TableGrid">
    <w:name w:val="Table Grid"/>
    <w:basedOn w:val="TableNormal"/>
    <w:uiPriority w:val="59"/>
    <w:rsid w:val="00A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831A6"/>
    <w:rPr>
      <w:b/>
      <w:smallCaps/>
      <w:sz w:val="24"/>
      <w:lang w:eastAsia="en-US" w:bidi="ar-SA"/>
    </w:rPr>
  </w:style>
  <w:style w:type="character" w:customStyle="1" w:styleId="Heading2Char">
    <w:name w:val="Heading 2 Char"/>
    <w:link w:val="Heading2"/>
    <w:rsid w:val="007831A6"/>
    <w:rPr>
      <w:b/>
      <w:sz w:val="24"/>
      <w:lang w:eastAsia="en-US" w:bidi="ar-SA"/>
    </w:rPr>
  </w:style>
  <w:style w:type="character" w:customStyle="1" w:styleId="Heading3Char">
    <w:name w:val="Heading 3 Char"/>
    <w:link w:val="Heading3"/>
    <w:rsid w:val="007831A6"/>
    <w:rPr>
      <w:i/>
      <w:sz w:val="24"/>
      <w:lang w:eastAsia="en-US" w:bidi="ar-SA"/>
    </w:rPr>
  </w:style>
  <w:style w:type="character" w:customStyle="1" w:styleId="FootnoteTextChar">
    <w:name w:val="Footnote Text Char"/>
    <w:link w:val="FootnoteText"/>
    <w:uiPriority w:val="99"/>
    <w:rsid w:val="007831A6"/>
    <w:rPr>
      <w:lang w:eastAsia="en-US"/>
    </w:rPr>
  </w:style>
  <w:style w:type="paragraph" w:customStyle="1" w:styleId="Titrearticle">
    <w:name w:val="Titre article"/>
    <w:basedOn w:val="Normal"/>
    <w:next w:val="Normal"/>
    <w:rsid w:val="007831A6"/>
    <w:pPr>
      <w:keepNext/>
      <w:spacing w:before="360" w:after="120"/>
      <w:jc w:val="center"/>
    </w:pPr>
    <w:rPr>
      <w:i/>
      <w:szCs w:val="24"/>
    </w:rPr>
  </w:style>
  <w:style w:type="character" w:customStyle="1" w:styleId="Text1Char">
    <w:name w:val="Text 1 Char"/>
    <w:link w:val="Text1"/>
    <w:locked/>
    <w:rsid w:val="007831A6"/>
    <w:rPr>
      <w:sz w:val="24"/>
      <w:lang w:eastAsia="en-US"/>
    </w:rPr>
  </w:style>
  <w:style w:type="paragraph" w:customStyle="1" w:styleId="CM1">
    <w:name w:val="CM1"/>
    <w:basedOn w:val="Normal"/>
    <w:next w:val="Normal"/>
    <w:uiPriority w:val="99"/>
    <w:rsid w:val="002B7339"/>
    <w:pPr>
      <w:autoSpaceDE w:val="0"/>
      <w:autoSpaceDN w:val="0"/>
      <w:adjustRightInd w:val="0"/>
      <w:spacing w:after="0"/>
      <w:jc w:val="left"/>
    </w:pPr>
    <w:rPr>
      <w:rFonts w:ascii="EUAlbertina" w:hAnsi="EUAlbertina"/>
      <w:szCs w:val="24"/>
      <w:lang w:eastAsia="en-GB"/>
    </w:rPr>
  </w:style>
  <w:style w:type="paragraph" w:customStyle="1" w:styleId="CM3">
    <w:name w:val="CM3"/>
    <w:basedOn w:val="Normal"/>
    <w:next w:val="Normal"/>
    <w:uiPriority w:val="99"/>
    <w:rsid w:val="002B7339"/>
    <w:pPr>
      <w:autoSpaceDE w:val="0"/>
      <w:autoSpaceDN w:val="0"/>
      <w:adjustRightInd w:val="0"/>
      <w:spacing w:after="0"/>
      <w:jc w:val="left"/>
    </w:pPr>
    <w:rPr>
      <w:rFonts w:ascii="EUAlbertina" w:hAnsi="EUAlbertina"/>
      <w:szCs w:val="24"/>
      <w:lang w:eastAsia="en-GB"/>
    </w:rPr>
  </w:style>
  <w:style w:type="character" w:customStyle="1" w:styleId="Corpsdutexte5">
    <w:name w:val="Corps du texte (5)_"/>
    <w:link w:val="Corpsdutexte50"/>
    <w:uiPriority w:val="99"/>
    <w:locked/>
    <w:rsid w:val="004D1E18"/>
    <w:rPr>
      <w:b/>
      <w:bCs/>
      <w:smallCaps/>
      <w:sz w:val="23"/>
      <w:szCs w:val="23"/>
      <w:shd w:val="clear" w:color="auto" w:fill="FFFFFF"/>
    </w:rPr>
  </w:style>
  <w:style w:type="paragraph" w:customStyle="1" w:styleId="Corpsdutexte50">
    <w:name w:val="Corps du texte (5)"/>
    <w:basedOn w:val="Normal"/>
    <w:link w:val="Corpsdutexte5"/>
    <w:uiPriority w:val="99"/>
    <w:rsid w:val="004D1E18"/>
    <w:pPr>
      <w:widowControl w:val="0"/>
      <w:shd w:val="clear" w:color="auto" w:fill="FFFFFF"/>
      <w:spacing w:after="300" w:line="240" w:lineRule="atLeast"/>
      <w:ind w:hanging="360"/>
    </w:pPr>
    <w:rPr>
      <w:b/>
      <w:bCs/>
      <w:smallCaps/>
      <w:sz w:val="23"/>
      <w:szCs w:val="23"/>
      <w:lang w:eastAsia="en-GB"/>
    </w:rPr>
  </w:style>
  <w:style w:type="character" w:customStyle="1" w:styleId="PlainTextChar">
    <w:name w:val="Plain Text Char"/>
    <w:link w:val="PlainText"/>
    <w:uiPriority w:val="99"/>
    <w:rsid w:val="000A57F7"/>
    <w:rPr>
      <w:rFonts w:ascii="Courier New" w:hAnsi="Courier New"/>
      <w:lang w:eastAsia="en-US"/>
    </w:rPr>
  </w:style>
  <w:style w:type="paragraph" w:customStyle="1" w:styleId="ListBullet10">
    <w:name w:val="List Bullet1"/>
    <w:basedOn w:val="ListParagraph"/>
    <w:link w:val="ListbulletChar"/>
    <w:qFormat/>
    <w:rsid w:val="000A57F7"/>
    <w:pPr>
      <w:numPr>
        <w:numId w:val="18"/>
      </w:numPr>
      <w:spacing w:line="240" w:lineRule="atLeast"/>
      <w:contextualSpacing/>
      <w:jc w:val="both"/>
    </w:pPr>
    <w:rPr>
      <w:rFonts w:ascii="Georgia" w:eastAsia="Times New Roman" w:hAnsi="Georgia"/>
      <w:sz w:val="20"/>
      <w:szCs w:val="24"/>
      <w:lang w:eastAsia="en-GB"/>
    </w:rPr>
  </w:style>
  <w:style w:type="character" w:customStyle="1" w:styleId="ListbulletChar">
    <w:name w:val="List bullet Char"/>
    <w:link w:val="ListBullet10"/>
    <w:rsid w:val="000A57F7"/>
    <w:rPr>
      <w:rFonts w:ascii="Georgia" w:hAnsi="Georgia"/>
      <w:szCs w:val="24"/>
      <w:lang w:bidi="ar-SA"/>
    </w:rPr>
  </w:style>
  <w:style w:type="paragraph" w:styleId="Revision">
    <w:name w:val="Revision"/>
    <w:hidden/>
    <w:uiPriority w:val="99"/>
    <w:semiHidden/>
    <w:rsid w:val="0098619F"/>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81544">
      <w:bodyDiv w:val="1"/>
      <w:marLeft w:val="0"/>
      <w:marRight w:val="0"/>
      <w:marTop w:val="0"/>
      <w:marBottom w:val="0"/>
      <w:divBdr>
        <w:top w:val="none" w:sz="0" w:space="0" w:color="auto"/>
        <w:left w:val="none" w:sz="0" w:space="0" w:color="auto"/>
        <w:bottom w:val="none" w:sz="0" w:space="0" w:color="auto"/>
        <w:right w:val="none" w:sz="0" w:space="0" w:color="auto"/>
      </w:divBdr>
    </w:div>
    <w:div w:id="273023150">
      <w:bodyDiv w:val="1"/>
      <w:marLeft w:val="0"/>
      <w:marRight w:val="0"/>
      <w:marTop w:val="0"/>
      <w:marBottom w:val="0"/>
      <w:divBdr>
        <w:top w:val="none" w:sz="0" w:space="0" w:color="auto"/>
        <w:left w:val="none" w:sz="0" w:space="0" w:color="auto"/>
        <w:bottom w:val="none" w:sz="0" w:space="0" w:color="auto"/>
        <w:right w:val="none" w:sz="0" w:space="0" w:color="auto"/>
      </w:divBdr>
    </w:div>
    <w:div w:id="389154935">
      <w:bodyDiv w:val="1"/>
      <w:marLeft w:val="0"/>
      <w:marRight w:val="0"/>
      <w:marTop w:val="0"/>
      <w:marBottom w:val="0"/>
      <w:divBdr>
        <w:top w:val="none" w:sz="0" w:space="0" w:color="auto"/>
        <w:left w:val="none" w:sz="0" w:space="0" w:color="auto"/>
        <w:bottom w:val="none" w:sz="0" w:space="0" w:color="auto"/>
        <w:right w:val="none" w:sz="0" w:space="0" w:color="auto"/>
      </w:divBdr>
    </w:div>
    <w:div w:id="481046480">
      <w:bodyDiv w:val="1"/>
      <w:marLeft w:val="0"/>
      <w:marRight w:val="0"/>
      <w:marTop w:val="0"/>
      <w:marBottom w:val="0"/>
      <w:divBdr>
        <w:top w:val="none" w:sz="0" w:space="0" w:color="auto"/>
        <w:left w:val="none" w:sz="0" w:space="0" w:color="auto"/>
        <w:bottom w:val="none" w:sz="0" w:space="0" w:color="auto"/>
        <w:right w:val="none" w:sz="0" w:space="0" w:color="auto"/>
      </w:divBdr>
    </w:div>
    <w:div w:id="610670020">
      <w:bodyDiv w:val="1"/>
      <w:marLeft w:val="0"/>
      <w:marRight w:val="0"/>
      <w:marTop w:val="0"/>
      <w:marBottom w:val="0"/>
      <w:divBdr>
        <w:top w:val="none" w:sz="0" w:space="0" w:color="auto"/>
        <w:left w:val="none" w:sz="0" w:space="0" w:color="auto"/>
        <w:bottom w:val="none" w:sz="0" w:space="0" w:color="auto"/>
        <w:right w:val="none" w:sz="0" w:space="0" w:color="auto"/>
      </w:divBdr>
    </w:div>
    <w:div w:id="774834178">
      <w:bodyDiv w:val="1"/>
      <w:marLeft w:val="0"/>
      <w:marRight w:val="0"/>
      <w:marTop w:val="0"/>
      <w:marBottom w:val="0"/>
      <w:divBdr>
        <w:top w:val="none" w:sz="0" w:space="0" w:color="auto"/>
        <w:left w:val="none" w:sz="0" w:space="0" w:color="auto"/>
        <w:bottom w:val="none" w:sz="0" w:space="0" w:color="auto"/>
        <w:right w:val="none" w:sz="0" w:space="0" w:color="auto"/>
      </w:divBdr>
    </w:div>
    <w:div w:id="1017393138">
      <w:bodyDiv w:val="1"/>
      <w:marLeft w:val="0"/>
      <w:marRight w:val="0"/>
      <w:marTop w:val="0"/>
      <w:marBottom w:val="0"/>
      <w:divBdr>
        <w:top w:val="none" w:sz="0" w:space="0" w:color="auto"/>
        <w:left w:val="none" w:sz="0" w:space="0" w:color="auto"/>
        <w:bottom w:val="none" w:sz="0" w:space="0" w:color="auto"/>
        <w:right w:val="none" w:sz="0" w:space="0" w:color="auto"/>
      </w:divBdr>
    </w:div>
    <w:div w:id="1326129417">
      <w:bodyDiv w:val="1"/>
      <w:marLeft w:val="0"/>
      <w:marRight w:val="0"/>
      <w:marTop w:val="0"/>
      <w:marBottom w:val="0"/>
      <w:divBdr>
        <w:top w:val="none" w:sz="0" w:space="0" w:color="auto"/>
        <w:left w:val="none" w:sz="0" w:space="0" w:color="auto"/>
        <w:bottom w:val="none" w:sz="0" w:space="0" w:color="auto"/>
        <w:right w:val="none" w:sz="0" w:space="0" w:color="auto"/>
      </w:divBdr>
    </w:div>
    <w:div w:id="171384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D2299-B7D2-4DC3-8E0A-86E2F3B1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8</TotalTime>
  <Pages>13</Pages>
  <Words>4881</Words>
  <Characters>25737</Characters>
  <Application>Microsoft Office Word</Application>
  <DocSecurity>0</DocSecurity>
  <PresentationFormat>Microsoft Word 14.0</PresentationFormat>
  <Lines>214</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Fesus</dc:creator>
  <cp:keywords>EL4</cp:keywords>
  <cp:lastModifiedBy>FILIPIUK-OLTEANU Bogna (REGIO)</cp:lastModifiedBy>
  <cp:revision>7</cp:revision>
  <cp:lastPrinted>2015-03-27T15:49:00Z</cp:lastPrinted>
  <dcterms:created xsi:type="dcterms:W3CDTF">2015-06-08T10:53:00Z</dcterms:created>
  <dcterms:modified xsi:type="dcterms:W3CDTF">2015-06-08T11:01:00Z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40001</vt:lpwstr>
  </property>
  <property fmtid="{D5CDD505-2E9C-101B-9397-08002B2CF9AE}" pid="9" name="EL_Author">
    <vt:lpwstr>Gabriella Fesus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